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1C" w:rsidRPr="00F7220C" w:rsidRDefault="00E35B50" w:rsidP="003C2A3D">
      <w:pPr>
        <w:pStyle w:val="AERheading2"/>
        <w:numPr>
          <w:ilvl w:val="0"/>
          <w:numId w:val="0"/>
        </w:numPr>
        <w:spacing w:before="0" w:after="0"/>
        <w:ind w:left="720" w:hanging="720"/>
        <w:jc w:val="both"/>
        <w:rPr>
          <w:rFonts w:ascii="Arial Narrow" w:hAnsi="Arial Narrow"/>
          <w:b/>
          <w:sz w:val="32"/>
          <w:szCs w:val="32"/>
        </w:rPr>
      </w:pPr>
      <w:r w:rsidRPr="00F7220C">
        <w:rPr>
          <w:rFonts w:ascii="Arial Narrow" w:hAnsi="Arial Narrow"/>
          <w:b/>
          <w:sz w:val="32"/>
          <w:szCs w:val="32"/>
        </w:rPr>
        <w:t xml:space="preserve">Attachment </w:t>
      </w:r>
      <w:r w:rsidR="008F50CB">
        <w:rPr>
          <w:rFonts w:ascii="Arial Narrow" w:hAnsi="Arial Narrow"/>
          <w:b/>
          <w:sz w:val="32"/>
          <w:szCs w:val="32"/>
        </w:rPr>
        <w:t>8</w:t>
      </w:r>
      <w:r w:rsidR="009F0437">
        <w:rPr>
          <w:rFonts w:ascii="Arial Narrow" w:hAnsi="Arial Narrow"/>
          <w:b/>
          <w:sz w:val="32"/>
          <w:szCs w:val="32"/>
        </w:rPr>
        <w:t>-</w:t>
      </w:r>
      <w:r w:rsidR="00FD5053">
        <w:rPr>
          <w:rFonts w:ascii="Arial Narrow" w:hAnsi="Arial Narrow"/>
          <w:b/>
          <w:sz w:val="32"/>
          <w:szCs w:val="32"/>
        </w:rPr>
        <w:t>2</w:t>
      </w:r>
      <w:r w:rsidR="003D6780" w:rsidRPr="00F7220C">
        <w:rPr>
          <w:rFonts w:ascii="Arial Narrow" w:hAnsi="Arial Narrow"/>
          <w:b/>
          <w:sz w:val="32"/>
          <w:szCs w:val="32"/>
        </w:rPr>
        <w:tab/>
      </w:r>
      <w:r w:rsidR="00F7220C">
        <w:rPr>
          <w:rFonts w:ascii="Arial Narrow" w:hAnsi="Arial Narrow"/>
          <w:b/>
          <w:sz w:val="32"/>
          <w:szCs w:val="32"/>
        </w:rPr>
        <w:t xml:space="preserve"> </w:t>
      </w:r>
      <w:r w:rsidR="00FD5053">
        <w:rPr>
          <w:rFonts w:ascii="Arial Narrow" w:hAnsi="Arial Narrow"/>
          <w:b/>
          <w:sz w:val="32"/>
          <w:szCs w:val="32"/>
        </w:rPr>
        <w:t xml:space="preserve">Draft Decision Response: </w:t>
      </w:r>
      <w:r w:rsidR="008F50CB">
        <w:rPr>
          <w:rFonts w:ascii="Arial Narrow" w:hAnsi="Arial Narrow"/>
          <w:b/>
          <w:sz w:val="32"/>
          <w:szCs w:val="32"/>
        </w:rPr>
        <w:t>Capital Base</w:t>
      </w:r>
    </w:p>
    <w:p w:rsidR="009142CE" w:rsidRDefault="009142CE" w:rsidP="003C2A3D">
      <w:pPr>
        <w:pStyle w:val="AERbodytext"/>
        <w:spacing w:after="0"/>
        <w:jc w:val="both"/>
        <w:rPr>
          <w:rFonts w:ascii="Arial Narrow" w:hAnsi="Arial Narrow"/>
        </w:rPr>
      </w:pPr>
    </w:p>
    <w:p w:rsidR="002E3156" w:rsidRPr="002E3156" w:rsidRDefault="00F12C81" w:rsidP="003C2A3D">
      <w:pPr>
        <w:pStyle w:val="AERbodytext"/>
        <w:spacing w:after="0"/>
        <w:jc w:val="both"/>
        <w:rPr>
          <w:rFonts w:ascii="Arial Narrow" w:hAnsi="Arial Narrow"/>
          <w:i/>
        </w:rPr>
      </w:pPr>
      <w:r w:rsidRPr="002E3156">
        <w:rPr>
          <w:rFonts w:ascii="Arial Narrow" w:hAnsi="Arial Narrow"/>
          <w:i/>
        </w:rPr>
        <w:t>This attachment sets out</w:t>
      </w:r>
      <w:r w:rsidR="002E3156" w:rsidRPr="002E3156">
        <w:rPr>
          <w:rFonts w:ascii="Arial Narrow" w:hAnsi="Arial Narrow"/>
          <w:i/>
        </w:rPr>
        <w:t>:</w:t>
      </w:r>
    </w:p>
    <w:p w:rsidR="002E3156" w:rsidRPr="002E3156" w:rsidRDefault="00F12C81" w:rsidP="002E3156">
      <w:pPr>
        <w:pStyle w:val="AERbodytext"/>
        <w:numPr>
          <w:ilvl w:val="0"/>
          <w:numId w:val="21"/>
        </w:numPr>
        <w:spacing w:after="0"/>
        <w:jc w:val="both"/>
        <w:rPr>
          <w:rFonts w:ascii="Arial Narrow" w:hAnsi="Arial Narrow"/>
          <w:i/>
        </w:rPr>
      </w:pPr>
      <w:r w:rsidRPr="002E3156">
        <w:rPr>
          <w:rFonts w:ascii="Arial Narrow" w:hAnsi="Arial Narrow"/>
          <w:i/>
        </w:rPr>
        <w:t>amendments made by Envestra consequential to the Draft Decision</w:t>
      </w:r>
      <w:r w:rsidR="002E3156" w:rsidRPr="002E3156">
        <w:rPr>
          <w:rFonts w:ascii="Arial Narrow" w:hAnsi="Arial Narrow"/>
          <w:i/>
        </w:rPr>
        <w:t>;</w:t>
      </w:r>
      <w:r w:rsidRPr="002E3156">
        <w:rPr>
          <w:rFonts w:ascii="Arial Narrow" w:hAnsi="Arial Narrow"/>
          <w:i/>
        </w:rPr>
        <w:t xml:space="preserve"> and</w:t>
      </w:r>
    </w:p>
    <w:p w:rsidR="009142CE" w:rsidRPr="002E3156" w:rsidRDefault="00F12C81" w:rsidP="002E3156">
      <w:pPr>
        <w:pStyle w:val="AERbodytext"/>
        <w:numPr>
          <w:ilvl w:val="0"/>
          <w:numId w:val="21"/>
        </w:numPr>
        <w:spacing w:after="0"/>
        <w:jc w:val="both"/>
        <w:rPr>
          <w:rFonts w:ascii="Arial Narrow" w:hAnsi="Arial Narrow"/>
          <w:i/>
        </w:rPr>
      </w:pPr>
      <w:r w:rsidRPr="002E3156">
        <w:rPr>
          <w:rFonts w:ascii="Arial Narrow" w:hAnsi="Arial Narrow"/>
          <w:i/>
        </w:rPr>
        <w:t>where the AER has set out required amendments that Envestra does not accept, this attachment sets out the reasoning for the rejection of the AER’s amendments.</w:t>
      </w:r>
    </w:p>
    <w:p w:rsidR="007C1649" w:rsidRPr="00ED0255" w:rsidRDefault="007C1649" w:rsidP="003C2A3D">
      <w:pPr>
        <w:pStyle w:val="AERbodytext"/>
        <w:spacing w:after="0"/>
        <w:jc w:val="both"/>
        <w:rPr>
          <w:rFonts w:ascii="Arial Narrow" w:hAnsi="Arial Narrow"/>
        </w:rPr>
      </w:pPr>
    </w:p>
    <w:p w:rsidR="007F01F5" w:rsidRDefault="006D71D2" w:rsidP="003C2A3D">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Introduction</w:t>
      </w:r>
    </w:p>
    <w:p w:rsidR="00522359" w:rsidRDefault="00522359" w:rsidP="00522359">
      <w:pPr>
        <w:spacing w:after="0"/>
        <w:rPr>
          <w:rFonts w:ascii="Arial Narrow" w:eastAsia="Times New Roman" w:hAnsi="Arial Narrow"/>
          <w:sz w:val="24"/>
          <w:szCs w:val="24"/>
        </w:rPr>
      </w:pPr>
    </w:p>
    <w:p w:rsidR="00535A4E" w:rsidRDefault="00EC64E2" w:rsidP="00522359">
      <w:pPr>
        <w:spacing w:after="0"/>
        <w:rPr>
          <w:rFonts w:ascii="Arial Narrow" w:eastAsia="Times New Roman" w:hAnsi="Arial Narrow"/>
          <w:sz w:val="24"/>
          <w:szCs w:val="24"/>
        </w:rPr>
      </w:pPr>
      <w:r w:rsidRPr="00522359">
        <w:rPr>
          <w:rFonts w:ascii="Arial Narrow" w:eastAsia="Times New Roman" w:hAnsi="Arial Narrow"/>
          <w:sz w:val="24"/>
          <w:szCs w:val="24"/>
        </w:rPr>
        <w:t>In its Draft Decision, t</w:t>
      </w:r>
      <w:r w:rsidR="004062A5" w:rsidRPr="00522359">
        <w:rPr>
          <w:rFonts w:ascii="Arial Narrow" w:eastAsia="Times New Roman" w:hAnsi="Arial Narrow"/>
          <w:sz w:val="24"/>
          <w:szCs w:val="24"/>
        </w:rPr>
        <w:t xml:space="preserve">he AER </w:t>
      </w:r>
      <w:r w:rsidR="00535A4E">
        <w:rPr>
          <w:rFonts w:ascii="Arial Narrow" w:eastAsia="Times New Roman" w:hAnsi="Arial Narrow"/>
          <w:sz w:val="24"/>
          <w:szCs w:val="24"/>
        </w:rPr>
        <w:t>did not accept</w:t>
      </w:r>
      <w:r w:rsidR="008F50CB">
        <w:rPr>
          <w:rFonts w:ascii="Arial Narrow" w:eastAsia="Times New Roman" w:hAnsi="Arial Narrow"/>
          <w:sz w:val="24"/>
          <w:szCs w:val="24"/>
        </w:rPr>
        <w:t xml:space="preserve"> Envestra’s determination of the opening asset base as at 1 July 2011. </w:t>
      </w:r>
      <w:r w:rsidR="00BC7AE1">
        <w:rPr>
          <w:rFonts w:ascii="Arial Narrow" w:eastAsia="Times New Roman" w:hAnsi="Arial Narrow"/>
          <w:sz w:val="24"/>
          <w:szCs w:val="24"/>
        </w:rPr>
        <w:t>Th</w:t>
      </w:r>
      <w:r w:rsidR="00535A4E">
        <w:rPr>
          <w:rFonts w:ascii="Arial Narrow" w:eastAsia="Times New Roman" w:hAnsi="Arial Narrow"/>
          <w:sz w:val="24"/>
          <w:szCs w:val="24"/>
        </w:rPr>
        <w:t xml:space="preserve">is primarily reflected the </w:t>
      </w:r>
      <w:r w:rsidR="00BC7AE1">
        <w:rPr>
          <w:rFonts w:ascii="Arial Narrow" w:eastAsia="Times New Roman" w:hAnsi="Arial Narrow"/>
          <w:sz w:val="24"/>
          <w:szCs w:val="24"/>
        </w:rPr>
        <w:t xml:space="preserve">AER </w:t>
      </w:r>
      <w:r w:rsidR="00535A4E">
        <w:rPr>
          <w:rFonts w:ascii="Arial Narrow" w:eastAsia="Times New Roman" w:hAnsi="Arial Narrow"/>
          <w:sz w:val="24"/>
          <w:szCs w:val="24"/>
        </w:rPr>
        <w:t xml:space="preserve">decision to use </w:t>
      </w:r>
      <w:r w:rsidR="00224A54">
        <w:rPr>
          <w:rFonts w:ascii="Arial Narrow" w:eastAsia="Times New Roman" w:hAnsi="Arial Narrow"/>
          <w:sz w:val="24"/>
          <w:szCs w:val="24"/>
        </w:rPr>
        <w:t>forecasting</w:t>
      </w:r>
      <w:r w:rsidR="00535A4E">
        <w:rPr>
          <w:rFonts w:ascii="Arial Narrow" w:eastAsia="Times New Roman" w:hAnsi="Arial Narrow"/>
          <w:sz w:val="24"/>
          <w:szCs w:val="24"/>
        </w:rPr>
        <w:t xml:space="preserve"> depreciation in adjusting the regulatory asset base (RAB) rather than actual depreciation, a decision it also took for the next regulatory period. </w:t>
      </w:r>
    </w:p>
    <w:p w:rsidR="00535A4E" w:rsidRDefault="00535A4E" w:rsidP="00522359">
      <w:pPr>
        <w:spacing w:after="0"/>
        <w:rPr>
          <w:rFonts w:ascii="Arial Narrow" w:eastAsia="Times New Roman" w:hAnsi="Arial Narrow"/>
          <w:sz w:val="24"/>
          <w:szCs w:val="24"/>
        </w:rPr>
      </w:pPr>
    </w:p>
    <w:p w:rsidR="00155C03" w:rsidRDefault="00535A4E" w:rsidP="00747002">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R</w:t>
      </w:r>
      <w:r w:rsidR="00155C03">
        <w:rPr>
          <w:rFonts w:ascii="Arial Narrow" w:hAnsi="Arial Narrow"/>
          <w:b/>
        </w:rPr>
        <w:t>esponse to Draft Decision</w:t>
      </w:r>
    </w:p>
    <w:p w:rsidR="00155C03" w:rsidRPr="00747002" w:rsidRDefault="00155C03" w:rsidP="00747002">
      <w:pPr>
        <w:spacing w:after="0"/>
        <w:rPr>
          <w:rFonts w:ascii="Arial Narrow" w:eastAsia="Times New Roman" w:hAnsi="Arial Narrow"/>
          <w:sz w:val="24"/>
          <w:szCs w:val="24"/>
        </w:rPr>
      </w:pPr>
    </w:p>
    <w:p w:rsidR="00535A4E" w:rsidRDefault="00BC7AE1" w:rsidP="00BC7AE1">
      <w:pPr>
        <w:spacing w:after="0"/>
        <w:rPr>
          <w:rFonts w:ascii="Arial Narrow" w:eastAsia="Times New Roman" w:hAnsi="Arial Narrow"/>
          <w:sz w:val="24"/>
          <w:szCs w:val="24"/>
        </w:rPr>
      </w:pPr>
      <w:r>
        <w:rPr>
          <w:rFonts w:ascii="Arial Narrow" w:eastAsia="Times New Roman" w:hAnsi="Arial Narrow"/>
          <w:sz w:val="24"/>
          <w:szCs w:val="24"/>
        </w:rPr>
        <w:t xml:space="preserve">Envestra </w:t>
      </w:r>
      <w:r w:rsidR="00535A4E">
        <w:rPr>
          <w:rFonts w:ascii="Arial Narrow" w:eastAsia="Times New Roman" w:hAnsi="Arial Narrow"/>
          <w:sz w:val="24"/>
          <w:szCs w:val="24"/>
        </w:rPr>
        <w:t xml:space="preserve">has accepted the decision to apply forecast depreciation in rolling forward the RAB over the current regulatory period. This reflects that the </w:t>
      </w:r>
      <w:r w:rsidR="005F4238">
        <w:rPr>
          <w:rFonts w:ascii="Arial Narrow" w:eastAsia="Times New Roman" w:hAnsi="Arial Narrow"/>
          <w:sz w:val="24"/>
          <w:szCs w:val="24"/>
        </w:rPr>
        <w:t>Queensland Competition Authority (</w:t>
      </w:r>
      <w:r w:rsidR="001A553B">
        <w:rPr>
          <w:rFonts w:ascii="Arial Narrow" w:eastAsia="Times New Roman" w:hAnsi="Arial Narrow"/>
          <w:sz w:val="24"/>
          <w:szCs w:val="24"/>
        </w:rPr>
        <w:t>QCA</w:t>
      </w:r>
      <w:r w:rsidR="005F4238">
        <w:rPr>
          <w:rFonts w:ascii="Arial Narrow" w:eastAsia="Times New Roman" w:hAnsi="Arial Narrow"/>
          <w:sz w:val="24"/>
          <w:szCs w:val="24"/>
        </w:rPr>
        <w:t>)</w:t>
      </w:r>
      <w:r w:rsidR="00535A4E">
        <w:rPr>
          <w:rFonts w:ascii="Arial Narrow" w:eastAsia="Times New Roman" w:hAnsi="Arial Narrow"/>
          <w:sz w:val="24"/>
          <w:szCs w:val="24"/>
        </w:rPr>
        <w:t xml:space="preserve"> was most likely to also apply forecast depreciation over the current period, although it did not specifically state that it would. </w:t>
      </w:r>
      <w:r w:rsidR="001A553B">
        <w:rPr>
          <w:rFonts w:ascii="Arial Narrow" w:eastAsia="Times New Roman" w:hAnsi="Arial Narrow"/>
          <w:sz w:val="24"/>
          <w:szCs w:val="24"/>
        </w:rPr>
        <w:t>Envestra has accepted the 1 July 2011 opening asset value of $316.4</w:t>
      </w:r>
      <w:r w:rsidR="005F4238">
        <w:rPr>
          <w:rFonts w:ascii="Arial Narrow" w:eastAsia="Times New Roman" w:hAnsi="Arial Narrow"/>
          <w:sz w:val="24"/>
          <w:szCs w:val="24"/>
        </w:rPr>
        <w:t xml:space="preserve"> million</w:t>
      </w:r>
      <w:r w:rsidR="001A553B">
        <w:rPr>
          <w:rFonts w:ascii="Arial Narrow" w:eastAsia="Times New Roman" w:hAnsi="Arial Narrow"/>
          <w:sz w:val="24"/>
          <w:szCs w:val="24"/>
        </w:rPr>
        <w:t xml:space="preserve"> as determined by the AER.</w:t>
      </w:r>
    </w:p>
    <w:p w:rsidR="00535A4E" w:rsidRDefault="00535A4E" w:rsidP="00BC7AE1">
      <w:pPr>
        <w:spacing w:after="0"/>
        <w:rPr>
          <w:rFonts w:ascii="Arial Narrow" w:eastAsia="Times New Roman" w:hAnsi="Arial Narrow"/>
          <w:sz w:val="24"/>
          <w:szCs w:val="24"/>
        </w:rPr>
      </w:pPr>
    </w:p>
    <w:p w:rsidR="00033920" w:rsidRDefault="00033920" w:rsidP="00BC7AE1">
      <w:pPr>
        <w:spacing w:after="0"/>
        <w:rPr>
          <w:rFonts w:ascii="Arial Narrow" w:eastAsia="Times New Roman" w:hAnsi="Arial Narrow"/>
          <w:sz w:val="24"/>
          <w:szCs w:val="24"/>
        </w:rPr>
      </w:pPr>
      <w:r>
        <w:rPr>
          <w:rFonts w:ascii="Arial Narrow" w:eastAsia="Times New Roman" w:hAnsi="Arial Narrow"/>
          <w:sz w:val="24"/>
          <w:szCs w:val="24"/>
        </w:rPr>
        <w:t>Envestra however maintains its position that actual depreciation should be applied to adjust the RAB from 1 July 2011, unless the AER accepts Env</w:t>
      </w:r>
      <w:r w:rsidR="006F5EB8">
        <w:rPr>
          <w:rFonts w:ascii="Arial Narrow" w:eastAsia="Times New Roman" w:hAnsi="Arial Narrow"/>
          <w:sz w:val="24"/>
          <w:szCs w:val="24"/>
        </w:rPr>
        <w:t>estra’s proposal to include capital expenditure</w:t>
      </w:r>
      <w:r>
        <w:rPr>
          <w:rFonts w:ascii="Arial Narrow" w:eastAsia="Times New Roman" w:hAnsi="Arial Narrow"/>
          <w:sz w:val="24"/>
          <w:szCs w:val="24"/>
        </w:rPr>
        <w:t xml:space="preserve"> in the </w:t>
      </w:r>
      <w:r w:rsidR="005F4238">
        <w:rPr>
          <w:rFonts w:ascii="Arial Narrow" w:eastAsia="Times New Roman" w:hAnsi="Arial Narrow"/>
          <w:sz w:val="24"/>
          <w:szCs w:val="24"/>
        </w:rPr>
        <w:t>efficiency carryover mechanism (</w:t>
      </w:r>
      <w:r>
        <w:rPr>
          <w:rFonts w:ascii="Arial Narrow" w:eastAsia="Times New Roman" w:hAnsi="Arial Narrow"/>
          <w:sz w:val="24"/>
          <w:szCs w:val="24"/>
        </w:rPr>
        <w:t>ECM</w:t>
      </w:r>
      <w:r w:rsidR="005F4238">
        <w:rPr>
          <w:rFonts w:ascii="Arial Narrow" w:eastAsia="Times New Roman" w:hAnsi="Arial Narrow"/>
          <w:sz w:val="24"/>
          <w:szCs w:val="24"/>
        </w:rPr>
        <w:t>)</w:t>
      </w:r>
      <w:r>
        <w:rPr>
          <w:rFonts w:ascii="Arial Narrow" w:eastAsia="Times New Roman" w:hAnsi="Arial Narrow"/>
          <w:sz w:val="24"/>
          <w:szCs w:val="24"/>
        </w:rPr>
        <w:t xml:space="preserve"> to apply over the next regulatory period. </w:t>
      </w:r>
    </w:p>
    <w:p w:rsidR="00033920" w:rsidRDefault="00033920" w:rsidP="00BC7AE1">
      <w:pPr>
        <w:spacing w:after="0"/>
        <w:rPr>
          <w:rFonts w:ascii="Arial Narrow" w:eastAsia="Times New Roman" w:hAnsi="Arial Narrow"/>
          <w:sz w:val="24"/>
          <w:szCs w:val="24"/>
        </w:rPr>
      </w:pPr>
    </w:p>
    <w:p w:rsidR="000A3EA6" w:rsidRPr="000976AB" w:rsidRDefault="003D5A59" w:rsidP="000976AB">
      <w:pPr>
        <w:pStyle w:val="AERbodytext"/>
        <w:numPr>
          <w:ilvl w:val="0"/>
          <w:numId w:val="8"/>
        </w:numPr>
        <w:tabs>
          <w:tab w:val="left" w:pos="567"/>
        </w:tabs>
        <w:spacing w:after="0"/>
        <w:ind w:left="567" w:hanging="567"/>
        <w:jc w:val="both"/>
        <w:rPr>
          <w:rFonts w:ascii="Arial Narrow" w:hAnsi="Arial Narrow"/>
          <w:b/>
        </w:rPr>
      </w:pPr>
      <w:r w:rsidRPr="000976AB">
        <w:rPr>
          <w:rFonts w:ascii="Arial Narrow" w:hAnsi="Arial Narrow"/>
          <w:b/>
        </w:rPr>
        <w:t>Actual versus Forecast Depreciation</w:t>
      </w:r>
      <w:r w:rsidR="006E2DD0" w:rsidRPr="000976AB">
        <w:rPr>
          <w:rFonts w:ascii="Arial Narrow" w:hAnsi="Arial Narrow"/>
          <w:b/>
        </w:rPr>
        <w:t xml:space="preserve"> </w:t>
      </w:r>
      <w:r w:rsidR="00C066FE">
        <w:rPr>
          <w:rFonts w:ascii="Arial Narrow" w:hAnsi="Arial Narrow"/>
          <w:b/>
        </w:rPr>
        <w:t>from 1 July 2011</w:t>
      </w:r>
    </w:p>
    <w:p w:rsidR="000976AB" w:rsidRDefault="000976AB" w:rsidP="00DE4CC7">
      <w:pPr>
        <w:pStyle w:val="AERbodytext"/>
        <w:spacing w:after="0"/>
        <w:jc w:val="both"/>
        <w:rPr>
          <w:rFonts w:ascii="Arial Narrow" w:hAnsi="Arial Narrow"/>
        </w:rPr>
      </w:pPr>
    </w:p>
    <w:p w:rsidR="000976AB" w:rsidRDefault="000976AB" w:rsidP="00DE4CC7">
      <w:pPr>
        <w:pStyle w:val="AERbodytext"/>
        <w:spacing w:after="0"/>
        <w:jc w:val="both"/>
        <w:rPr>
          <w:rFonts w:ascii="Arial Narrow" w:hAnsi="Arial Narrow"/>
        </w:rPr>
      </w:pPr>
      <w:r>
        <w:rPr>
          <w:rFonts w:ascii="Arial Narrow" w:hAnsi="Arial Narrow"/>
        </w:rPr>
        <w:t xml:space="preserve">As already noted, Envestra has accepted the AER preference to apply forecast depreciation in rolling forward the RAB over the current regulatory period. </w:t>
      </w:r>
    </w:p>
    <w:p w:rsidR="000976AB" w:rsidRDefault="000976AB" w:rsidP="00DE4CC7">
      <w:pPr>
        <w:pStyle w:val="AERbodytext"/>
        <w:spacing w:after="0"/>
        <w:jc w:val="both"/>
        <w:rPr>
          <w:rFonts w:ascii="Arial Narrow" w:hAnsi="Arial Narrow"/>
        </w:rPr>
      </w:pPr>
    </w:p>
    <w:p w:rsidR="00DE4CC7" w:rsidRDefault="000976AB" w:rsidP="00DE4CC7">
      <w:pPr>
        <w:pStyle w:val="AERbodytext"/>
        <w:spacing w:after="0"/>
        <w:jc w:val="both"/>
        <w:rPr>
          <w:rFonts w:ascii="Arial Narrow" w:hAnsi="Arial Narrow"/>
        </w:rPr>
      </w:pPr>
      <w:r>
        <w:rPr>
          <w:rFonts w:ascii="Arial Narrow" w:hAnsi="Arial Narrow"/>
        </w:rPr>
        <w:t xml:space="preserve">Despite this, Envestra has a strong preference to apply actual depreciation to adjust its RAB and proposed that this approach be applied in rolling forward the RAB from 1 July 2011. </w:t>
      </w:r>
      <w:r w:rsidR="00C066FE">
        <w:rPr>
          <w:rFonts w:ascii="Arial Narrow" w:hAnsi="Arial Narrow"/>
        </w:rPr>
        <w:t>This primarily reflects that the u</w:t>
      </w:r>
      <w:r w:rsidR="00215BC0" w:rsidRPr="00DE4CC7">
        <w:rPr>
          <w:rFonts w:ascii="Arial Narrow" w:hAnsi="Arial Narrow"/>
        </w:rPr>
        <w:t>se of ac</w:t>
      </w:r>
      <w:r w:rsidR="00DE4CC7" w:rsidRPr="00DE4CC7">
        <w:rPr>
          <w:rFonts w:ascii="Arial Narrow" w:hAnsi="Arial Narrow"/>
        </w:rPr>
        <w:t>tual depreciation in</w:t>
      </w:r>
      <w:r w:rsidR="00215BC0" w:rsidRPr="00DE4CC7">
        <w:rPr>
          <w:rFonts w:ascii="Arial Narrow" w:hAnsi="Arial Narrow"/>
        </w:rPr>
        <w:t xml:space="preserve"> </w:t>
      </w:r>
      <w:r w:rsidR="00C066FE">
        <w:rPr>
          <w:rFonts w:ascii="Arial Narrow" w:hAnsi="Arial Narrow"/>
        </w:rPr>
        <w:t xml:space="preserve">adjusting the RAB strengthens the incentives to improve efficiencies, particularly in cases where </w:t>
      </w:r>
      <w:r w:rsidR="00224A54">
        <w:rPr>
          <w:rFonts w:ascii="Arial Narrow" w:hAnsi="Arial Narrow"/>
        </w:rPr>
        <w:t>capital expenditure</w:t>
      </w:r>
      <w:r w:rsidR="00C066FE">
        <w:rPr>
          <w:rFonts w:ascii="Arial Narrow" w:hAnsi="Arial Narrow"/>
        </w:rPr>
        <w:t xml:space="preserve"> is not included in the ECM. </w:t>
      </w:r>
    </w:p>
    <w:p w:rsidR="006A61B4" w:rsidRDefault="006A61B4" w:rsidP="00DE4CC7">
      <w:pPr>
        <w:pStyle w:val="AERbodytext"/>
        <w:spacing w:after="0"/>
        <w:jc w:val="both"/>
        <w:rPr>
          <w:rFonts w:ascii="Arial Narrow" w:hAnsi="Arial Narrow"/>
        </w:rPr>
      </w:pPr>
    </w:p>
    <w:p w:rsidR="00B05F26" w:rsidRDefault="00B05F26" w:rsidP="00DE4CC7">
      <w:pPr>
        <w:pStyle w:val="AERbodytext"/>
        <w:spacing w:after="0"/>
        <w:jc w:val="both"/>
        <w:rPr>
          <w:rFonts w:ascii="Arial Narrow" w:hAnsi="Arial Narrow"/>
        </w:rPr>
      </w:pPr>
      <w:r>
        <w:rPr>
          <w:rFonts w:ascii="Arial Narrow" w:hAnsi="Arial Narrow"/>
        </w:rPr>
        <w:t>Th</w:t>
      </w:r>
      <w:r w:rsidR="005F4238">
        <w:rPr>
          <w:rFonts w:ascii="Arial Narrow" w:hAnsi="Arial Narrow"/>
        </w:rPr>
        <w:t>is</w:t>
      </w:r>
      <w:r>
        <w:rPr>
          <w:rFonts w:ascii="Arial Narrow" w:hAnsi="Arial Narrow"/>
        </w:rPr>
        <w:t xml:space="preserve"> section</w:t>
      </w:r>
      <w:r w:rsidR="00C066FE">
        <w:rPr>
          <w:rFonts w:ascii="Arial Narrow" w:hAnsi="Arial Narrow"/>
        </w:rPr>
        <w:t xml:space="preserve"> addresse</w:t>
      </w:r>
      <w:r>
        <w:rPr>
          <w:rFonts w:ascii="Arial Narrow" w:hAnsi="Arial Narrow"/>
        </w:rPr>
        <w:t xml:space="preserve">s </w:t>
      </w:r>
      <w:r w:rsidR="00C066FE">
        <w:rPr>
          <w:rFonts w:ascii="Arial Narrow" w:hAnsi="Arial Narrow"/>
        </w:rPr>
        <w:t>the matters raised by the AER in support of applying forecast depreciation as opposed to actual depreciation.</w:t>
      </w:r>
      <w:r>
        <w:rPr>
          <w:rFonts w:ascii="Arial Narrow" w:hAnsi="Arial Narrow"/>
        </w:rPr>
        <w:t xml:space="preserve">  </w:t>
      </w:r>
    </w:p>
    <w:p w:rsidR="00DE4CC7" w:rsidRDefault="00DE4CC7" w:rsidP="00DE4CC7">
      <w:pPr>
        <w:pStyle w:val="AERbodytext"/>
        <w:spacing w:after="0"/>
        <w:jc w:val="both"/>
        <w:rPr>
          <w:rFonts w:ascii="Arial Narrow" w:hAnsi="Arial Narrow"/>
        </w:rPr>
      </w:pPr>
    </w:p>
    <w:p w:rsidR="00761D72" w:rsidRPr="00490F79" w:rsidRDefault="00B05F26" w:rsidP="00215BC0">
      <w:pPr>
        <w:pStyle w:val="AERbodytext"/>
        <w:numPr>
          <w:ilvl w:val="1"/>
          <w:numId w:val="8"/>
        </w:numPr>
        <w:tabs>
          <w:tab w:val="clear" w:pos="576"/>
          <w:tab w:val="left" w:pos="567"/>
        </w:tabs>
        <w:spacing w:after="0"/>
        <w:jc w:val="both"/>
        <w:rPr>
          <w:rFonts w:ascii="Arial Narrow" w:hAnsi="Arial Narrow"/>
          <w:b/>
        </w:rPr>
      </w:pPr>
      <w:bookmarkStart w:id="0" w:name="_Toc440427245"/>
      <w:bookmarkStart w:id="1" w:name="_Toc440427326"/>
      <w:bookmarkStart w:id="2" w:name="_Toc440802114"/>
      <w:bookmarkStart w:id="3" w:name="_Toc440863761"/>
      <w:bookmarkStart w:id="4" w:name="_Toc440878481"/>
      <w:bookmarkStart w:id="5" w:name="_Toc441314912"/>
      <w:bookmarkStart w:id="6" w:name="_Toc441476009"/>
      <w:bookmarkStart w:id="7" w:name="_Toc441476312"/>
      <w:bookmarkStart w:id="8" w:name="_Toc442070565"/>
      <w:bookmarkStart w:id="9" w:name="_Toc442089922"/>
      <w:bookmarkStart w:id="10" w:name="_Toc442239072"/>
      <w:bookmarkStart w:id="11" w:name="_Toc442493006"/>
      <w:bookmarkStart w:id="12" w:name="_Toc442499091"/>
      <w:bookmarkStart w:id="13" w:name="_Toc442519965"/>
      <w:bookmarkStart w:id="14" w:name="_Toc442845093"/>
      <w:bookmarkStart w:id="15" w:name="_Toc443112413"/>
      <w:bookmarkStart w:id="16" w:name="_Toc443206023"/>
      <w:bookmarkStart w:id="17" w:name="_Toc115585367"/>
      <w:r>
        <w:rPr>
          <w:rFonts w:ascii="Arial Narrow" w:hAnsi="Arial Narrow"/>
          <w:b/>
        </w:rPr>
        <w:t>Differences between Gas and Electricity Networks</w:t>
      </w:r>
    </w:p>
    <w:p w:rsidR="00761D72" w:rsidRDefault="00761D72" w:rsidP="003D5A59">
      <w:pPr>
        <w:spacing w:after="0"/>
        <w:rPr>
          <w:rFonts w:ascii="Arial Narrow" w:eastAsia="Times New Roman" w:hAnsi="Arial Narrow"/>
          <w:sz w:val="24"/>
          <w:szCs w:val="24"/>
        </w:rPr>
      </w:pPr>
    </w:p>
    <w:p w:rsidR="00C066FE" w:rsidRDefault="00C066FE" w:rsidP="003D5A59">
      <w:pPr>
        <w:spacing w:after="0"/>
        <w:rPr>
          <w:rFonts w:ascii="Arial Narrow" w:eastAsia="Times New Roman" w:hAnsi="Arial Narrow"/>
          <w:sz w:val="24"/>
          <w:szCs w:val="24"/>
        </w:rPr>
      </w:pPr>
      <w:r>
        <w:rPr>
          <w:rFonts w:ascii="Arial Narrow" w:eastAsia="Times New Roman" w:hAnsi="Arial Narrow"/>
          <w:sz w:val="24"/>
          <w:szCs w:val="24"/>
        </w:rPr>
        <w:t>The AER applies a</w:t>
      </w:r>
      <w:r w:rsidR="00D55CFB">
        <w:rPr>
          <w:rFonts w:ascii="Arial Narrow" w:eastAsia="Times New Roman" w:hAnsi="Arial Narrow"/>
          <w:sz w:val="24"/>
          <w:szCs w:val="24"/>
        </w:rPr>
        <w:t xml:space="preserve">ctual depreciation to </w:t>
      </w:r>
      <w:r>
        <w:rPr>
          <w:rFonts w:ascii="Arial Narrow" w:eastAsia="Times New Roman" w:hAnsi="Arial Narrow"/>
          <w:sz w:val="24"/>
          <w:szCs w:val="24"/>
        </w:rPr>
        <w:t xml:space="preserve">adjust the RAB for </w:t>
      </w:r>
      <w:r w:rsidR="00D55CFB">
        <w:rPr>
          <w:rFonts w:ascii="Arial Narrow" w:eastAsia="Times New Roman" w:hAnsi="Arial Narrow"/>
          <w:sz w:val="24"/>
          <w:szCs w:val="24"/>
        </w:rPr>
        <w:t xml:space="preserve">electricity distributors. However, </w:t>
      </w:r>
      <w:r>
        <w:rPr>
          <w:rFonts w:ascii="Arial Narrow" w:eastAsia="Times New Roman" w:hAnsi="Arial Narrow"/>
          <w:sz w:val="24"/>
          <w:szCs w:val="24"/>
        </w:rPr>
        <w:t xml:space="preserve">the AER has argued in its Draft Decision that forecast </w:t>
      </w:r>
      <w:r w:rsidR="000A34A2">
        <w:rPr>
          <w:rFonts w:ascii="Arial Narrow" w:eastAsia="Times New Roman" w:hAnsi="Arial Narrow"/>
          <w:sz w:val="24"/>
          <w:szCs w:val="24"/>
        </w:rPr>
        <w:t xml:space="preserve">depreciation </w:t>
      </w:r>
      <w:r>
        <w:rPr>
          <w:rFonts w:ascii="Arial Narrow" w:eastAsia="Times New Roman" w:hAnsi="Arial Narrow"/>
          <w:sz w:val="24"/>
          <w:szCs w:val="24"/>
        </w:rPr>
        <w:t xml:space="preserve">is more appropriate for the </w:t>
      </w:r>
      <w:r w:rsidR="003D5A59" w:rsidRPr="003D5A59">
        <w:rPr>
          <w:rFonts w:ascii="Arial Narrow" w:eastAsia="Times New Roman" w:hAnsi="Arial Narrow"/>
          <w:sz w:val="24"/>
          <w:szCs w:val="24"/>
        </w:rPr>
        <w:t xml:space="preserve">gas sector because ‘gas distributors generally operate in a less dynamic market, which can give them scope to defer expenditure as the situation allows’.   </w:t>
      </w:r>
    </w:p>
    <w:p w:rsidR="00C066FE" w:rsidRDefault="00C066FE" w:rsidP="003D5A59">
      <w:pPr>
        <w:spacing w:after="0"/>
        <w:rPr>
          <w:rFonts w:ascii="Arial Narrow" w:eastAsia="Times New Roman" w:hAnsi="Arial Narrow"/>
          <w:sz w:val="24"/>
          <w:szCs w:val="24"/>
        </w:rPr>
      </w:pPr>
    </w:p>
    <w:p w:rsidR="003D5A59" w:rsidRPr="003D5A59" w:rsidRDefault="003D5A59" w:rsidP="003D5A59">
      <w:pPr>
        <w:spacing w:after="0"/>
        <w:rPr>
          <w:rFonts w:ascii="Arial Narrow" w:eastAsia="Times New Roman" w:hAnsi="Arial Narrow"/>
          <w:sz w:val="24"/>
          <w:szCs w:val="24"/>
        </w:rPr>
      </w:pPr>
      <w:r w:rsidRPr="003D5A59">
        <w:rPr>
          <w:rFonts w:ascii="Arial Narrow" w:eastAsia="Times New Roman" w:hAnsi="Arial Narrow"/>
          <w:sz w:val="24"/>
          <w:szCs w:val="24"/>
        </w:rPr>
        <w:t xml:space="preserve">The AER </w:t>
      </w:r>
      <w:r w:rsidR="000A34A2">
        <w:rPr>
          <w:rFonts w:ascii="Arial Narrow" w:eastAsia="Times New Roman" w:hAnsi="Arial Narrow"/>
          <w:sz w:val="24"/>
          <w:szCs w:val="24"/>
        </w:rPr>
        <w:t xml:space="preserve">has </w:t>
      </w:r>
      <w:r w:rsidRPr="003D5A59">
        <w:rPr>
          <w:rFonts w:ascii="Arial Narrow" w:eastAsia="Times New Roman" w:hAnsi="Arial Narrow"/>
          <w:sz w:val="24"/>
          <w:szCs w:val="24"/>
        </w:rPr>
        <w:t>also pointed to the absence of</w:t>
      </w:r>
      <w:r w:rsidR="000A34A2">
        <w:rPr>
          <w:rFonts w:ascii="Arial Narrow" w:eastAsia="Times New Roman" w:hAnsi="Arial Narrow"/>
          <w:sz w:val="24"/>
          <w:szCs w:val="24"/>
        </w:rPr>
        <w:t xml:space="preserve"> a</w:t>
      </w:r>
      <w:r w:rsidRPr="003D5A59">
        <w:rPr>
          <w:rFonts w:ascii="Arial Narrow" w:eastAsia="Times New Roman" w:hAnsi="Arial Narrow"/>
          <w:sz w:val="24"/>
          <w:szCs w:val="24"/>
        </w:rPr>
        <w:t xml:space="preserve"> formal service quality incentive sc</w:t>
      </w:r>
      <w:r w:rsidR="000A34A2">
        <w:rPr>
          <w:rFonts w:ascii="Arial Narrow" w:eastAsia="Times New Roman" w:hAnsi="Arial Narrow"/>
          <w:sz w:val="24"/>
          <w:szCs w:val="24"/>
        </w:rPr>
        <w:t xml:space="preserve">heme in the gas sector, </w:t>
      </w:r>
      <w:r w:rsidRPr="003D5A59">
        <w:rPr>
          <w:rFonts w:ascii="Arial Narrow" w:eastAsia="Times New Roman" w:hAnsi="Arial Narrow"/>
          <w:sz w:val="24"/>
          <w:szCs w:val="24"/>
        </w:rPr>
        <w:t xml:space="preserve">implying that there is less incentive to direct expenditure towards improving service quality.   </w:t>
      </w:r>
      <w:r w:rsidRPr="003D5A59">
        <w:rPr>
          <w:rFonts w:ascii="Arial Narrow" w:eastAsia="Times New Roman" w:hAnsi="Arial Narrow"/>
          <w:sz w:val="24"/>
          <w:szCs w:val="24"/>
        </w:rPr>
        <w:lastRenderedPageBreak/>
        <w:t>On this basis, the AER considered that the forecast depreciation approach is neutral in terms of its impa</w:t>
      </w:r>
      <w:r w:rsidR="006E2DD0">
        <w:rPr>
          <w:rFonts w:ascii="Arial Narrow" w:eastAsia="Times New Roman" w:hAnsi="Arial Narrow"/>
          <w:sz w:val="24"/>
          <w:szCs w:val="24"/>
        </w:rPr>
        <w:t>ct on a busines</w:t>
      </w:r>
      <w:r w:rsidR="000A34A2">
        <w:rPr>
          <w:rFonts w:ascii="Arial Narrow" w:eastAsia="Times New Roman" w:hAnsi="Arial Narrow"/>
          <w:sz w:val="24"/>
          <w:szCs w:val="24"/>
        </w:rPr>
        <w:t>se</w:t>
      </w:r>
      <w:r w:rsidR="006E2DD0">
        <w:rPr>
          <w:rFonts w:ascii="Arial Narrow" w:eastAsia="Times New Roman" w:hAnsi="Arial Narrow"/>
          <w:sz w:val="24"/>
          <w:szCs w:val="24"/>
        </w:rPr>
        <w:t xml:space="preserve">s spending on </w:t>
      </w:r>
      <w:r w:rsidR="006F5EB8">
        <w:rPr>
          <w:rFonts w:ascii="Arial Narrow" w:eastAsia="Times New Roman" w:hAnsi="Arial Narrow"/>
          <w:sz w:val="24"/>
          <w:szCs w:val="24"/>
        </w:rPr>
        <w:t>capital expenditure</w:t>
      </w:r>
      <w:r w:rsidRPr="003D5A59">
        <w:rPr>
          <w:rFonts w:ascii="Arial Narrow" w:eastAsia="Times New Roman" w:hAnsi="Arial Narrow"/>
          <w:sz w:val="24"/>
          <w:szCs w:val="24"/>
        </w:rPr>
        <w:t>.</w:t>
      </w:r>
    </w:p>
    <w:p w:rsidR="003D5A59" w:rsidRPr="003D5A59" w:rsidRDefault="003D5A59" w:rsidP="003D5A59">
      <w:pPr>
        <w:spacing w:after="0"/>
        <w:rPr>
          <w:rFonts w:ascii="Arial Narrow" w:eastAsia="Times New Roman" w:hAnsi="Arial Narrow"/>
          <w:sz w:val="24"/>
          <w:szCs w:val="24"/>
        </w:rPr>
      </w:pPr>
    </w:p>
    <w:p w:rsidR="003D5A59" w:rsidRPr="003D5A59" w:rsidRDefault="003D5A59" w:rsidP="003D5A59">
      <w:pPr>
        <w:spacing w:after="0"/>
        <w:rPr>
          <w:rFonts w:ascii="Arial Narrow" w:eastAsia="Times New Roman" w:hAnsi="Arial Narrow"/>
          <w:sz w:val="24"/>
          <w:szCs w:val="24"/>
        </w:rPr>
      </w:pPr>
      <w:r w:rsidRPr="003D5A59">
        <w:rPr>
          <w:rFonts w:ascii="Arial Narrow" w:eastAsia="Times New Roman" w:hAnsi="Arial Narrow"/>
          <w:sz w:val="24"/>
          <w:szCs w:val="24"/>
        </w:rPr>
        <w:t xml:space="preserve">Envestra disagrees with these assertions because gas, unlike electricity, is a fuel of choice.   Whilst no formal service quality incentive regime is in place, if consumers are dissatisfied with the level of Envestra’s service, they have the option </w:t>
      </w:r>
      <w:r w:rsidR="000A34A2">
        <w:rPr>
          <w:rFonts w:ascii="Arial Narrow" w:eastAsia="Times New Roman" w:hAnsi="Arial Narrow"/>
          <w:sz w:val="24"/>
          <w:szCs w:val="24"/>
        </w:rPr>
        <w:t xml:space="preserve">of </w:t>
      </w:r>
      <w:r w:rsidRPr="003D5A59">
        <w:rPr>
          <w:rFonts w:ascii="Arial Narrow" w:eastAsia="Times New Roman" w:hAnsi="Arial Narrow"/>
          <w:sz w:val="24"/>
          <w:szCs w:val="24"/>
        </w:rPr>
        <w:t>revert</w:t>
      </w:r>
      <w:r w:rsidR="000A34A2">
        <w:rPr>
          <w:rFonts w:ascii="Arial Narrow" w:eastAsia="Times New Roman" w:hAnsi="Arial Narrow"/>
          <w:sz w:val="24"/>
          <w:szCs w:val="24"/>
        </w:rPr>
        <w:t xml:space="preserve">ing </w:t>
      </w:r>
      <w:r w:rsidRPr="003D5A59">
        <w:rPr>
          <w:rFonts w:ascii="Arial Narrow" w:eastAsia="Times New Roman" w:hAnsi="Arial Narrow"/>
          <w:sz w:val="24"/>
          <w:szCs w:val="24"/>
        </w:rPr>
        <w:t xml:space="preserve">to electricity </w:t>
      </w:r>
      <w:r w:rsidR="000A34A2">
        <w:rPr>
          <w:rFonts w:ascii="Arial Narrow" w:eastAsia="Times New Roman" w:hAnsi="Arial Narrow"/>
          <w:sz w:val="24"/>
          <w:szCs w:val="24"/>
        </w:rPr>
        <w:t xml:space="preserve">in place of gas for their energy requirements. This provides a continuous incentive for Envestra </w:t>
      </w:r>
      <w:r w:rsidRPr="003D5A59">
        <w:rPr>
          <w:rFonts w:ascii="Arial Narrow" w:eastAsia="Times New Roman" w:hAnsi="Arial Narrow"/>
          <w:sz w:val="24"/>
          <w:szCs w:val="24"/>
        </w:rPr>
        <w:t xml:space="preserve">to direct expenditure towards improving its level of service.  </w:t>
      </w:r>
    </w:p>
    <w:p w:rsidR="003D5A59" w:rsidRPr="003D5A59" w:rsidRDefault="003D5A59" w:rsidP="003D5A59">
      <w:pPr>
        <w:spacing w:after="0"/>
        <w:rPr>
          <w:rFonts w:ascii="Arial Narrow" w:eastAsia="Times New Roman" w:hAnsi="Arial Narrow"/>
          <w:sz w:val="24"/>
          <w:szCs w:val="24"/>
        </w:rPr>
      </w:pPr>
    </w:p>
    <w:p w:rsidR="00215BC0" w:rsidRPr="00490F79" w:rsidRDefault="00DA0E3A" w:rsidP="00215BC0">
      <w:pPr>
        <w:pStyle w:val="AERbodytext"/>
        <w:numPr>
          <w:ilvl w:val="1"/>
          <w:numId w:val="8"/>
        </w:numPr>
        <w:tabs>
          <w:tab w:val="clear" w:pos="576"/>
          <w:tab w:val="left" w:pos="567"/>
        </w:tabs>
        <w:spacing w:after="0"/>
        <w:jc w:val="both"/>
        <w:rPr>
          <w:rFonts w:ascii="Arial Narrow" w:hAnsi="Arial Narrow"/>
          <w:b/>
        </w:rPr>
      </w:pPr>
      <w:r>
        <w:rPr>
          <w:rFonts w:ascii="Arial Narrow" w:hAnsi="Arial Narrow"/>
          <w:b/>
        </w:rPr>
        <w:t>Consistency Across Jurisdictions</w:t>
      </w:r>
    </w:p>
    <w:p w:rsidR="003D5A59" w:rsidRDefault="003D5A59" w:rsidP="003D5A59">
      <w:pPr>
        <w:spacing w:after="0"/>
        <w:rPr>
          <w:rFonts w:ascii="Arial Narrow" w:eastAsia="Times New Roman" w:hAnsi="Arial Narrow"/>
          <w:sz w:val="24"/>
          <w:szCs w:val="24"/>
        </w:rPr>
      </w:pPr>
    </w:p>
    <w:p w:rsidR="004B5B28" w:rsidRDefault="004B5B28" w:rsidP="003D5A59">
      <w:pPr>
        <w:spacing w:after="0"/>
        <w:rPr>
          <w:rFonts w:ascii="Arial Narrow" w:eastAsia="Times New Roman" w:hAnsi="Arial Narrow"/>
          <w:sz w:val="24"/>
          <w:szCs w:val="24"/>
        </w:rPr>
      </w:pPr>
      <w:r>
        <w:rPr>
          <w:rFonts w:ascii="Arial Narrow" w:eastAsia="Times New Roman" w:hAnsi="Arial Narrow"/>
          <w:sz w:val="24"/>
          <w:szCs w:val="24"/>
        </w:rPr>
        <w:t xml:space="preserve">The AER has supported its decision to apply forecast depreciation to Envestra on the basis that this approach is consistent with its previous decisions for gas distributors, namely ActewAGL, Country Energy (Wagga Wagga) and Jemena NSW.  However, each of these networks </w:t>
      </w:r>
      <w:r w:rsidRPr="009F0241">
        <w:rPr>
          <w:rFonts w:ascii="Arial Narrow" w:eastAsia="Times New Roman" w:hAnsi="Arial Narrow"/>
          <w:sz w:val="24"/>
          <w:szCs w:val="24"/>
          <w:u w:val="single"/>
        </w:rPr>
        <w:t>elected</w:t>
      </w:r>
      <w:r>
        <w:rPr>
          <w:rFonts w:ascii="Arial Narrow" w:eastAsia="Times New Roman" w:hAnsi="Arial Narrow"/>
          <w:sz w:val="24"/>
          <w:szCs w:val="24"/>
        </w:rPr>
        <w:t xml:space="preserve">, under rule 90(2) of the NGR, to use a forecast depreciation approach. </w:t>
      </w:r>
    </w:p>
    <w:p w:rsidR="004B5B28" w:rsidRDefault="004B5B28" w:rsidP="003D5A59">
      <w:pPr>
        <w:spacing w:after="0"/>
        <w:rPr>
          <w:rFonts w:ascii="Arial Narrow" w:eastAsia="Times New Roman" w:hAnsi="Arial Narrow"/>
          <w:sz w:val="24"/>
          <w:szCs w:val="24"/>
        </w:rPr>
      </w:pPr>
    </w:p>
    <w:p w:rsidR="00D30EFF" w:rsidRDefault="00D30EFF" w:rsidP="003D5A59">
      <w:pPr>
        <w:spacing w:after="0"/>
        <w:rPr>
          <w:rFonts w:ascii="Arial Narrow" w:eastAsia="Times New Roman" w:hAnsi="Arial Narrow"/>
          <w:sz w:val="24"/>
          <w:szCs w:val="24"/>
        </w:rPr>
      </w:pPr>
      <w:r>
        <w:rPr>
          <w:rFonts w:ascii="Arial Narrow" w:eastAsia="Times New Roman" w:hAnsi="Arial Narrow"/>
          <w:sz w:val="24"/>
          <w:szCs w:val="24"/>
        </w:rPr>
        <w:t xml:space="preserve">While other distributors may have elected to use forecast depreciation, Envestra elects to use actual depreciation, which is the approach applied to electricity distributors. Not accepting Envestra’s proposal to use actual depreciation can not therefore be based on consistency grounds. In any event, there is no reason as to why depreciation needs to be applied consistently across gas businesses. </w:t>
      </w:r>
    </w:p>
    <w:p w:rsidR="00D30EFF" w:rsidRDefault="00D30EFF" w:rsidP="003D5A59">
      <w:pPr>
        <w:spacing w:after="0"/>
        <w:rPr>
          <w:rFonts w:ascii="Arial Narrow" w:eastAsia="Times New Roman" w:hAnsi="Arial Narrow"/>
          <w:sz w:val="24"/>
          <w:szCs w:val="24"/>
        </w:rPr>
      </w:pPr>
    </w:p>
    <w:p w:rsidR="00215BC0" w:rsidRPr="00490F79" w:rsidRDefault="00215BC0" w:rsidP="00215BC0">
      <w:pPr>
        <w:pStyle w:val="AERbodytext"/>
        <w:numPr>
          <w:ilvl w:val="1"/>
          <w:numId w:val="8"/>
        </w:numPr>
        <w:tabs>
          <w:tab w:val="clear" w:pos="576"/>
          <w:tab w:val="left" w:pos="567"/>
        </w:tabs>
        <w:spacing w:after="0"/>
        <w:jc w:val="both"/>
        <w:rPr>
          <w:rFonts w:ascii="Arial Narrow" w:hAnsi="Arial Narrow"/>
          <w:b/>
        </w:rPr>
      </w:pPr>
      <w:r>
        <w:rPr>
          <w:rFonts w:ascii="Arial Narrow" w:hAnsi="Arial Narrow"/>
          <w:b/>
        </w:rPr>
        <w:t>Negative Asset Base</w:t>
      </w:r>
    </w:p>
    <w:p w:rsidR="00215BC0" w:rsidRDefault="00215BC0" w:rsidP="001E0CE3">
      <w:pPr>
        <w:spacing w:after="0"/>
        <w:rPr>
          <w:rFonts w:ascii="Arial Narrow" w:eastAsia="Times New Roman" w:hAnsi="Arial Narrow"/>
          <w:sz w:val="24"/>
          <w:szCs w:val="24"/>
        </w:rPr>
      </w:pPr>
    </w:p>
    <w:p w:rsidR="001E0CE3" w:rsidRDefault="001E0CE3" w:rsidP="001E0CE3">
      <w:pPr>
        <w:spacing w:after="0"/>
        <w:rPr>
          <w:rFonts w:ascii="Arial Narrow" w:eastAsia="Times New Roman" w:hAnsi="Arial Narrow"/>
          <w:sz w:val="24"/>
          <w:szCs w:val="24"/>
        </w:rPr>
      </w:pPr>
      <w:r w:rsidRPr="003D5A59">
        <w:rPr>
          <w:rFonts w:ascii="Arial Narrow" w:eastAsia="Times New Roman" w:hAnsi="Arial Narrow"/>
          <w:sz w:val="24"/>
          <w:szCs w:val="24"/>
        </w:rPr>
        <w:t xml:space="preserve">Envestra notes that the use of forecast depreciation </w:t>
      </w:r>
      <w:r w:rsidR="00D30EFF">
        <w:rPr>
          <w:rFonts w:ascii="Arial Narrow" w:eastAsia="Times New Roman" w:hAnsi="Arial Narrow"/>
          <w:sz w:val="24"/>
          <w:szCs w:val="24"/>
        </w:rPr>
        <w:t xml:space="preserve">can </w:t>
      </w:r>
      <w:r w:rsidRPr="003D5A59">
        <w:rPr>
          <w:rFonts w:ascii="Arial Narrow" w:eastAsia="Times New Roman" w:hAnsi="Arial Narrow"/>
          <w:sz w:val="24"/>
          <w:szCs w:val="24"/>
        </w:rPr>
        <w:t>result in negative asset value</w:t>
      </w:r>
      <w:r w:rsidR="00D30EFF">
        <w:rPr>
          <w:rFonts w:ascii="Arial Narrow" w:eastAsia="Times New Roman" w:hAnsi="Arial Narrow"/>
          <w:sz w:val="24"/>
          <w:szCs w:val="24"/>
        </w:rPr>
        <w:t xml:space="preserve">s, which is </w:t>
      </w:r>
      <w:r>
        <w:rPr>
          <w:rFonts w:ascii="Arial Narrow" w:eastAsia="Times New Roman" w:hAnsi="Arial Narrow"/>
          <w:sz w:val="24"/>
          <w:szCs w:val="24"/>
        </w:rPr>
        <w:t xml:space="preserve">inconsistent with normal accounting practice. </w:t>
      </w:r>
      <w:r w:rsidR="00127DA4">
        <w:rPr>
          <w:rFonts w:ascii="Arial Narrow" w:eastAsia="Times New Roman" w:hAnsi="Arial Narrow"/>
          <w:sz w:val="24"/>
          <w:szCs w:val="24"/>
        </w:rPr>
        <w:t>Incorporating negative RAB values is contrary to section 24(2) of the National Gas Law</w:t>
      </w:r>
      <w:r w:rsidR="000370EB">
        <w:rPr>
          <w:rFonts w:ascii="Arial Narrow" w:eastAsia="Times New Roman" w:hAnsi="Arial Narrow"/>
          <w:sz w:val="24"/>
          <w:szCs w:val="24"/>
        </w:rPr>
        <w:t xml:space="preserve"> (NGL)</w:t>
      </w:r>
      <w:r w:rsidR="00127DA4">
        <w:rPr>
          <w:rFonts w:ascii="Arial Narrow" w:eastAsia="Times New Roman" w:hAnsi="Arial Narrow"/>
          <w:sz w:val="24"/>
          <w:szCs w:val="24"/>
        </w:rPr>
        <w:t xml:space="preserve">, which section states that Envestra must be provided with a reasonable opportunity to recover its efficient costs. Including negative asset values is contrary to this requirement. </w:t>
      </w:r>
    </w:p>
    <w:p w:rsidR="00D30EFF" w:rsidRDefault="00D30EFF" w:rsidP="001E0CE3">
      <w:pPr>
        <w:spacing w:after="0"/>
        <w:rPr>
          <w:rFonts w:ascii="Arial Narrow" w:eastAsia="Times New Roman" w:hAnsi="Arial Narrow"/>
          <w:sz w:val="24"/>
          <w:szCs w:val="24"/>
        </w:rPr>
      </w:pPr>
    </w:p>
    <w:p w:rsidR="00332C83" w:rsidRPr="00490F79" w:rsidRDefault="00332C83" w:rsidP="00332C83">
      <w:pPr>
        <w:pStyle w:val="AERbodytext"/>
        <w:numPr>
          <w:ilvl w:val="1"/>
          <w:numId w:val="8"/>
        </w:numPr>
        <w:tabs>
          <w:tab w:val="clear" w:pos="576"/>
          <w:tab w:val="left" w:pos="567"/>
        </w:tabs>
        <w:spacing w:after="0"/>
        <w:jc w:val="both"/>
        <w:rPr>
          <w:rFonts w:ascii="Arial Narrow" w:hAnsi="Arial Narrow"/>
          <w:b/>
        </w:rPr>
      </w:pPr>
      <w:r>
        <w:rPr>
          <w:rFonts w:ascii="Arial Narrow" w:hAnsi="Arial Narrow"/>
          <w:b/>
        </w:rPr>
        <w:t>Concluding Remarks</w:t>
      </w:r>
    </w:p>
    <w:p w:rsidR="00215BC0" w:rsidRDefault="00215BC0" w:rsidP="003D5A59">
      <w:pPr>
        <w:spacing w:after="0"/>
        <w:rPr>
          <w:rFonts w:ascii="Arial Narrow" w:eastAsia="Times New Roman" w:hAnsi="Arial Narrow"/>
          <w:sz w:val="24"/>
          <w:szCs w:val="24"/>
        </w:rPr>
      </w:pPr>
    </w:p>
    <w:p w:rsidR="00127DA4" w:rsidRDefault="00127DA4" w:rsidP="003D5A59">
      <w:pPr>
        <w:spacing w:after="0"/>
        <w:rPr>
          <w:rFonts w:ascii="Arial Narrow" w:eastAsia="Times New Roman" w:hAnsi="Arial Narrow"/>
          <w:sz w:val="24"/>
          <w:szCs w:val="24"/>
        </w:rPr>
      </w:pPr>
      <w:r w:rsidRPr="003D5A59">
        <w:rPr>
          <w:rFonts w:ascii="Arial Narrow" w:eastAsia="Times New Roman" w:hAnsi="Arial Narrow"/>
          <w:sz w:val="24"/>
          <w:szCs w:val="24"/>
        </w:rPr>
        <w:t xml:space="preserve">Envestra notes that r. 90(2) of the </w:t>
      </w:r>
      <w:r w:rsidR="005F4238">
        <w:rPr>
          <w:rFonts w:ascii="Arial Narrow" w:eastAsia="Times New Roman" w:hAnsi="Arial Narrow"/>
          <w:sz w:val="24"/>
          <w:szCs w:val="24"/>
        </w:rPr>
        <w:t>National Gas Rules (</w:t>
      </w:r>
      <w:r w:rsidRPr="003D5A59">
        <w:rPr>
          <w:rFonts w:ascii="Arial Narrow" w:eastAsia="Times New Roman" w:hAnsi="Arial Narrow"/>
          <w:sz w:val="24"/>
          <w:szCs w:val="24"/>
        </w:rPr>
        <w:t>NGR</w:t>
      </w:r>
      <w:r w:rsidR="005F4238">
        <w:rPr>
          <w:rFonts w:ascii="Arial Narrow" w:eastAsia="Times New Roman" w:hAnsi="Arial Narrow"/>
          <w:sz w:val="24"/>
          <w:szCs w:val="24"/>
        </w:rPr>
        <w:t>)</w:t>
      </w:r>
      <w:r w:rsidRPr="003D5A59">
        <w:rPr>
          <w:rFonts w:ascii="Arial Narrow" w:eastAsia="Times New Roman" w:hAnsi="Arial Narrow"/>
          <w:sz w:val="24"/>
          <w:szCs w:val="24"/>
        </w:rPr>
        <w:t xml:space="preserve"> requires that</w:t>
      </w:r>
      <w:r w:rsidR="005F4238">
        <w:rPr>
          <w:rFonts w:ascii="Arial Narrow" w:eastAsia="Times New Roman" w:hAnsi="Arial Narrow"/>
          <w:sz w:val="24"/>
          <w:szCs w:val="24"/>
        </w:rPr>
        <w:t>,</w:t>
      </w:r>
      <w:r w:rsidRPr="003D5A59">
        <w:rPr>
          <w:rFonts w:ascii="Arial Narrow" w:eastAsia="Times New Roman" w:hAnsi="Arial Narrow"/>
          <w:sz w:val="24"/>
          <w:szCs w:val="24"/>
        </w:rPr>
        <w:t xml:space="preserve"> in calculating depreciation for rolling forward the opening asset base from one access arrangement period to the next</w:t>
      </w:r>
      <w:r w:rsidR="005F4238">
        <w:rPr>
          <w:rFonts w:ascii="Arial Narrow" w:eastAsia="Times New Roman" w:hAnsi="Arial Narrow"/>
          <w:sz w:val="24"/>
          <w:szCs w:val="24"/>
        </w:rPr>
        <w:t>,</w:t>
      </w:r>
      <w:r w:rsidRPr="003D5A59">
        <w:rPr>
          <w:rFonts w:ascii="Arial Narrow" w:eastAsia="Times New Roman" w:hAnsi="Arial Narrow"/>
          <w:sz w:val="24"/>
          <w:szCs w:val="24"/>
        </w:rPr>
        <w:t xml:space="preserve"> ‘the provisions must resolve whether depreciation of the capital base is to be based on forecast or</w:t>
      </w:r>
      <w:r>
        <w:rPr>
          <w:rFonts w:ascii="Arial Narrow" w:eastAsia="Times New Roman" w:hAnsi="Arial Narrow"/>
          <w:sz w:val="24"/>
          <w:szCs w:val="24"/>
        </w:rPr>
        <w:t xml:space="preserve"> actual capital expenditure’. Envestra has elected to apply actual depreciation to adjust the RAB from 1 July 2011. </w:t>
      </w:r>
    </w:p>
    <w:p w:rsidR="00127DA4" w:rsidRDefault="00127DA4" w:rsidP="003D5A59">
      <w:pPr>
        <w:spacing w:after="0"/>
        <w:rPr>
          <w:rFonts w:ascii="Arial Narrow" w:eastAsia="Times New Roman" w:hAnsi="Arial Narrow"/>
          <w:sz w:val="24"/>
          <w:szCs w:val="24"/>
        </w:rPr>
      </w:pPr>
    </w:p>
    <w:p w:rsidR="000370EB" w:rsidRDefault="00127DA4" w:rsidP="003D5A59">
      <w:pPr>
        <w:spacing w:after="0"/>
        <w:rPr>
          <w:rFonts w:ascii="Arial Narrow" w:eastAsia="Times New Roman" w:hAnsi="Arial Narrow"/>
          <w:sz w:val="24"/>
          <w:szCs w:val="24"/>
        </w:rPr>
      </w:pPr>
      <w:r>
        <w:rPr>
          <w:rFonts w:ascii="Arial Narrow" w:eastAsia="Times New Roman" w:hAnsi="Arial Narrow"/>
          <w:sz w:val="24"/>
          <w:szCs w:val="24"/>
        </w:rPr>
        <w:t>The primary reason for adopting actual depreciation is that it strengthens the incentives on Envestra to incur efficien</w:t>
      </w:r>
      <w:r w:rsidR="005F4238">
        <w:rPr>
          <w:rFonts w:ascii="Arial Narrow" w:eastAsia="Times New Roman" w:hAnsi="Arial Narrow"/>
          <w:sz w:val="24"/>
          <w:szCs w:val="24"/>
        </w:rPr>
        <w:t>t</w:t>
      </w:r>
      <w:r>
        <w:rPr>
          <w:rFonts w:ascii="Arial Narrow" w:eastAsia="Times New Roman" w:hAnsi="Arial Narrow"/>
          <w:sz w:val="24"/>
          <w:szCs w:val="24"/>
        </w:rPr>
        <w:t xml:space="preserve"> expenditure, particularly </w:t>
      </w:r>
      <w:r w:rsidR="000370EB">
        <w:rPr>
          <w:rFonts w:ascii="Arial Narrow" w:eastAsia="Times New Roman" w:hAnsi="Arial Narrow"/>
          <w:sz w:val="24"/>
          <w:szCs w:val="24"/>
        </w:rPr>
        <w:t xml:space="preserve">where </w:t>
      </w:r>
      <w:r w:rsidR="006F5EB8">
        <w:rPr>
          <w:rFonts w:ascii="Arial Narrow" w:eastAsia="Times New Roman" w:hAnsi="Arial Narrow"/>
          <w:sz w:val="24"/>
          <w:szCs w:val="24"/>
        </w:rPr>
        <w:t>capital expenditure</w:t>
      </w:r>
      <w:r w:rsidR="000370EB">
        <w:rPr>
          <w:rFonts w:ascii="Arial Narrow" w:eastAsia="Times New Roman" w:hAnsi="Arial Narrow"/>
          <w:sz w:val="24"/>
          <w:szCs w:val="24"/>
        </w:rPr>
        <w:t xml:space="preserve"> is not included in the efficiency carryover mechanism. Envestra considers that the arguments to apply forecast depreciation do not outweigh the benefits of applying actual depreciation. </w:t>
      </w:r>
    </w:p>
    <w:p w:rsidR="000370EB" w:rsidRDefault="000370EB" w:rsidP="003D5A59">
      <w:pPr>
        <w:spacing w:after="0"/>
        <w:rPr>
          <w:rFonts w:ascii="Arial Narrow" w:eastAsia="Times New Roman" w:hAnsi="Arial Narrow"/>
          <w:sz w:val="24"/>
          <w:szCs w:val="24"/>
        </w:rPr>
      </w:pPr>
    </w:p>
    <w:p w:rsidR="00D30EFF" w:rsidRDefault="000370EB" w:rsidP="003D5A59">
      <w:pPr>
        <w:spacing w:after="0"/>
        <w:rPr>
          <w:rFonts w:ascii="Arial Narrow" w:eastAsia="Times New Roman" w:hAnsi="Arial Narrow"/>
          <w:sz w:val="24"/>
          <w:szCs w:val="24"/>
        </w:rPr>
      </w:pPr>
      <w:r>
        <w:rPr>
          <w:rFonts w:ascii="Arial Narrow" w:eastAsia="Times New Roman" w:hAnsi="Arial Narrow"/>
          <w:sz w:val="24"/>
          <w:szCs w:val="24"/>
        </w:rPr>
        <w:t>Envestra therefore considers that applying actual inflation is more likely</w:t>
      </w:r>
      <w:r w:rsidR="00BB07F1">
        <w:rPr>
          <w:rFonts w:ascii="Arial Narrow" w:eastAsia="Times New Roman" w:hAnsi="Arial Narrow"/>
          <w:sz w:val="24"/>
          <w:szCs w:val="24"/>
        </w:rPr>
        <w:t xml:space="preserve"> to be consistent with the N</w:t>
      </w:r>
      <w:r>
        <w:rPr>
          <w:rFonts w:ascii="Arial Narrow" w:eastAsia="Times New Roman" w:hAnsi="Arial Narrow"/>
          <w:sz w:val="24"/>
          <w:szCs w:val="24"/>
        </w:rPr>
        <w:t xml:space="preserve">ational Gas Objective </w:t>
      </w:r>
      <w:r w:rsidR="00BB07F1">
        <w:rPr>
          <w:rFonts w:ascii="Arial Narrow" w:eastAsia="Times New Roman" w:hAnsi="Arial Narrow"/>
          <w:sz w:val="24"/>
          <w:szCs w:val="24"/>
        </w:rPr>
        <w:t xml:space="preserve">(section 23 of the NGL) in promoting efficient investment in the network that is in the long term interests of consumers. Envestra also notes that actual depreciation is more </w:t>
      </w:r>
      <w:r w:rsidR="00BB07F1">
        <w:rPr>
          <w:rFonts w:ascii="Arial Narrow" w:eastAsia="Times New Roman" w:hAnsi="Arial Narrow"/>
          <w:sz w:val="24"/>
          <w:szCs w:val="24"/>
        </w:rPr>
        <w:lastRenderedPageBreak/>
        <w:t xml:space="preserve">consistent with an approach that allows Envestra to recover its efficient costs, as required by section 24(2) of the NGL. </w:t>
      </w:r>
      <w:r w:rsidR="00127DA4">
        <w:rPr>
          <w:rFonts w:ascii="Arial Narrow" w:eastAsia="Times New Roman" w:hAnsi="Arial Narrow"/>
          <w:sz w:val="24"/>
          <w:szCs w:val="24"/>
        </w:rPr>
        <w:t xml:space="preserve"> </w:t>
      </w:r>
    </w:p>
    <w:p w:rsidR="00D30EFF" w:rsidRDefault="00D30EFF" w:rsidP="003D5A59">
      <w:pPr>
        <w:spacing w:after="0"/>
        <w:rPr>
          <w:rFonts w:ascii="Arial Narrow" w:eastAsia="Times New Roman" w:hAnsi="Arial Narrow"/>
          <w:sz w:val="24"/>
          <w:szCs w:val="24"/>
        </w:rPr>
      </w:pPr>
    </w:p>
    <w:p w:rsidR="00B7171C" w:rsidRPr="00425F4E" w:rsidRDefault="00B7171C" w:rsidP="00425F4E">
      <w:pPr>
        <w:pStyle w:val="AERbodytext"/>
        <w:spacing w:after="0"/>
        <w:ind w:left="576"/>
        <w:jc w:val="both"/>
        <w:rPr>
          <w:rFonts w:ascii="Arial Narrow" w:hAnsi="Arial Narrow"/>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451D0B" w:rsidRPr="00B40438" w:rsidRDefault="00BB07F1" w:rsidP="00451D0B">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Summary: O</w:t>
      </w:r>
      <w:r w:rsidR="00AA22EB">
        <w:rPr>
          <w:rFonts w:ascii="Arial Narrow" w:hAnsi="Arial Narrow"/>
          <w:b/>
        </w:rPr>
        <w:t xml:space="preserve">pening </w:t>
      </w:r>
      <w:r w:rsidR="00451D0B">
        <w:rPr>
          <w:rFonts w:ascii="Arial Narrow" w:hAnsi="Arial Narrow"/>
          <w:b/>
        </w:rPr>
        <w:t xml:space="preserve">Asset </w:t>
      </w:r>
      <w:r w:rsidR="00AA22EB">
        <w:rPr>
          <w:rFonts w:ascii="Arial Narrow" w:hAnsi="Arial Narrow"/>
          <w:b/>
        </w:rPr>
        <w:t>Base as at 1 July 2011</w:t>
      </w:r>
    </w:p>
    <w:p w:rsidR="00451D0B" w:rsidRDefault="00451D0B" w:rsidP="006A21F6">
      <w:pPr>
        <w:spacing w:after="0"/>
        <w:rPr>
          <w:rFonts w:ascii="Arial Narrow" w:eastAsia="Times New Roman" w:hAnsi="Arial Narrow"/>
          <w:sz w:val="24"/>
          <w:szCs w:val="24"/>
        </w:rPr>
      </w:pPr>
    </w:p>
    <w:p w:rsidR="00523BC9" w:rsidRPr="00523BC9" w:rsidRDefault="00AA22EB" w:rsidP="006A21F6">
      <w:pPr>
        <w:spacing w:after="0"/>
        <w:rPr>
          <w:rFonts w:ascii="Arial Narrow" w:eastAsia="Times New Roman" w:hAnsi="Arial Narrow"/>
          <w:sz w:val="24"/>
          <w:szCs w:val="24"/>
        </w:rPr>
      </w:pPr>
      <w:r>
        <w:rPr>
          <w:rFonts w:ascii="Arial Narrow" w:eastAsia="Times New Roman" w:hAnsi="Arial Narrow"/>
          <w:sz w:val="24"/>
          <w:szCs w:val="24"/>
        </w:rPr>
        <w:t>The table below details the opening asset base as at 1 July 2011.</w:t>
      </w:r>
      <w:r w:rsidR="002A6E92">
        <w:rPr>
          <w:rFonts w:ascii="Arial Narrow" w:eastAsia="Times New Roman" w:hAnsi="Arial Narrow"/>
          <w:sz w:val="24"/>
          <w:szCs w:val="24"/>
        </w:rPr>
        <w:t xml:space="preserve">  </w:t>
      </w:r>
    </w:p>
    <w:p w:rsidR="001C22D0" w:rsidRDefault="001C22D0" w:rsidP="006A21F6">
      <w:pPr>
        <w:spacing w:after="0"/>
        <w:rPr>
          <w:rFonts w:ascii="Arial Narrow" w:eastAsia="Times New Roman" w:hAnsi="Arial Narrow"/>
          <w:sz w:val="24"/>
          <w:szCs w:val="24"/>
        </w:rPr>
      </w:pPr>
    </w:p>
    <w:p w:rsidR="005262CA" w:rsidRPr="00162B8D" w:rsidRDefault="00AA22EB" w:rsidP="00523BC9">
      <w:pPr>
        <w:pStyle w:val="AERbodytext"/>
        <w:spacing w:after="0"/>
        <w:jc w:val="center"/>
        <w:rPr>
          <w:rFonts w:ascii="Arial Narrow" w:hAnsi="Arial Narrow"/>
        </w:rPr>
      </w:pPr>
      <w:r>
        <w:rPr>
          <w:rFonts w:ascii="Arial Narrow" w:hAnsi="Arial Narrow"/>
        </w:rPr>
        <w:t>Table 8.1</w:t>
      </w:r>
      <w:r w:rsidR="005262CA">
        <w:rPr>
          <w:rFonts w:ascii="Arial Narrow" w:hAnsi="Arial Narrow"/>
        </w:rPr>
        <w:t xml:space="preserve"> </w:t>
      </w:r>
      <w:r>
        <w:rPr>
          <w:rFonts w:ascii="Arial Narrow" w:hAnsi="Arial Narrow"/>
        </w:rPr>
        <w:t>Roll Forward of the Capital Base 2006-07 to 2010-11</w:t>
      </w:r>
    </w:p>
    <w:tbl>
      <w:tblPr>
        <w:tblStyle w:val="TableGrid"/>
        <w:tblW w:w="8895" w:type="dxa"/>
        <w:jc w:val="right"/>
        <w:tblLayout w:type="fixed"/>
        <w:tblLook w:val="04A0"/>
      </w:tblPr>
      <w:tblGrid>
        <w:gridCol w:w="3445"/>
        <w:gridCol w:w="1090"/>
        <w:gridCol w:w="1090"/>
        <w:gridCol w:w="1090"/>
        <w:gridCol w:w="1090"/>
        <w:gridCol w:w="1090"/>
      </w:tblGrid>
      <w:tr w:rsidR="00AA22EB" w:rsidRPr="005654A3" w:rsidTr="005C7601">
        <w:trPr>
          <w:trHeight w:val="416"/>
          <w:jc w:val="right"/>
        </w:trPr>
        <w:tc>
          <w:tcPr>
            <w:tcW w:w="3445" w:type="dxa"/>
            <w:tcBorders>
              <w:bottom w:val="single" w:sz="4" w:space="0" w:color="548DD4" w:themeColor="text2" w:themeTint="99"/>
            </w:tcBorders>
            <w:shd w:val="clear" w:color="auto" w:fill="548DD4" w:themeFill="text2" w:themeFillTint="99"/>
          </w:tcPr>
          <w:p w:rsidR="00AA22EB" w:rsidRPr="005654A3" w:rsidRDefault="00AA22EB" w:rsidP="00AA22EB">
            <w:pPr>
              <w:spacing w:before="60" w:after="60" w:line="240" w:lineRule="auto"/>
              <w:rPr>
                <w:rFonts w:ascii="Arial Narrow" w:hAnsi="Arial Narrow"/>
              </w:rPr>
            </w:pPr>
            <w:r w:rsidRPr="00AA22EB">
              <w:rPr>
                <w:rFonts w:ascii="Arial Narrow" w:hAnsi="Arial Narrow"/>
                <w:b/>
                <w:bCs/>
                <w:color w:val="FFFFFF"/>
                <w:sz w:val="24"/>
                <w:szCs w:val="24"/>
              </w:rPr>
              <w:t>$m Nominal</w:t>
            </w:r>
          </w:p>
        </w:tc>
        <w:tc>
          <w:tcPr>
            <w:tcW w:w="1090" w:type="dxa"/>
            <w:tcBorders>
              <w:bottom w:val="single" w:sz="4" w:space="0" w:color="548DD4" w:themeColor="text2" w:themeTint="99"/>
            </w:tcBorders>
            <w:shd w:val="clear" w:color="auto" w:fill="548DD4" w:themeFill="text2" w:themeFillTint="99"/>
          </w:tcPr>
          <w:p w:rsidR="00AA22EB" w:rsidRPr="00C61E20" w:rsidRDefault="00AA22EB" w:rsidP="00560182">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w:t>
            </w:r>
            <w:r w:rsidR="00560182">
              <w:rPr>
                <w:rFonts w:ascii="Arial Narrow" w:hAnsi="Arial Narrow"/>
                <w:b/>
                <w:bCs/>
                <w:color w:val="FFFFFF"/>
                <w:sz w:val="24"/>
                <w:szCs w:val="24"/>
              </w:rPr>
              <w:t>06</w:t>
            </w:r>
            <w:r w:rsidRPr="00C61E20">
              <w:rPr>
                <w:rFonts w:ascii="Arial Narrow" w:hAnsi="Arial Narrow"/>
                <w:b/>
                <w:bCs/>
                <w:color w:val="FFFFFF"/>
                <w:sz w:val="24"/>
                <w:szCs w:val="24"/>
              </w:rPr>
              <w:t>-</w:t>
            </w:r>
            <w:r w:rsidR="00560182">
              <w:rPr>
                <w:rFonts w:ascii="Arial Narrow" w:hAnsi="Arial Narrow"/>
                <w:b/>
                <w:bCs/>
                <w:color w:val="FFFFFF"/>
                <w:sz w:val="24"/>
                <w:szCs w:val="24"/>
              </w:rPr>
              <w:t>07</w:t>
            </w:r>
          </w:p>
        </w:tc>
        <w:tc>
          <w:tcPr>
            <w:tcW w:w="1090" w:type="dxa"/>
            <w:tcBorders>
              <w:bottom w:val="single" w:sz="4" w:space="0" w:color="548DD4" w:themeColor="text2" w:themeTint="99"/>
            </w:tcBorders>
            <w:shd w:val="clear" w:color="auto" w:fill="548DD4" w:themeFill="text2" w:themeFillTint="99"/>
          </w:tcPr>
          <w:p w:rsidR="00AA22EB" w:rsidRPr="00C61E20" w:rsidRDefault="00560182" w:rsidP="00560182">
            <w:pPr>
              <w:spacing w:before="60" w:after="60" w:line="240" w:lineRule="auto"/>
              <w:jc w:val="right"/>
              <w:rPr>
                <w:rFonts w:ascii="Arial Narrow" w:hAnsi="Arial Narrow"/>
                <w:b/>
                <w:bCs/>
                <w:color w:val="FFFFFF"/>
                <w:sz w:val="24"/>
                <w:szCs w:val="24"/>
              </w:rPr>
            </w:pPr>
            <w:r>
              <w:rPr>
                <w:rFonts w:ascii="Arial Narrow" w:hAnsi="Arial Narrow"/>
                <w:b/>
                <w:bCs/>
                <w:color w:val="FFFFFF"/>
                <w:sz w:val="24"/>
                <w:szCs w:val="24"/>
              </w:rPr>
              <w:t>2007-08</w:t>
            </w:r>
          </w:p>
        </w:tc>
        <w:tc>
          <w:tcPr>
            <w:tcW w:w="1090" w:type="dxa"/>
            <w:tcBorders>
              <w:bottom w:val="single" w:sz="4" w:space="0" w:color="548DD4" w:themeColor="text2" w:themeTint="99"/>
            </w:tcBorders>
            <w:shd w:val="clear" w:color="auto" w:fill="548DD4" w:themeFill="text2" w:themeFillTint="99"/>
          </w:tcPr>
          <w:p w:rsidR="00AA22EB" w:rsidRPr="00C61E20" w:rsidRDefault="00AA22EB" w:rsidP="00560182">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w:t>
            </w:r>
            <w:r w:rsidR="00560182">
              <w:rPr>
                <w:rFonts w:ascii="Arial Narrow" w:hAnsi="Arial Narrow"/>
                <w:b/>
                <w:bCs/>
                <w:color w:val="FFFFFF"/>
                <w:sz w:val="24"/>
                <w:szCs w:val="24"/>
              </w:rPr>
              <w:t>08</w:t>
            </w:r>
            <w:r w:rsidRPr="00C61E20">
              <w:rPr>
                <w:rFonts w:ascii="Arial Narrow" w:hAnsi="Arial Narrow"/>
                <w:b/>
                <w:bCs/>
                <w:color w:val="FFFFFF"/>
                <w:sz w:val="24"/>
                <w:szCs w:val="24"/>
              </w:rPr>
              <w:t>-</w:t>
            </w:r>
            <w:r w:rsidR="00560182">
              <w:rPr>
                <w:rFonts w:ascii="Arial Narrow" w:hAnsi="Arial Narrow"/>
                <w:b/>
                <w:bCs/>
                <w:color w:val="FFFFFF"/>
                <w:sz w:val="24"/>
                <w:szCs w:val="24"/>
              </w:rPr>
              <w:t>09</w:t>
            </w:r>
          </w:p>
        </w:tc>
        <w:tc>
          <w:tcPr>
            <w:tcW w:w="1090" w:type="dxa"/>
            <w:tcBorders>
              <w:bottom w:val="single" w:sz="4" w:space="0" w:color="548DD4" w:themeColor="text2" w:themeTint="99"/>
            </w:tcBorders>
            <w:shd w:val="clear" w:color="auto" w:fill="548DD4" w:themeFill="text2" w:themeFillTint="99"/>
          </w:tcPr>
          <w:p w:rsidR="00AA22EB" w:rsidRPr="00C61E20" w:rsidRDefault="00AA22EB" w:rsidP="00560182">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w:t>
            </w:r>
            <w:r w:rsidR="00560182">
              <w:rPr>
                <w:rFonts w:ascii="Arial Narrow" w:hAnsi="Arial Narrow"/>
                <w:b/>
                <w:bCs/>
                <w:color w:val="FFFFFF"/>
                <w:sz w:val="24"/>
                <w:szCs w:val="24"/>
              </w:rPr>
              <w:t>09</w:t>
            </w:r>
            <w:r w:rsidRPr="00C61E20">
              <w:rPr>
                <w:rFonts w:ascii="Arial Narrow" w:hAnsi="Arial Narrow"/>
                <w:b/>
                <w:bCs/>
                <w:color w:val="FFFFFF"/>
                <w:sz w:val="24"/>
                <w:szCs w:val="24"/>
              </w:rPr>
              <w:t>-</w:t>
            </w:r>
            <w:r w:rsidR="00560182">
              <w:rPr>
                <w:rFonts w:ascii="Arial Narrow" w:hAnsi="Arial Narrow"/>
                <w:b/>
                <w:bCs/>
                <w:color w:val="FFFFFF"/>
                <w:sz w:val="24"/>
                <w:szCs w:val="24"/>
              </w:rPr>
              <w:t>10</w:t>
            </w:r>
          </w:p>
        </w:tc>
        <w:tc>
          <w:tcPr>
            <w:tcW w:w="1090" w:type="dxa"/>
            <w:tcBorders>
              <w:bottom w:val="single" w:sz="4" w:space="0" w:color="548DD4" w:themeColor="text2" w:themeTint="99"/>
            </w:tcBorders>
            <w:shd w:val="clear" w:color="auto" w:fill="548DD4" w:themeFill="text2" w:themeFillTint="99"/>
          </w:tcPr>
          <w:p w:rsidR="00AA22EB" w:rsidRPr="00C61E20" w:rsidRDefault="00560182" w:rsidP="00560182">
            <w:pPr>
              <w:spacing w:before="60" w:after="60" w:line="240" w:lineRule="auto"/>
              <w:jc w:val="right"/>
              <w:rPr>
                <w:rFonts w:ascii="Arial Narrow" w:hAnsi="Arial Narrow"/>
                <w:b/>
                <w:bCs/>
                <w:color w:val="FFFFFF"/>
                <w:sz w:val="24"/>
                <w:szCs w:val="24"/>
              </w:rPr>
            </w:pPr>
            <w:r>
              <w:rPr>
                <w:rFonts w:ascii="Arial Narrow" w:hAnsi="Arial Narrow"/>
                <w:b/>
                <w:bCs/>
                <w:color w:val="FFFFFF"/>
                <w:sz w:val="24"/>
                <w:szCs w:val="24"/>
              </w:rPr>
              <w:t>2010</w:t>
            </w:r>
            <w:r w:rsidR="00AA22EB" w:rsidRPr="00C61E20">
              <w:rPr>
                <w:rFonts w:ascii="Arial Narrow" w:hAnsi="Arial Narrow"/>
                <w:b/>
                <w:bCs/>
                <w:color w:val="FFFFFF"/>
                <w:sz w:val="24"/>
                <w:szCs w:val="24"/>
              </w:rPr>
              <w:t>-1</w:t>
            </w:r>
            <w:r>
              <w:rPr>
                <w:rFonts w:ascii="Arial Narrow" w:hAnsi="Arial Narrow"/>
                <w:b/>
                <w:bCs/>
                <w:color w:val="FFFFFF"/>
                <w:sz w:val="24"/>
                <w:szCs w:val="24"/>
              </w:rPr>
              <w:t>1</w:t>
            </w:r>
          </w:p>
        </w:tc>
      </w:tr>
      <w:tr w:rsidR="006F5EB8"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5654A3" w:rsidRDefault="006F5EB8" w:rsidP="00687C18">
            <w:pPr>
              <w:pStyle w:val="AERbodytext"/>
              <w:spacing w:after="0"/>
              <w:jc w:val="both"/>
              <w:rPr>
                <w:rFonts w:ascii="Arial Narrow" w:hAnsi="Arial Narrow"/>
              </w:rPr>
            </w:pPr>
            <w:r>
              <w:rPr>
                <w:rFonts w:ascii="Arial Narrow" w:hAnsi="Arial Narrow"/>
              </w:rPr>
              <w:t>Opening Capital Base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Pr>
                <w:rFonts w:ascii="Arial Narrow" w:hAnsi="Arial Narrow"/>
              </w:rPr>
              <w:t>230.</w:t>
            </w:r>
            <w:r w:rsidRPr="006F5EB8">
              <w:rPr>
                <w:rFonts w:ascii="Arial Narrow" w:hAnsi="Arial Narrow"/>
              </w:rPr>
              <w:t>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Pr>
                <w:rFonts w:ascii="Arial Narrow" w:hAnsi="Arial Narrow"/>
              </w:rPr>
              <w:t>249.9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269</w:t>
            </w:r>
            <w:r>
              <w:rPr>
                <w:rFonts w:ascii="Arial Narrow" w:hAnsi="Arial Narrow"/>
              </w:rPr>
              <w:t>.4</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283</w:t>
            </w:r>
            <w:r>
              <w:rPr>
                <w:rFonts w:ascii="Arial Narrow" w:hAnsi="Arial Narrow"/>
              </w:rPr>
              <w:t>.8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299</w:t>
            </w:r>
            <w:r>
              <w:rPr>
                <w:rFonts w:ascii="Arial Narrow" w:hAnsi="Arial Narrow"/>
              </w:rPr>
              <w:t>.3</w:t>
            </w:r>
          </w:p>
        </w:tc>
      </w:tr>
      <w:tr w:rsidR="006F5EB8" w:rsidRPr="005654A3" w:rsidTr="005172EC">
        <w:trPr>
          <w:trHeight w:val="222"/>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87C18" w:rsidRDefault="006F5EB8" w:rsidP="00687C18">
            <w:pPr>
              <w:pStyle w:val="AERbodytext"/>
              <w:spacing w:after="0"/>
              <w:jc w:val="both"/>
              <w:rPr>
                <w:rFonts w:ascii="Arial Narrow" w:hAnsi="Arial Narrow"/>
              </w:rPr>
            </w:pPr>
            <w:r>
              <w:rPr>
                <w:rFonts w:ascii="Arial Narrow" w:hAnsi="Arial Narrow"/>
                <w:i/>
              </w:rPr>
              <w:t>Less</w:t>
            </w:r>
            <w:r>
              <w:rPr>
                <w:rFonts w:ascii="Arial Narrow" w:hAnsi="Arial Narrow"/>
              </w:rPr>
              <w:t xml:space="preserve"> Depreciation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5172EC">
            <w:pPr>
              <w:pStyle w:val="AERbodytext"/>
              <w:spacing w:after="0"/>
              <w:jc w:val="right"/>
              <w:rPr>
                <w:rFonts w:ascii="Arial Narrow" w:hAnsi="Arial Narrow"/>
              </w:rPr>
            </w:pPr>
            <w:r w:rsidRPr="006F5EB8">
              <w:rPr>
                <w:rFonts w:ascii="Arial Narrow" w:hAnsi="Arial Narrow"/>
              </w:rPr>
              <w:t>4.9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5172EC">
            <w:pPr>
              <w:jc w:val="right"/>
              <w:rPr>
                <w:rFonts w:ascii="Arial Narrow" w:eastAsia="Times New Roman" w:hAnsi="Arial Narrow"/>
                <w:sz w:val="24"/>
                <w:szCs w:val="24"/>
              </w:rPr>
            </w:pPr>
            <w:r w:rsidRPr="006F5EB8">
              <w:rPr>
                <w:rFonts w:ascii="Arial Narrow" w:eastAsia="Times New Roman" w:hAnsi="Arial Narrow"/>
                <w:sz w:val="24"/>
                <w:szCs w:val="24"/>
              </w:rPr>
              <w:t>5.5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5172EC">
            <w:pPr>
              <w:jc w:val="right"/>
              <w:rPr>
                <w:rFonts w:ascii="Arial Narrow" w:eastAsia="Times New Roman" w:hAnsi="Arial Narrow"/>
                <w:sz w:val="24"/>
                <w:szCs w:val="24"/>
              </w:rPr>
            </w:pPr>
            <w:r w:rsidRPr="006F5EB8">
              <w:rPr>
                <w:rFonts w:ascii="Arial Narrow" w:eastAsia="Times New Roman" w:hAnsi="Arial Narrow"/>
                <w:sz w:val="24"/>
                <w:szCs w:val="24"/>
              </w:rPr>
              <w:t>6.3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5172EC">
            <w:pPr>
              <w:jc w:val="right"/>
              <w:rPr>
                <w:rFonts w:ascii="Arial Narrow" w:eastAsia="Times New Roman" w:hAnsi="Arial Narrow"/>
                <w:sz w:val="24"/>
                <w:szCs w:val="24"/>
              </w:rPr>
            </w:pPr>
            <w:r w:rsidRPr="006F5EB8">
              <w:rPr>
                <w:rFonts w:ascii="Arial Narrow" w:eastAsia="Times New Roman" w:hAnsi="Arial Narrow"/>
                <w:sz w:val="24"/>
                <w:szCs w:val="24"/>
              </w:rPr>
              <w:t>7.1</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5172EC">
            <w:pPr>
              <w:jc w:val="right"/>
              <w:rPr>
                <w:rFonts w:ascii="Arial Narrow" w:eastAsia="Times New Roman" w:hAnsi="Arial Narrow"/>
                <w:sz w:val="24"/>
                <w:szCs w:val="24"/>
              </w:rPr>
            </w:pPr>
            <w:r w:rsidRPr="006F5EB8">
              <w:rPr>
                <w:rFonts w:ascii="Arial Narrow" w:eastAsia="Times New Roman" w:hAnsi="Arial Narrow"/>
                <w:sz w:val="24"/>
                <w:szCs w:val="24"/>
              </w:rPr>
              <w:t>7.7</w:t>
            </w:r>
          </w:p>
        </w:tc>
      </w:tr>
      <w:tr w:rsidR="006F5EB8"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87C18" w:rsidRDefault="006F5EB8" w:rsidP="00687C18">
            <w:pPr>
              <w:pStyle w:val="AERbodytext"/>
              <w:spacing w:after="0"/>
              <w:jc w:val="both"/>
              <w:rPr>
                <w:rFonts w:ascii="Arial Narrow" w:hAnsi="Arial Narrow"/>
              </w:rPr>
            </w:pPr>
            <w:r>
              <w:rPr>
                <w:rFonts w:ascii="Arial Narrow" w:hAnsi="Arial Narrow"/>
                <w:i/>
              </w:rPr>
              <w:t>Plus</w:t>
            </w:r>
            <w:r>
              <w:rPr>
                <w:rFonts w:ascii="Arial Narrow" w:hAnsi="Arial Narrow"/>
              </w:rPr>
              <w:t xml:space="preserve"> Conforming Capital Expenditure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18.4</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14.1</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13.8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14.2</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17.0</w:t>
            </w:r>
          </w:p>
        </w:tc>
      </w:tr>
      <w:tr w:rsidR="006F5EB8" w:rsidRPr="005654A3" w:rsidTr="006F5EB8">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5654A3" w:rsidRDefault="006F5EB8" w:rsidP="006F5EB8">
            <w:pPr>
              <w:pStyle w:val="AERbodytext"/>
              <w:spacing w:after="0"/>
              <w:jc w:val="both"/>
              <w:rPr>
                <w:rFonts w:ascii="Arial Narrow" w:hAnsi="Arial Narrow"/>
              </w:rPr>
            </w:pPr>
            <w:r w:rsidRPr="00560182">
              <w:rPr>
                <w:rFonts w:ascii="Arial Narrow" w:hAnsi="Arial Narrow"/>
                <w:i/>
              </w:rPr>
              <w:t>Plus</w:t>
            </w:r>
            <w:r>
              <w:rPr>
                <w:rFonts w:ascii="Arial Narrow" w:hAnsi="Arial Narrow"/>
              </w:rPr>
              <w:t xml:space="preserve"> Indexation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5.8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10.9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6.8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8.4</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7.8</w:t>
            </w:r>
          </w:p>
        </w:tc>
      </w:tr>
      <w:tr w:rsidR="006F5EB8"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560182" w:rsidRDefault="006F5EB8" w:rsidP="00AA22EB">
            <w:pPr>
              <w:pStyle w:val="AERbodytext"/>
              <w:spacing w:after="0"/>
              <w:jc w:val="both"/>
              <w:rPr>
                <w:rFonts w:ascii="Arial Narrow" w:hAnsi="Arial Narrow"/>
                <w:b/>
              </w:rPr>
            </w:pPr>
            <w:r>
              <w:rPr>
                <w:rFonts w:ascii="Arial Narrow" w:hAnsi="Arial Narrow"/>
                <w:b/>
              </w:rPr>
              <w:t>Closing Value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249.9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A32196">
            <w:pPr>
              <w:pStyle w:val="AERbodytext"/>
              <w:spacing w:after="0"/>
              <w:jc w:val="right"/>
              <w:rPr>
                <w:rFonts w:ascii="Arial Narrow" w:hAnsi="Arial Narrow"/>
              </w:rPr>
            </w:pPr>
            <w:r w:rsidRPr="006F5EB8">
              <w:rPr>
                <w:rFonts w:ascii="Arial Narrow" w:hAnsi="Arial Narrow"/>
              </w:rPr>
              <w:t>26</w:t>
            </w:r>
            <w:r w:rsidR="00A32196">
              <w:rPr>
                <w:rFonts w:ascii="Arial Narrow" w:hAnsi="Arial Narrow"/>
              </w:rPr>
              <w:t>9.4</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283.8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299.3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6F5EB8" w:rsidRPr="006F5EB8" w:rsidRDefault="006F5EB8" w:rsidP="006F5EB8">
            <w:pPr>
              <w:pStyle w:val="AERbodytext"/>
              <w:spacing w:after="0"/>
              <w:jc w:val="right"/>
              <w:rPr>
                <w:rFonts w:ascii="Arial Narrow" w:hAnsi="Arial Narrow"/>
              </w:rPr>
            </w:pPr>
            <w:r w:rsidRPr="006F5EB8">
              <w:rPr>
                <w:rFonts w:ascii="Arial Narrow" w:hAnsi="Arial Narrow"/>
              </w:rPr>
              <w:t>316.4</w:t>
            </w:r>
          </w:p>
        </w:tc>
      </w:tr>
    </w:tbl>
    <w:p w:rsidR="005262CA" w:rsidRDefault="005262CA" w:rsidP="006A21F6">
      <w:pPr>
        <w:spacing w:after="0"/>
        <w:rPr>
          <w:rFonts w:ascii="Arial Narrow" w:eastAsia="Times New Roman" w:hAnsi="Arial Narrow"/>
          <w:sz w:val="24"/>
          <w:szCs w:val="24"/>
        </w:rPr>
      </w:pPr>
    </w:p>
    <w:p w:rsidR="00560182" w:rsidRPr="00B40438" w:rsidRDefault="00BB07F1" w:rsidP="00560182">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 xml:space="preserve">Summary: </w:t>
      </w:r>
      <w:r w:rsidR="00560182">
        <w:rPr>
          <w:rFonts w:ascii="Arial Narrow" w:hAnsi="Arial Narrow"/>
          <w:b/>
        </w:rPr>
        <w:t>Opening Asset Base as at 1 July 2016</w:t>
      </w:r>
    </w:p>
    <w:p w:rsidR="00560182" w:rsidRDefault="00560182" w:rsidP="00560182">
      <w:pPr>
        <w:spacing w:after="0"/>
        <w:rPr>
          <w:rFonts w:ascii="Arial Narrow" w:eastAsia="Times New Roman" w:hAnsi="Arial Narrow"/>
          <w:sz w:val="24"/>
          <w:szCs w:val="24"/>
        </w:rPr>
      </w:pPr>
    </w:p>
    <w:p w:rsidR="00560182" w:rsidRPr="00523BC9" w:rsidRDefault="00560182" w:rsidP="00560182">
      <w:pPr>
        <w:spacing w:after="0"/>
        <w:rPr>
          <w:rFonts w:ascii="Arial Narrow" w:eastAsia="Times New Roman" w:hAnsi="Arial Narrow"/>
          <w:sz w:val="24"/>
          <w:szCs w:val="24"/>
        </w:rPr>
      </w:pPr>
      <w:r>
        <w:rPr>
          <w:rFonts w:ascii="Arial Narrow" w:eastAsia="Times New Roman" w:hAnsi="Arial Narrow"/>
          <w:sz w:val="24"/>
          <w:szCs w:val="24"/>
        </w:rPr>
        <w:t xml:space="preserve">The table below details the opening asset base as at 1 July 2016.  </w:t>
      </w:r>
    </w:p>
    <w:p w:rsidR="00560182" w:rsidRDefault="00560182" w:rsidP="00560182">
      <w:pPr>
        <w:spacing w:after="0"/>
        <w:rPr>
          <w:rFonts w:ascii="Arial Narrow" w:eastAsia="Times New Roman" w:hAnsi="Arial Narrow"/>
          <w:sz w:val="24"/>
          <w:szCs w:val="24"/>
        </w:rPr>
      </w:pPr>
    </w:p>
    <w:p w:rsidR="00560182" w:rsidRPr="00162B8D" w:rsidRDefault="00560182" w:rsidP="00560182">
      <w:pPr>
        <w:pStyle w:val="AERbodytext"/>
        <w:spacing w:after="0"/>
        <w:jc w:val="center"/>
        <w:rPr>
          <w:rFonts w:ascii="Arial Narrow" w:hAnsi="Arial Narrow"/>
        </w:rPr>
      </w:pPr>
      <w:r>
        <w:rPr>
          <w:rFonts w:ascii="Arial Narrow" w:hAnsi="Arial Narrow"/>
        </w:rPr>
        <w:t>Table 8.2 Roll Forward of the Capital Base 2011-12 to 2015-16</w:t>
      </w:r>
    </w:p>
    <w:tbl>
      <w:tblPr>
        <w:tblStyle w:val="TableGrid"/>
        <w:tblW w:w="8895" w:type="dxa"/>
        <w:jc w:val="right"/>
        <w:tblLayout w:type="fixed"/>
        <w:tblLook w:val="04A0"/>
      </w:tblPr>
      <w:tblGrid>
        <w:gridCol w:w="3445"/>
        <w:gridCol w:w="1090"/>
        <w:gridCol w:w="1090"/>
        <w:gridCol w:w="1090"/>
        <w:gridCol w:w="1090"/>
        <w:gridCol w:w="1090"/>
      </w:tblGrid>
      <w:tr w:rsidR="00560182" w:rsidRPr="005654A3" w:rsidTr="00EA266C">
        <w:trPr>
          <w:trHeight w:val="416"/>
          <w:jc w:val="right"/>
        </w:trPr>
        <w:tc>
          <w:tcPr>
            <w:tcW w:w="3445" w:type="dxa"/>
            <w:tcBorders>
              <w:bottom w:val="single" w:sz="4" w:space="0" w:color="548DD4" w:themeColor="text2" w:themeTint="99"/>
            </w:tcBorders>
            <w:shd w:val="clear" w:color="auto" w:fill="548DD4" w:themeFill="text2" w:themeFillTint="99"/>
          </w:tcPr>
          <w:p w:rsidR="00560182" w:rsidRPr="005654A3" w:rsidRDefault="00560182" w:rsidP="00491474">
            <w:pPr>
              <w:spacing w:before="60" w:after="60" w:line="240" w:lineRule="auto"/>
              <w:rPr>
                <w:rFonts w:ascii="Arial Narrow" w:hAnsi="Arial Narrow"/>
              </w:rPr>
            </w:pPr>
            <w:r w:rsidRPr="00AA22EB">
              <w:rPr>
                <w:rFonts w:ascii="Arial Narrow" w:hAnsi="Arial Narrow"/>
                <w:b/>
                <w:bCs/>
                <w:color w:val="FFFFFF"/>
                <w:sz w:val="24"/>
                <w:szCs w:val="24"/>
              </w:rPr>
              <w:t>$m Nominal</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2011-12</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2012-13</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2013-14</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2014-15</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2015-16</w:t>
            </w:r>
          </w:p>
        </w:tc>
      </w:tr>
      <w:tr w:rsidR="00A32196"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654A3" w:rsidRDefault="00A32196" w:rsidP="00491474">
            <w:pPr>
              <w:pStyle w:val="AERbodytext"/>
              <w:spacing w:after="0"/>
              <w:jc w:val="both"/>
              <w:rPr>
                <w:rFonts w:ascii="Arial Narrow" w:hAnsi="Arial Narrow"/>
              </w:rPr>
            </w:pPr>
            <w:r>
              <w:rPr>
                <w:rFonts w:ascii="Arial Narrow" w:hAnsi="Arial Narrow"/>
              </w:rPr>
              <w:t>Opening Capital Base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316.4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347.0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382.</w:t>
            </w:r>
            <w:r>
              <w:rPr>
                <w:rFonts w:ascii="Arial Narrow" w:hAnsi="Arial Narrow"/>
              </w:rPr>
              <w:t>1</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411.</w:t>
            </w:r>
            <w:r>
              <w:rPr>
                <w:rFonts w:ascii="Arial Narrow" w:hAnsi="Arial Narrow"/>
              </w:rPr>
              <w:t>2</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441.</w:t>
            </w:r>
            <w:r>
              <w:rPr>
                <w:rFonts w:ascii="Arial Narrow" w:hAnsi="Arial Narrow"/>
              </w:rPr>
              <w:t>0</w:t>
            </w:r>
            <w:r w:rsidRPr="005172EC">
              <w:rPr>
                <w:rFonts w:ascii="Arial Narrow" w:hAnsi="Arial Narrow"/>
              </w:rPr>
              <w:t xml:space="preserve"> </w:t>
            </w:r>
          </w:p>
        </w:tc>
      </w:tr>
      <w:tr w:rsidR="00A32196"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687C18" w:rsidRDefault="00A32196" w:rsidP="00491474">
            <w:pPr>
              <w:pStyle w:val="AERbodytext"/>
              <w:spacing w:after="0"/>
              <w:jc w:val="both"/>
              <w:rPr>
                <w:rFonts w:ascii="Arial Narrow" w:hAnsi="Arial Narrow"/>
              </w:rPr>
            </w:pPr>
            <w:r>
              <w:rPr>
                <w:rFonts w:ascii="Arial Narrow" w:hAnsi="Arial Narrow"/>
                <w:i/>
              </w:rPr>
              <w:t>Less</w:t>
            </w:r>
            <w:r>
              <w:rPr>
                <w:rFonts w:ascii="Arial Narrow" w:hAnsi="Arial Narrow"/>
              </w:rPr>
              <w:t xml:space="preserve"> Depreciation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10.8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12.2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13.4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Pr>
                <w:rFonts w:ascii="Arial Narrow" w:hAnsi="Arial Narrow"/>
              </w:rPr>
              <w:t>13.9</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15.1 </w:t>
            </w:r>
          </w:p>
        </w:tc>
      </w:tr>
      <w:tr w:rsidR="00A32196"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687C18" w:rsidRDefault="00A32196" w:rsidP="00491474">
            <w:pPr>
              <w:pStyle w:val="AERbodytext"/>
              <w:spacing w:after="0"/>
              <w:jc w:val="both"/>
              <w:rPr>
                <w:rFonts w:ascii="Arial Narrow" w:hAnsi="Arial Narrow"/>
              </w:rPr>
            </w:pPr>
            <w:r>
              <w:rPr>
                <w:rFonts w:ascii="Arial Narrow" w:hAnsi="Arial Narrow"/>
                <w:i/>
              </w:rPr>
              <w:t>Plus</w:t>
            </w:r>
            <w:r>
              <w:rPr>
                <w:rFonts w:ascii="Arial Narrow" w:hAnsi="Arial Narrow"/>
              </w:rPr>
              <w:t xml:space="preserve"> Conforming Capital Expenditure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33.4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38.6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32.9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Pr>
                <w:rFonts w:ascii="Arial Narrow" w:hAnsi="Arial Narrow"/>
              </w:rPr>
              <w:t xml:space="preserve"> 33.4</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Pr>
                <w:rFonts w:ascii="Arial Narrow" w:hAnsi="Arial Narrow"/>
              </w:rPr>
              <w:t xml:space="preserve"> 36.7</w:t>
            </w:r>
            <w:r w:rsidRPr="005172EC">
              <w:rPr>
                <w:rFonts w:ascii="Arial Narrow" w:hAnsi="Arial Narrow"/>
              </w:rPr>
              <w:t xml:space="preserve"> </w:t>
            </w:r>
          </w:p>
        </w:tc>
      </w:tr>
      <w:tr w:rsidR="00A32196"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654A3" w:rsidRDefault="00A32196" w:rsidP="00491474">
            <w:pPr>
              <w:pStyle w:val="AERbodytext"/>
              <w:spacing w:after="0"/>
              <w:jc w:val="both"/>
              <w:rPr>
                <w:rFonts w:ascii="Arial Narrow" w:hAnsi="Arial Narrow"/>
              </w:rPr>
            </w:pPr>
            <w:r w:rsidRPr="00560182">
              <w:rPr>
                <w:rFonts w:ascii="Arial Narrow" w:hAnsi="Arial Narrow"/>
                <w:i/>
              </w:rPr>
              <w:t>Plus</w:t>
            </w:r>
            <w:r>
              <w:rPr>
                <w:rFonts w:ascii="Arial Narrow" w:hAnsi="Arial Narrow"/>
              </w:rPr>
              <w:t xml:space="preserve"> Indexation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8.0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8.7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9.6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10.4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11.1 </w:t>
            </w:r>
          </w:p>
        </w:tc>
      </w:tr>
      <w:tr w:rsidR="00A32196"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60182" w:rsidRDefault="00A32196" w:rsidP="00491474">
            <w:pPr>
              <w:pStyle w:val="AERbodytext"/>
              <w:spacing w:after="0"/>
              <w:jc w:val="both"/>
              <w:rPr>
                <w:rFonts w:ascii="Arial Narrow" w:hAnsi="Arial Narrow"/>
                <w:b/>
              </w:rPr>
            </w:pPr>
            <w:r>
              <w:rPr>
                <w:rFonts w:ascii="Arial Narrow" w:hAnsi="Arial Narrow"/>
                <w:b/>
              </w:rPr>
              <w:t>Closing Value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347.0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sidRPr="005172EC">
              <w:rPr>
                <w:rFonts w:ascii="Arial Narrow" w:hAnsi="Arial Narrow"/>
              </w:rPr>
              <w:t xml:space="preserve"> 382.</w:t>
            </w:r>
            <w:r>
              <w:rPr>
                <w:rFonts w:ascii="Arial Narrow" w:hAnsi="Arial Narrow"/>
              </w:rPr>
              <w:t>1</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Pr>
                <w:rFonts w:ascii="Arial Narrow" w:hAnsi="Arial Narrow"/>
              </w:rPr>
              <w:t xml:space="preserve"> 411.2</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Pr>
                <w:rFonts w:ascii="Arial Narrow" w:hAnsi="Arial Narrow"/>
              </w:rPr>
              <w:t xml:space="preserve"> 441.0</w:t>
            </w:r>
            <w:r w:rsidRPr="005172EC">
              <w:rPr>
                <w:rFonts w:ascii="Arial Narrow" w:hAnsi="Arial Narrow"/>
              </w:rPr>
              <w:t xml:space="preserve"> </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32196" w:rsidRPr="005172EC" w:rsidRDefault="00A32196" w:rsidP="00EF5E19">
            <w:pPr>
              <w:pStyle w:val="AERbodytext"/>
              <w:spacing w:after="0"/>
              <w:jc w:val="right"/>
              <w:rPr>
                <w:rFonts w:ascii="Arial Narrow" w:hAnsi="Arial Narrow"/>
              </w:rPr>
            </w:pPr>
            <w:r>
              <w:rPr>
                <w:rFonts w:ascii="Arial Narrow" w:hAnsi="Arial Narrow"/>
              </w:rPr>
              <w:t xml:space="preserve"> 473.7</w:t>
            </w:r>
            <w:r w:rsidRPr="005172EC">
              <w:rPr>
                <w:rFonts w:ascii="Arial Narrow" w:hAnsi="Arial Narrow"/>
              </w:rPr>
              <w:t xml:space="preserve"> </w:t>
            </w:r>
          </w:p>
        </w:tc>
      </w:tr>
    </w:tbl>
    <w:p w:rsidR="00560182" w:rsidRDefault="00560182" w:rsidP="00560182">
      <w:pPr>
        <w:spacing w:after="0"/>
        <w:rPr>
          <w:rFonts w:ascii="Arial Narrow" w:eastAsia="Times New Roman" w:hAnsi="Arial Narrow"/>
          <w:sz w:val="24"/>
          <w:szCs w:val="24"/>
        </w:rPr>
      </w:pPr>
    </w:p>
    <w:sectPr w:rsidR="00560182" w:rsidSect="00E97D0F">
      <w:footerReference w:type="default" r:id="rId8"/>
      <w:pgSz w:w="11906" w:h="16838"/>
      <w:pgMar w:top="1134"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23" w:rsidRDefault="00446823" w:rsidP="007C1649">
      <w:pPr>
        <w:spacing w:after="0" w:line="240" w:lineRule="auto"/>
      </w:pPr>
      <w:r>
        <w:separator/>
      </w:r>
    </w:p>
  </w:endnote>
  <w:endnote w:type="continuationSeparator" w:id="0">
    <w:p w:rsidR="00446823" w:rsidRDefault="00446823" w:rsidP="007C1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B8" w:rsidRPr="007C1649" w:rsidRDefault="006F5EB8" w:rsidP="007C1649">
    <w:pPr>
      <w:pStyle w:val="Footer"/>
      <w:spacing w:after="0" w:line="240" w:lineRule="auto"/>
      <w:rPr>
        <w:rFonts w:ascii="Arial Narrow" w:hAnsi="Arial Narrow"/>
        <w:sz w:val="20"/>
        <w:szCs w:val="20"/>
      </w:rPr>
    </w:pPr>
    <w:r w:rsidRPr="007C1649">
      <w:rPr>
        <w:rFonts w:ascii="Arial Narrow" w:hAnsi="Arial Narrow"/>
        <w:sz w:val="20"/>
        <w:szCs w:val="20"/>
      </w:rPr>
      <w:t>SA Access Arrangement Information</w:t>
    </w:r>
    <w:r>
      <w:rPr>
        <w:rFonts w:ascii="Arial Narrow" w:hAnsi="Arial Narrow"/>
        <w:sz w:val="20"/>
        <w:szCs w:val="20"/>
      </w:rPr>
      <w:t xml:space="preserve"> – March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23" w:rsidRDefault="00446823" w:rsidP="007C1649">
      <w:pPr>
        <w:spacing w:after="0" w:line="240" w:lineRule="auto"/>
      </w:pPr>
      <w:r>
        <w:separator/>
      </w:r>
    </w:p>
  </w:footnote>
  <w:footnote w:type="continuationSeparator" w:id="0">
    <w:p w:rsidR="00446823" w:rsidRDefault="00446823" w:rsidP="007C16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2A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651DE2"/>
    <w:multiLevelType w:val="hybridMultilevel"/>
    <w:tmpl w:val="1F70749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0A40A67"/>
    <w:multiLevelType w:val="hybridMultilevel"/>
    <w:tmpl w:val="8A52D0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1691770"/>
    <w:multiLevelType w:val="hybridMultilevel"/>
    <w:tmpl w:val="B0A89CA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17681AF1"/>
    <w:multiLevelType w:val="hybridMultilevel"/>
    <w:tmpl w:val="ABB6E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5260B"/>
    <w:multiLevelType w:val="hybridMultilevel"/>
    <w:tmpl w:val="549EBB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D158EA"/>
    <w:multiLevelType w:val="hybridMultilevel"/>
    <w:tmpl w:val="8078E5D0"/>
    <w:lvl w:ilvl="0" w:tplc="F800E36C">
      <w:start w:val="2"/>
      <w:numFmt w:val="decimal"/>
      <w:lvlText w:val="1.1%1"/>
      <w:lvlJc w:val="left"/>
      <w:pPr>
        <w:ind w:left="1575" w:hanging="360"/>
      </w:pPr>
      <w:rPr>
        <w:rFonts w:ascii="Arial Narrow" w:hAnsi="Arial Narrow"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7">
    <w:nsid w:val="1A502FF2"/>
    <w:multiLevelType w:val="hybridMultilevel"/>
    <w:tmpl w:val="5BD80B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0D6745"/>
    <w:multiLevelType w:val="singleLevel"/>
    <w:tmpl w:val="3C669C7E"/>
    <w:lvl w:ilvl="0">
      <w:start w:val="1"/>
      <w:numFmt w:val="lowerLetter"/>
      <w:lvlText w:val="(%1)"/>
      <w:lvlJc w:val="left"/>
      <w:pPr>
        <w:tabs>
          <w:tab w:val="num" w:pos="795"/>
        </w:tabs>
        <w:ind w:left="795" w:hanging="795"/>
      </w:pPr>
      <w:rPr>
        <w:rFonts w:hint="default"/>
      </w:rPr>
    </w:lvl>
  </w:abstractNum>
  <w:abstractNum w:abstractNumId="9">
    <w:nsid w:val="1EDA5465"/>
    <w:multiLevelType w:val="hybridMultilevel"/>
    <w:tmpl w:val="0292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8A212A"/>
    <w:multiLevelType w:val="hybridMultilevel"/>
    <w:tmpl w:val="F56E420C"/>
    <w:lvl w:ilvl="0" w:tplc="0C090019">
      <w:start w:val="1"/>
      <w:numFmt w:val="lowerLetter"/>
      <w:lvlText w:val="%1."/>
      <w:lvlJc w:val="left"/>
      <w:pPr>
        <w:ind w:left="1296" w:hanging="360"/>
      </w:p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11">
    <w:nsid w:val="244D5C72"/>
    <w:multiLevelType w:val="hybridMultilevel"/>
    <w:tmpl w:val="8A0EA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4725F21"/>
    <w:multiLevelType w:val="multilevel"/>
    <w:tmpl w:val="71DA3B5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5B542C2"/>
    <w:multiLevelType w:val="hybridMultilevel"/>
    <w:tmpl w:val="B3FE9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nsid w:val="2C57382C"/>
    <w:multiLevelType w:val="multilevel"/>
    <w:tmpl w:val="941C805E"/>
    <w:lvl w:ilvl="0">
      <w:start w:val="1"/>
      <w:numFmt w:val="none"/>
      <w:pStyle w:val="AERheading1"/>
      <w:lvlText w:val=""/>
      <w:lvlJc w:val="left"/>
      <w:pPr>
        <w:tabs>
          <w:tab w:val="num" w:pos="720"/>
        </w:tabs>
        <w:ind w:left="720" w:hanging="720"/>
      </w:pPr>
      <w:rPr>
        <w:rFonts w:hint="default"/>
      </w:rPr>
    </w:lvl>
    <w:lvl w:ilvl="1">
      <w:start w:val="1"/>
      <w:numFmt w:val="decimal"/>
      <w:pStyle w:val="AERheading2"/>
      <w:lvlText w:val="%11.%2"/>
      <w:lvlJc w:val="left"/>
      <w:pPr>
        <w:tabs>
          <w:tab w:val="num" w:pos="720"/>
        </w:tabs>
        <w:ind w:left="720" w:hanging="720"/>
      </w:pPr>
      <w:rPr>
        <w:rFonts w:hint="default"/>
      </w:rPr>
    </w:lvl>
    <w:lvl w:ilvl="2">
      <w:start w:val="1"/>
      <w:numFmt w:val="decimal"/>
      <w:pStyle w:val="AERheading3"/>
      <w:lvlText w:val="%11.%2.%3"/>
      <w:lvlJc w:val="left"/>
      <w:pPr>
        <w:tabs>
          <w:tab w:val="num" w:pos="720"/>
        </w:tabs>
        <w:ind w:left="720" w:hanging="720"/>
      </w:pPr>
      <w:rPr>
        <w:rFonts w:hint="default"/>
        <w:strike w:val="0"/>
      </w:rPr>
    </w:lvl>
    <w:lvl w:ilvl="3">
      <w:start w:val="1"/>
      <w:numFmt w:val="decimal"/>
      <w:pStyle w:val="AERheading4"/>
      <w:lvlText w:val="%11.%2.%3.%4"/>
      <w:lvlJc w:val="left"/>
      <w:pPr>
        <w:tabs>
          <w:tab w:val="num" w:pos="1800"/>
        </w:tabs>
        <w:ind w:left="1440" w:hanging="720"/>
      </w:pPr>
      <w:rPr>
        <w:rFonts w:hint="default"/>
      </w:rPr>
    </w:lvl>
    <w:lvl w:ilvl="4">
      <w:start w:val="1"/>
      <w:numFmt w:val="decimal"/>
      <w:lvlText w:val="%11.%2.%3.%4.%5"/>
      <w:lvlJc w:val="left"/>
      <w:pPr>
        <w:tabs>
          <w:tab w:val="num" w:pos="1440"/>
        </w:tabs>
        <w:ind w:left="1080" w:hanging="1080"/>
      </w:pPr>
      <w:rPr>
        <w:rFonts w:hint="default"/>
      </w:rPr>
    </w:lvl>
    <w:lvl w:ilvl="5">
      <w:start w:val="1"/>
      <w:numFmt w:val="decimal"/>
      <w:isLgl/>
      <w:lvlText w:val="%11.%2.%3.%4.%5.%6"/>
      <w:lvlJc w:val="left"/>
      <w:pPr>
        <w:tabs>
          <w:tab w:val="num" w:pos="1080"/>
        </w:tabs>
        <w:ind w:left="1080" w:hanging="1080"/>
      </w:pPr>
      <w:rPr>
        <w:rFonts w:hint="default"/>
      </w:rPr>
    </w:lvl>
    <w:lvl w:ilvl="6">
      <w:start w:val="1"/>
      <w:numFmt w:val="decimal"/>
      <w:isLgl/>
      <w:lvlText w:val="%1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2C591485"/>
    <w:multiLevelType w:val="hybridMultilevel"/>
    <w:tmpl w:val="E70C75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2C9C2653"/>
    <w:multiLevelType w:val="multilevel"/>
    <w:tmpl w:val="F6A80F5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F1F067A"/>
    <w:multiLevelType w:val="hybridMultilevel"/>
    <w:tmpl w:val="2FC020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D687090"/>
    <w:multiLevelType w:val="hybridMultilevel"/>
    <w:tmpl w:val="778476E4"/>
    <w:lvl w:ilvl="0" w:tplc="9E3AA0E0">
      <w:start w:val="1"/>
      <w:numFmt w:val="lowerLetter"/>
      <w:lvlText w:val="(%1)"/>
      <w:lvlJc w:val="left"/>
      <w:pPr>
        <w:tabs>
          <w:tab w:val="num" w:pos="2340"/>
        </w:tabs>
        <w:ind w:left="2340" w:hanging="360"/>
      </w:pPr>
      <w:rPr>
        <w:rFonts w:hint="default"/>
        <w:i w:val="0"/>
      </w:rPr>
    </w:lvl>
    <w:lvl w:ilvl="1" w:tplc="0C090019">
      <w:start w:val="1"/>
      <w:numFmt w:val="lowerLetter"/>
      <w:lvlText w:val="%2."/>
      <w:lvlJc w:val="left"/>
      <w:pPr>
        <w:tabs>
          <w:tab w:val="num" w:pos="3060"/>
        </w:tabs>
        <w:ind w:left="3060" w:hanging="360"/>
      </w:pPr>
    </w:lvl>
    <w:lvl w:ilvl="2" w:tplc="0C09001B">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19">
    <w:nsid w:val="40397963"/>
    <w:multiLevelType w:val="hybridMultilevel"/>
    <w:tmpl w:val="1D3AB5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87D29F2"/>
    <w:multiLevelType w:val="hybridMultilevel"/>
    <w:tmpl w:val="A2C6F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8529C1"/>
    <w:multiLevelType w:val="hybridMultilevel"/>
    <w:tmpl w:val="25FE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385B97"/>
    <w:multiLevelType w:val="hybridMultilevel"/>
    <w:tmpl w:val="EA66FC56"/>
    <w:lvl w:ilvl="0" w:tplc="0C090001">
      <w:start w:val="1"/>
      <w:numFmt w:val="bullet"/>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3">
    <w:nsid w:val="54BE3B1D"/>
    <w:multiLevelType w:val="hybridMultilevel"/>
    <w:tmpl w:val="084EE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5B00486"/>
    <w:multiLevelType w:val="hybridMultilevel"/>
    <w:tmpl w:val="9880D0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7FC2C8F"/>
    <w:multiLevelType w:val="hybridMultilevel"/>
    <w:tmpl w:val="0756F116"/>
    <w:lvl w:ilvl="0" w:tplc="055A9E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6A75814"/>
    <w:multiLevelType w:val="multilevel"/>
    <w:tmpl w:val="3A149E7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C0465E"/>
    <w:multiLevelType w:val="hybridMultilevel"/>
    <w:tmpl w:val="BDF4D2E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8">
    <w:nsid w:val="6C6E02A6"/>
    <w:multiLevelType w:val="hybridMultilevel"/>
    <w:tmpl w:val="86A03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775C60DC"/>
    <w:multiLevelType w:val="hybridMultilevel"/>
    <w:tmpl w:val="EC8A2EDE"/>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0">
    <w:nsid w:val="795B75E7"/>
    <w:multiLevelType w:val="multilevel"/>
    <w:tmpl w:val="8DF21B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Narrow" w:hAnsi="Arial Narrow"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B2C2787"/>
    <w:multiLevelType w:val="hybridMultilevel"/>
    <w:tmpl w:val="36966A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4"/>
  </w:num>
  <w:num w:numId="2">
    <w:abstractNumId w:val="18"/>
  </w:num>
  <w:num w:numId="3">
    <w:abstractNumId w:val="14"/>
    <w:lvlOverride w:ilvl="0">
      <w:lvl w:ilvl="0">
        <w:start w:val="1"/>
        <w:numFmt w:val="none"/>
        <w:pStyle w:val="AERheading1"/>
        <w:lvlText w:val=""/>
        <w:lvlJc w:val="left"/>
        <w:pPr>
          <w:tabs>
            <w:tab w:val="num" w:pos="720"/>
          </w:tabs>
          <w:ind w:left="720" w:hanging="720"/>
        </w:pPr>
        <w:rPr>
          <w:rFonts w:hint="default"/>
        </w:rPr>
      </w:lvl>
    </w:lvlOverride>
    <w:lvlOverride w:ilvl="1">
      <w:lvl w:ilvl="1">
        <w:start w:val="1"/>
        <w:numFmt w:val="decimal"/>
        <w:pStyle w:val="AERheading2"/>
        <w:lvlText w:val="%12.%2"/>
        <w:lvlJc w:val="left"/>
        <w:pPr>
          <w:tabs>
            <w:tab w:val="num" w:pos="720"/>
          </w:tabs>
          <w:ind w:left="720" w:hanging="720"/>
        </w:pPr>
        <w:rPr>
          <w:rFonts w:hint="default"/>
        </w:rPr>
      </w:lvl>
    </w:lvlOverride>
    <w:lvlOverride w:ilvl="2">
      <w:lvl w:ilvl="2">
        <w:start w:val="1"/>
        <w:numFmt w:val="decimal"/>
        <w:pStyle w:val="AERheading3"/>
        <w:lvlText w:val="%12.%2.%3"/>
        <w:lvlJc w:val="left"/>
        <w:pPr>
          <w:tabs>
            <w:tab w:val="num" w:pos="720"/>
          </w:tabs>
          <w:ind w:left="720" w:hanging="720"/>
        </w:pPr>
        <w:rPr>
          <w:rFonts w:hint="default"/>
          <w:strike w:val="0"/>
        </w:rPr>
      </w:lvl>
    </w:lvlOverride>
    <w:lvlOverride w:ilvl="3">
      <w:lvl w:ilvl="3">
        <w:start w:val="1"/>
        <w:numFmt w:val="decimal"/>
        <w:pStyle w:val="AERheading4"/>
        <w:lvlText w:val="%12.%2.%3.%4"/>
        <w:lvlJc w:val="left"/>
        <w:pPr>
          <w:tabs>
            <w:tab w:val="num" w:pos="1800"/>
          </w:tabs>
          <w:ind w:left="1440" w:hanging="720"/>
        </w:pPr>
        <w:rPr>
          <w:rFonts w:hint="default"/>
        </w:rPr>
      </w:lvl>
    </w:lvlOverride>
    <w:lvlOverride w:ilvl="4">
      <w:lvl w:ilvl="4">
        <w:start w:val="1"/>
        <w:numFmt w:val="decimal"/>
        <w:lvlText w:val="%12.%2.%3.%4.%5"/>
        <w:lvlJc w:val="left"/>
        <w:pPr>
          <w:tabs>
            <w:tab w:val="num" w:pos="1440"/>
          </w:tabs>
          <w:ind w:left="1080" w:hanging="1080"/>
        </w:pPr>
        <w:rPr>
          <w:rFonts w:hint="default"/>
        </w:rPr>
      </w:lvl>
    </w:lvlOverride>
    <w:lvlOverride w:ilvl="5">
      <w:lvl w:ilvl="5">
        <w:start w:val="1"/>
        <w:numFmt w:val="decimal"/>
        <w:isLgl/>
        <w:lvlText w:val="%12.%2.%3.%4.%5.%6"/>
        <w:lvlJc w:val="left"/>
        <w:pPr>
          <w:tabs>
            <w:tab w:val="num" w:pos="1080"/>
          </w:tabs>
          <w:ind w:left="1080" w:hanging="1080"/>
        </w:pPr>
        <w:rPr>
          <w:rFonts w:hint="default"/>
        </w:rPr>
      </w:lvl>
    </w:lvlOverride>
    <w:lvlOverride w:ilvl="6">
      <w:lvl w:ilvl="6">
        <w:start w:val="1"/>
        <w:numFmt w:val="decimal"/>
        <w:isLgl/>
        <w:lvlText w:val="%12.%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440"/>
          </w:tabs>
          <w:ind w:left="1440" w:hanging="1440"/>
        </w:pPr>
        <w:rPr>
          <w:rFonts w:hint="default"/>
        </w:rPr>
      </w:lvl>
    </w:lvlOverride>
  </w:num>
  <w:num w:numId="4">
    <w:abstractNumId w:val="4"/>
  </w:num>
  <w:num w:numId="5">
    <w:abstractNumId w:val="20"/>
  </w:num>
  <w:num w:numId="6">
    <w:abstractNumId w:val="5"/>
  </w:num>
  <w:num w:numId="7">
    <w:abstractNumId w:val="19"/>
  </w:num>
  <w:num w:numId="8">
    <w:abstractNumId w:val="30"/>
  </w:num>
  <w:num w:numId="9">
    <w:abstractNumId w:val="0"/>
  </w:num>
  <w:num w:numId="10">
    <w:abstractNumId w:val="6"/>
  </w:num>
  <w:num w:numId="11">
    <w:abstractNumId w:val="16"/>
  </w:num>
  <w:num w:numId="12">
    <w:abstractNumId w:val="16"/>
  </w:num>
  <w:num w:numId="13">
    <w:abstractNumId w:val="8"/>
  </w:num>
  <w:num w:numId="14">
    <w:abstractNumId w:val="16"/>
  </w:num>
  <w:num w:numId="15">
    <w:abstractNumId w:val="16"/>
  </w:num>
  <w:num w:numId="16">
    <w:abstractNumId w:val="16"/>
  </w:num>
  <w:num w:numId="17">
    <w:abstractNumId w:val="16"/>
  </w:num>
  <w:num w:numId="18">
    <w:abstractNumId w:val="16"/>
  </w:num>
  <w:num w:numId="19">
    <w:abstractNumId w:val="7"/>
  </w:num>
  <w:num w:numId="20">
    <w:abstractNumId w:val="25"/>
  </w:num>
  <w:num w:numId="21">
    <w:abstractNumId w:val="13"/>
  </w:num>
  <w:num w:numId="22">
    <w:abstractNumId w:val="28"/>
  </w:num>
  <w:num w:numId="23">
    <w:abstractNumId w:val="22"/>
  </w:num>
  <w:num w:numId="24">
    <w:abstractNumId w:val="2"/>
  </w:num>
  <w:num w:numId="25">
    <w:abstractNumId w:val="29"/>
  </w:num>
  <w:num w:numId="26">
    <w:abstractNumId w:val="24"/>
  </w:num>
  <w:num w:numId="27">
    <w:abstractNumId w:val="31"/>
  </w:num>
  <w:num w:numId="28">
    <w:abstractNumId w:val="17"/>
  </w:num>
  <w:num w:numId="29">
    <w:abstractNumId w:val="16"/>
  </w:num>
  <w:num w:numId="30">
    <w:abstractNumId w:val="1"/>
  </w:num>
  <w:num w:numId="31">
    <w:abstractNumId w:val="15"/>
  </w:num>
  <w:num w:numId="32">
    <w:abstractNumId w:val="16"/>
  </w:num>
  <w:num w:numId="33">
    <w:abstractNumId w:val="3"/>
  </w:num>
  <w:num w:numId="34">
    <w:abstractNumId w:val="27"/>
  </w:num>
  <w:num w:numId="35">
    <w:abstractNumId w:val="10"/>
  </w:num>
  <w:num w:numId="36">
    <w:abstractNumId w:val="16"/>
  </w:num>
  <w:num w:numId="37">
    <w:abstractNumId w:val="11"/>
  </w:num>
  <w:num w:numId="38">
    <w:abstractNumId w:val="12"/>
  </w:num>
  <w:num w:numId="39">
    <w:abstractNumId w:val="23"/>
  </w:num>
  <w:num w:numId="40">
    <w:abstractNumId w:val="26"/>
  </w:num>
  <w:num w:numId="41">
    <w:abstractNumId w:val="9"/>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F4231C"/>
    <w:rsid w:val="00007129"/>
    <w:rsid w:val="00007AC4"/>
    <w:rsid w:val="0001351F"/>
    <w:rsid w:val="00015F08"/>
    <w:rsid w:val="00017456"/>
    <w:rsid w:val="00033920"/>
    <w:rsid w:val="000357D1"/>
    <w:rsid w:val="000370EB"/>
    <w:rsid w:val="00044D3C"/>
    <w:rsid w:val="0005481B"/>
    <w:rsid w:val="00054B05"/>
    <w:rsid w:val="000555E3"/>
    <w:rsid w:val="00061430"/>
    <w:rsid w:val="00071EC7"/>
    <w:rsid w:val="000963AC"/>
    <w:rsid w:val="000976AB"/>
    <w:rsid w:val="000A34A2"/>
    <w:rsid w:val="000A3EA6"/>
    <w:rsid w:val="000F2E59"/>
    <w:rsid w:val="000F7AD0"/>
    <w:rsid w:val="00110BBC"/>
    <w:rsid w:val="00114776"/>
    <w:rsid w:val="00127DA4"/>
    <w:rsid w:val="00130E6C"/>
    <w:rsid w:val="001352B4"/>
    <w:rsid w:val="001374B6"/>
    <w:rsid w:val="001446A0"/>
    <w:rsid w:val="00150C6A"/>
    <w:rsid w:val="00155C03"/>
    <w:rsid w:val="00162B8D"/>
    <w:rsid w:val="001729E9"/>
    <w:rsid w:val="001804E1"/>
    <w:rsid w:val="001837ED"/>
    <w:rsid w:val="00184533"/>
    <w:rsid w:val="00184B4C"/>
    <w:rsid w:val="001960F3"/>
    <w:rsid w:val="001A553B"/>
    <w:rsid w:val="001B0A11"/>
    <w:rsid w:val="001B6EB3"/>
    <w:rsid w:val="001C22D0"/>
    <w:rsid w:val="001C42E7"/>
    <w:rsid w:val="001C7E50"/>
    <w:rsid w:val="001E0CE3"/>
    <w:rsid w:val="001E7ABA"/>
    <w:rsid w:val="0020710F"/>
    <w:rsid w:val="002104EE"/>
    <w:rsid w:val="002122D0"/>
    <w:rsid w:val="00215BC0"/>
    <w:rsid w:val="002209A2"/>
    <w:rsid w:val="00221B42"/>
    <w:rsid w:val="00223DDC"/>
    <w:rsid w:val="00224A54"/>
    <w:rsid w:val="0024362E"/>
    <w:rsid w:val="0025412C"/>
    <w:rsid w:val="002541EA"/>
    <w:rsid w:val="0025758B"/>
    <w:rsid w:val="00262866"/>
    <w:rsid w:val="002805FE"/>
    <w:rsid w:val="00281429"/>
    <w:rsid w:val="002A19D5"/>
    <w:rsid w:val="002A6E92"/>
    <w:rsid w:val="002B0929"/>
    <w:rsid w:val="002B74C2"/>
    <w:rsid w:val="002E3156"/>
    <w:rsid w:val="002F4443"/>
    <w:rsid w:val="00301060"/>
    <w:rsid w:val="00304700"/>
    <w:rsid w:val="00321111"/>
    <w:rsid w:val="00332C83"/>
    <w:rsid w:val="00334C7A"/>
    <w:rsid w:val="003435AD"/>
    <w:rsid w:val="00351D9D"/>
    <w:rsid w:val="0035357E"/>
    <w:rsid w:val="0035590C"/>
    <w:rsid w:val="0035717C"/>
    <w:rsid w:val="00370066"/>
    <w:rsid w:val="00374D41"/>
    <w:rsid w:val="00381577"/>
    <w:rsid w:val="00384AAE"/>
    <w:rsid w:val="003B618C"/>
    <w:rsid w:val="003C2A3D"/>
    <w:rsid w:val="003D10D7"/>
    <w:rsid w:val="003D42BD"/>
    <w:rsid w:val="003D5A59"/>
    <w:rsid w:val="003D6780"/>
    <w:rsid w:val="003F3C62"/>
    <w:rsid w:val="004062A5"/>
    <w:rsid w:val="004141AD"/>
    <w:rsid w:val="0041736B"/>
    <w:rsid w:val="004230A2"/>
    <w:rsid w:val="00425F4E"/>
    <w:rsid w:val="00427DF0"/>
    <w:rsid w:val="004324F5"/>
    <w:rsid w:val="00446823"/>
    <w:rsid w:val="00451D0B"/>
    <w:rsid w:val="00463AF2"/>
    <w:rsid w:val="00474E05"/>
    <w:rsid w:val="00475FF4"/>
    <w:rsid w:val="00487F08"/>
    <w:rsid w:val="00490F79"/>
    <w:rsid w:val="00491474"/>
    <w:rsid w:val="004968AE"/>
    <w:rsid w:val="004A6F5B"/>
    <w:rsid w:val="004B1A4F"/>
    <w:rsid w:val="004B4115"/>
    <w:rsid w:val="004B5B28"/>
    <w:rsid w:val="004B6C45"/>
    <w:rsid w:val="004C47E5"/>
    <w:rsid w:val="004E2668"/>
    <w:rsid w:val="004E2FA0"/>
    <w:rsid w:val="004F0587"/>
    <w:rsid w:val="004F0A19"/>
    <w:rsid w:val="00511954"/>
    <w:rsid w:val="005172EC"/>
    <w:rsid w:val="00522359"/>
    <w:rsid w:val="00523BC9"/>
    <w:rsid w:val="005262CA"/>
    <w:rsid w:val="00535A4E"/>
    <w:rsid w:val="00545D7F"/>
    <w:rsid w:val="00554F69"/>
    <w:rsid w:val="005554CB"/>
    <w:rsid w:val="00560031"/>
    <w:rsid w:val="00560182"/>
    <w:rsid w:val="005654A3"/>
    <w:rsid w:val="00580BA9"/>
    <w:rsid w:val="0058576E"/>
    <w:rsid w:val="00592F7F"/>
    <w:rsid w:val="005C1DE0"/>
    <w:rsid w:val="005C2474"/>
    <w:rsid w:val="005C4A0E"/>
    <w:rsid w:val="005C555A"/>
    <w:rsid w:val="005C7601"/>
    <w:rsid w:val="005D0E0A"/>
    <w:rsid w:val="005D4388"/>
    <w:rsid w:val="005E1BB0"/>
    <w:rsid w:val="005E7BFB"/>
    <w:rsid w:val="005E7C33"/>
    <w:rsid w:val="005F2721"/>
    <w:rsid w:val="005F2CA6"/>
    <w:rsid w:val="005F4238"/>
    <w:rsid w:val="005F5B52"/>
    <w:rsid w:val="005F734A"/>
    <w:rsid w:val="006041AC"/>
    <w:rsid w:val="0062579D"/>
    <w:rsid w:val="00634F22"/>
    <w:rsid w:val="006416DC"/>
    <w:rsid w:val="006468F1"/>
    <w:rsid w:val="00646A7D"/>
    <w:rsid w:val="00655470"/>
    <w:rsid w:val="00655EE4"/>
    <w:rsid w:val="00662D9B"/>
    <w:rsid w:val="006809BA"/>
    <w:rsid w:val="00684226"/>
    <w:rsid w:val="00687C18"/>
    <w:rsid w:val="00694303"/>
    <w:rsid w:val="006A21F6"/>
    <w:rsid w:val="006A32E2"/>
    <w:rsid w:val="006A505C"/>
    <w:rsid w:val="006A61B4"/>
    <w:rsid w:val="006A7F6C"/>
    <w:rsid w:val="006B2FED"/>
    <w:rsid w:val="006C677E"/>
    <w:rsid w:val="006D71D2"/>
    <w:rsid w:val="006E090A"/>
    <w:rsid w:val="006E2DD0"/>
    <w:rsid w:val="006F5EB8"/>
    <w:rsid w:val="0070160C"/>
    <w:rsid w:val="007142CE"/>
    <w:rsid w:val="007224BD"/>
    <w:rsid w:val="007345B6"/>
    <w:rsid w:val="00740661"/>
    <w:rsid w:val="00747002"/>
    <w:rsid w:val="00757E66"/>
    <w:rsid w:val="00761D72"/>
    <w:rsid w:val="00777CAA"/>
    <w:rsid w:val="0078082F"/>
    <w:rsid w:val="00780CF8"/>
    <w:rsid w:val="00787B1A"/>
    <w:rsid w:val="00792476"/>
    <w:rsid w:val="00793FFD"/>
    <w:rsid w:val="007B21E7"/>
    <w:rsid w:val="007C1649"/>
    <w:rsid w:val="007C17E5"/>
    <w:rsid w:val="007F01F5"/>
    <w:rsid w:val="00803C3C"/>
    <w:rsid w:val="0081216B"/>
    <w:rsid w:val="0082129B"/>
    <w:rsid w:val="0082158C"/>
    <w:rsid w:val="00845B0E"/>
    <w:rsid w:val="008808B0"/>
    <w:rsid w:val="00880DD6"/>
    <w:rsid w:val="008B1524"/>
    <w:rsid w:val="008C5D45"/>
    <w:rsid w:val="008C6E9E"/>
    <w:rsid w:val="008D2393"/>
    <w:rsid w:val="008F19AA"/>
    <w:rsid w:val="008F50CB"/>
    <w:rsid w:val="008F5E4B"/>
    <w:rsid w:val="009035BE"/>
    <w:rsid w:val="0091166D"/>
    <w:rsid w:val="00912278"/>
    <w:rsid w:val="009142CE"/>
    <w:rsid w:val="00914A7F"/>
    <w:rsid w:val="00917819"/>
    <w:rsid w:val="00940628"/>
    <w:rsid w:val="009435B7"/>
    <w:rsid w:val="00951426"/>
    <w:rsid w:val="00963A32"/>
    <w:rsid w:val="0097364A"/>
    <w:rsid w:val="009839D4"/>
    <w:rsid w:val="00993680"/>
    <w:rsid w:val="009A0C85"/>
    <w:rsid w:val="009B3FB6"/>
    <w:rsid w:val="009B6AA9"/>
    <w:rsid w:val="009F0241"/>
    <w:rsid w:val="009F0437"/>
    <w:rsid w:val="009F66EB"/>
    <w:rsid w:val="00A13B75"/>
    <w:rsid w:val="00A258CD"/>
    <w:rsid w:val="00A32196"/>
    <w:rsid w:val="00A42A67"/>
    <w:rsid w:val="00A45CF5"/>
    <w:rsid w:val="00A476C0"/>
    <w:rsid w:val="00A53607"/>
    <w:rsid w:val="00AA193C"/>
    <w:rsid w:val="00AA22EB"/>
    <w:rsid w:val="00AC1A13"/>
    <w:rsid w:val="00AC4E43"/>
    <w:rsid w:val="00AD1D4C"/>
    <w:rsid w:val="00AD6EDC"/>
    <w:rsid w:val="00B05F26"/>
    <w:rsid w:val="00B20581"/>
    <w:rsid w:val="00B24063"/>
    <w:rsid w:val="00B30C90"/>
    <w:rsid w:val="00B35A49"/>
    <w:rsid w:val="00B40438"/>
    <w:rsid w:val="00B420B7"/>
    <w:rsid w:val="00B4418A"/>
    <w:rsid w:val="00B5638F"/>
    <w:rsid w:val="00B603C4"/>
    <w:rsid w:val="00B65AD0"/>
    <w:rsid w:val="00B7171C"/>
    <w:rsid w:val="00B76975"/>
    <w:rsid w:val="00B8609F"/>
    <w:rsid w:val="00BA3A3D"/>
    <w:rsid w:val="00BB07F1"/>
    <w:rsid w:val="00BC7AE1"/>
    <w:rsid w:val="00BD438F"/>
    <w:rsid w:val="00BF1305"/>
    <w:rsid w:val="00BF2300"/>
    <w:rsid w:val="00C066FE"/>
    <w:rsid w:val="00C102BB"/>
    <w:rsid w:val="00C1196D"/>
    <w:rsid w:val="00C129D6"/>
    <w:rsid w:val="00C169D6"/>
    <w:rsid w:val="00C239A0"/>
    <w:rsid w:val="00C27F0F"/>
    <w:rsid w:val="00C45E58"/>
    <w:rsid w:val="00C61E20"/>
    <w:rsid w:val="00C64A2D"/>
    <w:rsid w:val="00C66D0D"/>
    <w:rsid w:val="00C75926"/>
    <w:rsid w:val="00C92252"/>
    <w:rsid w:val="00CA538B"/>
    <w:rsid w:val="00CC2524"/>
    <w:rsid w:val="00CD3F0C"/>
    <w:rsid w:val="00CD6A5C"/>
    <w:rsid w:val="00CD79AE"/>
    <w:rsid w:val="00CE75D6"/>
    <w:rsid w:val="00CF0425"/>
    <w:rsid w:val="00D21EC4"/>
    <w:rsid w:val="00D221C6"/>
    <w:rsid w:val="00D30EFF"/>
    <w:rsid w:val="00D46313"/>
    <w:rsid w:val="00D55CFB"/>
    <w:rsid w:val="00D64A71"/>
    <w:rsid w:val="00D8095A"/>
    <w:rsid w:val="00D933BB"/>
    <w:rsid w:val="00DA0E3A"/>
    <w:rsid w:val="00DB0E21"/>
    <w:rsid w:val="00DB2C5D"/>
    <w:rsid w:val="00DD42FD"/>
    <w:rsid w:val="00DE4CC7"/>
    <w:rsid w:val="00E00933"/>
    <w:rsid w:val="00E21F1F"/>
    <w:rsid w:val="00E23EF1"/>
    <w:rsid w:val="00E30299"/>
    <w:rsid w:val="00E35B50"/>
    <w:rsid w:val="00E36291"/>
    <w:rsid w:val="00E3799B"/>
    <w:rsid w:val="00E67B26"/>
    <w:rsid w:val="00E72A35"/>
    <w:rsid w:val="00E90F5B"/>
    <w:rsid w:val="00E967E5"/>
    <w:rsid w:val="00E97D0F"/>
    <w:rsid w:val="00EA266C"/>
    <w:rsid w:val="00EB296D"/>
    <w:rsid w:val="00EC64E2"/>
    <w:rsid w:val="00ED0255"/>
    <w:rsid w:val="00EF4EC2"/>
    <w:rsid w:val="00EF58CB"/>
    <w:rsid w:val="00EF7C97"/>
    <w:rsid w:val="00F015B9"/>
    <w:rsid w:val="00F03150"/>
    <w:rsid w:val="00F04438"/>
    <w:rsid w:val="00F12C81"/>
    <w:rsid w:val="00F17B1E"/>
    <w:rsid w:val="00F25261"/>
    <w:rsid w:val="00F31284"/>
    <w:rsid w:val="00F34FBE"/>
    <w:rsid w:val="00F4231C"/>
    <w:rsid w:val="00F4494D"/>
    <w:rsid w:val="00F454FA"/>
    <w:rsid w:val="00F5327D"/>
    <w:rsid w:val="00F558FF"/>
    <w:rsid w:val="00F62401"/>
    <w:rsid w:val="00F7213F"/>
    <w:rsid w:val="00F7220C"/>
    <w:rsid w:val="00F77AE1"/>
    <w:rsid w:val="00FA0397"/>
    <w:rsid w:val="00FD5053"/>
    <w:rsid w:val="00FE55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5B"/>
    <w:pPr>
      <w:spacing w:after="200" w:line="276" w:lineRule="auto"/>
    </w:pPr>
    <w:rPr>
      <w:sz w:val="22"/>
      <w:szCs w:val="22"/>
      <w:lang w:eastAsia="en-US"/>
    </w:rPr>
  </w:style>
  <w:style w:type="paragraph" w:styleId="Heading1">
    <w:name w:val="heading 1"/>
    <w:aliases w:val="CGEY,h1"/>
    <w:basedOn w:val="Normal"/>
    <w:next w:val="Normal"/>
    <w:link w:val="Heading1Char"/>
    <w:qFormat/>
    <w:rsid w:val="004B1A4F"/>
    <w:pPr>
      <w:keepNext/>
      <w:keepLines/>
      <w:numPr>
        <w:numId w:val="11"/>
      </w:numPr>
      <w:spacing w:before="480" w:after="0"/>
      <w:outlineLvl w:val="0"/>
    </w:pPr>
    <w:rPr>
      <w:rFonts w:ascii="Arial Narrow" w:eastAsia="Times New Roman" w:hAnsi="Arial Narrow"/>
      <w:b/>
      <w:bCs/>
      <w:sz w:val="24"/>
      <w:szCs w:val="28"/>
    </w:rPr>
  </w:style>
  <w:style w:type="paragraph" w:styleId="Heading2">
    <w:name w:val="heading 2"/>
    <w:aliases w:val="h2,CGEY Heading 2,Style 2,Second level,T2,H2,2nd level,Major Heading,2,Titre 2,h21"/>
    <w:basedOn w:val="Normal"/>
    <w:next w:val="Normal"/>
    <w:link w:val="Heading2Char"/>
    <w:autoRedefine/>
    <w:qFormat/>
    <w:rsid w:val="00A13B75"/>
    <w:pPr>
      <w:keepNext/>
      <w:numPr>
        <w:ilvl w:val="1"/>
        <w:numId w:val="11"/>
      </w:numPr>
      <w:spacing w:after="0" w:line="240" w:lineRule="auto"/>
      <w:outlineLvl w:val="1"/>
    </w:pPr>
    <w:rPr>
      <w:rFonts w:ascii="Arial Narrow" w:eastAsia="Times New Roman" w:hAnsi="Arial Narrow"/>
      <w:b/>
      <w:sz w:val="24"/>
      <w:szCs w:val="20"/>
    </w:rPr>
  </w:style>
  <w:style w:type="paragraph" w:styleId="Heading3">
    <w:name w:val="heading 3"/>
    <w:aliases w:val="h3,h31,3,Titre 3,Sub"/>
    <w:basedOn w:val="Normal"/>
    <w:next w:val="Normal"/>
    <w:link w:val="Heading3Char"/>
    <w:qFormat/>
    <w:rsid w:val="00E30299"/>
    <w:pPr>
      <w:keepNext/>
      <w:widowControl w:val="0"/>
      <w:tabs>
        <w:tab w:val="num" w:pos="720"/>
      </w:tabs>
      <w:spacing w:after="0" w:line="240" w:lineRule="auto"/>
      <w:ind w:left="720" w:hanging="720"/>
      <w:jc w:val="both"/>
      <w:outlineLvl w:val="2"/>
    </w:pPr>
    <w:rPr>
      <w:rFonts w:ascii="Arial Narrow" w:eastAsia="Times New Roman" w:hAnsi="Arial Narrow"/>
      <w:b/>
      <w:sz w:val="24"/>
      <w:szCs w:val="20"/>
    </w:rPr>
  </w:style>
  <w:style w:type="paragraph" w:styleId="Heading4">
    <w:name w:val="heading 4"/>
    <w:basedOn w:val="Normal"/>
    <w:next w:val="Normal"/>
    <w:link w:val="Heading4Char"/>
    <w:uiPriority w:val="9"/>
    <w:semiHidden/>
    <w:unhideWhenUsed/>
    <w:qFormat/>
    <w:rsid w:val="00F4231C"/>
    <w:pPr>
      <w:keepNext/>
      <w:keepLines/>
      <w:spacing w:before="200" w:after="0"/>
      <w:outlineLvl w:val="3"/>
    </w:pPr>
    <w:rPr>
      <w:rFonts w:ascii="Cambria" w:eastAsia="Times New Roman" w:hAnsi="Cambria"/>
      <w:b/>
      <w:bCs/>
      <w:i/>
      <w:iCs/>
      <w:color w:val="4F81BD"/>
    </w:rPr>
  </w:style>
  <w:style w:type="paragraph" w:styleId="Heading5">
    <w:name w:val="heading 5"/>
    <w:basedOn w:val="Heading4"/>
    <w:next w:val="Normal"/>
    <w:link w:val="Heading5Char"/>
    <w:qFormat/>
    <w:rsid w:val="00E30299"/>
    <w:pPr>
      <w:keepLines w:val="0"/>
      <w:widowControl w:val="0"/>
      <w:tabs>
        <w:tab w:val="num" w:pos="1008"/>
      </w:tabs>
      <w:spacing w:before="0" w:line="240" w:lineRule="auto"/>
      <w:ind w:left="1008" w:hanging="1008"/>
      <w:outlineLvl w:val="4"/>
    </w:pPr>
    <w:rPr>
      <w:rFonts w:ascii="Arial Narrow" w:hAnsi="Arial Narrow"/>
      <w:b w:val="0"/>
      <w:bCs w:val="0"/>
      <w:i w:val="0"/>
      <w:iCs w:val="0"/>
      <w:snapToGrid w:val="0"/>
      <w:color w:val="auto"/>
      <w:szCs w:val="20"/>
    </w:rPr>
  </w:style>
  <w:style w:type="paragraph" w:styleId="Heading6">
    <w:name w:val="heading 6"/>
    <w:basedOn w:val="Heading5"/>
    <w:next w:val="Normal"/>
    <w:link w:val="Heading6Char"/>
    <w:qFormat/>
    <w:rsid w:val="00E30299"/>
    <w:pPr>
      <w:tabs>
        <w:tab w:val="clear" w:pos="1008"/>
        <w:tab w:val="num" w:pos="1152"/>
      </w:tabs>
      <w:ind w:left="1152" w:hanging="1152"/>
      <w:outlineLvl w:val="5"/>
    </w:pPr>
  </w:style>
  <w:style w:type="paragraph" w:styleId="Heading7">
    <w:name w:val="heading 7"/>
    <w:basedOn w:val="Heading6"/>
    <w:next w:val="Normal"/>
    <w:link w:val="Heading7Char"/>
    <w:qFormat/>
    <w:rsid w:val="00E30299"/>
    <w:pPr>
      <w:tabs>
        <w:tab w:val="clear" w:pos="1152"/>
        <w:tab w:val="num" w:pos="1296"/>
      </w:tabs>
      <w:ind w:left="1296" w:hanging="1296"/>
      <w:outlineLvl w:val="6"/>
    </w:pPr>
  </w:style>
  <w:style w:type="paragraph" w:styleId="Heading8">
    <w:name w:val="heading 8"/>
    <w:basedOn w:val="Heading7"/>
    <w:next w:val="Normal"/>
    <w:link w:val="Heading8Char"/>
    <w:qFormat/>
    <w:rsid w:val="00E30299"/>
    <w:pPr>
      <w:tabs>
        <w:tab w:val="clear" w:pos="1296"/>
        <w:tab w:val="num" w:pos="1440"/>
      </w:tabs>
      <w:ind w:left="1440" w:hanging="1440"/>
      <w:outlineLvl w:val="7"/>
    </w:pPr>
  </w:style>
  <w:style w:type="paragraph" w:styleId="Heading9">
    <w:name w:val="heading 9"/>
    <w:basedOn w:val="Heading8"/>
    <w:next w:val="Normal"/>
    <w:link w:val="Heading9Char"/>
    <w:qFormat/>
    <w:rsid w:val="00E30299"/>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F4231C"/>
    <w:pPr>
      <w:spacing w:after="240"/>
    </w:pPr>
    <w:rPr>
      <w:rFonts w:ascii="Times New Roman" w:eastAsia="Times New Roman" w:hAnsi="Times New Roman"/>
      <w:sz w:val="24"/>
      <w:szCs w:val="24"/>
      <w:lang w:eastAsia="en-US"/>
    </w:rPr>
  </w:style>
  <w:style w:type="paragraph" w:customStyle="1" w:styleId="AERheading1">
    <w:name w:val="AER heading 1"/>
    <w:basedOn w:val="Heading1"/>
    <w:rsid w:val="00F4231C"/>
    <w:pPr>
      <w:keepNext w:val="0"/>
      <w:keepLines w:val="0"/>
      <w:pageBreakBefore/>
      <w:widowControl w:val="0"/>
      <w:numPr>
        <w:numId w:val="1"/>
      </w:numPr>
      <w:spacing w:before="240" w:after="120" w:line="240" w:lineRule="auto"/>
    </w:pPr>
    <w:rPr>
      <w:rFonts w:ascii="Arial Bold" w:hAnsi="Arial Bold"/>
      <w:spacing w:val="5"/>
      <w:kern w:val="36"/>
      <w:sz w:val="36"/>
      <w:szCs w:val="27"/>
    </w:rPr>
  </w:style>
  <w:style w:type="paragraph" w:customStyle="1" w:styleId="AERheading2">
    <w:name w:val="AER heading 2"/>
    <w:basedOn w:val="Normal"/>
    <w:next w:val="AERbodytext"/>
    <w:rsid w:val="00F4231C"/>
    <w:pPr>
      <w:keepNext/>
      <w:numPr>
        <w:ilvl w:val="1"/>
        <w:numId w:val="1"/>
      </w:numPr>
      <w:spacing w:before="360" w:after="120" w:line="240" w:lineRule="auto"/>
    </w:pPr>
    <w:rPr>
      <w:rFonts w:ascii="Arial Bold" w:eastAsia="Times New Roman" w:hAnsi="Arial Bold"/>
      <w:sz w:val="30"/>
      <w:szCs w:val="24"/>
    </w:rPr>
  </w:style>
  <w:style w:type="paragraph" w:customStyle="1" w:styleId="AERheading3">
    <w:name w:val="AER heading 3"/>
    <w:basedOn w:val="Normal"/>
    <w:next w:val="AERbodytext"/>
    <w:rsid w:val="00F4231C"/>
    <w:pPr>
      <w:keepNext/>
      <w:numPr>
        <w:ilvl w:val="2"/>
        <w:numId w:val="1"/>
      </w:numPr>
      <w:spacing w:before="240" w:after="120" w:line="240" w:lineRule="auto"/>
    </w:pPr>
    <w:rPr>
      <w:rFonts w:ascii="Arial Bold" w:eastAsia="Times New Roman" w:hAnsi="Arial Bold"/>
      <w:sz w:val="24"/>
      <w:szCs w:val="24"/>
    </w:rPr>
  </w:style>
  <w:style w:type="paragraph" w:customStyle="1" w:styleId="AERheading4">
    <w:name w:val="AER heading 4"/>
    <w:basedOn w:val="Heading4"/>
    <w:next w:val="AERbodytext"/>
    <w:rsid w:val="00F4231C"/>
    <w:pPr>
      <w:keepLines w:val="0"/>
      <w:numPr>
        <w:ilvl w:val="3"/>
        <w:numId w:val="1"/>
      </w:numPr>
      <w:spacing w:before="240" w:after="120" w:line="240" w:lineRule="auto"/>
    </w:pPr>
    <w:rPr>
      <w:rFonts w:ascii="Times New Roman" w:hAnsi="Times New Roman"/>
      <w:bCs w:val="0"/>
      <w:i w:val="0"/>
      <w:iCs w:val="0"/>
      <w:color w:val="auto"/>
      <w:szCs w:val="24"/>
    </w:rPr>
  </w:style>
  <w:style w:type="character" w:customStyle="1" w:styleId="AERbodytextChar">
    <w:name w:val="AER body text Char"/>
    <w:basedOn w:val="DefaultParagraphFont"/>
    <w:link w:val="AERbodytext"/>
    <w:rsid w:val="00F4231C"/>
    <w:rPr>
      <w:rFonts w:ascii="Times New Roman" w:eastAsia="Times New Roman" w:hAnsi="Times New Roman"/>
      <w:sz w:val="24"/>
      <w:szCs w:val="24"/>
      <w:lang w:val="en-AU" w:eastAsia="en-US" w:bidi="ar-SA"/>
    </w:rPr>
  </w:style>
  <w:style w:type="character" w:customStyle="1" w:styleId="Heading1Char">
    <w:name w:val="Heading 1 Char"/>
    <w:aliases w:val="CGEY Char,h1 Char"/>
    <w:basedOn w:val="DefaultParagraphFont"/>
    <w:link w:val="Heading1"/>
    <w:rsid w:val="004B1A4F"/>
    <w:rPr>
      <w:rFonts w:ascii="Arial Narrow" w:eastAsia="Times New Roman" w:hAnsi="Arial Narrow"/>
      <w:b/>
      <w:bCs/>
      <w:sz w:val="24"/>
      <w:szCs w:val="28"/>
      <w:lang w:eastAsia="en-US"/>
    </w:rPr>
  </w:style>
  <w:style w:type="character" w:customStyle="1" w:styleId="Heading4Char">
    <w:name w:val="Heading 4 Char"/>
    <w:basedOn w:val="DefaultParagraphFont"/>
    <w:link w:val="Heading4"/>
    <w:uiPriority w:val="9"/>
    <w:semiHidden/>
    <w:rsid w:val="00F4231C"/>
    <w:rPr>
      <w:rFonts w:ascii="Cambria" w:eastAsia="Times New Roman" w:hAnsi="Cambria" w:cs="Times New Roman"/>
      <w:b/>
      <w:bCs/>
      <w:i/>
      <w:iCs/>
      <w:color w:val="4F81BD"/>
    </w:rPr>
  </w:style>
  <w:style w:type="table" w:styleId="TableGrid">
    <w:name w:val="Table Grid"/>
    <w:basedOn w:val="TableNormal"/>
    <w:uiPriority w:val="59"/>
    <w:rsid w:val="001E7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142CE"/>
    <w:pPr>
      <w:ind w:left="720"/>
    </w:pPr>
  </w:style>
  <w:style w:type="paragraph" w:styleId="Header">
    <w:name w:val="header"/>
    <w:basedOn w:val="Normal"/>
    <w:link w:val="HeaderChar"/>
    <w:uiPriority w:val="99"/>
    <w:semiHidden/>
    <w:unhideWhenUsed/>
    <w:rsid w:val="007C1649"/>
    <w:pPr>
      <w:tabs>
        <w:tab w:val="center" w:pos="4513"/>
        <w:tab w:val="right" w:pos="9026"/>
      </w:tabs>
    </w:pPr>
  </w:style>
  <w:style w:type="character" w:customStyle="1" w:styleId="HeaderChar">
    <w:name w:val="Header Char"/>
    <w:basedOn w:val="DefaultParagraphFont"/>
    <w:link w:val="Header"/>
    <w:uiPriority w:val="99"/>
    <w:semiHidden/>
    <w:rsid w:val="007C1649"/>
    <w:rPr>
      <w:sz w:val="22"/>
      <w:szCs w:val="22"/>
      <w:lang w:eastAsia="en-US"/>
    </w:rPr>
  </w:style>
  <w:style w:type="paragraph" w:styleId="Footer">
    <w:name w:val="footer"/>
    <w:basedOn w:val="Normal"/>
    <w:link w:val="FooterChar"/>
    <w:uiPriority w:val="99"/>
    <w:semiHidden/>
    <w:unhideWhenUsed/>
    <w:rsid w:val="007C1649"/>
    <w:pPr>
      <w:tabs>
        <w:tab w:val="center" w:pos="4513"/>
        <w:tab w:val="right" w:pos="9026"/>
      </w:tabs>
    </w:pPr>
  </w:style>
  <w:style w:type="character" w:customStyle="1" w:styleId="FooterChar">
    <w:name w:val="Footer Char"/>
    <w:basedOn w:val="DefaultParagraphFont"/>
    <w:link w:val="Footer"/>
    <w:uiPriority w:val="99"/>
    <w:semiHidden/>
    <w:rsid w:val="007C1649"/>
    <w:rPr>
      <w:sz w:val="22"/>
      <w:szCs w:val="22"/>
      <w:lang w:eastAsia="en-US"/>
    </w:rPr>
  </w:style>
  <w:style w:type="character" w:customStyle="1" w:styleId="Heading2Char">
    <w:name w:val="Heading 2 Char"/>
    <w:aliases w:val="h2 Char,CGEY Heading 2 Char,Style 2 Char,Second level Char,T2 Char,H2 Char,2nd level Char,Major Heading Char,2 Char,Titre 2 Char,h21 Char"/>
    <w:basedOn w:val="DefaultParagraphFont"/>
    <w:link w:val="Heading2"/>
    <w:rsid w:val="00A13B75"/>
    <w:rPr>
      <w:rFonts w:ascii="Arial Narrow" w:eastAsia="Times New Roman" w:hAnsi="Arial Narrow"/>
      <w:b/>
      <w:sz w:val="24"/>
      <w:lang w:eastAsia="en-US"/>
    </w:rPr>
  </w:style>
  <w:style w:type="character" w:customStyle="1" w:styleId="Heading3Char">
    <w:name w:val="Heading 3 Char"/>
    <w:aliases w:val="h3 Char,h31 Char,3 Char,Titre 3 Char,Sub Char"/>
    <w:basedOn w:val="DefaultParagraphFont"/>
    <w:link w:val="Heading3"/>
    <w:rsid w:val="00E30299"/>
    <w:rPr>
      <w:rFonts w:ascii="Arial Narrow" w:eastAsia="Times New Roman" w:hAnsi="Arial Narrow"/>
      <w:b/>
      <w:sz w:val="24"/>
      <w:lang w:eastAsia="en-US"/>
    </w:rPr>
  </w:style>
  <w:style w:type="character" w:customStyle="1" w:styleId="Heading5Char">
    <w:name w:val="Heading 5 Char"/>
    <w:basedOn w:val="DefaultParagraphFont"/>
    <w:link w:val="Heading5"/>
    <w:rsid w:val="00E30299"/>
    <w:rPr>
      <w:rFonts w:ascii="Arial Narrow" w:eastAsia="Times New Roman" w:hAnsi="Arial Narrow"/>
      <w:snapToGrid w:val="0"/>
      <w:sz w:val="22"/>
      <w:lang w:eastAsia="en-US"/>
    </w:rPr>
  </w:style>
  <w:style w:type="character" w:customStyle="1" w:styleId="Heading6Char">
    <w:name w:val="Heading 6 Char"/>
    <w:basedOn w:val="DefaultParagraphFont"/>
    <w:link w:val="Heading6"/>
    <w:rsid w:val="00E30299"/>
    <w:rPr>
      <w:rFonts w:ascii="Arial Narrow" w:eastAsia="Times New Roman" w:hAnsi="Arial Narrow"/>
      <w:snapToGrid w:val="0"/>
      <w:sz w:val="22"/>
      <w:lang w:eastAsia="en-US"/>
    </w:rPr>
  </w:style>
  <w:style w:type="character" w:customStyle="1" w:styleId="Heading7Char">
    <w:name w:val="Heading 7 Char"/>
    <w:basedOn w:val="DefaultParagraphFont"/>
    <w:link w:val="Heading7"/>
    <w:rsid w:val="00E30299"/>
    <w:rPr>
      <w:rFonts w:ascii="Arial Narrow" w:eastAsia="Times New Roman" w:hAnsi="Arial Narrow"/>
      <w:snapToGrid w:val="0"/>
      <w:sz w:val="22"/>
      <w:lang w:eastAsia="en-US"/>
    </w:rPr>
  </w:style>
  <w:style w:type="character" w:customStyle="1" w:styleId="Heading8Char">
    <w:name w:val="Heading 8 Char"/>
    <w:basedOn w:val="DefaultParagraphFont"/>
    <w:link w:val="Heading8"/>
    <w:rsid w:val="00E30299"/>
    <w:rPr>
      <w:rFonts w:ascii="Arial Narrow" w:eastAsia="Times New Roman" w:hAnsi="Arial Narrow"/>
      <w:snapToGrid w:val="0"/>
      <w:sz w:val="22"/>
      <w:lang w:eastAsia="en-US"/>
    </w:rPr>
  </w:style>
  <w:style w:type="character" w:customStyle="1" w:styleId="Heading9Char">
    <w:name w:val="Heading 9 Char"/>
    <w:basedOn w:val="DefaultParagraphFont"/>
    <w:link w:val="Heading9"/>
    <w:rsid w:val="00E30299"/>
    <w:rPr>
      <w:rFonts w:ascii="Arial Narrow" w:eastAsia="Times New Roman" w:hAnsi="Arial Narrow"/>
      <w:snapToGrid w:val="0"/>
      <w:sz w:val="22"/>
      <w:lang w:eastAsia="en-US"/>
    </w:rPr>
  </w:style>
  <w:style w:type="paragraph" w:styleId="FootnoteText">
    <w:name w:val="footnote text"/>
    <w:basedOn w:val="Normal"/>
    <w:link w:val="FootnoteTextChar"/>
    <w:uiPriority w:val="99"/>
    <w:semiHidden/>
    <w:unhideWhenUsed/>
    <w:rsid w:val="00F12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C81"/>
    <w:rPr>
      <w:rFonts w:ascii="Calibri" w:eastAsia="Calibri" w:hAnsi="Calibri" w:cs="Times New Roman"/>
      <w:lang w:eastAsia="en-US"/>
    </w:rPr>
  </w:style>
  <w:style w:type="character" w:styleId="FootnoteReference">
    <w:name w:val="footnote reference"/>
    <w:basedOn w:val="DefaultParagraphFont"/>
    <w:uiPriority w:val="99"/>
    <w:semiHidden/>
    <w:unhideWhenUsed/>
    <w:rsid w:val="00F12C81"/>
    <w:rPr>
      <w:vertAlign w:val="superscript"/>
    </w:rPr>
  </w:style>
  <w:style w:type="character" w:styleId="Hyperlink">
    <w:name w:val="Hyperlink"/>
    <w:basedOn w:val="DefaultParagraphFont"/>
    <w:uiPriority w:val="99"/>
    <w:unhideWhenUsed/>
    <w:rsid w:val="007345B6"/>
    <w:rPr>
      <w:color w:val="0000FF" w:themeColor="hyperlink"/>
      <w:u w:val="single"/>
    </w:rPr>
  </w:style>
  <w:style w:type="paragraph" w:styleId="BalloonText">
    <w:name w:val="Balloon Text"/>
    <w:basedOn w:val="Normal"/>
    <w:link w:val="BalloonTextChar"/>
    <w:uiPriority w:val="99"/>
    <w:semiHidden/>
    <w:unhideWhenUsed/>
    <w:rsid w:val="0052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35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05542572">
      <w:bodyDiv w:val="1"/>
      <w:marLeft w:val="0"/>
      <w:marRight w:val="0"/>
      <w:marTop w:val="0"/>
      <w:marBottom w:val="0"/>
      <w:divBdr>
        <w:top w:val="none" w:sz="0" w:space="0" w:color="auto"/>
        <w:left w:val="none" w:sz="0" w:space="0" w:color="auto"/>
        <w:bottom w:val="none" w:sz="0" w:space="0" w:color="auto"/>
        <w:right w:val="none" w:sz="0" w:space="0" w:color="auto"/>
      </w:divBdr>
    </w:div>
    <w:div w:id="980109626">
      <w:bodyDiv w:val="1"/>
      <w:marLeft w:val="0"/>
      <w:marRight w:val="0"/>
      <w:marTop w:val="0"/>
      <w:marBottom w:val="0"/>
      <w:divBdr>
        <w:top w:val="none" w:sz="0" w:space="0" w:color="auto"/>
        <w:left w:val="none" w:sz="0" w:space="0" w:color="auto"/>
        <w:bottom w:val="none" w:sz="0" w:space="0" w:color="auto"/>
        <w:right w:val="none" w:sz="0" w:space="0" w:color="auto"/>
      </w:divBdr>
    </w:div>
    <w:div w:id="1037587422">
      <w:bodyDiv w:val="1"/>
      <w:marLeft w:val="0"/>
      <w:marRight w:val="0"/>
      <w:marTop w:val="0"/>
      <w:marBottom w:val="0"/>
      <w:divBdr>
        <w:top w:val="none" w:sz="0" w:space="0" w:color="auto"/>
        <w:left w:val="none" w:sz="0" w:space="0" w:color="auto"/>
        <w:bottom w:val="none" w:sz="0" w:space="0" w:color="auto"/>
        <w:right w:val="none" w:sz="0" w:space="0" w:color="auto"/>
      </w:divBdr>
    </w:div>
    <w:div w:id="21201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482C-073B-41A1-8C67-8ABDA310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Envestra Limited</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delainec</dc:creator>
  <cp:keywords/>
  <dc:description/>
  <cp:lastModifiedBy>buckip</cp:lastModifiedBy>
  <cp:revision>2</cp:revision>
  <cp:lastPrinted>2011-04-01T01:27:00Z</cp:lastPrinted>
  <dcterms:created xsi:type="dcterms:W3CDTF">2011-04-01T02:14:00Z</dcterms:created>
  <dcterms:modified xsi:type="dcterms:W3CDTF">2011-04-01T02:14:00Z</dcterms:modified>
</cp:coreProperties>
</file>