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CF0" w:rsidRDefault="00045CF0" w:rsidP="00404B96">
      <w:bookmarkStart w:id="0" w:name="_GoBack"/>
      <w:bookmarkEnd w:id="0"/>
    </w:p>
    <w:p w:rsidR="00045CF0" w:rsidRDefault="00045CF0" w:rsidP="00404B96"/>
    <w:p w:rsidR="00045CF0" w:rsidRDefault="00045CF0" w:rsidP="00404B96"/>
    <w:p w:rsidR="00045CF0" w:rsidRDefault="00045CF0" w:rsidP="00404B96"/>
    <w:p w:rsidR="00045CF0" w:rsidRDefault="00045CF0" w:rsidP="00404B96"/>
    <w:p w:rsidR="00045CF0" w:rsidRDefault="00045CF0" w:rsidP="00404B96"/>
    <w:p w:rsidR="00045CF0" w:rsidRDefault="00045CF0" w:rsidP="00404B96"/>
    <w:p w:rsidR="00045CF0" w:rsidRDefault="00045CF0" w:rsidP="00404B96"/>
    <w:p w:rsidR="00045CF0" w:rsidRPr="006A5DA1" w:rsidRDefault="006A5DA1" w:rsidP="00404B96">
      <w:pPr>
        <w:jc w:val="center"/>
        <w:rPr>
          <w:sz w:val="48"/>
          <w:szCs w:val="48"/>
        </w:rPr>
      </w:pPr>
      <w:r w:rsidRPr="006A5DA1">
        <w:rPr>
          <w:sz w:val="48"/>
          <w:szCs w:val="48"/>
        </w:rPr>
        <w:t xml:space="preserve">Application for individual exemption from authorisation as an electricity retailer by </w:t>
      </w:r>
    </w:p>
    <w:p w:rsidR="006A5DA1" w:rsidRPr="006A5DA1" w:rsidRDefault="00062885" w:rsidP="00404B96">
      <w:pPr>
        <w:jc w:val="center"/>
        <w:rPr>
          <w:sz w:val="48"/>
          <w:szCs w:val="48"/>
        </w:rPr>
      </w:pPr>
      <w:r w:rsidRPr="00062885">
        <w:rPr>
          <w:b/>
          <w:sz w:val="48"/>
          <w:szCs w:val="48"/>
          <w:lang w:val="en"/>
        </w:rPr>
        <w:t xml:space="preserve">Stockland Property Management </w:t>
      </w:r>
      <w:r>
        <w:rPr>
          <w:lang w:val="en"/>
        </w:rPr>
        <w:t>(Various Locations)</w:t>
      </w:r>
    </w:p>
    <w:p w:rsidR="00045CF0" w:rsidRDefault="00C24554" w:rsidP="00404B96">
      <w:pPr>
        <w:jc w:val="center"/>
        <w:rPr>
          <w:sz w:val="44"/>
          <w:szCs w:val="44"/>
        </w:rPr>
      </w:pPr>
      <w:r>
        <w:rPr>
          <w:sz w:val="44"/>
          <w:szCs w:val="44"/>
        </w:rPr>
        <w:t>September</w:t>
      </w:r>
      <w:r w:rsidR="009F1EB1">
        <w:rPr>
          <w:sz w:val="44"/>
          <w:szCs w:val="44"/>
        </w:rPr>
        <w:t xml:space="preserve"> 2015</w:t>
      </w:r>
    </w:p>
    <w:p w:rsidR="009F1EB1" w:rsidRPr="003B30CB" w:rsidRDefault="00045CF0" w:rsidP="003B30CB">
      <w:r>
        <w:br w:type="page"/>
      </w:r>
      <w:bookmarkStart w:id="1" w:name="_Toc420939327"/>
      <w:r w:rsidR="009F1EB1" w:rsidRPr="006A5DA1">
        <w:rPr>
          <w:sz w:val="36"/>
          <w:szCs w:val="36"/>
        </w:rPr>
        <w:lastRenderedPageBreak/>
        <w:t>1</w:t>
      </w:r>
      <w:r w:rsidR="009F1EB1" w:rsidRPr="006A5DA1">
        <w:rPr>
          <w:sz w:val="36"/>
          <w:szCs w:val="36"/>
        </w:rPr>
        <w:tab/>
        <w:t>Introduction</w:t>
      </w:r>
      <w:bookmarkEnd w:id="1"/>
    </w:p>
    <w:p w:rsidR="009F1EB1" w:rsidRPr="003B30CB" w:rsidRDefault="009F1EB1" w:rsidP="006A630B">
      <w:pPr>
        <w:jc w:val="both"/>
      </w:pPr>
      <w:r w:rsidRPr="003B30CB">
        <w:t>UnitingCare Australia is the national body for the UnitingCare Network, one of the largest providers of community services in Australia. With over 1,600 sites, the network employs 39,000 staff and is supported by the work of over 28,000 volunteers. We provide services to children, young people and families, Indigenous Australians, people with disabilities, the poor and disadvantaged, people from culturally diverse backgrounds and older Australians in urban, rural and remote communities.</w:t>
      </w:r>
    </w:p>
    <w:p w:rsidR="009F1EB1" w:rsidRPr="003B30CB" w:rsidRDefault="009F1EB1" w:rsidP="006A630B">
      <w:pPr>
        <w:jc w:val="both"/>
      </w:pPr>
      <w:r w:rsidRPr="003B30CB">
        <w:t>UnitingCare Australia works with and on behalf of the UnitingCare Network to advocate for policies and programs that will improve people’s quality of life. UnitingCare Australia is committed to speaking with and on behalf of those who are the most vulnerable and disadvantaged, for the common good.</w:t>
      </w:r>
    </w:p>
    <w:p w:rsidR="000D425F" w:rsidRPr="003B30CB" w:rsidRDefault="009F1EB1" w:rsidP="006A630B">
      <w:pPr>
        <w:jc w:val="both"/>
      </w:pPr>
      <w:r w:rsidRPr="003B30CB">
        <w:t>UnitingCare Australia’s principal interest in energy regulation arises because energy is an essential service with rising costs that are putting inordinate financial pressure on growing numbers of households in Australia.</w:t>
      </w:r>
    </w:p>
    <w:p w:rsidR="009F1EB1" w:rsidRDefault="009F1EB1" w:rsidP="009F1EB1">
      <w:pPr>
        <w:pStyle w:val="Heading1"/>
      </w:pPr>
      <w:bookmarkStart w:id="2" w:name="_Toc420939328"/>
      <w:r>
        <w:t>2</w:t>
      </w:r>
      <w:r>
        <w:tab/>
      </w:r>
      <w:bookmarkEnd w:id="2"/>
      <w:r w:rsidR="006A5DA1">
        <w:t>Application for Exemption</w:t>
      </w:r>
    </w:p>
    <w:p w:rsidR="006A5DA1" w:rsidRDefault="006A5DA1" w:rsidP="006A5DA1">
      <w:pPr>
        <w:pStyle w:val="PlainText"/>
        <w:rPr>
          <w:sz w:val="24"/>
          <w:szCs w:val="24"/>
        </w:rPr>
      </w:pPr>
      <w:r w:rsidRPr="006A5DA1">
        <w:rPr>
          <w:sz w:val="24"/>
          <w:szCs w:val="24"/>
        </w:rPr>
        <w:t>UnitingCare Australia has considered the application for individual exemption from authorisation as an electricity retailer by</w:t>
      </w:r>
      <w:r w:rsidR="00062885">
        <w:rPr>
          <w:sz w:val="24"/>
          <w:szCs w:val="24"/>
        </w:rPr>
        <w:t xml:space="preserve"> Stockland Property Management</w:t>
      </w:r>
      <w:r w:rsidRPr="006A5DA1">
        <w:rPr>
          <w:sz w:val="24"/>
          <w:szCs w:val="24"/>
        </w:rPr>
        <w:t>, and is not convinced that th</w:t>
      </w:r>
      <w:r w:rsidR="00062885">
        <w:rPr>
          <w:sz w:val="24"/>
          <w:szCs w:val="24"/>
        </w:rPr>
        <w:t>is</w:t>
      </w:r>
      <w:r w:rsidRPr="006A5DA1">
        <w:rPr>
          <w:sz w:val="24"/>
          <w:szCs w:val="24"/>
        </w:rPr>
        <w:t xml:space="preserve"> group should be regarded as an exempt seller</w:t>
      </w:r>
      <w:r>
        <w:rPr>
          <w:sz w:val="24"/>
          <w:szCs w:val="24"/>
        </w:rPr>
        <w:t>. Our reasons for this conclusion are summarised below.</w:t>
      </w:r>
    </w:p>
    <w:p w:rsidR="006A5DA1" w:rsidRPr="006A5DA1" w:rsidRDefault="006A5DA1" w:rsidP="006A5DA1">
      <w:pPr>
        <w:pStyle w:val="PlainText"/>
        <w:rPr>
          <w:sz w:val="24"/>
          <w:szCs w:val="24"/>
        </w:rPr>
      </w:pPr>
    </w:p>
    <w:p w:rsidR="006A5DA1" w:rsidRPr="00BC4952" w:rsidRDefault="00062885" w:rsidP="006A5DA1">
      <w:pPr>
        <w:pStyle w:val="PlainText"/>
        <w:rPr>
          <w:sz w:val="24"/>
          <w:szCs w:val="24"/>
          <w:u w:val="single"/>
        </w:rPr>
      </w:pPr>
      <w:r>
        <w:rPr>
          <w:sz w:val="24"/>
          <w:szCs w:val="24"/>
          <w:u w:val="single"/>
        </w:rPr>
        <w:t>Stockland Property Management</w:t>
      </w:r>
      <w:r w:rsidR="00BC4952" w:rsidRPr="00BC4952">
        <w:rPr>
          <w:sz w:val="24"/>
          <w:szCs w:val="24"/>
          <w:u w:val="single"/>
        </w:rPr>
        <w:t xml:space="preserve"> bills for a significant amount of electricity</w:t>
      </w:r>
    </w:p>
    <w:p w:rsidR="00C05BC5" w:rsidRDefault="006A5DA1" w:rsidP="006A5DA1">
      <w:pPr>
        <w:pStyle w:val="PlainText"/>
        <w:rPr>
          <w:sz w:val="24"/>
          <w:szCs w:val="24"/>
        </w:rPr>
      </w:pPr>
      <w:r w:rsidRPr="006A5DA1">
        <w:rPr>
          <w:sz w:val="24"/>
          <w:szCs w:val="24"/>
        </w:rPr>
        <w:t xml:space="preserve">In aggregate, the twenty </w:t>
      </w:r>
      <w:r w:rsidR="00062885">
        <w:rPr>
          <w:sz w:val="24"/>
          <w:szCs w:val="24"/>
        </w:rPr>
        <w:t>Stockland Property Management</w:t>
      </w:r>
      <w:r w:rsidRPr="006A5DA1">
        <w:rPr>
          <w:sz w:val="24"/>
          <w:szCs w:val="24"/>
        </w:rPr>
        <w:t xml:space="preserve"> sites</w:t>
      </w:r>
      <w:r w:rsidR="00C05BC5">
        <w:rPr>
          <w:sz w:val="24"/>
          <w:szCs w:val="24"/>
        </w:rPr>
        <w:t xml:space="preserve"> across NSW and Victoria</w:t>
      </w:r>
      <w:r>
        <w:rPr>
          <w:sz w:val="24"/>
          <w:szCs w:val="24"/>
        </w:rPr>
        <w:t>,</w:t>
      </w:r>
      <w:r w:rsidR="00C05BC5">
        <w:rPr>
          <w:sz w:val="24"/>
          <w:szCs w:val="24"/>
        </w:rPr>
        <w:t xml:space="preserve"> have a total of 982 tenants, of which 44 are large tenants, and 938</w:t>
      </w:r>
      <w:r w:rsidRPr="006A5DA1">
        <w:rPr>
          <w:sz w:val="24"/>
          <w:szCs w:val="24"/>
        </w:rPr>
        <w:t xml:space="preserve"> are regarded as small tenants. </w:t>
      </w:r>
    </w:p>
    <w:tbl>
      <w:tblPr>
        <w:tblStyle w:val="TableGrid"/>
        <w:tblW w:w="0" w:type="auto"/>
        <w:tblLook w:val="04A0" w:firstRow="1" w:lastRow="0" w:firstColumn="1" w:lastColumn="0" w:noHBand="0" w:noVBand="1"/>
      </w:tblPr>
      <w:tblGrid>
        <w:gridCol w:w="1803"/>
        <w:gridCol w:w="1803"/>
        <w:gridCol w:w="1803"/>
        <w:gridCol w:w="1803"/>
        <w:gridCol w:w="1804"/>
      </w:tblGrid>
      <w:tr w:rsidR="00C05BC5" w:rsidTr="00980BF8">
        <w:tc>
          <w:tcPr>
            <w:tcW w:w="1803" w:type="dxa"/>
          </w:tcPr>
          <w:p w:rsidR="00C05BC5" w:rsidRPr="008622F8" w:rsidRDefault="00C05BC5" w:rsidP="00980BF8">
            <w:pPr>
              <w:rPr>
                <w:b/>
                <w:sz w:val="22"/>
                <w:szCs w:val="22"/>
              </w:rPr>
            </w:pPr>
            <w:r w:rsidRPr="008622F8">
              <w:rPr>
                <w:b/>
                <w:sz w:val="22"/>
                <w:szCs w:val="22"/>
              </w:rPr>
              <w:t>Shopping Centre</w:t>
            </w:r>
          </w:p>
        </w:tc>
        <w:tc>
          <w:tcPr>
            <w:tcW w:w="1803" w:type="dxa"/>
          </w:tcPr>
          <w:p w:rsidR="00C05BC5" w:rsidRPr="008622F8" w:rsidRDefault="00C05BC5" w:rsidP="00980BF8">
            <w:pPr>
              <w:rPr>
                <w:b/>
                <w:sz w:val="22"/>
                <w:szCs w:val="22"/>
              </w:rPr>
            </w:pPr>
            <w:r w:rsidRPr="008622F8">
              <w:rPr>
                <w:b/>
                <w:sz w:val="22"/>
                <w:szCs w:val="22"/>
              </w:rPr>
              <w:t>State</w:t>
            </w:r>
          </w:p>
        </w:tc>
        <w:tc>
          <w:tcPr>
            <w:tcW w:w="1803" w:type="dxa"/>
          </w:tcPr>
          <w:p w:rsidR="00C05BC5" w:rsidRPr="008622F8" w:rsidRDefault="00C05BC5" w:rsidP="00980BF8">
            <w:pPr>
              <w:rPr>
                <w:b/>
                <w:sz w:val="22"/>
                <w:szCs w:val="22"/>
              </w:rPr>
            </w:pPr>
            <w:r w:rsidRPr="008622F8">
              <w:rPr>
                <w:b/>
                <w:sz w:val="22"/>
                <w:szCs w:val="22"/>
              </w:rPr>
              <w:t>Small tenants</w:t>
            </w:r>
          </w:p>
        </w:tc>
        <w:tc>
          <w:tcPr>
            <w:tcW w:w="1803" w:type="dxa"/>
          </w:tcPr>
          <w:p w:rsidR="00C05BC5" w:rsidRPr="008622F8" w:rsidRDefault="00C05BC5" w:rsidP="00980BF8">
            <w:pPr>
              <w:rPr>
                <w:b/>
                <w:sz w:val="22"/>
                <w:szCs w:val="22"/>
              </w:rPr>
            </w:pPr>
            <w:r w:rsidRPr="008622F8">
              <w:rPr>
                <w:b/>
                <w:sz w:val="22"/>
                <w:szCs w:val="22"/>
              </w:rPr>
              <w:t>Large tenants</w:t>
            </w:r>
          </w:p>
        </w:tc>
        <w:tc>
          <w:tcPr>
            <w:tcW w:w="1804" w:type="dxa"/>
          </w:tcPr>
          <w:p w:rsidR="00C05BC5" w:rsidRPr="008622F8" w:rsidRDefault="00C05BC5" w:rsidP="00980BF8">
            <w:pPr>
              <w:rPr>
                <w:b/>
                <w:sz w:val="22"/>
                <w:szCs w:val="22"/>
              </w:rPr>
            </w:pPr>
            <w:r w:rsidRPr="008622F8">
              <w:rPr>
                <w:b/>
                <w:sz w:val="22"/>
                <w:szCs w:val="22"/>
              </w:rPr>
              <w:t>Total Tenants</w:t>
            </w:r>
          </w:p>
        </w:tc>
      </w:tr>
      <w:tr w:rsidR="00C05BC5" w:rsidTr="00980BF8">
        <w:tc>
          <w:tcPr>
            <w:tcW w:w="1803" w:type="dxa"/>
          </w:tcPr>
          <w:p w:rsidR="00C05BC5" w:rsidRPr="008622F8" w:rsidRDefault="00C05BC5" w:rsidP="00980BF8">
            <w:pPr>
              <w:rPr>
                <w:sz w:val="22"/>
                <w:szCs w:val="22"/>
              </w:rPr>
            </w:pPr>
            <w:r w:rsidRPr="008622F8">
              <w:rPr>
                <w:sz w:val="22"/>
                <w:szCs w:val="22"/>
              </w:rPr>
              <w:t>The Pines</w:t>
            </w:r>
          </w:p>
        </w:tc>
        <w:tc>
          <w:tcPr>
            <w:tcW w:w="1803" w:type="dxa"/>
          </w:tcPr>
          <w:p w:rsidR="00C05BC5" w:rsidRPr="008622F8" w:rsidRDefault="00C05BC5" w:rsidP="00980BF8">
            <w:pPr>
              <w:rPr>
                <w:sz w:val="22"/>
                <w:szCs w:val="22"/>
              </w:rPr>
            </w:pPr>
            <w:r w:rsidRPr="008622F8">
              <w:rPr>
                <w:sz w:val="22"/>
                <w:szCs w:val="22"/>
              </w:rPr>
              <w:t>VIC</w:t>
            </w:r>
          </w:p>
        </w:tc>
        <w:tc>
          <w:tcPr>
            <w:tcW w:w="1803" w:type="dxa"/>
          </w:tcPr>
          <w:p w:rsidR="00C05BC5" w:rsidRPr="008622F8" w:rsidRDefault="00C05BC5" w:rsidP="00980BF8">
            <w:pPr>
              <w:rPr>
                <w:sz w:val="22"/>
                <w:szCs w:val="22"/>
              </w:rPr>
            </w:pPr>
            <w:r w:rsidRPr="008622F8">
              <w:rPr>
                <w:sz w:val="22"/>
                <w:szCs w:val="22"/>
              </w:rPr>
              <w:t>117</w:t>
            </w:r>
          </w:p>
        </w:tc>
        <w:tc>
          <w:tcPr>
            <w:tcW w:w="1803" w:type="dxa"/>
          </w:tcPr>
          <w:p w:rsidR="00C05BC5" w:rsidRPr="008622F8" w:rsidRDefault="00C05BC5" w:rsidP="00980BF8">
            <w:pPr>
              <w:rPr>
                <w:sz w:val="22"/>
                <w:szCs w:val="22"/>
              </w:rPr>
            </w:pPr>
            <w:r w:rsidRPr="008622F8">
              <w:rPr>
                <w:sz w:val="22"/>
                <w:szCs w:val="22"/>
              </w:rPr>
              <w:t>6</w:t>
            </w:r>
          </w:p>
        </w:tc>
        <w:tc>
          <w:tcPr>
            <w:tcW w:w="1804" w:type="dxa"/>
          </w:tcPr>
          <w:p w:rsidR="00C05BC5" w:rsidRPr="008622F8" w:rsidRDefault="00C05BC5" w:rsidP="00980BF8">
            <w:pPr>
              <w:rPr>
                <w:sz w:val="22"/>
                <w:szCs w:val="22"/>
              </w:rPr>
            </w:pPr>
            <w:r w:rsidRPr="008622F8">
              <w:rPr>
                <w:sz w:val="22"/>
                <w:szCs w:val="22"/>
              </w:rPr>
              <w:t>123</w:t>
            </w:r>
          </w:p>
        </w:tc>
      </w:tr>
      <w:tr w:rsidR="00C05BC5" w:rsidTr="00980BF8">
        <w:tc>
          <w:tcPr>
            <w:tcW w:w="1803" w:type="dxa"/>
          </w:tcPr>
          <w:p w:rsidR="00C05BC5" w:rsidRPr="008622F8" w:rsidRDefault="00C05BC5" w:rsidP="00980BF8">
            <w:pPr>
              <w:rPr>
                <w:sz w:val="22"/>
                <w:szCs w:val="22"/>
              </w:rPr>
            </w:pPr>
            <w:r w:rsidRPr="008622F8">
              <w:rPr>
                <w:sz w:val="22"/>
                <w:szCs w:val="22"/>
              </w:rPr>
              <w:t>Tooronga</w:t>
            </w:r>
          </w:p>
        </w:tc>
        <w:tc>
          <w:tcPr>
            <w:tcW w:w="1803" w:type="dxa"/>
          </w:tcPr>
          <w:p w:rsidR="00C05BC5" w:rsidRPr="008622F8" w:rsidRDefault="00C05BC5" w:rsidP="00980BF8">
            <w:pPr>
              <w:rPr>
                <w:sz w:val="22"/>
                <w:szCs w:val="22"/>
              </w:rPr>
            </w:pPr>
            <w:r w:rsidRPr="008622F8">
              <w:rPr>
                <w:sz w:val="22"/>
                <w:szCs w:val="22"/>
              </w:rPr>
              <w:t>VIC</w:t>
            </w:r>
          </w:p>
        </w:tc>
        <w:tc>
          <w:tcPr>
            <w:tcW w:w="1803" w:type="dxa"/>
          </w:tcPr>
          <w:p w:rsidR="00C05BC5" w:rsidRPr="008622F8" w:rsidRDefault="00C05BC5" w:rsidP="00980BF8">
            <w:pPr>
              <w:rPr>
                <w:sz w:val="22"/>
                <w:szCs w:val="22"/>
              </w:rPr>
            </w:pPr>
            <w:r w:rsidRPr="008622F8">
              <w:rPr>
                <w:sz w:val="22"/>
                <w:szCs w:val="22"/>
              </w:rPr>
              <w:t>35</w:t>
            </w:r>
          </w:p>
        </w:tc>
        <w:tc>
          <w:tcPr>
            <w:tcW w:w="1803" w:type="dxa"/>
          </w:tcPr>
          <w:p w:rsidR="00C05BC5" w:rsidRPr="008622F8" w:rsidRDefault="00C05BC5" w:rsidP="00980BF8">
            <w:pPr>
              <w:rPr>
                <w:sz w:val="22"/>
                <w:szCs w:val="22"/>
              </w:rPr>
            </w:pPr>
            <w:r w:rsidRPr="008622F8">
              <w:rPr>
                <w:sz w:val="22"/>
                <w:szCs w:val="22"/>
              </w:rPr>
              <w:t>2</w:t>
            </w:r>
          </w:p>
        </w:tc>
        <w:tc>
          <w:tcPr>
            <w:tcW w:w="1804" w:type="dxa"/>
          </w:tcPr>
          <w:p w:rsidR="00C05BC5" w:rsidRPr="008622F8" w:rsidRDefault="00C05BC5" w:rsidP="00980BF8">
            <w:pPr>
              <w:rPr>
                <w:sz w:val="22"/>
                <w:szCs w:val="22"/>
              </w:rPr>
            </w:pPr>
            <w:r w:rsidRPr="008622F8">
              <w:rPr>
                <w:sz w:val="22"/>
                <w:szCs w:val="22"/>
              </w:rPr>
              <w:t>37</w:t>
            </w:r>
          </w:p>
        </w:tc>
      </w:tr>
      <w:tr w:rsidR="00C05BC5" w:rsidTr="00980BF8">
        <w:tc>
          <w:tcPr>
            <w:tcW w:w="1803" w:type="dxa"/>
          </w:tcPr>
          <w:p w:rsidR="00C05BC5" w:rsidRPr="008622F8" w:rsidRDefault="00C05BC5" w:rsidP="00980BF8">
            <w:pPr>
              <w:rPr>
                <w:sz w:val="22"/>
                <w:szCs w:val="22"/>
              </w:rPr>
            </w:pPr>
            <w:r w:rsidRPr="008622F8">
              <w:rPr>
                <w:sz w:val="22"/>
                <w:szCs w:val="22"/>
              </w:rPr>
              <w:t>Highlands</w:t>
            </w:r>
          </w:p>
        </w:tc>
        <w:tc>
          <w:tcPr>
            <w:tcW w:w="1803" w:type="dxa"/>
          </w:tcPr>
          <w:p w:rsidR="00C05BC5" w:rsidRPr="008622F8" w:rsidRDefault="00C05BC5" w:rsidP="00980BF8">
            <w:pPr>
              <w:rPr>
                <w:sz w:val="22"/>
                <w:szCs w:val="22"/>
              </w:rPr>
            </w:pPr>
            <w:r w:rsidRPr="008622F8">
              <w:rPr>
                <w:sz w:val="22"/>
                <w:szCs w:val="22"/>
              </w:rPr>
              <w:t>VIC</w:t>
            </w:r>
          </w:p>
        </w:tc>
        <w:tc>
          <w:tcPr>
            <w:tcW w:w="1803" w:type="dxa"/>
          </w:tcPr>
          <w:p w:rsidR="00C05BC5" w:rsidRPr="008622F8" w:rsidRDefault="00C05BC5" w:rsidP="00980BF8">
            <w:pPr>
              <w:rPr>
                <w:sz w:val="22"/>
                <w:szCs w:val="22"/>
              </w:rPr>
            </w:pPr>
            <w:r w:rsidRPr="008622F8">
              <w:rPr>
                <w:sz w:val="22"/>
                <w:szCs w:val="22"/>
              </w:rPr>
              <w:t>25</w:t>
            </w:r>
          </w:p>
        </w:tc>
        <w:tc>
          <w:tcPr>
            <w:tcW w:w="1803" w:type="dxa"/>
          </w:tcPr>
          <w:p w:rsidR="00C05BC5" w:rsidRPr="008622F8" w:rsidRDefault="00C05BC5" w:rsidP="00980BF8">
            <w:pPr>
              <w:rPr>
                <w:sz w:val="22"/>
                <w:szCs w:val="22"/>
              </w:rPr>
            </w:pPr>
            <w:r w:rsidRPr="008622F8">
              <w:rPr>
                <w:sz w:val="22"/>
                <w:szCs w:val="22"/>
              </w:rPr>
              <w:t>3</w:t>
            </w:r>
          </w:p>
        </w:tc>
        <w:tc>
          <w:tcPr>
            <w:tcW w:w="1804" w:type="dxa"/>
          </w:tcPr>
          <w:p w:rsidR="00C05BC5" w:rsidRPr="008622F8" w:rsidRDefault="00C05BC5" w:rsidP="00980BF8">
            <w:pPr>
              <w:rPr>
                <w:sz w:val="22"/>
                <w:szCs w:val="22"/>
              </w:rPr>
            </w:pPr>
            <w:r w:rsidRPr="008622F8">
              <w:rPr>
                <w:sz w:val="22"/>
                <w:szCs w:val="22"/>
              </w:rPr>
              <w:t>28</w:t>
            </w:r>
          </w:p>
        </w:tc>
      </w:tr>
      <w:tr w:rsidR="00C05BC5" w:rsidTr="00980BF8">
        <w:tc>
          <w:tcPr>
            <w:tcW w:w="1803" w:type="dxa"/>
          </w:tcPr>
          <w:p w:rsidR="00C05BC5" w:rsidRPr="008622F8" w:rsidRDefault="00C05BC5" w:rsidP="00980BF8">
            <w:pPr>
              <w:rPr>
                <w:sz w:val="22"/>
                <w:szCs w:val="22"/>
              </w:rPr>
            </w:pPr>
            <w:r>
              <w:rPr>
                <w:sz w:val="22"/>
                <w:szCs w:val="22"/>
              </w:rPr>
              <w:t>T</w:t>
            </w:r>
            <w:r w:rsidRPr="008622F8">
              <w:rPr>
                <w:sz w:val="22"/>
                <w:szCs w:val="22"/>
              </w:rPr>
              <w:t>raralgon</w:t>
            </w:r>
          </w:p>
        </w:tc>
        <w:tc>
          <w:tcPr>
            <w:tcW w:w="1803" w:type="dxa"/>
          </w:tcPr>
          <w:p w:rsidR="00C05BC5" w:rsidRPr="008622F8" w:rsidRDefault="00C05BC5" w:rsidP="00980BF8">
            <w:pPr>
              <w:rPr>
                <w:sz w:val="22"/>
                <w:szCs w:val="22"/>
              </w:rPr>
            </w:pPr>
            <w:r w:rsidRPr="008622F8">
              <w:rPr>
                <w:sz w:val="22"/>
                <w:szCs w:val="22"/>
              </w:rPr>
              <w:t>VIC</w:t>
            </w:r>
          </w:p>
        </w:tc>
        <w:tc>
          <w:tcPr>
            <w:tcW w:w="1803" w:type="dxa"/>
          </w:tcPr>
          <w:p w:rsidR="00C05BC5" w:rsidRPr="008622F8" w:rsidRDefault="00C05BC5" w:rsidP="00980BF8">
            <w:pPr>
              <w:rPr>
                <w:sz w:val="22"/>
                <w:szCs w:val="22"/>
              </w:rPr>
            </w:pPr>
            <w:r w:rsidRPr="008622F8">
              <w:rPr>
                <w:sz w:val="22"/>
                <w:szCs w:val="22"/>
              </w:rPr>
              <w:t>49</w:t>
            </w:r>
          </w:p>
        </w:tc>
        <w:tc>
          <w:tcPr>
            <w:tcW w:w="1803" w:type="dxa"/>
          </w:tcPr>
          <w:p w:rsidR="00C05BC5" w:rsidRPr="008622F8" w:rsidRDefault="00C05BC5" w:rsidP="00980BF8">
            <w:pPr>
              <w:rPr>
                <w:sz w:val="22"/>
                <w:szCs w:val="22"/>
              </w:rPr>
            </w:pPr>
            <w:r w:rsidRPr="008622F8">
              <w:rPr>
                <w:sz w:val="22"/>
                <w:szCs w:val="22"/>
              </w:rPr>
              <w:t>1</w:t>
            </w:r>
          </w:p>
        </w:tc>
        <w:tc>
          <w:tcPr>
            <w:tcW w:w="1804" w:type="dxa"/>
          </w:tcPr>
          <w:p w:rsidR="00C05BC5" w:rsidRPr="008622F8" w:rsidRDefault="00C05BC5" w:rsidP="00980BF8">
            <w:pPr>
              <w:rPr>
                <w:sz w:val="22"/>
                <w:szCs w:val="22"/>
              </w:rPr>
            </w:pPr>
            <w:r w:rsidRPr="008622F8">
              <w:rPr>
                <w:sz w:val="22"/>
                <w:szCs w:val="22"/>
              </w:rPr>
              <w:t>50</w:t>
            </w:r>
          </w:p>
        </w:tc>
      </w:tr>
      <w:tr w:rsidR="00C05BC5" w:rsidTr="00980BF8">
        <w:tc>
          <w:tcPr>
            <w:tcW w:w="1803" w:type="dxa"/>
          </w:tcPr>
          <w:p w:rsidR="00C05BC5" w:rsidRPr="008622F8" w:rsidRDefault="00C05BC5" w:rsidP="00980BF8">
            <w:pPr>
              <w:rPr>
                <w:sz w:val="22"/>
                <w:szCs w:val="22"/>
              </w:rPr>
            </w:pPr>
            <w:r w:rsidRPr="008622F8">
              <w:rPr>
                <w:sz w:val="22"/>
                <w:szCs w:val="22"/>
              </w:rPr>
              <w:t>Wendouree</w:t>
            </w:r>
          </w:p>
        </w:tc>
        <w:tc>
          <w:tcPr>
            <w:tcW w:w="1803" w:type="dxa"/>
          </w:tcPr>
          <w:p w:rsidR="00C05BC5" w:rsidRPr="008622F8" w:rsidRDefault="00C05BC5" w:rsidP="00980BF8">
            <w:pPr>
              <w:rPr>
                <w:sz w:val="22"/>
                <w:szCs w:val="22"/>
              </w:rPr>
            </w:pPr>
            <w:r w:rsidRPr="008622F8">
              <w:rPr>
                <w:sz w:val="22"/>
                <w:szCs w:val="22"/>
              </w:rPr>
              <w:t>VIC</w:t>
            </w:r>
          </w:p>
        </w:tc>
        <w:tc>
          <w:tcPr>
            <w:tcW w:w="1803" w:type="dxa"/>
          </w:tcPr>
          <w:p w:rsidR="00C05BC5" w:rsidRPr="008622F8" w:rsidRDefault="00C05BC5" w:rsidP="00980BF8">
            <w:pPr>
              <w:rPr>
                <w:sz w:val="22"/>
                <w:szCs w:val="22"/>
              </w:rPr>
            </w:pPr>
            <w:r w:rsidRPr="008622F8">
              <w:rPr>
                <w:sz w:val="22"/>
                <w:szCs w:val="22"/>
              </w:rPr>
              <w:t>86</w:t>
            </w:r>
          </w:p>
        </w:tc>
        <w:tc>
          <w:tcPr>
            <w:tcW w:w="1803" w:type="dxa"/>
          </w:tcPr>
          <w:p w:rsidR="00C05BC5" w:rsidRPr="008622F8" w:rsidRDefault="00C05BC5" w:rsidP="00980BF8">
            <w:pPr>
              <w:rPr>
                <w:sz w:val="22"/>
                <w:szCs w:val="22"/>
              </w:rPr>
            </w:pPr>
            <w:r w:rsidRPr="008622F8">
              <w:rPr>
                <w:sz w:val="22"/>
                <w:szCs w:val="22"/>
              </w:rPr>
              <w:t>0</w:t>
            </w:r>
          </w:p>
        </w:tc>
        <w:tc>
          <w:tcPr>
            <w:tcW w:w="1804" w:type="dxa"/>
          </w:tcPr>
          <w:p w:rsidR="00C05BC5" w:rsidRPr="008622F8" w:rsidRDefault="00C05BC5" w:rsidP="00980BF8">
            <w:pPr>
              <w:rPr>
                <w:sz w:val="22"/>
                <w:szCs w:val="22"/>
              </w:rPr>
            </w:pPr>
            <w:r w:rsidRPr="008622F8">
              <w:rPr>
                <w:sz w:val="22"/>
                <w:szCs w:val="22"/>
              </w:rPr>
              <w:t>86</w:t>
            </w:r>
          </w:p>
        </w:tc>
      </w:tr>
      <w:tr w:rsidR="00C05BC5" w:rsidTr="00980BF8">
        <w:tc>
          <w:tcPr>
            <w:tcW w:w="1803" w:type="dxa"/>
          </w:tcPr>
          <w:p w:rsidR="00C05BC5" w:rsidRPr="008622F8" w:rsidRDefault="00C05BC5" w:rsidP="00980BF8">
            <w:pPr>
              <w:rPr>
                <w:sz w:val="22"/>
                <w:szCs w:val="22"/>
              </w:rPr>
            </w:pPr>
            <w:r w:rsidRPr="008622F8">
              <w:rPr>
                <w:sz w:val="22"/>
                <w:szCs w:val="22"/>
              </w:rPr>
              <w:t>Merrylands</w:t>
            </w:r>
          </w:p>
        </w:tc>
        <w:tc>
          <w:tcPr>
            <w:tcW w:w="1803" w:type="dxa"/>
          </w:tcPr>
          <w:p w:rsidR="00C05BC5" w:rsidRPr="008622F8" w:rsidRDefault="00C05BC5" w:rsidP="00980BF8">
            <w:pPr>
              <w:rPr>
                <w:sz w:val="22"/>
                <w:szCs w:val="22"/>
              </w:rPr>
            </w:pPr>
            <w:r w:rsidRPr="008622F8">
              <w:rPr>
                <w:sz w:val="22"/>
                <w:szCs w:val="22"/>
              </w:rPr>
              <w:t>NSW</w:t>
            </w:r>
          </w:p>
        </w:tc>
        <w:tc>
          <w:tcPr>
            <w:tcW w:w="1803" w:type="dxa"/>
          </w:tcPr>
          <w:p w:rsidR="00C05BC5" w:rsidRPr="008622F8" w:rsidRDefault="00C05BC5" w:rsidP="00980BF8">
            <w:pPr>
              <w:rPr>
                <w:sz w:val="22"/>
                <w:szCs w:val="22"/>
              </w:rPr>
            </w:pPr>
            <w:r w:rsidRPr="008622F8">
              <w:rPr>
                <w:sz w:val="22"/>
                <w:szCs w:val="22"/>
              </w:rPr>
              <w:t>216</w:t>
            </w:r>
          </w:p>
        </w:tc>
        <w:tc>
          <w:tcPr>
            <w:tcW w:w="1803" w:type="dxa"/>
          </w:tcPr>
          <w:p w:rsidR="00C05BC5" w:rsidRPr="008622F8" w:rsidRDefault="00C05BC5" w:rsidP="00980BF8">
            <w:pPr>
              <w:rPr>
                <w:sz w:val="22"/>
                <w:szCs w:val="22"/>
              </w:rPr>
            </w:pPr>
            <w:r w:rsidRPr="008622F8">
              <w:rPr>
                <w:sz w:val="22"/>
                <w:szCs w:val="22"/>
              </w:rPr>
              <w:t>9</w:t>
            </w:r>
          </w:p>
        </w:tc>
        <w:tc>
          <w:tcPr>
            <w:tcW w:w="1804" w:type="dxa"/>
          </w:tcPr>
          <w:p w:rsidR="00C05BC5" w:rsidRPr="008622F8" w:rsidRDefault="00C05BC5" w:rsidP="00980BF8">
            <w:pPr>
              <w:rPr>
                <w:sz w:val="22"/>
                <w:szCs w:val="22"/>
              </w:rPr>
            </w:pPr>
            <w:r w:rsidRPr="008622F8">
              <w:rPr>
                <w:sz w:val="22"/>
                <w:szCs w:val="22"/>
              </w:rPr>
              <w:t>225</w:t>
            </w:r>
          </w:p>
        </w:tc>
      </w:tr>
      <w:tr w:rsidR="00C05BC5" w:rsidTr="00980BF8">
        <w:tc>
          <w:tcPr>
            <w:tcW w:w="1803" w:type="dxa"/>
          </w:tcPr>
          <w:p w:rsidR="00C05BC5" w:rsidRPr="008622F8" w:rsidRDefault="00C05BC5" w:rsidP="00980BF8">
            <w:pPr>
              <w:rPr>
                <w:sz w:val="22"/>
                <w:szCs w:val="22"/>
              </w:rPr>
            </w:pPr>
            <w:r w:rsidRPr="008622F8">
              <w:rPr>
                <w:sz w:val="22"/>
                <w:szCs w:val="22"/>
              </w:rPr>
              <w:t>Shellharbour</w:t>
            </w:r>
          </w:p>
        </w:tc>
        <w:tc>
          <w:tcPr>
            <w:tcW w:w="1803" w:type="dxa"/>
          </w:tcPr>
          <w:p w:rsidR="00C05BC5" w:rsidRPr="008622F8" w:rsidRDefault="00C05BC5" w:rsidP="00980BF8">
            <w:pPr>
              <w:rPr>
                <w:sz w:val="22"/>
                <w:szCs w:val="22"/>
              </w:rPr>
            </w:pPr>
            <w:r w:rsidRPr="008622F8">
              <w:rPr>
                <w:sz w:val="22"/>
                <w:szCs w:val="22"/>
              </w:rPr>
              <w:t>NSW</w:t>
            </w:r>
          </w:p>
        </w:tc>
        <w:tc>
          <w:tcPr>
            <w:tcW w:w="1803" w:type="dxa"/>
          </w:tcPr>
          <w:p w:rsidR="00C05BC5" w:rsidRPr="008622F8" w:rsidRDefault="00C05BC5" w:rsidP="00980BF8">
            <w:pPr>
              <w:rPr>
                <w:sz w:val="22"/>
                <w:szCs w:val="22"/>
              </w:rPr>
            </w:pPr>
            <w:r w:rsidRPr="008622F8">
              <w:rPr>
                <w:sz w:val="22"/>
                <w:szCs w:val="22"/>
              </w:rPr>
              <w:t>266</w:t>
            </w:r>
          </w:p>
        </w:tc>
        <w:tc>
          <w:tcPr>
            <w:tcW w:w="1803" w:type="dxa"/>
          </w:tcPr>
          <w:p w:rsidR="00C05BC5" w:rsidRPr="008622F8" w:rsidRDefault="00C05BC5" w:rsidP="00980BF8">
            <w:pPr>
              <w:rPr>
                <w:sz w:val="22"/>
                <w:szCs w:val="22"/>
              </w:rPr>
            </w:pPr>
            <w:r w:rsidRPr="008622F8">
              <w:rPr>
                <w:sz w:val="22"/>
                <w:szCs w:val="22"/>
              </w:rPr>
              <w:t>8</w:t>
            </w:r>
          </w:p>
        </w:tc>
        <w:tc>
          <w:tcPr>
            <w:tcW w:w="1804" w:type="dxa"/>
          </w:tcPr>
          <w:p w:rsidR="00C05BC5" w:rsidRPr="008622F8" w:rsidRDefault="00C05BC5" w:rsidP="00980BF8">
            <w:pPr>
              <w:rPr>
                <w:sz w:val="22"/>
                <w:szCs w:val="22"/>
              </w:rPr>
            </w:pPr>
            <w:r w:rsidRPr="008622F8">
              <w:rPr>
                <w:sz w:val="22"/>
                <w:szCs w:val="22"/>
              </w:rPr>
              <w:t>274</w:t>
            </w:r>
          </w:p>
        </w:tc>
      </w:tr>
      <w:tr w:rsidR="00C05BC5" w:rsidTr="00980BF8">
        <w:tc>
          <w:tcPr>
            <w:tcW w:w="1803" w:type="dxa"/>
          </w:tcPr>
          <w:p w:rsidR="00C05BC5" w:rsidRPr="008622F8" w:rsidRDefault="00C05BC5" w:rsidP="00980BF8">
            <w:pPr>
              <w:rPr>
                <w:sz w:val="22"/>
                <w:szCs w:val="22"/>
              </w:rPr>
            </w:pPr>
            <w:r w:rsidRPr="008622F8">
              <w:rPr>
                <w:rFonts w:eastAsia="Times New Roman"/>
                <w:sz w:val="22"/>
                <w:szCs w:val="22"/>
              </w:rPr>
              <w:t>Balgowlah</w:t>
            </w:r>
          </w:p>
        </w:tc>
        <w:tc>
          <w:tcPr>
            <w:tcW w:w="1803" w:type="dxa"/>
          </w:tcPr>
          <w:p w:rsidR="00C05BC5" w:rsidRPr="008622F8" w:rsidRDefault="00C05BC5" w:rsidP="00980BF8">
            <w:pPr>
              <w:rPr>
                <w:sz w:val="22"/>
                <w:szCs w:val="22"/>
              </w:rPr>
            </w:pPr>
            <w:r w:rsidRPr="008622F8">
              <w:rPr>
                <w:sz w:val="22"/>
                <w:szCs w:val="22"/>
              </w:rPr>
              <w:t>NSW</w:t>
            </w:r>
          </w:p>
        </w:tc>
        <w:tc>
          <w:tcPr>
            <w:tcW w:w="1803" w:type="dxa"/>
          </w:tcPr>
          <w:p w:rsidR="00C05BC5" w:rsidRPr="008622F8" w:rsidRDefault="00C05BC5" w:rsidP="00980BF8">
            <w:pPr>
              <w:rPr>
                <w:sz w:val="22"/>
                <w:szCs w:val="22"/>
              </w:rPr>
            </w:pPr>
            <w:r w:rsidRPr="008622F8">
              <w:rPr>
                <w:sz w:val="22"/>
                <w:szCs w:val="22"/>
              </w:rPr>
              <w:t>59</w:t>
            </w:r>
          </w:p>
        </w:tc>
        <w:tc>
          <w:tcPr>
            <w:tcW w:w="1803" w:type="dxa"/>
          </w:tcPr>
          <w:p w:rsidR="00C05BC5" w:rsidRPr="008622F8" w:rsidRDefault="00C05BC5" w:rsidP="00980BF8">
            <w:pPr>
              <w:rPr>
                <w:sz w:val="22"/>
                <w:szCs w:val="22"/>
              </w:rPr>
            </w:pPr>
            <w:r w:rsidRPr="008622F8">
              <w:rPr>
                <w:sz w:val="22"/>
                <w:szCs w:val="22"/>
              </w:rPr>
              <w:t>2</w:t>
            </w:r>
          </w:p>
        </w:tc>
        <w:tc>
          <w:tcPr>
            <w:tcW w:w="1804" w:type="dxa"/>
          </w:tcPr>
          <w:p w:rsidR="00C05BC5" w:rsidRPr="008622F8" w:rsidRDefault="00C05BC5" w:rsidP="00980BF8">
            <w:pPr>
              <w:rPr>
                <w:sz w:val="22"/>
                <w:szCs w:val="22"/>
              </w:rPr>
            </w:pPr>
            <w:r w:rsidRPr="008622F8">
              <w:rPr>
                <w:sz w:val="22"/>
                <w:szCs w:val="22"/>
              </w:rPr>
              <w:t>61</w:t>
            </w:r>
          </w:p>
        </w:tc>
      </w:tr>
      <w:tr w:rsidR="00C05BC5" w:rsidTr="00980BF8">
        <w:tc>
          <w:tcPr>
            <w:tcW w:w="1803" w:type="dxa"/>
          </w:tcPr>
          <w:p w:rsidR="00C05BC5" w:rsidRPr="008622F8" w:rsidRDefault="00C05BC5" w:rsidP="00980BF8">
            <w:pPr>
              <w:rPr>
                <w:sz w:val="22"/>
                <w:szCs w:val="22"/>
              </w:rPr>
            </w:pPr>
            <w:r w:rsidRPr="008622F8">
              <w:rPr>
                <w:sz w:val="22"/>
                <w:szCs w:val="22"/>
              </w:rPr>
              <w:t>Forster</w:t>
            </w:r>
          </w:p>
        </w:tc>
        <w:tc>
          <w:tcPr>
            <w:tcW w:w="1803" w:type="dxa"/>
          </w:tcPr>
          <w:p w:rsidR="00C05BC5" w:rsidRPr="008622F8" w:rsidRDefault="00C05BC5" w:rsidP="00980BF8">
            <w:pPr>
              <w:rPr>
                <w:sz w:val="22"/>
                <w:szCs w:val="22"/>
              </w:rPr>
            </w:pPr>
            <w:r w:rsidRPr="008622F8">
              <w:rPr>
                <w:sz w:val="22"/>
                <w:szCs w:val="22"/>
              </w:rPr>
              <w:t>NSW</w:t>
            </w:r>
          </w:p>
        </w:tc>
        <w:tc>
          <w:tcPr>
            <w:tcW w:w="1803" w:type="dxa"/>
          </w:tcPr>
          <w:p w:rsidR="00C05BC5" w:rsidRPr="008622F8" w:rsidRDefault="00C05BC5" w:rsidP="00980BF8">
            <w:pPr>
              <w:rPr>
                <w:sz w:val="22"/>
                <w:szCs w:val="22"/>
              </w:rPr>
            </w:pPr>
            <w:r w:rsidRPr="008622F8">
              <w:rPr>
                <w:sz w:val="22"/>
                <w:szCs w:val="22"/>
              </w:rPr>
              <w:t>85</w:t>
            </w:r>
          </w:p>
        </w:tc>
        <w:tc>
          <w:tcPr>
            <w:tcW w:w="1803" w:type="dxa"/>
          </w:tcPr>
          <w:p w:rsidR="00C05BC5" w:rsidRPr="008622F8" w:rsidRDefault="00C05BC5" w:rsidP="00980BF8">
            <w:pPr>
              <w:rPr>
                <w:sz w:val="22"/>
                <w:szCs w:val="22"/>
              </w:rPr>
            </w:pPr>
            <w:r w:rsidRPr="008622F8">
              <w:rPr>
                <w:sz w:val="22"/>
                <w:szCs w:val="22"/>
              </w:rPr>
              <w:t>13</w:t>
            </w:r>
          </w:p>
        </w:tc>
        <w:tc>
          <w:tcPr>
            <w:tcW w:w="1804" w:type="dxa"/>
          </w:tcPr>
          <w:p w:rsidR="00C05BC5" w:rsidRPr="008622F8" w:rsidRDefault="00C05BC5" w:rsidP="00980BF8">
            <w:pPr>
              <w:rPr>
                <w:sz w:val="22"/>
                <w:szCs w:val="22"/>
              </w:rPr>
            </w:pPr>
            <w:r w:rsidRPr="008622F8">
              <w:rPr>
                <w:sz w:val="22"/>
                <w:szCs w:val="22"/>
              </w:rPr>
              <w:t>98</w:t>
            </w:r>
          </w:p>
        </w:tc>
      </w:tr>
      <w:tr w:rsidR="00C05BC5" w:rsidTr="00980BF8">
        <w:tc>
          <w:tcPr>
            <w:tcW w:w="1803" w:type="dxa"/>
          </w:tcPr>
          <w:p w:rsidR="00C05BC5" w:rsidRPr="008622F8" w:rsidRDefault="00C05BC5" w:rsidP="00980BF8">
            <w:pPr>
              <w:rPr>
                <w:b/>
                <w:sz w:val="22"/>
                <w:szCs w:val="22"/>
              </w:rPr>
            </w:pPr>
            <w:r w:rsidRPr="008622F8">
              <w:rPr>
                <w:b/>
                <w:sz w:val="22"/>
                <w:szCs w:val="22"/>
              </w:rPr>
              <w:t>Total</w:t>
            </w:r>
          </w:p>
        </w:tc>
        <w:tc>
          <w:tcPr>
            <w:tcW w:w="1803" w:type="dxa"/>
          </w:tcPr>
          <w:p w:rsidR="00C05BC5" w:rsidRPr="008622F8" w:rsidRDefault="00C05BC5" w:rsidP="00980BF8">
            <w:pPr>
              <w:rPr>
                <w:b/>
                <w:sz w:val="22"/>
                <w:szCs w:val="22"/>
              </w:rPr>
            </w:pPr>
          </w:p>
        </w:tc>
        <w:tc>
          <w:tcPr>
            <w:tcW w:w="1803" w:type="dxa"/>
          </w:tcPr>
          <w:p w:rsidR="00C05BC5" w:rsidRPr="008622F8" w:rsidRDefault="00C05BC5" w:rsidP="00980BF8">
            <w:pPr>
              <w:rPr>
                <w:b/>
                <w:sz w:val="22"/>
                <w:szCs w:val="22"/>
              </w:rPr>
            </w:pPr>
            <w:r w:rsidRPr="008622F8">
              <w:rPr>
                <w:b/>
                <w:sz w:val="22"/>
                <w:szCs w:val="22"/>
              </w:rPr>
              <w:t>938</w:t>
            </w:r>
          </w:p>
        </w:tc>
        <w:tc>
          <w:tcPr>
            <w:tcW w:w="1803" w:type="dxa"/>
          </w:tcPr>
          <w:p w:rsidR="00C05BC5" w:rsidRPr="008622F8" w:rsidRDefault="00C05BC5" w:rsidP="00980BF8">
            <w:pPr>
              <w:rPr>
                <w:b/>
                <w:sz w:val="22"/>
                <w:szCs w:val="22"/>
              </w:rPr>
            </w:pPr>
            <w:r w:rsidRPr="008622F8">
              <w:rPr>
                <w:b/>
                <w:sz w:val="22"/>
                <w:szCs w:val="22"/>
              </w:rPr>
              <w:t>44</w:t>
            </w:r>
          </w:p>
        </w:tc>
        <w:tc>
          <w:tcPr>
            <w:tcW w:w="1804" w:type="dxa"/>
          </w:tcPr>
          <w:p w:rsidR="00C05BC5" w:rsidRPr="008622F8" w:rsidRDefault="00C05BC5" w:rsidP="00980BF8">
            <w:pPr>
              <w:rPr>
                <w:b/>
                <w:sz w:val="22"/>
                <w:szCs w:val="22"/>
              </w:rPr>
            </w:pPr>
            <w:r w:rsidRPr="008622F8">
              <w:rPr>
                <w:b/>
                <w:sz w:val="22"/>
                <w:szCs w:val="22"/>
              </w:rPr>
              <w:t>982</w:t>
            </w:r>
          </w:p>
        </w:tc>
      </w:tr>
    </w:tbl>
    <w:p w:rsidR="00C05BC5" w:rsidRPr="00C05BC5" w:rsidRDefault="00C05BC5" w:rsidP="006A5DA1">
      <w:pPr>
        <w:pStyle w:val="PlainText"/>
        <w:rPr>
          <w:szCs w:val="22"/>
        </w:rPr>
      </w:pPr>
      <w:r w:rsidRPr="00C05BC5">
        <w:rPr>
          <w:szCs w:val="22"/>
        </w:rPr>
        <w:t>Table 1. Source: Applications to AER for retailer exemption</w:t>
      </w:r>
    </w:p>
    <w:p w:rsidR="009C5A89" w:rsidRDefault="009C5A89" w:rsidP="006A5DA1">
      <w:pPr>
        <w:pStyle w:val="PlainText"/>
        <w:rPr>
          <w:sz w:val="24"/>
          <w:szCs w:val="24"/>
        </w:rPr>
      </w:pPr>
    </w:p>
    <w:p w:rsidR="006A5DA1" w:rsidRDefault="006A5DA1" w:rsidP="006A5DA1">
      <w:pPr>
        <w:pStyle w:val="PlainText"/>
        <w:rPr>
          <w:sz w:val="24"/>
          <w:szCs w:val="24"/>
        </w:rPr>
      </w:pPr>
      <w:r w:rsidRPr="006A5DA1">
        <w:rPr>
          <w:sz w:val="24"/>
          <w:szCs w:val="24"/>
        </w:rPr>
        <w:t xml:space="preserve">The total quantum of electricity sold through </w:t>
      </w:r>
      <w:r w:rsidR="00062885">
        <w:rPr>
          <w:sz w:val="24"/>
          <w:szCs w:val="24"/>
        </w:rPr>
        <w:t>Stockland Property Management</w:t>
      </w:r>
      <w:r w:rsidRPr="006A5DA1">
        <w:rPr>
          <w:sz w:val="24"/>
          <w:szCs w:val="24"/>
        </w:rPr>
        <w:t xml:space="preserve"> centres is significant</w:t>
      </w:r>
      <w:r w:rsidR="00C05BC5">
        <w:rPr>
          <w:sz w:val="24"/>
          <w:szCs w:val="24"/>
        </w:rPr>
        <w:t>, about 20</w:t>
      </w:r>
      <w:r w:rsidR="009C5A89">
        <w:rPr>
          <w:sz w:val="24"/>
          <w:szCs w:val="24"/>
        </w:rPr>
        <w:t xml:space="preserve"> </w:t>
      </w:r>
      <w:r w:rsidR="00C05BC5">
        <w:rPr>
          <w:sz w:val="24"/>
          <w:szCs w:val="24"/>
        </w:rPr>
        <w:t>Gwh</w:t>
      </w:r>
      <w:r w:rsidR="009C5A89">
        <w:rPr>
          <w:rStyle w:val="FootnoteReference"/>
          <w:sz w:val="24"/>
          <w:szCs w:val="24"/>
        </w:rPr>
        <w:footnoteReference w:id="2"/>
      </w:r>
      <w:r w:rsidR="00C05BC5">
        <w:rPr>
          <w:sz w:val="24"/>
          <w:szCs w:val="24"/>
        </w:rPr>
        <w:t xml:space="preserve"> per annum</w:t>
      </w:r>
      <w:r w:rsidR="009C5A89">
        <w:rPr>
          <w:sz w:val="24"/>
          <w:szCs w:val="24"/>
        </w:rPr>
        <w:t xml:space="preserve"> and</w:t>
      </w:r>
      <w:r w:rsidRPr="006A5DA1">
        <w:rPr>
          <w:sz w:val="24"/>
          <w:szCs w:val="24"/>
        </w:rPr>
        <w:t xml:space="preserve"> of an order of magnitude in line with some existing second tier retailers</w:t>
      </w:r>
      <w:r>
        <w:rPr>
          <w:sz w:val="24"/>
          <w:szCs w:val="24"/>
        </w:rPr>
        <w:t xml:space="preserve">. Second tier retailers are, of course, </w:t>
      </w:r>
      <w:r w:rsidRPr="006A5DA1">
        <w:rPr>
          <w:sz w:val="24"/>
          <w:szCs w:val="24"/>
        </w:rPr>
        <w:t>re</w:t>
      </w:r>
      <w:r w:rsidR="003B30CB">
        <w:rPr>
          <w:sz w:val="24"/>
          <w:szCs w:val="24"/>
        </w:rPr>
        <w:t xml:space="preserve">quired to be authorised sellers, so </w:t>
      </w:r>
      <w:r w:rsidR="00062885">
        <w:rPr>
          <w:sz w:val="24"/>
          <w:szCs w:val="24"/>
        </w:rPr>
        <w:t>Stockland Property Management</w:t>
      </w:r>
      <w:r w:rsidR="009C5A89">
        <w:rPr>
          <w:sz w:val="24"/>
          <w:szCs w:val="24"/>
        </w:rPr>
        <w:t xml:space="preserve"> Centres,</w:t>
      </w:r>
      <w:r w:rsidR="003B30CB">
        <w:rPr>
          <w:sz w:val="24"/>
          <w:szCs w:val="24"/>
        </w:rPr>
        <w:t xml:space="preserve"> in aggregate, should be considered to be s</w:t>
      </w:r>
      <w:r w:rsidR="009C5A89">
        <w:rPr>
          <w:sz w:val="24"/>
          <w:szCs w:val="24"/>
        </w:rPr>
        <w:t>imilar to second tier retailers in terms of ‘volume’ of electricity sold. Retailers of similar magnitude should be subjected to similar regulation.</w:t>
      </w:r>
    </w:p>
    <w:p w:rsidR="006A5DA1" w:rsidRPr="006A5DA1" w:rsidRDefault="006A5DA1" w:rsidP="006A5DA1">
      <w:pPr>
        <w:pStyle w:val="PlainText"/>
        <w:rPr>
          <w:sz w:val="24"/>
          <w:szCs w:val="24"/>
        </w:rPr>
      </w:pPr>
    </w:p>
    <w:p w:rsidR="00BC4952" w:rsidRPr="00BC4952" w:rsidRDefault="00BC4952" w:rsidP="006A5DA1">
      <w:pPr>
        <w:pStyle w:val="PlainText"/>
        <w:rPr>
          <w:sz w:val="24"/>
          <w:szCs w:val="24"/>
          <w:u w:val="single"/>
        </w:rPr>
      </w:pPr>
      <w:r w:rsidRPr="00BC4952">
        <w:rPr>
          <w:sz w:val="24"/>
          <w:szCs w:val="24"/>
          <w:u w:val="single"/>
        </w:rPr>
        <w:t xml:space="preserve">Electricity costs are not incidental for some </w:t>
      </w:r>
      <w:r w:rsidR="00062885">
        <w:rPr>
          <w:sz w:val="24"/>
          <w:szCs w:val="24"/>
          <w:u w:val="single"/>
        </w:rPr>
        <w:t>Stockland Property Management</w:t>
      </w:r>
      <w:r>
        <w:rPr>
          <w:sz w:val="24"/>
          <w:szCs w:val="24"/>
          <w:u w:val="single"/>
        </w:rPr>
        <w:t xml:space="preserve"> t</w:t>
      </w:r>
      <w:r w:rsidRPr="00BC4952">
        <w:rPr>
          <w:sz w:val="24"/>
          <w:szCs w:val="24"/>
          <w:u w:val="single"/>
        </w:rPr>
        <w:t>enants</w:t>
      </w:r>
    </w:p>
    <w:p w:rsidR="006A5DA1" w:rsidRPr="006A5DA1" w:rsidRDefault="006A5DA1" w:rsidP="006A5DA1">
      <w:pPr>
        <w:pStyle w:val="PlainText"/>
        <w:rPr>
          <w:sz w:val="24"/>
          <w:szCs w:val="24"/>
        </w:rPr>
      </w:pPr>
      <w:r w:rsidRPr="006A5DA1">
        <w:rPr>
          <w:sz w:val="24"/>
          <w:szCs w:val="24"/>
        </w:rPr>
        <w:t xml:space="preserve">We note that in their applications for </w:t>
      </w:r>
      <w:r w:rsidR="00062885">
        <w:rPr>
          <w:sz w:val="24"/>
          <w:szCs w:val="24"/>
        </w:rPr>
        <w:t>exemption</w:t>
      </w:r>
      <w:r w:rsidRPr="006A5DA1">
        <w:rPr>
          <w:sz w:val="24"/>
          <w:szCs w:val="24"/>
        </w:rPr>
        <w:t xml:space="preserve"> </w:t>
      </w:r>
      <w:r w:rsidR="00062885">
        <w:rPr>
          <w:sz w:val="24"/>
          <w:szCs w:val="24"/>
        </w:rPr>
        <w:t>Stockland Property Management</w:t>
      </w:r>
      <w:r w:rsidRPr="006A5DA1">
        <w:rPr>
          <w:sz w:val="24"/>
          <w:szCs w:val="24"/>
        </w:rPr>
        <w:t xml:space="preserve"> claim</w:t>
      </w:r>
      <w:r w:rsidR="00062885">
        <w:rPr>
          <w:sz w:val="24"/>
          <w:szCs w:val="24"/>
        </w:rPr>
        <w:t xml:space="preserve">s </w:t>
      </w:r>
      <w:r w:rsidR="00062885" w:rsidRPr="00062885">
        <w:rPr>
          <w:i/>
          <w:sz w:val="24"/>
          <w:szCs w:val="24"/>
        </w:rPr>
        <w:t>“The proposed on-selling activities are incidental to Stockland Property Management Pty Ltd’s core business of managing the shopping centre.”</w:t>
      </w:r>
      <w:r w:rsidR="00062885">
        <w:rPr>
          <w:sz w:val="20"/>
          <w:szCs w:val="20"/>
        </w:rPr>
        <w:t xml:space="preserve"> </w:t>
      </w:r>
      <w:r w:rsidRPr="006A5DA1">
        <w:rPr>
          <w:sz w:val="24"/>
          <w:szCs w:val="24"/>
        </w:rPr>
        <w:t xml:space="preserve">This may be the case from a very large shopping provider point of view, however we believe that a significant number of customers, and in particular smaller tenants, would face significant electricity bills and that electricity is a significant cost of their business. As such, their electricity supply is not a minor matter. </w:t>
      </w:r>
    </w:p>
    <w:p w:rsidR="006A5DA1" w:rsidRPr="006A5DA1" w:rsidRDefault="006A5DA1" w:rsidP="006A5DA1">
      <w:pPr>
        <w:pStyle w:val="PlainText"/>
        <w:rPr>
          <w:sz w:val="24"/>
          <w:szCs w:val="24"/>
        </w:rPr>
      </w:pPr>
    </w:p>
    <w:p w:rsidR="006A5DA1" w:rsidRDefault="006A5DA1" w:rsidP="006A5DA1">
      <w:pPr>
        <w:pStyle w:val="PlainText"/>
        <w:rPr>
          <w:sz w:val="24"/>
          <w:szCs w:val="24"/>
        </w:rPr>
      </w:pPr>
      <w:r w:rsidRPr="006A5DA1">
        <w:rPr>
          <w:sz w:val="24"/>
          <w:szCs w:val="24"/>
        </w:rPr>
        <w:t>This means that from a tenant’s ie a customer’s perspective</w:t>
      </w:r>
      <w:r w:rsidR="00BC4952">
        <w:rPr>
          <w:sz w:val="24"/>
          <w:szCs w:val="24"/>
        </w:rPr>
        <w:t>,</w:t>
      </w:r>
      <w:r w:rsidRPr="006A5DA1">
        <w:rPr>
          <w:sz w:val="24"/>
          <w:szCs w:val="24"/>
        </w:rPr>
        <w:t xml:space="preserve"> the option to be able to reduce their energy costs through access to competitive markets is important. If this is difficult for the centre m</w:t>
      </w:r>
      <w:r w:rsidR="00BC4952">
        <w:rPr>
          <w:sz w:val="24"/>
          <w:szCs w:val="24"/>
        </w:rPr>
        <w:t>anagement to organise, then it</w:t>
      </w:r>
      <w:r w:rsidRPr="006A5DA1">
        <w:rPr>
          <w:sz w:val="24"/>
          <w:szCs w:val="24"/>
        </w:rPr>
        <w:t xml:space="preserve"> is a cost that they should bear, not a cost that should be passed on to individual tenants.</w:t>
      </w:r>
    </w:p>
    <w:p w:rsidR="00BC4952" w:rsidRPr="006A5DA1" w:rsidRDefault="00BC4952" w:rsidP="006A5DA1">
      <w:pPr>
        <w:pStyle w:val="PlainText"/>
        <w:rPr>
          <w:sz w:val="24"/>
          <w:szCs w:val="24"/>
        </w:rPr>
      </w:pPr>
    </w:p>
    <w:p w:rsidR="00BC4952" w:rsidRPr="00BC4952" w:rsidRDefault="00BC4952" w:rsidP="006A5DA1">
      <w:pPr>
        <w:pStyle w:val="PlainText"/>
        <w:rPr>
          <w:sz w:val="24"/>
          <w:szCs w:val="24"/>
          <w:u w:val="single"/>
        </w:rPr>
      </w:pPr>
      <w:r w:rsidRPr="00BC4952">
        <w:rPr>
          <w:sz w:val="24"/>
          <w:szCs w:val="24"/>
          <w:u w:val="single"/>
        </w:rPr>
        <w:t>Small Business</w:t>
      </w:r>
      <w:r>
        <w:rPr>
          <w:sz w:val="24"/>
          <w:szCs w:val="24"/>
          <w:u w:val="single"/>
        </w:rPr>
        <w:t xml:space="preserve"> Electricity D</w:t>
      </w:r>
      <w:r w:rsidRPr="00BC4952">
        <w:rPr>
          <w:sz w:val="24"/>
          <w:szCs w:val="24"/>
          <w:u w:val="single"/>
        </w:rPr>
        <w:t>ebt</w:t>
      </w:r>
    </w:p>
    <w:p w:rsidR="006A5DA1" w:rsidRPr="006A5DA1" w:rsidRDefault="006A5DA1" w:rsidP="006A5DA1">
      <w:pPr>
        <w:pStyle w:val="PlainText"/>
        <w:rPr>
          <w:sz w:val="24"/>
          <w:szCs w:val="24"/>
        </w:rPr>
      </w:pPr>
      <w:r w:rsidRPr="006A5DA1">
        <w:rPr>
          <w:sz w:val="24"/>
          <w:szCs w:val="24"/>
        </w:rPr>
        <w:t>We also note that from the AER’s Energy Affordability Report that there is a reasonable number of small businesses who have electricity debt with 3.87% of small businesses in NSW having electricity debt and we understand that some of these debts are substantial in terms of the turnover of these businesses.</w:t>
      </w:r>
      <w:r w:rsidR="009C5A89">
        <w:rPr>
          <w:sz w:val="24"/>
          <w:szCs w:val="24"/>
        </w:rPr>
        <w:t xml:space="preserve"> (Note that data for Queensland and Victoria is not readily available since they have not been parties to the NECF and so AER has not been able to collect data for these jurisdictions).</w:t>
      </w:r>
      <w:r w:rsidRPr="006A5DA1">
        <w:rPr>
          <w:sz w:val="24"/>
          <w:szCs w:val="24"/>
        </w:rPr>
        <w:t xml:space="preserve"> It is therefore really important from a customer point of view that tenants have the capacity to manage their electricity cost and their electricity input. This is not possible with a single fixed provider.</w:t>
      </w:r>
    </w:p>
    <w:p w:rsidR="006A5DA1" w:rsidRPr="006A5DA1" w:rsidRDefault="006A5DA1" w:rsidP="006A5DA1">
      <w:pPr>
        <w:pStyle w:val="PlainText"/>
        <w:rPr>
          <w:sz w:val="24"/>
          <w:szCs w:val="24"/>
        </w:rPr>
      </w:pPr>
    </w:p>
    <w:p w:rsidR="00BC4952" w:rsidRPr="00BC4952" w:rsidRDefault="00BC4952" w:rsidP="006A5DA1">
      <w:pPr>
        <w:pStyle w:val="PlainText"/>
        <w:rPr>
          <w:sz w:val="24"/>
          <w:szCs w:val="24"/>
          <w:u w:val="single"/>
        </w:rPr>
      </w:pPr>
      <w:r w:rsidRPr="00BC4952">
        <w:rPr>
          <w:sz w:val="24"/>
          <w:szCs w:val="24"/>
          <w:u w:val="single"/>
        </w:rPr>
        <w:t>Best Interests of Consumers</w:t>
      </w:r>
    </w:p>
    <w:p w:rsidR="006A5DA1" w:rsidRDefault="006A5DA1" w:rsidP="006A5DA1">
      <w:pPr>
        <w:pStyle w:val="PlainText"/>
        <w:rPr>
          <w:sz w:val="24"/>
          <w:szCs w:val="24"/>
        </w:rPr>
      </w:pPr>
      <w:r w:rsidRPr="006A5DA1">
        <w:rPr>
          <w:sz w:val="24"/>
          <w:szCs w:val="24"/>
        </w:rPr>
        <w:t xml:space="preserve">Since </w:t>
      </w:r>
      <w:r w:rsidR="00062885">
        <w:rPr>
          <w:sz w:val="24"/>
          <w:szCs w:val="24"/>
        </w:rPr>
        <w:t>Stockland Property Management</w:t>
      </w:r>
      <w:r w:rsidR="009C5A89">
        <w:rPr>
          <w:sz w:val="24"/>
          <w:szCs w:val="24"/>
        </w:rPr>
        <w:t xml:space="preserve"> is</w:t>
      </w:r>
      <w:r w:rsidRPr="006A5DA1">
        <w:rPr>
          <w:sz w:val="24"/>
          <w:szCs w:val="24"/>
        </w:rPr>
        <w:t xml:space="preserve"> seeking to be exempt providers of electricity, we believe that this works against the best interests for their </w:t>
      </w:r>
      <w:r w:rsidR="009C5A89">
        <w:rPr>
          <w:sz w:val="24"/>
          <w:szCs w:val="24"/>
        </w:rPr>
        <w:t xml:space="preserve">982 </w:t>
      </w:r>
      <w:r w:rsidRPr="006A5DA1">
        <w:rPr>
          <w:sz w:val="24"/>
          <w:szCs w:val="24"/>
        </w:rPr>
        <w:t>tenants who, apart from wanting access to competitive energy market options, will in some instances want protection under the National Energy Customer Framework. Some tenants would benefit from access to a hardship programme, as well as capacity to resolve conflicts with their electricity provider through Ombudsman services.</w:t>
      </w:r>
    </w:p>
    <w:p w:rsidR="009C5A89" w:rsidRPr="006A5DA1" w:rsidRDefault="009C5A89" w:rsidP="006A5DA1">
      <w:pPr>
        <w:pStyle w:val="PlainText"/>
        <w:rPr>
          <w:sz w:val="24"/>
          <w:szCs w:val="24"/>
        </w:rPr>
      </w:pPr>
    </w:p>
    <w:p w:rsidR="006A5DA1" w:rsidRPr="006A5DA1" w:rsidRDefault="006A5DA1" w:rsidP="006A5DA1">
      <w:pPr>
        <w:pStyle w:val="PlainText"/>
        <w:rPr>
          <w:sz w:val="24"/>
          <w:szCs w:val="24"/>
        </w:rPr>
      </w:pPr>
      <w:r w:rsidRPr="006A5DA1">
        <w:rPr>
          <w:sz w:val="24"/>
          <w:szCs w:val="24"/>
        </w:rPr>
        <w:t xml:space="preserve">We also observe from the </w:t>
      </w:r>
      <w:r w:rsidR="00062885">
        <w:rPr>
          <w:sz w:val="24"/>
          <w:szCs w:val="24"/>
        </w:rPr>
        <w:t>Stockland Property Management</w:t>
      </w:r>
      <w:r w:rsidRPr="006A5DA1">
        <w:rPr>
          <w:sz w:val="24"/>
          <w:szCs w:val="24"/>
        </w:rPr>
        <w:t xml:space="preserve"> applications that there was no evidence that we could find of </w:t>
      </w:r>
      <w:r w:rsidR="00062885">
        <w:rPr>
          <w:sz w:val="24"/>
          <w:szCs w:val="24"/>
        </w:rPr>
        <w:t>Stockland Property Management</w:t>
      </w:r>
      <w:r w:rsidRPr="006A5DA1">
        <w:rPr>
          <w:sz w:val="24"/>
          <w:szCs w:val="24"/>
        </w:rPr>
        <w:t xml:space="preserve"> engaging with its tenants to ascertain their interests and perspectives on energy costs and any energy rate issues. We consider this to be inadequate and that in seeking exemptions </w:t>
      </w:r>
      <w:r w:rsidR="00062885">
        <w:rPr>
          <w:sz w:val="24"/>
          <w:szCs w:val="24"/>
        </w:rPr>
        <w:t>Stockland Property Management</w:t>
      </w:r>
      <w:r w:rsidRPr="006A5DA1">
        <w:rPr>
          <w:sz w:val="24"/>
          <w:szCs w:val="24"/>
        </w:rPr>
        <w:t xml:space="preserve"> centres should have presented independent commentary from their tenants.</w:t>
      </w:r>
    </w:p>
    <w:p w:rsidR="006A5DA1" w:rsidRPr="006A5DA1" w:rsidRDefault="006A5DA1" w:rsidP="006A5DA1">
      <w:pPr>
        <w:pStyle w:val="PlainText"/>
        <w:rPr>
          <w:sz w:val="24"/>
          <w:szCs w:val="24"/>
        </w:rPr>
      </w:pPr>
    </w:p>
    <w:p w:rsidR="006A5DA1" w:rsidRPr="006A5DA1" w:rsidRDefault="006A5DA1" w:rsidP="006A5DA1">
      <w:pPr>
        <w:pStyle w:val="PlainText"/>
        <w:rPr>
          <w:sz w:val="24"/>
          <w:szCs w:val="24"/>
        </w:rPr>
      </w:pPr>
      <w:r w:rsidRPr="006A5DA1">
        <w:rPr>
          <w:sz w:val="24"/>
          <w:szCs w:val="24"/>
        </w:rPr>
        <w:t xml:space="preserve">Taking into account the size of </w:t>
      </w:r>
      <w:r w:rsidR="00062885">
        <w:rPr>
          <w:sz w:val="24"/>
          <w:szCs w:val="24"/>
        </w:rPr>
        <w:t>Stockland Property Management</w:t>
      </w:r>
      <w:r w:rsidRPr="006A5DA1">
        <w:rPr>
          <w:sz w:val="24"/>
          <w:szCs w:val="24"/>
        </w:rPr>
        <w:t xml:space="preserve"> operations in aggregate, the existence of small business debt and in fact the difficulty of current retail business in a tight economic environment, and noting the National Energy Objective of giving customers access or having their interests met in the longer term with regard to price reliability and safety, we believe that it is appropriate to regard </w:t>
      </w:r>
      <w:r w:rsidR="00062885">
        <w:rPr>
          <w:sz w:val="24"/>
          <w:szCs w:val="24"/>
        </w:rPr>
        <w:t>Stockland Property Management</w:t>
      </w:r>
      <w:r w:rsidRPr="006A5DA1">
        <w:rPr>
          <w:sz w:val="24"/>
          <w:szCs w:val="24"/>
        </w:rPr>
        <w:t>, for example, as an energy retailer because electricity costs are significant for some of their tenants. Further, energy customers should have access to support services including hardship programmes and access to Ombudsman for dispute resolution. We therefore encourage the AER to oppose applications of this type for exemptions under retail authorisations arrangements.</w:t>
      </w:r>
    </w:p>
    <w:p w:rsidR="006A5DA1" w:rsidRPr="006A5DA1" w:rsidRDefault="006A5DA1" w:rsidP="006A5DA1">
      <w:pPr>
        <w:pStyle w:val="PlainText"/>
        <w:rPr>
          <w:sz w:val="24"/>
          <w:szCs w:val="24"/>
        </w:rPr>
      </w:pPr>
    </w:p>
    <w:p w:rsidR="00BC4952" w:rsidRPr="00BC4952" w:rsidRDefault="00BC4952" w:rsidP="006A5DA1">
      <w:pPr>
        <w:pStyle w:val="PlainText"/>
        <w:rPr>
          <w:sz w:val="24"/>
          <w:szCs w:val="24"/>
          <w:u w:val="single"/>
        </w:rPr>
      </w:pPr>
      <w:r w:rsidRPr="00BC4952">
        <w:rPr>
          <w:sz w:val="24"/>
          <w:szCs w:val="24"/>
          <w:u w:val="single"/>
        </w:rPr>
        <w:t>Consumer Engagement</w:t>
      </w:r>
    </w:p>
    <w:p w:rsidR="006A5DA1" w:rsidRPr="006A5DA1" w:rsidRDefault="006A5DA1" w:rsidP="006A5DA1">
      <w:pPr>
        <w:pStyle w:val="PlainText"/>
        <w:rPr>
          <w:sz w:val="24"/>
          <w:szCs w:val="24"/>
        </w:rPr>
      </w:pPr>
      <w:r w:rsidRPr="006A5DA1">
        <w:rPr>
          <w:sz w:val="24"/>
          <w:szCs w:val="24"/>
        </w:rPr>
        <w:t xml:space="preserve">We also believe that there is much more that </w:t>
      </w:r>
      <w:r w:rsidR="00062885">
        <w:rPr>
          <w:sz w:val="24"/>
          <w:szCs w:val="24"/>
        </w:rPr>
        <w:t>Stockland Property Management</w:t>
      </w:r>
      <w:r w:rsidRPr="006A5DA1">
        <w:rPr>
          <w:sz w:val="24"/>
          <w:szCs w:val="24"/>
        </w:rPr>
        <w:t xml:space="preserve"> </w:t>
      </w:r>
      <w:r w:rsidR="00BC4952">
        <w:rPr>
          <w:sz w:val="24"/>
          <w:szCs w:val="24"/>
        </w:rPr>
        <w:t>could have done to consult and work more effectively with their customers / tenants</w:t>
      </w:r>
      <w:r w:rsidRPr="006A5DA1">
        <w:rPr>
          <w:sz w:val="24"/>
          <w:szCs w:val="24"/>
        </w:rPr>
        <w:t>.</w:t>
      </w:r>
      <w:r w:rsidR="00BC4952">
        <w:rPr>
          <w:sz w:val="24"/>
          <w:szCs w:val="24"/>
        </w:rPr>
        <w:t xml:space="preserve"> We could find no evidence in the application for exemption of any attempts to consult with tenants, which we think would be a reasonable expectation, particularly given the tough economic conditions across much of Australia at the moment and the pressures on many small retailers.</w:t>
      </w:r>
    </w:p>
    <w:p w:rsidR="00E50E61" w:rsidRPr="006A5DA1" w:rsidRDefault="00E50E61" w:rsidP="00E50E61">
      <w:pPr>
        <w:jc w:val="both"/>
        <w:rPr>
          <w:rFonts w:ascii="Calibri" w:hAnsi="Calibri"/>
        </w:rPr>
      </w:pPr>
    </w:p>
    <w:p w:rsidR="00E50E61" w:rsidRPr="003B30CB" w:rsidRDefault="006A5DA1" w:rsidP="00E50E61">
      <w:pPr>
        <w:rPr>
          <w:sz w:val="36"/>
          <w:szCs w:val="36"/>
        </w:rPr>
      </w:pPr>
      <w:r w:rsidRPr="003B30CB">
        <w:rPr>
          <w:sz w:val="36"/>
          <w:szCs w:val="36"/>
        </w:rPr>
        <w:t>3. Exempt Selling Process</w:t>
      </w:r>
    </w:p>
    <w:p w:rsidR="00C24554" w:rsidRDefault="009C5A89" w:rsidP="00E50E61">
      <w:pPr>
        <w:rPr>
          <w:rFonts w:ascii="Calibri" w:hAnsi="Calibri"/>
        </w:rPr>
      </w:pPr>
      <w:r>
        <w:rPr>
          <w:rFonts w:ascii="Calibri" w:hAnsi="Calibri"/>
        </w:rPr>
        <w:t xml:space="preserve">We also understand that the AER is soon to consider this </w:t>
      </w:r>
      <w:r w:rsidR="00C24554">
        <w:rPr>
          <w:rFonts w:ascii="Calibri" w:hAnsi="Calibri"/>
        </w:rPr>
        <w:t>long term question about the place and role of embedded networks and subsequent retail exemptions.</w:t>
      </w:r>
      <w:r w:rsidR="006A5DA1" w:rsidRPr="006A5DA1">
        <w:rPr>
          <w:rFonts w:ascii="Calibri" w:hAnsi="Calibri"/>
        </w:rPr>
        <w:t xml:space="preserve"> </w:t>
      </w:r>
      <w:r w:rsidR="00C24554">
        <w:rPr>
          <w:rFonts w:ascii="Calibri" w:hAnsi="Calibri"/>
        </w:rPr>
        <w:t xml:space="preserve">We do not with to pre-empt this process, however </w:t>
      </w:r>
      <w:r w:rsidR="003B30CB">
        <w:rPr>
          <w:rFonts w:ascii="Calibri" w:hAnsi="Calibri"/>
        </w:rPr>
        <w:t>UnitingC</w:t>
      </w:r>
      <w:r w:rsidR="00BC4952">
        <w:rPr>
          <w:rFonts w:ascii="Calibri" w:hAnsi="Calibri"/>
        </w:rPr>
        <w:t xml:space="preserve">are </w:t>
      </w:r>
      <w:r w:rsidR="003B30CB">
        <w:rPr>
          <w:rFonts w:ascii="Calibri" w:hAnsi="Calibri"/>
        </w:rPr>
        <w:t>Australia</w:t>
      </w:r>
      <w:r w:rsidR="00BC4952">
        <w:rPr>
          <w:rFonts w:ascii="Calibri" w:hAnsi="Calibri"/>
        </w:rPr>
        <w:t xml:space="preserve"> holds the view that retailer exemptions should only be given to small embedded networks, much smaller in </w:t>
      </w:r>
      <w:r w:rsidR="003B30CB">
        <w:rPr>
          <w:rFonts w:ascii="Calibri" w:hAnsi="Calibri"/>
        </w:rPr>
        <w:t>electricity</w:t>
      </w:r>
      <w:r w:rsidR="00BC4952">
        <w:rPr>
          <w:rFonts w:ascii="Calibri" w:hAnsi="Calibri"/>
        </w:rPr>
        <w:t xml:space="preserve"> use than is the case for large shopping centres</w:t>
      </w:r>
      <w:r w:rsidR="003B30CB">
        <w:rPr>
          <w:rFonts w:ascii="Calibri" w:hAnsi="Calibri"/>
        </w:rPr>
        <w:t xml:space="preserve"> and for businesses with a number of separate sites, (eg caravan parks managed under a single trading name may be an example).</w:t>
      </w:r>
      <w:r w:rsidR="00C24554">
        <w:rPr>
          <w:rFonts w:ascii="Calibri" w:hAnsi="Calibri"/>
        </w:rPr>
        <w:t xml:space="preserve"> </w:t>
      </w:r>
    </w:p>
    <w:p w:rsidR="003B30CB" w:rsidRDefault="00C24554" w:rsidP="00E50E61">
      <w:pPr>
        <w:rPr>
          <w:rFonts w:ascii="Calibri" w:hAnsi="Calibri"/>
        </w:rPr>
      </w:pPr>
      <w:r>
        <w:rPr>
          <w:rFonts w:ascii="Calibri" w:hAnsi="Calibri"/>
        </w:rPr>
        <w:t>We also believe that any longer term exemption would be inappropriate with policy consideration of these issues imminent.</w:t>
      </w:r>
    </w:p>
    <w:p w:rsidR="003B30CB" w:rsidRPr="00E50E61" w:rsidRDefault="003B30CB" w:rsidP="00E50E61">
      <w:r>
        <w:rPr>
          <w:rFonts w:ascii="Calibri" w:hAnsi="Calibri"/>
        </w:rPr>
        <w:t>We look forward to being a part of consideratio</w:t>
      </w:r>
      <w:r w:rsidR="00C24554">
        <w:rPr>
          <w:rFonts w:ascii="Calibri" w:hAnsi="Calibri"/>
        </w:rPr>
        <w:t>n of these issues in the near future.</w:t>
      </w:r>
    </w:p>
    <w:sectPr w:rsidR="003B30CB" w:rsidRPr="00E50E61" w:rsidSect="00045CF0">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E6A" w:rsidRDefault="00F43E6A" w:rsidP="00404B96">
      <w:r>
        <w:separator/>
      </w:r>
    </w:p>
    <w:p w:rsidR="00F43E6A" w:rsidRDefault="00F43E6A"/>
  </w:endnote>
  <w:endnote w:type="continuationSeparator" w:id="0">
    <w:p w:rsidR="00F43E6A" w:rsidRDefault="00F43E6A" w:rsidP="00404B96">
      <w:r>
        <w:continuationSeparator/>
      </w:r>
    </w:p>
    <w:p w:rsidR="00F43E6A" w:rsidRDefault="00F43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utami">
    <w:panose1 w:val="020B0502040204020203"/>
    <w:charset w:val="01"/>
    <w:family w:val="roman"/>
    <w:notTrueType/>
    <w:pitch w:val="variable"/>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58804"/>
      <w:docPartObj>
        <w:docPartGallery w:val="Page Numbers (Bottom of Page)"/>
        <w:docPartUnique/>
      </w:docPartObj>
    </w:sdtPr>
    <w:sdtEndPr>
      <w:rPr>
        <w:noProof/>
      </w:rPr>
    </w:sdtEndPr>
    <w:sdtContent>
      <w:p w:rsidR="00A7722A" w:rsidRDefault="00A7722A" w:rsidP="00BF37B1">
        <w:pPr>
          <w:pStyle w:val="Footer"/>
          <w:jc w:val="right"/>
        </w:pPr>
        <w:r w:rsidRPr="009353B7">
          <w:rPr>
            <w:rFonts w:ascii="Arial" w:hAnsi="Arial" w:cs="Arial"/>
            <w:noProof/>
            <w:lang w:eastAsia="en-AU"/>
          </w:rPr>
          <w:drawing>
            <wp:anchor distT="0" distB="0" distL="114300" distR="114300" simplePos="0" relativeHeight="251663360" behindDoc="1" locked="0" layoutInCell="1" allowOverlap="1" wp14:anchorId="135C4F58" wp14:editId="575CABF3">
              <wp:simplePos x="0" y="0"/>
              <wp:positionH relativeFrom="column">
                <wp:posOffset>3038475</wp:posOffset>
              </wp:positionH>
              <wp:positionV relativeFrom="paragraph">
                <wp:posOffset>-3129280</wp:posOffset>
              </wp:positionV>
              <wp:extent cx="3619500" cy="300990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l="-957" t="1024"/>
                      <a:stretch>
                        <a:fillRect/>
                      </a:stretch>
                    </pic:blipFill>
                    <pic:spPr bwMode="auto">
                      <a:xfrm>
                        <a:off x="0" y="0"/>
                        <a:ext cx="3619500" cy="3009900"/>
                      </a:xfrm>
                      <a:prstGeom prst="rect">
                        <a:avLst/>
                      </a:prstGeom>
                      <a:noFill/>
                    </pic:spPr>
                  </pic:pic>
                </a:graphicData>
              </a:graphic>
            </wp:anchor>
          </w:drawing>
        </w:r>
        <w:r w:rsidR="00EC4170">
          <w:t>Page</w:t>
        </w:r>
        <w:r>
          <w:t xml:space="preserve"> </w:t>
        </w:r>
        <w:r>
          <w:fldChar w:fldCharType="begin"/>
        </w:r>
        <w:r>
          <w:instrText xml:space="preserve"> PAGE   \* MERGEFORMAT </w:instrText>
        </w:r>
        <w:r>
          <w:fldChar w:fldCharType="separate"/>
        </w:r>
        <w:r w:rsidR="00AA30B7">
          <w:rPr>
            <w:noProof/>
          </w:rPr>
          <w:t>4</w:t>
        </w:r>
        <w:r>
          <w:rPr>
            <w:noProof/>
          </w:rPr>
          <w:fldChar w:fldCharType="end"/>
        </w:r>
      </w:p>
    </w:sdtContent>
  </w:sdt>
  <w:p w:rsidR="00ED5FF2" w:rsidRDefault="00ED5F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CF0" w:rsidRPr="00814F52" w:rsidRDefault="00A7722A" w:rsidP="00814F52">
    <w:pPr>
      <w:pStyle w:val="Footer"/>
    </w:pPr>
    <w:r w:rsidRPr="009353B7">
      <w:rPr>
        <w:rFonts w:ascii="Arial" w:hAnsi="Arial" w:cs="Arial"/>
        <w:noProof/>
        <w:lang w:eastAsia="en-AU"/>
      </w:rPr>
      <w:drawing>
        <wp:anchor distT="0" distB="0" distL="114300" distR="114300" simplePos="0" relativeHeight="251665408" behindDoc="1" locked="0" layoutInCell="1" allowOverlap="1" wp14:anchorId="685ACC8F" wp14:editId="7E668B1F">
          <wp:simplePos x="0" y="0"/>
          <wp:positionH relativeFrom="column">
            <wp:posOffset>762000</wp:posOffset>
          </wp:positionH>
          <wp:positionV relativeFrom="paragraph">
            <wp:posOffset>-3333115</wp:posOffset>
          </wp:positionV>
          <wp:extent cx="5762625" cy="4792077"/>
          <wp:effectExtent l="0" t="0" r="0" b="889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l="-957" t="1024"/>
                  <a:stretch>
                    <a:fillRect/>
                  </a:stretch>
                </pic:blipFill>
                <pic:spPr bwMode="auto">
                  <a:xfrm>
                    <a:off x="0" y="0"/>
                    <a:ext cx="5762625" cy="4792077"/>
                  </a:xfrm>
                  <a:prstGeom prst="rect">
                    <a:avLst/>
                  </a:prstGeom>
                  <a:noFill/>
                </pic:spPr>
              </pic:pic>
            </a:graphicData>
          </a:graphic>
          <wp14:sizeRelH relativeFrom="margin">
            <wp14:pctWidth>0</wp14:pctWidth>
          </wp14:sizeRelH>
          <wp14:sizeRelV relativeFrom="margin">
            <wp14:pctHeight>0</wp14:pctHeight>
          </wp14:sizeRelV>
        </wp:anchor>
      </w:drawing>
    </w:r>
    <w:r w:rsidR="00045CF0" w:rsidRPr="00814F52">
      <w:t>Contact:</w:t>
    </w:r>
  </w:p>
  <w:p w:rsidR="009F1EB1" w:rsidRDefault="009F1EB1" w:rsidP="00814F52">
    <w:pPr>
      <w:pStyle w:val="Footer"/>
    </w:pPr>
    <w:r>
      <w:t>Mark Henley</w:t>
    </w:r>
  </w:p>
  <w:p w:rsidR="00045CF0" w:rsidRPr="00814F52" w:rsidRDefault="009F1EB1" w:rsidP="00814F52">
    <w:pPr>
      <w:pStyle w:val="Footer"/>
    </w:pPr>
    <w:r>
      <w:t>Energy Consultant</w:t>
    </w:r>
    <w:r w:rsidR="00045CF0" w:rsidRPr="00814F52">
      <w:br/>
      <w:t>UnitingCare Australia</w:t>
    </w:r>
  </w:p>
  <w:p w:rsidR="00045CF0" w:rsidRPr="00814F52" w:rsidRDefault="00045CF0" w:rsidP="00814F52">
    <w:pPr>
      <w:pStyle w:val="Footer"/>
    </w:pPr>
  </w:p>
  <w:p w:rsidR="00045CF0" w:rsidRDefault="006A5DA1" w:rsidP="00814F52">
    <w:pPr>
      <w:pStyle w:val="Footer"/>
    </w:pPr>
    <w:r>
      <w:t>Ph: 0404 067 011</w:t>
    </w:r>
  </w:p>
  <w:p w:rsidR="0037139D" w:rsidRDefault="0037139D" w:rsidP="00814F52">
    <w:pPr>
      <w:pStyle w:val="Footer"/>
    </w:pPr>
  </w:p>
  <w:p w:rsidR="0037139D" w:rsidRDefault="0037139D" w:rsidP="00814F52">
    <w:pPr>
      <w:pStyle w:val="Footer"/>
    </w:pPr>
  </w:p>
  <w:p w:rsidR="0037139D" w:rsidRPr="00814F52" w:rsidRDefault="00D208EF" w:rsidP="0037139D">
    <w:pPr>
      <w:pStyle w:val="Footer"/>
      <w:jc w:val="center"/>
    </w:pPr>
    <w:r>
      <w:rPr>
        <w:i/>
        <w:sz w:val="20"/>
      </w:rPr>
      <w:t>UnitingCare Australia is the national body for social s</w:t>
    </w:r>
    <w:r w:rsidR="0037139D" w:rsidRPr="00EC0752">
      <w:rPr>
        <w:i/>
        <w:sz w:val="20"/>
      </w:rPr>
      <w:t>ervices in the Uniting Church in Australia</w:t>
    </w:r>
    <w:r w:rsidR="0037139D">
      <w:rPr>
        <w:i/>
        <w:sz w:val="20"/>
      </w:rPr>
      <w:t>,</w:t>
    </w:r>
    <w:r w:rsidR="0037139D" w:rsidRPr="00EC0752">
      <w:rPr>
        <w:i/>
        <w:sz w:val="20"/>
      </w:rPr>
      <w:t xml:space="preserve"> supporting service delivery and advocacy for children, young people, families, people with disabilities, and older people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E6A" w:rsidRDefault="00F43E6A">
      <w:r>
        <w:separator/>
      </w:r>
    </w:p>
  </w:footnote>
  <w:footnote w:type="continuationSeparator" w:id="0">
    <w:p w:rsidR="00F43E6A" w:rsidRDefault="00F43E6A">
      <w:r>
        <w:continuationSeparator/>
      </w:r>
    </w:p>
  </w:footnote>
  <w:footnote w:type="continuationNotice" w:id="1">
    <w:p w:rsidR="00F43E6A" w:rsidRDefault="00F43E6A">
      <w:pPr>
        <w:spacing w:after="0" w:line="240" w:lineRule="auto"/>
      </w:pPr>
    </w:p>
  </w:footnote>
  <w:footnote w:id="2">
    <w:p w:rsidR="009C5A89" w:rsidRDefault="009C5A89">
      <w:pPr>
        <w:pStyle w:val="FootnoteText"/>
      </w:pPr>
      <w:r>
        <w:rPr>
          <w:rStyle w:val="FootnoteReference"/>
        </w:rPr>
        <w:footnoteRef/>
      </w:r>
      <w:r>
        <w:t xml:space="preserve"> </w:t>
      </w:r>
      <w:hyperlink r:id="rId1" w:history="1">
        <w:r w:rsidRPr="009C5A89">
          <w:rPr>
            <w:rStyle w:val="Hyperlink"/>
            <w:rFonts w:ascii="Calibri" w:hAnsi="Calibri"/>
            <w:sz w:val="18"/>
            <w:szCs w:val="18"/>
          </w:rPr>
          <w:t>https://www.aer.gov.au/retail-markets/retail-exemptions/public-register</w:t>
        </w:r>
      </w:hyperlink>
      <w:r w:rsidRPr="009C5A89">
        <w:rPr>
          <w:rFonts w:ascii="Calibri" w:hAnsi="Calibri"/>
          <w:sz w:val="18"/>
          <w:szCs w:val="18"/>
        </w:rPr>
        <w:t xml:space="preserve"> and Stockland exemption requests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2A" w:rsidRDefault="00A7722A" w:rsidP="00404B96">
    <w:pPr>
      <w:pStyle w:val="Header"/>
    </w:pPr>
    <w:r w:rsidRPr="00416E30">
      <w:rPr>
        <w:noProof/>
        <w:lang w:eastAsia="en-AU"/>
      </w:rPr>
      <w:drawing>
        <wp:anchor distT="0" distB="0" distL="114300" distR="114300" simplePos="0" relativeHeight="251661312" behindDoc="1" locked="0" layoutInCell="1" allowOverlap="1" wp14:anchorId="1D358654" wp14:editId="296F13A4">
          <wp:simplePos x="0" y="0"/>
          <wp:positionH relativeFrom="column">
            <wp:posOffset>4086225</wp:posOffset>
          </wp:positionH>
          <wp:positionV relativeFrom="paragraph">
            <wp:posOffset>-449580</wp:posOffset>
          </wp:positionV>
          <wp:extent cx="2571750" cy="21760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71750" cy="217609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D5FF2" w:rsidRDefault="00ED5F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2A" w:rsidRDefault="006A4E7C" w:rsidP="00404B96">
    <w:pPr>
      <w:pStyle w:val="Header"/>
    </w:pPr>
    <w:r>
      <w:rPr>
        <w:noProof/>
        <w:lang w:eastAsia="en-AU"/>
      </w:rPr>
      <w:drawing>
        <wp:anchor distT="0" distB="0" distL="114300" distR="114300" simplePos="0" relativeHeight="251667456" behindDoc="0" locked="0" layoutInCell="1" allowOverlap="1" wp14:anchorId="2DBE3519" wp14:editId="7507CF6E">
          <wp:simplePos x="0" y="0"/>
          <wp:positionH relativeFrom="column">
            <wp:posOffset>628650</wp:posOffset>
          </wp:positionH>
          <wp:positionV relativeFrom="paragraph">
            <wp:posOffset>467360</wp:posOffset>
          </wp:positionV>
          <wp:extent cx="4356735" cy="1285875"/>
          <wp:effectExtent l="0" t="0" r="5715" b="9525"/>
          <wp:wrapSquare wrapText="bothSides"/>
          <wp:docPr id="7" name="Picture 7" descr="\\NATSERVER\Shared\Lachlan\Media Release Temp\uclogo_UnitingCareAustralia_co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SERVER\Shared\Lachlan\Media Release Temp\uclogo_UnitingCareAustralia_col.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673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6E30">
      <w:rPr>
        <w:noProof/>
        <w:lang w:eastAsia="en-AU"/>
      </w:rPr>
      <w:drawing>
        <wp:anchor distT="0" distB="0" distL="114300" distR="114300" simplePos="0" relativeHeight="251659264" behindDoc="1" locked="0" layoutInCell="1" allowOverlap="1" wp14:anchorId="47AD9683" wp14:editId="6973FAA0">
          <wp:simplePos x="0" y="0"/>
          <wp:positionH relativeFrom="column">
            <wp:posOffset>3295650</wp:posOffset>
          </wp:positionH>
          <wp:positionV relativeFrom="paragraph">
            <wp:posOffset>-459105</wp:posOffset>
          </wp:positionV>
          <wp:extent cx="3352800" cy="2836545"/>
          <wp:effectExtent l="0" t="0" r="0" b="1905"/>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3352800" cy="2836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000002"/>
    <w:multiLevelType w:val="multilevel"/>
    <w:tmpl w:val="00000002"/>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5"/>
    <w:multiLevelType w:val="multilevel"/>
    <w:tmpl w:val="00000005"/>
    <w:name w:val="WW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9"/>
    <w:multiLevelType w:val="multilevel"/>
    <w:tmpl w:val="00000009"/>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A"/>
    <w:multiLevelType w:val="multilevel"/>
    <w:tmpl w:val="0000000A"/>
    <w:name w:val="WWNum2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C"/>
    <w:multiLevelType w:val="multilevel"/>
    <w:tmpl w:val="0000000C"/>
    <w:name w:val="WWNum3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D"/>
    <w:multiLevelType w:val="multilevel"/>
    <w:tmpl w:val="0000000D"/>
    <w:name w:val="WWNum3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E"/>
    <w:multiLevelType w:val="multilevel"/>
    <w:tmpl w:val="0000000E"/>
    <w:name w:val="WW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834B88"/>
    <w:multiLevelType w:val="hybridMultilevel"/>
    <w:tmpl w:val="ACCEE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D5538EA"/>
    <w:multiLevelType w:val="hybridMultilevel"/>
    <w:tmpl w:val="7624A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0CC1D05"/>
    <w:multiLevelType w:val="hybridMultilevel"/>
    <w:tmpl w:val="0AAE12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E415420"/>
    <w:multiLevelType w:val="hybridMultilevel"/>
    <w:tmpl w:val="3F946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0F501B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C760B0"/>
    <w:multiLevelType w:val="hybridMultilevel"/>
    <w:tmpl w:val="FCB670C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6F82E12"/>
    <w:multiLevelType w:val="hybridMultilevel"/>
    <w:tmpl w:val="32AAF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83539C5"/>
    <w:multiLevelType w:val="multilevel"/>
    <w:tmpl w:val="DD00D7AA"/>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2D817794"/>
    <w:multiLevelType w:val="hybridMultilevel"/>
    <w:tmpl w:val="AEF8F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6744CC8"/>
    <w:multiLevelType w:val="multilevel"/>
    <w:tmpl w:val="ACA49B36"/>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383A447C"/>
    <w:multiLevelType w:val="hybridMultilevel"/>
    <w:tmpl w:val="F59C0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F641FF7"/>
    <w:multiLevelType w:val="hybridMultilevel"/>
    <w:tmpl w:val="FBA6D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792326"/>
    <w:multiLevelType w:val="hybridMultilevel"/>
    <w:tmpl w:val="23CEE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267910"/>
    <w:multiLevelType w:val="hybridMultilevel"/>
    <w:tmpl w:val="4D8A3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AF31FE6"/>
    <w:multiLevelType w:val="hybridMultilevel"/>
    <w:tmpl w:val="E84A2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E14085C"/>
    <w:multiLevelType w:val="hybridMultilevel"/>
    <w:tmpl w:val="AA4E1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C7E1D6B"/>
    <w:multiLevelType w:val="multilevel"/>
    <w:tmpl w:val="675EF5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nsid w:val="5CBD046A"/>
    <w:multiLevelType w:val="hybridMultilevel"/>
    <w:tmpl w:val="17AE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D5716C8"/>
    <w:multiLevelType w:val="multilevel"/>
    <w:tmpl w:val="675EF5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nsid w:val="5EEB3983"/>
    <w:multiLevelType w:val="multilevel"/>
    <w:tmpl w:val="0068133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428658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9AC11CF"/>
    <w:multiLevelType w:val="hybridMultilevel"/>
    <w:tmpl w:val="A5FE6F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22"/>
  </w:num>
  <w:num w:numId="3">
    <w:abstractNumId w:val="27"/>
  </w:num>
  <w:num w:numId="4">
    <w:abstractNumId w:val="0"/>
  </w:num>
  <w:num w:numId="5">
    <w:abstractNumId w:val="7"/>
  </w:num>
  <w:num w:numId="6">
    <w:abstractNumId w:val="9"/>
  </w:num>
  <w:num w:numId="7">
    <w:abstractNumId w:val="6"/>
  </w:num>
  <w:num w:numId="8">
    <w:abstractNumId w:val="16"/>
  </w:num>
  <w:num w:numId="9">
    <w:abstractNumId w:val="11"/>
  </w:num>
  <w:num w:numId="10">
    <w:abstractNumId w:val="21"/>
  </w:num>
  <w:num w:numId="11">
    <w:abstractNumId w:val="29"/>
  </w:num>
  <w:num w:numId="12">
    <w:abstractNumId w:val="3"/>
  </w:num>
  <w:num w:numId="13">
    <w:abstractNumId w:val="25"/>
  </w:num>
  <w:num w:numId="14">
    <w:abstractNumId w:val="4"/>
  </w:num>
  <w:num w:numId="15">
    <w:abstractNumId w:val="17"/>
  </w:num>
  <w:num w:numId="16">
    <w:abstractNumId w:val="1"/>
  </w:num>
  <w:num w:numId="17">
    <w:abstractNumId w:val="2"/>
  </w:num>
  <w:num w:numId="18">
    <w:abstractNumId w:val="5"/>
  </w:num>
  <w:num w:numId="19">
    <w:abstractNumId w:val="10"/>
  </w:num>
  <w:num w:numId="20">
    <w:abstractNumId w:val="28"/>
  </w:num>
  <w:num w:numId="21">
    <w:abstractNumId w:val="13"/>
  </w:num>
  <w:num w:numId="22">
    <w:abstractNumId w:val="14"/>
  </w:num>
  <w:num w:numId="23">
    <w:abstractNumId w:val="15"/>
  </w:num>
  <w:num w:numId="24">
    <w:abstractNumId w:val="26"/>
  </w:num>
  <w:num w:numId="25">
    <w:abstractNumId w:val="24"/>
  </w:num>
  <w:num w:numId="26">
    <w:abstractNumId w:val="20"/>
  </w:num>
  <w:num w:numId="27">
    <w:abstractNumId w:val="23"/>
  </w:num>
  <w:num w:numId="28">
    <w:abstractNumId w:val="12"/>
  </w:num>
  <w:num w:numId="29">
    <w:abstractNumId w:val="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1433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tstev\AppData\Local\Microsoft\Windows\Temporary Internet Files\Content.Outlook\RCLMJQUD\AER Exempt Selling Stockland September 2015.docx"/>
  </w:docVars>
  <w:rsids>
    <w:rsidRoot w:val="009F1EB1"/>
    <w:rsid w:val="000011BC"/>
    <w:rsid w:val="00045CF0"/>
    <w:rsid w:val="00052019"/>
    <w:rsid w:val="00061875"/>
    <w:rsid w:val="00062885"/>
    <w:rsid w:val="000D425F"/>
    <w:rsid w:val="00157094"/>
    <w:rsid w:val="001C6211"/>
    <w:rsid w:val="001E34AD"/>
    <w:rsid w:val="001F1A7F"/>
    <w:rsid w:val="00244B7C"/>
    <w:rsid w:val="00267FCE"/>
    <w:rsid w:val="0037139D"/>
    <w:rsid w:val="003B30CB"/>
    <w:rsid w:val="00404B96"/>
    <w:rsid w:val="004637AC"/>
    <w:rsid w:val="00473B86"/>
    <w:rsid w:val="00661444"/>
    <w:rsid w:val="006A4E7C"/>
    <w:rsid w:val="006A5DA1"/>
    <w:rsid w:val="006A630B"/>
    <w:rsid w:val="007902AE"/>
    <w:rsid w:val="00810E73"/>
    <w:rsid w:val="00814F52"/>
    <w:rsid w:val="00843546"/>
    <w:rsid w:val="008E6637"/>
    <w:rsid w:val="009C5A89"/>
    <w:rsid w:val="009F1EB1"/>
    <w:rsid w:val="00A3414F"/>
    <w:rsid w:val="00A7722A"/>
    <w:rsid w:val="00AA30B7"/>
    <w:rsid w:val="00B11999"/>
    <w:rsid w:val="00B34A4C"/>
    <w:rsid w:val="00BC4952"/>
    <w:rsid w:val="00BF37B1"/>
    <w:rsid w:val="00C05BC5"/>
    <w:rsid w:val="00C24554"/>
    <w:rsid w:val="00CA02CF"/>
    <w:rsid w:val="00D208EF"/>
    <w:rsid w:val="00D869BA"/>
    <w:rsid w:val="00E50E61"/>
    <w:rsid w:val="00E62D95"/>
    <w:rsid w:val="00E70817"/>
    <w:rsid w:val="00E87C9D"/>
    <w:rsid w:val="00EC4170"/>
    <w:rsid w:val="00ED5FF2"/>
    <w:rsid w:val="00F43E6A"/>
    <w:rsid w:val="00FE75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B96"/>
    <w:rPr>
      <w:sz w:val="24"/>
      <w:szCs w:val="24"/>
    </w:rPr>
  </w:style>
  <w:style w:type="paragraph" w:styleId="Heading1">
    <w:name w:val="heading 1"/>
    <w:basedOn w:val="Normal"/>
    <w:next w:val="Normal"/>
    <w:link w:val="Heading1Char"/>
    <w:qFormat/>
    <w:rsid w:val="001F1A7F"/>
    <w:pPr>
      <w:keepNext/>
      <w:keepLines/>
      <w:spacing w:before="480" w:after="240"/>
      <w:jc w:val="both"/>
      <w:outlineLvl w:val="0"/>
    </w:pPr>
    <w:rPr>
      <w:rFonts w:eastAsiaTheme="majorEastAsia" w:cstheme="majorBidi"/>
      <w:bCs/>
      <w:sz w:val="36"/>
      <w:szCs w:val="28"/>
    </w:rPr>
  </w:style>
  <w:style w:type="paragraph" w:styleId="Heading2">
    <w:name w:val="heading 2"/>
    <w:basedOn w:val="Heading1"/>
    <w:next w:val="Normal"/>
    <w:link w:val="Heading2Char"/>
    <w:uiPriority w:val="9"/>
    <w:unhideWhenUsed/>
    <w:qFormat/>
    <w:rsid w:val="001F1A7F"/>
    <w:pPr>
      <w:spacing w:after="120"/>
      <w:outlineLvl w:val="1"/>
    </w:pPr>
    <w:rPr>
      <w:sz w:val="32"/>
      <w:szCs w:val="32"/>
    </w:rPr>
  </w:style>
  <w:style w:type="paragraph" w:styleId="Heading3">
    <w:name w:val="heading 3"/>
    <w:basedOn w:val="Normal"/>
    <w:next w:val="Normal"/>
    <w:link w:val="Heading3Char"/>
    <w:uiPriority w:val="9"/>
    <w:semiHidden/>
    <w:unhideWhenUsed/>
    <w:qFormat/>
    <w:rsid w:val="009F1EB1"/>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CF0"/>
  </w:style>
  <w:style w:type="paragraph" w:styleId="Footer">
    <w:name w:val="footer"/>
    <w:basedOn w:val="Normal"/>
    <w:link w:val="FooterChar"/>
    <w:uiPriority w:val="99"/>
    <w:unhideWhenUsed/>
    <w:rsid w:val="00045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CF0"/>
  </w:style>
  <w:style w:type="character" w:customStyle="1" w:styleId="Heading1Char">
    <w:name w:val="Heading 1 Char"/>
    <w:basedOn w:val="DefaultParagraphFont"/>
    <w:link w:val="Heading1"/>
    <w:uiPriority w:val="9"/>
    <w:rsid w:val="001F1A7F"/>
    <w:rPr>
      <w:rFonts w:eastAsiaTheme="majorEastAsia" w:cstheme="majorBidi"/>
      <w:bCs/>
      <w:sz w:val="36"/>
      <w:szCs w:val="28"/>
    </w:rPr>
  </w:style>
  <w:style w:type="paragraph" w:styleId="Title">
    <w:name w:val="Title"/>
    <w:basedOn w:val="Normal"/>
    <w:next w:val="Normal"/>
    <w:link w:val="TitleChar"/>
    <w:uiPriority w:val="10"/>
    <w:qFormat/>
    <w:rsid w:val="00404B96"/>
    <w:pPr>
      <w:jc w:val="center"/>
    </w:pPr>
    <w:rPr>
      <w:sz w:val="56"/>
      <w:szCs w:val="56"/>
    </w:rPr>
  </w:style>
  <w:style w:type="character" w:customStyle="1" w:styleId="TitleChar">
    <w:name w:val="Title Char"/>
    <w:basedOn w:val="DefaultParagraphFont"/>
    <w:link w:val="Title"/>
    <w:uiPriority w:val="10"/>
    <w:rsid w:val="00404B96"/>
    <w:rPr>
      <w:sz w:val="56"/>
      <w:szCs w:val="56"/>
    </w:rPr>
  </w:style>
  <w:style w:type="paragraph" w:styleId="TOCHeading">
    <w:name w:val="TOC Heading"/>
    <w:basedOn w:val="Heading1"/>
    <w:next w:val="Normal"/>
    <w:uiPriority w:val="39"/>
    <w:unhideWhenUsed/>
    <w:qFormat/>
    <w:rsid w:val="00404B96"/>
    <w:pPr>
      <w:outlineLvl w:val="9"/>
    </w:pPr>
    <w:rPr>
      <w:rFonts w:asciiTheme="majorHAnsi" w:hAnsiTheme="majorHAnsi"/>
      <w:b/>
      <w:color w:val="365F91" w:themeColor="accent1" w:themeShade="BF"/>
      <w:sz w:val="28"/>
      <w:lang w:val="en-US" w:eastAsia="ja-JP"/>
    </w:rPr>
  </w:style>
  <w:style w:type="paragraph" w:styleId="TOC1">
    <w:name w:val="toc 1"/>
    <w:basedOn w:val="Normal"/>
    <w:next w:val="Normal"/>
    <w:autoRedefine/>
    <w:uiPriority w:val="39"/>
    <w:unhideWhenUsed/>
    <w:rsid w:val="00404B96"/>
    <w:pPr>
      <w:spacing w:after="100"/>
    </w:pPr>
  </w:style>
  <w:style w:type="character" w:styleId="Hyperlink">
    <w:name w:val="Hyperlink"/>
    <w:basedOn w:val="DefaultParagraphFont"/>
    <w:uiPriority w:val="99"/>
    <w:unhideWhenUsed/>
    <w:rsid w:val="00404B96"/>
    <w:rPr>
      <w:color w:val="0000FF" w:themeColor="hyperlink"/>
      <w:u w:val="single"/>
    </w:rPr>
  </w:style>
  <w:style w:type="paragraph" w:styleId="BalloonText">
    <w:name w:val="Balloon Text"/>
    <w:basedOn w:val="Normal"/>
    <w:link w:val="BalloonTextChar"/>
    <w:uiPriority w:val="99"/>
    <w:semiHidden/>
    <w:unhideWhenUsed/>
    <w:rsid w:val="0040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B96"/>
    <w:rPr>
      <w:rFonts w:ascii="Tahoma" w:hAnsi="Tahoma" w:cs="Tahoma"/>
      <w:sz w:val="16"/>
      <w:szCs w:val="16"/>
    </w:rPr>
  </w:style>
  <w:style w:type="paragraph" w:styleId="Quote">
    <w:name w:val="Quote"/>
    <w:basedOn w:val="Normal"/>
    <w:next w:val="Normal"/>
    <w:link w:val="QuoteChar"/>
    <w:uiPriority w:val="29"/>
    <w:qFormat/>
    <w:rsid w:val="00BF37B1"/>
    <w:pPr>
      <w:ind w:left="720"/>
    </w:pPr>
    <w:rPr>
      <w:i/>
    </w:rPr>
  </w:style>
  <w:style w:type="character" w:customStyle="1" w:styleId="QuoteChar">
    <w:name w:val="Quote Char"/>
    <w:basedOn w:val="DefaultParagraphFont"/>
    <w:link w:val="Quote"/>
    <w:uiPriority w:val="29"/>
    <w:rsid w:val="00BF37B1"/>
    <w:rPr>
      <w:i/>
      <w:sz w:val="24"/>
      <w:szCs w:val="24"/>
    </w:rPr>
  </w:style>
  <w:style w:type="paragraph" w:styleId="ListParagraph">
    <w:name w:val="List Paragraph"/>
    <w:basedOn w:val="Normal"/>
    <w:qFormat/>
    <w:rsid w:val="00BF37B1"/>
    <w:pPr>
      <w:ind w:left="720"/>
      <w:contextualSpacing/>
    </w:pPr>
  </w:style>
  <w:style w:type="paragraph" w:styleId="EndnoteText">
    <w:name w:val="endnote text"/>
    <w:basedOn w:val="Normal"/>
    <w:link w:val="EndnoteTextChar"/>
    <w:uiPriority w:val="99"/>
    <w:semiHidden/>
    <w:unhideWhenUsed/>
    <w:rsid w:val="001570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7094"/>
    <w:rPr>
      <w:sz w:val="20"/>
      <w:szCs w:val="20"/>
    </w:rPr>
  </w:style>
  <w:style w:type="character" w:styleId="EndnoteReference">
    <w:name w:val="endnote reference"/>
    <w:basedOn w:val="DefaultParagraphFont"/>
    <w:uiPriority w:val="99"/>
    <w:semiHidden/>
    <w:unhideWhenUsed/>
    <w:rsid w:val="00157094"/>
    <w:rPr>
      <w:vertAlign w:val="superscript"/>
    </w:rPr>
  </w:style>
  <w:style w:type="paragraph" w:styleId="FootnoteText">
    <w:name w:val="footnote text"/>
    <w:basedOn w:val="Normal"/>
    <w:link w:val="FootnoteTextChar"/>
    <w:unhideWhenUsed/>
    <w:rsid w:val="001570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7094"/>
    <w:rPr>
      <w:sz w:val="20"/>
      <w:szCs w:val="20"/>
    </w:rPr>
  </w:style>
  <w:style w:type="character" w:styleId="FootnoteReference">
    <w:name w:val="footnote reference"/>
    <w:basedOn w:val="DefaultParagraphFont"/>
    <w:unhideWhenUsed/>
    <w:rsid w:val="00157094"/>
    <w:rPr>
      <w:vertAlign w:val="superscript"/>
    </w:rPr>
  </w:style>
  <w:style w:type="character" w:customStyle="1" w:styleId="Heading2Char">
    <w:name w:val="Heading 2 Char"/>
    <w:basedOn w:val="DefaultParagraphFont"/>
    <w:link w:val="Heading2"/>
    <w:uiPriority w:val="9"/>
    <w:rsid w:val="001F1A7F"/>
    <w:rPr>
      <w:rFonts w:eastAsiaTheme="majorEastAsia" w:cstheme="majorBidi"/>
      <w:bCs/>
      <w:sz w:val="32"/>
      <w:szCs w:val="32"/>
    </w:rPr>
  </w:style>
  <w:style w:type="paragraph" w:styleId="TOC2">
    <w:name w:val="toc 2"/>
    <w:basedOn w:val="Normal"/>
    <w:next w:val="Normal"/>
    <w:autoRedefine/>
    <w:uiPriority w:val="39"/>
    <w:unhideWhenUsed/>
    <w:rsid w:val="001F1A7F"/>
    <w:pPr>
      <w:spacing w:after="100"/>
      <w:ind w:left="240"/>
    </w:pPr>
  </w:style>
  <w:style w:type="character" w:customStyle="1" w:styleId="Normal1">
    <w:name w:val="Normal1"/>
    <w:rsid w:val="009F1EB1"/>
    <w:rPr>
      <w:rFonts w:ascii="Gautami" w:hAnsi="Gautami"/>
      <w:color w:val="00000A"/>
      <w:sz w:val="20"/>
    </w:rPr>
  </w:style>
  <w:style w:type="character" w:customStyle="1" w:styleId="FootnoteCharacters">
    <w:name w:val="Footnote Characters"/>
    <w:rsid w:val="009F1EB1"/>
  </w:style>
  <w:style w:type="character" w:customStyle="1" w:styleId="Heading3Char">
    <w:name w:val="Heading 3 Char"/>
    <w:basedOn w:val="DefaultParagraphFont"/>
    <w:link w:val="Heading3"/>
    <w:uiPriority w:val="9"/>
    <w:semiHidden/>
    <w:rsid w:val="009F1EB1"/>
    <w:rPr>
      <w:rFonts w:asciiTheme="majorHAnsi" w:eastAsiaTheme="majorEastAsia" w:hAnsiTheme="majorHAnsi" w:cstheme="majorBidi"/>
      <w:color w:val="243F60" w:themeColor="accent1" w:themeShade="7F"/>
      <w:sz w:val="24"/>
      <w:szCs w:val="24"/>
    </w:rPr>
  </w:style>
  <w:style w:type="paragraph" w:styleId="Caption">
    <w:name w:val="caption"/>
    <w:basedOn w:val="Normal"/>
    <w:qFormat/>
    <w:rsid w:val="009F1EB1"/>
    <w:pPr>
      <w:suppressLineNumbers/>
      <w:suppressAutoHyphens/>
      <w:spacing w:before="120" w:after="120" w:line="100" w:lineRule="atLeast"/>
    </w:pPr>
    <w:rPr>
      <w:rFonts w:ascii="Calibri" w:eastAsia="Times New Roman" w:hAnsi="Calibri" w:cs="Mangal"/>
      <w:i/>
      <w:iCs/>
      <w:color w:val="000000"/>
      <w:kern w:val="1"/>
      <w:lang w:eastAsia="ar-SA"/>
    </w:rPr>
  </w:style>
  <w:style w:type="character" w:customStyle="1" w:styleId="apple-converted-space">
    <w:name w:val="apple-converted-space"/>
    <w:basedOn w:val="DefaultParagraphFont"/>
    <w:rsid w:val="00061875"/>
  </w:style>
  <w:style w:type="paragraph" w:styleId="PlainText">
    <w:name w:val="Plain Text"/>
    <w:basedOn w:val="Normal"/>
    <w:link w:val="PlainTextChar"/>
    <w:uiPriority w:val="99"/>
    <w:semiHidden/>
    <w:unhideWhenUsed/>
    <w:rsid w:val="006A5DA1"/>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6A5DA1"/>
    <w:rPr>
      <w:rFonts w:ascii="Calibri" w:hAnsi="Calibri"/>
      <w:szCs w:val="21"/>
    </w:rPr>
  </w:style>
  <w:style w:type="table" w:styleId="TableGrid">
    <w:name w:val="Table Grid"/>
    <w:basedOn w:val="TableNormal"/>
    <w:uiPriority w:val="39"/>
    <w:rsid w:val="00C05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B96"/>
    <w:rPr>
      <w:sz w:val="24"/>
      <w:szCs w:val="24"/>
    </w:rPr>
  </w:style>
  <w:style w:type="paragraph" w:styleId="Heading1">
    <w:name w:val="heading 1"/>
    <w:basedOn w:val="Normal"/>
    <w:next w:val="Normal"/>
    <w:link w:val="Heading1Char"/>
    <w:qFormat/>
    <w:rsid w:val="001F1A7F"/>
    <w:pPr>
      <w:keepNext/>
      <w:keepLines/>
      <w:spacing w:before="480" w:after="240"/>
      <w:jc w:val="both"/>
      <w:outlineLvl w:val="0"/>
    </w:pPr>
    <w:rPr>
      <w:rFonts w:eastAsiaTheme="majorEastAsia" w:cstheme="majorBidi"/>
      <w:bCs/>
      <w:sz w:val="36"/>
      <w:szCs w:val="28"/>
    </w:rPr>
  </w:style>
  <w:style w:type="paragraph" w:styleId="Heading2">
    <w:name w:val="heading 2"/>
    <w:basedOn w:val="Heading1"/>
    <w:next w:val="Normal"/>
    <w:link w:val="Heading2Char"/>
    <w:uiPriority w:val="9"/>
    <w:unhideWhenUsed/>
    <w:qFormat/>
    <w:rsid w:val="001F1A7F"/>
    <w:pPr>
      <w:spacing w:after="120"/>
      <w:outlineLvl w:val="1"/>
    </w:pPr>
    <w:rPr>
      <w:sz w:val="32"/>
      <w:szCs w:val="32"/>
    </w:rPr>
  </w:style>
  <w:style w:type="paragraph" w:styleId="Heading3">
    <w:name w:val="heading 3"/>
    <w:basedOn w:val="Normal"/>
    <w:next w:val="Normal"/>
    <w:link w:val="Heading3Char"/>
    <w:uiPriority w:val="9"/>
    <w:semiHidden/>
    <w:unhideWhenUsed/>
    <w:qFormat/>
    <w:rsid w:val="009F1EB1"/>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CF0"/>
  </w:style>
  <w:style w:type="paragraph" w:styleId="Footer">
    <w:name w:val="footer"/>
    <w:basedOn w:val="Normal"/>
    <w:link w:val="FooterChar"/>
    <w:uiPriority w:val="99"/>
    <w:unhideWhenUsed/>
    <w:rsid w:val="00045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CF0"/>
  </w:style>
  <w:style w:type="character" w:customStyle="1" w:styleId="Heading1Char">
    <w:name w:val="Heading 1 Char"/>
    <w:basedOn w:val="DefaultParagraphFont"/>
    <w:link w:val="Heading1"/>
    <w:uiPriority w:val="9"/>
    <w:rsid w:val="001F1A7F"/>
    <w:rPr>
      <w:rFonts w:eastAsiaTheme="majorEastAsia" w:cstheme="majorBidi"/>
      <w:bCs/>
      <w:sz w:val="36"/>
      <w:szCs w:val="28"/>
    </w:rPr>
  </w:style>
  <w:style w:type="paragraph" w:styleId="Title">
    <w:name w:val="Title"/>
    <w:basedOn w:val="Normal"/>
    <w:next w:val="Normal"/>
    <w:link w:val="TitleChar"/>
    <w:uiPriority w:val="10"/>
    <w:qFormat/>
    <w:rsid w:val="00404B96"/>
    <w:pPr>
      <w:jc w:val="center"/>
    </w:pPr>
    <w:rPr>
      <w:sz w:val="56"/>
      <w:szCs w:val="56"/>
    </w:rPr>
  </w:style>
  <w:style w:type="character" w:customStyle="1" w:styleId="TitleChar">
    <w:name w:val="Title Char"/>
    <w:basedOn w:val="DefaultParagraphFont"/>
    <w:link w:val="Title"/>
    <w:uiPriority w:val="10"/>
    <w:rsid w:val="00404B96"/>
    <w:rPr>
      <w:sz w:val="56"/>
      <w:szCs w:val="56"/>
    </w:rPr>
  </w:style>
  <w:style w:type="paragraph" w:styleId="TOCHeading">
    <w:name w:val="TOC Heading"/>
    <w:basedOn w:val="Heading1"/>
    <w:next w:val="Normal"/>
    <w:uiPriority w:val="39"/>
    <w:unhideWhenUsed/>
    <w:qFormat/>
    <w:rsid w:val="00404B96"/>
    <w:pPr>
      <w:outlineLvl w:val="9"/>
    </w:pPr>
    <w:rPr>
      <w:rFonts w:asciiTheme="majorHAnsi" w:hAnsiTheme="majorHAnsi"/>
      <w:b/>
      <w:color w:val="365F91" w:themeColor="accent1" w:themeShade="BF"/>
      <w:sz w:val="28"/>
      <w:lang w:val="en-US" w:eastAsia="ja-JP"/>
    </w:rPr>
  </w:style>
  <w:style w:type="paragraph" w:styleId="TOC1">
    <w:name w:val="toc 1"/>
    <w:basedOn w:val="Normal"/>
    <w:next w:val="Normal"/>
    <w:autoRedefine/>
    <w:uiPriority w:val="39"/>
    <w:unhideWhenUsed/>
    <w:rsid w:val="00404B96"/>
    <w:pPr>
      <w:spacing w:after="100"/>
    </w:pPr>
  </w:style>
  <w:style w:type="character" w:styleId="Hyperlink">
    <w:name w:val="Hyperlink"/>
    <w:basedOn w:val="DefaultParagraphFont"/>
    <w:uiPriority w:val="99"/>
    <w:unhideWhenUsed/>
    <w:rsid w:val="00404B96"/>
    <w:rPr>
      <w:color w:val="0000FF" w:themeColor="hyperlink"/>
      <w:u w:val="single"/>
    </w:rPr>
  </w:style>
  <w:style w:type="paragraph" w:styleId="BalloonText">
    <w:name w:val="Balloon Text"/>
    <w:basedOn w:val="Normal"/>
    <w:link w:val="BalloonTextChar"/>
    <w:uiPriority w:val="99"/>
    <w:semiHidden/>
    <w:unhideWhenUsed/>
    <w:rsid w:val="0040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B96"/>
    <w:rPr>
      <w:rFonts w:ascii="Tahoma" w:hAnsi="Tahoma" w:cs="Tahoma"/>
      <w:sz w:val="16"/>
      <w:szCs w:val="16"/>
    </w:rPr>
  </w:style>
  <w:style w:type="paragraph" w:styleId="Quote">
    <w:name w:val="Quote"/>
    <w:basedOn w:val="Normal"/>
    <w:next w:val="Normal"/>
    <w:link w:val="QuoteChar"/>
    <w:uiPriority w:val="29"/>
    <w:qFormat/>
    <w:rsid w:val="00BF37B1"/>
    <w:pPr>
      <w:ind w:left="720"/>
    </w:pPr>
    <w:rPr>
      <w:i/>
    </w:rPr>
  </w:style>
  <w:style w:type="character" w:customStyle="1" w:styleId="QuoteChar">
    <w:name w:val="Quote Char"/>
    <w:basedOn w:val="DefaultParagraphFont"/>
    <w:link w:val="Quote"/>
    <w:uiPriority w:val="29"/>
    <w:rsid w:val="00BF37B1"/>
    <w:rPr>
      <w:i/>
      <w:sz w:val="24"/>
      <w:szCs w:val="24"/>
    </w:rPr>
  </w:style>
  <w:style w:type="paragraph" w:styleId="ListParagraph">
    <w:name w:val="List Paragraph"/>
    <w:basedOn w:val="Normal"/>
    <w:qFormat/>
    <w:rsid w:val="00BF37B1"/>
    <w:pPr>
      <w:ind w:left="720"/>
      <w:contextualSpacing/>
    </w:pPr>
  </w:style>
  <w:style w:type="paragraph" w:styleId="EndnoteText">
    <w:name w:val="endnote text"/>
    <w:basedOn w:val="Normal"/>
    <w:link w:val="EndnoteTextChar"/>
    <w:uiPriority w:val="99"/>
    <w:semiHidden/>
    <w:unhideWhenUsed/>
    <w:rsid w:val="001570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7094"/>
    <w:rPr>
      <w:sz w:val="20"/>
      <w:szCs w:val="20"/>
    </w:rPr>
  </w:style>
  <w:style w:type="character" w:styleId="EndnoteReference">
    <w:name w:val="endnote reference"/>
    <w:basedOn w:val="DefaultParagraphFont"/>
    <w:uiPriority w:val="99"/>
    <w:semiHidden/>
    <w:unhideWhenUsed/>
    <w:rsid w:val="00157094"/>
    <w:rPr>
      <w:vertAlign w:val="superscript"/>
    </w:rPr>
  </w:style>
  <w:style w:type="paragraph" w:styleId="FootnoteText">
    <w:name w:val="footnote text"/>
    <w:basedOn w:val="Normal"/>
    <w:link w:val="FootnoteTextChar"/>
    <w:unhideWhenUsed/>
    <w:rsid w:val="001570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7094"/>
    <w:rPr>
      <w:sz w:val="20"/>
      <w:szCs w:val="20"/>
    </w:rPr>
  </w:style>
  <w:style w:type="character" w:styleId="FootnoteReference">
    <w:name w:val="footnote reference"/>
    <w:basedOn w:val="DefaultParagraphFont"/>
    <w:unhideWhenUsed/>
    <w:rsid w:val="00157094"/>
    <w:rPr>
      <w:vertAlign w:val="superscript"/>
    </w:rPr>
  </w:style>
  <w:style w:type="character" w:customStyle="1" w:styleId="Heading2Char">
    <w:name w:val="Heading 2 Char"/>
    <w:basedOn w:val="DefaultParagraphFont"/>
    <w:link w:val="Heading2"/>
    <w:uiPriority w:val="9"/>
    <w:rsid w:val="001F1A7F"/>
    <w:rPr>
      <w:rFonts w:eastAsiaTheme="majorEastAsia" w:cstheme="majorBidi"/>
      <w:bCs/>
      <w:sz w:val="32"/>
      <w:szCs w:val="32"/>
    </w:rPr>
  </w:style>
  <w:style w:type="paragraph" w:styleId="TOC2">
    <w:name w:val="toc 2"/>
    <w:basedOn w:val="Normal"/>
    <w:next w:val="Normal"/>
    <w:autoRedefine/>
    <w:uiPriority w:val="39"/>
    <w:unhideWhenUsed/>
    <w:rsid w:val="001F1A7F"/>
    <w:pPr>
      <w:spacing w:after="100"/>
      <w:ind w:left="240"/>
    </w:pPr>
  </w:style>
  <w:style w:type="character" w:customStyle="1" w:styleId="Normal1">
    <w:name w:val="Normal1"/>
    <w:rsid w:val="009F1EB1"/>
    <w:rPr>
      <w:rFonts w:ascii="Gautami" w:hAnsi="Gautami"/>
      <w:color w:val="00000A"/>
      <w:sz w:val="20"/>
    </w:rPr>
  </w:style>
  <w:style w:type="character" w:customStyle="1" w:styleId="FootnoteCharacters">
    <w:name w:val="Footnote Characters"/>
    <w:rsid w:val="009F1EB1"/>
  </w:style>
  <w:style w:type="character" w:customStyle="1" w:styleId="Heading3Char">
    <w:name w:val="Heading 3 Char"/>
    <w:basedOn w:val="DefaultParagraphFont"/>
    <w:link w:val="Heading3"/>
    <w:uiPriority w:val="9"/>
    <w:semiHidden/>
    <w:rsid w:val="009F1EB1"/>
    <w:rPr>
      <w:rFonts w:asciiTheme="majorHAnsi" w:eastAsiaTheme="majorEastAsia" w:hAnsiTheme="majorHAnsi" w:cstheme="majorBidi"/>
      <w:color w:val="243F60" w:themeColor="accent1" w:themeShade="7F"/>
      <w:sz w:val="24"/>
      <w:szCs w:val="24"/>
    </w:rPr>
  </w:style>
  <w:style w:type="paragraph" w:styleId="Caption">
    <w:name w:val="caption"/>
    <w:basedOn w:val="Normal"/>
    <w:qFormat/>
    <w:rsid w:val="009F1EB1"/>
    <w:pPr>
      <w:suppressLineNumbers/>
      <w:suppressAutoHyphens/>
      <w:spacing w:before="120" w:after="120" w:line="100" w:lineRule="atLeast"/>
    </w:pPr>
    <w:rPr>
      <w:rFonts w:ascii="Calibri" w:eastAsia="Times New Roman" w:hAnsi="Calibri" w:cs="Mangal"/>
      <w:i/>
      <w:iCs/>
      <w:color w:val="000000"/>
      <w:kern w:val="1"/>
      <w:lang w:eastAsia="ar-SA"/>
    </w:rPr>
  </w:style>
  <w:style w:type="character" w:customStyle="1" w:styleId="apple-converted-space">
    <w:name w:val="apple-converted-space"/>
    <w:basedOn w:val="DefaultParagraphFont"/>
    <w:rsid w:val="00061875"/>
  </w:style>
  <w:style w:type="paragraph" w:styleId="PlainText">
    <w:name w:val="Plain Text"/>
    <w:basedOn w:val="Normal"/>
    <w:link w:val="PlainTextChar"/>
    <w:uiPriority w:val="99"/>
    <w:semiHidden/>
    <w:unhideWhenUsed/>
    <w:rsid w:val="006A5DA1"/>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6A5DA1"/>
    <w:rPr>
      <w:rFonts w:ascii="Calibri" w:hAnsi="Calibri"/>
      <w:szCs w:val="21"/>
    </w:rPr>
  </w:style>
  <w:style w:type="table" w:styleId="TableGrid">
    <w:name w:val="Table Grid"/>
    <w:basedOn w:val="TableNormal"/>
    <w:uiPriority w:val="39"/>
    <w:rsid w:val="00C05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400264">
      <w:bodyDiv w:val="1"/>
      <w:marLeft w:val="0"/>
      <w:marRight w:val="0"/>
      <w:marTop w:val="0"/>
      <w:marBottom w:val="0"/>
      <w:divBdr>
        <w:top w:val="none" w:sz="0" w:space="0" w:color="auto"/>
        <w:left w:val="none" w:sz="0" w:space="0" w:color="auto"/>
        <w:bottom w:val="none" w:sz="0" w:space="0" w:color="auto"/>
        <w:right w:val="none" w:sz="0" w:space="0" w:color="auto"/>
      </w:divBdr>
    </w:div>
    <w:div w:id="951403256">
      <w:bodyDiv w:val="1"/>
      <w:marLeft w:val="0"/>
      <w:marRight w:val="0"/>
      <w:marTop w:val="0"/>
      <w:marBottom w:val="0"/>
      <w:divBdr>
        <w:top w:val="none" w:sz="0" w:space="0" w:color="auto"/>
        <w:left w:val="none" w:sz="0" w:space="0" w:color="auto"/>
        <w:bottom w:val="none" w:sz="0" w:space="0" w:color="auto"/>
        <w:right w:val="none" w:sz="0" w:space="0" w:color="auto"/>
      </w:divBdr>
    </w:div>
    <w:div w:id="1241409347">
      <w:bodyDiv w:val="1"/>
      <w:marLeft w:val="0"/>
      <w:marRight w:val="0"/>
      <w:marTop w:val="0"/>
      <w:marBottom w:val="0"/>
      <w:divBdr>
        <w:top w:val="none" w:sz="0" w:space="0" w:color="auto"/>
        <w:left w:val="none" w:sz="0" w:space="0" w:color="auto"/>
        <w:bottom w:val="none" w:sz="0" w:space="0" w:color="auto"/>
        <w:right w:val="none" w:sz="0" w:space="0" w:color="auto"/>
      </w:divBdr>
    </w:div>
    <w:div w:id="1422410098">
      <w:bodyDiv w:val="1"/>
      <w:marLeft w:val="0"/>
      <w:marRight w:val="0"/>
      <w:marTop w:val="0"/>
      <w:marBottom w:val="0"/>
      <w:divBdr>
        <w:top w:val="none" w:sz="0" w:space="0" w:color="auto"/>
        <w:left w:val="none" w:sz="0" w:space="0" w:color="auto"/>
        <w:bottom w:val="none" w:sz="0" w:space="0" w:color="auto"/>
        <w:right w:val="none" w:sz="0" w:space="0" w:color="auto"/>
      </w:divBdr>
    </w:div>
    <w:div w:id="17687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aer.gov.au/retail-markets/retail-exemptions/public-regis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Per</b:Tag>
    <b:SourceType>Book</b:SourceType>
    <b:Guid>{7CCB3C87-E9CD-4BE2-8816-3648B70AC6C2}</b:Guid>
    <b:Author>
      <b:Author>
        <b:NameList>
          <b:Person>
            <b:Last>Person</b:Last>
          </b:Person>
        </b:NameList>
      </b:Author>
    </b:Author>
    <b:Title>Blah</b:Title>
    <b:RefOrder>2</b:RefOrder>
  </b:Source>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D5C5AE3B-0EF7-4B2E-8742-789F944F3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1091</Words>
  <Characters>6221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Lachlan Macleod</dc:creator>
  <cp:lastModifiedBy>Stevens-Downie, Tom</cp:lastModifiedBy>
  <cp:revision>2</cp:revision>
  <cp:lastPrinted>2015-06-01T07:22:00Z</cp:lastPrinted>
  <dcterms:created xsi:type="dcterms:W3CDTF">2015-10-01T06:28:00Z</dcterms:created>
  <dcterms:modified xsi:type="dcterms:W3CDTF">2015-10-01T06:28:00Z</dcterms:modified>
</cp:coreProperties>
</file>