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882" w:rsidRDefault="005C1882" w:rsidP="00BE7673">
      <w:pPr>
        <w:pStyle w:val="ReportTitle"/>
      </w:pPr>
      <w:bookmarkStart w:id="0" w:name="_GoBack"/>
      <w:bookmarkEnd w:id="0"/>
      <w:r>
        <w:drawing>
          <wp:inline distT="0" distB="0" distL="0" distR="0" wp14:anchorId="2936903E" wp14:editId="2D485A83">
            <wp:extent cx="4617691" cy="1352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ing communities logo_RGB.jpg"/>
                    <pic:cNvPicPr/>
                  </pic:nvPicPr>
                  <pic:blipFill>
                    <a:blip r:embed="rId9">
                      <a:extLst>
                        <a:ext uri="{28A0092B-C50C-407E-A947-70E740481C1C}">
                          <a14:useLocalDpi xmlns:a14="http://schemas.microsoft.com/office/drawing/2010/main" val="0"/>
                        </a:ext>
                      </a:extLst>
                    </a:blip>
                    <a:stretch>
                      <a:fillRect/>
                    </a:stretch>
                  </pic:blipFill>
                  <pic:spPr>
                    <a:xfrm>
                      <a:off x="0" y="0"/>
                      <a:ext cx="4630114" cy="1356189"/>
                    </a:xfrm>
                    <a:prstGeom prst="rect">
                      <a:avLst/>
                    </a:prstGeom>
                  </pic:spPr>
                </pic:pic>
              </a:graphicData>
            </a:graphic>
          </wp:inline>
        </w:drawing>
      </w:r>
    </w:p>
    <w:p w:rsidR="001E264E" w:rsidRDefault="001E264E" w:rsidP="001E264E">
      <w:pPr>
        <w:rPr>
          <w:lang w:eastAsia="en-AU"/>
        </w:rPr>
      </w:pPr>
    </w:p>
    <w:p w:rsidR="001E264E" w:rsidRPr="001E264E" w:rsidRDefault="001E264E" w:rsidP="001E264E">
      <w:pPr>
        <w:rPr>
          <w:lang w:eastAsia="en-AU"/>
        </w:rPr>
      </w:pPr>
    </w:p>
    <w:p w:rsidR="005C1882" w:rsidRDefault="001E264E" w:rsidP="00BE7673">
      <w:pPr>
        <w:pStyle w:val="ReportTitle"/>
        <w:rPr>
          <w:color w:val="00B050"/>
        </w:rPr>
      </w:pPr>
      <w:r w:rsidRPr="001E264E">
        <w:rPr>
          <w:color w:val="00B050"/>
        </w:rPr>
        <w:t>Submission</w:t>
      </w:r>
    </w:p>
    <w:p w:rsidR="001E264E" w:rsidRDefault="001E264E" w:rsidP="001E264E">
      <w:pPr>
        <w:rPr>
          <w:lang w:eastAsia="en-AU"/>
        </w:rPr>
      </w:pPr>
    </w:p>
    <w:p w:rsidR="001E264E" w:rsidRPr="001E264E" w:rsidRDefault="001E264E" w:rsidP="001E264E">
      <w:pPr>
        <w:rPr>
          <w:b/>
          <w:color w:val="002060"/>
          <w:sz w:val="52"/>
          <w:szCs w:val="52"/>
          <w:lang w:eastAsia="en-AU"/>
        </w:rPr>
      </w:pPr>
      <w:r w:rsidRPr="001E264E">
        <w:rPr>
          <w:b/>
          <w:color w:val="002060"/>
          <w:sz w:val="52"/>
          <w:szCs w:val="52"/>
          <w:lang w:eastAsia="en-AU"/>
        </w:rPr>
        <w:t xml:space="preserve">To: </w:t>
      </w:r>
      <w:r w:rsidRPr="001E264E">
        <w:rPr>
          <w:b/>
          <w:color w:val="002060"/>
          <w:sz w:val="52"/>
          <w:szCs w:val="52"/>
          <w:lang w:eastAsia="en-AU"/>
        </w:rPr>
        <w:tab/>
      </w:r>
      <w:r w:rsidRPr="001E264E">
        <w:rPr>
          <w:b/>
          <w:color w:val="002060"/>
          <w:sz w:val="52"/>
          <w:szCs w:val="52"/>
          <w:lang w:eastAsia="en-AU"/>
        </w:rPr>
        <w:tab/>
        <w:t>Australian Energy Regulator</w:t>
      </w:r>
    </w:p>
    <w:p w:rsidR="001E264E" w:rsidRPr="00DB723B" w:rsidRDefault="001E264E" w:rsidP="001E264E">
      <w:pPr>
        <w:pStyle w:val="ReportDate"/>
        <w:jc w:val="left"/>
      </w:pPr>
      <w:r>
        <w:rPr>
          <w:b/>
          <w:sz w:val="24"/>
          <w:szCs w:val="24"/>
        </w:rPr>
        <w:tab/>
      </w:r>
      <w:hyperlink r:id="rId10" w:history="1">
        <w:r w:rsidRPr="00D64888">
          <w:rPr>
            <w:rStyle w:val="Hyperlink"/>
          </w:rPr>
          <w:t>AERInquiry@aer.gov.au</w:t>
        </w:r>
      </w:hyperlink>
    </w:p>
    <w:p w:rsidR="001E264E" w:rsidRPr="001E264E" w:rsidRDefault="001E264E" w:rsidP="001E264E">
      <w:pPr>
        <w:rPr>
          <w:b/>
          <w:sz w:val="24"/>
          <w:szCs w:val="24"/>
          <w:lang w:eastAsia="en-AU"/>
        </w:rPr>
      </w:pPr>
    </w:p>
    <w:p w:rsidR="00814004" w:rsidRDefault="001E264E" w:rsidP="00814004">
      <w:pPr>
        <w:ind w:left="2160" w:hanging="2160"/>
        <w:rPr>
          <w:b/>
          <w:color w:val="000066"/>
          <w:sz w:val="72"/>
          <w:szCs w:val="72"/>
        </w:rPr>
      </w:pPr>
      <w:r w:rsidRPr="001E264E">
        <w:rPr>
          <w:b/>
          <w:color w:val="000066"/>
          <w:sz w:val="52"/>
          <w:szCs w:val="52"/>
          <w:lang w:eastAsia="en-AU"/>
        </w:rPr>
        <w:t>Topic:</w:t>
      </w:r>
      <w:r w:rsidRPr="001E264E">
        <w:rPr>
          <w:b/>
          <w:color w:val="000066"/>
          <w:sz w:val="52"/>
          <w:szCs w:val="52"/>
          <w:lang w:eastAsia="en-AU"/>
        </w:rPr>
        <w:tab/>
      </w:r>
      <w:r w:rsidRPr="001E264E">
        <w:rPr>
          <w:b/>
          <w:color w:val="000066"/>
          <w:sz w:val="72"/>
          <w:szCs w:val="72"/>
        </w:rPr>
        <w:t>Regulatory T</w:t>
      </w:r>
      <w:r w:rsidR="00BE7673" w:rsidRPr="001E264E">
        <w:rPr>
          <w:b/>
          <w:color w:val="000066"/>
          <w:sz w:val="72"/>
          <w:szCs w:val="72"/>
        </w:rPr>
        <w:t xml:space="preserve">reatment of </w:t>
      </w:r>
      <w:r w:rsidRPr="001E264E">
        <w:rPr>
          <w:b/>
          <w:color w:val="000066"/>
          <w:sz w:val="72"/>
          <w:szCs w:val="72"/>
        </w:rPr>
        <w:t>I</w:t>
      </w:r>
      <w:r w:rsidR="00BE7673" w:rsidRPr="001E264E">
        <w:rPr>
          <w:b/>
          <w:color w:val="000066"/>
          <w:sz w:val="72"/>
          <w:szCs w:val="72"/>
        </w:rPr>
        <w:t>nflation</w:t>
      </w:r>
    </w:p>
    <w:p w:rsidR="00BE7673" w:rsidRPr="00814004" w:rsidRDefault="00BE7673" w:rsidP="00814004">
      <w:pPr>
        <w:pStyle w:val="ListParagraph"/>
        <w:numPr>
          <w:ilvl w:val="0"/>
          <w:numId w:val="3"/>
        </w:numPr>
        <w:rPr>
          <w:b/>
          <w:color w:val="000066"/>
          <w:sz w:val="52"/>
          <w:szCs w:val="52"/>
          <w:lang w:eastAsia="en-AU"/>
        </w:rPr>
      </w:pPr>
      <w:r w:rsidRPr="00814004">
        <w:rPr>
          <w:b/>
          <w:color w:val="000066"/>
          <w:sz w:val="40"/>
          <w:szCs w:val="40"/>
        </w:rPr>
        <w:t>Discussion paper</w:t>
      </w:r>
      <w:r w:rsidR="001E264E" w:rsidRPr="00814004">
        <w:rPr>
          <w:color w:val="000066"/>
          <w:sz w:val="40"/>
          <w:szCs w:val="40"/>
        </w:rPr>
        <w:t xml:space="preserve">, </w:t>
      </w:r>
      <w:r w:rsidRPr="00814004">
        <w:rPr>
          <w:b/>
          <w:color w:val="000066"/>
          <w:sz w:val="40"/>
          <w:szCs w:val="40"/>
        </w:rPr>
        <w:t>April 2017</w:t>
      </w:r>
    </w:p>
    <w:p w:rsidR="00814004" w:rsidRPr="00814004" w:rsidRDefault="00814004" w:rsidP="00814004">
      <w:pPr>
        <w:pStyle w:val="ListParagraph"/>
        <w:ind w:left="2520"/>
        <w:rPr>
          <w:b/>
          <w:color w:val="000066"/>
          <w:sz w:val="20"/>
          <w:szCs w:val="20"/>
          <w:lang w:eastAsia="en-AU"/>
        </w:rPr>
      </w:pPr>
    </w:p>
    <w:p w:rsidR="00541103" w:rsidRPr="00814004" w:rsidRDefault="00814004">
      <w:pPr>
        <w:rPr>
          <w:b/>
          <w:color w:val="002060"/>
          <w:sz w:val="44"/>
          <w:szCs w:val="44"/>
        </w:rPr>
      </w:pPr>
      <w:r w:rsidRPr="00814004">
        <w:rPr>
          <w:b/>
          <w:color w:val="002060"/>
          <w:sz w:val="44"/>
          <w:szCs w:val="44"/>
        </w:rPr>
        <w:t>Date:</w:t>
      </w:r>
      <w:r w:rsidRPr="00814004">
        <w:rPr>
          <w:b/>
          <w:color w:val="002060"/>
          <w:sz w:val="44"/>
          <w:szCs w:val="44"/>
        </w:rPr>
        <w:tab/>
      </w:r>
      <w:r w:rsidRPr="00814004">
        <w:rPr>
          <w:b/>
          <w:color w:val="002060"/>
          <w:sz w:val="44"/>
          <w:szCs w:val="44"/>
        </w:rPr>
        <w:tab/>
      </w:r>
      <w:r w:rsidRPr="00814004">
        <w:rPr>
          <w:b/>
          <w:color w:val="002060"/>
          <w:sz w:val="40"/>
          <w:szCs w:val="40"/>
        </w:rPr>
        <w:t>5</w:t>
      </w:r>
      <w:r w:rsidRPr="00814004">
        <w:rPr>
          <w:b/>
          <w:color w:val="002060"/>
          <w:sz w:val="40"/>
          <w:szCs w:val="40"/>
          <w:vertAlign w:val="superscript"/>
        </w:rPr>
        <w:t>th</w:t>
      </w:r>
      <w:r w:rsidRPr="00814004">
        <w:rPr>
          <w:b/>
          <w:color w:val="002060"/>
          <w:sz w:val="40"/>
          <w:szCs w:val="40"/>
        </w:rPr>
        <w:t xml:space="preserve"> July 2017</w:t>
      </w:r>
    </w:p>
    <w:p w:rsidR="00814004" w:rsidRDefault="00814004">
      <w:pPr>
        <w:rPr>
          <w:b/>
          <w:color w:val="002060"/>
          <w:sz w:val="24"/>
          <w:szCs w:val="24"/>
          <w:u w:val="single"/>
        </w:rPr>
      </w:pPr>
    </w:p>
    <w:p w:rsidR="001E264E" w:rsidRPr="001E264E" w:rsidRDefault="001E264E">
      <w:pPr>
        <w:rPr>
          <w:b/>
          <w:color w:val="002060"/>
          <w:sz w:val="24"/>
          <w:szCs w:val="24"/>
          <w:u w:val="single"/>
        </w:rPr>
      </w:pPr>
      <w:r w:rsidRPr="001E264E">
        <w:rPr>
          <w:b/>
          <w:color w:val="002060"/>
          <w:sz w:val="24"/>
          <w:szCs w:val="24"/>
          <w:u w:val="single"/>
        </w:rPr>
        <w:t>Contact:</w:t>
      </w:r>
    </w:p>
    <w:p w:rsidR="001E264E" w:rsidRPr="001E264E" w:rsidRDefault="001E264E">
      <w:pPr>
        <w:rPr>
          <w:b/>
          <w:color w:val="002060"/>
          <w:sz w:val="24"/>
          <w:szCs w:val="24"/>
        </w:rPr>
      </w:pPr>
      <w:r w:rsidRPr="001E264E">
        <w:rPr>
          <w:b/>
          <w:color w:val="002060"/>
          <w:sz w:val="24"/>
          <w:szCs w:val="24"/>
        </w:rPr>
        <w:t>Mark Henley</w:t>
      </w:r>
    </w:p>
    <w:p w:rsidR="001E264E" w:rsidRPr="001E264E" w:rsidRDefault="001E264E">
      <w:pPr>
        <w:rPr>
          <w:b/>
          <w:color w:val="0046D2"/>
          <w:sz w:val="24"/>
          <w:szCs w:val="24"/>
        </w:rPr>
      </w:pPr>
      <w:r w:rsidRPr="001E264E">
        <w:rPr>
          <w:b/>
          <w:color w:val="002060"/>
          <w:sz w:val="24"/>
          <w:szCs w:val="24"/>
        </w:rPr>
        <w:t xml:space="preserve">E: </w:t>
      </w:r>
      <w:r w:rsidRPr="001E264E">
        <w:rPr>
          <w:b/>
          <w:color w:val="002060"/>
          <w:sz w:val="24"/>
          <w:szCs w:val="24"/>
        </w:rPr>
        <w:tab/>
      </w:r>
      <w:hyperlink r:id="rId11" w:history="1">
        <w:r w:rsidRPr="001E264E">
          <w:rPr>
            <w:rStyle w:val="Hyperlink"/>
            <w:rFonts w:asciiTheme="minorHAnsi" w:hAnsiTheme="minorHAnsi"/>
            <w:b/>
            <w:color w:val="0046D2"/>
            <w:sz w:val="24"/>
            <w:szCs w:val="24"/>
          </w:rPr>
          <w:t>MarkH@unitingcommunities.org</w:t>
        </w:r>
      </w:hyperlink>
    </w:p>
    <w:p w:rsidR="001E264E" w:rsidRPr="001E264E" w:rsidRDefault="001E264E">
      <w:pPr>
        <w:rPr>
          <w:b/>
          <w:color w:val="002060"/>
          <w:sz w:val="24"/>
          <w:szCs w:val="24"/>
        </w:rPr>
      </w:pPr>
      <w:r w:rsidRPr="001E264E">
        <w:rPr>
          <w:b/>
          <w:color w:val="002060"/>
          <w:sz w:val="24"/>
          <w:szCs w:val="24"/>
        </w:rPr>
        <w:t>P:</w:t>
      </w:r>
      <w:r w:rsidRPr="001E264E">
        <w:rPr>
          <w:b/>
          <w:color w:val="002060"/>
          <w:sz w:val="24"/>
          <w:szCs w:val="24"/>
        </w:rPr>
        <w:tab/>
        <w:t>(08) 82020 5135</w:t>
      </w:r>
    </w:p>
    <w:p w:rsidR="00541103" w:rsidRDefault="00541103"/>
    <w:p w:rsidR="00814004" w:rsidRPr="00814004" w:rsidRDefault="00814004" w:rsidP="00814004">
      <w:pPr>
        <w:pStyle w:val="Footer"/>
        <w:ind w:left="-709"/>
        <w:rPr>
          <w:rFonts w:ascii="Arial" w:hAnsi="Arial" w:cs="Arial"/>
          <w:b/>
          <w:color w:val="7F7F7F" w:themeColor="text1" w:themeTint="80"/>
          <w:sz w:val="20"/>
          <w:szCs w:val="20"/>
        </w:rPr>
      </w:pPr>
      <w:r w:rsidRPr="00814004">
        <w:rPr>
          <w:rFonts w:ascii="Arial" w:hAnsi="Arial" w:cs="Arial"/>
          <w:b/>
          <w:color w:val="7F7F7F" w:themeColor="text1" w:themeTint="80"/>
          <w:sz w:val="20"/>
          <w:szCs w:val="20"/>
        </w:rPr>
        <w:t>Uniting Communities Incorporated trading as Uniting Communities ABN 33 174 490 373</w:t>
      </w:r>
    </w:p>
    <w:p w:rsidR="00814004" w:rsidRPr="00814004" w:rsidRDefault="002C4FBD" w:rsidP="00814004">
      <w:pPr>
        <w:pStyle w:val="Footer"/>
        <w:ind w:left="-709"/>
        <w:rPr>
          <w:rFonts w:ascii="Arial" w:hAnsi="Arial" w:cs="Arial"/>
          <w:b/>
          <w:color w:val="7F7F7F" w:themeColor="text1" w:themeTint="80"/>
          <w:sz w:val="20"/>
          <w:szCs w:val="20"/>
        </w:rPr>
      </w:pPr>
      <w:hyperlink r:id="rId12" w:history="1">
        <w:r w:rsidR="00814004" w:rsidRPr="00814004">
          <w:rPr>
            <w:rStyle w:val="Hyperlink"/>
            <w:rFonts w:cs="Arial"/>
            <w:b/>
            <w:color w:val="66B0FB" w:themeColor="hyperlink" w:themeTint="80"/>
            <w:sz w:val="20"/>
            <w:szCs w:val="20"/>
          </w:rPr>
          <w:t>www.unitingcommunities.org</w:t>
        </w:r>
      </w:hyperlink>
    </w:p>
    <w:p w:rsidR="00856426" w:rsidRPr="00856426" w:rsidRDefault="00856426" w:rsidP="00856426">
      <w:pPr>
        <w:shd w:val="clear" w:color="auto" w:fill="EFEFEF"/>
        <w:spacing w:after="12" w:line="269" w:lineRule="auto"/>
        <w:rPr>
          <w:color w:val="333333"/>
          <w:u w:val="single"/>
        </w:rPr>
      </w:pPr>
      <w:r w:rsidRPr="00856426">
        <w:rPr>
          <w:color w:val="333333"/>
          <w:u w:val="single"/>
        </w:rPr>
        <w:lastRenderedPageBreak/>
        <w:t>About Uniting Communities</w:t>
      </w:r>
    </w:p>
    <w:p w:rsidR="00856426" w:rsidRDefault="00856426" w:rsidP="00856426">
      <w:pPr>
        <w:shd w:val="clear" w:color="auto" w:fill="EFEFEF"/>
        <w:spacing w:after="12" w:line="269" w:lineRule="auto"/>
      </w:pPr>
      <w:r>
        <w:rPr>
          <w:color w:val="333333"/>
        </w:rPr>
        <w:t>Uniting</w:t>
      </w:r>
      <w:r>
        <w:rPr>
          <w:rFonts w:ascii="Calibri" w:eastAsia="Calibri" w:hAnsi="Calibri" w:cs="Calibri"/>
          <w:color w:val="333333"/>
        </w:rPr>
        <w:t xml:space="preserve"> </w:t>
      </w:r>
      <w:r>
        <w:rPr>
          <w:color w:val="333333"/>
        </w:rPr>
        <w:t>Communities is a member of the national UnitingCare network,</w:t>
      </w:r>
      <w:r>
        <w:rPr>
          <w:rFonts w:ascii="Calibri" w:eastAsia="Calibri" w:hAnsi="Calibri" w:cs="Calibri"/>
          <w:color w:val="333333"/>
        </w:rPr>
        <w:t xml:space="preserve"> </w:t>
      </w:r>
      <w:r>
        <w:rPr>
          <w:color w:val="333333"/>
        </w:rPr>
        <w:t>working</w:t>
      </w:r>
      <w:r>
        <w:rPr>
          <w:rFonts w:ascii="Calibri" w:eastAsia="Calibri" w:hAnsi="Calibri" w:cs="Calibri"/>
          <w:color w:val="333333"/>
        </w:rPr>
        <w:t xml:space="preserve"> </w:t>
      </w:r>
      <w:r>
        <w:rPr>
          <w:color w:val="333333"/>
        </w:rPr>
        <w:t>with</w:t>
      </w:r>
      <w:r>
        <w:rPr>
          <w:rFonts w:ascii="Calibri" w:eastAsia="Calibri" w:hAnsi="Calibri" w:cs="Calibri"/>
          <w:color w:val="333333"/>
        </w:rPr>
        <w:t xml:space="preserve"> </w:t>
      </w:r>
      <w:r>
        <w:rPr>
          <w:color w:val="333333"/>
        </w:rPr>
        <w:t>South</w:t>
      </w:r>
      <w:r>
        <w:rPr>
          <w:rFonts w:ascii="Calibri" w:eastAsia="Calibri" w:hAnsi="Calibri" w:cs="Calibri"/>
          <w:color w:val="333333"/>
        </w:rPr>
        <w:t xml:space="preserve"> </w:t>
      </w:r>
      <w:r>
        <w:rPr>
          <w:color w:val="333333"/>
        </w:rPr>
        <w:t>Australian</w:t>
      </w:r>
      <w:r>
        <w:rPr>
          <w:rFonts w:ascii="Calibri" w:eastAsia="Calibri" w:hAnsi="Calibri" w:cs="Calibri"/>
          <w:color w:val="333333"/>
        </w:rPr>
        <w:t xml:space="preserve"> </w:t>
      </w:r>
      <w:r>
        <w:rPr>
          <w:color w:val="333333"/>
        </w:rPr>
        <w:t>citizens</w:t>
      </w:r>
      <w:r>
        <w:rPr>
          <w:rFonts w:ascii="Calibri" w:eastAsia="Calibri" w:hAnsi="Calibri" w:cs="Calibri"/>
          <w:color w:val="333333"/>
        </w:rPr>
        <w:t xml:space="preserve"> </w:t>
      </w:r>
      <w:r>
        <w:rPr>
          <w:color w:val="333333"/>
        </w:rPr>
        <w:t>across</w:t>
      </w:r>
      <w:r>
        <w:rPr>
          <w:rFonts w:ascii="Calibri" w:eastAsia="Calibri" w:hAnsi="Calibri" w:cs="Calibri"/>
          <w:color w:val="333333"/>
        </w:rPr>
        <w:t xml:space="preserve"> </w:t>
      </w:r>
      <w:r>
        <w:rPr>
          <w:color w:val="333333"/>
        </w:rPr>
        <w:t>metropolitan,</w:t>
      </w:r>
      <w:r>
        <w:rPr>
          <w:rFonts w:ascii="Calibri" w:eastAsia="Calibri" w:hAnsi="Calibri" w:cs="Calibri"/>
          <w:color w:val="333333"/>
        </w:rPr>
        <w:t xml:space="preserve"> </w:t>
      </w:r>
      <w:r>
        <w:rPr>
          <w:color w:val="333333"/>
        </w:rPr>
        <w:t>regional</w:t>
      </w:r>
      <w:r>
        <w:rPr>
          <w:rFonts w:ascii="Calibri" w:eastAsia="Calibri" w:hAnsi="Calibri" w:cs="Calibri"/>
          <w:color w:val="333333"/>
        </w:rPr>
        <w:t xml:space="preserve"> </w:t>
      </w:r>
      <w:r>
        <w:rPr>
          <w:color w:val="333333"/>
        </w:rPr>
        <w:t>and</w:t>
      </w:r>
      <w:r>
        <w:rPr>
          <w:rFonts w:ascii="Calibri" w:eastAsia="Calibri" w:hAnsi="Calibri" w:cs="Calibri"/>
          <w:color w:val="333333"/>
        </w:rPr>
        <w:t xml:space="preserve"> </w:t>
      </w:r>
      <w:r>
        <w:rPr>
          <w:color w:val="333333"/>
        </w:rPr>
        <w:t>remote</w:t>
      </w:r>
      <w:r>
        <w:rPr>
          <w:rFonts w:ascii="Calibri" w:eastAsia="Calibri" w:hAnsi="Calibri" w:cs="Calibri"/>
          <w:color w:val="333333"/>
        </w:rPr>
        <w:t xml:space="preserve"> </w:t>
      </w:r>
      <w:r>
        <w:rPr>
          <w:color w:val="333333"/>
        </w:rPr>
        <w:t>South</w:t>
      </w:r>
      <w:r>
        <w:rPr>
          <w:rFonts w:ascii="Calibri" w:eastAsia="Calibri" w:hAnsi="Calibri" w:cs="Calibri"/>
          <w:color w:val="333333"/>
        </w:rPr>
        <w:t xml:space="preserve"> </w:t>
      </w:r>
      <w:r>
        <w:rPr>
          <w:color w:val="333333"/>
        </w:rPr>
        <w:t>Australia</w:t>
      </w:r>
      <w:r>
        <w:rPr>
          <w:rFonts w:ascii="Calibri" w:eastAsia="Calibri" w:hAnsi="Calibri" w:cs="Calibri"/>
          <w:color w:val="333333"/>
        </w:rPr>
        <w:t xml:space="preserve"> </w:t>
      </w:r>
      <w:r>
        <w:rPr>
          <w:color w:val="333333"/>
        </w:rPr>
        <w:t>through</w:t>
      </w:r>
      <w:r>
        <w:rPr>
          <w:rFonts w:ascii="Calibri" w:eastAsia="Calibri" w:hAnsi="Calibri" w:cs="Calibri"/>
          <w:color w:val="333333"/>
        </w:rPr>
        <w:t xml:space="preserve"> </w:t>
      </w:r>
      <w:r>
        <w:rPr>
          <w:color w:val="333333"/>
        </w:rPr>
        <w:t>more</w:t>
      </w:r>
      <w:r>
        <w:rPr>
          <w:rFonts w:ascii="Calibri" w:eastAsia="Calibri" w:hAnsi="Calibri" w:cs="Calibri"/>
          <w:color w:val="333333"/>
        </w:rPr>
        <w:t xml:space="preserve"> </w:t>
      </w:r>
      <w:r>
        <w:rPr>
          <w:color w:val="333333"/>
        </w:rPr>
        <w:t>than</w:t>
      </w:r>
      <w:r>
        <w:rPr>
          <w:rFonts w:ascii="Calibri" w:eastAsia="Calibri" w:hAnsi="Calibri" w:cs="Calibri"/>
          <w:color w:val="333333"/>
        </w:rPr>
        <w:t xml:space="preserve"> </w:t>
      </w:r>
      <w:r>
        <w:rPr>
          <w:color w:val="333333"/>
        </w:rPr>
        <w:t>90</w:t>
      </w:r>
      <w:r>
        <w:rPr>
          <w:rFonts w:ascii="Calibri" w:eastAsia="Calibri" w:hAnsi="Calibri" w:cs="Calibri"/>
          <w:color w:val="333333"/>
        </w:rPr>
        <w:t xml:space="preserve"> </w:t>
      </w:r>
      <w:r>
        <w:rPr>
          <w:color w:val="333333"/>
        </w:rPr>
        <w:t>community</w:t>
      </w:r>
      <w:r>
        <w:rPr>
          <w:rFonts w:ascii="Calibri" w:eastAsia="Calibri" w:hAnsi="Calibri" w:cs="Calibri"/>
          <w:color w:val="333333"/>
        </w:rPr>
        <w:t xml:space="preserve"> </w:t>
      </w:r>
      <w:r>
        <w:rPr>
          <w:color w:val="333333"/>
        </w:rPr>
        <w:t>service</w:t>
      </w:r>
      <w:r>
        <w:rPr>
          <w:rFonts w:ascii="Calibri" w:eastAsia="Calibri" w:hAnsi="Calibri" w:cs="Calibri"/>
          <w:color w:val="333333"/>
        </w:rPr>
        <w:t xml:space="preserve"> </w:t>
      </w:r>
      <w:r>
        <w:rPr>
          <w:color w:val="333333"/>
        </w:rPr>
        <w:t>programs.</w:t>
      </w:r>
      <w:r>
        <w:rPr>
          <w:rFonts w:ascii="Calibri" w:eastAsia="Calibri" w:hAnsi="Calibri" w:cs="Calibri"/>
          <w:color w:val="333333"/>
        </w:rPr>
        <w:t xml:space="preserve"> </w:t>
      </w:r>
    </w:p>
    <w:p w:rsidR="00856426" w:rsidRDefault="00856426" w:rsidP="00856426">
      <w:pPr>
        <w:ind w:left="-5" w:right="105"/>
        <w:rPr>
          <w:rFonts w:ascii="Calibri" w:eastAsia="Calibri" w:hAnsi="Calibri" w:cs="Calibri"/>
        </w:rPr>
      </w:pPr>
      <w:r>
        <w:t>Uniting</w:t>
      </w:r>
      <w:r>
        <w:rPr>
          <w:rFonts w:ascii="Calibri" w:eastAsia="Calibri" w:hAnsi="Calibri" w:cs="Calibri"/>
        </w:rPr>
        <w:t xml:space="preserve"> </w:t>
      </w:r>
      <w:r>
        <w:t>Communities</w:t>
      </w:r>
      <w:r>
        <w:rPr>
          <w:rFonts w:ascii="Calibri" w:eastAsia="Calibri" w:hAnsi="Calibri" w:cs="Calibri"/>
        </w:rPr>
        <w:t xml:space="preserve"> </w:t>
      </w:r>
      <w:r>
        <w:t>has</w:t>
      </w:r>
      <w:r>
        <w:rPr>
          <w:rFonts w:ascii="Calibri" w:eastAsia="Calibri" w:hAnsi="Calibri" w:cs="Calibri"/>
        </w:rPr>
        <w:t xml:space="preserve"> </w:t>
      </w:r>
      <w:r>
        <w:t>provided</w:t>
      </w:r>
      <w:r>
        <w:rPr>
          <w:rFonts w:ascii="Calibri" w:eastAsia="Calibri" w:hAnsi="Calibri" w:cs="Calibri"/>
        </w:rPr>
        <w:t xml:space="preserve"> </w:t>
      </w:r>
      <w:r>
        <w:t>financial</w:t>
      </w:r>
      <w:r>
        <w:rPr>
          <w:rFonts w:ascii="Calibri" w:eastAsia="Calibri" w:hAnsi="Calibri" w:cs="Calibri"/>
        </w:rPr>
        <w:t xml:space="preserve"> </w:t>
      </w:r>
      <w:r>
        <w:t>counselling</w:t>
      </w:r>
      <w:r>
        <w:rPr>
          <w:rFonts w:ascii="Calibri" w:eastAsia="Calibri" w:hAnsi="Calibri" w:cs="Calibri"/>
        </w:rPr>
        <w:t xml:space="preserve"> </w:t>
      </w:r>
      <w:r>
        <w:t>services</w:t>
      </w:r>
      <w:r>
        <w:rPr>
          <w:rFonts w:ascii="Calibri" w:eastAsia="Calibri" w:hAnsi="Calibri" w:cs="Calibri"/>
        </w:rPr>
        <w:t xml:space="preserve"> </w:t>
      </w:r>
      <w:r>
        <w:t>for</w:t>
      </w:r>
      <w:r>
        <w:rPr>
          <w:rFonts w:ascii="Calibri" w:eastAsia="Calibri" w:hAnsi="Calibri" w:cs="Calibri"/>
        </w:rPr>
        <w:t xml:space="preserve"> </w:t>
      </w:r>
      <w:r>
        <w:t>many</w:t>
      </w:r>
      <w:r>
        <w:rPr>
          <w:rFonts w:ascii="Calibri" w:eastAsia="Calibri" w:hAnsi="Calibri" w:cs="Calibri"/>
        </w:rPr>
        <w:t xml:space="preserve"> </w:t>
      </w:r>
      <w:r>
        <w:t>years</w:t>
      </w:r>
      <w:r>
        <w:rPr>
          <w:rFonts w:ascii="Calibri" w:eastAsia="Calibri" w:hAnsi="Calibri" w:cs="Calibri"/>
        </w:rPr>
        <w:t xml:space="preserve"> </w:t>
      </w:r>
      <w:r>
        <w:t>along</w:t>
      </w:r>
      <w:r>
        <w:rPr>
          <w:rFonts w:ascii="Calibri" w:eastAsia="Calibri" w:hAnsi="Calibri" w:cs="Calibri"/>
        </w:rPr>
        <w:t xml:space="preserve"> </w:t>
      </w:r>
      <w:r>
        <w:t>with</w:t>
      </w:r>
      <w:r>
        <w:rPr>
          <w:rFonts w:ascii="Calibri" w:eastAsia="Calibri" w:hAnsi="Calibri" w:cs="Calibri"/>
        </w:rPr>
        <w:t xml:space="preserve"> </w:t>
      </w:r>
      <w:r>
        <w:t>a</w:t>
      </w:r>
      <w:r>
        <w:rPr>
          <w:rFonts w:ascii="Calibri" w:eastAsia="Calibri" w:hAnsi="Calibri" w:cs="Calibri"/>
        </w:rPr>
        <w:t xml:space="preserve"> </w:t>
      </w:r>
      <w:r>
        <w:t>range</w:t>
      </w:r>
      <w:r>
        <w:rPr>
          <w:rFonts w:ascii="Calibri" w:eastAsia="Calibri" w:hAnsi="Calibri" w:cs="Calibri"/>
        </w:rPr>
        <w:t xml:space="preserve"> </w:t>
      </w:r>
      <w:r>
        <w:t>of</w:t>
      </w:r>
      <w:r>
        <w:rPr>
          <w:rFonts w:ascii="Calibri" w:eastAsia="Calibri" w:hAnsi="Calibri" w:cs="Calibri"/>
        </w:rPr>
        <w:t xml:space="preserve"> </w:t>
      </w:r>
      <w:r>
        <w:t>low</w:t>
      </w:r>
      <w:r>
        <w:rPr>
          <w:rFonts w:ascii="Calibri" w:eastAsia="Calibri" w:hAnsi="Calibri" w:cs="Calibri"/>
        </w:rPr>
        <w:t xml:space="preserve"> </w:t>
      </w:r>
      <w:r>
        <w:t>income</w:t>
      </w:r>
      <w:r>
        <w:rPr>
          <w:rFonts w:ascii="Calibri" w:eastAsia="Calibri" w:hAnsi="Calibri" w:cs="Calibri"/>
        </w:rPr>
        <w:t xml:space="preserve"> </w:t>
      </w:r>
      <w:r>
        <w:t>household</w:t>
      </w:r>
      <w:r>
        <w:rPr>
          <w:rFonts w:ascii="Calibri" w:eastAsia="Calibri" w:hAnsi="Calibri" w:cs="Calibri"/>
        </w:rPr>
        <w:t xml:space="preserve"> </w:t>
      </w:r>
      <w:r>
        <w:t>support</w:t>
      </w:r>
      <w:r>
        <w:rPr>
          <w:rFonts w:ascii="Calibri" w:eastAsia="Calibri" w:hAnsi="Calibri" w:cs="Calibri"/>
        </w:rPr>
        <w:t xml:space="preserve"> </w:t>
      </w:r>
      <w:r>
        <w:t>services.</w:t>
      </w:r>
      <w:r>
        <w:rPr>
          <w:rFonts w:ascii="Calibri" w:eastAsia="Calibri" w:hAnsi="Calibri" w:cs="Calibri"/>
        </w:rPr>
        <w:t xml:space="preserve"> </w:t>
      </w:r>
      <w:r>
        <w:t>It</w:t>
      </w:r>
      <w:r>
        <w:rPr>
          <w:rFonts w:ascii="Calibri" w:eastAsia="Calibri" w:hAnsi="Calibri" w:cs="Calibri"/>
        </w:rPr>
        <w:t xml:space="preserve"> </w:t>
      </w:r>
      <w:r>
        <w:t>is</w:t>
      </w:r>
      <w:r>
        <w:rPr>
          <w:rFonts w:ascii="Calibri" w:eastAsia="Calibri" w:hAnsi="Calibri" w:cs="Calibri"/>
        </w:rPr>
        <w:t xml:space="preserve"> </w:t>
      </w:r>
      <w:r>
        <w:t>through</w:t>
      </w:r>
      <w:r>
        <w:rPr>
          <w:rFonts w:ascii="Calibri" w:eastAsia="Calibri" w:hAnsi="Calibri" w:cs="Calibri"/>
        </w:rPr>
        <w:t xml:space="preserve"> </w:t>
      </w:r>
      <w:r>
        <w:t>working</w:t>
      </w:r>
      <w:r>
        <w:rPr>
          <w:rFonts w:ascii="Calibri" w:eastAsia="Calibri" w:hAnsi="Calibri" w:cs="Calibri"/>
        </w:rPr>
        <w:t xml:space="preserve"> </w:t>
      </w:r>
      <w:r>
        <w:t>with</w:t>
      </w:r>
      <w:r>
        <w:rPr>
          <w:rFonts w:ascii="Calibri" w:eastAsia="Calibri" w:hAnsi="Calibri" w:cs="Calibri"/>
        </w:rPr>
        <w:t xml:space="preserve"> </w:t>
      </w:r>
      <w:r>
        <w:t>clients</w:t>
      </w:r>
      <w:r>
        <w:rPr>
          <w:rFonts w:ascii="Calibri" w:eastAsia="Calibri" w:hAnsi="Calibri" w:cs="Calibri"/>
        </w:rPr>
        <w:t xml:space="preserve"> </w:t>
      </w:r>
      <w:r>
        <w:t>in</w:t>
      </w:r>
      <w:r>
        <w:rPr>
          <w:rFonts w:ascii="Calibri" w:eastAsia="Calibri" w:hAnsi="Calibri" w:cs="Calibri"/>
        </w:rPr>
        <w:t xml:space="preserve"> </w:t>
      </w:r>
      <w:r>
        <w:t>these</w:t>
      </w:r>
      <w:r>
        <w:rPr>
          <w:rFonts w:ascii="Calibri" w:eastAsia="Calibri" w:hAnsi="Calibri" w:cs="Calibri"/>
        </w:rPr>
        <w:t xml:space="preserve"> </w:t>
      </w:r>
      <w:r>
        <w:t>services</w:t>
      </w:r>
      <w:r>
        <w:rPr>
          <w:rFonts w:ascii="Calibri" w:eastAsia="Calibri" w:hAnsi="Calibri" w:cs="Calibri"/>
        </w:rPr>
        <w:t xml:space="preserve"> </w:t>
      </w:r>
      <w:r>
        <w:t>that</w:t>
      </w:r>
      <w:r>
        <w:rPr>
          <w:rFonts w:ascii="Calibri" w:eastAsia="Calibri" w:hAnsi="Calibri" w:cs="Calibri"/>
        </w:rPr>
        <w:t xml:space="preserve"> </w:t>
      </w:r>
      <w:r>
        <w:t>we</w:t>
      </w:r>
      <w:r>
        <w:rPr>
          <w:rFonts w:ascii="Calibri" w:eastAsia="Calibri" w:hAnsi="Calibri" w:cs="Calibri"/>
        </w:rPr>
        <w:t xml:space="preserve"> </w:t>
      </w:r>
      <w:r>
        <w:t>have</w:t>
      </w:r>
      <w:r>
        <w:rPr>
          <w:rFonts w:ascii="Calibri" w:eastAsia="Calibri" w:hAnsi="Calibri" w:cs="Calibri"/>
        </w:rPr>
        <w:t xml:space="preserve"> </w:t>
      </w:r>
      <w:r>
        <w:t>understood</w:t>
      </w:r>
      <w:r>
        <w:rPr>
          <w:rFonts w:ascii="Calibri" w:eastAsia="Calibri" w:hAnsi="Calibri" w:cs="Calibri"/>
        </w:rPr>
        <w:t xml:space="preserve"> </w:t>
      </w:r>
      <w:r>
        <w:t>that extended</w:t>
      </w:r>
      <w:r>
        <w:rPr>
          <w:rFonts w:ascii="Calibri" w:eastAsia="Calibri" w:hAnsi="Calibri" w:cs="Calibri"/>
        </w:rPr>
        <w:t xml:space="preserve"> </w:t>
      </w:r>
      <w:r>
        <w:t>periods</w:t>
      </w:r>
      <w:r>
        <w:rPr>
          <w:rFonts w:ascii="Calibri" w:eastAsia="Calibri" w:hAnsi="Calibri" w:cs="Calibri"/>
        </w:rPr>
        <w:t xml:space="preserve"> </w:t>
      </w:r>
      <w:r>
        <w:t>of</w:t>
      </w:r>
      <w:r>
        <w:rPr>
          <w:rFonts w:ascii="Calibri" w:eastAsia="Calibri" w:hAnsi="Calibri" w:cs="Calibri"/>
        </w:rPr>
        <w:t xml:space="preserve"> </w:t>
      </w:r>
      <w:r>
        <w:t>rapidly</w:t>
      </w:r>
      <w:r>
        <w:rPr>
          <w:rFonts w:ascii="Calibri" w:eastAsia="Calibri" w:hAnsi="Calibri" w:cs="Calibri"/>
        </w:rPr>
        <w:t xml:space="preserve"> </w:t>
      </w:r>
      <w:r>
        <w:t>rising</w:t>
      </w:r>
      <w:r>
        <w:rPr>
          <w:rFonts w:ascii="Calibri" w:eastAsia="Calibri" w:hAnsi="Calibri" w:cs="Calibri"/>
        </w:rPr>
        <w:t xml:space="preserve"> </w:t>
      </w:r>
      <w:r>
        <w:t>utility</w:t>
      </w:r>
      <w:r>
        <w:rPr>
          <w:rFonts w:ascii="Calibri" w:eastAsia="Calibri" w:hAnsi="Calibri" w:cs="Calibri"/>
        </w:rPr>
        <w:t xml:space="preserve"> </w:t>
      </w:r>
      <w:r>
        <w:t>prices</w:t>
      </w:r>
      <w:r>
        <w:rPr>
          <w:rFonts w:ascii="Calibri" w:eastAsia="Calibri" w:hAnsi="Calibri" w:cs="Calibri"/>
        </w:rPr>
        <w:t xml:space="preserve"> </w:t>
      </w:r>
      <w:r>
        <w:t>over</w:t>
      </w:r>
      <w:r>
        <w:rPr>
          <w:rFonts w:ascii="Calibri" w:eastAsia="Calibri" w:hAnsi="Calibri" w:cs="Calibri"/>
        </w:rPr>
        <w:t xml:space="preserve"> </w:t>
      </w:r>
      <w:r>
        <w:t>the</w:t>
      </w:r>
      <w:r>
        <w:rPr>
          <w:rFonts w:ascii="Calibri" w:eastAsia="Calibri" w:hAnsi="Calibri" w:cs="Calibri"/>
        </w:rPr>
        <w:t xml:space="preserve"> </w:t>
      </w:r>
      <w:r>
        <w:t>past</w:t>
      </w:r>
      <w:r>
        <w:rPr>
          <w:rFonts w:ascii="Calibri" w:eastAsia="Calibri" w:hAnsi="Calibri" w:cs="Calibri"/>
        </w:rPr>
        <w:t xml:space="preserve"> </w:t>
      </w:r>
      <w:r>
        <w:t>decade</w:t>
      </w:r>
      <w:r>
        <w:rPr>
          <w:rFonts w:ascii="Calibri" w:eastAsia="Calibri" w:hAnsi="Calibri" w:cs="Calibri"/>
        </w:rPr>
        <w:t xml:space="preserve"> </w:t>
      </w:r>
      <w:r>
        <w:t>are</w:t>
      </w:r>
      <w:r>
        <w:rPr>
          <w:rFonts w:ascii="Calibri" w:eastAsia="Calibri" w:hAnsi="Calibri" w:cs="Calibri"/>
        </w:rPr>
        <w:t xml:space="preserve"> </w:t>
      </w:r>
      <w:r>
        <w:t>amongst</w:t>
      </w:r>
      <w:r>
        <w:rPr>
          <w:rFonts w:ascii="Calibri" w:eastAsia="Calibri" w:hAnsi="Calibri" w:cs="Calibri"/>
        </w:rPr>
        <w:t xml:space="preserve"> </w:t>
      </w:r>
      <w:r>
        <w:t>the</w:t>
      </w:r>
      <w:r>
        <w:rPr>
          <w:rFonts w:ascii="Calibri" w:eastAsia="Calibri" w:hAnsi="Calibri" w:cs="Calibri"/>
        </w:rPr>
        <w:t xml:space="preserve"> </w:t>
      </w:r>
      <w:r>
        <w:t>main</w:t>
      </w:r>
      <w:r>
        <w:rPr>
          <w:rFonts w:ascii="Calibri" w:eastAsia="Calibri" w:hAnsi="Calibri" w:cs="Calibri"/>
        </w:rPr>
        <w:t xml:space="preserve"> </w:t>
      </w:r>
      <w:r>
        <w:t>reasons</w:t>
      </w:r>
      <w:r>
        <w:rPr>
          <w:rFonts w:ascii="Calibri" w:eastAsia="Calibri" w:hAnsi="Calibri" w:cs="Calibri"/>
        </w:rPr>
        <w:t xml:space="preserve"> </w:t>
      </w:r>
      <w:r>
        <w:t>for</w:t>
      </w:r>
      <w:r>
        <w:rPr>
          <w:rFonts w:ascii="Calibri" w:eastAsia="Calibri" w:hAnsi="Calibri" w:cs="Calibri"/>
        </w:rPr>
        <w:t xml:space="preserve"> </w:t>
      </w:r>
      <w:r>
        <w:t>people</w:t>
      </w:r>
      <w:r>
        <w:rPr>
          <w:rFonts w:ascii="Calibri" w:eastAsia="Calibri" w:hAnsi="Calibri" w:cs="Calibri"/>
        </w:rPr>
        <w:t xml:space="preserve"> </w:t>
      </w:r>
      <w:r>
        <w:t>being</w:t>
      </w:r>
      <w:r>
        <w:rPr>
          <w:rFonts w:ascii="Calibri" w:eastAsia="Calibri" w:hAnsi="Calibri" w:cs="Calibri"/>
        </w:rPr>
        <w:t xml:space="preserve"> </w:t>
      </w:r>
      <w:r>
        <w:t>pushed</w:t>
      </w:r>
      <w:r>
        <w:rPr>
          <w:rFonts w:ascii="Calibri" w:eastAsia="Calibri" w:hAnsi="Calibri" w:cs="Calibri"/>
        </w:rPr>
        <w:t xml:space="preserve"> </w:t>
      </w:r>
      <w:r>
        <w:t>in</w:t>
      </w:r>
      <w:r>
        <w:rPr>
          <w:rFonts w:ascii="Calibri" w:eastAsia="Calibri" w:hAnsi="Calibri" w:cs="Calibri"/>
        </w:rPr>
        <w:t xml:space="preserve"> </w:t>
      </w:r>
      <w:r>
        <w:t>financial</w:t>
      </w:r>
      <w:r>
        <w:rPr>
          <w:rFonts w:ascii="Calibri" w:eastAsia="Calibri" w:hAnsi="Calibri" w:cs="Calibri"/>
        </w:rPr>
        <w:t xml:space="preserve"> </w:t>
      </w:r>
      <w:r>
        <w:t>stress.</w:t>
      </w:r>
      <w:r>
        <w:rPr>
          <w:rFonts w:ascii="Calibri" w:eastAsia="Calibri" w:hAnsi="Calibri" w:cs="Calibri"/>
        </w:rPr>
        <w:t xml:space="preserve"> </w:t>
      </w:r>
      <w:r>
        <w:t>The</w:t>
      </w:r>
      <w:r>
        <w:rPr>
          <w:rFonts w:ascii="Calibri" w:eastAsia="Calibri" w:hAnsi="Calibri" w:cs="Calibri"/>
        </w:rPr>
        <w:t xml:space="preserve"> </w:t>
      </w:r>
      <w:r>
        <w:t>unpredictability</w:t>
      </w:r>
      <w:r>
        <w:rPr>
          <w:rFonts w:ascii="Calibri" w:eastAsia="Calibri" w:hAnsi="Calibri" w:cs="Calibri"/>
        </w:rPr>
        <w:t xml:space="preserve"> </w:t>
      </w:r>
      <w:r>
        <w:t>of</w:t>
      </w:r>
      <w:r>
        <w:rPr>
          <w:rFonts w:ascii="Calibri" w:eastAsia="Calibri" w:hAnsi="Calibri" w:cs="Calibri"/>
        </w:rPr>
        <w:t xml:space="preserve"> </w:t>
      </w:r>
      <w:r>
        <w:t>utility</w:t>
      </w:r>
      <w:r>
        <w:rPr>
          <w:rFonts w:ascii="Calibri" w:eastAsia="Calibri" w:hAnsi="Calibri" w:cs="Calibri"/>
        </w:rPr>
        <w:t xml:space="preserve"> </w:t>
      </w:r>
      <w:r>
        <w:t>bills</w:t>
      </w:r>
      <w:r>
        <w:rPr>
          <w:rFonts w:ascii="Calibri" w:eastAsia="Calibri" w:hAnsi="Calibri" w:cs="Calibri"/>
        </w:rPr>
        <w:t xml:space="preserve"> </w:t>
      </w:r>
      <w:r>
        <w:t>and</w:t>
      </w:r>
      <w:r>
        <w:rPr>
          <w:rFonts w:ascii="Calibri" w:eastAsia="Calibri" w:hAnsi="Calibri" w:cs="Calibri"/>
        </w:rPr>
        <w:t xml:space="preserve"> </w:t>
      </w:r>
      <w:r>
        <w:t>rapid</w:t>
      </w:r>
      <w:r>
        <w:rPr>
          <w:rFonts w:ascii="Calibri" w:eastAsia="Calibri" w:hAnsi="Calibri" w:cs="Calibri"/>
        </w:rPr>
        <w:t xml:space="preserve"> </w:t>
      </w:r>
      <w:r>
        <w:t>increases</w:t>
      </w:r>
      <w:r>
        <w:rPr>
          <w:rFonts w:ascii="Calibri" w:eastAsia="Calibri" w:hAnsi="Calibri" w:cs="Calibri"/>
        </w:rPr>
        <w:t xml:space="preserve"> </w:t>
      </w:r>
      <w:r>
        <w:t>have</w:t>
      </w:r>
      <w:r>
        <w:rPr>
          <w:rFonts w:ascii="Calibri" w:eastAsia="Calibri" w:hAnsi="Calibri" w:cs="Calibri"/>
        </w:rPr>
        <w:t xml:space="preserve"> </w:t>
      </w:r>
      <w:r>
        <w:t>broken</w:t>
      </w:r>
      <w:r>
        <w:rPr>
          <w:rFonts w:ascii="Calibri" w:eastAsia="Calibri" w:hAnsi="Calibri" w:cs="Calibri"/>
        </w:rPr>
        <w:t xml:space="preserve"> </w:t>
      </w:r>
      <w:r>
        <w:t>many</w:t>
      </w:r>
      <w:r>
        <w:rPr>
          <w:rFonts w:ascii="Calibri" w:eastAsia="Calibri" w:hAnsi="Calibri" w:cs="Calibri"/>
        </w:rPr>
        <w:t xml:space="preserve"> </w:t>
      </w:r>
      <w:r>
        <w:t>lower</w:t>
      </w:r>
      <w:r>
        <w:rPr>
          <w:rFonts w:ascii="Calibri" w:eastAsia="Calibri" w:hAnsi="Calibri" w:cs="Calibri"/>
        </w:rPr>
        <w:t xml:space="preserve"> </w:t>
      </w:r>
      <w:r>
        <w:t>income</w:t>
      </w:r>
      <w:r>
        <w:rPr>
          <w:rFonts w:ascii="Calibri" w:eastAsia="Calibri" w:hAnsi="Calibri" w:cs="Calibri"/>
        </w:rPr>
        <w:t xml:space="preserve"> </w:t>
      </w:r>
      <w:r>
        <w:t>household</w:t>
      </w:r>
      <w:r>
        <w:rPr>
          <w:rFonts w:ascii="Calibri" w:eastAsia="Calibri" w:hAnsi="Calibri" w:cs="Calibri"/>
        </w:rPr>
        <w:t xml:space="preserve"> </w:t>
      </w:r>
      <w:r>
        <w:t>budgets,</w:t>
      </w:r>
      <w:r>
        <w:rPr>
          <w:rFonts w:ascii="Calibri" w:eastAsia="Calibri" w:hAnsi="Calibri" w:cs="Calibri"/>
        </w:rPr>
        <w:t xml:space="preserve"> </w:t>
      </w:r>
      <w:r>
        <w:t>despite</w:t>
      </w:r>
      <w:r>
        <w:rPr>
          <w:rFonts w:ascii="Calibri" w:eastAsia="Calibri" w:hAnsi="Calibri" w:cs="Calibri"/>
        </w:rPr>
        <w:t xml:space="preserve"> </w:t>
      </w:r>
      <w:r>
        <w:t>the</w:t>
      </w:r>
      <w:r>
        <w:rPr>
          <w:rFonts w:ascii="Calibri" w:eastAsia="Calibri" w:hAnsi="Calibri" w:cs="Calibri"/>
        </w:rPr>
        <w:t xml:space="preserve"> </w:t>
      </w:r>
      <w:r>
        <w:t>skill</w:t>
      </w:r>
      <w:r>
        <w:rPr>
          <w:rFonts w:ascii="Calibri" w:eastAsia="Calibri" w:hAnsi="Calibri" w:cs="Calibri"/>
        </w:rPr>
        <w:t xml:space="preserve"> </w:t>
      </w:r>
      <w:r>
        <w:t>of</w:t>
      </w:r>
      <w:r>
        <w:rPr>
          <w:rFonts w:ascii="Calibri" w:eastAsia="Calibri" w:hAnsi="Calibri" w:cs="Calibri"/>
        </w:rPr>
        <w:t xml:space="preserve"> </w:t>
      </w:r>
      <w:r>
        <w:t>low</w:t>
      </w:r>
      <w:r>
        <w:rPr>
          <w:rFonts w:ascii="Calibri" w:eastAsia="Calibri" w:hAnsi="Calibri" w:cs="Calibri"/>
        </w:rPr>
        <w:t xml:space="preserve"> </w:t>
      </w:r>
      <w:r>
        <w:t>income</w:t>
      </w:r>
      <w:r>
        <w:rPr>
          <w:rFonts w:ascii="Calibri" w:eastAsia="Calibri" w:hAnsi="Calibri" w:cs="Calibri"/>
        </w:rPr>
        <w:t xml:space="preserve"> </w:t>
      </w:r>
      <w:r>
        <w:t>people</w:t>
      </w:r>
      <w:r>
        <w:rPr>
          <w:rFonts w:ascii="Calibri" w:eastAsia="Calibri" w:hAnsi="Calibri" w:cs="Calibri"/>
        </w:rPr>
        <w:t xml:space="preserve"> </w:t>
      </w:r>
      <w:r>
        <w:t>to</w:t>
      </w:r>
      <w:r>
        <w:rPr>
          <w:rFonts w:ascii="Calibri" w:eastAsia="Calibri" w:hAnsi="Calibri" w:cs="Calibri"/>
        </w:rPr>
        <w:t xml:space="preserve"> </w:t>
      </w:r>
      <w:r>
        <w:t>manage</w:t>
      </w:r>
      <w:r>
        <w:rPr>
          <w:rFonts w:ascii="Calibri" w:eastAsia="Calibri" w:hAnsi="Calibri" w:cs="Calibri"/>
        </w:rPr>
        <w:t xml:space="preserve"> </w:t>
      </w:r>
      <w:r>
        <w:t>their</w:t>
      </w:r>
      <w:r>
        <w:rPr>
          <w:rFonts w:ascii="Calibri" w:eastAsia="Calibri" w:hAnsi="Calibri" w:cs="Calibri"/>
        </w:rPr>
        <w:t xml:space="preserve"> </w:t>
      </w:r>
      <w:r>
        <w:t>finances.</w:t>
      </w:r>
      <w:r>
        <w:rPr>
          <w:rFonts w:ascii="Calibri" w:eastAsia="Calibri" w:hAnsi="Calibri" w:cs="Calibri"/>
        </w:rPr>
        <w:t xml:space="preserve">  </w:t>
      </w:r>
    </w:p>
    <w:p w:rsidR="00856426" w:rsidRPr="00856426" w:rsidRDefault="00856426">
      <w:pPr>
        <w:rPr>
          <w:u w:val="single"/>
        </w:rPr>
      </w:pPr>
      <w:r w:rsidRPr="00856426">
        <w:rPr>
          <w:u w:val="single"/>
        </w:rPr>
        <w:t>Process for Consi</w:t>
      </w:r>
      <w:r>
        <w:rPr>
          <w:u w:val="single"/>
        </w:rPr>
        <w:t>dering Regulatory Treatment of I</w:t>
      </w:r>
      <w:r w:rsidRPr="00856426">
        <w:rPr>
          <w:u w:val="single"/>
        </w:rPr>
        <w:t>nflation</w:t>
      </w:r>
    </w:p>
    <w:p w:rsidR="001E264E" w:rsidRDefault="007E7541">
      <w:r>
        <w:t>B</w:t>
      </w:r>
      <w:r w:rsidR="009877EA">
        <w:t>efore commenting on</w:t>
      </w:r>
      <w:r w:rsidR="00556ED0">
        <w:t xml:space="preserve"> the content associated with considering the regulatory treatment of inflation, </w:t>
      </w:r>
      <w:r w:rsidR="00C93743">
        <w:t xml:space="preserve">Uniting Communities </w:t>
      </w:r>
      <w:r w:rsidR="00556ED0">
        <w:t xml:space="preserve">wishes to commend the Australian </w:t>
      </w:r>
      <w:r w:rsidR="00C93743">
        <w:t xml:space="preserve">Energy Regulator </w:t>
      </w:r>
      <w:r w:rsidR="00556ED0">
        <w:t>on the approach being taken with this</w:t>
      </w:r>
      <w:r w:rsidR="009877EA">
        <w:t xml:space="preserve"> significant</w:t>
      </w:r>
      <w:r w:rsidR="00556ED0">
        <w:t xml:space="preserve"> topic.</w:t>
      </w:r>
    </w:p>
    <w:p w:rsidR="001E264E" w:rsidRDefault="00556ED0">
      <w:r>
        <w:t xml:space="preserve">We recognise that there are a number of issues that are part of any network regulatory decision and that rather than deal with these issues in </w:t>
      </w:r>
      <w:r w:rsidR="00856426">
        <w:t>every single determination, it</w:t>
      </w:r>
      <w:r>
        <w:t xml:space="preserve"> makes much more sense for a focused consideration of these common issues, across individual determinations. Inflation is a case in point - it is an issue that must be considered in any regulator determination and we think dealing with</w:t>
      </w:r>
      <w:r w:rsidR="00856426">
        <w:t xml:space="preserve"> it</w:t>
      </w:r>
      <w:r>
        <w:t xml:space="preserve"> in depth once, rather than recurring through individual determinations is a sensible and efficient approach. </w:t>
      </w:r>
      <w:r w:rsidR="009877EA">
        <w:t>Once the guideline is established, it can be appropriately applied to a number of individual company revenue decisions.</w:t>
      </w:r>
    </w:p>
    <w:p w:rsidR="007B536D" w:rsidRDefault="00556ED0" w:rsidP="007B536D">
      <w:r>
        <w:t>Of course it is crucial that all key stakeholders, including consumer interests, are actively involved with such processes, and we are satisfied that this has been the case</w:t>
      </w:r>
      <w:r w:rsidR="00856426">
        <w:t xml:space="preserve"> so far, for this inflation focussed process</w:t>
      </w:r>
      <w:r w:rsidR="007E7541">
        <w:t>.</w:t>
      </w:r>
      <w:r w:rsidR="00856426">
        <w:t xml:space="preserve"> </w:t>
      </w:r>
      <w:r w:rsidR="007B536D">
        <w:t>W</w:t>
      </w:r>
      <w:r w:rsidR="009877EA">
        <w:t>e are aware that occasionally the</w:t>
      </w:r>
      <w:r w:rsidR="007B536D">
        <w:t xml:space="preserve"> view is expressed that consumers are not well placed to deal with the more complex or technical aspects of energy regulation. We strongly reject this notion and have previously identified processes that enable consumers, even those without prior knowledge, to contribute very helpfully to debates around the more technical and complex energy industry issues. The 2015 repor</w:t>
      </w:r>
      <w:r w:rsidR="009877EA">
        <w:t>t produced by UnitingC</w:t>
      </w:r>
      <w:r w:rsidR="007B536D">
        <w:t>are Australia</w:t>
      </w:r>
      <w:r w:rsidR="00856426">
        <w:t xml:space="preserve"> </w:t>
      </w:r>
      <w:r w:rsidR="007B536D">
        <w:t>(DNA approach to network regulation</w:t>
      </w:r>
      <w:r w:rsidR="009877EA">
        <w:rPr>
          <w:rStyle w:val="FootnoteReference"/>
        </w:rPr>
        <w:footnoteReference w:id="1"/>
      </w:r>
      <w:r w:rsidR="007B536D">
        <w:t>) discusses deliberative and negotiation techniques that enable informed consumer input.</w:t>
      </w:r>
    </w:p>
    <w:p w:rsidR="007B536D" w:rsidRDefault="007B536D" w:rsidP="007B536D">
      <w:r>
        <w:t xml:space="preserve">We recognise that this process so far has involved consumer interest advocates with leadership from </w:t>
      </w:r>
      <w:r w:rsidR="007F2E9A">
        <w:t xml:space="preserve">Energy Consumers </w:t>
      </w:r>
      <w:r>
        <w:t>Australia who have commissioned a couple of expert reports to assist in considering the key aspects of inflation in regulatory context.</w:t>
      </w:r>
    </w:p>
    <w:p w:rsidR="007B536D" w:rsidRDefault="007B536D" w:rsidP="007B536D">
      <w:r>
        <w:t>We also note that the UK regulator Ofgem, consider</w:t>
      </w:r>
      <w:r w:rsidR="007F2E9A">
        <w:t>s all similar network business revenue proposals</w:t>
      </w:r>
      <w:r>
        <w:t xml:space="preserve"> at the same time. So there are three separate processes dealing with all electricity distribution businesses in the UK simultaneously, all gas and then all electricity transmission businesses subsequently, as groupings of similar businesses. This means that a topic like inflation, in the UK, is considered across all electricity distribution network businesses at the same time. We sug</w:t>
      </w:r>
      <w:r w:rsidR="007F2E9A">
        <w:t>gest that this provides a</w:t>
      </w:r>
      <w:r>
        <w:t xml:space="preserve"> reasonable regulatory precedent for the AER consideration of a single inflation guideline to be applied across all regulated network businesses over an agreed period of time.</w:t>
      </w:r>
    </w:p>
    <w:p w:rsidR="007B536D" w:rsidRDefault="007B536D" w:rsidP="007B536D">
      <w:r>
        <w:lastRenderedPageBreak/>
        <w:t>We also highlight that inflation guideline should be binding one, to apply over a specified period of time, e.g. 3 to 5 years. A binding guideline</w:t>
      </w:r>
      <w:r w:rsidR="00BD4153">
        <w:t xml:space="preserve">, once a thorough development process has occurred involving all relevant stakeholders, is efficient and provides greater certainty to all parties, </w:t>
      </w:r>
      <w:r w:rsidR="007F2E9A">
        <w:t>including end</w:t>
      </w:r>
      <w:r w:rsidR="00BD4153">
        <w:t xml:space="preserve"> consumers and hence is more in line with the national energy objecti</w:t>
      </w:r>
      <w:r w:rsidR="007F2E9A">
        <w:t>ve than the</w:t>
      </w:r>
      <w:r w:rsidR="00BD4153">
        <w:t xml:space="preserve"> company by company approach that has been applied over recent years.</w:t>
      </w:r>
    </w:p>
    <w:p w:rsidR="007B536D" w:rsidRPr="00BD4153" w:rsidRDefault="00BD4153">
      <w:pPr>
        <w:rPr>
          <w:u w:val="single"/>
        </w:rPr>
      </w:pPr>
      <w:r w:rsidRPr="00BD4153">
        <w:rPr>
          <w:u w:val="single"/>
        </w:rPr>
        <w:t>Regulatory Treatment of Inflation</w:t>
      </w:r>
      <w:r w:rsidR="007F6673">
        <w:rPr>
          <w:u w:val="single"/>
        </w:rPr>
        <w:t xml:space="preserve"> - context</w:t>
      </w:r>
    </w:p>
    <w:p w:rsidR="0024532E" w:rsidRDefault="007F2E9A">
      <w:r>
        <w:t>W</w:t>
      </w:r>
      <w:r w:rsidR="0024532E">
        <w:t>e make four brief observations about the context of inflation in the Australian energy regulatory processes:</w:t>
      </w:r>
    </w:p>
    <w:p w:rsidR="007F6673" w:rsidRDefault="00D7427B" w:rsidP="0024532E">
      <w:pPr>
        <w:pStyle w:val="ListParagraph"/>
        <w:numPr>
          <w:ilvl w:val="0"/>
          <w:numId w:val="4"/>
        </w:numPr>
      </w:pPr>
      <w:r>
        <w:t>T</w:t>
      </w:r>
      <w:r w:rsidR="007F6673">
        <w:t>reatment of inflation is integrated throughout many aspects of Australia’s energy regulatory approach with the overall approach being for network revenue ou</w:t>
      </w:r>
      <w:r w:rsidR="007F2E9A">
        <w:t>tcomes for each new regulatory</w:t>
      </w:r>
      <w:r w:rsidR="007F6673">
        <w:t xml:space="preserve"> period to be based on:</w:t>
      </w:r>
    </w:p>
    <w:p w:rsidR="007F6673" w:rsidRDefault="007F6673" w:rsidP="007F6673">
      <w:pPr>
        <w:ind w:firstLine="720"/>
      </w:pPr>
      <w:r>
        <w:t>CPI – X where, we assert the reasonable customer expectation is that X&gt;0</w:t>
      </w:r>
    </w:p>
    <w:p w:rsidR="007F6673" w:rsidRDefault="007F6673" w:rsidP="0024532E">
      <w:pPr>
        <w:ind w:left="720"/>
      </w:pPr>
      <w:r>
        <w:t xml:space="preserve">The consumer price index, CPI is the most common measure of inflation used in Australia. The Australian energy regulatory approach is based on the expectation for end customers that CPI is the maximum price increase the can be expected. This of course has not been the reality for end customers across Australia for many years. Every day </w:t>
      </w:r>
      <w:r w:rsidR="001E20E0">
        <w:t xml:space="preserve">Uniting Communities </w:t>
      </w:r>
      <w:r>
        <w:t>services are seeing people whose quality of life is reduced by energy price increases that are multiples of CPI. We are currently bracing ourselves for yet another increase in financial hardship</w:t>
      </w:r>
      <w:r w:rsidR="001E20E0">
        <w:t xml:space="preserve"> and further demands on our services</w:t>
      </w:r>
      <w:r w:rsidR="00D7427B">
        <w:t xml:space="preserve"> as customer energy bills increase by about 20% from 1st July 2017</w:t>
      </w:r>
      <w:r w:rsidR="007F2E9A">
        <w:t>, while CPI is 2.1%</w:t>
      </w:r>
      <w:r w:rsidR="007F2E9A">
        <w:rPr>
          <w:rStyle w:val="FootnoteReference"/>
        </w:rPr>
        <w:footnoteReference w:id="2"/>
      </w:r>
    </w:p>
    <w:p w:rsidR="00D7427B" w:rsidRDefault="00D7427B" w:rsidP="0024532E">
      <w:pPr>
        <w:ind w:left="720"/>
      </w:pPr>
      <w:r>
        <w:t>The reality remains that the nominal inflation rate should be the upper bound for energy price increases.</w:t>
      </w:r>
    </w:p>
    <w:p w:rsidR="001E20E0" w:rsidRDefault="001E20E0" w:rsidP="0024532E">
      <w:pPr>
        <w:pStyle w:val="ListParagraph"/>
        <w:numPr>
          <w:ilvl w:val="0"/>
          <w:numId w:val="4"/>
        </w:numPr>
      </w:pPr>
      <w:r>
        <w:t>We als</w:t>
      </w:r>
      <w:r w:rsidR="007F2E9A">
        <w:t>o recognise that inflation is</w:t>
      </w:r>
      <w:r>
        <w:t xml:space="preserve"> central to a number of aspects of the base</w:t>
      </w:r>
      <w:r w:rsidR="007F2E9A">
        <w:t xml:space="preserve"> –</w:t>
      </w:r>
      <w:r>
        <w:t xml:space="preserve"> step</w:t>
      </w:r>
      <w:r w:rsidR="007F2E9A">
        <w:t xml:space="preserve"> -</w:t>
      </w:r>
      <w:r>
        <w:t xml:space="preserve"> trend approach to determining revenue allowance</w:t>
      </w:r>
      <w:r w:rsidR="007F2E9A">
        <w:t>s for energy network businesses.</w:t>
      </w:r>
      <w:r>
        <w:t xml:space="preserve"> Inflation rates influence return on debt, return on equity, depreciation schedules, future revenue forecasts the</w:t>
      </w:r>
      <w:r w:rsidR="007F2E9A">
        <w:t xml:space="preserve"> value of the</w:t>
      </w:r>
      <w:r>
        <w:t xml:space="preserve"> </w:t>
      </w:r>
      <w:r w:rsidR="007F2E9A">
        <w:t xml:space="preserve">Regulated Asset Base </w:t>
      </w:r>
      <w:r>
        <w:t>and other key parameters, so the importance of ‘getting inflation right’ is evident.</w:t>
      </w:r>
    </w:p>
    <w:p w:rsidR="0024532E" w:rsidRDefault="0024532E" w:rsidP="0024532E">
      <w:pPr>
        <w:pStyle w:val="ListParagraph"/>
        <w:numPr>
          <w:ilvl w:val="0"/>
          <w:numId w:val="4"/>
        </w:numPr>
      </w:pPr>
      <w:r>
        <w:t>Inflation is also an important measure of fairness, specifically intergenerational fairness</w:t>
      </w:r>
      <w:r w:rsidR="007F2E9A">
        <w:t>. M</w:t>
      </w:r>
      <w:r>
        <w:t xml:space="preserve">any energy </w:t>
      </w:r>
      <w:r w:rsidR="007F2E9A">
        <w:t>industry assets are</w:t>
      </w:r>
      <w:r>
        <w:t xml:space="preserve"> long </w:t>
      </w:r>
      <w:r w:rsidR="007F2E9A">
        <w:t xml:space="preserve">term </w:t>
      </w:r>
      <w:r>
        <w:t>investments, meaning that all customers for the life of the investment should be paying for their share of the use of that investment</w:t>
      </w:r>
      <w:r w:rsidR="007F2E9A">
        <w:t>.</w:t>
      </w:r>
      <w:r>
        <w:t xml:space="preserve"> no more and no less. If </w:t>
      </w:r>
      <w:r w:rsidR="00FF5F0D">
        <w:t xml:space="preserve">current </w:t>
      </w:r>
      <w:r>
        <w:t>inflation levels are set too low, then there is a good chance that future customers will pay more than their fair share effectively cross subsidising current customers</w:t>
      </w:r>
      <w:r w:rsidR="00FF5F0D">
        <w:t xml:space="preserve">, assuming that the net impact of a too low CPI is for inadequate short term return to capital. </w:t>
      </w:r>
      <w:r>
        <w:t xml:space="preserve"> We believe that the long-term interests of consumers means all consumers are treated fairly over time, with no one group paying any more or less than is necessary</w:t>
      </w:r>
      <w:r w:rsidR="00FF5F0D">
        <w:t>, at any point of time</w:t>
      </w:r>
      <w:r>
        <w:t>.</w:t>
      </w:r>
    </w:p>
    <w:p w:rsidR="009877EA" w:rsidRPr="00FF5F0D" w:rsidRDefault="001E20E0" w:rsidP="00FF5F0D">
      <w:pPr>
        <w:pStyle w:val="ListParagraph"/>
        <w:numPr>
          <w:ilvl w:val="0"/>
          <w:numId w:val="4"/>
        </w:numPr>
      </w:pPr>
      <w:r>
        <w:t>We also note our understanding that</w:t>
      </w:r>
      <w:r w:rsidR="0024532E">
        <w:t xml:space="preserve"> this process is</w:t>
      </w:r>
      <w:r>
        <w:t xml:space="preserve"> a supply-side only consideration of the treatment of inflation. We suggest that a demand-side approach would require a different methodology as the incidence of inflationary measures is much more variable across the </w:t>
      </w:r>
      <w:r w:rsidR="00FF5F0D">
        <w:t>breadth of the consumer base than</w:t>
      </w:r>
      <w:r>
        <w:t xml:space="preserve"> the relatively similar contexts across the supply-side of energy markets. (For example, the basket of goods and weighting applied in determining the CPI is an excellent average measure but it is not an accurate approach for changes in cost of living over time for different household types. Currently lower income households are subject to price rises that are generally higher than CPI / the inflation rate because the elements of the basket of goods that they consume are those with higher rates of increase, including housing</w:t>
      </w:r>
      <w:r w:rsidR="00FF5F0D">
        <w:t>,</w:t>
      </w:r>
      <w:r>
        <w:t xml:space="preserve"> health and energy costs. They under consumer goods and services whose costs are changing at less than CPI, for example electronic goods, recreational activities and holidays</w:t>
      </w:r>
      <w:r w:rsidR="0024532E">
        <w:t>.</w:t>
      </w:r>
    </w:p>
    <w:p w:rsidR="007E7541" w:rsidRDefault="007F6673">
      <w:pPr>
        <w:rPr>
          <w:u w:val="single"/>
        </w:rPr>
      </w:pPr>
      <w:r w:rsidRPr="00BD4153">
        <w:rPr>
          <w:u w:val="single"/>
        </w:rPr>
        <w:t>Regulatory Treatment of Inflation</w:t>
      </w:r>
      <w:r>
        <w:rPr>
          <w:u w:val="single"/>
        </w:rPr>
        <w:t xml:space="preserve"> </w:t>
      </w:r>
      <w:r w:rsidR="0024532E">
        <w:rPr>
          <w:u w:val="single"/>
        </w:rPr>
        <w:t>–</w:t>
      </w:r>
      <w:r>
        <w:rPr>
          <w:u w:val="single"/>
        </w:rPr>
        <w:t xml:space="preserve"> context</w:t>
      </w:r>
    </w:p>
    <w:p w:rsidR="0024532E" w:rsidRDefault="0024532E" w:rsidP="0024532E">
      <w:pPr>
        <w:autoSpaceDE w:val="0"/>
        <w:autoSpaceDN w:val="0"/>
        <w:adjustRightInd w:val="0"/>
        <w:spacing w:after="0" w:line="240" w:lineRule="auto"/>
        <w:rPr>
          <w:rFonts w:ascii="Arial" w:hAnsi="Arial" w:cs="Arial"/>
          <w:bCs/>
        </w:rPr>
      </w:pPr>
      <w:r w:rsidRPr="0024532E">
        <w:t xml:space="preserve">Uniting Communities strongly supports the submission made to this review by </w:t>
      </w:r>
      <w:r w:rsidR="00FF5F0D" w:rsidRPr="0024532E">
        <w:t xml:space="preserve">Energy Consumers </w:t>
      </w:r>
      <w:r w:rsidRPr="0024532E">
        <w:t>Australia</w:t>
      </w:r>
      <w:r>
        <w:t>, a submission that included input from two sources of expertise namely:</w:t>
      </w:r>
      <w:r w:rsidRPr="0024532E">
        <w:t xml:space="preserve"> </w:t>
      </w:r>
      <w:r w:rsidRPr="0024532E">
        <w:rPr>
          <w:rFonts w:cs="Arial"/>
          <w:bCs/>
        </w:rPr>
        <w:t>Woollahra Partners and Professor Quiggin</w:t>
      </w:r>
      <w:r w:rsidRPr="0024532E">
        <w:rPr>
          <w:rFonts w:ascii="Arial" w:hAnsi="Arial" w:cs="Arial"/>
          <w:bCs/>
        </w:rPr>
        <w:t>.</w:t>
      </w:r>
      <w:r>
        <w:rPr>
          <w:rFonts w:ascii="Arial" w:hAnsi="Arial" w:cs="Arial"/>
          <w:bCs/>
        </w:rPr>
        <w:t xml:space="preserve"> </w:t>
      </w:r>
      <w:r w:rsidRPr="0024532E">
        <w:rPr>
          <w:rFonts w:cs="Arial"/>
          <w:bCs/>
        </w:rPr>
        <w:t xml:space="preserve">There is no purpose in our repeating the arguments in representing their submission. However we wish to emphasise the key conclusions of their submission, firstly: </w:t>
      </w:r>
    </w:p>
    <w:p w:rsidR="0024532E" w:rsidRPr="0024532E" w:rsidRDefault="0024532E" w:rsidP="0024532E">
      <w:pPr>
        <w:autoSpaceDE w:val="0"/>
        <w:autoSpaceDN w:val="0"/>
        <w:adjustRightInd w:val="0"/>
        <w:spacing w:after="0" w:line="240" w:lineRule="auto"/>
        <w:rPr>
          <w:rFonts w:ascii="Arial" w:hAnsi="Arial" w:cs="Arial"/>
          <w:bCs/>
        </w:rPr>
      </w:pPr>
    </w:p>
    <w:p w:rsidR="007F6673" w:rsidRPr="007F6673" w:rsidRDefault="007F6673" w:rsidP="007F6673">
      <w:pPr>
        <w:autoSpaceDE w:val="0"/>
        <w:autoSpaceDN w:val="0"/>
        <w:adjustRightInd w:val="0"/>
        <w:spacing w:after="0" w:line="240" w:lineRule="auto"/>
        <w:rPr>
          <w:rFonts w:cs="Arial"/>
          <w:i/>
        </w:rPr>
      </w:pPr>
      <w:r w:rsidRPr="007F6673">
        <w:rPr>
          <w:rFonts w:cs="Arial"/>
          <w:i/>
        </w:rPr>
        <w:t>“The proposal to base estimates of inflation on market indicators is inappropriate in this context as it introduces unnecessary regulatory risk. The appropriate estimate is to use the RBA target band to provide a consistent measure. Investors make their investment choices on the basis of nominal rates, not an implied real rate. Setting estimated inflation at the top of the RBA band appropriately allocates inflation risk to investors.”</w:t>
      </w:r>
    </w:p>
    <w:p w:rsidR="00FF5F0D" w:rsidRDefault="00FF5F0D"/>
    <w:p w:rsidR="0024532E" w:rsidRDefault="00731568">
      <w:pPr>
        <w:rPr>
          <w:noProof/>
        </w:rPr>
      </w:pPr>
      <w:r>
        <w:t>In summary w</w:t>
      </w:r>
      <w:r w:rsidRPr="00731568">
        <w:t>e</w:t>
      </w:r>
      <w:r w:rsidRPr="00731568">
        <w:rPr>
          <w:noProof/>
        </w:rPr>
        <w:t xml:space="preserve"> agree that the RBA inflation target method is more likely to provide best estimates of expected inflation than swap-implied estimates or</w:t>
      </w:r>
      <w:r w:rsidR="00FF5F0D">
        <w:rPr>
          <w:noProof/>
        </w:rPr>
        <w:t xml:space="preserve"> bond breakeven estimates</w:t>
      </w:r>
      <w:r>
        <w:rPr>
          <w:noProof/>
        </w:rPr>
        <w:t xml:space="preserve"> The RBA data is robust</w:t>
      </w:r>
      <w:r w:rsidR="00FF5F0D">
        <w:rPr>
          <w:noProof/>
        </w:rPr>
        <w:t>,</w:t>
      </w:r>
      <w:r>
        <w:rPr>
          <w:noProof/>
        </w:rPr>
        <w:t xml:space="preserve"> readily available, </w:t>
      </w:r>
      <w:r w:rsidR="00FF5F0D">
        <w:rPr>
          <w:noProof/>
        </w:rPr>
        <w:t>directly</w:t>
      </w:r>
      <w:r>
        <w:rPr>
          <w:noProof/>
        </w:rPr>
        <w:t xml:space="preserve"> relevant to Australia and importantly is widely understood by consumers.</w:t>
      </w:r>
    </w:p>
    <w:p w:rsidR="00731568" w:rsidRPr="00731568" w:rsidRDefault="00731568">
      <w:r>
        <w:t>We also highlight the final paragraph from the report prepared by Professor Quiggin</w:t>
      </w:r>
      <w:r w:rsidR="00FF5F0D">
        <w:t xml:space="preserve"> for ECA</w:t>
      </w:r>
      <w:r>
        <w:t>:</w:t>
      </w:r>
    </w:p>
    <w:p w:rsidR="00BD4153" w:rsidRPr="007F6673" w:rsidRDefault="00BD4153" w:rsidP="00BD4153">
      <w:pPr>
        <w:autoSpaceDE w:val="0"/>
        <w:autoSpaceDN w:val="0"/>
        <w:adjustRightInd w:val="0"/>
        <w:spacing w:after="0" w:line="240" w:lineRule="auto"/>
        <w:rPr>
          <w:rFonts w:cs="Times New Roman"/>
          <w:i/>
        </w:rPr>
      </w:pPr>
      <w:r w:rsidRPr="007F6673">
        <w:rPr>
          <w:rFonts w:cs="Times New Roman"/>
          <w:i/>
        </w:rPr>
        <w:t>“Given that the regulatory system provides asset owners with a guaranteed rate of return,</w:t>
      </w:r>
    </w:p>
    <w:p w:rsidR="00BD4153" w:rsidRPr="007F6673" w:rsidRDefault="00BD4153" w:rsidP="00BD4153">
      <w:pPr>
        <w:autoSpaceDE w:val="0"/>
        <w:autoSpaceDN w:val="0"/>
        <w:adjustRightInd w:val="0"/>
        <w:spacing w:after="0" w:line="240" w:lineRule="auto"/>
        <w:rPr>
          <w:rFonts w:cs="Times New Roman"/>
          <w:i/>
        </w:rPr>
      </w:pPr>
      <w:r w:rsidRPr="007F6673">
        <w:rPr>
          <w:rFonts w:cs="Times New Roman"/>
          <w:i/>
        </w:rPr>
        <w:t>while providing no guarantees to consumers of stable real prices, it is important that</w:t>
      </w:r>
    </w:p>
    <w:p w:rsidR="00BD4153" w:rsidRPr="007F6673" w:rsidRDefault="00BD4153" w:rsidP="00BD4153">
      <w:pPr>
        <w:autoSpaceDE w:val="0"/>
        <w:autoSpaceDN w:val="0"/>
        <w:adjustRightInd w:val="0"/>
        <w:spacing w:after="0" w:line="240" w:lineRule="auto"/>
        <w:rPr>
          <w:rFonts w:cs="Times New Roman"/>
          <w:i/>
        </w:rPr>
      </w:pPr>
      <w:r w:rsidRPr="007F6673">
        <w:rPr>
          <w:rFonts w:cs="Times New Roman"/>
          <w:i/>
        </w:rPr>
        <w:t>consumers should not be exposed, in addition, to upside inflation risk. This can be prevented</w:t>
      </w:r>
    </w:p>
    <w:p w:rsidR="00BD4153" w:rsidRPr="007F6673" w:rsidRDefault="00BD4153" w:rsidP="00BD4153">
      <w:pPr>
        <w:rPr>
          <w:rFonts w:cs="Times New Roman"/>
          <w:i/>
        </w:rPr>
      </w:pPr>
      <w:r w:rsidRPr="007F6673">
        <w:rPr>
          <w:rFonts w:cs="Times New Roman"/>
          <w:i/>
        </w:rPr>
        <w:t>by setting the regulatory rate of inflation at the upper end of the RBA target range.”</w:t>
      </w:r>
    </w:p>
    <w:p w:rsidR="00BD4153" w:rsidRPr="00FF5F0D" w:rsidRDefault="00731568">
      <w:pPr>
        <w:rPr>
          <w:b/>
        </w:rPr>
      </w:pPr>
      <w:r w:rsidRPr="00FF5F0D">
        <w:rPr>
          <w:b/>
        </w:rPr>
        <w:t>We reiterate the perspective that “the regulatory rate for inflation should be set at the upper end of the RBA target range”</w:t>
      </w:r>
    </w:p>
    <w:p w:rsidR="001E264E" w:rsidRPr="00731568" w:rsidRDefault="00731568">
      <w:pPr>
        <w:rPr>
          <w:u w:val="single"/>
        </w:rPr>
      </w:pPr>
      <w:r w:rsidRPr="00731568">
        <w:rPr>
          <w:u w:val="single"/>
        </w:rPr>
        <w:t>Final note</w:t>
      </w:r>
    </w:p>
    <w:p w:rsidR="00731568" w:rsidRDefault="00FF5F0D">
      <w:r>
        <w:t>W</w:t>
      </w:r>
      <w:r w:rsidR="00731568">
        <w:t xml:space="preserve">e have already noted that the inflation guideline should be binding for periods specified. This includes holding firm </w:t>
      </w:r>
      <w:r>
        <w:t xml:space="preserve">to the guideline during </w:t>
      </w:r>
      <w:r w:rsidR="00731568">
        <w:t>periods</w:t>
      </w:r>
      <w:r>
        <w:t xml:space="preserve"> of very high volatility</w:t>
      </w:r>
      <w:r w:rsidR="00731568">
        <w:t xml:space="preserve">, for example global financial crisis which we continue to assert triggered price increases </w:t>
      </w:r>
      <w:r>
        <w:t xml:space="preserve">for </w:t>
      </w:r>
      <w:r w:rsidR="00731568">
        <w:t>customers that</w:t>
      </w:r>
      <w:r>
        <w:t xml:space="preserve"> were burdensome and sustained for</w:t>
      </w:r>
      <w:r w:rsidR="00731568">
        <w:t xml:space="preserve"> much longer periods than were necessary. </w:t>
      </w:r>
      <w:r w:rsidR="009877EA">
        <w:t xml:space="preserve">Widespread stakeholder engagement must ensure that the robustness of the inflation guideline is such that it can deal with extreme finance market or monetary policy (which highly unlikely) shocks, particularly shocks that are passed on to customers </w:t>
      </w:r>
      <w:r>
        <w:t xml:space="preserve">and </w:t>
      </w:r>
      <w:r w:rsidR="009877EA">
        <w:t>with much greater impact than is warranted.</w:t>
      </w:r>
    </w:p>
    <w:p w:rsidR="00541103" w:rsidRDefault="00541103"/>
    <w:p w:rsidR="005C1882" w:rsidRDefault="005C1882" w:rsidP="00541103">
      <w:pPr>
        <w:rPr>
          <w:rFonts w:ascii="Times New Roman" w:hAnsi="Times New Roman" w:cs="Times New Roman"/>
          <w:sz w:val="24"/>
          <w:szCs w:val="24"/>
        </w:rPr>
      </w:pPr>
    </w:p>
    <w:p w:rsidR="005C1882" w:rsidRDefault="005C1882" w:rsidP="00541103">
      <w:pPr>
        <w:rPr>
          <w:rFonts w:ascii="Times New Roman" w:hAnsi="Times New Roman" w:cs="Times New Roman"/>
          <w:sz w:val="24"/>
          <w:szCs w:val="24"/>
        </w:rPr>
      </w:pPr>
    </w:p>
    <w:p w:rsidR="005C1882" w:rsidRDefault="005C1882" w:rsidP="00541103">
      <w:pPr>
        <w:rPr>
          <w:rFonts w:ascii="Times New Roman" w:hAnsi="Times New Roman" w:cs="Times New Roman"/>
          <w:sz w:val="24"/>
          <w:szCs w:val="24"/>
        </w:rPr>
      </w:pPr>
    </w:p>
    <w:sectPr w:rsidR="005C188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7EA" w:rsidRDefault="009877EA" w:rsidP="009877EA">
      <w:pPr>
        <w:spacing w:after="0" w:line="240" w:lineRule="auto"/>
      </w:pPr>
      <w:r>
        <w:separator/>
      </w:r>
    </w:p>
  </w:endnote>
  <w:endnote w:type="continuationSeparator" w:id="0">
    <w:p w:rsidR="009877EA" w:rsidRDefault="009877EA" w:rsidP="00987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299996"/>
      <w:docPartObj>
        <w:docPartGallery w:val="Page Numbers (Bottom of Page)"/>
        <w:docPartUnique/>
      </w:docPartObj>
    </w:sdtPr>
    <w:sdtEndPr>
      <w:rPr>
        <w:noProof/>
      </w:rPr>
    </w:sdtEndPr>
    <w:sdtContent>
      <w:p w:rsidR="009877EA" w:rsidRDefault="009877EA">
        <w:pPr>
          <w:pStyle w:val="Footer"/>
          <w:jc w:val="center"/>
        </w:pPr>
        <w:r>
          <w:fldChar w:fldCharType="begin"/>
        </w:r>
        <w:r>
          <w:instrText xml:space="preserve"> PAGE   \* MERGEFORMAT </w:instrText>
        </w:r>
        <w:r>
          <w:fldChar w:fldCharType="separate"/>
        </w:r>
        <w:r w:rsidR="002C4FBD">
          <w:rPr>
            <w:noProof/>
          </w:rPr>
          <w:t>1</w:t>
        </w:r>
        <w:r>
          <w:rPr>
            <w:noProof/>
          </w:rPr>
          <w:fldChar w:fldCharType="end"/>
        </w:r>
      </w:p>
    </w:sdtContent>
  </w:sdt>
  <w:p w:rsidR="009877EA" w:rsidRDefault="009877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7EA" w:rsidRDefault="009877EA" w:rsidP="009877EA">
      <w:pPr>
        <w:spacing w:after="0" w:line="240" w:lineRule="auto"/>
      </w:pPr>
      <w:r>
        <w:separator/>
      </w:r>
    </w:p>
  </w:footnote>
  <w:footnote w:type="continuationSeparator" w:id="0">
    <w:p w:rsidR="009877EA" w:rsidRDefault="009877EA" w:rsidP="009877EA">
      <w:pPr>
        <w:spacing w:after="0" w:line="240" w:lineRule="auto"/>
      </w:pPr>
      <w:r>
        <w:continuationSeparator/>
      </w:r>
    </w:p>
  </w:footnote>
  <w:footnote w:id="1">
    <w:p w:rsidR="009877EA" w:rsidRDefault="009877EA">
      <w:pPr>
        <w:pStyle w:val="FootnoteText"/>
      </w:pPr>
      <w:r>
        <w:rPr>
          <w:rStyle w:val="FootnoteReference"/>
        </w:rPr>
        <w:footnoteRef/>
      </w:r>
      <w:r>
        <w:t xml:space="preserve"> </w:t>
      </w:r>
      <w:r w:rsidRPr="009877EA">
        <w:t>http://noshockenergy.org.192-81-211-8.ericdekock.com.au/wp-content/uploads/2016/07/DNA-of-network-tariff-setting-June-2015.pdf</w:t>
      </w:r>
    </w:p>
  </w:footnote>
  <w:footnote w:id="2">
    <w:p w:rsidR="007F2E9A" w:rsidRDefault="007F2E9A">
      <w:pPr>
        <w:pStyle w:val="FootnoteText"/>
      </w:pPr>
      <w:r>
        <w:rPr>
          <w:rStyle w:val="FootnoteReference"/>
        </w:rPr>
        <w:footnoteRef/>
      </w:r>
      <w:r>
        <w:t xml:space="preserve"> All groups CPI, seasonally adjusted, 12 months to 31/3/2017, ABS </w:t>
      </w:r>
      <w:r>
        <w:rPr>
          <w:lang w:val="en"/>
        </w:rPr>
        <w:t>6401.0 - Consumer Price Index, Australia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530A"/>
    <w:multiLevelType w:val="multilevel"/>
    <w:tmpl w:val="4E603EE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0B491AB4"/>
    <w:multiLevelType w:val="hybridMultilevel"/>
    <w:tmpl w:val="5BC61F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EE12455"/>
    <w:multiLevelType w:val="hybridMultilevel"/>
    <w:tmpl w:val="7BB8BE62"/>
    <w:lvl w:ilvl="0" w:tplc="E9342AA6">
      <w:numFmt w:val="bullet"/>
      <w:lvlText w:val="-"/>
      <w:lvlJc w:val="left"/>
      <w:pPr>
        <w:ind w:left="2520" w:hanging="360"/>
      </w:pPr>
      <w:rPr>
        <w:rFonts w:ascii="Calibri" w:eastAsiaTheme="minorHAnsi" w:hAnsi="Calibri" w:cstheme="minorBidi"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3">
    <w:nsid w:val="78AA661D"/>
    <w:multiLevelType w:val="hybridMultilevel"/>
    <w:tmpl w:val="D8BE79D6"/>
    <w:lvl w:ilvl="0" w:tplc="F3C437EC">
      <w:numFmt w:val="bullet"/>
      <w:lvlText w:val="-"/>
      <w:lvlJc w:val="left"/>
      <w:pPr>
        <w:ind w:left="2715" w:hanging="360"/>
      </w:pPr>
      <w:rPr>
        <w:rFonts w:ascii="Calibri" w:eastAsiaTheme="minorHAnsi" w:hAnsi="Calibri" w:cstheme="minorBidi" w:hint="default"/>
      </w:rPr>
    </w:lvl>
    <w:lvl w:ilvl="1" w:tplc="0C090003" w:tentative="1">
      <w:start w:val="1"/>
      <w:numFmt w:val="bullet"/>
      <w:lvlText w:val="o"/>
      <w:lvlJc w:val="left"/>
      <w:pPr>
        <w:ind w:left="3435" w:hanging="360"/>
      </w:pPr>
      <w:rPr>
        <w:rFonts w:ascii="Courier New" w:hAnsi="Courier New" w:cs="Courier New" w:hint="default"/>
      </w:rPr>
    </w:lvl>
    <w:lvl w:ilvl="2" w:tplc="0C090005" w:tentative="1">
      <w:start w:val="1"/>
      <w:numFmt w:val="bullet"/>
      <w:lvlText w:val=""/>
      <w:lvlJc w:val="left"/>
      <w:pPr>
        <w:ind w:left="4155" w:hanging="360"/>
      </w:pPr>
      <w:rPr>
        <w:rFonts w:ascii="Wingdings" w:hAnsi="Wingdings" w:hint="default"/>
      </w:rPr>
    </w:lvl>
    <w:lvl w:ilvl="3" w:tplc="0C090001" w:tentative="1">
      <w:start w:val="1"/>
      <w:numFmt w:val="bullet"/>
      <w:lvlText w:val=""/>
      <w:lvlJc w:val="left"/>
      <w:pPr>
        <w:ind w:left="4875" w:hanging="360"/>
      </w:pPr>
      <w:rPr>
        <w:rFonts w:ascii="Symbol" w:hAnsi="Symbol" w:hint="default"/>
      </w:rPr>
    </w:lvl>
    <w:lvl w:ilvl="4" w:tplc="0C090003" w:tentative="1">
      <w:start w:val="1"/>
      <w:numFmt w:val="bullet"/>
      <w:lvlText w:val="o"/>
      <w:lvlJc w:val="left"/>
      <w:pPr>
        <w:ind w:left="5595" w:hanging="360"/>
      </w:pPr>
      <w:rPr>
        <w:rFonts w:ascii="Courier New" w:hAnsi="Courier New" w:cs="Courier New" w:hint="default"/>
      </w:rPr>
    </w:lvl>
    <w:lvl w:ilvl="5" w:tplc="0C090005" w:tentative="1">
      <w:start w:val="1"/>
      <w:numFmt w:val="bullet"/>
      <w:lvlText w:val=""/>
      <w:lvlJc w:val="left"/>
      <w:pPr>
        <w:ind w:left="6315" w:hanging="360"/>
      </w:pPr>
      <w:rPr>
        <w:rFonts w:ascii="Wingdings" w:hAnsi="Wingdings" w:hint="default"/>
      </w:rPr>
    </w:lvl>
    <w:lvl w:ilvl="6" w:tplc="0C090001" w:tentative="1">
      <w:start w:val="1"/>
      <w:numFmt w:val="bullet"/>
      <w:lvlText w:val=""/>
      <w:lvlJc w:val="left"/>
      <w:pPr>
        <w:ind w:left="7035" w:hanging="360"/>
      </w:pPr>
      <w:rPr>
        <w:rFonts w:ascii="Symbol" w:hAnsi="Symbol" w:hint="default"/>
      </w:rPr>
    </w:lvl>
    <w:lvl w:ilvl="7" w:tplc="0C090003" w:tentative="1">
      <w:start w:val="1"/>
      <w:numFmt w:val="bullet"/>
      <w:lvlText w:val="o"/>
      <w:lvlJc w:val="left"/>
      <w:pPr>
        <w:ind w:left="7755" w:hanging="360"/>
      </w:pPr>
      <w:rPr>
        <w:rFonts w:ascii="Courier New" w:hAnsi="Courier New" w:cs="Courier New" w:hint="default"/>
      </w:rPr>
    </w:lvl>
    <w:lvl w:ilvl="8" w:tplc="0C090005" w:tentative="1">
      <w:start w:val="1"/>
      <w:numFmt w:val="bullet"/>
      <w:lvlText w:val=""/>
      <w:lvlJc w:val="left"/>
      <w:pPr>
        <w:ind w:left="847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rimdata\TRIM\TEMP\HPTRIM.1208\D17 93505  Uniting Communities- Submission- AER Treatment of Inflation- 5 July 2017.DOCX"/>
  </w:docVars>
  <w:rsids>
    <w:rsidRoot w:val="00541103"/>
    <w:rsid w:val="001E20E0"/>
    <w:rsid w:val="001E264E"/>
    <w:rsid w:val="0024532E"/>
    <w:rsid w:val="002C4FBD"/>
    <w:rsid w:val="00541103"/>
    <w:rsid w:val="00556ED0"/>
    <w:rsid w:val="005C1882"/>
    <w:rsid w:val="00731568"/>
    <w:rsid w:val="007B536D"/>
    <w:rsid w:val="007E7541"/>
    <w:rsid w:val="007F2E9A"/>
    <w:rsid w:val="007F6673"/>
    <w:rsid w:val="00814004"/>
    <w:rsid w:val="00856426"/>
    <w:rsid w:val="008908FF"/>
    <w:rsid w:val="009877EA"/>
    <w:rsid w:val="00AB326E"/>
    <w:rsid w:val="00BD4153"/>
    <w:rsid w:val="00BE7673"/>
    <w:rsid w:val="00C93743"/>
    <w:rsid w:val="00D7427B"/>
    <w:rsid w:val="00FF5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1882"/>
    <w:pPr>
      <w:pageBreakBefore/>
      <w:numPr>
        <w:numId w:val="1"/>
      </w:numPr>
      <w:tabs>
        <w:tab w:val="left" w:pos="680"/>
      </w:tabs>
      <w:spacing w:before="240" w:after="0" w:line="276" w:lineRule="auto"/>
      <w:outlineLvl w:val="0"/>
    </w:pPr>
    <w:rPr>
      <w:rFonts w:ascii="Arial" w:eastAsiaTheme="majorEastAsia" w:hAnsi="Arial" w:cstheme="majorBidi"/>
      <w:b/>
      <w:bCs/>
      <w:color w:val="70635A"/>
      <w:sz w:val="36"/>
      <w:szCs w:val="28"/>
    </w:rPr>
  </w:style>
  <w:style w:type="paragraph" w:styleId="Heading2">
    <w:name w:val="heading 2"/>
    <w:next w:val="Normal"/>
    <w:link w:val="Heading2Char"/>
    <w:qFormat/>
    <w:rsid w:val="005C1882"/>
    <w:pPr>
      <w:numPr>
        <w:ilvl w:val="1"/>
        <w:numId w:val="1"/>
      </w:numPr>
      <w:tabs>
        <w:tab w:val="left" w:pos="680"/>
      </w:tabs>
      <w:spacing w:before="200" w:after="0" w:line="240" w:lineRule="atLeast"/>
      <w:outlineLvl w:val="1"/>
    </w:pPr>
    <w:rPr>
      <w:rFonts w:ascii="Arial" w:eastAsiaTheme="majorEastAsia" w:hAnsi="Arial" w:cstheme="majorBidi"/>
      <w:b/>
      <w:bCs/>
      <w:color w:val="44546A" w:themeColor="text2"/>
      <w:sz w:val="32"/>
      <w:szCs w:val="26"/>
    </w:rPr>
  </w:style>
  <w:style w:type="paragraph" w:styleId="Heading3">
    <w:name w:val="heading 3"/>
    <w:basedOn w:val="Normal"/>
    <w:next w:val="Normal"/>
    <w:link w:val="Heading3Char"/>
    <w:qFormat/>
    <w:rsid w:val="005C1882"/>
    <w:pPr>
      <w:numPr>
        <w:ilvl w:val="2"/>
        <w:numId w:val="1"/>
      </w:numPr>
      <w:tabs>
        <w:tab w:val="left" w:pos="1021"/>
      </w:tabs>
      <w:spacing w:before="240" w:after="0" w:line="276" w:lineRule="auto"/>
      <w:outlineLvl w:val="2"/>
    </w:pPr>
    <w:rPr>
      <w:rFonts w:ascii="Arial" w:eastAsiaTheme="majorEastAsia" w:hAnsi="Arial" w:cstheme="majorBidi"/>
      <w:b/>
      <w:bCs/>
      <w:color w:val="44546A" w:themeColor="text2"/>
      <w:sz w:val="28"/>
    </w:rPr>
  </w:style>
  <w:style w:type="paragraph" w:styleId="Heading4">
    <w:name w:val="heading 4"/>
    <w:basedOn w:val="Normal"/>
    <w:next w:val="Normal"/>
    <w:link w:val="Heading4Char"/>
    <w:qFormat/>
    <w:rsid w:val="005C1882"/>
    <w:pPr>
      <w:numPr>
        <w:ilvl w:val="3"/>
        <w:numId w:val="1"/>
      </w:numPr>
      <w:tabs>
        <w:tab w:val="left" w:pos="1021"/>
      </w:tabs>
      <w:spacing w:before="240" w:after="0" w:line="276" w:lineRule="auto"/>
      <w:outlineLvl w:val="3"/>
    </w:pPr>
    <w:rPr>
      <w:rFonts w:ascii="Arial" w:eastAsiaTheme="majorEastAsia" w:hAnsi="Arial" w:cstheme="majorBidi"/>
      <w:b/>
      <w:bCs/>
      <w:iCs/>
      <w:color w:val="51626F"/>
      <w:sz w:val="24"/>
    </w:rPr>
  </w:style>
  <w:style w:type="paragraph" w:styleId="Heading5">
    <w:name w:val="heading 5"/>
    <w:next w:val="Normal"/>
    <w:link w:val="Heading5Char"/>
    <w:uiPriority w:val="2"/>
    <w:qFormat/>
    <w:rsid w:val="005C1882"/>
    <w:pPr>
      <w:numPr>
        <w:ilvl w:val="4"/>
        <w:numId w:val="1"/>
      </w:numPr>
      <w:tabs>
        <w:tab w:val="left" w:pos="1361"/>
      </w:tabs>
      <w:spacing w:before="200" w:after="0" w:line="240" w:lineRule="atLeast"/>
      <w:outlineLvl w:val="4"/>
    </w:pPr>
    <w:rPr>
      <w:rFonts w:ascii="Arial" w:eastAsiaTheme="majorEastAsia" w:hAnsi="Arial" w:cstheme="majorBidi"/>
      <w:b/>
      <w:color w:val="1F4D78" w:themeColor="accent1" w:themeShade="7F"/>
    </w:rPr>
  </w:style>
  <w:style w:type="paragraph" w:styleId="Heading6">
    <w:name w:val="heading 6"/>
    <w:basedOn w:val="Normal"/>
    <w:next w:val="Normal"/>
    <w:link w:val="Heading6Char"/>
    <w:uiPriority w:val="2"/>
    <w:qFormat/>
    <w:rsid w:val="005C1882"/>
    <w:pPr>
      <w:numPr>
        <w:ilvl w:val="5"/>
        <w:numId w:val="1"/>
      </w:numPr>
      <w:tabs>
        <w:tab w:val="left" w:pos="1361"/>
      </w:tabs>
      <w:spacing w:before="240" w:after="0" w:line="276" w:lineRule="auto"/>
      <w:outlineLvl w:val="5"/>
    </w:pPr>
    <w:rPr>
      <w:rFonts w:ascii="Arial" w:eastAsiaTheme="majorEastAsia" w:hAnsi="Arial" w:cstheme="majorBidi"/>
      <w:b/>
      <w:i/>
      <w:iCs/>
      <w:color w:val="000000" w:themeColor="text1"/>
    </w:rPr>
  </w:style>
  <w:style w:type="paragraph" w:styleId="Heading7">
    <w:name w:val="heading 7"/>
    <w:basedOn w:val="Normal"/>
    <w:next w:val="Normal"/>
    <w:link w:val="Heading7Char"/>
    <w:uiPriority w:val="2"/>
    <w:qFormat/>
    <w:rsid w:val="005C1882"/>
    <w:pPr>
      <w:numPr>
        <w:ilvl w:val="6"/>
        <w:numId w:val="1"/>
      </w:numPr>
      <w:tabs>
        <w:tab w:val="left" w:pos="1701"/>
      </w:tabs>
      <w:spacing w:before="240" w:after="0" w:line="276" w:lineRule="auto"/>
      <w:outlineLvl w:val="6"/>
    </w:pPr>
    <w:rPr>
      <w:rFonts w:ascii="Arial" w:eastAsiaTheme="majorEastAsia" w:hAnsi="Arial" w:cstheme="majorBidi"/>
      <w:i/>
      <w:iCs/>
    </w:rPr>
  </w:style>
  <w:style w:type="paragraph" w:styleId="Heading8">
    <w:name w:val="heading 8"/>
    <w:basedOn w:val="Normal"/>
    <w:next w:val="Normal"/>
    <w:link w:val="Heading8Char"/>
    <w:uiPriority w:val="2"/>
    <w:qFormat/>
    <w:rsid w:val="005C1882"/>
    <w:pPr>
      <w:numPr>
        <w:ilvl w:val="7"/>
        <w:numId w:val="1"/>
      </w:numPr>
      <w:tabs>
        <w:tab w:val="left" w:pos="1701"/>
      </w:tabs>
      <w:spacing w:before="240" w:after="0" w:line="276" w:lineRule="auto"/>
      <w:outlineLvl w:val="7"/>
    </w:pPr>
    <w:rPr>
      <w:rFonts w:ascii="Arial" w:eastAsiaTheme="majorEastAsia" w:hAnsi="Arial" w:cstheme="majorBidi"/>
      <w:color w:val="5B9BD5" w:themeColor="accent1"/>
      <w:szCs w:val="20"/>
    </w:rPr>
  </w:style>
  <w:style w:type="paragraph" w:styleId="Heading9">
    <w:name w:val="heading 9"/>
    <w:basedOn w:val="Normal"/>
    <w:next w:val="Normal"/>
    <w:link w:val="Heading9Char"/>
    <w:uiPriority w:val="2"/>
    <w:qFormat/>
    <w:rsid w:val="005C1882"/>
    <w:pPr>
      <w:numPr>
        <w:ilvl w:val="8"/>
        <w:numId w:val="1"/>
      </w:numPr>
      <w:tabs>
        <w:tab w:val="left" w:pos="1701"/>
      </w:tabs>
      <w:spacing w:before="240" w:after="0" w:line="276" w:lineRule="auto"/>
      <w:outlineLvl w:val="8"/>
    </w:pPr>
    <w:rPr>
      <w:rFonts w:ascii="Arial" w:eastAsiaTheme="majorEastAsia" w:hAnsi="Arial"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next w:val="Normal"/>
    <w:link w:val="ReportTitleChar"/>
    <w:rsid w:val="00BE7673"/>
    <w:pPr>
      <w:tabs>
        <w:tab w:val="center" w:pos="4598"/>
        <w:tab w:val="right" w:pos="9026"/>
      </w:tabs>
      <w:spacing w:before="240" w:after="0" w:line="276" w:lineRule="auto"/>
      <w:contextualSpacing/>
      <w:jc w:val="center"/>
    </w:pPr>
    <w:rPr>
      <w:rFonts w:ascii="Arial" w:eastAsiaTheme="majorEastAsia" w:hAnsi="Arial" w:cstheme="majorBidi"/>
      <w:b/>
      <w:noProof/>
      <w:sz w:val="72"/>
      <w:szCs w:val="72"/>
      <w:lang w:eastAsia="en-AU"/>
    </w:rPr>
  </w:style>
  <w:style w:type="paragraph" w:customStyle="1" w:styleId="ReportDate">
    <w:name w:val="Report Date"/>
    <w:basedOn w:val="ReportTitle"/>
    <w:link w:val="ReportDateChar"/>
    <w:rsid w:val="00BE7673"/>
    <w:rPr>
      <w:b w:val="0"/>
      <w:sz w:val="36"/>
      <w:szCs w:val="36"/>
    </w:rPr>
  </w:style>
  <w:style w:type="paragraph" w:customStyle="1" w:styleId="ReportSubtitle">
    <w:name w:val="Report Subtitle"/>
    <w:basedOn w:val="ReportTitle"/>
    <w:link w:val="ReportSubtitleChar"/>
    <w:rsid w:val="00BE7673"/>
    <w:rPr>
      <w:sz w:val="56"/>
      <w:szCs w:val="56"/>
    </w:rPr>
  </w:style>
  <w:style w:type="character" w:customStyle="1" w:styleId="ReportTitleChar">
    <w:name w:val="Report Title Char"/>
    <w:basedOn w:val="DefaultParagraphFont"/>
    <w:link w:val="ReportTitle"/>
    <w:rsid w:val="00BE7673"/>
    <w:rPr>
      <w:rFonts w:ascii="Arial" w:eastAsiaTheme="majorEastAsia" w:hAnsi="Arial" w:cstheme="majorBidi"/>
      <w:b/>
      <w:noProof/>
      <w:sz w:val="72"/>
      <w:szCs w:val="72"/>
      <w:lang w:eastAsia="en-AU"/>
    </w:rPr>
  </w:style>
  <w:style w:type="character" w:customStyle="1" w:styleId="ReportDateChar">
    <w:name w:val="Report Date Char"/>
    <w:basedOn w:val="ReportTitleChar"/>
    <w:link w:val="ReportDate"/>
    <w:rsid w:val="00BE7673"/>
    <w:rPr>
      <w:rFonts w:ascii="Arial" w:eastAsiaTheme="majorEastAsia" w:hAnsi="Arial" w:cstheme="majorBidi"/>
      <w:b w:val="0"/>
      <w:noProof/>
      <w:sz w:val="36"/>
      <w:szCs w:val="36"/>
      <w:lang w:eastAsia="en-AU"/>
    </w:rPr>
  </w:style>
  <w:style w:type="character" w:customStyle="1" w:styleId="ReportSubtitleChar">
    <w:name w:val="Report Subtitle Char"/>
    <w:basedOn w:val="ReportTitleChar"/>
    <w:link w:val="ReportSubtitle"/>
    <w:rsid w:val="00BE7673"/>
    <w:rPr>
      <w:rFonts w:ascii="Arial" w:eastAsiaTheme="majorEastAsia" w:hAnsi="Arial" w:cstheme="majorBidi"/>
      <w:b/>
      <w:noProof/>
      <w:sz w:val="56"/>
      <w:szCs w:val="56"/>
      <w:lang w:eastAsia="en-AU"/>
    </w:rPr>
  </w:style>
  <w:style w:type="character" w:styleId="Hyperlink">
    <w:name w:val="Hyperlink"/>
    <w:basedOn w:val="DefaultParagraphFont"/>
    <w:uiPriority w:val="99"/>
    <w:qFormat/>
    <w:rsid w:val="00AB326E"/>
    <w:rPr>
      <w:rFonts w:ascii="Arial" w:hAnsi="Arial"/>
      <w:color w:val="0000FF"/>
      <w:sz w:val="22"/>
      <w:u w:val="single"/>
    </w:rPr>
  </w:style>
  <w:style w:type="character" w:customStyle="1" w:styleId="Heading1Char">
    <w:name w:val="Heading 1 Char"/>
    <w:basedOn w:val="DefaultParagraphFont"/>
    <w:link w:val="Heading1"/>
    <w:rsid w:val="005C1882"/>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5C1882"/>
    <w:rPr>
      <w:rFonts w:ascii="Arial" w:eastAsiaTheme="majorEastAsia" w:hAnsi="Arial" w:cstheme="majorBidi"/>
      <w:b/>
      <w:bCs/>
      <w:color w:val="44546A" w:themeColor="text2"/>
      <w:sz w:val="32"/>
      <w:szCs w:val="26"/>
    </w:rPr>
  </w:style>
  <w:style w:type="character" w:customStyle="1" w:styleId="Heading3Char">
    <w:name w:val="Heading 3 Char"/>
    <w:basedOn w:val="DefaultParagraphFont"/>
    <w:link w:val="Heading3"/>
    <w:rsid w:val="005C1882"/>
    <w:rPr>
      <w:rFonts w:ascii="Arial" w:eastAsiaTheme="majorEastAsia" w:hAnsi="Arial" w:cstheme="majorBidi"/>
      <w:b/>
      <w:bCs/>
      <w:color w:val="44546A" w:themeColor="text2"/>
      <w:sz w:val="28"/>
    </w:rPr>
  </w:style>
  <w:style w:type="character" w:customStyle="1" w:styleId="Heading4Char">
    <w:name w:val="Heading 4 Char"/>
    <w:basedOn w:val="DefaultParagraphFont"/>
    <w:link w:val="Heading4"/>
    <w:rsid w:val="005C1882"/>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5C1882"/>
    <w:rPr>
      <w:rFonts w:ascii="Arial" w:eastAsiaTheme="majorEastAsia" w:hAnsi="Arial" w:cstheme="majorBidi"/>
      <w:b/>
      <w:color w:val="1F4D78" w:themeColor="accent1" w:themeShade="7F"/>
    </w:rPr>
  </w:style>
  <w:style w:type="character" w:customStyle="1" w:styleId="Heading6Char">
    <w:name w:val="Heading 6 Char"/>
    <w:basedOn w:val="DefaultParagraphFont"/>
    <w:link w:val="Heading6"/>
    <w:uiPriority w:val="2"/>
    <w:rsid w:val="005C1882"/>
    <w:rPr>
      <w:rFonts w:ascii="Arial" w:eastAsiaTheme="majorEastAsia" w:hAnsi="Arial" w:cstheme="majorBidi"/>
      <w:b/>
      <w:i/>
      <w:iCs/>
      <w:color w:val="000000" w:themeColor="text1"/>
    </w:rPr>
  </w:style>
  <w:style w:type="character" w:customStyle="1" w:styleId="Heading7Char">
    <w:name w:val="Heading 7 Char"/>
    <w:basedOn w:val="DefaultParagraphFont"/>
    <w:link w:val="Heading7"/>
    <w:uiPriority w:val="2"/>
    <w:rsid w:val="005C1882"/>
    <w:rPr>
      <w:rFonts w:ascii="Arial" w:eastAsiaTheme="majorEastAsia" w:hAnsi="Arial" w:cstheme="majorBidi"/>
      <w:i/>
      <w:iCs/>
    </w:rPr>
  </w:style>
  <w:style w:type="character" w:customStyle="1" w:styleId="Heading8Char">
    <w:name w:val="Heading 8 Char"/>
    <w:basedOn w:val="DefaultParagraphFont"/>
    <w:link w:val="Heading8"/>
    <w:uiPriority w:val="2"/>
    <w:rsid w:val="005C1882"/>
    <w:rPr>
      <w:rFonts w:ascii="Arial" w:eastAsiaTheme="majorEastAsia" w:hAnsi="Arial" w:cstheme="majorBidi"/>
      <w:color w:val="5B9BD5" w:themeColor="accent1"/>
      <w:szCs w:val="20"/>
    </w:rPr>
  </w:style>
  <w:style w:type="character" w:customStyle="1" w:styleId="Heading9Char">
    <w:name w:val="Heading 9 Char"/>
    <w:basedOn w:val="DefaultParagraphFont"/>
    <w:link w:val="Heading9"/>
    <w:uiPriority w:val="2"/>
    <w:rsid w:val="005C1882"/>
    <w:rPr>
      <w:rFonts w:ascii="Arial" w:eastAsiaTheme="majorEastAsia" w:hAnsi="Arial" w:cstheme="majorBidi"/>
      <w:i/>
      <w:iCs/>
      <w:szCs w:val="20"/>
    </w:rPr>
  </w:style>
  <w:style w:type="paragraph" w:styleId="TableofFigures">
    <w:name w:val="table of figures"/>
    <w:basedOn w:val="Normal"/>
    <w:next w:val="Normal"/>
    <w:uiPriority w:val="99"/>
    <w:unhideWhenUsed/>
    <w:rsid w:val="005C1882"/>
    <w:pPr>
      <w:spacing w:before="240" w:after="120" w:line="276" w:lineRule="auto"/>
    </w:pPr>
    <w:rPr>
      <w:rFonts w:ascii="Arial" w:hAnsi="Arial"/>
    </w:rPr>
  </w:style>
  <w:style w:type="paragraph" w:styleId="Footer">
    <w:name w:val="footer"/>
    <w:basedOn w:val="Normal"/>
    <w:link w:val="FooterChar"/>
    <w:uiPriority w:val="99"/>
    <w:unhideWhenUsed/>
    <w:rsid w:val="00814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004"/>
  </w:style>
  <w:style w:type="paragraph" w:styleId="ListParagraph">
    <w:name w:val="List Paragraph"/>
    <w:basedOn w:val="Normal"/>
    <w:uiPriority w:val="34"/>
    <w:qFormat/>
    <w:rsid w:val="00814004"/>
    <w:pPr>
      <w:ind w:left="720"/>
      <w:contextualSpacing/>
    </w:pPr>
  </w:style>
  <w:style w:type="paragraph" w:styleId="Header">
    <w:name w:val="header"/>
    <w:basedOn w:val="Normal"/>
    <w:link w:val="HeaderChar"/>
    <w:uiPriority w:val="99"/>
    <w:unhideWhenUsed/>
    <w:rsid w:val="00987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7EA"/>
  </w:style>
  <w:style w:type="paragraph" w:styleId="FootnoteText">
    <w:name w:val="footnote text"/>
    <w:basedOn w:val="Normal"/>
    <w:link w:val="FootnoteTextChar"/>
    <w:uiPriority w:val="99"/>
    <w:semiHidden/>
    <w:unhideWhenUsed/>
    <w:rsid w:val="00987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7EA"/>
    <w:rPr>
      <w:sz w:val="20"/>
      <w:szCs w:val="20"/>
    </w:rPr>
  </w:style>
  <w:style w:type="character" w:styleId="FootnoteReference">
    <w:name w:val="footnote reference"/>
    <w:basedOn w:val="DefaultParagraphFont"/>
    <w:uiPriority w:val="99"/>
    <w:semiHidden/>
    <w:unhideWhenUsed/>
    <w:rsid w:val="009877EA"/>
    <w:rPr>
      <w:vertAlign w:val="superscript"/>
    </w:rPr>
  </w:style>
  <w:style w:type="paragraph" w:styleId="BalloonText">
    <w:name w:val="Balloon Text"/>
    <w:basedOn w:val="Normal"/>
    <w:link w:val="BalloonTextChar"/>
    <w:uiPriority w:val="99"/>
    <w:semiHidden/>
    <w:unhideWhenUsed/>
    <w:rsid w:val="002C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5C1882"/>
    <w:pPr>
      <w:pageBreakBefore/>
      <w:numPr>
        <w:numId w:val="1"/>
      </w:numPr>
      <w:tabs>
        <w:tab w:val="left" w:pos="680"/>
      </w:tabs>
      <w:spacing w:before="240" w:after="0" w:line="276" w:lineRule="auto"/>
      <w:outlineLvl w:val="0"/>
    </w:pPr>
    <w:rPr>
      <w:rFonts w:ascii="Arial" w:eastAsiaTheme="majorEastAsia" w:hAnsi="Arial" w:cstheme="majorBidi"/>
      <w:b/>
      <w:bCs/>
      <w:color w:val="70635A"/>
      <w:sz w:val="36"/>
      <w:szCs w:val="28"/>
    </w:rPr>
  </w:style>
  <w:style w:type="paragraph" w:styleId="Heading2">
    <w:name w:val="heading 2"/>
    <w:next w:val="Normal"/>
    <w:link w:val="Heading2Char"/>
    <w:qFormat/>
    <w:rsid w:val="005C1882"/>
    <w:pPr>
      <w:numPr>
        <w:ilvl w:val="1"/>
        <w:numId w:val="1"/>
      </w:numPr>
      <w:tabs>
        <w:tab w:val="left" w:pos="680"/>
      </w:tabs>
      <w:spacing w:before="200" w:after="0" w:line="240" w:lineRule="atLeast"/>
      <w:outlineLvl w:val="1"/>
    </w:pPr>
    <w:rPr>
      <w:rFonts w:ascii="Arial" w:eastAsiaTheme="majorEastAsia" w:hAnsi="Arial" w:cstheme="majorBidi"/>
      <w:b/>
      <w:bCs/>
      <w:color w:val="44546A" w:themeColor="text2"/>
      <w:sz w:val="32"/>
      <w:szCs w:val="26"/>
    </w:rPr>
  </w:style>
  <w:style w:type="paragraph" w:styleId="Heading3">
    <w:name w:val="heading 3"/>
    <w:basedOn w:val="Normal"/>
    <w:next w:val="Normal"/>
    <w:link w:val="Heading3Char"/>
    <w:qFormat/>
    <w:rsid w:val="005C1882"/>
    <w:pPr>
      <w:numPr>
        <w:ilvl w:val="2"/>
        <w:numId w:val="1"/>
      </w:numPr>
      <w:tabs>
        <w:tab w:val="left" w:pos="1021"/>
      </w:tabs>
      <w:spacing w:before="240" w:after="0" w:line="276" w:lineRule="auto"/>
      <w:outlineLvl w:val="2"/>
    </w:pPr>
    <w:rPr>
      <w:rFonts w:ascii="Arial" w:eastAsiaTheme="majorEastAsia" w:hAnsi="Arial" w:cstheme="majorBidi"/>
      <w:b/>
      <w:bCs/>
      <w:color w:val="44546A" w:themeColor="text2"/>
      <w:sz w:val="28"/>
    </w:rPr>
  </w:style>
  <w:style w:type="paragraph" w:styleId="Heading4">
    <w:name w:val="heading 4"/>
    <w:basedOn w:val="Normal"/>
    <w:next w:val="Normal"/>
    <w:link w:val="Heading4Char"/>
    <w:qFormat/>
    <w:rsid w:val="005C1882"/>
    <w:pPr>
      <w:numPr>
        <w:ilvl w:val="3"/>
        <w:numId w:val="1"/>
      </w:numPr>
      <w:tabs>
        <w:tab w:val="left" w:pos="1021"/>
      </w:tabs>
      <w:spacing w:before="240" w:after="0" w:line="276" w:lineRule="auto"/>
      <w:outlineLvl w:val="3"/>
    </w:pPr>
    <w:rPr>
      <w:rFonts w:ascii="Arial" w:eastAsiaTheme="majorEastAsia" w:hAnsi="Arial" w:cstheme="majorBidi"/>
      <w:b/>
      <w:bCs/>
      <w:iCs/>
      <w:color w:val="51626F"/>
      <w:sz w:val="24"/>
    </w:rPr>
  </w:style>
  <w:style w:type="paragraph" w:styleId="Heading5">
    <w:name w:val="heading 5"/>
    <w:next w:val="Normal"/>
    <w:link w:val="Heading5Char"/>
    <w:uiPriority w:val="2"/>
    <w:qFormat/>
    <w:rsid w:val="005C1882"/>
    <w:pPr>
      <w:numPr>
        <w:ilvl w:val="4"/>
        <w:numId w:val="1"/>
      </w:numPr>
      <w:tabs>
        <w:tab w:val="left" w:pos="1361"/>
      </w:tabs>
      <w:spacing w:before="200" w:after="0" w:line="240" w:lineRule="atLeast"/>
      <w:outlineLvl w:val="4"/>
    </w:pPr>
    <w:rPr>
      <w:rFonts w:ascii="Arial" w:eastAsiaTheme="majorEastAsia" w:hAnsi="Arial" w:cstheme="majorBidi"/>
      <w:b/>
      <w:color w:val="1F4D78" w:themeColor="accent1" w:themeShade="7F"/>
    </w:rPr>
  </w:style>
  <w:style w:type="paragraph" w:styleId="Heading6">
    <w:name w:val="heading 6"/>
    <w:basedOn w:val="Normal"/>
    <w:next w:val="Normal"/>
    <w:link w:val="Heading6Char"/>
    <w:uiPriority w:val="2"/>
    <w:qFormat/>
    <w:rsid w:val="005C1882"/>
    <w:pPr>
      <w:numPr>
        <w:ilvl w:val="5"/>
        <w:numId w:val="1"/>
      </w:numPr>
      <w:tabs>
        <w:tab w:val="left" w:pos="1361"/>
      </w:tabs>
      <w:spacing w:before="240" w:after="0" w:line="276" w:lineRule="auto"/>
      <w:outlineLvl w:val="5"/>
    </w:pPr>
    <w:rPr>
      <w:rFonts w:ascii="Arial" w:eastAsiaTheme="majorEastAsia" w:hAnsi="Arial" w:cstheme="majorBidi"/>
      <w:b/>
      <w:i/>
      <w:iCs/>
      <w:color w:val="000000" w:themeColor="text1"/>
    </w:rPr>
  </w:style>
  <w:style w:type="paragraph" w:styleId="Heading7">
    <w:name w:val="heading 7"/>
    <w:basedOn w:val="Normal"/>
    <w:next w:val="Normal"/>
    <w:link w:val="Heading7Char"/>
    <w:uiPriority w:val="2"/>
    <w:qFormat/>
    <w:rsid w:val="005C1882"/>
    <w:pPr>
      <w:numPr>
        <w:ilvl w:val="6"/>
        <w:numId w:val="1"/>
      </w:numPr>
      <w:tabs>
        <w:tab w:val="left" w:pos="1701"/>
      </w:tabs>
      <w:spacing w:before="240" w:after="0" w:line="276" w:lineRule="auto"/>
      <w:outlineLvl w:val="6"/>
    </w:pPr>
    <w:rPr>
      <w:rFonts w:ascii="Arial" w:eastAsiaTheme="majorEastAsia" w:hAnsi="Arial" w:cstheme="majorBidi"/>
      <w:i/>
      <w:iCs/>
    </w:rPr>
  </w:style>
  <w:style w:type="paragraph" w:styleId="Heading8">
    <w:name w:val="heading 8"/>
    <w:basedOn w:val="Normal"/>
    <w:next w:val="Normal"/>
    <w:link w:val="Heading8Char"/>
    <w:uiPriority w:val="2"/>
    <w:qFormat/>
    <w:rsid w:val="005C1882"/>
    <w:pPr>
      <w:numPr>
        <w:ilvl w:val="7"/>
        <w:numId w:val="1"/>
      </w:numPr>
      <w:tabs>
        <w:tab w:val="left" w:pos="1701"/>
      </w:tabs>
      <w:spacing w:before="240" w:after="0" w:line="276" w:lineRule="auto"/>
      <w:outlineLvl w:val="7"/>
    </w:pPr>
    <w:rPr>
      <w:rFonts w:ascii="Arial" w:eastAsiaTheme="majorEastAsia" w:hAnsi="Arial" w:cstheme="majorBidi"/>
      <w:color w:val="5B9BD5" w:themeColor="accent1"/>
      <w:szCs w:val="20"/>
    </w:rPr>
  </w:style>
  <w:style w:type="paragraph" w:styleId="Heading9">
    <w:name w:val="heading 9"/>
    <w:basedOn w:val="Normal"/>
    <w:next w:val="Normal"/>
    <w:link w:val="Heading9Char"/>
    <w:uiPriority w:val="2"/>
    <w:qFormat/>
    <w:rsid w:val="005C1882"/>
    <w:pPr>
      <w:numPr>
        <w:ilvl w:val="8"/>
        <w:numId w:val="1"/>
      </w:numPr>
      <w:tabs>
        <w:tab w:val="left" w:pos="1701"/>
      </w:tabs>
      <w:spacing w:before="240" w:after="0" w:line="276" w:lineRule="auto"/>
      <w:outlineLvl w:val="8"/>
    </w:pPr>
    <w:rPr>
      <w:rFonts w:ascii="Arial" w:eastAsiaTheme="majorEastAsia" w:hAnsi="Arial"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next w:val="Normal"/>
    <w:link w:val="ReportTitleChar"/>
    <w:rsid w:val="00BE7673"/>
    <w:pPr>
      <w:tabs>
        <w:tab w:val="center" w:pos="4598"/>
        <w:tab w:val="right" w:pos="9026"/>
      </w:tabs>
      <w:spacing w:before="240" w:after="0" w:line="276" w:lineRule="auto"/>
      <w:contextualSpacing/>
      <w:jc w:val="center"/>
    </w:pPr>
    <w:rPr>
      <w:rFonts w:ascii="Arial" w:eastAsiaTheme="majorEastAsia" w:hAnsi="Arial" w:cstheme="majorBidi"/>
      <w:b/>
      <w:noProof/>
      <w:sz w:val="72"/>
      <w:szCs w:val="72"/>
      <w:lang w:eastAsia="en-AU"/>
    </w:rPr>
  </w:style>
  <w:style w:type="paragraph" w:customStyle="1" w:styleId="ReportDate">
    <w:name w:val="Report Date"/>
    <w:basedOn w:val="ReportTitle"/>
    <w:link w:val="ReportDateChar"/>
    <w:rsid w:val="00BE7673"/>
    <w:rPr>
      <w:b w:val="0"/>
      <w:sz w:val="36"/>
      <w:szCs w:val="36"/>
    </w:rPr>
  </w:style>
  <w:style w:type="paragraph" w:customStyle="1" w:styleId="ReportSubtitle">
    <w:name w:val="Report Subtitle"/>
    <w:basedOn w:val="ReportTitle"/>
    <w:link w:val="ReportSubtitleChar"/>
    <w:rsid w:val="00BE7673"/>
    <w:rPr>
      <w:sz w:val="56"/>
      <w:szCs w:val="56"/>
    </w:rPr>
  </w:style>
  <w:style w:type="character" w:customStyle="1" w:styleId="ReportTitleChar">
    <w:name w:val="Report Title Char"/>
    <w:basedOn w:val="DefaultParagraphFont"/>
    <w:link w:val="ReportTitle"/>
    <w:rsid w:val="00BE7673"/>
    <w:rPr>
      <w:rFonts w:ascii="Arial" w:eastAsiaTheme="majorEastAsia" w:hAnsi="Arial" w:cstheme="majorBidi"/>
      <w:b/>
      <w:noProof/>
      <w:sz w:val="72"/>
      <w:szCs w:val="72"/>
      <w:lang w:eastAsia="en-AU"/>
    </w:rPr>
  </w:style>
  <w:style w:type="character" w:customStyle="1" w:styleId="ReportDateChar">
    <w:name w:val="Report Date Char"/>
    <w:basedOn w:val="ReportTitleChar"/>
    <w:link w:val="ReportDate"/>
    <w:rsid w:val="00BE7673"/>
    <w:rPr>
      <w:rFonts w:ascii="Arial" w:eastAsiaTheme="majorEastAsia" w:hAnsi="Arial" w:cstheme="majorBidi"/>
      <w:b w:val="0"/>
      <w:noProof/>
      <w:sz w:val="36"/>
      <w:szCs w:val="36"/>
      <w:lang w:eastAsia="en-AU"/>
    </w:rPr>
  </w:style>
  <w:style w:type="character" w:customStyle="1" w:styleId="ReportSubtitleChar">
    <w:name w:val="Report Subtitle Char"/>
    <w:basedOn w:val="ReportTitleChar"/>
    <w:link w:val="ReportSubtitle"/>
    <w:rsid w:val="00BE7673"/>
    <w:rPr>
      <w:rFonts w:ascii="Arial" w:eastAsiaTheme="majorEastAsia" w:hAnsi="Arial" w:cstheme="majorBidi"/>
      <w:b/>
      <w:noProof/>
      <w:sz w:val="56"/>
      <w:szCs w:val="56"/>
      <w:lang w:eastAsia="en-AU"/>
    </w:rPr>
  </w:style>
  <w:style w:type="character" w:styleId="Hyperlink">
    <w:name w:val="Hyperlink"/>
    <w:basedOn w:val="DefaultParagraphFont"/>
    <w:uiPriority w:val="99"/>
    <w:qFormat/>
    <w:rsid w:val="00AB326E"/>
    <w:rPr>
      <w:rFonts w:ascii="Arial" w:hAnsi="Arial"/>
      <w:color w:val="0000FF"/>
      <w:sz w:val="22"/>
      <w:u w:val="single"/>
    </w:rPr>
  </w:style>
  <w:style w:type="character" w:customStyle="1" w:styleId="Heading1Char">
    <w:name w:val="Heading 1 Char"/>
    <w:basedOn w:val="DefaultParagraphFont"/>
    <w:link w:val="Heading1"/>
    <w:rsid w:val="005C1882"/>
    <w:rPr>
      <w:rFonts w:ascii="Arial" w:eastAsiaTheme="majorEastAsia" w:hAnsi="Arial" w:cstheme="majorBidi"/>
      <w:b/>
      <w:bCs/>
      <w:color w:val="70635A"/>
      <w:sz w:val="36"/>
      <w:szCs w:val="28"/>
    </w:rPr>
  </w:style>
  <w:style w:type="character" w:customStyle="1" w:styleId="Heading2Char">
    <w:name w:val="Heading 2 Char"/>
    <w:basedOn w:val="DefaultParagraphFont"/>
    <w:link w:val="Heading2"/>
    <w:rsid w:val="005C1882"/>
    <w:rPr>
      <w:rFonts w:ascii="Arial" w:eastAsiaTheme="majorEastAsia" w:hAnsi="Arial" w:cstheme="majorBidi"/>
      <w:b/>
      <w:bCs/>
      <w:color w:val="44546A" w:themeColor="text2"/>
      <w:sz w:val="32"/>
      <w:szCs w:val="26"/>
    </w:rPr>
  </w:style>
  <w:style w:type="character" w:customStyle="1" w:styleId="Heading3Char">
    <w:name w:val="Heading 3 Char"/>
    <w:basedOn w:val="DefaultParagraphFont"/>
    <w:link w:val="Heading3"/>
    <w:rsid w:val="005C1882"/>
    <w:rPr>
      <w:rFonts w:ascii="Arial" w:eastAsiaTheme="majorEastAsia" w:hAnsi="Arial" w:cstheme="majorBidi"/>
      <w:b/>
      <w:bCs/>
      <w:color w:val="44546A" w:themeColor="text2"/>
      <w:sz w:val="28"/>
    </w:rPr>
  </w:style>
  <w:style w:type="character" w:customStyle="1" w:styleId="Heading4Char">
    <w:name w:val="Heading 4 Char"/>
    <w:basedOn w:val="DefaultParagraphFont"/>
    <w:link w:val="Heading4"/>
    <w:rsid w:val="005C1882"/>
    <w:rPr>
      <w:rFonts w:ascii="Arial" w:eastAsiaTheme="majorEastAsia" w:hAnsi="Arial" w:cstheme="majorBidi"/>
      <w:b/>
      <w:bCs/>
      <w:iCs/>
      <w:color w:val="51626F"/>
      <w:sz w:val="24"/>
    </w:rPr>
  </w:style>
  <w:style w:type="character" w:customStyle="1" w:styleId="Heading5Char">
    <w:name w:val="Heading 5 Char"/>
    <w:basedOn w:val="DefaultParagraphFont"/>
    <w:link w:val="Heading5"/>
    <w:uiPriority w:val="2"/>
    <w:rsid w:val="005C1882"/>
    <w:rPr>
      <w:rFonts w:ascii="Arial" w:eastAsiaTheme="majorEastAsia" w:hAnsi="Arial" w:cstheme="majorBidi"/>
      <w:b/>
      <w:color w:val="1F4D78" w:themeColor="accent1" w:themeShade="7F"/>
    </w:rPr>
  </w:style>
  <w:style w:type="character" w:customStyle="1" w:styleId="Heading6Char">
    <w:name w:val="Heading 6 Char"/>
    <w:basedOn w:val="DefaultParagraphFont"/>
    <w:link w:val="Heading6"/>
    <w:uiPriority w:val="2"/>
    <w:rsid w:val="005C1882"/>
    <w:rPr>
      <w:rFonts w:ascii="Arial" w:eastAsiaTheme="majorEastAsia" w:hAnsi="Arial" w:cstheme="majorBidi"/>
      <w:b/>
      <w:i/>
      <w:iCs/>
      <w:color w:val="000000" w:themeColor="text1"/>
    </w:rPr>
  </w:style>
  <w:style w:type="character" w:customStyle="1" w:styleId="Heading7Char">
    <w:name w:val="Heading 7 Char"/>
    <w:basedOn w:val="DefaultParagraphFont"/>
    <w:link w:val="Heading7"/>
    <w:uiPriority w:val="2"/>
    <w:rsid w:val="005C1882"/>
    <w:rPr>
      <w:rFonts w:ascii="Arial" w:eastAsiaTheme="majorEastAsia" w:hAnsi="Arial" w:cstheme="majorBidi"/>
      <w:i/>
      <w:iCs/>
    </w:rPr>
  </w:style>
  <w:style w:type="character" w:customStyle="1" w:styleId="Heading8Char">
    <w:name w:val="Heading 8 Char"/>
    <w:basedOn w:val="DefaultParagraphFont"/>
    <w:link w:val="Heading8"/>
    <w:uiPriority w:val="2"/>
    <w:rsid w:val="005C1882"/>
    <w:rPr>
      <w:rFonts w:ascii="Arial" w:eastAsiaTheme="majorEastAsia" w:hAnsi="Arial" w:cstheme="majorBidi"/>
      <w:color w:val="5B9BD5" w:themeColor="accent1"/>
      <w:szCs w:val="20"/>
    </w:rPr>
  </w:style>
  <w:style w:type="character" w:customStyle="1" w:styleId="Heading9Char">
    <w:name w:val="Heading 9 Char"/>
    <w:basedOn w:val="DefaultParagraphFont"/>
    <w:link w:val="Heading9"/>
    <w:uiPriority w:val="2"/>
    <w:rsid w:val="005C1882"/>
    <w:rPr>
      <w:rFonts w:ascii="Arial" w:eastAsiaTheme="majorEastAsia" w:hAnsi="Arial" w:cstheme="majorBidi"/>
      <w:i/>
      <w:iCs/>
      <w:szCs w:val="20"/>
    </w:rPr>
  </w:style>
  <w:style w:type="paragraph" w:styleId="TableofFigures">
    <w:name w:val="table of figures"/>
    <w:basedOn w:val="Normal"/>
    <w:next w:val="Normal"/>
    <w:uiPriority w:val="99"/>
    <w:unhideWhenUsed/>
    <w:rsid w:val="005C1882"/>
    <w:pPr>
      <w:spacing w:before="240" w:after="120" w:line="276" w:lineRule="auto"/>
    </w:pPr>
    <w:rPr>
      <w:rFonts w:ascii="Arial" w:hAnsi="Arial"/>
    </w:rPr>
  </w:style>
  <w:style w:type="paragraph" w:styleId="Footer">
    <w:name w:val="footer"/>
    <w:basedOn w:val="Normal"/>
    <w:link w:val="FooterChar"/>
    <w:uiPriority w:val="99"/>
    <w:unhideWhenUsed/>
    <w:rsid w:val="008140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004"/>
  </w:style>
  <w:style w:type="paragraph" w:styleId="ListParagraph">
    <w:name w:val="List Paragraph"/>
    <w:basedOn w:val="Normal"/>
    <w:uiPriority w:val="34"/>
    <w:qFormat/>
    <w:rsid w:val="00814004"/>
    <w:pPr>
      <w:ind w:left="720"/>
      <w:contextualSpacing/>
    </w:pPr>
  </w:style>
  <w:style w:type="paragraph" w:styleId="Header">
    <w:name w:val="header"/>
    <w:basedOn w:val="Normal"/>
    <w:link w:val="HeaderChar"/>
    <w:uiPriority w:val="99"/>
    <w:unhideWhenUsed/>
    <w:rsid w:val="009877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7EA"/>
  </w:style>
  <w:style w:type="paragraph" w:styleId="FootnoteText">
    <w:name w:val="footnote text"/>
    <w:basedOn w:val="Normal"/>
    <w:link w:val="FootnoteTextChar"/>
    <w:uiPriority w:val="99"/>
    <w:semiHidden/>
    <w:unhideWhenUsed/>
    <w:rsid w:val="009877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77EA"/>
    <w:rPr>
      <w:sz w:val="20"/>
      <w:szCs w:val="20"/>
    </w:rPr>
  </w:style>
  <w:style w:type="character" w:styleId="FootnoteReference">
    <w:name w:val="footnote reference"/>
    <w:basedOn w:val="DefaultParagraphFont"/>
    <w:uiPriority w:val="99"/>
    <w:semiHidden/>
    <w:unhideWhenUsed/>
    <w:rsid w:val="009877EA"/>
    <w:rPr>
      <w:vertAlign w:val="superscript"/>
    </w:rPr>
  </w:style>
  <w:style w:type="paragraph" w:styleId="BalloonText">
    <w:name w:val="Balloon Text"/>
    <w:basedOn w:val="Normal"/>
    <w:link w:val="BalloonTextChar"/>
    <w:uiPriority w:val="99"/>
    <w:semiHidden/>
    <w:unhideWhenUsed/>
    <w:rsid w:val="002C4F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F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tingcommuniti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kH@unitingcommunities.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ERInquiry@aer.gov.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67C4-66CA-4975-B6CF-274B9035C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93F77D11.dotm</Template>
  <TotalTime>0</TotalTime>
  <Pages>4</Pages>
  <Words>1519</Words>
  <Characters>8664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Uniting Communities</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Henley</dc:creator>
  <cp:lastModifiedBy>Seymour, Jonathan</cp:lastModifiedBy>
  <cp:revision>2</cp:revision>
  <cp:lastPrinted>2017-07-09T22:42:00Z</cp:lastPrinted>
  <dcterms:created xsi:type="dcterms:W3CDTF">2017-07-09T22:42:00Z</dcterms:created>
  <dcterms:modified xsi:type="dcterms:W3CDTF">2017-07-09T22:42:00Z</dcterms:modified>
</cp:coreProperties>
</file>