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CF0" w:rsidRDefault="00045CF0" w:rsidP="00404B96">
      <w:bookmarkStart w:id="0" w:name="_GoBack"/>
      <w:bookmarkEnd w:id="0"/>
    </w:p>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Default="00045CF0" w:rsidP="00404B96"/>
    <w:p w:rsidR="00045CF0" w:rsidRPr="006A5DA1" w:rsidRDefault="006A5DA1" w:rsidP="00404B96">
      <w:pPr>
        <w:jc w:val="center"/>
        <w:rPr>
          <w:sz w:val="48"/>
          <w:szCs w:val="48"/>
        </w:rPr>
      </w:pPr>
      <w:r w:rsidRPr="006A5DA1">
        <w:rPr>
          <w:sz w:val="48"/>
          <w:szCs w:val="48"/>
        </w:rPr>
        <w:t xml:space="preserve">Application for </w:t>
      </w:r>
      <w:r w:rsidR="0037265F">
        <w:rPr>
          <w:sz w:val="48"/>
          <w:szCs w:val="48"/>
        </w:rPr>
        <w:t xml:space="preserve">Retail Individual Exemption </w:t>
      </w:r>
      <w:r w:rsidRPr="006A5DA1">
        <w:rPr>
          <w:sz w:val="48"/>
          <w:szCs w:val="48"/>
        </w:rPr>
        <w:t xml:space="preserve">by </w:t>
      </w:r>
    </w:p>
    <w:p w:rsidR="006A5DA1" w:rsidRPr="006A5DA1" w:rsidRDefault="0037265F" w:rsidP="00404B96">
      <w:pPr>
        <w:jc w:val="center"/>
        <w:rPr>
          <w:sz w:val="48"/>
          <w:szCs w:val="48"/>
        </w:rPr>
      </w:pPr>
      <w:r>
        <w:rPr>
          <w:b/>
          <w:sz w:val="48"/>
          <w:szCs w:val="48"/>
          <w:lang w:val="en"/>
        </w:rPr>
        <w:t>Energize Energy Pty Ltd</w:t>
      </w:r>
      <w:r w:rsidR="00062885" w:rsidRPr="00062885">
        <w:rPr>
          <w:b/>
          <w:sz w:val="48"/>
          <w:szCs w:val="48"/>
          <w:lang w:val="en"/>
        </w:rPr>
        <w:t xml:space="preserve"> </w:t>
      </w:r>
    </w:p>
    <w:p w:rsidR="00045CF0" w:rsidRDefault="0037265F" w:rsidP="00404B96">
      <w:pPr>
        <w:jc w:val="center"/>
        <w:rPr>
          <w:sz w:val="44"/>
          <w:szCs w:val="44"/>
        </w:rPr>
      </w:pPr>
      <w:r>
        <w:rPr>
          <w:sz w:val="44"/>
          <w:szCs w:val="44"/>
        </w:rPr>
        <w:t>July 2016</w:t>
      </w:r>
    </w:p>
    <w:p w:rsidR="009F1EB1" w:rsidRPr="003B30CB" w:rsidRDefault="00045CF0" w:rsidP="0037265F">
      <w:r>
        <w:br w:type="page"/>
      </w:r>
      <w:bookmarkStart w:id="1" w:name="_Toc420939327"/>
      <w:r w:rsidR="009F1EB1" w:rsidRPr="006A5DA1">
        <w:rPr>
          <w:sz w:val="36"/>
          <w:szCs w:val="36"/>
        </w:rPr>
        <w:lastRenderedPageBreak/>
        <w:t>1</w:t>
      </w:r>
      <w:r w:rsidR="009F1EB1" w:rsidRPr="006A5DA1">
        <w:rPr>
          <w:sz w:val="36"/>
          <w:szCs w:val="36"/>
        </w:rPr>
        <w:tab/>
        <w:t>Introduction</w:t>
      </w:r>
      <w:bookmarkEnd w:id="1"/>
    </w:p>
    <w:p w:rsidR="009F1EB1" w:rsidRPr="003B30CB" w:rsidRDefault="009F1EB1" w:rsidP="0037265F">
      <w:pPr>
        <w:jc w:val="both"/>
      </w:pPr>
      <w:proofErr w:type="spellStart"/>
      <w:r w:rsidRPr="003B30CB">
        <w:t>UnitingCare</w:t>
      </w:r>
      <w:proofErr w:type="spellEnd"/>
      <w:r w:rsidRPr="003B30CB">
        <w:t xml:space="preserve"> Australia is the national body for the </w:t>
      </w:r>
      <w:proofErr w:type="spellStart"/>
      <w:r w:rsidRPr="003B30CB">
        <w:t>UnitingCare</w:t>
      </w:r>
      <w:proofErr w:type="spellEnd"/>
      <w:r w:rsidRPr="003B30CB">
        <w:t xml:space="preserve"> Network, one of the largest providers of community services in Australia. With over 1,600 sites, the network employs 39,000 staff and is supported by the work of over 28,000 volunteers. We provide services to children, young people and families, Indigenous Australians, people with disabilities, the poor and disadvantaged, people from culturally diverse backgrounds and older Australians in urban, rural and remote communities.</w:t>
      </w:r>
    </w:p>
    <w:p w:rsidR="009F1EB1" w:rsidRPr="003B30CB" w:rsidRDefault="009F1EB1" w:rsidP="0037265F">
      <w:pPr>
        <w:jc w:val="both"/>
      </w:pPr>
      <w:proofErr w:type="spellStart"/>
      <w:r w:rsidRPr="003B30CB">
        <w:t>UnitingCare</w:t>
      </w:r>
      <w:proofErr w:type="spellEnd"/>
      <w:r w:rsidRPr="003B30CB">
        <w:t xml:space="preserve"> Australia works with and on behalf of the </w:t>
      </w:r>
      <w:proofErr w:type="spellStart"/>
      <w:r w:rsidRPr="003B30CB">
        <w:t>UnitingCare</w:t>
      </w:r>
      <w:proofErr w:type="spellEnd"/>
      <w:r w:rsidRPr="003B30CB">
        <w:t xml:space="preserve"> Network to advocate for policies and programs that will improve people’s quality of life. </w:t>
      </w:r>
      <w:proofErr w:type="spellStart"/>
      <w:r w:rsidRPr="003B30CB">
        <w:t>UnitingCare</w:t>
      </w:r>
      <w:proofErr w:type="spellEnd"/>
      <w:r w:rsidRPr="003B30CB">
        <w:t xml:space="preserve"> Australia is committed to speaking with and on behalf of those who are the most vulnerable and disadvantaged, for the common good.</w:t>
      </w:r>
    </w:p>
    <w:p w:rsidR="000D425F" w:rsidRDefault="009F1EB1" w:rsidP="0037265F">
      <w:pPr>
        <w:jc w:val="both"/>
      </w:pPr>
      <w:proofErr w:type="spellStart"/>
      <w:r w:rsidRPr="003B30CB">
        <w:t>UnitingCare</w:t>
      </w:r>
      <w:proofErr w:type="spellEnd"/>
      <w:r w:rsidRPr="003B30CB">
        <w:t xml:space="preserve"> Australia’s principal interest in energy regulation</w:t>
      </w:r>
      <w:r w:rsidR="0037265F">
        <w:t xml:space="preserve"> and services</w:t>
      </w:r>
      <w:r w:rsidRPr="003B30CB">
        <w:t xml:space="preserve"> arises because energy is an essential service with rising costs that are putting inordina</w:t>
      </w:r>
      <w:r w:rsidR="0037265F">
        <w:t>te financial pressure on large</w:t>
      </w:r>
      <w:r w:rsidRPr="003B30CB">
        <w:t xml:space="preserve"> numbers of households in Australia.</w:t>
      </w:r>
    </w:p>
    <w:p w:rsidR="0037265F" w:rsidRPr="0037265F" w:rsidRDefault="0037265F" w:rsidP="0037265F">
      <w:pPr>
        <w:jc w:val="both"/>
        <w:rPr>
          <w:sz w:val="36"/>
          <w:szCs w:val="36"/>
        </w:rPr>
      </w:pPr>
      <w:r w:rsidRPr="0037265F">
        <w:rPr>
          <w:sz w:val="36"/>
          <w:szCs w:val="36"/>
        </w:rPr>
        <w:t xml:space="preserve">2. </w:t>
      </w:r>
      <w:r>
        <w:rPr>
          <w:sz w:val="36"/>
          <w:szCs w:val="36"/>
        </w:rPr>
        <w:tab/>
      </w:r>
      <w:r w:rsidRPr="0037265F">
        <w:rPr>
          <w:sz w:val="36"/>
          <w:szCs w:val="36"/>
        </w:rPr>
        <w:t>Summary Position</w:t>
      </w:r>
    </w:p>
    <w:p w:rsidR="0037265F" w:rsidRDefault="0037265F" w:rsidP="0037265F">
      <w:pPr>
        <w:pStyle w:val="PlainText"/>
        <w:spacing w:line="276" w:lineRule="auto"/>
        <w:rPr>
          <w:sz w:val="24"/>
          <w:szCs w:val="24"/>
        </w:rPr>
      </w:pPr>
      <w:proofErr w:type="spellStart"/>
      <w:r w:rsidRPr="006A5DA1">
        <w:rPr>
          <w:sz w:val="24"/>
          <w:szCs w:val="24"/>
        </w:rPr>
        <w:t>UnitingCare</w:t>
      </w:r>
      <w:proofErr w:type="spellEnd"/>
      <w:r w:rsidRPr="006A5DA1">
        <w:rPr>
          <w:sz w:val="24"/>
          <w:szCs w:val="24"/>
        </w:rPr>
        <w:t xml:space="preserve"> Australia has considered the application for individual exemption from authorisation as an electricity retailer by</w:t>
      </w:r>
      <w:r>
        <w:rPr>
          <w:sz w:val="24"/>
          <w:szCs w:val="24"/>
        </w:rPr>
        <w:t xml:space="preserve"> Energize Energy Pty Ltd</w:t>
      </w:r>
      <w:r w:rsidRPr="006A5DA1">
        <w:rPr>
          <w:sz w:val="24"/>
          <w:szCs w:val="24"/>
        </w:rPr>
        <w:t>, and is not convinced that th</w:t>
      </w:r>
      <w:r>
        <w:rPr>
          <w:sz w:val="24"/>
          <w:szCs w:val="24"/>
        </w:rPr>
        <w:t>is</w:t>
      </w:r>
      <w:r w:rsidRPr="006A5DA1">
        <w:rPr>
          <w:sz w:val="24"/>
          <w:szCs w:val="24"/>
        </w:rPr>
        <w:t xml:space="preserve"> group should be regarded as an exempt seller</w:t>
      </w:r>
      <w:r>
        <w:rPr>
          <w:sz w:val="24"/>
          <w:szCs w:val="24"/>
        </w:rPr>
        <w:t xml:space="preserve"> of electricity in Australia. The sale of electricity to end customers is central to the business conducted by Energize Energy. We therefore conclude that Energize Energy is an energy retailer, and so should me</w:t>
      </w:r>
      <w:r w:rsidR="00200B94">
        <w:rPr>
          <w:sz w:val="24"/>
          <w:szCs w:val="24"/>
        </w:rPr>
        <w:t>et</w:t>
      </w:r>
      <w:r>
        <w:rPr>
          <w:sz w:val="24"/>
          <w:szCs w:val="24"/>
        </w:rPr>
        <w:t xml:space="preserve"> the licensing criteria required of any energy retailer in Australia</w:t>
      </w:r>
      <w:bookmarkStart w:id="2" w:name="_Toc420939328"/>
    </w:p>
    <w:p w:rsidR="0037265F" w:rsidRDefault="0037265F" w:rsidP="0037265F">
      <w:pPr>
        <w:pStyle w:val="PlainText"/>
        <w:rPr>
          <w:sz w:val="24"/>
          <w:szCs w:val="24"/>
        </w:rPr>
      </w:pPr>
    </w:p>
    <w:p w:rsidR="009F1EB1" w:rsidRPr="0037265F" w:rsidRDefault="0037265F" w:rsidP="0037265F">
      <w:pPr>
        <w:pStyle w:val="PlainText"/>
        <w:rPr>
          <w:sz w:val="36"/>
          <w:szCs w:val="36"/>
        </w:rPr>
      </w:pPr>
      <w:r w:rsidRPr="0037265F">
        <w:rPr>
          <w:sz w:val="36"/>
          <w:szCs w:val="36"/>
        </w:rPr>
        <w:t xml:space="preserve">3. </w:t>
      </w:r>
      <w:r w:rsidR="009F1EB1" w:rsidRPr="0037265F">
        <w:rPr>
          <w:sz w:val="36"/>
          <w:szCs w:val="36"/>
        </w:rPr>
        <w:tab/>
      </w:r>
      <w:bookmarkEnd w:id="2"/>
      <w:r w:rsidR="006A5DA1" w:rsidRPr="0037265F">
        <w:rPr>
          <w:sz w:val="36"/>
          <w:szCs w:val="36"/>
        </w:rPr>
        <w:t>Application for Exemption</w:t>
      </w:r>
    </w:p>
    <w:p w:rsidR="0037265F" w:rsidRDefault="0037265F" w:rsidP="006A5DA1">
      <w:pPr>
        <w:pStyle w:val="PlainText"/>
        <w:rPr>
          <w:sz w:val="24"/>
          <w:szCs w:val="24"/>
        </w:rPr>
      </w:pPr>
    </w:p>
    <w:p w:rsidR="0037265F" w:rsidRDefault="0037265F" w:rsidP="0037265F">
      <w:pPr>
        <w:pStyle w:val="PlainText"/>
        <w:spacing w:line="276" w:lineRule="auto"/>
        <w:rPr>
          <w:sz w:val="24"/>
          <w:szCs w:val="24"/>
        </w:rPr>
      </w:pPr>
      <w:r>
        <w:rPr>
          <w:sz w:val="24"/>
          <w:szCs w:val="24"/>
        </w:rPr>
        <w:t xml:space="preserve">We commence our consideration of the application for retail individual exemption by </w:t>
      </w:r>
      <w:r w:rsidR="00200B94">
        <w:rPr>
          <w:sz w:val="24"/>
          <w:szCs w:val="24"/>
        </w:rPr>
        <w:t>Energize Energy</w:t>
      </w:r>
      <w:r>
        <w:rPr>
          <w:sz w:val="24"/>
          <w:szCs w:val="24"/>
        </w:rPr>
        <w:t xml:space="preserve"> with the observation that this is an important company and their business model is significant in the maturing and further development of Australian energy markets. We wish them well.</w:t>
      </w:r>
    </w:p>
    <w:p w:rsidR="0037265F" w:rsidRDefault="0037265F" w:rsidP="0037265F">
      <w:pPr>
        <w:pStyle w:val="PlainText"/>
        <w:spacing w:line="276" w:lineRule="auto"/>
        <w:rPr>
          <w:sz w:val="24"/>
          <w:szCs w:val="24"/>
        </w:rPr>
      </w:pPr>
    </w:p>
    <w:p w:rsidR="0037265F" w:rsidRDefault="0037265F" w:rsidP="0037265F">
      <w:pPr>
        <w:pStyle w:val="PlainText"/>
        <w:spacing w:line="276" w:lineRule="auto"/>
        <w:rPr>
          <w:sz w:val="24"/>
          <w:szCs w:val="24"/>
        </w:rPr>
      </w:pPr>
      <w:r>
        <w:rPr>
          <w:sz w:val="24"/>
          <w:szCs w:val="24"/>
        </w:rPr>
        <w:t>It is our understanding that exemption from authorisation as an energy retailer by</w:t>
      </w:r>
      <w:r w:rsidR="00931B7A">
        <w:rPr>
          <w:sz w:val="24"/>
          <w:szCs w:val="24"/>
        </w:rPr>
        <w:t xml:space="preserve"> the Australian Energy R</w:t>
      </w:r>
      <w:r>
        <w:rPr>
          <w:sz w:val="24"/>
          <w:szCs w:val="24"/>
        </w:rPr>
        <w:t>egulator, can only occur</w:t>
      </w:r>
      <w:r w:rsidR="00931B7A">
        <w:rPr>
          <w:sz w:val="24"/>
          <w:szCs w:val="24"/>
        </w:rPr>
        <w:t xml:space="preserve"> where the R</w:t>
      </w:r>
      <w:r>
        <w:rPr>
          <w:sz w:val="24"/>
          <w:szCs w:val="24"/>
        </w:rPr>
        <w:t>egulator is satisfied that the provision of energy</w:t>
      </w:r>
      <w:r w:rsidR="00200B94">
        <w:rPr>
          <w:sz w:val="24"/>
          <w:szCs w:val="24"/>
        </w:rPr>
        <w:t xml:space="preserve"> by an</w:t>
      </w:r>
      <w:r>
        <w:rPr>
          <w:sz w:val="24"/>
          <w:szCs w:val="24"/>
        </w:rPr>
        <w:t xml:space="preserve"> applicant</w:t>
      </w:r>
      <w:r w:rsidR="00200B94">
        <w:rPr>
          <w:sz w:val="24"/>
          <w:szCs w:val="24"/>
        </w:rPr>
        <w:t xml:space="preserve"> is insignificant</w:t>
      </w:r>
      <w:r>
        <w:rPr>
          <w:sz w:val="24"/>
          <w:szCs w:val="24"/>
        </w:rPr>
        <w:t xml:space="preserve"> by comparison to</w:t>
      </w:r>
      <w:r w:rsidR="00200B94">
        <w:rPr>
          <w:sz w:val="24"/>
          <w:szCs w:val="24"/>
        </w:rPr>
        <w:t xml:space="preserve"> the major activity of that</w:t>
      </w:r>
      <w:r>
        <w:rPr>
          <w:sz w:val="24"/>
          <w:szCs w:val="24"/>
        </w:rPr>
        <w:t xml:space="preserve"> business</w:t>
      </w:r>
      <w:r w:rsidR="00B52856">
        <w:rPr>
          <w:sz w:val="24"/>
          <w:szCs w:val="24"/>
        </w:rPr>
        <w:t xml:space="preserve">. </w:t>
      </w:r>
      <w:r w:rsidR="00931B7A">
        <w:rPr>
          <w:sz w:val="24"/>
          <w:szCs w:val="24"/>
        </w:rPr>
        <w:t xml:space="preserve">So from the </w:t>
      </w:r>
      <w:proofErr w:type="spellStart"/>
      <w:r w:rsidR="00931B7A">
        <w:rPr>
          <w:sz w:val="24"/>
          <w:szCs w:val="24"/>
        </w:rPr>
        <w:t>UnitingCare</w:t>
      </w:r>
      <w:proofErr w:type="spellEnd"/>
      <w:r w:rsidR="00931B7A">
        <w:rPr>
          <w:sz w:val="24"/>
          <w:szCs w:val="24"/>
        </w:rPr>
        <w:t xml:space="preserve"> network of agencies</w:t>
      </w:r>
      <w:r w:rsidR="00B52856">
        <w:rPr>
          <w:sz w:val="24"/>
          <w:szCs w:val="24"/>
        </w:rPr>
        <w:t xml:space="preserve"> experience, an aged care facility is exempt from being an energy retailer because the supply of energy to residents is incidental to the major function of an aged care facility.</w:t>
      </w:r>
    </w:p>
    <w:p w:rsidR="00B52856" w:rsidRDefault="00B52856" w:rsidP="0037265F">
      <w:pPr>
        <w:pStyle w:val="PlainText"/>
        <w:spacing w:line="276" w:lineRule="auto"/>
        <w:rPr>
          <w:sz w:val="24"/>
          <w:szCs w:val="24"/>
        </w:rPr>
      </w:pPr>
    </w:p>
    <w:p w:rsidR="0037265F" w:rsidRDefault="00B52856" w:rsidP="00B52856">
      <w:pPr>
        <w:pStyle w:val="PlainText"/>
        <w:spacing w:line="276" w:lineRule="auto"/>
        <w:rPr>
          <w:rFonts w:asciiTheme="minorHAnsi" w:hAnsiTheme="minorHAnsi" w:cs="Arial"/>
          <w:color w:val="222222"/>
          <w:sz w:val="24"/>
          <w:szCs w:val="24"/>
        </w:rPr>
      </w:pPr>
      <w:r w:rsidRPr="00B52856">
        <w:rPr>
          <w:rFonts w:asciiTheme="minorHAnsi" w:hAnsiTheme="minorHAnsi"/>
          <w:sz w:val="24"/>
          <w:szCs w:val="24"/>
        </w:rPr>
        <w:lastRenderedPageBreak/>
        <w:t xml:space="preserve">The </w:t>
      </w:r>
      <w:r w:rsidRPr="00B52856">
        <w:rPr>
          <w:rFonts w:asciiTheme="minorHAnsi" w:hAnsiTheme="minorHAnsi" w:cs="Arial"/>
          <w:color w:val="222222"/>
          <w:sz w:val="24"/>
          <w:szCs w:val="24"/>
        </w:rPr>
        <w:t xml:space="preserve">raison d'être for Energize Energy, </w:t>
      </w:r>
      <w:r w:rsidR="0046368C">
        <w:rPr>
          <w:rFonts w:asciiTheme="minorHAnsi" w:hAnsiTheme="minorHAnsi" w:cs="Arial"/>
          <w:color w:val="222222"/>
          <w:sz w:val="24"/>
          <w:szCs w:val="24"/>
        </w:rPr>
        <w:t>to our understanding, is the supply of electricity to end users.</w:t>
      </w:r>
    </w:p>
    <w:p w:rsidR="0046368C" w:rsidRDefault="0046368C" w:rsidP="00B52856">
      <w:pPr>
        <w:pStyle w:val="PlainText"/>
        <w:spacing w:line="276" w:lineRule="auto"/>
        <w:rPr>
          <w:rFonts w:asciiTheme="minorHAnsi" w:hAnsiTheme="minorHAnsi" w:cs="Arial"/>
          <w:color w:val="222222"/>
          <w:sz w:val="24"/>
          <w:szCs w:val="24"/>
        </w:rPr>
      </w:pPr>
    </w:p>
    <w:p w:rsidR="0046368C" w:rsidRDefault="00200B94" w:rsidP="00B52856">
      <w:pPr>
        <w:pStyle w:val="PlainText"/>
        <w:spacing w:line="276" w:lineRule="auto"/>
        <w:rPr>
          <w:rFonts w:asciiTheme="minorHAnsi" w:hAnsiTheme="minorHAnsi"/>
          <w:color w:val="000000"/>
          <w:sz w:val="24"/>
          <w:szCs w:val="24"/>
        </w:rPr>
      </w:pPr>
      <w:r>
        <w:rPr>
          <w:rFonts w:asciiTheme="minorHAnsi" w:hAnsiTheme="minorHAnsi"/>
          <w:color w:val="000000"/>
          <w:sz w:val="24"/>
          <w:szCs w:val="24"/>
        </w:rPr>
        <w:t>Energize Energy</w:t>
      </w:r>
      <w:r w:rsidR="0046368C">
        <w:rPr>
          <w:rFonts w:asciiTheme="minorHAnsi" w:hAnsiTheme="minorHAnsi"/>
          <w:color w:val="000000"/>
          <w:sz w:val="24"/>
          <w:szCs w:val="24"/>
        </w:rPr>
        <w:t xml:space="preserve"> confirms this role during their application for retail exemption, for example:</w:t>
      </w:r>
    </w:p>
    <w:p w:rsidR="0046368C" w:rsidRDefault="0046368C" w:rsidP="00B52856">
      <w:pPr>
        <w:pStyle w:val="PlainText"/>
        <w:spacing w:line="276" w:lineRule="auto"/>
        <w:rPr>
          <w:rFonts w:asciiTheme="minorHAnsi" w:hAnsiTheme="minorHAnsi"/>
          <w:color w:val="000000"/>
          <w:sz w:val="24"/>
          <w:szCs w:val="24"/>
        </w:rPr>
      </w:pPr>
    </w:p>
    <w:p w:rsidR="0046368C" w:rsidRDefault="0046368C" w:rsidP="00B52856">
      <w:pPr>
        <w:pStyle w:val="PlainText"/>
        <w:spacing w:line="276" w:lineRule="auto"/>
        <w:rPr>
          <w:rFonts w:asciiTheme="minorHAnsi" w:hAnsiTheme="minorHAnsi"/>
          <w:color w:val="000000"/>
          <w:sz w:val="24"/>
          <w:szCs w:val="24"/>
        </w:rPr>
      </w:pPr>
      <w:r w:rsidRPr="0046368C">
        <w:rPr>
          <w:rFonts w:asciiTheme="minorHAnsi" w:hAnsiTheme="minorHAnsi"/>
          <w:i/>
          <w:color w:val="000000"/>
          <w:sz w:val="24"/>
          <w:szCs w:val="24"/>
        </w:rPr>
        <w:t>“</w:t>
      </w:r>
      <w:r w:rsidR="00200B94">
        <w:rPr>
          <w:rFonts w:asciiTheme="minorHAnsi" w:hAnsiTheme="minorHAnsi"/>
          <w:i/>
          <w:color w:val="000000"/>
          <w:sz w:val="24"/>
          <w:szCs w:val="24"/>
        </w:rPr>
        <w:t>Energize Energy</w:t>
      </w:r>
      <w:r w:rsidRPr="0046368C">
        <w:rPr>
          <w:rFonts w:asciiTheme="minorHAnsi" w:hAnsiTheme="minorHAnsi"/>
          <w:i/>
          <w:color w:val="000000"/>
          <w:sz w:val="24"/>
          <w:szCs w:val="24"/>
        </w:rPr>
        <w:t xml:space="preserve"> intends to supply electricity to a full range of consumers, namely industrial and commercial uses, and small business and residential users defined as “large customers” and “small customers” respectively</w:t>
      </w:r>
      <w:r>
        <w:rPr>
          <w:rFonts w:asciiTheme="minorHAnsi" w:hAnsiTheme="minorHAnsi"/>
          <w:i/>
          <w:color w:val="000000"/>
          <w:sz w:val="24"/>
          <w:szCs w:val="24"/>
        </w:rPr>
        <w:t xml:space="preserve"> by the National Energy Retail L</w:t>
      </w:r>
      <w:r w:rsidRPr="0046368C">
        <w:rPr>
          <w:rFonts w:asciiTheme="minorHAnsi" w:hAnsiTheme="minorHAnsi"/>
          <w:i/>
          <w:color w:val="000000"/>
          <w:sz w:val="24"/>
          <w:szCs w:val="24"/>
        </w:rPr>
        <w:t>aw (NERL),”</w:t>
      </w:r>
      <w:r>
        <w:rPr>
          <w:rFonts w:asciiTheme="minorHAnsi" w:hAnsiTheme="minorHAnsi"/>
          <w:color w:val="000000"/>
          <w:sz w:val="24"/>
          <w:szCs w:val="24"/>
        </w:rPr>
        <w:t xml:space="preserve"> page 5, as part of response to “reasons that an individual exemption is appropriate.”</w:t>
      </w:r>
    </w:p>
    <w:p w:rsidR="0046368C" w:rsidRDefault="0046368C" w:rsidP="00B52856">
      <w:pPr>
        <w:pStyle w:val="PlainText"/>
        <w:spacing w:line="276" w:lineRule="auto"/>
        <w:rPr>
          <w:rFonts w:asciiTheme="minorHAnsi" w:hAnsiTheme="minorHAnsi"/>
          <w:color w:val="000000"/>
          <w:sz w:val="24"/>
          <w:szCs w:val="24"/>
        </w:rPr>
      </w:pPr>
    </w:p>
    <w:p w:rsidR="0046368C" w:rsidRDefault="0046368C" w:rsidP="00B52856">
      <w:pPr>
        <w:pStyle w:val="PlainText"/>
        <w:spacing w:line="276" w:lineRule="auto"/>
        <w:rPr>
          <w:rFonts w:asciiTheme="minorHAnsi" w:hAnsiTheme="minorHAnsi"/>
          <w:color w:val="000000"/>
          <w:sz w:val="24"/>
          <w:szCs w:val="24"/>
        </w:rPr>
      </w:pPr>
      <w:r w:rsidRPr="0046368C">
        <w:rPr>
          <w:rFonts w:asciiTheme="minorHAnsi" w:hAnsiTheme="minorHAnsi"/>
          <w:i/>
          <w:color w:val="000000"/>
          <w:sz w:val="24"/>
          <w:szCs w:val="24"/>
        </w:rPr>
        <w:t>“It is proposed that the primary business activity</w:t>
      </w:r>
      <w:r w:rsidR="00200B94">
        <w:rPr>
          <w:rFonts w:asciiTheme="minorHAnsi" w:hAnsiTheme="minorHAnsi"/>
          <w:i/>
          <w:color w:val="000000"/>
          <w:sz w:val="24"/>
          <w:szCs w:val="24"/>
        </w:rPr>
        <w:t xml:space="preserve"> of Energize Energy</w:t>
      </w:r>
      <w:r w:rsidRPr="0046368C">
        <w:rPr>
          <w:rFonts w:asciiTheme="minorHAnsi" w:hAnsiTheme="minorHAnsi"/>
          <w:i/>
          <w:color w:val="000000"/>
          <w:sz w:val="24"/>
          <w:szCs w:val="24"/>
        </w:rPr>
        <w:t xml:space="preserve"> is the production and deployment of electricity at on-site locations where the electricity produced on site is sold to the host customer.”</w:t>
      </w:r>
      <w:r>
        <w:rPr>
          <w:rFonts w:asciiTheme="minorHAnsi" w:hAnsiTheme="minorHAnsi"/>
          <w:color w:val="000000"/>
          <w:sz w:val="24"/>
          <w:szCs w:val="24"/>
        </w:rPr>
        <w:t xml:space="preserve"> </w:t>
      </w:r>
      <w:proofErr w:type="gramStart"/>
      <w:r>
        <w:rPr>
          <w:rFonts w:asciiTheme="minorHAnsi" w:hAnsiTheme="minorHAnsi"/>
          <w:color w:val="000000"/>
          <w:sz w:val="24"/>
          <w:szCs w:val="24"/>
        </w:rPr>
        <w:t>Page 6, as part of response to “primary activity of the business.”</w:t>
      </w:r>
      <w:proofErr w:type="gramEnd"/>
    </w:p>
    <w:p w:rsidR="0046368C" w:rsidRDefault="0046368C" w:rsidP="00B52856">
      <w:pPr>
        <w:pStyle w:val="PlainText"/>
        <w:spacing w:line="276" w:lineRule="auto"/>
        <w:rPr>
          <w:rFonts w:asciiTheme="minorHAnsi" w:hAnsiTheme="minorHAnsi"/>
          <w:color w:val="000000"/>
          <w:sz w:val="24"/>
          <w:szCs w:val="24"/>
        </w:rPr>
      </w:pPr>
    </w:p>
    <w:p w:rsidR="0046368C" w:rsidRPr="0046368C" w:rsidRDefault="0046368C" w:rsidP="00B52856">
      <w:pPr>
        <w:pStyle w:val="PlainText"/>
        <w:spacing w:line="276" w:lineRule="auto"/>
        <w:rPr>
          <w:rFonts w:asciiTheme="minorHAnsi" w:hAnsiTheme="minorHAnsi"/>
          <w:color w:val="000000"/>
          <w:sz w:val="24"/>
          <w:szCs w:val="24"/>
        </w:rPr>
      </w:pPr>
      <w:r w:rsidRPr="0046368C">
        <w:rPr>
          <w:rFonts w:asciiTheme="minorHAnsi" w:hAnsiTheme="minorHAnsi"/>
          <w:i/>
          <w:color w:val="000000"/>
          <w:sz w:val="24"/>
          <w:szCs w:val="24"/>
        </w:rPr>
        <w:t>“</w:t>
      </w:r>
      <w:r w:rsidR="00200B94">
        <w:rPr>
          <w:rFonts w:asciiTheme="minorHAnsi" w:hAnsiTheme="minorHAnsi"/>
          <w:i/>
          <w:color w:val="000000"/>
          <w:sz w:val="24"/>
          <w:szCs w:val="24"/>
        </w:rPr>
        <w:t>Energize Energy</w:t>
      </w:r>
      <w:r w:rsidRPr="0046368C">
        <w:rPr>
          <w:rFonts w:asciiTheme="minorHAnsi" w:hAnsiTheme="minorHAnsi"/>
          <w:i/>
          <w:color w:val="000000"/>
          <w:sz w:val="24"/>
          <w:szCs w:val="24"/>
        </w:rPr>
        <w:t xml:space="preserve"> will produce and sell electricity,”</w:t>
      </w:r>
      <w:r>
        <w:rPr>
          <w:rFonts w:asciiTheme="minorHAnsi" w:hAnsiTheme="minorHAnsi"/>
          <w:color w:val="000000"/>
          <w:sz w:val="24"/>
          <w:szCs w:val="24"/>
        </w:rPr>
        <w:t xml:space="preserve"> Page 7 as part of response to “form of energy sold.”</w:t>
      </w:r>
    </w:p>
    <w:p w:rsidR="0037265F" w:rsidRDefault="0037265F" w:rsidP="0037265F">
      <w:pPr>
        <w:pStyle w:val="PlainText"/>
        <w:spacing w:line="276" w:lineRule="auto"/>
        <w:rPr>
          <w:sz w:val="24"/>
          <w:szCs w:val="24"/>
        </w:rPr>
      </w:pPr>
    </w:p>
    <w:p w:rsidR="0046368C" w:rsidRDefault="0046368C" w:rsidP="0037265F">
      <w:pPr>
        <w:pStyle w:val="PlainText"/>
        <w:spacing w:line="276" w:lineRule="auto"/>
        <w:rPr>
          <w:sz w:val="24"/>
          <w:szCs w:val="24"/>
        </w:rPr>
      </w:pPr>
      <w:r>
        <w:rPr>
          <w:sz w:val="24"/>
          <w:szCs w:val="24"/>
        </w:rPr>
        <w:t xml:space="preserve">It is apparent to us that the terms “supply,” “deployment” and “sell” </w:t>
      </w:r>
      <w:r w:rsidR="00D52CAE">
        <w:rPr>
          <w:sz w:val="24"/>
          <w:szCs w:val="24"/>
        </w:rPr>
        <w:t xml:space="preserve">all mean that </w:t>
      </w:r>
      <w:r w:rsidR="00200B94">
        <w:rPr>
          <w:sz w:val="24"/>
          <w:szCs w:val="24"/>
        </w:rPr>
        <w:t>Energize Energy</w:t>
      </w:r>
      <w:r>
        <w:rPr>
          <w:sz w:val="24"/>
          <w:szCs w:val="24"/>
        </w:rPr>
        <w:t xml:space="preserve"> will sell energy direct </w:t>
      </w:r>
      <w:r w:rsidR="00D52CAE">
        <w:rPr>
          <w:sz w:val="24"/>
          <w:szCs w:val="24"/>
        </w:rPr>
        <w:t xml:space="preserve">to </w:t>
      </w:r>
      <w:proofErr w:type="gramStart"/>
      <w:r>
        <w:rPr>
          <w:sz w:val="24"/>
          <w:szCs w:val="24"/>
        </w:rPr>
        <w:t>customers</w:t>
      </w:r>
      <w:r w:rsidR="00D52CAE">
        <w:rPr>
          <w:sz w:val="24"/>
          <w:szCs w:val="24"/>
        </w:rPr>
        <w:t>,</w:t>
      </w:r>
      <w:proofErr w:type="gramEnd"/>
      <w:r w:rsidR="00D52CAE">
        <w:rPr>
          <w:sz w:val="24"/>
          <w:szCs w:val="24"/>
        </w:rPr>
        <w:t xml:space="preserve"> this means that they are an energy retailer. As an energy retailer, they should be subject to the same conditions that apply to other energy retailers</w:t>
      </w:r>
      <w:r w:rsidR="00200B94">
        <w:rPr>
          <w:sz w:val="24"/>
          <w:szCs w:val="24"/>
        </w:rPr>
        <w:t>, and consequently are not eligible for retailer authorisation exemption.</w:t>
      </w:r>
    </w:p>
    <w:p w:rsidR="00D52CAE" w:rsidRDefault="00D52CAE" w:rsidP="0037265F">
      <w:pPr>
        <w:pStyle w:val="PlainText"/>
        <w:spacing w:line="276" w:lineRule="auto"/>
        <w:rPr>
          <w:sz w:val="24"/>
          <w:szCs w:val="24"/>
        </w:rPr>
      </w:pPr>
    </w:p>
    <w:p w:rsidR="00D52CAE" w:rsidRDefault="00D52CAE" w:rsidP="0037265F">
      <w:pPr>
        <w:pStyle w:val="PlainText"/>
        <w:spacing w:line="276" w:lineRule="auto"/>
        <w:rPr>
          <w:sz w:val="24"/>
          <w:szCs w:val="24"/>
        </w:rPr>
      </w:pPr>
      <w:r>
        <w:rPr>
          <w:sz w:val="24"/>
          <w:szCs w:val="24"/>
        </w:rPr>
        <w:t xml:space="preserve">We understand that the mode of delivery of electricity is different than traditional energy retailers, in particular by generation of electricity on-site for host customers. However this does not change the reality that </w:t>
      </w:r>
      <w:r w:rsidR="00200B94">
        <w:rPr>
          <w:sz w:val="24"/>
          <w:szCs w:val="24"/>
        </w:rPr>
        <w:t>Energize Energy</w:t>
      </w:r>
      <w:r w:rsidR="00931B7A">
        <w:rPr>
          <w:sz w:val="24"/>
          <w:szCs w:val="24"/>
        </w:rPr>
        <w:t xml:space="preserve"> i</w:t>
      </w:r>
      <w:r>
        <w:rPr>
          <w:sz w:val="24"/>
          <w:szCs w:val="24"/>
        </w:rPr>
        <w:t xml:space="preserve">s a business </w:t>
      </w:r>
      <w:r w:rsidR="00200B94">
        <w:rPr>
          <w:sz w:val="24"/>
          <w:szCs w:val="24"/>
        </w:rPr>
        <w:t xml:space="preserve">with main intent </w:t>
      </w:r>
      <w:r>
        <w:rPr>
          <w:sz w:val="24"/>
          <w:szCs w:val="24"/>
        </w:rPr>
        <w:t>of supplying energy to end consumers.</w:t>
      </w:r>
    </w:p>
    <w:p w:rsidR="00D52CAE" w:rsidRDefault="00D52CAE" w:rsidP="0037265F">
      <w:pPr>
        <w:pStyle w:val="PlainText"/>
        <w:spacing w:line="276" w:lineRule="auto"/>
        <w:rPr>
          <w:sz w:val="24"/>
          <w:szCs w:val="24"/>
        </w:rPr>
      </w:pPr>
    </w:p>
    <w:p w:rsidR="00D52CAE" w:rsidRPr="00D52CAE" w:rsidRDefault="00D52CAE" w:rsidP="0037265F">
      <w:pPr>
        <w:pStyle w:val="PlainText"/>
        <w:spacing w:line="276" w:lineRule="auto"/>
        <w:rPr>
          <w:sz w:val="36"/>
          <w:szCs w:val="36"/>
        </w:rPr>
      </w:pPr>
      <w:r w:rsidRPr="00D52CAE">
        <w:rPr>
          <w:sz w:val="36"/>
          <w:szCs w:val="36"/>
        </w:rPr>
        <w:t xml:space="preserve">4. </w:t>
      </w:r>
      <w:r>
        <w:rPr>
          <w:sz w:val="36"/>
          <w:szCs w:val="36"/>
        </w:rPr>
        <w:tab/>
        <w:t>Other M</w:t>
      </w:r>
      <w:r w:rsidRPr="00D52CAE">
        <w:rPr>
          <w:sz w:val="36"/>
          <w:szCs w:val="36"/>
        </w:rPr>
        <w:t>atters</w:t>
      </w:r>
    </w:p>
    <w:p w:rsidR="00D52CAE" w:rsidRDefault="00D52CAE" w:rsidP="0037265F">
      <w:pPr>
        <w:pStyle w:val="PlainText"/>
        <w:spacing w:line="276" w:lineRule="auto"/>
        <w:rPr>
          <w:sz w:val="24"/>
          <w:szCs w:val="24"/>
        </w:rPr>
      </w:pPr>
    </w:p>
    <w:p w:rsidR="00D52CAE" w:rsidRPr="00D52CAE" w:rsidRDefault="00D52CAE" w:rsidP="0037265F">
      <w:pPr>
        <w:pStyle w:val="PlainText"/>
        <w:spacing w:line="276" w:lineRule="auto"/>
        <w:rPr>
          <w:sz w:val="24"/>
          <w:szCs w:val="24"/>
          <w:u w:val="single"/>
        </w:rPr>
      </w:pPr>
      <w:r w:rsidRPr="00D52CAE">
        <w:rPr>
          <w:sz w:val="24"/>
          <w:szCs w:val="24"/>
          <w:u w:val="single"/>
        </w:rPr>
        <w:t>Dispute resolution procedures</w:t>
      </w:r>
    </w:p>
    <w:p w:rsidR="00D52CAE" w:rsidRDefault="00200B94" w:rsidP="0037265F">
      <w:pPr>
        <w:pStyle w:val="PlainText"/>
        <w:spacing w:line="276" w:lineRule="auto"/>
        <w:rPr>
          <w:sz w:val="24"/>
          <w:szCs w:val="24"/>
        </w:rPr>
      </w:pPr>
      <w:r>
        <w:rPr>
          <w:sz w:val="24"/>
          <w:szCs w:val="24"/>
        </w:rPr>
        <w:t>T</w:t>
      </w:r>
      <w:r w:rsidR="00D52CAE">
        <w:rPr>
          <w:sz w:val="24"/>
          <w:szCs w:val="24"/>
        </w:rPr>
        <w:t xml:space="preserve">he approach to dispute resolution proposed by </w:t>
      </w:r>
      <w:r>
        <w:rPr>
          <w:sz w:val="24"/>
          <w:szCs w:val="24"/>
        </w:rPr>
        <w:t>Energize Energy</w:t>
      </w:r>
      <w:r w:rsidR="00D52CAE">
        <w:rPr>
          <w:sz w:val="24"/>
          <w:szCs w:val="24"/>
        </w:rPr>
        <w:t xml:space="preserve"> is noted and understood. We have no doubt that the company will utilise best endeavours to resolve any dispute that may </w:t>
      </w:r>
      <w:r>
        <w:rPr>
          <w:sz w:val="24"/>
          <w:szCs w:val="24"/>
        </w:rPr>
        <w:t>e</w:t>
      </w:r>
      <w:r w:rsidR="00D52CAE">
        <w:rPr>
          <w:sz w:val="24"/>
          <w:szCs w:val="24"/>
        </w:rPr>
        <w:t>merge with a customer. However, their approach</w:t>
      </w:r>
      <w:r w:rsidR="00D300F1">
        <w:rPr>
          <w:sz w:val="24"/>
          <w:szCs w:val="24"/>
        </w:rPr>
        <w:t xml:space="preserve"> does not appear to include independent dispute resolution which is a crucial aspect of the approach for any provider of an essential service</w:t>
      </w:r>
      <w:r w:rsidR="00931B7A">
        <w:rPr>
          <w:sz w:val="24"/>
          <w:szCs w:val="24"/>
        </w:rPr>
        <w:t>, and required of any approved energy retailer, Energize Energy, to our mind, should be part of an Energy Ombudsman Scheme so that their customers have access to independent dispute resolution.</w:t>
      </w:r>
    </w:p>
    <w:p w:rsidR="00D300F1" w:rsidRDefault="00D300F1" w:rsidP="0037265F">
      <w:pPr>
        <w:pStyle w:val="PlainText"/>
        <w:spacing w:line="276" w:lineRule="auto"/>
        <w:rPr>
          <w:sz w:val="24"/>
          <w:szCs w:val="24"/>
        </w:rPr>
      </w:pPr>
    </w:p>
    <w:p w:rsidR="00931B7A" w:rsidRDefault="00931B7A" w:rsidP="0037265F">
      <w:pPr>
        <w:pStyle w:val="PlainText"/>
        <w:spacing w:line="276" w:lineRule="auto"/>
        <w:rPr>
          <w:sz w:val="24"/>
          <w:szCs w:val="24"/>
          <w:u w:val="single"/>
        </w:rPr>
      </w:pPr>
    </w:p>
    <w:p w:rsidR="00931B7A" w:rsidRDefault="00931B7A" w:rsidP="0037265F">
      <w:pPr>
        <w:pStyle w:val="PlainText"/>
        <w:spacing w:line="276" w:lineRule="auto"/>
        <w:rPr>
          <w:sz w:val="24"/>
          <w:szCs w:val="24"/>
          <w:u w:val="single"/>
        </w:rPr>
      </w:pPr>
    </w:p>
    <w:p w:rsidR="00D300F1" w:rsidRPr="00D300F1" w:rsidRDefault="00D300F1" w:rsidP="0037265F">
      <w:pPr>
        <w:pStyle w:val="PlainText"/>
        <w:spacing w:line="276" w:lineRule="auto"/>
        <w:rPr>
          <w:sz w:val="24"/>
          <w:szCs w:val="24"/>
          <w:u w:val="single"/>
        </w:rPr>
      </w:pPr>
      <w:r w:rsidRPr="00D300F1">
        <w:rPr>
          <w:sz w:val="24"/>
          <w:szCs w:val="24"/>
          <w:u w:val="single"/>
        </w:rPr>
        <w:lastRenderedPageBreak/>
        <w:t>Hardship policy</w:t>
      </w:r>
    </w:p>
    <w:p w:rsidR="00D300F1" w:rsidRDefault="00200B94" w:rsidP="0037265F">
      <w:pPr>
        <w:pStyle w:val="PlainText"/>
        <w:spacing w:line="276" w:lineRule="auto"/>
        <w:rPr>
          <w:sz w:val="24"/>
          <w:szCs w:val="24"/>
        </w:rPr>
      </w:pPr>
      <w:r>
        <w:rPr>
          <w:sz w:val="24"/>
          <w:szCs w:val="24"/>
        </w:rPr>
        <w:t>H</w:t>
      </w:r>
      <w:r w:rsidR="00D300F1">
        <w:rPr>
          <w:sz w:val="24"/>
          <w:szCs w:val="24"/>
        </w:rPr>
        <w:t>ardship provisions are apparently covered in a confidential submission which is clearly not available to consumer interest groups like ours, so we are unable to comment on the appropriateness of</w:t>
      </w:r>
      <w:r>
        <w:rPr>
          <w:sz w:val="24"/>
          <w:szCs w:val="24"/>
        </w:rPr>
        <w:t xml:space="preserve"> the proposed hardship</w:t>
      </w:r>
      <w:r w:rsidR="00D300F1">
        <w:rPr>
          <w:sz w:val="24"/>
          <w:szCs w:val="24"/>
        </w:rPr>
        <w:t xml:space="preserve"> policy. We regard this as important however, </w:t>
      </w:r>
      <w:r>
        <w:rPr>
          <w:sz w:val="24"/>
          <w:szCs w:val="24"/>
        </w:rPr>
        <w:t>since there is a possibility</w:t>
      </w:r>
      <w:r w:rsidR="00D300F1">
        <w:rPr>
          <w:sz w:val="24"/>
          <w:szCs w:val="24"/>
        </w:rPr>
        <w:t xml:space="preserve"> that</w:t>
      </w:r>
      <w:r>
        <w:rPr>
          <w:sz w:val="24"/>
          <w:szCs w:val="24"/>
        </w:rPr>
        <w:t xml:space="preserve"> at risk consumers could lose supply of electricity as part of their signing up with Energize Energy - we simply don’t know.</w:t>
      </w:r>
    </w:p>
    <w:p w:rsidR="00200B94" w:rsidRDefault="00200B94" w:rsidP="0037265F">
      <w:pPr>
        <w:pStyle w:val="PlainText"/>
        <w:spacing w:line="276" w:lineRule="auto"/>
        <w:rPr>
          <w:sz w:val="24"/>
          <w:szCs w:val="24"/>
        </w:rPr>
      </w:pPr>
    </w:p>
    <w:p w:rsidR="00200B94" w:rsidRDefault="00200B94" w:rsidP="0037265F">
      <w:pPr>
        <w:pStyle w:val="PlainText"/>
        <w:spacing w:line="276" w:lineRule="auto"/>
        <w:rPr>
          <w:sz w:val="24"/>
          <w:szCs w:val="24"/>
          <w:u w:val="single"/>
        </w:rPr>
      </w:pPr>
      <w:r w:rsidRPr="00200B94">
        <w:rPr>
          <w:sz w:val="24"/>
          <w:szCs w:val="24"/>
          <w:u w:val="single"/>
        </w:rPr>
        <w:t>Early termination of PPA / PPA termination ownership</w:t>
      </w:r>
    </w:p>
    <w:p w:rsidR="00200B94" w:rsidRDefault="00200B94" w:rsidP="0037265F">
      <w:pPr>
        <w:pStyle w:val="PlainText"/>
        <w:spacing w:line="276" w:lineRule="auto"/>
        <w:rPr>
          <w:sz w:val="24"/>
          <w:szCs w:val="24"/>
        </w:rPr>
      </w:pPr>
      <w:r>
        <w:rPr>
          <w:sz w:val="24"/>
          <w:szCs w:val="24"/>
        </w:rPr>
        <w:t>We do not consider that enough information has been provided in the application to determine the potential risk to supply of a customer being terminated from their PPA, for whatever reason, though we expect that customer hardship is likely to be a factor.</w:t>
      </w:r>
      <w:r w:rsidR="00931B7A">
        <w:rPr>
          <w:sz w:val="24"/>
          <w:szCs w:val="24"/>
        </w:rPr>
        <w:t xml:space="preserve"> Additional information is needed about how termination of PPA’s would occur and the extent of consumer protection that would be afforded to termination customers.</w:t>
      </w:r>
    </w:p>
    <w:p w:rsidR="00200B94" w:rsidRDefault="00200B94" w:rsidP="0037265F">
      <w:pPr>
        <w:pStyle w:val="PlainText"/>
        <w:spacing w:line="276" w:lineRule="auto"/>
        <w:rPr>
          <w:sz w:val="24"/>
          <w:szCs w:val="24"/>
        </w:rPr>
      </w:pPr>
    </w:p>
    <w:p w:rsidR="00200B94" w:rsidRPr="00200B94" w:rsidRDefault="00200B94" w:rsidP="0037265F">
      <w:pPr>
        <w:pStyle w:val="PlainText"/>
        <w:spacing w:line="276" w:lineRule="auto"/>
        <w:rPr>
          <w:sz w:val="24"/>
          <w:szCs w:val="24"/>
        </w:rPr>
      </w:pPr>
    </w:p>
    <w:sectPr w:rsidR="00200B94" w:rsidRPr="00200B94" w:rsidSect="00045CF0">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E6A" w:rsidRDefault="00F43E6A" w:rsidP="00404B96">
      <w:r>
        <w:separator/>
      </w:r>
    </w:p>
    <w:p w:rsidR="00F43E6A" w:rsidRDefault="00F43E6A"/>
  </w:endnote>
  <w:endnote w:type="continuationSeparator" w:id="0">
    <w:p w:rsidR="00F43E6A" w:rsidRDefault="00F43E6A" w:rsidP="00404B96">
      <w:r>
        <w:continuationSeparator/>
      </w:r>
    </w:p>
    <w:p w:rsidR="00F43E6A" w:rsidRDefault="00F4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804"/>
      <w:docPartObj>
        <w:docPartGallery w:val="Page Numbers (Bottom of Page)"/>
        <w:docPartUnique/>
      </w:docPartObj>
    </w:sdtPr>
    <w:sdtEndPr>
      <w:rPr>
        <w:noProof/>
      </w:rPr>
    </w:sdtEndPr>
    <w:sdtContent>
      <w:p w:rsidR="00A7722A" w:rsidRDefault="00A7722A" w:rsidP="00BF37B1">
        <w:pPr>
          <w:pStyle w:val="Footer"/>
          <w:jc w:val="right"/>
        </w:pPr>
        <w:r w:rsidRPr="009353B7">
          <w:rPr>
            <w:rFonts w:ascii="Arial" w:hAnsi="Arial" w:cs="Arial"/>
            <w:noProof/>
            <w:lang w:eastAsia="en-AU"/>
          </w:rPr>
          <w:drawing>
            <wp:anchor distT="0" distB="0" distL="114300" distR="114300" simplePos="0" relativeHeight="251663360" behindDoc="1" locked="0" layoutInCell="1" allowOverlap="1" wp14:anchorId="135C4F58" wp14:editId="575CABF3">
              <wp:simplePos x="0" y="0"/>
              <wp:positionH relativeFrom="column">
                <wp:posOffset>3038475</wp:posOffset>
              </wp:positionH>
              <wp:positionV relativeFrom="paragraph">
                <wp:posOffset>-3129280</wp:posOffset>
              </wp:positionV>
              <wp:extent cx="3619500" cy="300990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3619500" cy="3009900"/>
                      </a:xfrm>
                      <a:prstGeom prst="rect">
                        <a:avLst/>
                      </a:prstGeom>
                      <a:noFill/>
                    </pic:spPr>
                  </pic:pic>
                </a:graphicData>
              </a:graphic>
            </wp:anchor>
          </w:drawing>
        </w:r>
        <w:r w:rsidR="00EC4170">
          <w:t>Page</w:t>
        </w:r>
        <w:r>
          <w:t xml:space="preserve"> </w:t>
        </w:r>
        <w:r>
          <w:fldChar w:fldCharType="begin"/>
        </w:r>
        <w:r>
          <w:instrText xml:space="preserve"> PAGE   \* MERGEFORMAT </w:instrText>
        </w:r>
        <w:r>
          <w:fldChar w:fldCharType="separate"/>
        </w:r>
        <w:r w:rsidR="002F5D84">
          <w:rPr>
            <w:noProof/>
          </w:rPr>
          <w:t>2</w:t>
        </w:r>
        <w:r>
          <w:rPr>
            <w:noProof/>
          </w:rPr>
          <w:fldChar w:fldCharType="end"/>
        </w:r>
      </w:p>
    </w:sdtContent>
  </w:sdt>
  <w:p w:rsidR="00ED5FF2" w:rsidRDefault="00ED5F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F0" w:rsidRPr="00814F52" w:rsidRDefault="00A7722A" w:rsidP="00814F52">
    <w:pPr>
      <w:pStyle w:val="Footer"/>
    </w:pPr>
    <w:r w:rsidRPr="009353B7">
      <w:rPr>
        <w:rFonts w:ascii="Arial" w:hAnsi="Arial" w:cs="Arial"/>
        <w:noProof/>
        <w:lang w:eastAsia="en-AU"/>
      </w:rPr>
      <w:drawing>
        <wp:anchor distT="0" distB="0" distL="114300" distR="114300" simplePos="0" relativeHeight="251665408" behindDoc="1" locked="0" layoutInCell="1" allowOverlap="1" wp14:anchorId="685ACC8F" wp14:editId="7E668B1F">
          <wp:simplePos x="0" y="0"/>
          <wp:positionH relativeFrom="column">
            <wp:posOffset>762000</wp:posOffset>
          </wp:positionH>
          <wp:positionV relativeFrom="paragraph">
            <wp:posOffset>-3333115</wp:posOffset>
          </wp:positionV>
          <wp:extent cx="5762625" cy="4792077"/>
          <wp:effectExtent l="0" t="0" r="0" b="889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957" t="1024"/>
                  <a:stretch>
                    <a:fillRect/>
                  </a:stretch>
                </pic:blipFill>
                <pic:spPr bwMode="auto">
                  <a:xfrm>
                    <a:off x="0" y="0"/>
                    <a:ext cx="5762625" cy="4792077"/>
                  </a:xfrm>
                  <a:prstGeom prst="rect">
                    <a:avLst/>
                  </a:prstGeom>
                  <a:noFill/>
                </pic:spPr>
              </pic:pic>
            </a:graphicData>
          </a:graphic>
          <wp14:sizeRelH relativeFrom="margin">
            <wp14:pctWidth>0</wp14:pctWidth>
          </wp14:sizeRelH>
          <wp14:sizeRelV relativeFrom="margin">
            <wp14:pctHeight>0</wp14:pctHeight>
          </wp14:sizeRelV>
        </wp:anchor>
      </w:drawing>
    </w:r>
    <w:r w:rsidR="00045CF0" w:rsidRPr="00814F52">
      <w:t>Contact:</w:t>
    </w:r>
  </w:p>
  <w:p w:rsidR="009F1EB1" w:rsidRDefault="009F1EB1" w:rsidP="00814F52">
    <w:pPr>
      <w:pStyle w:val="Footer"/>
    </w:pPr>
    <w:r>
      <w:t>Mark Henley</w:t>
    </w:r>
  </w:p>
  <w:p w:rsidR="00045CF0" w:rsidRPr="00814F52" w:rsidRDefault="0037265F" w:rsidP="00814F52">
    <w:pPr>
      <w:pStyle w:val="Footer"/>
    </w:pPr>
    <w:r>
      <w:t>Energy Advocate</w:t>
    </w:r>
    <w:r w:rsidR="00045CF0" w:rsidRPr="00814F52">
      <w:br/>
    </w:r>
    <w:proofErr w:type="spellStart"/>
    <w:r w:rsidR="00045CF0" w:rsidRPr="00814F52">
      <w:t>UnitingCare</w:t>
    </w:r>
    <w:proofErr w:type="spellEnd"/>
    <w:r w:rsidR="00045CF0" w:rsidRPr="00814F52">
      <w:t xml:space="preserve"> Australia</w:t>
    </w:r>
  </w:p>
  <w:p w:rsidR="00045CF0" w:rsidRPr="00814F52" w:rsidRDefault="00045CF0" w:rsidP="00814F52">
    <w:pPr>
      <w:pStyle w:val="Footer"/>
    </w:pPr>
  </w:p>
  <w:p w:rsidR="00045CF0" w:rsidRDefault="006A5DA1" w:rsidP="00814F52">
    <w:pPr>
      <w:pStyle w:val="Footer"/>
    </w:pPr>
    <w:proofErr w:type="spellStart"/>
    <w:r>
      <w:t>Ph</w:t>
    </w:r>
    <w:proofErr w:type="spellEnd"/>
    <w:r>
      <w:t>: 0404 067 011</w:t>
    </w:r>
  </w:p>
  <w:p w:rsidR="0037139D" w:rsidRDefault="0037139D" w:rsidP="00814F52">
    <w:pPr>
      <w:pStyle w:val="Footer"/>
    </w:pPr>
  </w:p>
  <w:p w:rsidR="0037139D" w:rsidRDefault="0037139D" w:rsidP="00814F52">
    <w:pPr>
      <w:pStyle w:val="Footer"/>
    </w:pPr>
  </w:p>
  <w:p w:rsidR="0037139D" w:rsidRPr="00814F52" w:rsidRDefault="00D208EF" w:rsidP="0037139D">
    <w:pPr>
      <w:pStyle w:val="Footer"/>
      <w:jc w:val="center"/>
    </w:pPr>
    <w:proofErr w:type="spellStart"/>
    <w:r>
      <w:rPr>
        <w:i/>
        <w:sz w:val="20"/>
      </w:rPr>
      <w:t>UnitingCare</w:t>
    </w:r>
    <w:proofErr w:type="spellEnd"/>
    <w:r>
      <w:rPr>
        <w:i/>
        <w:sz w:val="20"/>
      </w:rPr>
      <w:t xml:space="preserve"> Australia is the national body for social s</w:t>
    </w:r>
    <w:r w:rsidR="0037139D" w:rsidRPr="00EC0752">
      <w:rPr>
        <w:i/>
        <w:sz w:val="20"/>
      </w:rPr>
      <w:t>ervices in the Uniting Church in Australia</w:t>
    </w:r>
    <w:r w:rsidR="0037139D">
      <w:rPr>
        <w:i/>
        <w:sz w:val="20"/>
      </w:rPr>
      <w:t>,</w:t>
    </w:r>
    <w:r w:rsidR="0037139D" w:rsidRPr="00EC0752">
      <w:rPr>
        <w:i/>
        <w:sz w:val="20"/>
      </w:rPr>
      <w:t xml:space="preserve"> supporting service delivery and advocacy for children, young people, families, people with disabilities, and older people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E6A" w:rsidRDefault="00F43E6A">
      <w:r>
        <w:separator/>
      </w:r>
    </w:p>
  </w:footnote>
  <w:footnote w:type="continuationSeparator" w:id="0">
    <w:p w:rsidR="00F43E6A" w:rsidRDefault="00F43E6A">
      <w:r>
        <w:continuationSeparator/>
      </w:r>
    </w:p>
  </w:footnote>
  <w:footnote w:type="continuationNotice" w:id="1">
    <w:p w:rsidR="00F43E6A" w:rsidRDefault="00F43E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A" w:rsidRDefault="00A7722A" w:rsidP="00404B96">
    <w:pPr>
      <w:pStyle w:val="Header"/>
    </w:pPr>
    <w:r w:rsidRPr="00416E30">
      <w:rPr>
        <w:noProof/>
        <w:lang w:eastAsia="en-AU"/>
      </w:rPr>
      <w:drawing>
        <wp:anchor distT="0" distB="0" distL="114300" distR="114300" simplePos="0" relativeHeight="251661312" behindDoc="1" locked="0" layoutInCell="1" allowOverlap="1" wp14:anchorId="1D358654" wp14:editId="296F13A4">
          <wp:simplePos x="0" y="0"/>
          <wp:positionH relativeFrom="column">
            <wp:posOffset>4086225</wp:posOffset>
          </wp:positionH>
          <wp:positionV relativeFrom="paragraph">
            <wp:posOffset>-449580</wp:posOffset>
          </wp:positionV>
          <wp:extent cx="2571750" cy="2176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71750" cy="21760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5FF2" w:rsidRDefault="00ED5F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2A" w:rsidRDefault="006A4E7C" w:rsidP="00404B96">
    <w:pPr>
      <w:pStyle w:val="Header"/>
    </w:pPr>
    <w:r>
      <w:rPr>
        <w:noProof/>
        <w:lang w:eastAsia="en-AU"/>
      </w:rPr>
      <w:drawing>
        <wp:anchor distT="0" distB="0" distL="114300" distR="114300" simplePos="0" relativeHeight="251667456" behindDoc="0" locked="0" layoutInCell="1" allowOverlap="1" wp14:anchorId="2DBE3519" wp14:editId="7507CF6E">
          <wp:simplePos x="0" y="0"/>
          <wp:positionH relativeFrom="column">
            <wp:posOffset>628650</wp:posOffset>
          </wp:positionH>
          <wp:positionV relativeFrom="paragraph">
            <wp:posOffset>467360</wp:posOffset>
          </wp:positionV>
          <wp:extent cx="4356735" cy="1285875"/>
          <wp:effectExtent l="0" t="0" r="5715" b="9525"/>
          <wp:wrapSquare wrapText="bothSides"/>
          <wp:docPr id="7" name="Picture 7" descr="\\NATSERVER\Shared\Lachlan\Media Release Temp\uclogo_UnitingCareAustralia_co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SERVER\Shared\Lachlan\Media Release Temp\uclogo_UnitingCareAustralia_col.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73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6E30">
      <w:rPr>
        <w:noProof/>
        <w:lang w:eastAsia="en-AU"/>
      </w:rPr>
      <w:drawing>
        <wp:anchor distT="0" distB="0" distL="114300" distR="114300" simplePos="0" relativeHeight="251659264" behindDoc="1" locked="0" layoutInCell="1" allowOverlap="1" wp14:anchorId="47AD9683" wp14:editId="6973FAA0">
          <wp:simplePos x="0" y="0"/>
          <wp:positionH relativeFrom="column">
            <wp:posOffset>3295650</wp:posOffset>
          </wp:positionH>
          <wp:positionV relativeFrom="paragraph">
            <wp:posOffset>-459105</wp:posOffset>
          </wp:positionV>
          <wp:extent cx="3352800" cy="2836545"/>
          <wp:effectExtent l="0" t="0" r="0" b="1905"/>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352800" cy="2836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multilevel"/>
    <w:tmpl w:val="00000002"/>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9"/>
    <w:multiLevelType w:val="multilevel"/>
    <w:tmpl w:val="00000009"/>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A"/>
    <w:multiLevelType w:val="multilevel"/>
    <w:tmpl w:val="0000000A"/>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C"/>
    <w:multiLevelType w:val="multilevel"/>
    <w:tmpl w:val="0000000C"/>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D"/>
    <w:multiLevelType w:val="multilevel"/>
    <w:tmpl w:val="0000000D"/>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E"/>
    <w:multiLevelType w:val="multilevel"/>
    <w:tmpl w:val="0000000E"/>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834B88"/>
    <w:multiLevelType w:val="hybridMultilevel"/>
    <w:tmpl w:val="ACCE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5538EA"/>
    <w:multiLevelType w:val="hybridMultilevel"/>
    <w:tmpl w:val="7624A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CC1D05"/>
    <w:multiLevelType w:val="hybridMultilevel"/>
    <w:tmpl w:val="0AAE12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415420"/>
    <w:multiLevelType w:val="hybridMultilevel"/>
    <w:tmpl w:val="3F946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0F501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C760B0"/>
    <w:multiLevelType w:val="hybridMultilevel"/>
    <w:tmpl w:val="FCB670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F82E12"/>
    <w:multiLevelType w:val="hybridMultilevel"/>
    <w:tmpl w:val="32AA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3539C5"/>
    <w:multiLevelType w:val="multilevel"/>
    <w:tmpl w:val="DD00D7AA"/>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2D817794"/>
    <w:multiLevelType w:val="hybridMultilevel"/>
    <w:tmpl w:val="AEF8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744CC8"/>
    <w:multiLevelType w:val="multilevel"/>
    <w:tmpl w:val="ACA49B36"/>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383A447C"/>
    <w:multiLevelType w:val="hybridMultilevel"/>
    <w:tmpl w:val="F59C0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641FF7"/>
    <w:multiLevelType w:val="hybridMultilevel"/>
    <w:tmpl w:val="FBA6D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792326"/>
    <w:multiLevelType w:val="hybridMultilevel"/>
    <w:tmpl w:val="23CE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267910"/>
    <w:multiLevelType w:val="hybridMultilevel"/>
    <w:tmpl w:val="4D8A3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F31FE6"/>
    <w:multiLevelType w:val="hybridMultilevel"/>
    <w:tmpl w:val="E84A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14085C"/>
    <w:multiLevelType w:val="hybridMultilevel"/>
    <w:tmpl w:val="AA4E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C7E1D6B"/>
    <w:multiLevelType w:val="multilevel"/>
    <w:tmpl w:val="675EF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nsid w:val="5CBD046A"/>
    <w:multiLevelType w:val="hybridMultilevel"/>
    <w:tmpl w:val="17AE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5716C8"/>
    <w:multiLevelType w:val="multilevel"/>
    <w:tmpl w:val="675EF5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nsid w:val="5EEB3983"/>
    <w:multiLevelType w:val="multilevel"/>
    <w:tmpl w:val="0068133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428658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AC11CF"/>
    <w:multiLevelType w:val="hybridMultilevel"/>
    <w:tmpl w:val="A5FE6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2"/>
  </w:num>
  <w:num w:numId="3">
    <w:abstractNumId w:val="27"/>
  </w:num>
  <w:num w:numId="4">
    <w:abstractNumId w:val="0"/>
  </w:num>
  <w:num w:numId="5">
    <w:abstractNumId w:val="7"/>
  </w:num>
  <w:num w:numId="6">
    <w:abstractNumId w:val="9"/>
  </w:num>
  <w:num w:numId="7">
    <w:abstractNumId w:val="6"/>
  </w:num>
  <w:num w:numId="8">
    <w:abstractNumId w:val="16"/>
  </w:num>
  <w:num w:numId="9">
    <w:abstractNumId w:val="11"/>
  </w:num>
  <w:num w:numId="10">
    <w:abstractNumId w:val="21"/>
  </w:num>
  <w:num w:numId="11">
    <w:abstractNumId w:val="29"/>
  </w:num>
  <w:num w:numId="12">
    <w:abstractNumId w:val="3"/>
  </w:num>
  <w:num w:numId="13">
    <w:abstractNumId w:val="25"/>
  </w:num>
  <w:num w:numId="14">
    <w:abstractNumId w:val="4"/>
  </w:num>
  <w:num w:numId="15">
    <w:abstractNumId w:val="17"/>
  </w:num>
  <w:num w:numId="16">
    <w:abstractNumId w:val="1"/>
  </w:num>
  <w:num w:numId="17">
    <w:abstractNumId w:val="2"/>
  </w:num>
  <w:num w:numId="18">
    <w:abstractNumId w:val="5"/>
  </w:num>
  <w:num w:numId="19">
    <w:abstractNumId w:val="10"/>
  </w:num>
  <w:num w:numId="20">
    <w:abstractNumId w:val="28"/>
  </w:num>
  <w:num w:numId="21">
    <w:abstractNumId w:val="13"/>
  </w:num>
  <w:num w:numId="22">
    <w:abstractNumId w:val="14"/>
  </w:num>
  <w:num w:numId="23">
    <w:abstractNumId w:val="15"/>
  </w:num>
  <w:num w:numId="24">
    <w:abstractNumId w:val="26"/>
  </w:num>
  <w:num w:numId="25">
    <w:abstractNumId w:val="24"/>
  </w:num>
  <w:num w:numId="26">
    <w:abstractNumId w:val="20"/>
  </w:num>
  <w:num w:numId="27">
    <w:abstractNumId w:val="23"/>
  </w:num>
  <w:num w:numId="28">
    <w:abstractNumId w:val="12"/>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dcoro\AppData\Local\Microsoft\Windows\Temporary Internet Files\Content.Outlook\UKA6MVAS\AER Exempt Selling Energize Energy July 2016.docx"/>
  </w:docVars>
  <w:rsids>
    <w:rsidRoot w:val="009F1EB1"/>
    <w:rsid w:val="000011BC"/>
    <w:rsid w:val="00045488"/>
    <w:rsid w:val="00045CF0"/>
    <w:rsid w:val="00052019"/>
    <w:rsid w:val="00061875"/>
    <w:rsid w:val="00062885"/>
    <w:rsid w:val="000D425F"/>
    <w:rsid w:val="00157094"/>
    <w:rsid w:val="001C6211"/>
    <w:rsid w:val="001E34AD"/>
    <w:rsid w:val="001F1A7F"/>
    <w:rsid w:val="00200B94"/>
    <w:rsid w:val="00244B7C"/>
    <w:rsid w:val="00267FCE"/>
    <w:rsid w:val="002F5D84"/>
    <w:rsid w:val="0037139D"/>
    <w:rsid w:val="0037265F"/>
    <w:rsid w:val="003B30CB"/>
    <w:rsid w:val="00404B96"/>
    <w:rsid w:val="0046368C"/>
    <w:rsid w:val="004637AC"/>
    <w:rsid w:val="00473B86"/>
    <w:rsid w:val="00661444"/>
    <w:rsid w:val="006A4E7C"/>
    <w:rsid w:val="006A5DA1"/>
    <w:rsid w:val="006A630B"/>
    <w:rsid w:val="007902AE"/>
    <w:rsid w:val="00810E73"/>
    <w:rsid w:val="00814F52"/>
    <w:rsid w:val="00843546"/>
    <w:rsid w:val="008E6637"/>
    <w:rsid w:val="00931B7A"/>
    <w:rsid w:val="009C5A89"/>
    <w:rsid w:val="009F1EB1"/>
    <w:rsid w:val="00A3414F"/>
    <w:rsid w:val="00A7722A"/>
    <w:rsid w:val="00B11999"/>
    <w:rsid w:val="00B34A4C"/>
    <w:rsid w:val="00B52856"/>
    <w:rsid w:val="00BC4952"/>
    <w:rsid w:val="00BF37B1"/>
    <w:rsid w:val="00C05BC5"/>
    <w:rsid w:val="00C24554"/>
    <w:rsid w:val="00CA02CF"/>
    <w:rsid w:val="00D208EF"/>
    <w:rsid w:val="00D300F1"/>
    <w:rsid w:val="00D52CAE"/>
    <w:rsid w:val="00D869BA"/>
    <w:rsid w:val="00E50E61"/>
    <w:rsid w:val="00E62D95"/>
    <w:rsid w:val="00E70817"/>
    <w:rsid w:val="00E87C9D"/>
    <w:rsid w:val="00EC4170"/>
    <w:rsid w:val="00ED5FF2"/>
    <w:rsid w:val="00F43E6A"/>
    <w:rsid w:val="00FE75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semiHidden/>
    <w:unhideWhenUsed/>
    <w:qFormat/>
    <w:rsid w:val="009F1EB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404B96"/>
    <w:pPr>
      <w:spacing w:after="100"/>
    </w:p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094"/>
    <w:rPr>
      <w:sz w:val="20"/>
      <w:szCs w:val="20"/>
    </w:rPr>
  </w:style>
  <w:style w:type="character" w:styleId="FootnoteReference">
    <w:name w:val="footnote reference"/>
    <w:basedOn w:val="DefaultParagraphFont"/>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character" w:customStyle="1" w:styleId="Normal1">
    <w:name w:val="Normal1"/>
    <w:rsid w:val="009F1EB1"/>
    <w:rPr>
      <w:rFonts w:ascii="Gautami" w:hAnsi="Gautami"/>
      <w:color w:val="00000A"/>
      <w:sz w:val="20"/>
    </w:rPr>
  </w:style>
  <w:style w:type="character" w:customStyle="1" w:styleId="FootnoteCharacters">
    <w:name w:val="Footnote Characters"/>
    <w:rsid w:val="009F1EB1"/>
  </w:style>
  <w:style w:type="character" w:customStyle="1" w:styleId="Heading3Char">
    <w:name w:val="Heading 3 Char"/>
    <w:basedOn w:val="DefaultParagraphFont"/>
    <w:link w:val="Heading3"/>
    <w:uiPriority w:val="9"/>
    <w:semiHidden/>
    <w:rsid w:val="009F1EB1"/>
    <w:rPr>
      <w:rFonts w:asciiTheme="majorHAnsi" w:eastAsiaTheme="majorEastAsia" w:hAnsiTheme="majorHAnsi" w:cstheme="majorBidi"/>
      <w:color w:val="243F60" w:themeColor="accent1" w:themeShade="7F"/>
      <w:sz w:val="24"/>
      <w:szCs w:val="24"/>
    </w:rPr>
  </w:style>
  <w:style w:type="paragraph" w:styleId="Caption">
    <w:name w:val="caption"/>
    <w:basedOn w:val="Normal"/>
    <w:qFormat/>
    <w:rsid w:val="009F1EB1"/>
    <w:pPr>
      <w:suppressLineNumbers/>
      <w:suppressAutoHyphens/>
      <w:spacing w:before="120" w:after="120" w:line="100" w:lineRule="atLeast"/>
    </w:pPr>
    <w:rPr>
      <w:rFonts w:ascii="Calibri" w:eastAsia="Times New Roman" w:hAnsi="Calibri" w:cs="Mangal"/>
      <w:i/>
      <w:iCs/>
      <w:color w:val="000000"/>
      <w:kern w:val="1"/>
      <w:lang w:eastAsia="ar-SA"/>
    </w:rPr>
  </w:style>
  <w:style w:type="character" w:customStyle="1" w:styleId="apple-converted-space">
    <w:name w:val="apple-converted-space"/>
    <w:basedOn w:val="DefaultParagraphFont"/>
    <w:rsid w:val="00061875"/>
  </w:style>
  <w:style w:type="paragraph" w:styleId="PlainText">
    <w:name w:val="Plain Text"/>
    <w:basedOn w:val="Normal"/>
    <w:link w:val="PlainTextChar"/>
    <w:uiPriority w:val="99"/>
    <w:unhideWhenUsed/>
    <w:rsid w:val="006A5DA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6A5DA1"/>
    <w:rPr>
      <w:rFonts w:ascii="Calibri" w:hAnsi="Calibri"/>
      <w:szCs w:val="21"/>
    </w:rPr>
  </w:style>
  <w:style w:type="table" w:styleId="TableGrid">
    <w:name w:val="Table Grid"/>
    <w:basedOn w:val="TableNormal"/>
    <w:uiPriority w:val="39"/>
    <w:rsid w:val="00C0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96"/>
    <w:rPr>
      <w:sz w:val="24"/>
      <w:szCs w:val="24"/>
    </w:rPr>
  </w:style>
  <w:style w:type="paragraph" w:styleId="Heading1">
    <w:name w:val="heading 1"/>
    <w:basedOn w:val="Normal"/>
    <w:next w:val="Normal"/>
    <w:link w:val="Heading1Char"/>
    <w:qFormat/>
    <w:rsid w:val="001F1A7F"/>
    <w:pPr>
      <w:keepNext/>
      <w:keepLines/>
      <w:spacing w:before="480" w:after="240"/>
      <w:jc w:val="both"/>
      <w:outlineLvl w:val="0"/>
    </w:pPr>
    <w:rPr>
      <w:rFonts w:eastAsiaTheme="majorEastAsia" w:cstheme="majorBidi"/>
      <w:bCs/>
      <w:sz w:val="36"/>
      <w:szCs w:val="28"/>
    </w:rPr>
  </w:style>
  <w:style w:type="paragraph" w:styleId="Heading2">
    <w:name w:val="heading 2"/>
    <w:basedOn w:val="Heading1"/>
    <w:next w:val="Normal"/>
    <w:link w:val="Heading2Char"/>
    <w:uiPriority w:val="9"/>
    <w:unhideWhenUsed/>
    <w:qFormat/>
    <w:rsid w:val="001F1A7F"/>
    <w:pPr>
      <w:spacing w:after="120"/>
      <w:outlineLvl w:val="1"/>
    </w:pPr>
    <w:rPr>
      <w:sz w:val="32"/>
      <w:szCs w:val="32"/>
    </w:rPr>
  </w:style>
  <w:style w:type="paragraph" w:styleId="Heading3">
    <w:name w:val="heading 3"/>
    <w:basedOn w:val="Normal"/>
    <w:next w:val="Normal"/>
    <w:link w:val="Heading3Char"/>
    <w:uiPriority w:val="9"/>
    <w:semiHidden/>
    <w:unhideWhenUsed/>
    <w:qFormat/>
    <w:rsid w:val="009F1EB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CF0"/>
  </w:style>
  <w:style w:type="paragraph" w:styleId="Footer">
    <w:name w:val="footer"/>
    <w:basedOn w:val="Normal"/>
    <w:link w:val="FooterChar"/>
    <w:uiPriority w:val="99"/>
    <w:unhideWhenUsed/>
    <w:rsid w:val="00045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CF0"/>
  </w:style>
  <w:style w:type="character" w:customStyle="1" w:styleId="Heading1Char">
    <w:name w:val="Heading 1 Char"/>
    <w:basedOn w:val="DefaultParagraphFont"/>
    <w:link w:val="Heading1"/>
    <w:uiPriority w:val="9"/>
    <w:rsid w:val="001F1A7F"/>
    <w:rPr>
      <w:rFonts w:eastAsiaTheme="majorEastAsia" w:cstheme="majorBidi"/>
      <w:bCs/>
      <w:sz w:val="36"/>
      <w:szCs w:val="28"/>
    </w:rPr>
  </w:style>
  <w:style w:type="paragraph" w:styleId="Title">
    <w:name w:val="Title"/>
    <w:basedOn w:val="Normal"/>
    <w:next w:val="Normal"/>
    <w:link w:val="TitleChar"/>
    <w:uiPriority w:val="10"/>
    <w:qFormat/>
    <w:rsid w:val="00404B96"/>
    <w:pPr>
      <w:jc w:val="center"/>
    </w:pPr>
    <w:rPr>
      <w:sz w:val="56"/>
      <w:szCs w:val="56"/>
    </w:rPr>
  </w:style>
  <w:style w:type="character" w:customStyle="1" w:styleId="TitleChar">
    <w:name w:val="Title Char"/>
    <w:basedOn w:val="DefaultParagraphFont"/>
    <w:link w:val="Title"/>
    <w:uiPriority w:val="10"/>
    <w:rsid w:val="00404B96"/>
    <w:rPr>
      <w:sz w:val="56"/>
      <w:szCs w:val="56"/>
    </w:rPr>
  </w:style>
  <w:style w:type="paragraph" w:styleId="TOCHeading">
    <w:name w:val="TOC Heading"/>
    <w:basedOn w:val="Heading1"/>
    <w:next w:val="Normal"/>
    <w:uiPriority w:val="39"/>
    <w:unhideWhenUsed/>
    <w:qFormat/>
    <w:rsid w:val="00404B96"/>
    <w:pPr>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404B96"/>
    <w:pPr>
      <w:spacing w:after="100"/>
    </w:pPr>
  </w:style>
  <w:style w:type="character" w:styleId="Hyperlink">
    <w:name w:val="Hyperlink"/>
    <w:basedOn w:val="DefaultParagraphFont"/>
    <w:uiPriority w:val="99"/>
    <w:unhideWhenUsed/>
    <w:rsid w:val="00404B96"/>
    <w:rPr>
      <w:color w:val="0000FF" w:themeColor="hyperlink"/>
      <w:u w:val="single"/>
    </w:rPr>
  </w:style>
  <w:style w:type="paragraph" w:styleId="BalloonText">
    <w:name w:val="Balloon Text"/>
    <w:basedOn w:val="Normal"/>
    <w:link w:val="BalloonTextChar"/>
    <w:uiPriority w:val="99"/>
    <w:semiHidden/>
    <w:unhideWhenUsed/>
    <w:rsid w:val="0040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B96"/>
    <w:rPr>
      <w:rFonts w:ascii="Tahoma" w:hAnsi="Tahoma" w:cs="Tahoma"/>
      <w:sz w:val="16"/>
      <w:szCs w:val="16"/>
    </w:rPr>
  </w:style>
  <w:style w:type="paragraph" w:styleId="Quote">
    <w:name w:val="Quote"/>
    <w:basedOn w:val="Normal"/>
    <w:next w:val="Normal"/>
    <w:link w:val="QuoteChar"/>
    <w:uiPriority w:val="29"/>
    <w:qFormat/>
    <w:rsid w:val="00BF37B1"/>
    <w:pPr>
      <w:ind w:left="720"/>
    </w:pPr>
    <w:rPr>
      <w:i/>
    </w:rPr>
  </w:style>
  <w:style w:type="character" w:customStyle="1" w:styleId="QuoteChar">
    <w:name w:val="Quote Char"/>
    <w:basedOn w:val="DefaultParagraphFont"/>
    <w:link w:val="Quote"/>
    <w:uiPriority w:val="29"/>
    <w:rsid w:val="00BF37B1"/>
    <w:rPr>
      <w:i/>
      <w:sz w:val="24"/>
      <w:szCs w:val="24"/>
    </w:rPr>
  </w:style>
  <w:style w:type="paragraph" w:styleId="ListParagraph">
    <w:name w:val="List Paragraph"/>
    <w:basedOn w:val="Normal"/>
    <w:qFormat/>
    <w:rsid w:val="00BF37B1"/>
    <w:pPr>
      <w:ind w:left="720"/>
      <w:contextualSpacing/>
    </w:pPr>
  </w:style>
  <w:style w:type="paragraph" w:styleId="EndnoteText">
    <w:name w:val="endnote text"/>
    <w:basedOn w:val="Normal"/>
    <w:link w:val="EndnoteTextChar"/>
    <w:uiPriority w:val="99"/>
    <w:semiHidden/>
    <w:unhideWhenUsed/>
    <w:rsid w:val="001570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094"/>
    <w:rPr>
      <w:sz w:val="20"/>
      <w:szCs w:val="20"/>
    </w:rPr>
  </w:style>
  <w:style w:type="character" w:styleId="EndnoteReference">
    <w:name w:val="endnote reference"/>
    <w:basedOn w:val="DefaultParagraphFont"/>
    <w:uiPriority w:val="99"/>
    <w:semiHidden/>
    <w:unhideWhenUsed/>
    <w:rsid w:val="00157094"/>
    <w:rPr>
      <w:vertAlign w:val="superscript"/>
    </w:rPr>
  </w:style>
  <w:style w:type="paragraph" w:styleId="FootnoteText">
    <w:name w:val="footnote text"/>
    <w:basedOn w:val="Normal"/>
    <w:link w:val="FootnoteTextChar"/>
    <w:unhideWhenUsed/>
    <w:rsid w:val="001570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094"/>
    <w:rPr>
      <w:sz w:val="20"/>
      <w:szCs w:val="20"/>
    </w:rPr>
  </w:style>
  <w:style w:type="character" w:styleId="FootnoteReference">
    <w:name w:val="footnote reference"/>
    <w:basedOn w:val="DefaultParagraphFont"/>
    <w:unhideWhenUsed/>
    <w:rsid w:val="00157094"/>
    <w:rPr>
      <w:vertAlign w:val="superscript"/>
    </w:rPr>
  </w:style>
  <w:style w:type="character" w:customStyle="1" w:styleId="Heading2Char">
    <w:name w:val="Heading 2 Char"/>
    <w:basedOn w:val="DefaultParagraphFont"/>
    <w:link w:val="Heading2"/>
    <w:uiPriority w:val="9"/>
    <w:rsid w:val="001F1A7F"/>
    <w:rPr>
      <w:rFonts w:eastAsiaTheme="majorEastAsia" w:cstheme="majorBidi"/>
      <w:bCs/>
      <w:sz w:val="32"/>
      <w:szCs w:val="32"/>
    </w:rPr>
  </w:style>
  <w:style w:type="paragraph" w:styleId="TOC2">
    <w:name w:val="toc 2"/>
    <w:basedOn w:val="Normal"/>
    <w:next w:val="Normal"/>
    <w:autoRedefine/>
    <w:uiPriority w:val="39"/>
    <w:unhideWhenUsed/>
    <w:rsid w:val="001F1A7F"/>
    <w:pPr>
      <w:spacing w:after="100"/>
      <w:ind w:left="240"/>
    </w:pPr>
  </w:style>
  <w:style w:type="character" w:customStyle="1" w:styleId="Normal1">
    <w:name w:val="Normal1"/>
    <w:rsid w:val="009F1EB1"/>
    <w:rPr>
      <w:rFonts w:ascii="Gautami" w:hAnsi="Gautami"/>
      <w:color w:val="00000A"/>
      <w:sz w:val="20"/>
    </w:rPr>
  </w:style>
  <w:style w:type="character" w:customStyle="1" w:styleId="FootnoteCharacters">
    <w:name w:val="Footnote Characters"/>
    <w:rsid w:val="009F1EB1"/>
  </w:style>
  <w:style w:type="character" w:customStyle="1" w:styleId="Heading3Char">
    <w:name w:val="Heading 3 Char"/>
    <w:basedOn w:val="DefaultParagraphFont"/>
    <w:link w:val="Heading3"/>
    <w:uiPriority w:val="9"/>
    <w:semiHidden/>
    <w:rsid w:val="009F1EB1"/>
    <w:rPr>
      <w:rFonts w:asciiTheme="majorHAnsi" w:eastAsiaTheme="majorEastAsia" w:hAnsiTheme="majorHAnsi" w:cstheme="majorBidi"/>
      <w:color w:val="243F60" w:themeColor="accent1" w:themeShade="7F"/>
      <w:sz w:val="24"/>
      <w:szCs w:val="24"/>
    </w:rPr>
  </w:style>
  <w:style w:type="paragraph" w:styleId="Caption">
    <w:name w:val="caption"/>
    <w:basedOn w:val="Normal"/>
    <w:qFormat/>
    <w:rsid w:val="009F1EB1"/>
    <w:pPr>
      <w:suppressLineNumbers/>
      <w:suppressAutoHyphens/>
      <w:spacing w:before="120" w:after="120" w:line="100" w:lineRule="atLeast"/>
    </w:pPr>
    <w:rPr>
      <w:rFonts w:ascii="Calibri" w:eastAsia="Times New Roman" w:hAnsi="Calibri" w:cs="Mangal"/>
      <w:i/>
      <w:iCs/>
      <w:color w:val="000000"/>
      <w:kern w:val="1"/>
      <w:lang w:eastAsia="ar-SA"/>
    </w:rPr>
  </w:style>
  <w:style w:type="character" w:customStyle="1" w:styleId="apple-converted-space">
    <w:name w:val="apple-converted-space"/>
    <w:basedOn w:val="DefaultParagraphFont"/>
    <w:rsid w:val="00061875"/>
  </w:style>
  <w:style w:type="paragraph" w:styleId="PlainText">
    <w:name w:val="Plain Text"/>
    <w:basedOn w:val="Normal"/>
    <w:link w:val="PlainTextChar"/>
    <w:uiPriority w:val="99"/>
    <w:unhideWhenUsed/>
    <w:rsid w:val="006A5DA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6A5DA1"/>
    <w:rPr>
      <w:rFonts w:ascii="Calibri" w:hAnsi="Calibri"/>
      <w:szCs w:val="21"/>
    </w:rPr>
  </w:style>
  <w:style w:type="table" w:styleId="TableGrid">
    <w:name w:val="Table Grid"/>
    <w:basedOn w:val="TableNormal"/>
    <w:uiPriority w:val="39"/>
    <w:rsid w:val="00C0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00264">
      <w:bodyDiv w:val="1"/>
      <w:marLeft w:val="0"/>
      <w:marRight w:val="0"/>
      <w:marTop w:val="0"/>
      <w:marBottom w:val="0"/>
      <w:divBdr>
        <w:top w:val="none" w:sz="0" w:space="0" w:color="auto"/>
        <w:left w:val="none" w:sz="0" w:space="0" w:color="auto"/>
        <w:bottom w:val="none" w:sz="0" w:space="0" w:color="auto"/>
        <w:right w:val="none" w:sz="0" w:space="0" w:color="auto"/>
      </w:divBdr>
    </w:div>
    <w:div w:id="951403256">
      <w:bodyDiv w:val="1"/>
      <w:marLeft w:val="0"/>
      <w:marRight w:val="0"/>
      <w:marTop w:val="0"/>
      <w:marBottom w:val="0"/>
      <w:divBdr>
        <w:top w:val="none" w:sz="0" w:space="0" w:color="auto"/>
        <w:left w:val="none" w:sz="0" w:space="0" w:color="auto"/>
        <w:bottom w:val="none" w:sz="0" w:space="0" w:color="auto"/>
        <w:right w:val="none" w:sz="0" w:space="0" w:color="auto"/>
      </w:divBdr>
    </w:div>
    <w:div w:id="1241409347">
      <w:bodyDiv w:val="1"/>
      <w:marLeft w:val="0"/>
      <w:marRight w:val="0"/>
      <w:marTop w:val="0"/>
      <w:marBottom w:val="0"/>
      <w:divBdr>
        <w:top w:val="none" w:sz="0" w:space="0" w:color="auto"/>
        <w:left w:val="none" w:sz="0" w:space="0" w:color="auto"/>
        <w:bottom w:val="none" w:sz="0" w:space="0" w:color="auto"/>
        <w:right w:val="none" w:sz="0" w:space="0" w:color="auto"/>
      </w:divBdr>
    </w:div>
    <w:div w:id="1422410098">
      <w:bodyDiv w:val="1"/>
      <w:marLeft w:val="0"/>
      <w:marRight w:val="0"/>
      <w:marTop w:val="0"/>
      <w:marBottom w:val="0"/>
      <w:divBdr>
        <w:top w:val="none" w:sz="0" w:space="0" w:color="auto"/>
        <w:left w:val="none" w:sz="0" w:space="0" w:color="auto"/>
        <w:bottom w:val="none" w:sz="0" w:space="0" w:color="auto"/>
        <w:right w:val="none" w:sz="0" w:space="0" w:color="auto"/>
      </w:divBdr>
    </w:div>
    <w:div w:id="17687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b:Tag>
    <b:SourceType>Book</b:SourceType>
    <b:Guid>{7CCB3C87-E9CD-4BE2-8816-3648B70AC6C2}</b:Guid>
    <b:Author>
      <b:Author>
        <b:NameList>
          <b:Person>
            <b:Last>Person</b:Last>
          </b:Person>
        </b:NameList>
      </b:Author>
    </b:Author>
    <b:Title>Blah</b:Title>
    <b:RefOrder>2</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07D8C489-5B50-47A0-BD03-593F4A05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4E14302F</Template>
  <TotalTime>0</TotalTime>
  <Pages>4</Pages>
  <Words>929</Words>
  <Characters>4685</Characters>
  <Application>Microsoft Office Word</Application>
  <DocSecurity>4</DocSecurity>
  <Lines>275</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Lachlan Macleod</dc:creator>
  <cp:lastModifiedBy>Coronel, Danielle</cp:lastModifiedBy>
  <cp:revision>2</cp:revision>
  <cp:lastPrinted>2015-06-01T07:22:00Z</cp:lastPrinted>
  <dcterms:created xsi:type="dcterms:W3CDTF">2016-08-04T05:04:00Z</dcterms:created>
  <dcterms:modified xsi:type="dcterms:W3CDTF">2016-08-04T05:04:00Z</dcterms:modified>
</cp:coreProperties>
</file>