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color w:val="000000" w:themeColor="text1"/>
          <w:kern w:val="0"/>
          <w:sz w:val="21"/>
          <w:szCs w:val="21"/>
        </w:rPr>
        <w:id w:val="-458037949"/>
        <w:docPartObj>
          <w:docPartGallery w:val="Cover Pages"/>
          <w:docPartUnique/>
        </w:docPartObj>
      </w:sdtPr>
      <w:sdtEndPr/>
      <w:sdtContent>
        <w:p w14:paraId="31F4A6EF" w14:textId="186FC113" w:rsidR="00253F78" w:rsidRPr="00267190" w:rsidRDefault="00253F78" w:rsidP="00EE0A14">
          <w:pPr>
            <w:pStyle w:val="Title"/>
          </w:pPr>
          <w:r>
            <w:rPr>
              <w:noProof/>
              <w:lang w:eastAsia="en-AU"/>
            </w:rPr>
            <w:drawing>
              <wp:anchor distT="0" distB="0" distL="114300" distR="114300" simplePos="0" relativeHeight="251663360" behindDoc="1" locked="0" layoutInCell="1" allowOverlap="1" wp14:anchorId="7E1392E8" wp14:editId="4FF7C232">
                <wp:simplePos x="0" y="0"/>
                <wp:positionH relativeFrom="page">
                  <wp:align>left</wp:align>
                </wp:positionH>
                <wp:positionV relativeFrom="page">
                  <wp:align>top</wp:align>
                </wp:positionV>
                <wp:extent cx="7560000" cy="10695600"/>
                <wp:effectExtent l="0" t="0" r="3175" b="0"/>
                <wp:wrapNone/>
                <wp:docPr id="28" name="Picture 2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267190">
            <w:rPr>
              <w:noProof/>
              <w:lang w:eastAsia="en-AU"/>
            </w:rPr>
            <mc:AlternateContent>
              <mc:Choice Requires="wps">
                <w:drawing>
                  <wp:anchor distT="0" distB="0" distL="114300" distR="114300" simplePos="0" relativeHeight="251659264" behindDoc="1" locked="0" layoutInCell="1" allowOverlap="1" wp14:anchorId="6EE1D200" wp14:editId="68424208">
                    <wp:simplePos x="0" y="0"/>
                    <wp:positionH relativeFrom="page">
                      <wp:align>left</wp:align>
                    </wp:positionH>
                    <wp:positionV relativeFrom="page">
                      <wp:align>top</wp:align>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DD70" id="Rectangle 27"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" fillcolor="white [3212]" stroked="f" strokeweight="1pt">
                    <w10:wrap anchorx="page" anchory="page"/>
                  </v:rect>
                </w:pict>
              </mc:Fallback>
            </mc:AlternateContent>
          </w:r>
          <w:r w:rsidRPr="00267190">
            <w:rPr>
              <w:noProof/>
              <w:lang w:eastAsia="en-AU"/>
            </w:rPr>
            <w:drawing>
              <wp:anchor distT="0" distB="0" distL="114300" distR="114300" simplePos="0" relativeHeight="251660288" behindDoc="0" locked="0" layoutInCell="1" allowOverlap="1" wp14:anchorId="50EC2CCF" wp14:editId="0F7FDD5D">
                <wp:simplePos x="0" y="0"/>
                <wp:positionH relativeFrom="margin">
                  <wp:align>right</wp:align>
                </wp:positionH>
                <wp:positionV relativeFrom="page">
                  <wp:posOffset>720090</wp:posOffset>
                </wp:positionV>
                <wp:extent cx="1929600" cy="15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600" cy="154800"/>
                        </a:xfrm>
                        <a:prstGeom prst="rect">
                          <a:avLst/>
                        </a:prstGeom>
                      </pic:spPr>
                    </pic:pic>
                  </a:graphicData>
                </a:graphic>
                <wp14:sizeRelH relativeFrom="margin">
                  <wp14:pctWidth>0</wp14:pctWidth>
                </wp14:sizeRelH>
                <wp14:sizeRelV relativeFrom="margin">
                  <wp14:pctHeight>0</wp14:pctHeight>
                </wp14:sizeRelV>
              </wp:anchor>
            </w:drawing>
          </w:r>
          <w:r w:rsidRPr="00267190">
            <w:rPr>
              <w:noProof/>
              <w:lang w:eastAsia="en-AU"/>
            </w:rPr>
            <w:drawing>
              <wp:anchor distT="0" distB="0" distL="114300" distR="114300" simplePos="0" relativeHeight="251661312" behindDoc="0" locked="0" layoutInCell="1" allowOverlap="1" wp14:anchorId="375BFC4C" wp14:editId="5EEABC56">
                <wp:simplePos x="0" y="0"/>
                <wp:positionH relativeFrom="margin">
                  <wp:posOffset>-635</wp:posOffset>
                </wp:positionH>
                <wp:positionV relativeFrom="page">
                  <wp:posOffset>396240</wp:posOffset>
                </wp:positionV>
                <wp:extent cx="1839600" cy="565200"/>
                <wp:effectExtent l="0" t="0" r="825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839600" cy="565200"/>
                        </a:xfrm>
                        <a:prstGeom prst="rect">
                          <a:avLst/>
                        </a:prstGeom>
                      </pic:spPr>
                    </pic:pic>
                  </a:graphicData>
                </a:graphic>
                <wp14:sizeRelH relativeFrom="margin">
                  <wp14:pctWidth>0</wp14:pctWidth>
                </wp14:sizeRelH>
                <wp14:sizeRelV relativeFrom="margin">
                  <wp14:pctHeight>0</wp14:pctHeight>
                </wp14:sizeRelV>
              </wp:anchor>
            </w:drawing>
          </w:r>
          <w:sdt>
            <w:sdtPr>
              <w:id w:val="-949153502"/>
              <w:picture/>
            </w:sdtPr>
            <w:sdtEndPr/>
            <w:sdtContent/>
          </w:sdt>
          <w:r>
            <w:rPr>
              <w:noProof/>
              <w:lang w:eastAsia="en-AU"/>
            </w:rPr>
            <w:drawing>
              <wp:anchor distT="0" distB="0" distL="114300" distR="114300" simplePos="0" relativeHeight="251662336" behindDoc="1" locked="0" layoutInCell="1" allowOverlap="1" wp14:anchorId="6E480914" wp14:editId="5C913C4D">
                <wp:simplePos x="0" y="0"/>
                <wp:positionH relativeFrom="page">
                  <wp:align>left</wp:align>
                </wp:positionH>
                <wp:positionV relativeFrom="page">
                  <wp:align>top</wp:align>
                </wp:positionV>
                <wp:extent cx="7560000" cy="8809200"/>
                <wp:effectExtent l="0" t="0" r="3175"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8809200"/>
                        </a:xfrm>
                        <a:prstGeom prst="rect">
                          <a:avLst/>
                        </a:prstGeom>
                      </pic:spPr>
                    </pic:pic>
                  </a:graphicData>
                </a:graphic>
                <wp14:sizeRelH relativeFrom="margin">
                  <wp14:pctWidth>0</wp14:pctWidth>
                </wp14:sizeRelH>
                <wp14:sizeRelV relativeFrom="margin">
                  <wp14:pctHeight>0</wp14:pctHeight>
                </wp14:sizeRelV>
              </wp:anchor>
            </w:drawing>
          </w:r>
          <w:r w:rsidR="002F0CF1">
            <w:t>Regulatory Information Notice</w:t>
          </w:r>
        </w:p>
        <w:p w14:paraId="11B4DE5E" w14:textId="3DAE80F4" w:rsidR="00253F78" w:rsidRDefault="002F0CF1" w:rsidP="002233C9">
          <w:pPr>
            <w:pStyle w:val="Subtitle"/>
          </w:pPr>
          <w:r>
            <w:t>Economic Benchmarking 2020/21</w:t>
          </w:r>
        </w:p>
        <w:p w14:paraId="62C370D2" w14:textId="3E901D97" w:rsidR="00253F78" w:rsidRDefault="00E3057C" w:rsidP="004B2227">
          <w:r>
            <w:t>29</w:t>
          </w:r>
          <w:r w:rsidR="00AE7F35">
            <w:t xml:space="preserve"> October</w:t>
          </w:r>
          <w:r w:rsidR="002F0CF1">
            <w:t xml:space="preserve"> 2021</w:t>
          </w:r>
        </w:p>
        <w:p w14:paraId="7ECC1CB9" w14:textId="77777777" w:rsidR="00253F78" w:rsidRDefault="00253F78">
          <w:r>
            <w:br w:type="page"/>
          </w:r>
        </w:p>
      </w:sdtContent>
    </w:sdt>
    <w:p w14:paraId="7776EFBF" w14:textId="77777777" w:rsidR="002D7DF6" w:rsidRDefault="00E30372" w:rsidP="00E30372">
      <w:pPr>
        <w:pStyle w:val="TOCHeading"/>
      </w:pPr>
      <w:r>
        <w:lastRenderedPageBreak/>
        <w:t>Contents</w:t>
      </w:r>
    </w:p>
    <w:p w14:paraId="1337C329" w14:textId="4A338040" w:rsidR="00293546" w:rsidRDefault="004D1559">
      <w:pPr>
        <w:pStyle w:val="TOC1"/>
        <w:rPr>
          <w:rFonts w:eastAsiaTheme="minorEastAsia"/>
          <w:b w:val="0"/>
          <w:noProof/>
          <w:color w:val="auto"/>
          <w:sz w:val="22"/>
          <w:szCs w:val="22"/>
          <w:lang w:eastAsia="en-AU"/>
        </w:rPr>
      </w:pPr>
      <w:r>
        <w:rPr>
          <w:sz w:val="30"/>
        </w:rPr>
        <w:fldChar w:fldCharType="begin"/>
      </w:r>
      <w:r w:rsidRPr="0010435C">
        <w:instrText xml:space="preserve"> TOC \o "1-3" \h \z \u \t "Heading 8,1,Heading 9,2" </w:instrText>
      </w:r>
      <w:r>
        <w:rPr>
          <w:sz w:val="30"/>
        </w:rPr>
        <w:fldChar w:fldCharType="separate"/>
      </w:r>
      <w:hyperlink w:anchor="_Toc84499713" w:history="1">
        <w:r w:rsidR="00293546" w:rsidRPr="00FE1EE4">
          <w:rPr>
            <w:rStyle w:val="Hyperlink"/>
            <w:noProof/>
          </w:rPr>
          <w:t>1. Introduction</w:t>
        </w:r>
        <w:r w:rsidR="00293546">
          <w:rPr>
            <w:noProof/>
            <w:webHidden/>
          </w:rPr>
          <w:tab/>
        </w:r>
        <w:r w:rsidR="00293546">
          <w:rPr>
            <w:noProof/>
            <w:webHidden/>
          </w:rPr>
          <w:fldChar w:fldCharType="begin"/>
        </w:r>
        <w:r w:rsidR="00293546">
          <w:rPr>
            <w:noProof/>
            <w:webHidden/>
          </w:rPr>
          <w:instrText xml:space="preserve"> PAGEREF _Toc84499713 \h </w:instrText>
        </w:r>
        <w:r w:rsidR="00293546">
          <w:rPr>
            <w:noProof/>
            <w:webHidden/>
          </w:rPr>
        </w:r>
        <w:r w:rsidR="00293546">
          <w:rPr>
            <w:noProof/>
            <w:webHidden/>
          </w:rPr>
          <w:fldChar w:fldCharType="separate"/>
        </w:r>
        <w:r w:rsidR="00293546">
          <w:rPr>
            <w:noProof/>
            <w:webHidden/>
          </w:rPr>
          <w:t>2</w:t>
        </w:r>
        <w:r w:rsidR="00293546">
          <w:rPr>
            <w:noProof/>
            <w:webHidden/>
          </w:rPr>
          <w:fldChar w:fldCharType="end"/>
        </w:r>
      </w:hyperlink>
    </w:p>
    <w:p w14:paraId="5D46C65F" w14:textId="421BC5ED" w:rsidR="00293546" w:rsidRDefault="00CB6D75">
      <w:pPr>
        <w:pStyle w:val="TOC1"/>
        <w:rPr>
          <w:rFonts w:eastAsiaTheme="minorEastAsia"/>
          <w:b w:val="0"/>
          <w:noProof/>
          <w:color w:val="auto"/>
          <w:sz w:val="22"/>
          <w:szCs w:val="22"/>
          <w:lang w:eastAsia="en-AU"/>
        </w:rPr>
      </w:pPr>
      <w:hyperlink w:anchor="_Toc84499714" w:history="1">
        <w:r w:rsidR="00293546" w:rsidRPr="00FE1EE4">
          <w:rPr>
            <w:rStyle w:val="Hyperlink"/>
            <w:noProof/>
          </w:rPr>
          <w:t>2. Compliance with the RIN Requirements</w:t>
        </w:r>
        <w:r w:rsidR="00293546">
          <w:rPr>
            <w:noProof/>
            <w:webHidden/>
          </w:rPr>
          <w:tab/>
        </w:r>
        <w:r w:rsidR="00293546">
          <w:rPr>
            <w:noProof/>
            <w:webHidden/>
          </w:rPr>
          <w:fldChar w:fldCharType="begin"/>
        </w:r>
        <w:r w:rsidR="00293546">
          <w:rPr>
            <w:noProof/>
            <w:webHidden/>
          </w:rPr>
          <w:instrText xml:space="preserve"> PAGEREF _Toc84499714 \h </w:instrText>
        </w:r>
        <w:r w:rsidR="00293546">
          <w:rPr>
            <w:noProof/>
            <w:webHidden/>
          </w:rPr>
        </w:r>
        <w:r w:rsidR="00293546">
          <w:rPr>
            <w:noProof/>
            <w:webHidden/>
          </w:rPr>
          <w:fldChar w:fldCharType="separate"/>
        </w:r>
        <w:r w:rsidR="00293546">
          <w:rPr>
            <w:noProof/>
            <w:webHidden/>
          </w:rPr>
          <w:t>3</w:t>
        </w:r>
        <w:r w:rsidR="00293546">
          <w:rPr>
            <w:noProof/>
            <w:webHidden/>
          </w:rPr>
          <w:fldChar w:fldCharType="end"/>
        </w:r>
      </w:hyperlink>
    </w:p>
    <w:p w14:paraId="7F35197A" w14:textId="0B920195" w:rsidR="00293546" w:rsidRDefault="00CB6D75">
      <w:pPr>
        <w:pStyle w:val="TOC1"/>
        <w:rPr>
          <w:rFonts w:eastAsiaTheme="minorEastAsia"/>
          <w:b w:val="0"/>
          <w:noProof/>
          <w:color w:val="auto"/>
          <w:sz w:val="22"/>
          <w:szCs w:val="22"/>
          <w:lang w:eastAsia="en-AU"/>
        </w:rPr>
      </w:pPr>
      <w:hyperlink w:anchor="_Toc84499715" w:history="1">
        <w:r w:rsidR="00293546" w:rsidRPr="00FE1EE4">
          <w:rPr>
            <w:rStyle w:val="Hyperlink"/>
            <w:noProof/>
          </w:rPr>
          <w:t>3. Preparation Process</w:t>
        </w:r>
        <w:r w:rsidR="00293546">
          <w:rPr>
            <w:noProof/>
            <w:webHidden/>
          </w:rPr>
          <w:tab/>
        </w:r>
        <w:r w:rsidR="00293546">
          <w:rPr>
            <w:noProof/>
            <w:webHidden/>
          </w:rPr>
          <w:fldChar w:fldCharType="begin"/>
        </w:r>
        <w:r w:rsidR="00293546">
          <w:rPr>
            <w:noProof/>
            <w:webHidden/>
          </w:rPr>
          <w:instrText xml:space="preserve"> PAGEREF _Toc84499715 \h </w:instrText>
        </w:r>
        <w:r w:rsidR="00293546">
          <w:rPr>
            <w:noProof/>
            <w:webHidden/>
          </w:rPr>
        </w:r>
        <w:r w:rsidR="00293546">
          <w:rPr>
            <w:noProof/>
            <w:webHidden/>
          </w:rPr>
          <w:fldChar w:fldCharType="separate"/>
        </w:r>
        <w:r w:rsidR="00293546">
          <w:rPr>
            <w:noProof/>
            <w:webHidden/>
          </w:rPr>
          <w:t>6</w:t>
        </w:r>
        <w:r w:rsidR="00293546">
          <w:rPr>
            <w:noProof/>
            <w:webHidden/>
          </w:rPr>
          <w:fldChar w:fldCharType="end"/>
        </w:r>
      </w:hyperlink>
    </w:p>
    <w:p w14:paraId="331F5DE6" w14:textId="20987D6E" w:rsidR="00293546" w:rsidRDefault="00CB6D75">
      <w:pPr>
        <w:pStyle w:val="TOC2"/>
        <w:rPr>
          <w:rFonts w:eastAsiaTheme="minorEastAsia"/>
          <w:noProof/>
          <w:color w:val="auto"/>
          <w:sz w:val="22"/>
          <w:szCs w:val="22"/>
          <w:lang w:eastAsia="en-AU"/>
        </w:rPr>
      </w:pPr>
      <w:hyperlink w:anchor="_Toc84499716" w:history="1">
        <w:r w:rsidR="00293546" w:rsidRPr="00FE1EE4">
          <w:rPr>
            <w:rStyle w:val="Hyperlink"/>
            <w:noProof/>
          </w:rPr>
          <w:t>3.1 Document Control</w:t>
        </w:r>
        <w:r w:rsidR="00293546">
          <w:rPr>
            <w:noProof/>
            <w:webHidden/>
          </w:rPr>
          <w:tab/>
        </w:r>
        <w:r w:rsidR="00293546">
          <w:rPr>
            <w:noProof/>
            <w:webHidden/>
          </w:rPr>
          <w:fldChar w:fldCharType="begin"/>
        </w:r>
        <w:r w:rsidR="00293546">
          <w:rPr>
            <w:noProof/>
            <w:webHidden/>
          </w:rPr>
          <w:instrText xml:space="preserve"> PAGEREF _Toc84499716 \h </w:instrText>
        </w:r>
        <w:r w:rsidR="00293546">
          <w:rPr>
            <w:noProof/>
            <w:webHidden/>
          </w:rPr>
        </w:r>
        <w:r w:rsidR="00293546">
          <w:rPr>
            <w:noProof/>
            <w:webHidden/>
          </w:rPr>
          <w:fldChar w:fldCharType="separate"/>
        </w:r>
        <w:r w:rsidR="00293546">
          <w:rPr>
            <w:noProof/>
            <w:webHidden/>
          </w:rPr>
          <w:t>6</w:t>
        </w:r>
        <w:r w:rsidR="00293546">
          <w:rPr>
            <w:noProof/>
            <w:webHidden/>
          </w:rPr>
          <w:fldChar w:fldCharType="end"/>
        </w:r>
      </w:hyperlink>
    </w:p>
    <w:p w14:paraId="55620EB4" w14:textId="32C4176E" w:rsidR="00293546" w:rsidRDefault="00CB6D75">
      <w:pPr>
        <w:pStyle w:val="TOC2"/>
        <w:rPr>
          <w:rFonts w:eastAsiaTheme="minorEastAsia"/>
          <w:noProof/>
          <w:color w:val="auto"/>
          <w:sz w:val="22"/>
          <w:szCs w:val="22"/>
          <w:lang w:eastAsia="en-AU"/>
        </w:rPr>
      </w:pPr>
      <w:hyperlink w:anchor="_Toc84499717" w:history="1">
        <w:r w:rsidR="00293546" w:rsidRPr="00FE1EE4">
          <w:rPr>
            <w:rStyle w:val="Hyperlink"/>
            <w:noProof/>
          </w:rPr>
          <w:t>3.2 Governance</w:t>
        </w:r>
        <w:r w:rsidR="00293546">
          <w:rPr>
            <w:noProof/>
            <w:webHidden/>
          </w:rPr>
          <w:tab/>
        </w:r>
        <w:r w:rsidR="00293546">
          <w:rPr>
            <w:noProof/>
            <w:webHidden/>
          </w:rPr>
          <w:fldChar w:fldCharType="begin"/>
        </w:r>
        <w:r w:rsidR="00293546">
          <w:rPr>
            <w:noProof/>
            <w:webHidden/>
          </w:rPr>
          <w:instrText xml:space="preserve"> PAGEREF _Toc84499717 \h </w:instrText>
        </w:r>
        <w:r w:rsidR="00293546">
          <w:rPr>
            <w:noProof/>
            <w:webHidden/>
          </w:rPr>
        </w:r>
        <w:r w:rsidR="00293546">
          <w:rPr>
            <w:noProof/>
            <w:webHidden/>
          </w:rPr>
          <w:fldChar w:fldCharType="separate"/>
        </w:r>
        <w:r w:rsidR="00293546">
          <w:rPr>
            <w:noProof/>
            <w:webHidden/>
          </w:rPr>
          <w:t>6</w:t>
        </w:r>
        <w:r w:rsidR="00293546">
          <w:rPr>
            <w:noProof/>
            <w:webHidden/>
          </w:rPr>
          <w:fldChar w:fldCharType="end"/>
        </w:r>
      </w:hyperlink>
    </w:p>
    <w:p w14:paraId="2DDAFA8A" w14:textId="56C431A9" w:rsidR="00293546" w:rsidRDefault="00CB6D75">
      <w:pPr>
        <w:pStyle w:val="TOC1"/>
        <w:rPr>
          <w:rFonts w:eastAsiaTheme="minorEastAsia"/>
          <w:b w:val="0"/>
          <w:noProof/>
          <w:color w:val="auto"/>
          <w:sz w:val="22"/>
          <w:szCs w:val="22"/>
          <w:lang w:eastAsia="en-AU"/>
        </w:rPr>
      </w:pPr>
      <w:hyperlink w:anchor="_Toc84499718" w:history="1">
        <w:r w:rsidR="00293546" w:rsidRPr="00FE1EE4">
          <w:rPr>
            <w:rStyle w:val="Hyperlink"/>
            <w:noProof/>
          </w:rPr>
          <w:t>4. Principles of Preparation</w:t>
        </w:r>
        <w:r w:rsidR="00293546">
          <w:rPr>
            <w:noProof/>
            <w:webHidden/>
          </w:rPr>
          <w:tab/>
        </w:r>
        <w:r w:rsidR="00293546">
          <w:rPr>
            <w:noProof/>
            <w:webHidden/>
          </w:rPr>
          <w:fldChar w:fldCharType="begin"/>
        </w:r>
        <w:r w:rsidR="00293546">
          <w:rPr>
            <w:noProof/>
            <w:webHidden/>
          </w:rPr>
          <w:instrText xml:space="preserve"> PAGEREF _Toc84499718 \h </w:instrText>
        </w:r>
        <w:r w:rsidR="00293546">
          <w:rPr>
            <w:noProof/>
            <w:webHidden/>
          </w:rPr>
        </w:r>
        <w:r w:rsidR="00293546">
          <w:rPr>
            <w:noProof/>
            <w:webHidden/>
          </w:rPr>
          <w:fldChar w:fldCharType="separate"/>
        </w:r>
        <w:r w:rsidR="00293546">
          <w:rPr>
            <w:noProof/>
            <w:webHidden/>
          </w:rPr>
          <w:t>7</w:t>
        </w:r>
        <w:r w:rsidR="00293546">
          <w:rPr>
            <w:noProof/>
            <w:webHidden/>
          </w:rPr>
          <w:fldChar w:fldCharType="end"/>
        </w:r>
      </w:hyperlink>
    </w:p>
    <w:p w14:paraId="44CA503B" w14:textId="398FADBA" w:rsidR="00293546" w:rsidRDefault="00CB6D75">
      <w:pPr>
        <w:pStyle w:val="TOC1"/>
        <w:rPr>
          <w:rFonts w:eastAsiaTheme="minorEastAsia"/>
          <w:b w:val="0"/>
          <w:noProof/>
          <w:color w:val="auto"/>
          <w:sz w:val="22"/>
          <w:szCs w:val="22"/>
          <w:lang w:eastAsia="en-AU"/>
        </w:rPr>
      </w:pPr>
      <w:hyperlink w:anchor="_Toc84499719" w:history="1">
        <w:r w:rsidR="00293546" w:rsidRPr="00FE1EE4">
          <w:rPr>
            <w:rStyle w:val="Hyperlink"/>
            <w:noProof/>
          </w:rPr>
          <w:t>5. Information Sources</w:t>
        </w:r>
        <w:r w:rsidR="00293546">
          <w:rPr>
            <w:noProof/>
            <w:webHidden/>
          </w:rPr>
          <w:tab/>
        </w:r>
        <w:r w:rsidR="00293546">
          <w:rPr>
            <w:noProof/>
            <w:webHidden/>
          </w:rPr>
          <w:fldChar w:fldCharType="begin"/>
        </w:r>
        <w:r w:rsidR="00293546">
          <w:rPr>
            <w:noProof/>
            <w:webHidden/>
          </w:rPr>
          <w:instrText xml:space="preserve"> PAGEREF _Toc84499719 \h </w:instrText>
        </w:r>
        <w:r w:rsidR="00293546">
          <w:rPr>
            <w:noProof/>
            <w:webHidden/>
          </w:rPr>
        </w:r>
        <w:r w:rsidR="00293546">
          <w:rPr>
            <w:noProof/>
            <w:webHidden/>
          </w:rPr>
          <w:fldChar w:fldCharType="separate"/>
        </w:r>
        <w:r w:rsidR="00293546">
          <w:rPr>
            <w:noProof/>
            <w:webHidden/>
          </w:rPr>
          <w:t>8</w:t>
        </w:r>
        <w:r w:rsidR="00293546">
          <w:rPr>
            <w:noProof/>
            <w:webHidden/>
          </w:rPr>
          <w:fldChar w:fldCharType="end"/>
        </w:r>
      </w:hyperlink>
    </w:p>
    <w:p w14:paraId="2074C7F2" w14:textId="636DD81B" w:rsidR="00293546" w:rsidRDefault="00CB6D75">
      <w:pPr>
        <w:pStyle w:val="TOC1"/>
        <w:rPr>
          <w:rFonts w:eastAsiaTheme="minorEastAsia"/>
          <w:b w:val="0"/>
          <w:noProof/>
          <w:color w:val="auto"/>
          <w:sz w:val="22"/>
          <w:szCs w:val="22"/>
          <w:lang w:eastAsia="en-AU"/>
        </w:rPr>
      </w:pPr>
      <w:hyperlink w:anchor="_Toc84499720" w:history="1">
        <w:r w:rsidR="00293546" w:rsidRPr="00FE1EE4">
          <w:rPr>
            <w:rStyle w:val="Hyperlink"/>
            <w:noProof/>
          </w:rPr>
          <w:t>6. Confidentiality Claims</w:t>
        </w:r>
        <w:r w:rsidR="00293546">
          <w:rPr>
            <w:noProof/>
            <w:webHidden/>
          </w:rPr>
          <w:tab/>
        </w:r>
        <w:r w:rsidR="00293546">
          <w:rPr>
            <w:noProof/>
            <w:webHidden/>
          </w:rPr>
          <w:fldChar w:fldCharType="begin"/>
        </w:r>
        <w:r w:rsidR="00293546">
          <w:rPr>
            <w:noProof/>
            <w:webHidden/>
          </w:rPr>
          <w:instrText xml:space="preserve"> PAGEREF _Toc84499720 \h </w:instrText>
        </w:r>
        <w:r w:rsidR="00293546">
          <w:rPr>
            <w:noProof/>
            <w:webHidden/>
          </w:rPr>
        </w:r>
        <w:r w:rsidR="00293546">
          <w:rPr>
            <w:noProof/>
            <w:webHidden/>
          </w:rPr>
          <w:fldChar w:fldCharType="separate"/>
        </w:r>
        <w:r w:rsidR="00293546">
          <w:rPr>
            <w:noProof/>
            <w:webHidden/>
          </w:rPr>
          <w:t>10</w:t>
        </w:r>
        <w:r w:rsidR="00293546">
          <w:rPr>
            <w:noProof/>
            <w:webHidden/>
          </w:rPr>
          <w:fldChar w:fldCharType="end"/>
        </w:r>
      </w:hyperlink>
    </w:p>
    <w:p w14:paraId="3B274098" w14:textId="27882804" w:rsidR="00293546" w:rsidRDefault="00CB6D75">
      <w:pPr>
        <w:pStyle w:val="TOC1"/>
        <w:rPr>
          <w:rFonts w:eastAsiaTheme="minorEastAsia"/>
          <w:b w:val="0"/>
          <w:noProof/>
          <w:color w:val="auto"/>
          <w:sz w:val="22"/>
          <w:szCs w:val="22"/>
          <w:lang w:eastAsia="en-AU"/>
        </w:rPr>
      </w:pPr>
      <w:hyperlink w:anchor="_Toc84499721" w:history="1">
        <w:r w:rsidR="00293546" w:rsidRPr="00FE1EE4">
          <w:rPr>
            <w:rStyle w:val="Hyperlink"/>
            <w:noProof/>
          </w:rPr>
          <w:t>7. Detailed Basis of Preparation</w:t>
        </w:r>
        <w:r w:rsidR="00293546">
          <w:rPr>
            <w:noProof/>
            <w:webHidden/>
          </w:rPr>
          <w:tab/>
        </w:r>
        <w:r w:rsidR="00293546">
          <w:rPr>
            <w:noProof/>
            <w:webHidden/>
          </w:rPr>
          <w:fldChar w:fldCharType="begin"/>
        </w:r>
        <w:r w:rsidR="00293546">
          <w:rPr>
            <w:noProof/>
            <w:webHidden/>
          </w:rPr>
          <w:instrText xml:space="preserve"> PAGEREF _Toc84499721 \h </w:instrText>
        </w:r>
        <w:r w:rsidR="00293546">
          <w:rPr>
            <w:noProof/>
            <w:webHidden/>
          </w:rPr>
        </w:r>
        <w:r w:rsidR="00293546">
          <w:rPr>
            <w:noProof/>
            <w:webHidden/>
          </w:rPr>
          <w:fldChar w:fldCharType="separate"/>
        </w:r>
        <w:r w:rsidR="00293546">
          <w:rPr>
            <w:noProof/>
            <w:webHidden/>
          </w:rPr>
          <w:t>11</w:t>
        </w:r>
        <w:r w:rsidR="00293546">
          <w:rPr>
            <w:noProof/>
            <w:webHidden/>
          </w:rPr>
          <w:fldChar w:fldCharType="end"/>
        </w:r>
      </w:hyperlink>
    </w:p>
    <w:p w14:paraId="6BE5CB1A" w14:textId="60B918D8" w:rsidR="00293546" w:rsidRDefault="00CB6D75">
      <w:pPr>
        <w:pStyle w:val="TOC2"/>
        <w:rPr>
          <w:rFonts w:eastAsiaTheme="minorEastAsia"/>
          <w:noProof/>
          <w:color w:val="auto"/>
          <w:sz w:val="22"/>
          <w:szCs w:val="22"/>
          <w:lang w:eastAsia="en-AU"/>
        </w:rPr>
      </w:pPr>
      <w:hyperlink w:anchor="_Toc84499722" w:history="1">
        <w:r w:rsidR="00293546" w:rsidRPr="00FE1EE4">
          <w:rPr>
            <w:rStyle w:val="Hyperlink"/>
            <w:noProof/>
          </w:rPr>
          <w:t>7.1 Contents Worksheet</w:t>
        </w:r>
        <w:r w:rsidR="00293546">
          <w:rPr>
            <w:noProof/>
            <w:webHidden/>
          </w:rPr>
          <w:tab/>
        </w:r>
        <w:r w:rsidR="00293546">
          <w:rPr>
            <w:noProof/>
            <w:webHidden/>
          </w:rPr>
          <w:fldChar w:fldCharType="begin"/>
        </w:r>
        <w:r w:rsidR="00293546">
          <w:rPr>
            <w:noProof/>
            <w:webHidden/>
          </w:rPr>
          <w:instrText xml:space="preserve"> PAGEREF _Toc84499722 \h </w:instrText>
        </w:r>
        <w:r w:rsidR="00293546">
          <w:rPr>
            <w:noProof/>
            <w:webHidden/>
          </w:rPr>
        </w:r>
        <w:r w:rsidR="00293546">
          <w:rPr>
            <w:noProof/>
            <w:webHidden/>
          </w:rPr>
          <w:fldChar w:fldCharType="separate"/>
        </w:r>
        <w:r w:rsidR="00293546">
          <w:rPr>
            <w:noProof/>
            <w:webHidden/>
          </w:rPr>
          <w:t>11</w:t>
        </w:r>
        <w:r w:rsidR="00293546">
          <w:rPr>
            <w:noProof/>
            <w:webHidden/>
          </w:rPr>
          <w:fldChar w:fldCharType="end"/>
        </w:r>
      </w:hyperlink>
    </w:p>
    <w:p w14:paraId="69AD9403" w14:textId="2C6DE778" w:rsidR="00293546" w:rsidRDefault="00CB6D75">
      <w:pPr>
        <w:pStyle w:val="TOC2"/>
        <w:rPr>
          <w:rFonts w:eastAsiaTheme="minorEastAsia"/>
          <w:noProof/>
          <w:color w:val="auto"/>
          <w:sz w:val="22"/>
          <w:szCs w:val="22"/>
          <w:lang w:eastAsia="en-AU"/>
        </w:rPr>
      </w:pPr>
      <w:hyperlink w:anchor="_Toc84499723" w:history="1">
        <w:r w:rsidR="00293546" w:rsidRPr="00FE1EE4">
          <w:rPr>
            <w:rStyle w:val="Hyperlink"/>
            <w:noProof/>
          </w:rPr>
          <w:t>7.2 Worksheet 1.0 Business &amp; Other Details</w:t>
        </w:r>
        <w:r w:rsidR="00293546">
          <w:rPr>
            <w:noProof/>
            <w:webHidden/>
          </w:rPr>
          <w:tab/>
        </w:r>
        <w:r w:rsidR="00293546">
          <w:rPr>
            <w:noProof/>
            <w:webHidden/>
          </w:rPr>
          <w:fldChar w:fldCharType="begin"/>
        </w:r>
        <w:r w:rsidR="00293546">
          <w:rPr>
            <w:noProof/>
            <w:webHidden/>
          </w:rPr>
          <w:instrText xml:space="preserve"> PAGEREF _Toc84499723 \h </w:instrText>
        </w:r>
        <w:r w:rsidR="00293546">
          <w:rPr>
            <w:noProof/>
            <w:webHidden/>
          </w:rPr>
        </w:r>
        <w:r w:rsidR="00293546">
          <w:rPr>
            <w:noProof/>
            <w:webHidden/>
          </w:rPr>
          <w:fldChar w:fldCharType="separate"/>
        </w:r>
        <w:r w:rsidR="00293546">
          <w:rPr>
            <w:noProof/>
            <w:webHidden/>
          </w:rPr>
          <w:t>11</w:t>
        </w:r>
        <w:r w:rsidR="00293546">
          <w:rPr>
            <w:noProof/>
            <w:webHidden/>
          </w:rPr>
          <w:fldChar w:fldCharType="end"/>
        </w:r>
      </w:hyperlink>
    </w:p>
    <w:p w14:paraId="431422C3" w14:textId="3B20843C" w:rsidR="00293546" w:rsidRDefault="00CB6D75">
      <w:pPr>
        <w:pStyle w:val="TOC2"/>
        <w:rPr>
          <w:rFonts w:eastAsiaTheme="minorEastAsia"/>
          <w:noProof/>
          <w:color w:val="auto"/>
          <w:sz w:val="22"/>
          <w:szCs w:val="22"/>
          <w:lang w:eastAsia="en-AU"/>
        </w:rPr>
      </w:pPr>
      <w:hyperlink w:anchor="_Toc84499724" w:history="1">
        <w:r w:rsidR="00293546" w:rsidRPr="00FE1EE4">
          <w:rPr>
            <w:rStyle w:val="Hyperlink"/>
            <w:noProof/>
          </w:rPr>
          <w:t>7.3 Worksheets 3.1 to 3.7</w:t>
        </w:r>
        <w:r w:rsidR="00293546">
          <w:rPr>
            <w:noProof/>
            <w:webHidden/>
          </w:rPr>
          <w:tab/>
        </w:r>
        <w:r w:rsidR="00293546">
          <w:rPr>
            <w:noProof/>
            <w:webHidden/>
          </w:rPr>
          <w:fldChar w:fldCharType="begin"/>
        </w:r>
        <w:r w:rsidR="00293546">
          <w:rPr>
            <w:noProof/>
            <w:webHidden/>
          </w:rPr>
          <w:instrText xml:space="preserve"> PAGEREF _Toc84499724 \h </w:instrText>
        </w:r>
        <w:r w:rsidR="00293546">
          <w:rPr>
            <w:noProof/>
            <w:webHidden/>
          </w:rPr>
        </w:r>
        <w:r w:rsidR="00293546">
          <w:rPr>
            <w:noProof/>
            <w:webHidden/>
          </w:rPr>
          <w:fldChar w:fldCharType="separate"/>
        </w:r>
        <w:r w:rsidR="00293546">
          <w:rPr>
            <w:noProof/>
            <w:webHidden/>
          </w:rPr>
          <w:t>11</w:t>
        </w:r>
        <w:r w:rsidR="00293546">
          <w:rPr>
            <w:noProof/>
            <w:webHidden/>
          </w:rPr>
          <w:fldChar w:fldCharType="end"/>
        </w:r>
      </w:hyperlink>
    </w:p>
    <w:p w14:paraId="76866D5A" w14:textId="4171DEF9" w:rsidR="00293546" w:rsidRDefault="00CB6D75">
      <w:pPr>
        <w:pStyle w:val="TOC3"/>
        <w:tabs>
          <w:tab w:val="left" w:pos="1100"/>
        </w:tabs>
        <w:rPr>
          <w:rFonts w:eastAsiaTheme="minorEastAsia"/>
          <w:noProof/>
          <w:color w:val="auto"/>
          <w:sz w:val="22"/>
          <w:szCs w:val="22"/>
          <w:lang w:eastAsia="en-AU"/>
        </w:rPr>
      </w:pPr>
      <w:hyperlink w:anchor="_Toc84499725" w:history="1">
        <w:r w:rsidR="00293546" w:rsidRPr="00FE1EE4">
          <w:rPr>
            <w:rStyle w:val="Hyperlink"/>
            <w:noProof/>
          </w:rPr>
          <w:t>7.3.1</w:t>
        </w:r>
        <w:r w:rsidR="00293546">
          <w:rPr>
            <w:rFonts w:eastAsiaTheme="minorEastAsia"/>
            <w:noProof/>
            <w:color w:val="auto"/>
            <w:sz w:val="22"/>
            <w:szCs w:val="22"/>
            <w:lang w:eastAsia="en-AU"/>
          </w:rPr>
          <w:tab/>
        </w:r>
        <w:r w:rsidR="00293546" w:rsidRPr="00FE1EE4">
          <w:rPr>
            <w:rStyle w:val="Hyperlink"/>
            <w:noProof/>
          </w:rPr>
          <w:t>Worksheet 3.1 Revenue</w:t>
        </w:r>
        <w:r w:rsidR="00293546">
          <w:rPr>
            <w:noProof/>
            <w:webHidden/>
          </w:rPr>
          <w:tab/>
        </w:r>
        <w:r w:rsidR="00293546">
          <w:rPr>
            <w:noProof/>
            <w:webHidden/>
          </w:rPr>
          <w:fldChar w:fldCharType="begin"/>
        </w:r>
        <w:r w:rsidR="00293546">
          <w:rPr>
            <w:noProof/>
            <w:webHidden/>
          </w:rPr>
          <w:instrText xml:space="preserve"> PAGEREF _Toc84499725 \h </w:instrText>
        </w:r>
        <w:r w:rsidR="00293546">
          <w:rPr>
            <w:noProof/>
            <w:webHidden/>
          </w:rPr>
        </w:r>
        <w:r w:rsidR="00293546">
          <w:rPr>
            <w:noProof/>
            <w:webHidden/>
          </w:rPr>
          <w:fldChar w:fldCharType="separate"/>
        </w:r>
        <w:r w:rsidR="00293546">
          <w:rPr>
            <w:noProof/>
            <w:webHidden/>
          </w:rPr>
          <w:t>12</w:t>
        </w:r>
        <w:r w:rsidR="00293546">
          <w:rPr>
            <w:noProof/>
            <w:webHidden/>
          </w:rPr>
          <w:fldChar w:fldCharType="end"/>
        </w:r>
      </w:hyperlink>
    </w:p>
    <w:p w14:paraId="1E1DFFB9" w14:textId="18AA4C86" w:rsidR="00293546" w:rsidRDefault="00CB6D75">
      <w:pPr>
        <w:pStyle w:val="TOC3"/>
        <w:tabs>
          <w:tab w:val="left" w:pos="1100"/>
        </w:tabs>
        <w:rPr>
          <w:rFonts w:eastAsiaTheme="minorEastAsia"/>
          <w:noProof/>
          <w:color w:val="auto"/>
          <w:sz w:val="22"/>
          <w:szCs w:val="22"/>
          <w:lang w:eastAsia="en-AU"/>
        </w:rPr>
      </w:pPr>
      <w:hyperlink w:anchor="_Toc84499726" w:history="1">
        <w:r w:rsidR="00293546" w:rsidRPr="00FE1EE4">
          <w:rPr>
            <w:rStyle w:val="Hyperlink"/>
            <w:noProof/>
          </w:rPr>
          <w:t>7.3.2</w:t>
        </w:r>
        <w:r w:rsidR="00293546">
          <w:rPr>
            <w:rFonts w:eastAsiaTheme="minorEastAsia"/>
            <w:noProof/>
            <w:color w:val="auto"/>
            <w:sz w:val="22"/>
            <w:szCs w:val="22"/>
            <w:lang w:eastAsia="en-AU"/>
          </w:rPr>
          <w:tab/>
        </w:r>
        <w:r w:rsidR="00293546" w:rsidRPr="00FE1EE4">
          <w:rPr>
            <w:rStyle w:val="Hyperlink"/>
            <w:noProof/>
          </w:rPr>
          <w:t>Worksheet 3.2 Operating Expenditure</w:t>
        </w:r>
        <w:r w:rsidR="00293546">
          <w:rPr>
            <w:noProof/>
            <w:webHidden/>
          </w:rPr>
          <w:tab/>
        </w:r>
        <w:r w:rsidR="00293546">
          <w:rPr>
            <w:noProof/>
            <w:webHidden/>
          </w:rPr>
          <w:fldChar w:fldCharType="begin"/>
        </w:r>
        <w:r w:rsidR="00293546">
          <w:rPr>
            <w:noProof/>
            <w:webHidden/>
          </w:rPr>
          <w:instrText xml:space="preserve"> PAGEREF _Toc84499726 \h </w:instrText>
        </w:r>
        <w:r w:rsidR="00293546">
          <w:rPr>
            <w:noProof/>
            <w:webHidden/>
          </w:rPr>
        </w:r>
        <w:r w:rsidR="00293546">
          <w:rPr>
            <w:noProof/>
            <w:webHidden/>
          </w:rPr>
          <w:fldChar w:fldCharType="separate"/>
        </w:r>
        <w:r w:rsidR="00293546">
          <w:rPr>
            <w:noProof/>
            <w:webHidden/>
          </w:rPr>
          <w:t>19</w:t>
        </w:r>
        <w:r w:rsidR="00293546">
          <w:rPr>
            <w:noProof/>
            <w:webHidden/>
          </w:rPr>
          <w:fldChar w:fldCharType="end"/>
        </w:r>
      </w:hyperlink>
    </w:p>
    <w:p w14:paraId="7FE81094" w14:textId="7ECB9C1D" w:rsidR="00293546" w:rsidRDefault="00CB6D75">
      <w:pPr>
        <w:pStyle w:val="TOC3"/>
        <w:tabs>
          <w:tab w:val="left" w:pos="1100"/>
        </w:tabs>
        <w:rPr>
          <w:rFonts w:eastAsiaTheme="minorEastAsia"/>
          <w:noProof/>
          <w:color w:val="auto"/>
          <w:sz w:val="22"/>
          <w:szCs w:val="22"/>
          <w:lang w:eastAsia="en-AU"/>
        </w:rPr>
      </w:pPr>
      <w:hyperlink w:anchor="_Toc84499727" w:history="1">
        <w:r w:rsidR="00293546" w:rsidRPr="00FE1EE4">
          <w:rPr>
            <w:rStyle w:val="Hyperlink"/>
            <w:noProof/>
          </w:rPr>
          <w:t>7.3.3</w:t>
        </w:r>
        <w:r w:rsidR="00293546">
          <w:rPr>
            <w:rFonts w:eastAsiaTheme="minorEastAsia"/>
            <w:noProof/>
            <w:color w:val="auto"/>
            <w:sz w:val="22"/>
            <w:szCs w:val="22"/>
            <w:lang w:eastAsia="en-AU"/>
          </w:rPr>
          <w:tab/>
        </w:r>
        <w:r w:rsidR="00293546" w:rsidRPr="00FE1EE4">
          <w:rPr>
            <w:rStyle w:val="Hyperlink"/>
            <w:noProof/>
          </w:rPr>
          <w:t>Worksheet 3.2.3 Provisions</w:t>
        </w:r>
        <w:r w:rsidR="00293546">
          <w:rPr>
            <w:noProof/>
            <w:webHidden/>
          </w:rPr>
          <w:tab/>
        </w:r>
        <w:r w:rsidR="00293546">
          <w:rPr>
            <w:noProof/>
            <w:webHidden/>
          </w:rPr>
          <w:fldChar w:fldCharType="begin"/>
        </w:r>
        <w:r w:rsidR="00293546">
          <w:rPr>
            <w:noProof/>
            <w:webHidden/>
          </w:rPr>
          <w:instrText xml:space="preserve"> PAGEREF _Toc84499727 \h </w:instrText>
        </w:r>
        <w:r w:rsidR="00293546">
          <w:rPr>
            <w:noProof/>
            <w:webHidden/>
          </w:rPr>
        </w:r>
        <w:r w:rsidR="00293546">
          <w:rPr>
            <w:noProof/>
            <w:webHidden/>
          </w:rPr>
          <w:fldChar w:fldCharType="separate"/>
        </w:r>
        <w:r w:rsidR="00293546">
          <w:rPr>
            <w:noProof/>
            <w:webHidden/>
          </w:rPr>
          <w:t>23</w:t>
        </w:r>
        <w:r w:rsidR="00293546">
          <w:rPr>
            <w:noProof/>
            <w:webHidden/>
          </w:rPr>
          <w:fldChar w:fldCharType="end"/>
        </w:r>
      </w:hyperlink>
    </w:p>
    <w:p w14:paraId="04D0FCB3" w14:textId="12312581" w:rsidR="00293546" w:rsidRDefault="00CB6D75">
      <w:pPr>
        <w:pStyle w:val="TOC3"/>
        <w:tabs>
          <w:tab w:val="left" w:pos="1100"/>
        </w:tabs>
        <w:rPr>
          <w:rFonts w:eastAsiaTheme="minorEastAsia"/>
          <w:noProof/>
          <w:color w:val="auto"/>
          <w:sz w:val="22"/>
          <w:szCs w:val="22"/>
          <w:lang w:eastAsia="en-AU"/>
        </w:rPr>
      </w:pPr>
      <w:hyperlink w:anchor="_Toc84499728" w:history="1">
        <w:r w:rsidR="00293546" w:rsidRPr="00FE1EE4">
          <w:rPr>
            <w:rStyle w:val="Hyperlink"/>
            <w:noProof/>
          </w:rPr>
          <w:t>7.3.4</w:t>
        </w:r>
        <w:r w:rsidR="00293546">
          <w:rPr>
            <w:rFonts w:eastAsiaTheme="minorEastAsia"/>
            <w:noProof/>
            <w:color w:val="auto"/>
            <w:sz w:val="22"/>
            <w:szCs w:val="22"/>
            <w:lang w:eastAsia="en-AU"/>
          </w:rPr>
          <w:tab/>
        </w:r>
        <w:r w:rsidR="00293546" w:rsidRPr="00FE1EE4">
          <w:rPr>
            <w:rStyle w:val="Hyperlink"/>
            <w:noProof/>
          </w:rPr>
          <w:t>Worksheet 3.3 Assets (RAB)</w:t>
        </w:r>
        <w:r w:rsidR="00293546">
          <w:rPr>
            <w:noProof/>
            <w:webHidden/>
          </w:rPr>
          <w:tab/>
        </w:r>
        <w:r w:rsidR="00293546">
          <w:rPr>
            <w:noProof/>
            <w:webHidden/>
          </w:rPr>
          <w:fldChar w:fldCharType="begin"/>
        </w:r>
        <w:r w:rsidR="00293546">
          <w:rPr>
            <w:noProof/>
            <w:webHidden/>
          </w:rPr>
          <w:instrText xml:space="preserve"> PAGEREF _Toc84499728 \h </w:instrText>
        </w:r>
        <w:r w:rsidR="00293546">
          <w:rPr>
            <w:noProof/>
            <w:webHidden/>
          </w:rPr>
        </w:r>
        <w:r w:rsidR="00293546">
          <w:rPr>
            <w:noProof/>
            <w:webHidden/>
          </w:rPr>
          <w:fldChar w:fldCharType="separate"/>
        </w:r>
        <w:r w:rsidR="00293546">
          <w:rPr>
            <w:noProof/>
            <w:webHidden/>
          </w:rPr>
          <w:t>27</w:t>
        </w:r>
        <w:r w:rsidR="00293546">
          <w:rPr>
            <w:noProof/>
            <w:webHidden/>
          </w:rPr>
          <w:fldChar w:fldCharType="end"/>
        </w:r>
      </w:hyperlink>
    </w:p>
    <w:p w14:paraId="607B071D" w14:textId="21F89C6F" w:rsidR="00293546" w:rsidRDefault="00CB6D75">
      <w:pPr>
        <w:pStyle w:val="TOC3"/>
        <w:tabs>
          <w:tab w:val="left" w:pos="1100"/>
        </w:tabs>
        <w:rPr>
          <w:rFonts w:eastAsiaTheme="minorEastAsia"/>
          <w:noProof/>
          <w:color w:val="auto"/>
          <w:sz w:val="22"/>
          <w:szCs w:val="22"/>
          <w:lang w:eastAsia="en-AU"/>
        </w:rPr>
      </w:pPr>
      <w:hyperlink w:anchor="_Toc84499729" w:history="1">
        <w:r w:rsidR="00293546" w:rsidRPr="00FE1EE4">
          <w:rPr>
            <w:rStyle w:val="Hyperlink"/>
            <w:noProof/>
          </w:rPr>
          <w:t>7.3.5</w:t>
        </w:r>
        <w:r w:rsidR="00293546">
          <w:rPr>
            <w:rFonts w:eastAsiaTheme="minorEastAsia"/>
            <w:noProof/>
            <w:color w:val="auto"/>
            <w:sz w:val="22"/>
            <w:szCs w:val="22"/>
            <w:lang w:eastAsia="en-AU"/>
          </w:rPr>
          <w:tab/>
        </w:r>
        <w:r w:rsidR="00293546" w:rsidRPr="00FE1EE4">
          <w:rPr>
            <w:rStyle w:val="Hyperlink"/>
            <w:noProof/>
          </w:rPr>
          <w:t>Worksheet 3.4 Operational Data</w:t>
        </w:r>
        <w:r w:rsidR="00293546">
          <w:rPr>
            <w:noProof/>
            <w:webHidden/>
          </w:rPr>
          <w:tab/>
        </w:r>
        <w:r w:rsidR="00293546">
          <w:rPr>
            <w:noProof/>
            <w:webHidden/>
          </w:rPr>
          <w:fldChar w:fldCharType="begin"/>
        </w:r>
        <w:r w:rsidR="00293546">
          <w:rPr>
            <w:noProof/>
            <w:webHidden/>
          </w:rPr>
          <w:instrText xml:space="preserve"> PAGEREF _Toc84499729 \h </w:instrText>
        </w:r>
        <w:r w:rsidR="00293546">
          <w:rPr>
            <w:noProof/>
            <w:webHidden/>
          </w:rPr>
        </w:r>
        <w:r w:rsidR="00293546">
          <w:rPr>
            <w:noProof/>
            <w:webHidden/>
          </w:rPr>
          <w:fldChar w:fldCharType="separate"/>
        </w:r>
        <w:r w:rsidR="00293546">
          <w:rPr>
            <w:noProof/>
            <w:webHidden/>
          </w:rPr>
          <w:t>39</w:t>
        </w:r>
        <w:r w:rsidR="00293546">
          <w:rPr>
            <w:noProof/>
            <w:webHidden/>
          </w:rPr>
          <w:fldChar w:fldCharType="end"/>
        </w:r>
      </w:hyperlink>
    </w:p>
    <w:p w14:paraId="6ACCC431" w14:textId="5AA980E3" w:rsidR="00293546" w:rsidRDefault="00CB6D75">
      <w:pPr>
        <w:pStyle w:val="TOC3"/>
        <w:tabs>
          <w:tab w:val="left" w:pos="1100"/>
        </w:tabs>
        <w:rPr>
          <w:rFonts w:eastAsiaTheme="minorEastAsia"/>
          <w:noProof/>
          <w:color w:val="auto"/>
          <w:sz w:val="22"/>
          <w:szCs w:val="22"/>
          <w:lang w:eastAsia="en-AU"/>
        </w:rPr>
      </w:pPr>
      <w:hyperlink w:anchor="_Toc84499730" w:history="1">
        <w:r w:rsidR="00293546" w:rsidRPr="00FE1EE4">
          <w:rPr>
            <w:rStyle w:val="Hyperlink"/>
            <w:noProof/>
          </w:rPr>
          <w:t>7.3.6</w:t>
        </w:r>
        <w:r w:rsidR="00293546">
          <w:rPr>
            <w:rFonts w:eastAsiaTheme="minorEastAsia"/>
            <w:noProof/>
            <w:color w:val="auto"/>
            <w:sz w:val="22"/>
            <w:szCs w:val="22"/>
            <w:lang w:eastAsia="en-AU"/>
          </w:rPr>
          <w:tab/>
        </w:r>
        <w:r w:rsidR="00293546" w:rsidRPr="00FE1EE4">
          <w:rPr>
            <w:rStyle w:val="Hyperlink"/>
            <w:noProof/>
          </w:rPr>
          <w:t>Worksheet 3.5 Physical Assets</w:t>
        </w:r>
        <w:r w:rsidR="00293546">
          <w:rPr>
            <w:noProof/>
            <w:webHidden/>
          </w:rPr>
          <w:tab/>
        </w:r>
        <w:r w:rsidR="00293546">
          <w:rPr>
            <w:noProof/>
            <w:webHidden/>
          </w:rPr>
          <w:fldChar w:fldCharType="begin"/>
        </w:r>
        <w:r w:rsidR="00293546">
          <w:rPr>
            <w:noProof/>
            <w:webHidden/>
          </w:rPr>
          <w:instrText xml:space="preserve"> PAGEREF _Toc84499730 \h </w:instrText>
        </w:r>
        <w:r w:rsidR="00293546">
          <w:rPr>
            <w:noProof/>
            <w:webHidden/>
          </w:rPr>
        </w:r>
        <w:r w:rsidR="00293546">
          <w:rPr>
            <w:noProof/>
            <w:webHidden/>
          </w:rPr>
          <w:fldChar w:fldCharType="separate"/>
        </w:r>
        <w:r w:rsidR="00293546">
          <w:rPr>
            <w:noProof/>
            <w:webHidden/>
          </w:rPr>
          <w:t>58</w:t>
        </w:r>
        <w:r w:rsidR="00293546">
          <w:rPr>
            <w:noProof/>
            <w:webHidden/>
          </w:rPr>
          <w:fldChar w:fldCharType="end"/>
        </w:r>
      </w:hyperlink>
    </w:p>
    <w:p w14:paraId="4C8F71C7" w14:textId="0D0DCB8A" w:rsidR="00293546" w:rsidRDefault="00CB6D75">
      <w:pPr>
        <w:pStyle w:val="TOC3"/>
        <w:tabs>
          <w:tab w:val="left" w:pos="1100"/>
        </w:tabs>
        <w:rPr>
          <w:rFonts w:eastAsiaTheme="minorEastAsia"/>
          <w:noProof/>
          <w:color w:val="auto"/>
          <w:sz w:val="22"/>
          <w:szCs w:val="22"/>
          <w:lang w:eastAsia="en-AU"/>
        </w:rPr>
      </w:pPr>
      <w:hyperlink w:anchor="_Toc84499731" w:history="1">
        <w:r w:rsidR="00293546" w:rsidRPr="00FE1EE4">
          <w:rPr>
            <w:rStyle w:val="Hyperlink"/>
            <w:noProof/>
          </w:rPr>
          <w:t>7.3.7</w:t>
        </w:r>
        <w:r w:rsidR="00293546">
          <w:rPr>
            <w:rFonts w:eastAsiaTheme="minorEastAsia"/>
            <w:noProof/>
            <w:color w:val="auto"/>
            <w:sz w:val="22"/>
            <w:szCs w:val="22"/>
            <w:lang w:eastAsia="en-AU"/>
          </w:rPr>
          <w:tab/>
        </w:r>
        <w:r w:rsidR="00293546" w:rsidRPr="00FE1EE4">
          <w:rPr>
            <w:rStyle w:val="Hyperlink"/>
            <w:noProof/>
          </w:rPr>
          <w:t>Worksheet 3.6 Quality of Services</w:t>
        </w:r>
        <w:r w:rsidR="00293546">
          <w:rPr>
            <w:noProof/>
            <w:webHidden/>
          </w:rPr>
          <w:tab/>
        </w:r>
        <w:r w:rsidR="00293546">
          <w:rPr>
            <w:noProof/>
            <w:webHidden/>
          </w:rPr>
          <w:fldChar w:fldCharType="begin"/>
        </w:r>
        <w:r w:rsidR="00293546">
          <w:rPr>
            <w:noProof/>
            <w:webHidden/>
          </w:rPr>
          <w:instrText xml:space="preserve"> PAGEREF _Toc84499731 \h </w:instrText>
        </w:r>
        <w:r w:rsidR="00293546">
          <w:rPr>
            <w:noProof/>
            <w:webHidden/>
          </w:rPr>
        </w:r>
        <w:r w:rsidR="00293546">
          <w:rPr>
            <w:noProof/>
            <w:webHidden/>
          </w:rPr>
          <w:fldChar w:fldCharType="separate"/>
        </w:r>
        <w:r w:rsidR="00293546">
          <w:rPr>
            <w:noProof/>
            <w:webHidden/>
          </w:rPr>
          <w:t>64</w:t>
        </w:r>
        <w:r w:rsidR="00293546">
          <w:rPr>
            <w:noProof/>
            <w:webHidden/>
          </w:rPr>
          <w:fldChar w:fldCharType="end"/>
        </w:r>
      </w:hyperlink>
    </w:p>
    <w:p w14:paraId="360CC160" w14:textId="06C2E6A9" w:rsidR="00293546" w:rsidRDefault="00CB6D75">
      <w:pPr>
        <w:pStyle w:val="TOC3"/>
        <w:tabs>
          <w:tab w:val="left" w:pos="1100"/>
        </w:tabs>
        <w:rPr>
          <w:rFonts w:eastAsiaTheme="minorEastAsia"/>
          <w:noProof/>
          <w:color w:val="auto"/>
          <w:sz w:val="22"/>
          <w:szCs w:val="22"/>
          <w:lang w:eastAsia="en-AU"/>
        </w:rPr>
      </w:pPr>
      <w:hyperlink w:anchor="_Toc84499732" w:history="1">
        <w:r w:rsidR="00293546" w:rsidRPr="00FE1EE4">
          <w:rPr>
            <w:rStyle w:val="Hyperlink"/>
            <w:noProof/>
          </w:rPr>
          <w:t>7.3.8</w:t>
        </w:r>
        <w:r w:rsidR="00293546">
          <w:rPr>
            <w:rFonts w:eastAsiaTheme="minorEastAsia"/>
            <w:noProof/>
            <w:color w:val="auto"/>
            <w:sz w:val="22"/>
            <w:szCs w:val="22"/>
            <w:lang w:eastAsia="en-AU"/>
          </w:rPr>
          <w:tab/>
        </w:r>
        <w:r w:rsidR="00293546" w:rsidRPr="00FE1EE4">
          <w:rPr>
            <w:rStyle w:val="Hyperlink"/>
            <w:noProof/>
          </w:rPr>
          <w:t>Worksheet 3.7 Operating Environment Factors</w:t>
        </w:r>
        <w:r w:rsidR="00293546">
          <w:rPr>
            <w:noProof/>
            <w:webHidden/>
          </w:rPr>
          <w:tab/>
        </w:r>
        <w:r w:rsidR="00293546">
          <w:rPr>
            <w:noProof/>
            <w:webHidden/>
          </w:rPr>
          <w:fldChar w:fldCharType="begin"/>
        </w:r>
        <w:r w:rsidR="00293546">
          <w:rPr>
            <w:noProof/>
            <w:webHidden/>
          </w:rPr>
          <w:instrText xml:space="preserve"> PAGEREF _Toc84499732 \h </w:instrText>
        </w:r>
        <w:r w:rsidR="00293546">
          <w:rPr>
            <w:noProof/>
            <w:webHidden/>
          </w:rPr>
        </w:r>
        <w:r w:rsidR="00293546">
          <w:rPr>
            <w:noProof/>
            <w:webHidden/>
          </w:rPr>
          <w:fldChar w:fldCharType="separate"/>
        </w:r>
        <w:r w:rsidR="00293546">
          <w:rPr>
            <w:noProof/>
            <w:webHidden/>
          </w:rPr>
          <w:t>105</w:t>
        </w:r>
        <w:r w:rsidR="00293546">
          <w:rPr>
            <w:noProof/>
            <w:webHidden/>
          </w:rPr>
          <w:fldChar w:fldCharType="end"/>
        </w:r>
      </w:hyperlink>
    </w:p>
    <w:p w14:paraId="3759D014" w14:textId="03D4BBDD" w:rsidR="00A14E52" w:rsidRDefault="004D1559">
      <w:r>
        <w:fldChar w:fldCharType="end"/>
      </w:r>
      <w:r w:rsidR="00A14E52">
        <w:br w:type="page"/>
      </w:r>
    </w:p>
    <w:p w14:paraId="0B904FB5" w14:textId="376CB6FD" w:rsidR="00D30A58" w:rsidRPr="00D30A58" w:rsidRDefault="000A5456" w:rsidP="00D30A58">
      <w:pPr>
        <w:pStyle w:val="Heading1NoNumbers"/>
      </w:pPr>
      <w:bookmarkStart w:id="0" w:name="_Toc84499713"/>
      <w:r>
        <w:lastRenderedPageBreak/>
        <w:t xml:space="preserve">1. </w:t>
      </w:r>
      <w:r w:rsidR="006E1979">
        <w:t>Introduction</w:t>
      </w:r>
      <w:bookmarkEnd w:id="0"/>
    </w:p>
    <w:p w14:paraId="5B62635C" w14:textId="77777777" w:rsidR="006E1979" w:rsidRPr="0093111B" w:rsidRDefault="006E1979" w:rsidP="006E1979">
      <w:bookmarkStart w:id="1" w:name="_Toc71203719"/>
      <w:bookmarkStart w:id="2" w:name="_Toc75177565"/>
      <w:r w:rsidRPr="0093111B">
        <w:t>TransGrid operates and manages the major high voltage electricity transmission network in NSW and the ACT as a transmission network service provider, connecting generators, distributors and major end users.</w:t>
      </w:r>
    </w:p>
    <w:p w14:paraId="688AB742" w14:textId="77777777" w:rsidR="006E1979" w:rsidRPr="0093111B" w:rsidRDefault="006E1979" w:rsidP="006E1979">
      <w:r w:rsidRPr="0093111B">
        <w:t xml:space="preserve">TransGrid is the trading name for the NSW Electricity Networks Operations Pty Ltd (ACN 609 169 959) as a Trustee for the NSW Electricity Networks Operations Trust (ABN 70 250 995 390). Prior to 16 December 2015, it was a </w:t>
      </w:r>
      <w:proofErr w:type="gramStart"/>
      <w:r w:rsidRPr="0093111B">
        <w:t>State Owned</w:t>
      </w:r>
      <w:proofErr w:type="gramEnd"/>
      <w:r w:rsidRPr="0093111B">
        <w:t xml:space="preserve"> Corporation (SOC) owned by the NSW government.</w:t>
      </w:r>
    </w:p>
    <w:p w14:paraId="2CA53BF7" w14:textId="68E5CB87" w:rsidR="006E1979" w:rsidRPr="0093111B" w:rsidRDefault="006E1979" w:rsidP="006E1979">
      <w:r w:rsidRPr="0093111B">
        <w:t xml:space="preserve">On </w:t>
      </w:r>
      <w:r w:rsidR="00E3057C">
        <w:t>19 December 2013</w:t>
      </w:r>
      <w:r w:rsidRPr="0093111B">
        <w:t xml:space="preserve">, the Australian Energy Regulator (AER) issued TransGrid with a Regulatory Information Notice Under Division 4 of Part 3 of the National Electricity (New South Wales) Law (the ‘RIN’), requiring the business to prepare and submit certain information to support the AER’s regulatory responsibilities.  </w:t>
      </w:r>
    </w:p>
    <w:p w14:paraId="59FA362A" w14:textId="7DCB32B0" w:rsidR="006E1979" w:rsidRPr="0093111B" w:rsidRDefault="006E1979" w:rsidP="006E1979">
      <w:r w:rsidRPr="0093111B">
        <w:t>This Basis of Preparation document has been prepared to support the audited information package that is due</w:t>
      </w:r>
      <w:r w:rsidR="00E3057C">
        <w:t xml:space="preserve"> to be submitted to the AER by 29</w:t>
      </w:r>
      <w:r w:rsidRPr="0093111B">
        <w:t xml:space="preserve"> October 20</w:t>
      </w:r>
      <w:r>
        <w:t>21</w:t>
      </w:r>
      <w:r w:rsidRPr="0093111B">
        <w:t>.</w:t>
      </w:r>
      <w:r>
        <w:t xml:space="preserve"> </w:t>
      </w:r>
      <w:r w:rsidRPr="0093111B">
        <w:t>The whole RIN package is comprised of:</w:t>
      </w:r>
    </w:p>
    <w:p w14:paraId="6EFCD560" w14:textId="77777777" w:rsidR="006E1979" w:rsidRPr="0093111B" w:rsidRDefault="006E1979" w:rsidP="0019343C">
      <w:pPr>
        <w:pStyle w:val="ListParagraph"/>
        <w:numPr>
          <w:ilvl w:val="0"/>
          <w:numId w:val="7"/>
        </w:numPr>
      </w:pPr>
      <w:r w:rsidRPr="0093111B">
        <w:t xml:space="preserve">The populated worksheets provided as Appendix A to the </w:t>
      </w:r>
      <w:proofErr w:type="gramStart"/>
      <w:r w:rsidRPr="0093111B">
        <w:t>RIN;</w:t>
      </w:r>
      <w:proofErr w:type="gramEnd"/>
    </w:p>
    <w:p w14:paraId="7492C832" w14:textId="77777777" w:rsidR="006E1979" w:rsidRPr="0093111B" w:rsidRDefault="006E1979" w:rsidP="0019343C">
      <w:pPr>
        <w:pStyle w:val="ListParagraph"/>
        <w:numPr>
          <w:ilvl w:val="0"/>
          <w:numId w:val="7"/>
        </w:numPr>
      </w:pPr>
      <w:r w:rsidRPr="0093111B">
        <w:t>The Basis of Preparation for each variable covered in the RIN worksheets, including any Confidentiality Claims (this document</w:t>
      </w:r>
      <w:proofErr w:type="gramStart"/>
      <w:r w:rsidRPr="0093111B">
        <w:t>);</w:t>
      </w:r>
      <w:proofErr w:type="gramEnd"/>
    </w:p>
    <w:p w14:paraId="3E171DFA" w14:textId="77777777" w:rsidR="006E1979" w:rsidRPr="0093111B" w:rsidRDefault="006E1979" w:rsidP="0019343C">
      <w:pPr>
        <w:pStyle w:val="ListParagraph"/>
        <w:numPr>
          <w:ilvl w:val="0"/>
          <w:numId w:val="7"/>
        </w:numPr>
      </w:pPr>
      <w:r w:rsidRPr="0093111B">
        <w:t>Audit &amp; Review Report by the independent auditor provided as Appendix B to the RIN</w:t>
      </w:r>
    </w:p>
    <w:p w14:paraId="17E5C462" w14:textId="77777777" w:rsidR="006E1979" w:rsidRPr="0093111B" w:rsidRDefault="006E1979" w:rsidP="0019343C">
      <w:pPr>
        <w:pStyle w:val="ListParagraph"/>
        <w:numPr>
          <w:ilvl w:val="0"/>
          <w:numId w:val="7"/>
        </w:numPr>
      </w:pPr>
      <w:r w:rsidRPr="0093111B">
        <w:t xml:space="preserve">Verification of the information by way of a Statutory Declaration in the form provided as Appendix C to the RIN. </w:t>
      </w:r>
    </w:p>
    <w:p w14:paraId="64AB9ECB" w14:textId="77A20243" w:rsidR="006E1979" w:rsidRPr="006E1979" w:rsidRDefault="006E1979">
      <w:r>
        <w:br w:type="page"/>
      </w:r>
    </w:p>
    <w:p w14:paraId="45282E5E" w14:textId="3EF39739" w:rsidR="006E1979" w:rsidRPr="00D30A58" w:rsidRDefault="006E1979" w:rsidP="006E1979">
      <w:pPr>
        <w:pStyle w:val="Heading1NoNumbers"/>
      </w:pPr>
      <w:bookmarkStart w:id="3" w:name="_Toc84499714"/>
      <w:r>
        <w:lastRenderedPageBreak/>
        <w:t>2. Compliance with the RIN Requirements</w:t>
      </w:r>
      <w:bookmarkEnd w:id="3"/>
    </w:p>
    <w:p w14:paraId="68B9478B" w14:textId="77777777" w:rsidR="006E1979" w:rsidRDefault="006E1979" w:rsidP="006E1979">
      <w:r w:rsidRPr="00A72ACE">
        <w:t>The Economic Benchmarking RIN outlines the requirements for the Basis of Preparation as follows:</w:t>
      </w:r>
    </w:p>
    <w:p w14:paraId="742F4F35" w14:textId="77777777" w:rsidR="00E3057C" w:rsidRPr="00E3057C" w:rsidRDefault="00E3057C" w:rsidP="00E3057C">
      <w:pPr>
        <w:rPr>
          <w:i/>
          <w:iCs/>
        </w:rPr>
      </w:pPr>
      <w:r w:rsidRPr="00E3057C">
        <w:rPr>
          <w:i/>
          <w:iCs/>
        </w:rPr>
        <w:t>Appendix B Section 1.1.2 BASIS OF PREPARATION</w:t>
      </w:r>
    </w:p>
    <w:p w14:paraId="55FE92EC" w14:textId="77777777" w:rsidR="00E3057C" w:rsidRPr="00E3057C" w:rsidRDefault="00E3057C" w:rsidP="00E3057C">
      <w:pPr>
        <w:rPr>
          <w:i/>
          <w:iCs/>
        </w:rPr>
      </w:pPr>
      <w:r w:rsidRPr="00E3057C">
        <w:rPr>
          <w:i/>
          <w:iCs/>
        </w:rPr>
        <w:t>The Notice requires TransGrid to prepare a Basis of Preparation. By this, we mean that for every Variable in the Templates, TransGrid must explain the basis upon which TransGrid prepared information to populate the input cells. The Basis of Preparation must be a separate document (or documents) that TransGrid submits with its completed Templates. We will publish TransGrid’s Basis of Preparation along with the Templates.</w:t>
      </w:r>
    </w:p>
    <w:p w14:paraId="22574C84" w14:textId="77777777" w:rsidR="00E3057C" w:rsidRPr="00E3057C" w:rsidRDefault="00E3057C" w:rsidP="00E3057C">
      <w:pPr>
        <w:rPr>
          <w:i/>
          <w:iCs/>
        </w:rPr>
      </w:pPr>
      <w:r w:rsidRPr="00E3057C">
        <w:rPr>
          <w:i/>
          <w:iCs/>
        </w:rPr>
        <w:t>We require the Basis of Preparation to follow a logical structure that enables Auditors, assurance practitioners and the AER to clearly understand how TransGrid has complied with the requirements of the Notice.</w:t>
      </w:r>
    </w:p>
    <w:p w14:paraId="0A1F2332" w14:textId="77777777" w:rsidR="00E3057C" w:rsidRPr="00E3057C" w:rsidRDefault="00E3057C" w:rsidP="00E3057C">
      <w:pPr>
        <w:rPr>
          <w:i/>
          <w:iCs/>
        </w:rPr>
      </w:pPr>
      <w:r w:rsidRPr="00E3057C">
        <w:rPr>
          <w:i/>
          <w:iCs/>
        </w:rPr>
        <w:t>To do this, we recommend TransGrid structures its Basis of Preparation with a separate section to match each of the worksheets titled ‘2. Revenue’ to ‘8. Operating environment’ in the Templates. TransGrid may consider structuring these sections with subheadings for each subject matter table in each worksheet. For example, for the worksheet ‘5. Operational data’, TransGrid would explain its Basis of Preparation for the Variables under the heading ‘5.1 Energy delivery’, ‘5.2 Connection point numbers’ and ‘5.3 System Demand’.</w:t>
      </w:r>
    </w:p>
    <w:p w14:paraId="6795F454" w14:textId="77777777" w:rsidR="00E3057C" w:rsidRPr="00E3057C" w:rsidRDefault="00E3057C" w:rsidP="00E3057C">
      <w:pPr>
        <w:rPr>
          <w:i/>
          <w:iCs/>
        </w:rPr>
      </w:pPr>
      <w:r w:rsidRPr="00E3057C">
        <w:rPr>
          <w:i/>
          <w:iCs/>
        </w:rPr>
        <w:t>TransGrid must include in its Basis of Preparation, any other information TransGrid prepares in accordance with the requirements of the Notice (including this document). For example, if TransGrid chooses to disaggregate its RAB using its own approach in addition to the AER’s standard approach, TransGrid must</w:t>
      </w:r>
      <w:r w:rsidRPr="00E3057C">
        <w:rPr>
          <w:i/>
        </w:rPr>
        <w:t xml:space="preserve"> </w:t>
      </w:r>
      <w:r w:rsidRPr="00E3057C">
        <w:rPr>
          <w:i/>
          <w:iCs/>
        </w:rPr>
        <w:t xml:space="preserve">explain this in its Basis of Preparation. </w:t>
      </w:r>
    </w:p>
    <w:p w14:paraId="6D0A26F6" w14:textId="00D31E2B" w:rsidR="006E1979" w:rsidRPr="00E3057C" w:rsidRDefault="006E1979" w:rsidP="006E1979">
      <w:pPr>
        <w:rPr>
          <w:i/>
          <w:iCs/>
        </w:rPr>
      </w:pPr>
      <w:r w:rsidRPr="00E3057C">
        <w:rPr>
          <w:i/>
          <w:iCs/>
        </w:rPr>
        <w:t>At a minimum, the basis of preparation must:</w:t>
      </w:r>
    </w:p>
    <w:p w14:paraId="39859CBC" w14:textId="6D357E72" w:rsidR="006E1979" w:rsidRPr="006E1979" w:rsidRDefault="006E1979" w:rsidP="0019343C">
      <w:pPr>
        <w:pStyle w:val="ListParagraph"/>
        <w:numPr>
          <w:ilvl w:val="0"/>
          <w:numId w:val="8"/>
        </w:numPr>
        <w:rPr>
          <w:i/>
          <w:iCs/>
        </w:rPr>
      </w:pPr>
      <w:r w:rsidRPr="006E1979">
        <w:rPr>
          <w:i/>
          <w:iCs/>
        </w:rPr>
        <w:t xml:space="preserve">demonstrate how the information provided is consistent with the requirements of the </w:t>
      </w:r>
      <w:proofErr w:type="gramStart"/>
      <w:r w:rsidRPr="006E1979">
        <w:rPr>
          <w:i/>
          <w:iCs/>
        </w:rPr>
        <w:t>Notice;</w:t>
      </w:r>
      <w:proofErr w:type="gramEnd"/>
    </w:p>
    <w:p w14:paraId="55DAAB64" w14:textId="7675C55B" w:rsidR="006E1979" w:rsidRPr="006E1979" w:rsidRDefault="006E1979" w:rsidP="0019343C">
      <w:pPr>
        <w:pStyle w:val="ListParagraph"/>
        <w:numPr>
          <w:ilvl w:val="0"/>
          <w:numId w:val="8"/>
        </w:numPr>
        <w:rPr>
          <w:i/>
          <w:iCs/>
        </w:rPr>
      </w:pPr>
      <w:r w:rsidRPr="006E1979">
        <w:rPr>
          <w:i/>
          <w:iCs/>
        </w:rPr>
        <w:t xml:space="preserve">explain the source from which TransGrid obtained the information </w:t>
      </w:r>
      <w:proofErr w:type="gramStart"/>
      <w:r w:rsidRPr="006E1979">
        <w:rPr>
          <w:i/>
          <w:iCs/>
        </w:rPr>
        <w:t>provided;</w:t>
      </w:r>
      <w:proofErr w:type="gramEnd"/>
    </w:p>
    <w:p w14:paraId="40EE0607" w14:textId="76482293" w:rsidR="006E1979" w:rsidRPr="006E1979" w:rsidRDefault="006E1979" w:rsidP="0019343C">
      <w:pPr>
        <w:pStyle w:val="ListParagraph"/>
        <w:numPr>
          <w:ilvl w:val="0"/>
          <w:numId w:val="8"/>
        </w:numPr>
        <w:rPr>
          <w:i/>
          <w:iCs/>
        </w:rPr>
      </w:pPr>
      <w:r w:rsidRPr="006E1979">
        <w:rPr>
          <w:i/>
          <w:iCs/>
        </w:rPr>
        <w:t>explain the methodology TransGrid used to provide the required information, including any assumptions TransGrid made; and</w:t>
      </w:r>
    </w:p>
    <w:p w14:paraId="066A0733" w14:textId="617312D1" w:rsidR="006E1979" w:rsidRPr="006E1979" w:rsidRDefault="006E1979" w:rsidP="0019343C">
      <w:pPr>
        <w:pStyle w:val="ListParagraph"/>
        <w:numPr>
          <w:ilvl w:val="0"/>
          <w:numId w:val="8"/>
        </w:numPr>
        <w:rPr>
          <w:i/>
          <w:iCs/>
        </w:rPr>
      </w:pPr>
      <w:r w:rsidRPr="006E1979">
        <w:rPr>
          <w:i/>
          <w:iCs/>
        </w:rPr>
        <w:t>explain circumstances where TransGrid cannot provide input for a variable using actual information, and therefore must provide estimated information:</w:t>
      </w:r>
    </w:p>
    <w:p w14:paraId="2CA2DC09" w14:textId="1D1E626C" w:rsidR="006E1979" w:rsidRPr="006E1979" w:rsidRDefault="006E1979" w:rsidP="0019343C">
      <w:pPr>
        <w:pStyle w:val="ListParagraph"/>
        <w:numPr>
          <w:ilvl w:val="0"/>
          <w:numId w:val="9"/>
        </w:numPr>
        <w:rPr>
          <w:i/>
          <w:iCs/>
        </w:rPr>
      </w:pPr>
      <w:r w:rsidRPr="006E1979">
        <w:rPr>
          <w:i/>
          <w:iCs/>
        </w:rPr>
        <w:t xml:space="preserve">why an estimate was required, including why it was not possible for TransGrid to use actual </w:t>
      </w:r>
      <w:proofErr w:type="gramStart"/>
      <w:r w:rsidRPr="006E1979">
        <w:rPr>
          <w:i/>
          <w:iCs/>
        </w:rPr>
        <w:t>information;</w:t>
      </w:r>
      <w:proofErr w:type="gramEnd"/>
    </w:p>
    <w:p w14:paraId="7EE01B0F" w14:textId="0558CEC0" w:rsidR="006E1979" w:rsidRPr="006E1979" w:rsidRDefault="006E1979" w:rsidP="0019343C">
      <w:pPr>
        <w:pStyle w:val="ListParagraph"/>
        <w:numPr>
          <w:ilvl w:val="0"/>
          <w:numId w:val="9"/>
        </w:numPr>
        <w:rPr>
          <w:i/>
          <w:iCs/>
        </w:rPr>
      </w:pPr>
      <w:r w:rsidRPr="006E1979">
        <w:rPr>
          <w:i/>
          <w:iCs/>
        </w:rPr>
        <w:t>the basis for the estimate, including the approach used, assumptions made and reasons why the estimate is TransGrid’s best estimate, given the information sought in the Notice.</w:t>
      </w:r>
    </w:p>
    <w:p w14:paraId="493B3D70" w14:textId="77777777" w:rsidR="00E3057C" w:rsidRPr="00E3057C" w:rsidRDefault="00E3057C" w:rsidP="00E3057C">
      <w:pPr>
        <w:rPr>
          <w:i/>
          <w:iCs/>
        </w:rPr>
      </w:pPr>
      <w:r w:rsidRPr="00E3057C">
        <w:rPr>
          <w:i/>
          <w:iCs/>
        </w:rPr>
        <w:t xml:space="preserve">For Variables that contain Financial Information (Actual or Estimated) the relevant Basis of Preparation must explain if accounting policies adopted by TransGrid have Materially changed during any of the Regulatory Years covered by the Notice </w:t>
      </w:r>
      <w:proofErr w:type="gramStart"/>
      <w:r w:rsidRPr="00E3057C">
        <w:rPr>
          <w:i/>
          <w:iCs/>
        </w:rPr>
        <w:t>including;</w:t>
      </w:r>
      <w:proofErr w:type="gramEnd"/>
    </w:p>
    <w:p w14:paraId="00B0CFBA" w14:textId="77777777" w:rsidR="00E3057C" w:rsidRPr="00E3057C" w:rsidRDefault="00E3057C" w:rsidP="00E3057C">
      <w:pPr>
        <w:rPr>
          <w:i/>
          <w:iCs/>
        </w:rPr>
      </w:pPr>
      <w:r w:rsidRPr="00E3057C">
        <w:rPr>
          <w:i/>
          <w:iCs/>
        </w:rPr>
        <w:t>(</w:t>
      </w:r>
      <w:proofErr w:type="spellStart"/>
      <w:r w:rsidRPr="00E3057C">
        <w:rPr>
          <w:i/>
          <w:iCs/>
        </w:rPr>
        <w:t>i</w:t>
      </w:r>
      <w:proofErr w:type="spellEnd"/>
      <w:r w:rsidRPr="00E3057C">
        <w:rPr>
          <w:i/>
          <w:iCs/>
        </w:rPr>
        <w:t>) the nature of the change; and</w:t>
      </w:r>
    </w:p>
    <w:p w14:paraId="1A1DC47A" w14:textId="77777777" w:rsidR="00E3057C" w:rsidRPr="00E3057C" w:rsidRDefault="00E3057C" w:rsidP="00E3057C">
      <w:pPr>
        <w:rPr>
          <w:i/>
          <w:iCs/>
        </w:rPr>
      </w:pPr>
      <w:r w:rsidRPr="00E3057C">
        <w:rPr>
          <w:i/>
          <w:iCs/>
        </w:rPr>
        <w:t>(ii) the impact of the change on the information provided in response to the Notice.</w:t>
      </w:r>
    </w:p>
    <w:p w14:paraId="5B1021EC" w14:textId="77777777" w:rsidR="00E3057C" w:rsidRPr="00E3057C" w:rsidRDefault="00E3057C" w:rsidP="00E3057C">
      <w:pPr>
        <w:rPr>
          <w:i/>
          <w:iCs/>
        </w:rPr>
      </w:pPr>
      <w:r w:rsidRPr="00E3057C">
        <w:rPr>
          <w:i/>
          <w:iCs/>
        </w:rPr>
        <w:lastRenderedPageBreak/>
        <w:t>TransGrid may provide additional detail beyond the minimum requirements if TransGrid considers it may assist a user to gain an understanding of the information presented in the Templates.</w:t>
      </w:r>
    </w:p>
    <w:p w14:paraId="14F2474F" w14:textId="77777777" w:rsidR="00E3057C" w:rsidRPr="00E3057C" w:rsidRDefault="00E3057C" w:rsidP="00E3057C">
      <w:pPr>
        <w:rPr>
          <w:i/>
          <w:iCs/>
        </w:rPr>
      </w:pPr>
      <w:r w:rsidRPr="00E3057C">
        <w:rPr>
          <w:i/>
          <w:iCs/>
        </w:rPr>
        <w:t xml:space="preserve">In relation to providing an audit opinion or making an attestation report on the Templates presented by TransGrid, an Auditor or assurance practitioner shall provide an opinion or attest by reference to TransGrid’s Basis of Preparation. </w:t>
      </w:r>
    </w:p>
    <w:p w14:paraId="0D676A81" w14:textId="77777777" w:rsidR="006E1979" w:rsidRDefault="006E1979" w:rsidP="006E1979">
      <w:r w:rsidRPr="00A72ACE">
        <w:t>To promote a common approach across the business to addressing the requirements of the Economic Benchmarking RIN, TransGrid has gathered information from across the business using a template prepared to respond to each of the AER’s requirements. This is outlined in the table below.</w:t>
      </w:r>
    </w:p>
    <w:p w14:paraId="1E18CFDB" w14:textId="54E0FF44" w:rsidR="000A5456" w:rsidRPr="006B7875" w:rsidRDefault="006E1979" w:rsidP="006B7875">
      <w:pPr>
        <w:rPr>
          <w:rFonts w:cstheme="minorHAnsi"/>
        </w:rPr>
      </w:pPr>
      <w:r>
        <w:rPr>
          <w:rFonts w:cstheme="minorHAnsi"/>
        </w:rPr>
        <w:br w:type="page"/>
      </w:r>
    </w:p>
    <w:tbl>
      <w:tblPr>
        <w:tblpPr w:leftFromText="180" w:rightFromText="180" w:bottomFromText="200" w:vertAnchor="text" w:horzAnchor="margin" w:tblpY="-2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57" w:type="dxa"/>
          <w:bottom w:w="28" w:type="dxa"/>
          <w:right w:w="85" w:type="dxa"/>
        </w:tblCellMar>
        <w:tblLook w:val="00A0" w:firstRow="1" w:lastRow="0" w:firstColumn="1" w:lastColumn="0" w:noHBand="0" w:noVBand="0"/>
      </w:tblPr>
      <w:tblGrid>
        <w:gridCol w:w="1555"/>
        <w:gridCol w:w="1634"/>
        <w:gridCol w:w="2192"/>
        <w:gridCol w:w="1984"/>
        <w:gridCol w:w="1360"/>
        <w:gridCol w:w="1243"/>
      </w:tblGrid>
      <w:tr w:rsidR="006F79D1" w:rsidRPr="002F0CF1" w14:paraId="1FA2D407" w14:textId="77777777" w:rsidTr="006F79D1">
        <w:trPr>
          <w:trHeight w:val="388"/>
          <w:tblHeader/>
        </w:trPr>
        <w:tc>
          <w:tcPr>
            <w:tcW w:w="1600" w:type="pct"/>
            <w:gridSpan w:val="2"/>
            <w:tcBorders>
              <w:bottom w:val="single" w:sz="4" w:space="0" w:color="BFBFBF" w:themeColor="background1" w:themeShade="BF"/>
            </w:tcBorders>
            <w:shd w:val="clear" w:color="auto" w:fill="47A843" w:themeFill="accent1"/>
            <w:vAlign w:val="center"/>
            <w:hideMark/>
          </w:tcPr>
          <w:p w14:paraId="38CD56FB" w14:textId="77777777" w:rsidR="002F0CF1" w:rsidRPr="002F0CF1" w:rsidRDefault="002F0CF1" w:rsidP="002F0CF1">
            <w:pPr>
              <w:spacing w:before="60" w:after="60" w:line="240" w:lineRule="auto"/>
              <w:rPr>
                <w:sz w:val="18"/>
                <w:szCs w:val="18"/>
              </w:rPr>
            </w:pPr>
            <w:r w:rsidRPr="002F0CF1">
              <w:rPr>
                <w:b/>
                <w:sz w:val="18"/>
                <w:szCs w:val="18"/>
              </w:rPr>
              <w:lastRenderedPageBreak/>
              <w:t>Data variable &amp; TransGrid’s interpretation</w:t>
            </w:r>
          </w:p>
        </w:tc>
        <w:tc>
          <w:tcPr>
            <w:tcW w:w="1100" w:type="pct"/>
            <w:tcBorders>
              <w:bottom w:val="single" w:sz="4" w:space="0" w:color="BFBFBF" w:themeColor="background1" w:themeShade="BF"/>
            </w:tcBorders>
            <w:shd w:val="clear" w:color="auto" w:fill="47A843" w:themeFill="accent1"/>
            <w:tcMar>
              <w:top w:w="0" w:type="dxa"/>
              <w:left w:w="108" w:type="dxa"/>
              <w:bottom w:w="0" w:type="dxa"/>
              <w:right w:w="108" w:type="dxa"/>
            </w:tcMar>
            <w:vAlign w:val="center"/>
            <w:hideMark/>
          </w:tcPr>
          <w:p w14:paraId="388EBBB2" w14:textId="77777777" w:rsidR="002F0CF1" w:rsidRPr="002F0CF1" w:rsidRDefault="002F0CF1" w:rsidP="002F0CF1">
            <w:pPr>
              <w:spacing w:before="60" w:after="60" w:line="240" w:lineRule="auto"/>
              <w:rPr>
                <w:sz w:val="18"/>
                <w:szCs w:val="18"/>
              </w:rPr>
            </w:pPr>
            <w:r w:rsidRPr="002F0CF1">
              <w:rPr>
                <w:b/>
                <w:sz w:val="18"/>
                <w:szCs w:val="18"/>
              </w:rPr>
              <w:t>Data sources, locations and ‘owners’</w:t>
            </w:r>
          </w:p>
        </w:tc>
        <w:tc>
          <w:tcPr>
            <w:tcW w:w="2300" w:type="pct"/>
            <w:gridSpan w:val="3"/>
            <w:tcBorders>
              <w:bottom w:val="single" w:sz="4" w:space="0" w:color="BFBFBF" w:themeColor="background1" w:themeShade="BF"/>
            </w:tcBorders>
            <w:shd w:val="clear" w:color="auto" w:fill="47A843" w:themeFill="accent1"/>
            <w:tcMar>
              <w:top w:w="28" w:type="dxa"/>
              <w:left w:w="108" w:type="dxa"/>
              <w:bottom w:w="28" w:type="dxa"/>
              <w:right w:w="108" w:type="dxa"/>
            </w:tcMar>
            <w:vAlign w:val="center"/>
            <w:hideMark/>
          </w:tcPr>
          <w:p w14:paraId="56C35BBA" w14:textId="77777777" w:rsidR="002F0CF1" w:rsidRPr="002F0CF1" w:rsidRDefault="002F0CF1" w:rsidP="002F0CF1">
            <w:pPr>
              <w:spacing w:before="60" w:after="60" w:line="240" w:lineRule="auto"/>
              <w:rPr>
                <w:sz w:val="18"/>
                <w:szCs w:val="18"/>
              </w:rPr>
            </w:pPr>
            <w:r w:rsidRPr="002F0CF1">
              <w:rPr>
                <w:b/>
                <w:sz w:val="18"/>
                <w:szCs w:val="18"/>
              </w:rPr>
              <w:t>Estimation or actual information, calculations and assumptions</w:t>
            </w:r>
          </w:p>
        </w:tc>
      </w:tr>
      <w:tr w:rsidR="00611904" w:rsidRPr="002F0CF1" w14:paraId="5043891F" w14:textId="77777777" w:rsidTr="006F79D1">
        <w:trPr>
          <w:trHeight w:val="489"/>
          <w:tblHeader/>
        </w:trPr>
        <w:tc>
          <w:tcPr>
            <w:tcW w:w="780" w:type="pct"/>
            <w:shd w:val="clear" w:color="auto" w:fill="B2DFB0" w:themeFill="accent1" w:themeFillTint="66"/>
            <w:vAlign w:val="center"/>
            <w:hideMark/>
          </w:tcPr>
          <w:p w14:paraId="44ACC1C5" w14:textId="77777777" w:rsidR="002F0CF1" w:rsidRPr="002F0CF1" w:rsidRDefault="002F0CF1" w:rsidP="00E609CD">
            <w:pPr>
              <w:pStyle w:val="TableColumnHeadingSmall"/>
              <w:spacing w:before="60" w:after="40" w:line="276" w:lineRule="auto"/>
              <w:ind w:left="142"/>
              <w:rPr>
                <w:rFonts w:asciiTheme="minorHAnsi" w:hAnsiTheme="minorHAnsi" w:cstheme="minorHAnsi"/>
                <w:color w:val="000000" w:themeColor="text1"/>
                <w:szCs w:val="18"/>
              </w:rPr>
            </w:pPr>
            <w:r w:rsidRPr="002F0CF1">
              <w:rPr>
                <w:rFonts w:asciiTheme="minorHAnsi" w:hAnsiTheme="minorHAnsi" w:cstheme="minorHAnsi"/>
                <w:color w:val="000000" w:themeColor="text1"/>
                <w:szCs w:val="18"/>
              </w:rPr>
              <w:t>Variable reference &amp; AER description</w:t>
            </w:r>
          </w:p>
        </w:tc>
        <w:tc>
          <w:tcPr>
            <w:tcW w:w="820" w:type="pct"/>
            <w:shd w:val="clear" w:color="auto" w:fill="B2DFB0" w:themeFill="accent1" w:themeFillTint="66"/>
            <w:vAlign w:val="center"/>
            <w:hideMark/>
          </w:tcPr>
          <w:p w14:paraId="3292895F" w14:textId="77777777" w:rsidR="002F0CF1" w:rsidRPr="002F0CF1" w:rsidRDefault="002F0CF1" w:rsidP="00E609CD">
            <w:pPr>
              <w:pStyle w:val="TableColumnHeadingSmall"/>
              <w:spacing w:before="60" w:after="40" w:line="276" w:lineRule="auto"/>
              <w:rPr>
                <w:rFonts w:asciiTheme="minorHAnsi" w:hAnsiTheme="minorHAnsi" w:cstheme="minorHAnsi"/>
                <w:color w:val="000000" w:themeColor="text1"/>
                <w:szCs w:val="18"/>
              </w:rPr>
            </w:pPr>
            <w:r w:rsidRPr="002F0CF1">
              <w:rPr>
                <w:rFonts w:asciiTheme="minorHAnsi" w:hAnsiTheme="minorHAnsi" w:cstheme="minorHAnsi"/>
                <w:color w:val="000000" w:themeColor="text1"/>
                <w:szCs w:val="18"/>
              </w:rPr>
              <w:t>TransGrid’s interpretation of data variable</w:t>
            </w:r>
          </w:p>
        </w:tc>
        <w:tc>
          <w:tcPr>
            <w:tcW w:w="1100" w:type="pct"/>
            <w:shd w:val="clear" w:color="auto" w:fill="D8EFD7" w:themeFill="accent1" w:themeFillTint="33"/>
            <w:tcMar>
              <w:top w:w="0" w:type="dxa"/>
              <w:left w:w="108" w:type="dxa"/>
              <w:bottom w:w="0" w:type="dxa"/>
              <w:right w:w="108" w:type="dxa"/>
            </w:tcMar>
            <w:vAlign w:val="center"/>
            <w:hideMark/>
          </w:tcPr>
          <w:p w14:paraId="3AACBD15" w14:textId="77777777" w:rsidR="002F0CF1" w:rsidRPr="002F0CF1" w:rsidRDefault="002F0CF1" w:rsidP="00E609CD">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Data sources</w:t>
            </w:r>
          </w:p>
          <w:p w14:paraId="0FDE919E" w14:textId="77777777" w:rsidR="002F0CF1" w:rsidRPr="002F0CF1" w:rsidRDefault="002F0CF1" w:rsidP="00E609CD">
            <w:pPr>
              <w:pStyle w:val="TableColumnHeadingSmall"/>
              <w:spacing w:before="60" w:after="40" w:line="276" w:lineRule="auto"/>
              <w:rPr>
                <w:rFonts w:asciiTheme="minorHAnsi" w:hAnsiTheme="minorHAnsi" w:cstheme="minorHAnsi"/>
                <w:color w:val="FFFFFF"/>
                <w:szCs w:val="18"/>
              </w:rPr>
            </w:pPr>
          </w:p>
        </w:tc>
        <w:tc>
          <w:tcPr>
            <w:tcW w:w="995" w:type="pct"/>
            <w:shd w:val="clear" w:color="auto" w:fill="EFF7D7" w:themeFill="accent2" w:themeFillTint="33"/>
            <w:tcMar>
              <w:top w:w="28" w:type="dxa"/>
              <w:left w:w="108" w:type="dxa"/>
              <w:bottom w:w="28" w:type="dxa"/>
              <w:right w:w="108" w:type="dxa"/>
            </w:tcMar>
            <w:vAlign w:val="center"/>
            <w:hideMark/>
          </w:tcPr>
          <w:p w14:paraId="68851CB5" w14:textId="77777777" w:rsidR="002F0CF1" w:rsidRPr="002F0CF1" w:rsidRDefault="002F0CF1" w:rsidP="00E609CD">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Is this variable ‘Estimated Information’ as per AER definition</w:t>
            </w:r>
            <w:bookmarkStart w:id="4" w:name="_Ref432507307"/>
            <w:r w:rsidRPr="002F0CF1">
              <w:rPr>
                <w:rStyle w:val="FootnoteReference"/>
                <w:rFonts w:asciiTheme="minorHAnsi" w:hAnsiTheme="minorHAnsi" w:cstheme="minorHAnsi"/>
                <w:szCs w:val="18"/>
              </w:rPr>
              <w:footnoteReference w:id="1"/>
            </w:r>
            <w:bookmarkEnd w:id="4"/>
            <w:r w:rsidRPr="002F0CF1">
              <w:rPr>
                <w:rFonts w:asciiTheme="minorHAnsi" w:hAnsiTheme="minorHAnsi" w:cstheme="minorHAnsi"/>
                <w:szCs w:val="18"/>
              </w:rPr>
              <w:t xml:space="preserve">? </w:t>
            </w:r>
          </w:p>
        </w:tc>
        <w:tc>
          <w:tcPr>
            <w:tcW w:w="682" w:type="pct"/>
            <w:shd w:val="clear" w:color="auto" w:fill="EFF7D7" w:themeFill="accent2" w:themeFillTint="33"/>
            <w:tcMar>
              <w:top w:w="28" w:type="dxa"/>
              <w:left w:w="108" w:type="dxa"/>
              <w:bottom w:w="28" w:type="dxa"/>
              <w:right w:w="108" w:type="dxa"/>
            </w:tcMar>
            <w:vAlign w:val="center"/>
            <w:hideMark/>
          </w:tcPr>
          <w:p w14:paraId="55AB4270" w14:textId="77777777" w:rsidR="002F0CF1" w:rsidRPr="002F0CF1" w:rsidRDefault="002F0CF1" w:rsidP="00E609CD">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How the values for this variable are calculated</w:t>
            </w:r>
          </w:p>
        </w:tc>
        <w:tc>
          <w:tcPr>
            <w:tcW w:w="623" w:type="pct"/>
            <w:shd w:val="clear" w:color="auto" w:fill="EFF7D7" w:themeFill="accent2" w:themeFillTint="33"/>
            <w:vAlign w:val="center"/>
            <w:hideMark/>
          </w:tcPr>
          <w:p w14:paraId="2620B81A" w14:textId="77777777" w:rsidR="002F0CF1" w:rsidRPr="002F0CF1" w:rsidRDefault="002F0CF1" w:rsidP="00E609CD">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szCs w:val="18"/>
              </w:rPr>
              <w:t>Assumptions made to allow calculation / estimation of the variable</w:t>
            </w:r>
          </w:p>
        </w:tc>
      </w:tr>
      <w:tr w:rsidR="006F79D1" w:rsidRPr="002F0CF1" w14:paraId="3493231A" w14:textId="77777777" w:rsidTr="006F79D1">
        <w:trPr>
          <w:trHeight w:val="3910"/>
        </w:trPr>
        <w:tc>
          <w:tcPr>
            <w:tcW w:w="780" w:type="pct"/>
            <w:shd w:val="clear" w:color="auto" w:fill="FFFFFF" w:themeFill="background1"/>
          </w:tcPr>
          <w:p w14:paraId="49F055A2" w14:textId="77777777" w:rsidR="002F0CF1" w:rsidRPr="002F0CF1" w:rsidRDefault="002F0CF1" w:rsidP="00E609CD">
            <w:pPr>
              <w:pStyle w:val="TableTextSmall"/>
              <w:spacing w:before="60" w:after="60" w:line="276" w:lineRule="auto"/>
              <w:ind w:left="142"/>
              <w:rPr>
                <w:rFonts w:asciiTheme="minorHAnsi" w:hAnsiTheme="minorHAnsi" w:cstheme="minorHAnsi"/>
                <w:highlight w:val="yellow"/>
              </w:rPr>
            </w:pPr>
            <w:r w:rsidRPr="002F0CF1">
              <w:rPr>
                <w:rFonts w:asciiTheme="minorHAnsi" w:hAnsiTheme="minorHAnsi" w:cstheme="minorHAnsi"/>
                <w:i/>
                <w:color w:val="000000" w:themeColor="text1"/>
              </w:rPr>
              <w:t>‘</w:t>
            </w:r>
            <w:proofErr w:type="spellStart"/>
            <w:r w:rsidRPr="002F0CF1">
              <w:rPr>
                <w:rFonts w:asciiTheme="minorHAnsi" w:hAnsiTheme="minorHAnsi" w:cstheme="minorHAnsi"/>
                <w:i/>
                <w:color w:val="000000" w:themeColor="text1"/>
              </w:rPr>
              <w:t>Variable_Code</w:t>
            </w:r>
            <w:proofErr w:type="spellEnd"/>
            <w:r w:rsidRPr="002F0CF1">
              <w:rPr>
                <w:rFonts w:asciiTheme="minorHAnsi" w:hAnsiTheme="minorHAnsi" w:cstheme="minorHAnsi"/>
                <w:i/>
                <w:color w:val="000000" w:themeColor="text1"/>
              </w:rPr>
              <w:t>’ &amp; ‘Variable’ from worksheet</w:t>
            </w:r>
          </w:p>
        </w:tc>
        <w:tc>
          <w:tcPr>
            <w:tcW w:w="820" w:type="pct"/>
            <w:shd w:val="clear" w:color="auto" w:fill="FFFFFF" w:themeFill="background1"/>
          </w:tcPr>
          <w:p w14:paraId="24120CDB" w14:textId="77777777" w:rsidR="002F0CF1" w:rsidRPr="002F0CF1" w:rsidRDefault="002F0CF1" w:rsidP="00E609CD">
            <w:pPr>
              <w:pStyle w:val="TableTextSmall"/>
              <w:spacing w:before="60" w:after="60" w:line="276" w:lineRule="auto"/>
              <w:rPr>
                <w:rFonts w:asciiTheme="minorHAnsi" w:hAnsiTheme="minorHAnsi" w:cstheme="minorHAnsi"/>
                <w:i/>
                <w:color w:val="000000" w:themeColor="text1"/>
              </w:rPr>
            </w:pPr>
            <w:r w:rsidRPr="002F0CF1">
              <w:rPr>
                <w:rFonts w:asciiTheme="minorHAnsi" w:hAnsiTheme="minorHAnsi" w:cstheme="minorHAnsi"/>
                <w:i/>
                <w:color w:val="000000" w:themeColor="text1"/>
              </w:rPr>
              <w:t>If AER definition is not clear, document TransGrid interpretation and its rationale</w:t>
            </w:r>
          </w:p>
          <w:p w14:paraId="638401B4" w14:textId="77777777" w:rsidR="002F0CF1" w:rsidRPr="002F0CF1" w:rsidRDefault="002F0CF1" w:rsidP="00E609CD">
            <w:pPr>
              <w:pStyle w:val="TableTextSmall"/>
              <w:spacing w:before="60" w:after="60" w:line="276" w:lineRule="auto"/>
              <w:rPr>
                <w:rFonts w:asciiTheme="minorHAnsi" w:hAnsiTheme="minorHAnsi" w:cstheme="minorHAnsi"/>
                <w:b/>
                <w:color w:val="000000"/>
                <w:highlight w:val="yellow"/>
              </w:rPr>
            </w:pPr>
            <w:r w:rsidRPr="002F0CF1">
              <w:rPr>
                <w:rFonts w:asciiTheme="minorHAnsi" w:hAnsiTheme="minorHAnsi" w:cstheme="minorHAnsi"/>
                <w:b/>
                <w:i/>
                <w:color w:val="000000" w:themeColor="text1"/>
              </w:rPr>
              <w:t>Responds to RIN requirement a)</w:t>
            </w:r>
          </w:p>
        </w:tc>
        <w:tc>
          <w:tcPr>
            <w:tcW w:w="1100" w:type="pct"/>
            <w:shd w:val="clear" w:color="auto" w:fill="FFFFFF" w:themeFill="background1"/>
            <w:tcMar>
              <w:top w:w="0" w:type="dxa"/>
              <w:left w:w="108" w:type="dxa"/>
              <w:bottom w:w="0" w:type="dxa"/>
              <w:right w:w="108" w:type="dxa"/>
            </w:tcMar>
          </w:tcPr>
          <w:p w14:paraId="5A422F8E" w14:textId="77777777" w:rsidR="002F0CF1" w:rsidRPr="002F0CF1" w:rsidRDefault="002F0CF1" w:rsidP="00E609CD">
            <w:pPr>
              <w:pStyle w:val="TableTextSmall"/>
              <w:spacing w:before="60" w:after="60" w:line="276" w:lineRule="auto"/>
              <w:rPr>
                <w:rFonts w:asciiTheme="minorHAnsi" w:hAnsiTheme="minorHAnsi" w:cstheme="minorHAnsi"/>
                <w:i/>
              </w:rPr>
            </w:pPr>
            <w:r w:rsidRPr="002F0CF1">
              <w:rPr>
                <w:rFonts w:asciiTheme="minorHAnsi" w:hAnsiTheme="minorHAnsi" w:cstheme="minorHAnsi"/>
                <w:i/>
              </w:rPr>
              <w:t>Specify source systems, reports, forms, other RIN variables etc</w:t>
            </w:r>
          </w:p>
          <w:p w14:paraId="38273A45" w14:textId="77777777" w:rsidR="002F0CF1" w:rsidRPr="002F0CF1" w:rsidRDefault="002F0CF1" w:rsidP="00E609CD">
            <w:pPr>
              <w:pStyle w:val="TableTextSmall"/>
              <w:spacing w:before="60" w:after="60" w:line="276" w:lineRule="auto"/>
              <w:rPr>
                <w:rFonts w:asciiTheme="minorHAnsi" w:hAnsiTheme="minorHAnsi" w:cstheme="minorHAnsi"/>
                <w:b/>
                <w:highlight w:val="yellow"/>
              </w:rPr>
            </w:pPr>
            <w:r w:rsidRPr="002F0CF1">
              <w:rPr>
                <w:rFonts w:asciiTheme="minorHAnsi" w:hAnsiTheme="minorHAnsi" w:cstheme="minorHAnsi"/>
                <w:b/>
                <w:i/>
              </w:rPr>
              <w:t>Responds to RIN Requirement b)</w:t>
            </w:r>
          </w:p>
          <w:p w14:paraId="53F3412E" w14:textId="77777777" w:rsidR="002F0CF1" w:rsidRPr="002F0CF1" w:rsidRDefault="002F0CF1" w:rsidP="00E609CD">
            <w:pPr>
              <w:pStyle w:val="TableTextSmall"/>
              <w:spacing w:before="60" w:after="60" w:line="276" w:lineRule="auto"/>
              <w:rPr>
                <w:rFonts w:asciiTheme="minorHAnsi" w:hAnsiTheme="minorHAnsi" w:cstheme="minorHAnsi"/>
                <w:b/>
                <w:highlight w:val="yellow"/>
              </w:rPr>
            </w:pPr>
          </w:p>
        </w:tc>
        <w:tc>
          <w:tcPr>
            <w:tcW w:w="995" w:type="pct"/>
            <w:shd w:val="clear" w:color="auto" w:fill="FFFFFF" w:themeFill="background1"/>
            <w:tcMar>
              <w:top w:w="28" w:type="dxa"/>
              <w:left w:w="108" w:type="dxa"/>
              <w:bottom w:w="28" w:type="dxa"/>
              <w:right w:w="108" w:type="dxa"/>
            </w:tcMar>
          </w:tcPr>
          <w:p w14:paraId="361872EE" w14:textId="77777777" w:rsidR="002F0CF1" w:rsidRPr="002F0CF1" w:rsidRDefault="002F0CF1" w:rsidP="00E609CD">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i/>
                <w:szCs w:val="18"/>
              </w:rPr>
              <w:t>Yes/No</w:t>
            </w:r>
          </w:p>
          <w:p w14:paraId="62FDD98B" w14:textId="77777777" w:rsidR="002F0CF1" w:rsidRPr="002F0CF1" w:rsidRDefault="002F0CF1" w:rsidP="00E609CD">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i/>
                <w:szCs w:val="18"/>
              </w:rPr>
              <w:t>If estimate is used for this variable, document:</w:t>
            </w:r>
          </w:p>
          <w:p w14:paraId="3F8F9578" w14:textId="77777777" w:rsidR="002F0CF1" w:rsidRPr="002F0CF1" w:rsidRDefault="002F0CF1" w:rsidP="0019343C">
            <w:pPr>
              <w:pStyle w:val="ListParagraph"/>
              <w:numPr>
                <w:ilvl w:val="0"/>
                <w:numId w:val="10"/>
              </w:numPr>
              <w:kinsoku w:val="0"/>
              <w:overflowPunct w:val="0"/>
              <w:autoSpaceDE w:val="0"/>
              <w:autoSpaceDN w:val="0"/>
              <w:adjustRightInd w:val="0"/>
              <w:snapToGrid w:val="0"/>
              <w:spacing w:before="60" w:after="40"/>
              <w:rPr>
                <w:rFonts w:cstheme="minorHAnsi"/>
                <w:i/>
                <w:sz w:val="18"/>
                <w:szCs w:val="18"/>
              </w:rPr>
            </w:pPr>
            <w:r w:rsidRPr="002F0CF1">
              <w:rPr>
                <w:rFonts w:cstheme="minorHAnsi"/>
                <w:i/>
                <w:sz w:val="18"/>
                <w:szCs w:val="18"/>
              </w:rPr>
              <w:t>Why an estimate was required, including why it was not possible to use Actual Financial Information or Actual Non-Financial Information</w:t>
            </w:r>
          </w:p>
          <w:p w14:paraId="0265EC9F" w14:textId="77777777" w:rsidR="002F0CF1" w:rsidRPr="002F0CF1" w:rsidRDefault="002F0CF1" w:rsidP="0019343C">
            <w:pPr>
              <w:pStyle w:val="TableTextSmall"/>
              <w:numPr>
                <w:ilvl w:val="0"/>
                <w:numId w:val="10"/>
              </w:numPr>
              <w:spacing w:before="60" w:after="60" w:line="276" w:lineRule="auto"/>
              <w:rPr>
                <w:rFonts w:asciiTheme="minorHAnsi" w:hAnsiTheme="minorHAnsi" w:cstheme="minorHAnsi"/>
                <w:i/>
              </w:rPr>
            </w:pPr>
            <w:r w:rsidRPr="002F0CF1">
              <w:rPr>
                <w:rFonts w:asciiTheme="minorHAnsi" w:hAnsiTheme="minorHAnsi" w:cstheme="minorHAnsi"/>
                <w:i/>
              </w:rPr>
              <w:t>Estimate basis, including the approach used, assumptions made and reasons why the estimate is TransGrid’s best estimate</w:t>
            </w:r>
          </w:p>
          <w:p w14:paraId="1B3342F1" w14:textId="77777777" w:rsidR="002F0CF1" w:rsidRPr="002F0CF1" w:rsidRDefault="002F0CF1" w:rsidP="00E609CD">
            <w:pPr>
              <w:pStyle w:val="TableTextSmall"/>
              <w:spacing w:before="60" w:after="60" w:line="276" w:lineRule="auto"/>
              <w:ind w:left="142"/>
              <w:rPr>
                <w:rFonts w:asciiTheme="minorHAnsi" w:hAnsiTheme="minorHAnsi" w:cstheme="minorHAnsi"/>
                <w:highlight w:val="yellow"/>
              </w:rPr>
            </w:pPr>
            <w:r w:rsidRPr="002F0CF1">
              <w:rPr>
                <w:rFonts w:asciiTheme="minorHAnsi" w:hAnsiTheme="minorHAnsi" w:cstheme="minorHAnsi"/>
                <w:b/>
                <w:i/>
              </w:rPr>
              <w:t>Responds to RIN Requirement d)</w:t>
            </w:r>
          </w:p>
        </w:tc>
        <w:tc>
          <w:tcPr>
            <w:tcW w:w="682" w:type="pct"/>
            <w:shd w:val="clear" w:color="auto" w:fill="FFFFFF" w:themeFill="background1"/>
            <w:tcMar>
              <w:top w:w="28" w:type="dxa"/>
              <w:left w:w="108" w:type="dxa"/>
              <w:bottom w:w="28" w:type="dxa"/>
              <w:right w:w="108" w:type="dxa"/>
            </w:tcMar>
          </w:tcPr>
          <w:p w14:paraId="189BCD5B" w14:textId="77777777" w:rsidR="002F0CF1" w:rsidRPr="002F0CF1" w:rsidRDefault="002F0CF1" w:rsidP="00E609CD">
            <w:pPr>
              <w:pStyle w:val="TableTextSmall"/>
              <w:spacing w:before="60" w:after="60" w:line="276" w:lineRule="auto"/>
              <w:rPr>
                <w:rFonts w:asciiTheme="minorHAnsi" w:hAnsiTheme="minorHAnsi" w:cstheme="minorHAnsi"/>
                <w:i/>
              </w:rPr>
            </w:pPr>
            <w:r w:rsidRPr="002F0CF1">
              <w:rPr>
                <w:rFonts w:asciiTheme="minorHAnsi" w:hAnsiTheme="minorHAnsi" w:cstheme="minorHAnsi"/>
                <w:i/>
              </w:rPr>
              <w:t>Clear description of approach steps / methodology</w:t>
            </w:r>
          </w:p>
          <w:p w14:paraId="2C21D036" w14:textId="77777777" w:rsidR="002F0CF1" w:rsidRPr="002F0CF1" w:rsidRDefault="002F0CF1" w:rsidP="00E609CD">
            <w:pPr>
              <w:pStyle w:val="TableTextSmall"/>
              <w:spacing w:before="60" w:after="60" w:line="276" w:lineRule="auto"/>
              <w:rPr>
                <w:rFonts w:asciiTheme="minorHAnsi" w:hAnsiTheme="minorHAnsi" w:cstheme="minorHAnsi"/>
                <w:highlight w:val="yellow"/>
              </w:rPr>
            </w:pPr>
            <w:r w:rsidRPr="002F0CF1">
              <w:rPr>
                <w:rFonts w:asciiTheme="minorHAnsi" w:hAnsiTheme="minorHAnsi" w:cstheme="minorHAnsi"/>
                <w:b/>
                <w:i/>
              </w:rPr>
              <w:t>Responds to RIN Requirement c)</w:t>
            </w:r>
          </w:p>
        </w:tc>
        <w:tc>
          <w:tcPr>
            <w:tcW w:w="623" w:type="pct"/>
            <w:shd w:val="clear" w:color="auto" w:fill="FFFFFF" w:themeFill="background1"/>
          </w:tcPr>
          <w:p w14:paraId="283D6B47" w14:textId="77777777" w:rsidR="002F0CF1" w:rsidRPr="002F0CF1" w:rsidRDefault="002F0CF1" w:rsidP="00E609CD">
            <w:pPr>
              <w:pStyle w:val="TableTextSmall"/>
              <w:spacing w:before="60" w:after="60" w:line="276" w:lineRule="auto"/>
              <w:rPr>
                <w:rFonts w:asciiTheme="minorHAnsi" w:hAnsiTheme="minorHAnsi" w:cstheme="minorHAnsi"/>
                <w:i/>
              </w:rPr>
            </w:pPr>
            <w:r w:rsidRPr="002F0CF1">
              <w:rPr>
                <w:rFonts w:asciiTheme="minorHAnsi" w:hAnsiTheme="minorHAnsi" w:cstheme="minorHAnsi"/>
                <w:i/>
              </w:rPr>
              <w:t>Clearly describe any assumptions used and the rationale for each</w:t>
            </w:r>
          </w:p>
          <w:p w14:paraId="57495D75" w14:textId="77777777" w:rsidR="002F0CF1" w:rsidRPr="002F0CF1" w:rsidRDefault="002F0CF1" w:rsidP="00E609CD">
            <w:pPr>
              <w:pStyle w:val="TableTextSmall"/>
              <w:spacing w:before="60" w:after="60" w:line="276" w:lineRule="auto"/>
              <w:rPr>
                <w:rFonts w:asciiTheme="minorHAnsi" w:hAnsiTheme="minorHAnsi" w:cstheme="minorHAnsi"/>
                <w:highlight w:val="yellow"/>
              </w:rPr>
            </w:pPr>
            <w:r w:rsidRPr="002F0CF1">
              <w:rPr>
                <w:rFonts w:asciiTheme="minorHAnsi" w:hAnsiTheme="minorHAnsi" w:cstheme="minorHAnsi"/>
                <w:b/>
                <w:i/>
              </w:rPr>
              <w:t>Responds to RIN Requirement c)</w:t>
            </w:r>
          </w:p>
        </w:tc>
      </w:tr>
    </w:tbl>
    <w:p w14:paraId="64893F74" w14:textId="2A4EF83C" w:rsidR="006B7875" w:rsidRDefault="006B7875" w:rsidP="000A5456">
      <w:pPr>
        <w:pStyle w:val="BodyText"/>
      </w:pPr>
    </w:p>
    <w:p w14:paraId="3295EBD1" w14:textId="77777777" w:rsidR="006B7875" w:rsidRDefault="006B7875">
      <w:pPr>
        <w:rPr>
          <w:rFonts w:ascii="Arial" w:hAnsi="Arial"/>
          <w:color w:val="262626" w:themeColor="text1" w:themeTint="D9"/>
        </w:rPr>
      </w:pPr>
      <w:r>
        <w:br w:type="page"/>
      </w:r>
    </w:p>
    <w:p w14:paraId="3C84787C" w14:textId="02F138C5" w:rsidR="006B7875" w:rsidRPr="00D30A58" w:rsidRDefault="006B7875" w:rsidP="006B7875">
      <w:pPr>
        <w:pStyle w:val="Heading1NoNumbers"/>
      </w:pPr>
      <w:bookmarkStart w:id="5" w:name="_Toc84499715"/>
      <w:r>
        <w:lastRenderedPageBreak/>
        <w:t>3. Preparation Process</w:t>
      </w:r>
      <w:bookmarkEnd w:id="5"/>
    </w:p>
    <w:p w14:paraId="7B07B268" w14:textId="1BCBC648" w:rsidR="006B7875" w:rsidRDefault="006B7875" w:rsidP="006B7875">
      <w:pPr>
        <w:rPr>
          <w:rFonts w:cstheme="minorHAnsi"/>
        </w:rPr>
      </w:pPr>
      <w:r w:rsidRPr="0093111B">
        <w:rPr>
          <w:rFonts w:cstheme="minorHAnsi"/>
        </w:rPr>
        <w:t xml:space="preserve">TransGrid’s high level process for preparing its response to the RIN is outlined below. </w:t>
      </w:r>
    </w:p>
    <w:p w14:paraId="73827FDC" w14:textId="7070149A" w:rsidR="006B7875" w:rsidRPr="0093111B" w:rsidRDefault="006B7875" w:rsidP="006B7875">
      <w:pPr>
        <w:rPr>
          <w:rFonts w:cstheme="minorHAnsi"/>
        </w:rPr>
      </w:pPr>
      <w:r w:rsidRPr="003E79CA">
        <w:rPr>
          <w:rFonts w:cstheme="minorHAnsi"/>
          <w:noProof/>
          <w:sz w:val="20"/>
          <w:szCs w:val="20"/>
          <w:lang w:eastAsia="en-AU"/>
        </w:rPr>
        <w:drawing>
          <wp:inline distT="0" distB="0" distL="0" distR="0" wp14:anchorId="16D3578D" wp14:editId="59DD268C">
            <wp:extent cx="5962650" cy="2524125"/>
            <wp:effectExtent l="19050" t="0" r="3810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2B6C923" w14:textId="1D7E39C7" w:rsidR="00D30A58" w:rsidRPr="00D30A58" w:rsidRDefault="00CC5C2D" w:rsidP="00D30A58">
      <w:pPr>
        <w:pStyle w:val="Heading2NoNumbers"/>
      </w:pPr>
      <w:bookmarkStart w:id="6" w:name="_Toc84499716"/>
      <w:bookmarkEnd w:id="1"/>
      <w:bookmarkEnd w:id="2"/>
      <w:r>
        <w:t>3.1 Document Control</w:t>
      </w:r>
      <w:bookmarkEnd w:id="6"/>
    </w:p>
    <w:p w14:paraId="41C4CBAE" w14:textId="77777777" w:rsidR="00CC5C2D" w:rsidRPr="003E79CA" w:rsidRDefault="00CC5C2D" w:rsidP="00CC5C2D">
      <w:r w:rsidRPr="003E79CA">
        <w:t>The RIN T</w:t>
      </w:r>
      <w:r>
        <w:t xml:space="preserve">emplates, Basis of Preparation </w:t>
      </w:r>
      <w:r w:rsidRPr="003E79CA">
        <w:t xml:space="preserve">and supporting documents </w:t>
      </w:r>
      <w:r>
        <w:t xml:space="preserve">for the Annual RINs </w:t>
      </w:r>
      <w:r w:rsidRPr="003E79CA">
        <w:t>are located on TransGrid’s file servers. These documents will be retained to support the preparation of the annual information required in future years.</w:t>
      </w:r>
    </w:p>
    <w:p w14:paraId="1D66C8BB" w14:textId="5340251A" w:rsidR="00D30A58" w:rsidRPr="00A8129D" w:rsidRDefault="00CC5C2D" w:rsidP="00A8129D">
      <w:pPr>
        <w:pStyle w:val="Heading2NoNumbers"/>
      </w:pPr>
      <w:bookmarkStart w:id="7" w:name="_Toc84499717"/>
      <w:r w:rsidRPr="00A8129D">
        <w:t>3.2 Governance</w:t>
      </w:r>
      <w:bookmarkEnd w:id="7"/>
    </w:p>
    <w:p w14:paraId="3B506657" w14:textId="74655AF8" w:rsidR="00CC5C2D" w:rsidRDefault="00CC5C2D" w:rsidP="00CC5C2D">
      <w:pPr>
        <w:pStyle w:val="BodyText"/>
      </w:pPr>
      <w:r w:rsidRPr="003E79CA">
        <w:t xml:space="preserve">The information required under the RIN has been prepared by the responsible personnel within TransGrid, termed “data collectors”, who populate the RIN templates and the relevant sections of the Basis of Preparation. This information is then reviewed internally to check </w:t>
      </w:r>
      <w:r>
        <w:t xml:space="preserve">the </w:t>
      </w:r>
      <w:r w:rsidRPr="003E79CA">
        <w:t>validity of the data collected</w:t>
      </w:r>
      <w:r>
        <w:t xml:space="preserve"> by “data reviewer”. “Data approvers” </w:t>
      </w:r>
      <w:r w:rsidRPr="003E79CA">
        <w:t xml:space="preserve">provide </w:t>
      </w:r>
      <w:proofErr w:type="gramStart"/>
      <w:r w:rsidRPr="003E79CA">
        <w:t>sign-offs</w:t>
      </w:r>
      <w:proofErr w:type="gramEnd"/>
      <w:r w:rsidRPr="003E79CA">
        <w:t xml:space="preserve"> to individual sections of the RINs and the associated BOPs. This internally verified information is presented to the auditors, PwC, who then verify the information with data collectors and other relevant persons within TransGrid. A management representation letter is provided to the auditor (PwC) on accuracy of data, and validity of estimates as the best available by TransGrid.</w:t>
      </w:r>
    </w:p>
    <w:p w14:paraId="6F5FCDC2" w14:textId="77777777" w:rsidR="00CC5C2D" w:rsidRDefault="00CC5C2D">
      <w:pPr>
        <w:rPr>
          <w:rFonts w:ascii="Arial" w:hAnsi="Arial"/>
          <w:color w:val="262626" w:themeColor="text1" w:themeTint="D9"/>
        </w:rPr>
      </w:pPr>
      <w:r>
        <w:br w:type="page"/>
      </w:r>
    </w:p>
    <w:p w14:paraId="78406B82" w14:textId="6A27526C" w:rsidR="00CC5C2D" w:rsidRPr="00D30A58" w:rsidRDefault="00CC5C2D" w:rsidP="00CC5C2D">
      <w:pPr>
        <w:pStyle w:val="Heading1NoNumbers"/>
      </w:pPr>
      <w:bookmarkStart w:id="8" w:name="_Toc84499718"/>
      <w:r>
        <w:lastRenderedPageBreak/>
        <w:t>4. Principles of Preparation</w:t>
      </w:r>
      <w:bookmarkEnd w:id="8"/>
    </w:p>
    <w:p w14:paraId="3FAB577F" w14:textId="4E5EAC59" w:rsidR="00CC5C2D" w:rsidRPr="00CC5C2D" w:rsidRDefault="00CC5C2D" w:rsidP="00CC5C2D">
      <w:r w:rsidRPr="00CC5C2D">
        <w:t xml:space="preserve">TransGrid’s response to the RIN has been prepared in accordance with the AER issued </w:t>
      </w:r>
      <w:r w:rsidRPr="00CC5C2D">
        <w:rPr>
          <w:i/>
          <w:iCs/>
        </w:rPr>
        <w:t>“Regulatory Information Notice Under Division 4 of Part 3 of the National Electricity (New South Wales) Law”</w:t>
      </w:r>
      <w:r w:rsidRPr="00CC5C2D">
        <w:t xml:space="preserve"> to TransGrid.</w:t>
      </w:r>
    </w:p>
    <w:p w14:paraId="14011640" w14:textId="2106A428" w:rsidR="00CC5C2D" w:rsidRPr="00CC5C2D" w:rsidRDefault="00CC5C2D" w:rsidP="00CC5C2D">
      <w:r w:rsidRPr="00CC5C2D">
        <w:t>In accordance with the AER’s instructions TransGrid has provided actual information using ‘records used in the normal course of business’ wherever this is possible.</w:t>
      </w:r>
    </w:p>
    <w:p w14:paraId="08BF49B4" w14:textId="77777777" w:rsidR="00CC5C2D" w:rsidRPr="00CC5C2D" w:rsidRDefault="00CC5C2D" w:rsidP="00CC5C2D">
      <w:r w:rsidRPr="00CC5C2D">
        <w:t>Where TransGrid has been unable to provide actual information, the variables have been estimated as follows:</w:t>
      </w:r>
    </w:p>
    <w:p w14:paraId="2D7B3790" w14:textId="77777777" w:rsidR="00CC5C2D" w:rsidRPr="0093111B" w:rsidRDefault="00CC5C2D" w:rsidP="0019343C">
      <w:pPr>
        <w:pStyle w:val="ListParagraph"/>
        <w:numPr>
          <w:ilvl w:val="0"/>
          <w:numId w:val="11"/>
        </w:numPr>
      </w:pPr>
      <w:r w:rsidRPr="0093111B">
        <w:t xml:space="preserve">In the first instance, where actual information exists, but the presentation is contingent of a judgement or assumption, TransGrid has used actual information to prepare the variable and stated the judgement or assumption that has been made. </w:t>
      </w:r>
    </w:p>
    <w:p w14:paraId="6B0F597D" w14:textId="77777777" w:rsidR="00CC5C2D" w:rsidRPr="0093111B" w:rsidRDefault="00CC5C2D" w:rsidP="0019343C">
      <w:pPr>
        <w:pStyle w:val="ListParagraph"/>
        <w:numPr>
          <w:ilvl w:val="0"/>
          <w:numId w:val="11"/>
        </w:numPr>
      </w:pPr>
      <w:r w:rsidRPr="0093111B">
        <w:t>Where actual information exists, but the information is incomplete over the time period or by the categories required by the RIN, TransGrid has used the actual information as far as practicable and stated the methodology used to estimate the remaining data.</w:t>
      </w:r>
    </w:p>
    <w:p w14:paraId="46E909DE" w14:textId="77777777" w:rsidR="00CC5C2D" w:rsidRPr="0093111B" w:rsidRDefault="00CC5C2D" w:rsidP="0019343C">
      <w:pPr>
        <w:pStyle w:val="ListParagraph"/>
        <w:numPr>
          <w:ilvl w:val="0"/>
          <w:numId w:val="11"/>
        </w:numPr>
      </w:pPr>
      <w:r w:rsidRPr="0093111B">
        <w:t xml:space="preserve">Where no actual information is recorded for the variable in the normal course of business, TransGrid has stated the methodology that it has used to estimate the variable required by the AER, including the assumptions made and the data sources used. </w:t>
      </w:r>
    </w:p>
    <w:p w14:paraId="457B26DB" w14:textId="77777777" w:rsidR="00CC5C2D" w:rsidRPr="00CC5C2D" w:rsidRDefault="00CC5C2D" w:rsidP="00CC5C2D">
      <w:r w:rsidRPr="00CC5C2D">
        <w:t xml:space="preserve">By following these principles of preparation, TransGrid considers that where estimates have been provided, these represent the best estimate available for each variable, noting that considerable uncertainty remains with respect to the AER’s specific purpose(s) for the information. </w:t>
      </w:r>
    </w:p>
    <w:p w14:paraId="132AA2DF" w14:textId="77777777" w:rsidR="00CC5C2D" w:rsidRPr="00CC5C2D" w:rsidRDefault="00CC5C2D" w:rsidP="00CC5C2D">
      <w:r w:rsidRPr="00CC5C2D">
        <w:t xml:space="preserve">TransGrid has prepared the schedules in compliance with the requirements of Accounting Standard AASB 108 Accounting Policies, Changes in Accounting Estimates and Errors and in compliance with the recognition, measurement and classification requirements of other relevant Accounting Standards mentioned above.   To the extent determined appropriate, the RIN schedules have been prepared in compliance with the disclosure requirements of the relevant Accounting Standards.  </w:t>
      </w:r>
    </w:p>
    <w:p w14:paraId="4122F031" w14:textId="6DCCEFBE" w:rsidR="00CC5C2D" w:rsidRDefault="00CC5C2D">
      <w:pPr>
        <w:rPr>
          <w:rFonts w:ascii="Arial" w:hAnsi="Arial"/>
          <w:color w:val="262626" w:themeColor="text1" w:themeTint="D9"/>
        </w:rPr>
      </w:pPr>
      <w:r>
        <w:br w:type="page"/>
      </w:r>
    </w:p>
    <w:p w14:paraId="71A87F25" w14:textId="22E93083" w:rsidR="00CC5C2D" w:rsidRPr="00D30A58" w:rsidRDefault="00CC5C2D" w:rsidP="00CC5C2D">
      <w:pPr>
        <w:pStyle w:val="Heading1NoNumbers"/>
      </w:pPr>
      <w:bookmarkStart w:id="9" w:name="_Toc84499719"/>
      <w:r>
        <w:lastRenderedPageBreak/>
        <w:t>5. Information Sources</w:t>
      </w:r>
      <w:bookmarkEnd w:id="9"/>
    </w:p>
    <w:p w14:paraId="10718945" w14:textId="5F9DEE61" w:rsidR="00CC5C2D" w:rsidRDefault="00CC5C2D" w:rsidP="00CC5C2D">
      <w:pPr>
        <w:pStyle w:val="BodyText"/>
      </w:pPr>
      <w:r w:rsidRPr="003E79CA">
        <w:t xml:space="preserve">Due to the combination of financial and non-financial data requested by the AER, including </w:t>
      </w:r>
      <w:proofErr w:type="gramStart"/>
      <w:r w:rsidRPr="003E79CA">
        <w:t>a number of</w:t>
      </w:r>
      <w:proofErr w:type="gramEnd"/>
      <w:r w:rsidRPr="003E79CA">
        <w:t xml:space="preserve"> items that are not routinely reported, TransGrid has drawn data from a large number of information sources that are used across its business. In most cases it has been necessary to undertake additional analysis to derive the specific information that is required in the RIN response.</w:t>
      </w:r>
    </w:p>
    <w:p w14:paraId="6EABDD07" w14:textId="05958B97" w:rsidR="00CC5C2D" w:rsidRDefault="00CC5C2D" w:rsidP="00CC5C2D">
      <w:pPr>
        <w:pStyle w:val="BodyText"/>
      </w:pPr>
      <w:r w:rsidRPr="003E79CA">
        <w:t xml:space="preserve">The key systems and information sources that have been relied on are summarised in the table below, and are referred to, in the detailed basis of preparation tables in section </w:t>
      </w:r>
      <w:r>
        <w:t>7.</w:t>
      </w:r>
    </w:p>
    <w:tbl>
      <w:tblPr>
        <w:tblStyle w:val="TablewithBandedRow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4320"/>
        <w:gridCol w:w="3530"/>
      </w:tblGrid>
      <w:tr w:rsidR="007427D6" w:rsidRPr="00EC241C" w14:paraId="2F4530C7" w14:textId="77777777" w:rsidTr="003432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6" w:type="pct"/>
          </w:tcPr>
          <w:p w14:paraId="72F91AC9" w14:textId="77777777" w:rsidR="007427D6" w:rsidRPr="007427D6" w:rsidRDefault="007427D6" w:rsidP="007427D6">
            <w:pPr>
              <w:spacing w:before="80" w:line="276" w:lineRule="auto"/>
              <w:rPr>
                <w:rFonts w:cstheme="minorHAnsi"/>
                <w:color w:val="auto"/>
                <w:sz w:val="18"/>
                <w:szCs w:val="18"/>
              </w:rPr>
            </w:pPr>
            <w:r w:rsidRPr="007427D6">
              <w:rPr>
                <w:rFonts w:cstheme="minorHAnsi"/>
                <w:color w:val="auto"/>
                <w:sz w:val="18"/>
                <w:szCs w:val="18"/>
              </w:rPr>
              <w:t>Information Source</w:t>
            </w:r>
          </w:p>
        </w:tc>
        <w:tc>
          <w:tcPr>
            <w:tcW w:w="2165" w:type="pct"/>
          </w:tcPr>
          <w:p w14:paraId="59857379" w14:textId="77777777" w:rsidR="007427D6" w:rsidRPr="007427D6" w:rsidRDefault="007427D6" w:rsidP="007427D6">
            <w:pPr>
              <w:spacing w:before="80"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7427D6">
              <w:rPr>
                <w:rFonts w:cstheme="minorHAnsi"/>
                <w:color w:val="auto"/>
                <w:sz w:val="18"/>
                <w:szCs w:val="18"/>
              </w:rPr>
              <w:t>Brief Description</w:t>
            </w:r>
          </w:p>
        </w:tc>
        <w:tc>
          <w:tcPr>
            <w:tcW w:w="1769" w:type="pct"/>
          </w:tcPr>
          <w:p w14:paraId="6FABDCDE" w14:textId="77777777" w:rsidR="007427D6" w:rsidRPr="007427D6" w:rsidRDefault="007427D6" w:rsidP="007427D6">
            <w:pPr>
              <w:spacing w:before="80" w:line="276" w:lineRule="auto"/>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7427D6">
              <w:rPr>
                <w:rFonts w:cstheme="minorHAnsi"/>
                <w:color w:val="auto"/>
                <w:sz w:val="18"/>
                <w:szCs w:val="18"/>
              </w:rPr>
              <w:t xml:space="preserve">Supports </w:t>
            </w:r>
          </w:p>
        </w:tc>
      </w:tr>
      <w:tr w:rsidR="007427D6" w:rsidRPr="00EC241C" w14:paraId="06B0AFB7"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0C6D0D26" w14:textId="77777777" w:rsidR="007427D6" w:rsidRPr="007427D6" w:rsidRDefault="007427D6" w:rsidP="007427D6">
            <w:pPr>
              <w:spacing w:before="80"/>
              <w:rPr>
                <w:sz w:val="18"/>
                <w:szCs w:val="18"/>
              </w:rPr>
            </w:pPr>
            <w:r w:rsidRPr="007427D6">
              <w:rPr>
                <w:sz w:val="18"/>
                <w:szCs w:val="18"/>
              </w:rPr>
              <w:t>AEMO Settlement Statements</w:t>
            </w:r>
          </w:p>
        </w:tc>
        <w:tc>
          <w:tcPr>
            <w:tcW w:w="2165" w:type="pct"/>
          </w:tcPr>
          <w:p w14:paraId="4E9E2FE3"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AEMO issued statements for intraregional and interregional settlement residues. </w:t>
            </w:r>
          </w:p>
        </w:tc>
        <w:tc>
          <w:tcPr>
            <w:tcW w:w="1769" w:type="pct"/>
          </w:tcPr>
          <w:p w14:paraId="25A00370"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3.1 Revenue</w:t>
            </w:r>
          </w:p>
        </w:tc>
      </w:tr>
      <w:tr w:rsidR="007427D6" w:rsidRPr="00EC241C" w14:paraId="6952E192"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4351B2A8" w14:textId="77777777" w:rsidR="007427D6" w:rsidRPr="007427D6" w:rsidRDefault="007427D6" w:rsidP="007427D6">
            <w:pPr>
              <w:spacing w:before="80"/>
              <w:rPr>
                <w:sz w:val="18"/>
                <w:szCs w:val="18"/>
              </w:rPr>
            </w:pPr>
            <w:r w:rsidRPr="007427D6">
              <w:rPr>
                <w:sz w:val="18"/>
                <w:szCs w:val="18"/>
              </w:rPr>
              <w:t xml:space="preserve">AEMO Connection Point Forecast </w:t>
            </w:r>
          </w:p>
        </w:tc>
        <w:tc>
          <w:tcPr>
            <w:tcW w:w="2165" w:type="pct"/>
          </w:tcPr>
          <w:p w14:paraId="303FB332"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AEMO connection point forecasts are used in applying weather correction for non-coincident maximum demand</w:t>
            </w:r>
          </w:p>
        </w:tc>
        <w:tc>
          <w:tcPr>
            <w:tcW w:w="1769" w:type="pct"/>
          </w:tcPr>
          <w:p w14:paraId="16CA48AD"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3.4 Operational data</w:t>
            </w:r>
          </w:p>
        </w:tc>
      </w:tr>
      <w:tr w:rsidR="007427D6" w:rsidRPr="00EC241C" w14:paraId="211EC2D0"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2BA49E3E" w14:textId="77777777" w:rsidR="007427D6" w:rsidRPr="007427D6" w:rsidRDefault="007427D6" w:rsidP="007427D6">
            <w:pPr>
              <w:spacing w:before="80"/>
              <w:rPr>
                <w:sz w:val="18"/>
                <w:szCs w:val="18"/>
              </w:rPr>
            </w:pPr>
            <w:r w:rsidRPr="007427D6">
              <w:rPr>
                <w:sz w:val="18"/>
                <w:szCs w:val="18"/>
              </w:rPr>
              <w:t>AEMO MMS Database</w:t>
            </w:r>
          </w:p>
        </w:tc>
        <w:tc>
          <w:tcPr>
            <w:tcW w:w="2165" w:type="pct"/>
          </w:tcPr>
          <w:p w14:paraId="65578231"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AEMO’s Market Management System Database, which contains data relating to National Electricity Market (NEM) constraints.  The software package ez2view (developed by Global Roam) acts as a front-end to this database, enabling extraction of data.</w:t>
            </w:r>
          </w:p>
        </w:tc>
        <w:tc>
          <w:tcPr>
            <w:tcW w:w="1769" w:type="pct"/>
          </w:tcPr>
          <w:p w14:paraId="692A918D"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3.6 Quality of Services</w:t>
            </w:r>
          </w:p>
        </w:tc>
      </w:tr>
      <w:tr w:rsidR="007427D6" w:rsidRPr="00EC241C" w14:paraId="48464A91"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4247151" w14:textId="77777777" w:rsidR="007427D6" w:rsidRPr="007427D6" w:rsidRDefault="007427D6" w:rsidP="007427D6">
            <w:pPr>
              <w:spacing w:before="80"/>
              <w:rPr>
                <w:sz w:val="18"/>
                <w:szCs w:val="18"/>
              </w:rPr>
            </w:pPr>
            <w:r w:rsidRPr="007427D6">
              <w:rPr>
                <w:sz w:val="18"/>
                <w:szCs w:val="18"/>
              </w:rPr>
              <w:t>AER Current Period Determination</w:t>
            </w:r>
          </w:p>
        </w:tc>
        <w:tc>
          <w:tcPr>
            <w:tcW w:w="2165" w:type="pct"/>
          </w:tcPr>
          <w:p w14:paraId="751BFC66"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The AER’s final determination for the 2018/19 to 2022/23. </w:t>
            </w:r>
          </w:p>
        </w:tc>
        <w:tc>
          <w:tcPr>
            <w:tcW w:w="1769" w:type="pct"/>
          </w:tcPr>
          <w:p w14:paraId="4DAEDC4D"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3.1 Revenue, Worksheet 3.3 Assets (RAB)</w:t>
            </w:r>
          </w:p>
        </w:tc>
      </w:tr>
      <w:tr w:rsidR="007427D6" w:rsidRPr="00EC241C" w14:paraId="7DDD43D4"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BA77949" w14:textId="77777777" w:rsidR="007427D6" w:rsidRPr="007427D6" w:rsidRDefault="007427D6" w:rsidP="007427D6">
            <w:pPr>
              <w:spacing w:before="80"/>
              <w:rPr>
                <w:sz w:val="18"/>
                <w:szCs w:val="18"/>
              </w:rPr>
            </w:pPr>
            <w:r w:rsidRPr="007427D6">
              <w:rPr>
                <w:sz w:val="18"/>
                <w:szCs w:val="18"/>
              </w:rPr>
              <w:t>AER Roll Forward Model</w:t>
            </w:r>
          </w:p>
        </w:tc>
        <w:tc>
          <w:tcPr>
            <w:tcW w:w="2165" w:type="pct"/>
          </w:tcPr>
          <w:p w14:paraId="72E4D2D6"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AER’s Roll Forward Model populated by capex and disposals data from the Regulatory Accounts provided to the AER</w:t>
            </w:r>
          </w:p>
        </w:tc>
        <w:tc>
          <w:tcPr>
            <w:tcW w:w="1769" w:type="pct"/>
          </w:tcPr>
          <w:p w14:paraId="4F795C78"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3.3 Assets (RAB)</w:t>
            </w:r>
          </w:p>
        </w:tc>
      </w:tr>
      <w:tr w:rsidR="007427D6" w:rsidRPr="00EC241C" w14:paraId="655222E8"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C800CDC" w14:textId="77777777" w:rsidR="007427D6" w:rsidRPr="007427D6" w:rsidRDefault="007427D6" w:rsidP="007427D6">
            <w:pPr>
              <w:spacing w:before="80"/>
              <w:rPr>
                <w:sz w:val="18"/>
                <w:szCs w:val="18"/>
              </w:rPr>
            </w:pPr>
            <w:r w:rsidRPr="007427D6">
              <w:rPr>
                <w:sz w:val="18"/>
                <w:szCs w:val="18"/>
              </w:rPr>
              <w:t>AER STPIS Letters</w:t>
            </w:r>
          </w:p>
        </w:tc>
        <w:tc>
          <w:tcPr>
            <w:tcW w:w="2165" w:type="pct"/>
          </w:tcPr>
          <w:p w14:paraId="477A1CAD"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Annual letters from the AER confirming the revenue attributable to the Service Target Performance Incentive Scheme</w:t>
            </w:r>
          </w:p>
        </w:tc>
        <w:tc>
          <w:tcPr>
            <w:tcW w:w="1769" w:type="pct"/>
          </w:tcPr>
          <w:p w14:paraId="32AB0100"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3.1 Revenue</w:t>
            </w:r>
          </w:p>
        </w:tc>
      </w:tr>
      <w:tr w:rsidR="007427D6" w:rsidRPr="00EC241C" w14:paraId="77C3CD12" w14:textId="77777777" w:rsidTr="003432CE">
        <w:trPr>
          <w:trHeight w:val="586"/>
        </w:trPr>
        <w:tc>
          <w:tcPr>
            <w:cnfStyle w:val="001000000000" w:firstRow="0" w:lastRow="0" w:firstColumn="1" w:lastColumn="0" w:oddVBand="0" w:evenVBand="0" w:oddHBand="0" w:evenHBand="0" w:firstRowFirstColumn="0" w:firstRowLastColumn="0" w:lastRowFirstColumn="0" w:lastRowLastColumn="0"/>
            <w:tcW w:w="1066" w:type="pct"/>
          </w:tcPr>
          <w:p w14:paraId="1B120A2E" w14:textId="77777777" w:rsidR="007427D6" w:rsidRPr="007427D6" w:rsidRDefault="007427D6" w:rsidP="007427D6">
            <w:pPr>
              <w:spacing w:before="80"/>
              <w:rPr>
                <w:sz w:val="18"/>
                <w:szCs w:val="18"/>
              </w:rPr>
            </w:pPr>
            <w:r w:rsidRPr="007427D6">
              <w:rPr>
                <w:sz w:val="18"/>
                <w:szCs w:val="18"/>
              </w:rPr>
              <w:t xml:space="preserve">Bush Fire Prone Lands </w:t>
            </w:r>
          </w:p>
        </w:tc>
        <w:tc>
          <w:tcPr>
            <w:tcW w:w="2165" w:type="pct"/>
          </w:tcPr>
          <w:p w14:paraId="1E1D4FC5"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Spatial data set sourced from NSW Rural Fire Service</w:t>
            </w:r>
          </w:p>
        </w:tc>
        <w:tc>
          <w:tcPr>
            <w:tcW w:w="1769" w:type="pct"/>
          </w:tcPr>
          <w:p w14:paraId="6589EFDD"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3.7 Operating Environment</w:t>
            </w:r>
          </w:p>
        </w:tc>
      </w:tr>
      <w:tr w:rsidR="007427D6" w:rsidRPr="00EC241C" w14:paraId="4E3CE36B"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D9F18F0" w14:textId="77777777" w:rsidR="007427D6" w:rsidRPr="007427D6" w:rsidRDefault="007427D6" w:rsidP="007427D6">
            <w:pPr>
              <w:spacing w:before="80"/>
              <w:rPr>
                <w:sz w:val="18"/>
                <w:szCs w:val="18"/>
              </w:rPr>
            </w:pPr>
            <w:r w:rsidRPr="007427D6">
              <w:rPr>
                <w:sz w:val="18"/>
                <w:szCs w:val="18"/>
              </w:rPr>
              <w:t>Climate Zone Map</w:t>
            </w:r>
          </w:p>
        </w:tc>
        <w:tc>
          <w:tcPr>
            <w:tcW w:w="2165" w:type="pct"/>
          </w:tcPr>
          <w:p w14:paraId="4B8C6A28"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Spatial data set sourced from the Australian Bureau of Meteorology </w:t>
            </w:r>
          </w:p>
        </w:tc>
        <w:tc>
          <w:tcPr>
            <w:tcW w:w="1769" w:type="pct"/>
          </w:tcPr>
          <w:p w14:paraId="64D1587F"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 Operating Environment</w:t>
            </w:r>
          </w:p>
        </w:tc>
      </w:tr>
      <w:tr w:rsidR="007427D6" w:rsidRPr="00EC241C" w14:paraId="6B1FDA71"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10ED4D33" w14:textId="77777777" w:rsidR="007427D6" w:rsidRPr="007427D6" w:rsidRDefault="007427D6" w:rsidP="007427D6">
            <w:pPr>
              <w:spacing w:before="80"/>
              <w:rPr>
                <w:sz w:val="18"/>
                <w:szCs w:val="18"/>
              </w:rPr>
            </w:pPr>
            <w:r w:rsidRPr="007427D6">
              <w:rPr>
                <w:sz w:val="18"/>
                <w:szCs w:val="18"/>
              </w:rPr>
              <w:t>Ellipse</w:t>
            </w:r>
          </w:p>
        </w:tc>
        <w:tc>
          <w:tcPr>
            <w:tcW w:w="2165" w:type="pct"/>
          </w:tcPr>
          <w:p w14:paraId="7AB76262"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TransGrid’s corporate asset management database</w:t>
            </w:r>
          </w:p>
        </w:tc>
        <w:tc>
          <w:tcPr>
            <w:tcW w:w="1769" w:type="pct"/>
          </w:tcPr>
          <w:p w14:paraId="68464708"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3.5 Physical Assets, Worksheet 3.7 Operating Environment</w:t>
            </w:r>
          </w:p>
        </w:tc>
      </w:tr>
      <w:tr w:rsidR="007427D6" w:rsidRPr="00EC241C" w14:paraId="6FAC67B2"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400C0767" w14:textId="77777777" w:rsidR="007427D6" w:rsidRPr="007427D6" w:rsidRDefault="007427D6" w:rsidP="007427D6">
            <w:pPr>
              <w:spacing w:before="80"/>
              <w:rPr>
                <w:sz w:val="18"/>
                <w:szCs w:val="18"/>
              </w:rPr>
            </w:pPr>
            <w:r w:rsidRPr="007427D6">
              <w:rPr>
                <w:sz w:val="18"/>
                <w:szCs w:val="18"/>
              </w:rPr>
              <w:t>Invoices Received</w:t>
            </w:r>
          </w:p>
        </w:tc>
        <w:tc>
          <w:tcPr>
            <w:tcW w:w="2165" w:type="pct"/>
          </w:tcPr>
          <w:p w14:paraId="2884D90E"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Contractor invoices received for vegetation management works have been used to estimate the variables requested </w:t>
            </w:r>
          </w:p>
        </w:tc>
        <w:tc>
          <w:tcPr>
            <w:tcW w:w="1769" w:type="pct"/>
          </w:tcPr>
          <w:p w14:paraId="0B87B160"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 Operating Environment</w:t>
            </w:r>
          </w:p>
        </w:tc>
      </w:tr>
      <w:tr w:rsidR="007427D6" w:rsidRPr="00EC241C" w14:paraId="30BB6C94"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412FDDE" w14:textId="77777777" w:rsidR="007427D6" w:rsidRPr="007427D6" w:rsidRDefault="007427D6" w:rsidP="007427D6">
            <w:pPr>
              <w:spacing w:before="80"/>
              <w:rPr>
                <w:sz w:val="18"/>
                <w:szCs w:val="18"/>
              </w:rPr>
            </w:pPr>
            <w:r w:rsidRPr="007427D6">
              <w:rPr>
                <w:sz w:val="18"/>
                <w:szCs w:val="18"/>
              </w:rPr>
              <w:t>LAN</w:t>
            </w:r>
          </w:p>
        </w:tc>
        <w:tc>
          <w:tcPr>
            <w:tcW w:w="2165" w:type="pct"/>
          </w:tcPr>
          <w:p w14:paraId="27A1FE33"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TransGrid’s corporate IT network</w:t>
            </w:r>
          </w:p>
        </w:tc>
        <w:tc>
          <w:tcPr>
            <w:tcW w:w="1769" w:type="pct"/>
          </w:tcPr>
          <w:p w14:paraId="0CA1A81F"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Various (Document Locations)</w:t>
            </w:r>
          </w:p>
        </w:tc>
      </w:tr>
      <w:tr w:rsidR="007427D6" w:rsidRPr="00B87EF2" w14:paraId="129F404E"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1412FE7" w14:textId="77777777" w:rsidR="007427D6" w:rsidRPr="007427D6" w:rsidRDefault="007427D6" w:rsidP="007427D6">
            <w:pPr>
              <w:spacing w:before="80"/>
              <w:rPr>
                <w:sz w:val="18"/>
                <w:szCs w:val="18"/>
              </w:rPr>
            </w:pPr>
            <w:r w:rsidRPr="007427D6">
              <w:rPr>
                <w:sz w:val="18"/>
                <w:szCs w:val="18"/>
              </w:rPr>
              <w:t>LiDAR</w:t>
            </w:r>
          </w:p>
        </w:tc>
        <w:tc>
          <w:tcPr>
            <w:tcW w:w="2165" w:type="pct"/>
          </w:tcPr>
          <w:p w14:paraId="5CD764FE"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Light Detection and Ranging data sourced from aerial surveys that is used to measure vegetation clearances from TransGrid’s transmission line assets.</w:t>
            </w:r>
          </w:p>
        </w:tc>
        <w:tc>
          <w:tcPr>
            <w:tcW w:w="1769" w:type="pct"/>
          </w:tcPr>
          <w:p w14:paraId="4E4A4754"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 Operating Environment</w:t>
            </w:r>
          </w:p>
        </w:tc>
      </w:tr>
      <w:tr w:rsidR="007427D6" w:rsidRPr="00EC241C" w14:paraId="3B8CFE58"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02729B33" w14:textId="77777777" w:rsidR="007427D6" w:rsidRPr="007427D6" w:rsidRDefault="007427D6" w:rsidP="007427D6">
            <w:pPr>
              <w:spacing w:before="80"/>
              <w:rPr>
                <w:sz w:val="18"/>
                <w:szCs w:val="18"/>
              </w:rPr>
            </w:pPr>
            <w:r w:rsidRPr="007427D6">
              <w:rPr>
                <w:sz w:val="18"/>
                <w:szCs w:val="18"/>
              </w:rPr>
              <w:t>Maintenance Plans</w:t>
            </w:r>
          </w:p>
        </w:tc>
        <w:tc>
          <w:tcPr>
            <w:tcW w:w="2165" w:type="pct"/>
          </w:tcPr>
          <w:p w14:paraId="01B8A31C"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Used for the operation and maintenance of TransGrid’s assets, these outline equipment information, standard practices and maintenance requirements.</w:t>
            </w:r>
          </w:p>
        </w:tc>
        <w:tc>
          <w:tcPr>
            <w:tcW w:w="1769" w:type="pct"/>
          </w:tcPr>
          <w:p w14:paraId="235629C4"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3.7 Operating Environment</w:t>
            </w:r>
          </w:p>
        </w:tc>
      </w:tr>
      <w:tr w:rsidR="007427D6" w:rsidRPr="00EC241C" w14:paraId="77B40917"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B06465E" w14:textId="77777777" w:rsidR="007427D6" w:rsidRPr="007427D6" w:rsidRDefault="007427D6" w:rsidP="007427D6">
            <w:pPr>
              <w:spacing w:before="80"/>
              <w:rPr>
                <w:sz w:val="18"/>
                <w:szCs w:val="18"/>
              </w:rPr>
            </w:pPr>
            <w:r w:rsidRPr="007427D6">
              <w:rPr>
                <w:sz w:val="18"/>
                <w:szCs w:val="18"/>
              </w:rPr>
              <w:t>Network Performance Review</w:t>
            </w:r>
          </w:p>
        </w:tc>
        <w:tc>
          <w:tcPr>
            <w:tcW w:w="2165" w:type="pct"/>
          </w:tcPr>
          <w:p w14:paraId="2AC65A2B"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Internal report on outages that is generated each month from the THEOS System</w:t>
            </w:r>
          </w:p>
        </w:tc>
        <w:tc>
          <w:tcPr>
            <w:tcW w:w="1769" w:type="pct"/>
          </w:tcPr>
          <w:p w14:paraId="167DEB2E"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3.6 Quality of Services</w:t>
            </w:r>
          </w:p>
        </w:tc>
      </w:tr>
      <w:tr w:rsidR="007427D6" w:rsidRPr="00EC241C" w14:paraId="5F24E7F7"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50CDBF33" w14:textId="77777777" w:rsidR="007427D6" w:rsidRPr="007427D6" w:rsidRDefault="007427D6" w:rsidP="007427D6">
            <w:pPr>
              <w:spacing w:before="80"/>
              <w:rPr>
                <w:sz w:val="18"/>
                <w:szCs w:val="18"/>
              </w:rPr>
            </w:pPr>
            <w:proofErr w:type="spellStart"/>
            <w:r w:rsidRPr="007427D6">
              <w:rPr>
                <w:sz w:val="18"/>
                <w:szCs w:val="18"/>
              </w:rPr>
              <w:lastRenderedPageBreak/>
              <w:t>Opex</w:t>
            </w:r>
            <w:proofErr w:type="spellEnd"/>
            <w:r w:rsidRPr="007427D6">
              <w:rPr>
                <w:sz w:val="18"/>
                <w:szCs w:val="18"/>
              </w:rPr>
              <w:t xml:space="preserve"> Model</w:t>
            </w:r>
          </w:p>
        </w:tc>
        <w:tc>
          <w:tcPr>
            <w:tcW w:w="2165" w:type="pct"/>
          </w:tcPr>
          <w:p w14:paraId="002CED82"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TransGrid’s </w:t>
            </w:r>
            <w:proofErr w:type="spellStart"/>
            <w:r w:rsidRPr="007427D6">
              <w:rPr>
                <w:sz w:val="18"/>
                <w:szCs w:val="18"/>
              </w:rPr>
              <w:t>opex</w:t>
            </w:r>
            <w:proofErr w:type="spellEnd"/>
            <w:r w:rsidRPr="007427D6">
              <w:rPr>
                <w:sz w:val="18"/>
                <w:szCs w:val="18"/>
              </w:rPr>
              <w:t xml:space="preserve"> model used for the preparation of the regulatory proposal and the annual regulatory accounts.</w:t>
            </w:r>
          </w:p>
        </w:tc>
        <w:tc>
          <w:tcPr>
            <w:tcW w:w="1769" w:type="pct"/>
          </w:tcPr>
          <w:p w14:paraId="56A04FDE"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3.2 Operating Expenditure</w:t>
            </w:r>
          </w:p>
        </w:tc>
      </w:tr>
      <w:tr w:rsidR="007427D6" w:rsidRPr="00EC241C" w14:paraId="01852A62"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5E3E1AC" w14:textId="77777777" w:rsidR="007427D6" w:rsidRPr="007427D6" w:rsidRDefault="007427D6" w:rsidP="007427D6">
            <w:pPr>
              <w:spacing w:before="80"/>
              <w:rPr>
                <w:sz w:val="18"/>
                <w:szCs w:val="18"/>
              </w:rPr>
            </w:pPr>
            <w:r w:rsidRPr="007427D6">
              <w:rPr>
                <w:sz w:val="18"/>
                <w:szCs w:val="18"/>
              </w:rPr>
              <w:t>Spot Height Data (25m)</w:t>
            </w:r>
          </w:p>
        </w:tc>
        <w:tc>
          <w:tcPr>
            <w:tcW w:w="2165" w:type="pct"/>
          </w:tcPr>
          <w:p w14:paraId="32554F63"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Topographical information sourced from NSW Land and Property Information. </w:t>
            </w:r>
          </w:p>
        </w:tc>
        <w:tc>
          <w:tcPr>
            <w:tcW w:w="1769" w:type="pct"/>
          </w:tcPr>
          <w:p w14:paraId="0DD362E2"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w:t>
            </w:r>
          </w:p>
        </w:tc>
      </w:tr>
      <w:tr w:rsidR="007427D6" w:rsidRPr="00EC241C" w14:paraId="26C58494"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6CB7A081" w14:textId="77777777" w:rsidR="007427D6" w:rsidRPr="007427D6" w:rsidRDefault="007427D6" w:rsidP="007427D6">
            <w:pPr>
              <w:spacing w:before="80"/>
              <w:rPr>
                <w:sz w:val="18"/>
                <w:szCs w:val="18"/>
              </w:rPr>
            </w:pPr>
            <w:r w:rsidRPr="007427D6">
              <w:rPr>
                <w:sz w:val="18"/>
                <w:szCs w:val="18"/>
              </w:rPr>
              <w:t>System Operating Diagrams</w:t>
            </w:r>
          </w:p>
        </w:tc>
        <w:tc>
          <w:tcPr>
            <w:tcW w:w="2165" w:type="pct"/>
          </w:tcPr>
          <w:p w14:paraId="5B9569D3"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High Voltage Operating Diagrams detail in </w:t>
            </w:r>
            <w:proofErr w:type="spellStart"/>
            <w:r w:rsidRPr="007427D6">
              <w:rPr>
                <w:sz w:val="18"/>
                <w:szCs w:val="18"/>
              </w:rPr>
              <w:t>plan</w:t>
            </w:r>
            <w:proofErr w:type="spellEnd"/>
            <w:r w:rsidRPr="007427D6">
              <w:rPr>
                <w:sz w:val="18"/>
                <w:szCs w:val="18"/>
              </w:rPr>
              <w:t xml:space="preserve"> view, single line format, the high voltage equipment, operational nomenclature and electrical connections for substations, switching stations and power station switchyards</w:t>
            </w:r>
          </w:p>
        </w:tc>
        <w:tc>
          <w:tcPr>
            <w:tcW w:w="1769" w:type="pct"/>
          </w:tcPr>
          <w:p w14:paraId="0E09BDDD"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3.5 Physical Assets</w:t>
            </w:r>
          </w:p>
        </w:tc>
      </w:tr>
      <w:tr w:rsidR="007427D6" w:rsidRPr="00EC241C" w14:paraId="4BA68493"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27BEB93" w14:textId="77777777" w:rsidR="007427D6" w:rsidRPr="007427D6" w:rsidRDefault="007427D6" w:rsidP="007427D6">
            <w:pPr>
              <w:spacing w:before="80"/>
              <w:rPr>
                <w:sz w:val="18"/>
                <w:szCs w:val="18"/>
              </w:rPr>
            </w:pPr>
            <w:r w:rsidRPr="007427D6">
              <w:rPr>
                <w:sz w:val="18"/>
                <w:szCs w:val="18"/>
              </w:rPr>
              <w:t>TransGrid Spatial System (TSS) – formerly TAMIS</w:t>
            </w:r>
          </w:p>
        </w:tc>
        <w:tc>
          <w:tcPr>
            <w:tcW w:w="2165" w:type="pct"/>
          </w:tcPr>
          <w:p w14:paraId="670916A7"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NSW Transmission System and TransGrid Asset Management Information System (TAMIS) is the Geographical Information System (GIS) used by TransGrid to manage its spatial asset data.</w:t>
            </w:r>
          </w:p>
          <w:p w14:paraId="62B703F9"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The formal name of the TAMIS system has recently been changed to TSS.</w:t>
            </w:r>
          </w:p>
        </w:tc>
        <w:tc>
          <w:tcPr>
            <w:tcW w:w="1769" w:type="pct"/>
          </w:tcPr>
          <w:p w14:paraId="2220493E"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3.5 Physical Assets, Worksheet 3.7 Operating Environment</w:t>
            </w:r>
          </w:p>
        </w:tc>
      </w:tr>
      <w:tr w:rsidR="007427D6" w:rsidRPr="00EC241C" w14:paraId="4D2BEC85"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E38C5F5" w14:textId="77777777" w:rsidR="007427D6" w:rsidRPr="007427D6" w:rsidRDefault="007427D6" w:rsidP="007427D6">
            <w:pPr>
              <w:spacing w:before="80"/>
              <w:rPr>
                <w:sz w:val="18"/>
                <w:szCs w:val="18"/>
              </w:rPr>
            </w:pPr>
            <w:r w:rsidRPr="007427D6">
              <w:rPr>
                <w:sz w:val="18"/>
                <w:szCs w:val="18"/>
              </w:rPr>
              <w:t>TransGrid Regulatory Accounts</w:t>
            </w:r>
          </w:p>
        </w:tc>
        <w:tc>
          <w:tcPr>
            <w:tcW w:w="2165" w:type="pct"/>
          </w:tcPr>
          <w:p w14:paraId="730F1793"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TransGrid’s annual Regulatory Accounts which are prepared and submitted in accordance with the AER’s requirements.</w:t>
            </w:r>
          </w:p>
        </w:tc>
        <w:tc>
          <w:tcPr>
            <w:tcW w:w="1769" w:type="pct"/>
          </w:tcPr>
          <w:p w14:paraId="25085EDC"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Worksheet 3.2 </w:t>
            </w:r>
            <w:proofErr w:type="spellStart"/>
            <w:r w:rsidRPr="007427D6">
              <w:rPr>
                <w:sz w:val="18"/>
                <w:szCs w:val="18"/>
              </w:rPr>
              <w:t>Opex</w:t>
            </w:r>
            <w:proofErr w:type="spellEnd"/>
            <w:r w:rsidRPr="007427D6">
              <w:rPr>
                <w:sz w:val="18"/>
                <w:szCs w:val="18"/>
              </w:rPr>
              <w:t>, Worksheet 3.2.3 Provisions</w:t>
            </w:r>
          </w:p>
        </w:tc>
      </w:tr>
      <w:tr w:rsidR="007427D6" w:rsidRPr="00EC241C" w14:paraId="16A8144F"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91D98EA" w14:textId="77777777" w:rsidR="007427D6" w:rsidRPr="007427D6" w:rsidRDefault="007427D6" w:rsidP="007427D6">
            <w:pPr>
              <w:spacing w:before="80"/>
              <w:rPr>
                <w:sz w:val="18"/>
                <w:szCs w:val="18"/>
              </w:rPr>
            </w:pPr>
            <w:r w:rsidRPr="007427D6">
              <w:rPr>
                <w:sz w:val="18"/>
                <w:szCs w:val="18"/>
              </w:rPr>
              <w:t>TransGrid Electrical Data Book</w:t>
            </w:r>
          </w:p>
        </w:tc>
        <w:tc>
          <w:tcPr>
            <w:tcW w:w="2165" w:type="pct"/>
          </w:tcPr>
          <w:p w14:paraId="6F800061"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A central record of electrical asset data regarding TransGrid’s network that is published on the TransGrid Intranet. </w:t>
            </w:r>
          </w:p>
        </w:tc>
        <w:tc>
          <w:tcPr>
            <w:tcW w:w="1769" w:type="pct"/>
          </w:tcPr>
          <w:p w14:paraId="1C9B6BFF"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 xml:space="preserve">Worksheet 3.5 Physical Assets </w:t>
            </w:r>
          </w:p>
          <w:p w14:paraId="118AD8B3"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 Operating Environment</w:t>
            </w:r>
          </w:p>
        </w:tc>
      </w:tr>
      <w:tr w:rsidR="007427D6" w:rsidRPr="00EC241C" w14:paraId="6855CD64"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91FE6E7" w14:textId="77777777" w:rsidR="007427D6" w:rsidRPr="007427D6" w:rsidRDefault="007427D6" w:rsidP="007427D6">
            <w:pPr>
              <w:spacing w:before="80"/>
              <w:rPr>
                <w:sz w:val="18"/>
                <w:szCs w:val="18"/>
              </w:rPr>
            </w:pPr>
            <w:r w:rsidRPr="007427D6">
              <w:rPr>
                <w:sz w:val="18"/>
                <w:szCs w:val="18"/>
              </w:rPr>
              <w:t>TransGrid Operating Manuals</w:t>
            </w:r>
          </w:p>
        </w:tc>
        <w:tc>
          <w:tcPr>
            <w:tcW w:w="2165" w:type="pct"/>
          </w:tcPr>
          <w:p w14:paraId="67E9FB57"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Operating Manuals for TransGrid’s assets outlining ratings for assets in each region of TransGrid’s network.</w:t>
            </w:r>
          </w:p>
        </w:tc>
        <w:tc>
          <w:tcPr>
            <w:tcW w:w="1769" w:type="pct"/>
          </w:tcPr>
          <w:p w14:paraId="165C2721"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3.5 Physical Assets</w:t>
            </w:r>
          </w:p>
        </w:tc>
      </w:tr>
      <w:tr w:rsidR="007427D6" w:rsidRPr="00F22573" w14:paraId="37E0E2B9"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EB55C34" w14:textId="77777777" w:rsidR="007427D6" w:rsidRPr="007427D6" w:rsidRDefault="007427D6" w:rsidP="007427D6">
            <w:pPr>
              <w:spacing w:before="80"/>
              <w:rPr>
                <w:sz w:val="18"/>
                <w:szCs w:val="18"/>
              </w:rPr>
            </w:pPr>
            <w:r w:rsidRPr="007427D6">
              <w:rPr>
                <w:sz w:val="18"/>
                <w:szCs w:val="18"/>
              </w:rPr>
              <w:t>TRIM</w:t>
            </w:r>
          </w:p>
        </w:tc>
        <w:tc>
          <w:tcPr>
            <w:tcW w:w="2165" w:type="pct"/>
          </w:tcPr>
          <w:p w14:paraId="4E9F1FCA"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TransGrid’s corporate document management system</w:t>
            </w:r>
          </w:p>
        </w:tc>
        <w:tc>
          <w:tcPr>
            <w:tcW w:w="1769" w:type="pct"/>
          </w:tcPr>
          <w:p w14:paraId="49936D9C"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Various (Document Locations)</w:t>
            </w:r>
          </w:p>
        </w:tc>
      </w:tr>
      <w:tr w:rsidR="007427D6" w:rsidRPr="00F22573" w14:paraId="5BC740BB"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966A002" w14:textId="77777777" w:rsidR="007427D6" w:rsidRPr="007427D6" w:rsidRDefault="007427D6" w:rsidP="007427D6">
            <w:pPr>
              <w:spacing w:before="80"/>
              <w:rPr>
                <w:sz w:val="18"/>
                <w:szCs w:val="18"/>
              </w:rPr>
            </w:pPr>
            <w:r w:rsidRPr="007427D6">
              <w:rPr>
                <w:sz w:val="18"/>
                <w:szCs w:val="18"/>
              </w:rPr>
              <w:t>TUOS System</w:t>
            </w:r>
          </w:p>
        </w:tc>
        <w:tc>
          <w:tcPr>
            <w:tcW w:w="2165" w:type="pct"/>
          </w:tcPr>
          <w:p w14:paraId="01154D8A"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Transmission Use of System (TUOS) charges are TransGrid’s primary source of revenue. </w:t>
            </w:r>
          </w:p>
          <w:p w14:paraId="294C4E52"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 xml:space="preserve">The TUOS System is the billing system that underpins TransGrid’s invoicing and records the information from the various metering installations deployed across TransGrid’s network. </w:t>
            </w:r>
          </w:p>
        </w:tc>
        <w:tc>
          <w:tcPr>
            <w:tcW w:w="1769" w:type="pct"/>
          </w:tcPr>
          <w:p w14:paraId="6F65798D"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3.1 Revenue</w:t>
            </w:r>
          </w:p>
          <w:p w14:paraId="22F512CB"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3.4 Operational Data</w:t>
            </w:r>
          </w:p>
          <w:p w14:paraId="2EDEBBA8"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3.5 Physical Assets</w:t>
            </w:r>
          </w:p>
          <w:p w14:paraId="31D1E191"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3.7 Operating Environment</w:t>
            </w:r>
          </w:p>
        </w:tc>
      </w:tr>
      <w:tr w:rsidR="007427D6" w:rsidRPr="00EC241C" w14:paraId="459D84CF"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60B2399" w14:textId="77777777" w:rsidR="007427D6" w:rsidRPr="007427D6" w:rsidRDefault="007427D6" w:rsidP="007427D6">
            <w:pPr>
              <w:spacing w:before="80"/>
              <w:rPr>
                <w:sz w:val="18"/>
                <w:szCs w:val="18"/>
              </w:rPr>
            </w:pPr>
            <w:r w:rsidRPr="007427D6">
              <w:rPr>
                <w:sz w:val="18"/>
                <w:szCs w:val="18"/>
              </w:rPr>
              <w:t>The Wire</w:t>
            </w:r>
          </w:p>
        </w:tc>
        <w:tc>
          <w:tcPr>
            <w:tcW w:w="2165" w:type="pct"/>
          </w:tcPr>
          <w:p w14:paraId="74615A01"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TransGrid’s Intranet</w:t>
            </w:r>
          </w:p>
        </w:tc>
        <w:tc>
          <w:tcPr>
            <w:tcW w:w="1769" w:type="pct"/>
          </w:tcPr>
          <w:p w14:paraId="55C6C5C2"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Various (Document Locations)</w:t>
            </w:r>
          </w:p>
        </w:tc>
      </w:tr>
      <w:tr w:rsidR="007427D6" w:rsidRPr="00EC241C" w14:paraId="54C755BA" w14:textId="77777777" w:rsidTr="003432CE">
        <w:tc>
          <w:tcPr>
            <w:cnfStyle w:val="001000000000" w:firstRow="0" w:lastRow="0" w:firstColumn="1" w:lastColumn="0" w:oddVBand="0" w:evenVBand="0" w:oddHBand="0" w:evenHBand="0" w:firstRowFirstColumn="0" w:firstRowLastColumn="0" w:lastRowFirstColumn="0" w:lastRowLastColumn="0"/>
            <w:tcW w:w="1066" w:type="pct"/>
          </w:tcPr>
          <w:p w14:paraId="46FCD12A" w14:textId="77777777" w:rsidR="007427D6" w:rsidRPr="007427D6" w:rsidRDefault="007427D6" w:rsidP="007427D6">
            <w:pPr>
              <w:spacing w:before="80"/>
              <w:rPr>
                <w:sz w:val="18"/>
                <w:szCs w:val="18"/>
              </w:rPr>
            </w:pPr>
            <w:r w:rsidRPr="007427D6">
              <w:rPr>
                <w:sz w:val="18"/>
                <w:szCs w:val="18"/>
              </w:rPr>
              <w:t>THEOS</w:t>
            </w:r>
          </w:p>
        </w:tc>
        <w:tc>
          <w:tcPr>
            <w:tcW w:w="2165" w:type="pct"/>
          </w:tcPr>
          <w:p w14:paraId="6BF11B89"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TransGrid’s outage recording/reporting system</w:t>
            </w:r>
          </w:p>
        </w:tc>
        <w:tc>
          <w:tcPr>
            <w:tcW w:w="1769" w:type="pct"/>
          </w:tcPr>
          <w:p w14:paraId="1BBA4A76" w14:textId="77777777" w:rsidR="007427D6" w:rsidRPr="007427D6" w:rsidRDefault="007427D6" w:rsidP="007427D6">
            <w:pPr>
              <w:spacing w:before="80"/>
              <w:cnfStyle w:val="000000000000" w:firstRow="0" w:lastRow="0" w:firstColumn="0" w:lastColumn="0" w:oddVBand="0" w:evenVBand="0" w:oddHBand="0" w:evenHBand="0" w:firstRowFirstColumn="0" w:firstRowLastColumn="0" w:lastRowFirstColumn="0" w:lastRowLastColumn="0"/>
              <w:rPr>
                <w:sz w:val="18"/>
                <w:szCs w:val="18"/>
              </w:rPr>
            </w:pPr>
            <w:r w:rsidRPr="007427D6">
              <w:rPr>
                <w:sz w:val="18"/>
                <w:szCs w:val="18"/>
              </w:rPr>
              <w:t>Worksheet 3.6 Quality of Services</w:t>
            </w:r>
          </w:p>
        </w:tc>
      </w:tr>
      <w:tr w:rsidR="007427D6" w:rsidRPr="00EC241C" w14:paraId="06C9E6AA" w14:textId="77777777" w:rsidTr="0034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7E3097A2" w14:textId="77777777" w:rsidR="007427D6" w:rsidRPr="007427D6" w:rsidRDefault="007427D6" w:rsidP="007427D6">
            <w:pPr>
              <w:spacing w:before="80"/>
              <w:rPr>
                <w:sz w:val="18"/>
                <w:szCs w:val="18"/>
              </w:rPr>
            </w:pPr>
            <w:r w:rsidRPr="007427D6">
              <w:rPr>
                <w:sz w:val="18"/>
                <w:szCs w:val="18"/>
              </w:rPr>
              <w:t>TransGrid Manuals &amp; Policies</w:t>
            </w:r>
          </w:p>
        </w:tc>
        <w:tc>
          <w:tcPr>
            <w:tcW w:w="2165" w:type="pct"/>
          </w:tcPr>
          <w:p w14:paraId="2936249A"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Used for the operation and maintenance of TransGrid's assets, these outline equipment information, standard practices and maintenance requirements.</w:t>
            </w:r>
          </w:p>
        </w:tc>
        <w:tc>
          <w:tcPr>
            <w:tcW w:w="1769" w:type="pct"/>
          </w:tcPr>
          <w:p w14:paraId="1D270070"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3.5 Physical Assets</w:t>
            </w:r>
          </w:p>
          <w:p w14:paraId="7C489004" w14:textId="77777777" w:rsidR="007427D6" w:rsidRPr="007427D6" w:rsidRDefault="007427D6" w:rsidP="007427D6">
            <w:pPr>
              <w:spacing w:before="80"/>
              <w:cnfStyle w:val="000000010000" w:firstRow="0" w:lastRow="0" w:firstColumn="0" w:lastColumn="0" w:oddVBand="0" w:evenVBand="0" w:oddHBand="0" w:evenHBand="1" w:firstRowFirstColumn="0" w:firstRowLastColumn="0" w:lastRowFirstColumn="0" w:lastRowLastColumn="0"/>
              <w:rPr>
                <w:sz w:val="18"/>
                <w:szCs w:val="18"/>
              </w:rPr>
            </w:pPr>
            <w:r w:rsidRPr="007427D6">
              <w:rPr>
                <w:sz w:val="18"/>
                <w:szCs w:val="18"/>
              </w:rPr>
              <w:t>Worksheet 3.7 Operating Environment</w:t>
            </w:r>
          </w:p>
        </w:tc>
      </w:tr>
    </w:tbl>
    <w:p w14:paraId="5518DEDF" w14:textId="3C204800" w:rsidR="007427D6" w:rsidRDefault="007427D6" w:rsidP="00CC5C2D">
      <w:pPr>
        <w:pStyle w:val="BodyText"/>
      </w:pPr>
    </w:p>
    <w:p w14:paraId="3D7704E9" w14:textId="77777777" w:rsidR="007427D6" w:rsidRPr="003E79CA" w:rsidRDefault="007427D6" w:rsidP="00CC5C2D">
      <w:pPr>
        <w:pStyle w:val="BodyText"/>
      </w:pPr>
    </w:p>
    <w:p w14:paraId="524B41E3" w14:textId="723AC098" w:rsidR="00EE3885" w:rsidRDefault="00EE3885" w:rsidP="00CC5C2D">
      <w:pPr>
        <w:pStyle w:val="BodyText"/>
      </w:pPr>
    </w:p>
    <w:p w14:paraId="52FB70B8" w14:textId="77777777" w:rsidR="00EE3885" w:rsidRDefault="00EE3885">
      <w:pPr>
        <w:rPr>
          <w:rFonts w:ascii="Arial" w:hAnsi="Arial"/>
          <w:color w:val="262626" w:themeColor="text1" w:themeTint="D9"/>
        </w:rPr>
      </w:pPr>
      <w:r>
        <w:br w:type="page"/>
      </w:r>
    </w:p>
    <w:p w14:paraId="3D945346" w14:textId="5C744E74" w:rsidR="00EE3885" w:rsidRPr="00D30A58" w:rsidRDefault="00EE3885" w:rsidP="00EE3885">
      <w:pPr>
        <w:pStyle w:val="Heading1NoNumbers"/>
      </w:pPr>
      <w:bookmarkStart w:id="10" w:name="_Toc84499720"/>
      <w:r>
        <w:lastRenderedPageBreak/>
        <w:t>6. Confidentiality Claims</w:t>
      </w:r>
      <w:bookmarkEnd w:id="10"/>
    </w:p>
    <w:p w14:paraId="1FDCBC91" w14:textId="36E1C8FF" w:rsidR="00CC5C2D" w:rsidRDefault="00EE3885" w:rsidP="00EE3885">
      <w:pPr>
        <w:pStyle w:val="BodyText"/>
      </w:pPr>
      <w:r w:rsidRPr="003E79CA">
        <w:t xml:space="preserve">Due to the combination of financial and non-financial data requested by the AER, including </w:t>
      </w:r>
      <w:proofErr w:type="gramStart"/>
      <w:r w:rsidRPr="003E79CA">
        <w:t>a number of</w:t>
      </w:r>
      <w:proofErr w:type="gramEnd"/>
      <w:r w:rsidRPr="003E79CA">
        <w:t xml:space="preserve"> items that are not routinely reported, TransGrid has drawn data from a large number of information sources that are used across its business. In most cases it has been necessary to undertake additional analysis to derive the specific information that is required</w:t>
      </w:r>
    </w:p>
    <w:tbl>
      <w:tblPr>
        <w:tblStyle w:val="TransGridTableWtihRowBands"/>
        <w:tblW w:w="5000" w:type="pct"/>
        <w:tblLook w:val="04A0" w:firstRow="1" w:lastRow="0" w:firstColumn="1" w:lastColumn="0" w:noHBand="0" w:noVBand="1"/>
      </w:tblPr>
      <w:tblGrid>
        <w:gridCol w:w="1975"/>
        <w:gridCol w:w="1347"/>
        <w:gridCol w:w="1032"/>
        <w:gridCol w:w="1118"/>
        <w:gridCol w:w="2043"/>
        <w:gridCol w:w="2463"/>
      </w:tblGrid>
      <w:tr w:rsidR="00EE3885" w:rsidRPr="00EE3885" w14:paraId="4CEA57A4" w14:textId="77777777" w:rsidTr="00EE38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0" w:type="pct"/>
            <w:tcBorders>
              <w:bottom w:val="single" w:sz="4" w:space="0" w:color="BFBFBF" w:themeColor="text2"/>
            </w:tcBorders>
            <w:shd w:val="clear" w:color="auto" w:fill="B2DFB0" w:themeFill="accent1" w:themeFillTint="66"/>
          </w:tcPr>
          <w:p w14:paraId="3772065F" w14:textId="77777777" w:rsidR="00EE3885" w:rsidRPr="00EE3885" w:rsidRDefault="00EE3885" w:rsidP="00E609CD">
            <w:pPr>
              <w:spacing w:after="60"/>
              <w:rPr>
                <w:rFonts w:cstheme="minorHAnsi"/>
                <w:color w:val="auto"/>
                <w:sz w:val="18"/>
                <w:szCs w:val="18"/>
              </w:rPr>
            </w:pPr>
            <w:r w:rsidRPr="00EE3885">
              <w:rPr>
                <w:rFonts w:cstheme="minorHAnsi"/>
                <w:color w:val="auto"/>
                <w:sz w:val="18"/>
                <w:szCs w:val="18"/>
              </w:rPr>
              <w:t>Data affected</w:t>
            </w:r>
          </w:p>
        </w:tc>
        <w:tc>
          <w:tcPr>
            <w:tcW w:w="675" w:type="pct"/>
            <w:tcBorders>
              <w:bottom w:val="single" w:sz="4" w:space="0" w:color="BFBFBF" w:themeColor="text2"/>
            </w:tcBorders>
            <w:shd w:val="clear" w:color="auto" w:fill="B2DFB0" w:themeFill="accent1" w:themeFillTint="66"/>
          </w:tcPr>
          <w:p w14:paraId="2C6B38E3" w14:textId="77777777" w:rsidR="00EE3885" w:rsidRPr="00EE3885" w:rsidRDefault="00EE3885" w:rsidP="00E609CD">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Description</w:t>
            </w:r>
          </w:p>
        </w:tc>
        <w:tc>
          <w:tcPr>
            <w:tcW w:w="517" w:type="pct"/>
            <w:tcBorders>
              <w:bottom w:val="single" w:sz="4" w:space="0" w:color="BFBFBF" w:themeColor="text2"/>
            </w:tcBorders>
            <w:shd w:val="clear" w:color="auto" w:fill="B2DFB0" w:themeFill="accent1" w:themeFillTint="66"/>
          </w:tcPr>
          <w:p w14:paraId="28723628" w14:textId="77777777" w:rsidR="00EE3885" w:rsidRPr="00EE3885" w:rsidRDefault="00EE3885" w:rsidP="00E609CD">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Topic</w:t>
            </w:r>
          </w:p>
        </w:tc>
        <w:tc>
          <w:tcPr>
            <w:tcW w:w="560" w:type="pct"/>
            <w:tcBorders>
              <w:bottom w:val="single" w:sz="4" w:space="0" w:color="BFBFBF" w:themeColor="text2"/>
            </w:tcBorders>
            <w:shd w:val="clear" w:color="auto" w:fill="B2DFB0" w:themeFill="accent1" w:themeFillTint="66"/>
          </w:tcPr>
          <w:p w14:paraId="40946044" w14:textId="77777777" w:rsidR="00EE3885" w:rsidRPr="00EE3885" w:rsidRDefault="00EE3885" w:rsidP="00E609CD">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Category</w:t>
            </w:r>
          </w:p>
        </w:tc>
        <w:tc>
          <w:tcPr>
            <w:tcW w:w="1024" w:type="pct"/>
            <w:tcBorders>
              <w:bottom w:val="single" w:sz="4" w:space="0" w:color="BFBFBF" w:themeColor="text2"/>
            </w:tcBorders>
            <w:shd w:val="clear" w:color="auto" w:fill="B2DFB0" w:themeFill="accent1" w:themeFillTint="66"/>
          </w:tcPr>
          <w:p w14:paraId="173DF256" w14:textId="77777777" w:rsidR="00EE3885" w:rsidRPr="00EE3885" w:rsidRDefault="00EE3885" w:rsidP="00E609CD">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Reasoning for category</w:t>
            </w:r>
          </w:p>
        </w:tc>
        <w:tc>
          <w:tcPr>
            <w:tcW w:w="1234" w:type="pct"/>
            <w:tcBorders>
              <w:bottom w:val="single" w:sz="4" w:space="0" w:color="BFBFBF" w:themeColor="text2"/>
            </w:tcBorders>
            <w:shd w:val="clear" w:color="auto" w:fill="B2DFB0" w:themeFill="accent1" w:themeFillTint="66"/>
          </w:tcPr>
          <w:p w14:paraId="3E869AB8" w14:textId="77777777" w:rsidR="00EE3885" w:rsidRPr="00EE3885" w:rsidRDefault="00EE3885" w:rsidP="00E609CD">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Why disclosure would be detrimental, and why this outweighs benefits</w:t>
            </w:r>
          </w:p>
        </w:tc>
      </w:tr>
      <w:tr w:rsidR="00EE3885" w:rsidRPr="00F531ED" w14:paraId="4A17510B" w14:textId="77777777" w:rsidTr="00EE3885">
        <w:tc>
          <w:tcPr>
            <w:cnfStyle w:val="001000000000" w:firstRow="0" w:lastRow="0" w:firstColumn="1" w:lastColumn="0" w:oddVBand="0" w:evenVBand="0" w:oddHBand="0" w:evenHBand="0" w:firstRowFirstColumn="0" w:firstRowLastColumn="0" w:lastRowFirstColumn="0" w:lastRowLastColumn="0"/>
            <w:tcW w:w="990" w:type="pct"/>
            <w:tcBorders>
              <w:top w:val="single" w:sz="4" w:space="0" w:color="BFBFBF" w:themeColor="text2"/>
            </w:tcBorders>
            <w:shd w:val="clear" w:color="auto" w:fill="D8EFD7" w:themeFill="accent1" w:themeFillTint="33"/>
          </w:tcPr>
          <w:p w14:paraId="5530FD67" w14:textId="77777777" w:rsidR="00EE3885" w:rsidRPr="00EE3885" w:rsidRDefault="00EE3885" w:rsidP="00E609CD">
            <w:pPr>
              <w:spacing w:after="60" w:line="240" w:lineRule="auto"/>
              <w:rPr>
                <w:sz w:val="18"/>
                <w:szCs w:val="18"/>
              </w:rPr>
            </w:pPr>
            <w:r w:rsidRPr="00EE3885">
              <w:rPr>
                <w:sz w:val="18"/>
                <w:szCs w:val="18"/>
              </w:rPr>
              <w:t xml:space="preserve">Worksheet 3.1 Revenue: </w:t>
            </w:r>
          </w:p>
          <w:p w14:paraId="5376358E" w14:textId="77777777" w:rsidR="00EE3885" w:rsidRPr="00EE3885" w:rsidRDefault="00EE3885" w:rsidP="00E609CD">
            <w:pPr>
              <w:spacing w:after="60" w:line="240" w:lineRule="auto"/>
              <w:rPr>
                <w:sz w:val="18"/>
                <w:szCs w:val="18"/>
              </w:rPr>
            </w:pPr>
            <w:r w:rsidRPr="00EE3885">
              <w:rPr>
                <w:sz w:val="18"/>
                <w:szCs w:val="18"/>
              </w:rPr>
              <w:t>3.1.1 Revenue grouping by chargeable quantity: TREV0105 and TREV0106</w:t>
            </w:r>
          </w:p>
        </w:tc>
        <w:tc>
          <w:tcPr>
            <w:tcW w:w="675" w:type="pct"/>
            <w:tcBorders>
              <w:top w:val="single" w:sz="4" w:space="0" w:color="BFBFBF" w:themeColor="text2"/>
              <w:bottom w:val="single" w:sz="4" w:space="0" w:color="BFBFBF" w:themeColor="text2"/>
            </w:tcBorders>
          </w:tcPr>
          <w:p w14:paraId="78F159F4" w14:textId="77777777" w:rsidR="00EE3885" w:rsidRPr="00EE3885" w:rsidRDefault="00EE3885" w:rsidP="00E609CD">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This data relates directly to individual customers annual transmission charges.</w:t>
            </w:r>
          </w:p>
          <w:p w14:paraId="5E14EFE2" w14:textId="77777777" w:rsidR="00EE3885" w:rsidRPr="00EE3885" w:rsidRDefault="00EE3885" w:rsidP="00E609CD">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p>
          <w:p w14:paraId="64438FE2" w14:textId="77777777" w:rsidR="00EE3885" w:rsidRPr="00EE3885" w:rsidRDefault="00EE3885" w:rsidP="00E609CD">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EE3885">
              <w:rPr>
                <w:sz w:val="18"/>
                <w:szCs w:val="18"/>
              </w:rPr>
              <w:t>i.e.</w:t>
            </w:r>
            <w:proofErr w:type="gramEnd"/>
            <w:r w:rsidRPr="00EE3885">
              <w:rPr>
                <w:sz w:val="18"/>
                <w:szCs w:val="18"/>
              </w:rPr>
              <w:t xml:space="preserve"> It can be used to identify individual customers.</w:t>
            </w:r>
          </w:p>
        </w:tc>
        <w:tc>
          <w:tcPr>
            <w:tcW w:w="517" w:type="pct"/>
            <w:tcBorders>
              <w:top w:val="single" w:sz="4" w:space="0" w:color="BFBFBF" w:themeColor="text2"/>
              <w:bottom w:val="single" w:sz="4" w:space="0" w:color="BFBFBF" w:themeColor="text2"/>
            </w:tcBorders>
          </w:tcPr>
          <w:p w14:paraId="0EF3C8B1"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Revenue</w:t>
            </w:r>
          </w:p>
        </w:tc>
        <w:tc>
          <w:tcPr>
            <w:tcW w:w="560" w:type="pct"/>
            <w:tcBorders>
              <w:top w:val="single" w:sz="4" w:space="0" w:color="BFBFBF" w:themeColor="text2"/>
              <w:bottom w:val="single" w:sz="4" w:space="0" w:color="BFBFBF" w:themeColor="text2"/>
            </w:tcBorders>
          </w:tcPr>
          <w:p w14:paraId="3966DDE2"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Personal Information</w:t>
            </w:r>
          </w:p>
          <w:p w14:paraId="3A5AE7B1"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4C773ACE"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1517D1F2"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4DDDF3F9"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56E58719"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024" w:type="pct"/>
            <w:tcBorders>
              <w:top w:val="single" w:sz="4" w:space="0" w:color="BFBFBF" w:themeColor="text2"/>
              <w:bottom w:val="single" w:sz="4" w:space="0" w:color="BFBFBF" w:themeColor="text2"/>
            </w:tcBorders>
          </w:tcPr>
          <w:p w14:paraId="3E7CBCA6"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RIN categorisation enables identification of:</w:t>
            </w:r>
          </w:p>
          <w:p w14:paraId="525DFBBA"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 xml:space="preserve">1. Customer loads for directly connected customers; and </w:t>
            </w:r>
          </w:p>
          <w:p w14:paraId="7A8EFD16"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 xml:space="preserve">2. Customers receiving prudent discounts and the annual prudent discount charge for each customer. </w:t>
            </w:r>
          </w:p>
        </w:tc>
        <w:tc>
          <w:tcPr>
            <w:tcW w:w="1234" w:type="pct"/>
            <w:tcBorders>
              <w:top w:val="single" w:sz="4" w:space="0" w:color="BFBFBF" w:themeColor="text2"/>
              <w:bottom w:val="single" w:sz="4" w:space="0" w:color="BFBFBF" w:themeColor="text2"/>
            </w:tcBorders>
          </w:tcPr>
          <w:p w14:paraId="5A90321F"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Disclosure of this information concerning directly connected customers provides market data that may impact their business performance. There is no benefit from disclosing this information.</w:t>
            </w:r>
          </w:p>
          <w:p w14:paraId="68DFB649"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6961055B" w14:textId="77777777" w:rsidR="00EE3885" w:rsidRPr="00EE3885" w:rsidRDefault="00EE3885" w:rsidP="00E609CD">
            <w:pPr>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EE3885">
              <w:rPr>
                <w:sz w:val="18"/>
                <w:szCs w:val="18"/>
              </w:rPr>
              <w:t xml:space="preserve">Prudent discount contracts are commercial in confidence. The details are not </w:t>
            </w:r>
            <w:proofErr w:type="spellStart"/>
            <w:r w:rsidRPr="00EE3885">
              <w:rPr>
                <w:sz w:val="18"/>
                <w:szCs w:val="18"/>
              </w:rPr>
              <w:t>publically</w:t>
            </w:r>
            <w:proofErr w:type="spellEnd"/>
            <w:r w:rsidRPr="00EE3885">
              <w:rPr>
                <w:sz w:val="18"/>
                <w:szCs w:val="18"/>
              </w:rPr>
              <w:t xml:space="preserve"> disclosed. There are no benefits from disclosing this information. </w:t>
            </w:r>
          </w:p>
        </w:tc>
      </w:tr>
      <w:tr w:rsidR="00EE3885" w:rsidRPr="00F531ED" w14:paraId="52AC7D02" w14:textId="77777777" w:rsidTr="00EE3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pct"/>
            <w:tcBorders>
              <w:top w:val="single" w:sz="4" w:space="0" w:color="BFBFBF" w:themeColor="text2"/>
            </w:tcBorders>
            <w:shd w:val="clear" w:color="auto" w:fill="D8EFD7" w:themeFill="accent1" w:themeFillTint="33"/>
          </w:tcPr>
          <w:p w14:paraId="7B8CFCCB" w14:textId="093C5E1B" w:rsidR="00EE3885" w:rsidRPr="00EE3885" w:rsidRDefault="00EE3885" w:rsidP="00EE3885">
            <w:pPr>
              <w:spacing w:after="60" w:line="240" w:lineRule="auto"/>
              <w:rPr>
                <w:sz w:val="18"/>
                <w:szCs w:val="18"/>
              </w:rPr>
            </w:pPr>
            <w:r w:rsidRPr="00EE3885">
              <w:rPr>
                <w:sz w:val="18"/>
                <w:szCs w:val="18"/>
              </w:rPr>
              <w:t>Worksheet 3.4 Operational Data: TOPED0103 to TOPD0112 To directly connected end-users</w:t>
            </w:r>
          </w:p>
        </w:tc>
        <w:tc>
          <w:tcPr>
            <w:tcW w:w="675" w:type="pct"/>
            <w:tcBorders>
              <w:top w:val="single" w:sz="4" w:space="0" w:color="BFBFBF" w:themeColor="text2"/>
            </w:tcBorders>
            <w:shd w:val="clear" w:color="auto" w:fill="FFFFFF" w:themeFill="background1"/>
          </w:tcPr>
          <w:p w14:paraId="6ACAE3DE" w14:textId="5F925BDB" w:rsidR="00EE3885" w:rsidRPr="00EE3885" w:rsidRDefault="00EE3885" w:rsidP="00EE3885">
            <w:pPr>
              <w:pStyle w:val="ListParagraph"/>
              <w:kinsoku w:val="0"/>
              <w:overflowPunct w:val="0"/>
              <w:autoSpaceDE w:val="0"/>
              <w:autoSpaceDN w:val="0"/>
              <w:spacing w:before="0" w:after="60" w:line="240" w:lineRule="auto"/>
              <w:ind w:left="0"/>
              <w:cnfStyle w:val="000000010000" w:firstRow="0" w:lastRow="0" w:firstColumn="0" w:lastColumn="0" w:oddVBand="0" w:evenVBand="0" w:oddHBand="0" w:evenHBand="1" w:firstRowFirstColumn="0" w:firstRowLastColumn="0" w:lastRowFirstColumn="0" w:lastRowLastColumn="0"/>
              <w:rPr>
                <w:sz w:val="18"/>
                <w:szCs w:val="18"/>
              </w:rPr>
            </w:pPr>
            <w:r w:rsidRPr="00EE3885">
              <w:rPr>
                <w:rFonts w:cstheme="minorHAnsi"/>
                <w:sz w:val="18"/>
                <w:szCs w:val="18"/>
              </w:rPr>
              <w:t xml:space="preserve">Certain TransGrid BSPs are predominantly (or exclusively) connected to direct customers. </w:t>
            </w:r>
          </w:p>
        </w:tc>
        <w:tc>
          <w:tcPr>
            <w:tcW w:w="517" w:type="pct"/>
            <w:tcBorders>
              <w:top w:val="single" w:sz="4" w:space="0" w:color="BFBFBF" w:themeColor="text2"/>
            </w:tcBorders>
            <w:shd w:val="clear" w:color="auto" w:fill="FFFFFF" w:themeFill="background1"/>
          </w:tcPr>
          <w:p w14:paraId="049499B0" w14:textId="3F41A050"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sz w:val="18"/>
                <w:szCs w:val="18"/>
              </w:rPr>
              <w:t>Load</w:t>
            </w:r>
          </w:p>
        </w:tc>
        <w:tc>
          <w:tcPr>
            <w:tcW w:w="560" w:type="pct"/>
            <w:tcBorders>
              <w:top w:val="single" w:sz="4" w:space="0" w:color="BFBFBF" w:themeColor="text2"/>
            </w:tcBorders>
            <w:shd w:val="clear" w:color="auto" w:fill="FFFFFF" w:themeFill="background1"/>
          </w:tcPr>
          <w:p w14:paraId="1EC2A30F" w14:textId="77777777"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sz w:val="18"/>
                <w:szCs w:val="18"/>
              </w:rPr>
              <w:t xml:space="preserve">Personal Information </w:t>
            </w:r>
          </w:p>
          <w:p w14:paraId="39883EC4" w14:textId="2BF64965"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sz w:val="18"/>
                <w:szCs w:val="18"/>
              </w:rPr>
              <w:t>Other</w:t>
            </w:r>
          </w:p>
        </w:tc>
        <w:tc>
          <w:tcPr>
            <w:tcW w:w="1024" w:type="pct"/>
            <w:tcBorders>
              <w:top w:val="single" w:sz="4" w:space="0" w:color="BFBFBF" w:themeColor="text2"/>
            </w:tcBorders>
            <w:shd w:val="clear" w:color="auto" w:fill="FFFFFF" w:themeFill="background1"/>
          </w:tcPr>
          <w:p w14:paraId="6B682B08" w14:textId="77777777"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sz w:val="18"/>
                <w:szCs w:val="18"/>
              </w:rPr>
              <w:t>RIN categorisation enables identification of:</w:t>
            </w:r>
          </w:p>
          <w:p w14:paraId="4263119E" w14:textId="1647CA65"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sz w:val="18"/>
                <w:szCs w:val="18"/>
              </w:rPr>
              <w:t>1. Customer loads for directly connected customers</w:t>
            </w:r>
          </w:p>
        </w:tc>
        <w:tc>
          <w:tcPr>
            <w:tcW w:w="1234" w:type="pct"/>
            <w:tcBorders>
              <w:top w:val="single" w:sz="4" w:space="0" w:color="BFBFBF" w:themeColor="text2"/>
            </w:tcBorders>
            <w:shd w:val="clear" w:color="auto" w:fill="FFFFFF" w:themeFill="background1"/>
          </w:tcPr>
          <w:p w14:paraId="6DA79FDB" w14:textId="4AE6961F" w:rsidR="00EE3885" w:rsidRPr="00EE3885" w:rsidRDefault="00EE3885" w:rsidP="00EE3885">
            <w:pPr>
              <w:spacing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EE3885">
              <w:rPr>
                <w:rFonts w:cstheme="minorHAnsi"/>
                <w:sz w:val="18"/>
                <w:szCs w:val="18"/>
              </w:rPr>
              <w:t>NSWEN’s Transmission Operator’s License included mandatory provisions in relation to keeping customer data confidential</w:t>
            </w:r>
          </w:p>
        </w:tc>
      </w:tr>
    </w:tbl>
    <w:p w14:paraId="0EE8B2B6" w14:textId="06091D91" w:rsidR="00EE3885" w:rsidRDefault="00EE3885" w:rsidP="00EE3885">
      <w:pPr>
        <w:pStyle w:val="BodyText"/>
      </w:pPr>
    </w:p>
    <w:p w14:paraId="26BFFD26" w14:textId="77777777" w:rsidR="00EE3885" w:rsidRDefault="00EE3885">
      <w:pPr>
        <w:rPr>
          <w:rFonts w:ascii="Arial" w:hAnsi="Arial"/>
          <w:color w:val="262626" w:themeColor="text1" w:themeTint="D9"/>
        </w:rPr>
      </w:pPr>
      <w:r>
        <w:br w:type="page"/>
      </w:r>
    </w:p>
    <w:p w14:paraId="22019796" w14:textId="681E50A8" w:rsidR="00EE3885" w:rsidRPr="00D30A58" w:rsidRDefault="00EE3885" w:rsidP="00EE3885">
      <w:pPr>
        <w:pStyle w:val="Heading1NoNumbers"/>
      </w:pPr>
      <w:bookmarkStart w:id="11" w:name="_Toc84499721"/>
      <w:r>
        <w:lastRenderedPageBreak/>
        <w:t>7. Detailed Basis of Preparation</w:t>
      </w:r>
      <w:bookmarkEnd w:id="11"/>
    </w:p>
    <w:p w14:paraId="566A24A1" w14:textId="77777777" w:rsidR="00EE3885" w:rsidRPr="003E79CA" w:rsidRDefault="00EE3885" w:rsidP="00EE3885">
      <w:pPr>
        <w:pStyle w:val="BodyText"/>
      </w:pPr>
      <w:r w:rsidRPr="003E79CA">
        <w:t>The following sections outline the Basis for Preparation for each line item in the RIN Templates.</w:t>
      </w:r>
    </w:p>
    <w:p w14:paraId="48926A12" w14:textId="70B535B1" w:rsidR="00EE3885" w:rsidRPr="00D30A58" w:rsidRDefault="00EE3885" w:rsidP="00EE3885">
      <w:pPr>
        <w:pStyle w:val="Heading2NoNumbers"/>
      </w:pPr>
      <w:bookmarkStart w:id="12" w:name="_Toc84499722"/>
      <w:r>
        <w:t>7.1 Contents Worksheet</w:t>
      </w:r>
      <w:bookmarkEnd w:id="12"/>
    </w:p>
    <w:p w14:paraId="4D7BB8A7" w14:textId="77777777" w:rsidR="00EE3885" w:rsidRDefault="00EE3885" w:rsidP="00EE3885">
      <w:pPr>
        <w:pStyle w:val="BodyText"/>
      </w:pPr>
      <w:r>
        <w:t>The Contents Worksheet does not require any input by TransGrid.</w:t>
      </w:r>
    </w:p>
    <w:p w14:paraId="65FD2536" w14:textId="3592A3AC" w:rsidR="00EE3885" w:rsidRPr="00512BCB" w:rsidRDefault="00EE3885" w:rsidP="00512BCB">
      <w:pPr>
        <w:pStyle w:val="Heading2NoNumbers"/>
      </w:pPr>
      <w:bookmarkStart w:id="13" w:name="_Toc84499723"/>
      <w:r>
        <w:t>7.2 Worksheet 1.0 Business &amp; Other Details</w:t>
      </w:r>
      <w:bookmarkEnd w:id="13"/>
    </w:p>
    <w:p w14:paraId="51C2344E" w14:textId="77777777" w:rsidR="00EE3885" w:rsidRDefault="00EE3885" w:rsidP="00EE3885">
      <w:pPr>
        <w:pStyle w:val="BodyText"/>
      </w:pPr>
      <w:r>
        <w:t>Worksheet 1.0 Business &amp; Other Details requires general business address and contact information.</w:t>
      </w:r>
    </w:p>
    <w:p w14:paraId="123B58EF" w14:textId="50F0F794" w:rsidR="00EE3885" w:rsidRPr="00512BCB" w:rsidRDefault="00EE3885" w:rsidP="00512BCB">
      <w:pPr>
        <w:pStyle w:val="Heading2NoNumbers"/>
      </w:pPr>
      <w:bookmarkStart w:id="14" w:name="_Toc84499724"/>
      <w:r>
        <w:t>7.3 Worksheets 3.1 to 3.7</w:t>
      </w:r>
      <w:bookmarkEnd w:id="14"/>
    </w:p>
    <w:p w14:paraId="21EB00B2" w14:textId="54939E7F" w:rsidR="00EE3885" w:rsidRPr="003E79CA" w:rsidRDefault="00EE3885" w:rsidP="007427D6">
      <w:pPr>
        <w:pStyle w:val="BodyText"/>
      </w:pPr>
      <w:r w:rsidRPr="003E79CA">
        <w:t>The Basis of Preparation outlines the necessary explanations with regards to the preparation of the RIN template, as per section 2 above.</w:t>
      </w:r>
      <w:r w:rsidR="007427D6">
        <w:t xml:space="preserve"> Blue indicates</w:t>
      </w:r>
      <w:r w:rsidR="007427D6" w:rsidRPr="0089702E">
        <w:t xml:space="preserve"> financial information and green indicates non-financial information, in line with the AER colour coding in the templates.</w:t>
      </w:r>
    </w:p>
    <w:p w14:paraId="6A16397E" w14:textId="07E67C2B" w:rsidR="004E30D1" w:rsidRDefault="004E30D1">
      <w:pPr>
        <w:rPr>
          <w:rFonts w:ascii="Arial" w:hAnsi="Arial"/>
          <w:color w:val="262626" w:themeColor="text1" w:themeTint="D9"/>
        </w:rPr>
      </w:pPr>
      <w:r>
        <w:br w:type="page"/>
      </w:r>
    </w:p>
    <w:p w14:paraId="5D97FF30" w14:textId="77777777" w:rsidR="0096322A" w:rsidRDefault="0096322A" w:rsidP="00D30A58">
      <w:pPr>
        <w:sectPr w:rsidR="0096322A" w:rsidSect="005767E8">
          <w:pgSz w:w="11906" w:h="16838"/>
          <w:pgMar w:top="1985" w:right="964" w:bottom="1418" w:left="964" w:header="709" w:footer="709" w:gutter="0"/>
          <w:pgNumType w:start="0"/>
          <w:cols w:space="708"/>
          <w:titlePg/>
          <w:docGrid w:linePitch="360"/>
        </w:sectPr>
      </w:pPr>
    </w:p>
    <w:p w14:paraId="5721962A" w14:textId="36DA3F36" w:rsidR="00BE467B" w:rsidRPr="00BE467B" w:rsidRDefault="00BE467B" w:rsidP="0019343C">
      <w:pPr>
        <w:pStyle w:val="Heading3"/>
        <w:numPr>
          <w:ilvl w:val="2"/>
          <w:numId w:val="12"/>
        </w:numPr>
        <w:spacing w:after="240"/>
      </w:pPr>
      <w:bookmarkStart w:id="15" w:name="_Toc84499725"/>
      <w:r>
        <w:lastRenderedPageBreak/>
        <w:t>Worksheet 3.1 Revenue</w:t>
      </w:r>
      <w:bookmarkEnd w:id="15"/>
    </w:p>
    <w:tbl>
      <w:tblPr>
        <w:tblW w:w="5543" w:type="pct"/>
        <w:tblInd w:w="-572" w:type="dxa"/>
        <w:tblLook w:val="04A0" w:firstRow="1" w:lastRow="0" w:firstColumn="1" w:lastColumn="0" w:noHBand="0" w:noVBand="1"/>
      </w:tblPr>
      <w:tblGrid>
        <w:gridCol w:w="2411"/>
        <w:gridCol w:w="3259"/>
        <w:gridCol w:w="2268"/>
        <w:gridCol w:w="2131"/>
        <w:gridCol w:w="2977"/>
        <w:gridCol w:w="1837"/>
      </w:tblGrid>
      <w:tr w:rsidR="00C50D67" w:rsidRPr="00B21581" w14:paraId="51DD6A7E" w14:textId="77777777" w:rsidTr="00C50D67">
        <w:trPr>
          <w:trHeight w:val="480"/>
          <w:tblHeader/>
        </w:trPr>
        <w:tc>
          <w:tcPr>
            <w:tcW w:w="1905"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0A89B18E" w14:textId="77777777" w:rsidR="00BE467B" w:rsidRPr="007713F8" w:rsidRDefault="00BE467B"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762" w:type="pct"/>
            <w:tcBorders>
              <w:top w:val="single" w:sz="4" w:space="0" w:color="auto"/>
              <w:left w:val="nil"/>
              <w:bottom w:val="single" w:sz="4" w:space="0" w:color="auto"/>
              <w:right w:val="single" w:sz="4" w:space="0" w:color="auto"/>
            </w:tcBorders>
            <w:shd w:val="clear" w:color="000000" w:fill="47A843" w:themeFill="accent1"/>
            <w:vAlign w:val="center"/>
            <w:hideMark/>
          </w:tcPr>
          <w:p w14:paraId="5F6D3C5F" w14:textId="77777777" w:rsidR="00BE467B" w:rsidRPr="007713F8" w:rsidRDefault="00BE467B"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333"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CB1F3A8" w14:textId="77777777" w:rsidR="00BE467B" w:rsidRPr="007713F8" w:rsidRDefault="00BE467B"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C50D67" w:rsidRPr="00B21581" w14:paraId="6733337D" w14:textId="77777777" w:rsidTr="00C50D67">
        <w:trPr>
          <w:trHeight w:val="960"/>
          <w:tblHeader/>
        </w:trPr>
        <w:tc>
          <w:tcPr>
            <w:tcW w:w="810"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364B445B"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1095"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008A3612"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762"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149104D"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71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B0349EA"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1000"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837898C"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61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5A49D4C" w14:textId="77777777" w:rsidR="00BE467B" w:rsidRPr="007713F8" w:rsidRDefault="00BE467B"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BE467B" w:rsidRPr="00B21581" w14:paraId="0B501DD5" w14:textId="77777777" w:rsidTr="00525AE5">
        <w:trPr>
          <w:trHeight w:val="274"/>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324B3C2B" w14:textId="77777777" w:rsidR="00BE467B" w:rsidRPr="00B21581" w:rsidRDefault="00BE467B" w:rsidP="00883C6C">
            <w:pPr>
              <w:spacing w:before="100" w:beforeAutospacing="1" w:after="100" w:afterAutospacing="1"/>
              <w:rPr>
                <w:rFonts w:ascii="Arial" w:hAnsi="Arial" w:cs="Arial"/>
                <w:b/>
                <w:bCs/>
                <w:color w:val="FFFFFF"/>
                <w:sz w:val="22"/>
                <w:szCs w:val="22"/>
              </w:rPr>
            </w:pPr>
            <w:r w:rsidRPr="00B21581">
              <w:rPr>
                <w:rFonts w:ascii="Arial" w:hAnsi="Arial" w:cs="Arial"/>
                <w:b/>
                <w:bCs/>
                <w:color w:val="FFFFFF"/>
                <w:sz w:val="22"/>
                <w:szCs w:val="22"/>
              </w:rPr>
              <w:t>3.1.1 REVENUE GROUPING BY CHARGEABLE QUANTITY</w:t>
            </w:r>
          </w:p>
        </w:tc>
      </w:tr>
      <w:tr w:rsidR="00C50D67" w:rsidRPr="00B21581" w14:paraId="1B019F95" w14:textId="77777777" w:rsidTr="00525AE5">
        <w:trPr>
          <w:trHeight w:val="696"/>
        </w:trPr>
        <w:tc>
          <w:tcPr>
            <w:tcW w:w="810" w:type="pct"/>
            <w:tcBorders>
              <w:top w:val="nil"/>
              <w:left w:val="single" w:sz="4" w:space="0" w:color="auto"/>
              <w:bottom w:val="single" w:sz="4" w:space="0" w:color="auto"/>
              <w:right w:val="single" w:sz="4" w:space="0" w:color="auto"/>
            </w:tcBorders>
            <w:shd w:val="clear" w:color="auto" w:fill="DCE6F1"/>
            <w:vAlign w:val="center"/>
            <w:hideMark/>
          </w:tcPr>
          <w:p w14:paraId="1B95308D" w14:textId="77777777" w:rsidR="00BE467B" w:rsidRPr="00D95155" w:rsidRDefault="00BE467B" w:rsidP="00E609CD">
            <w:pPr>
              <w:spacing w:line="256" w:lineRule="auto"/>
              <w:rPr>
                <w:rFonts w:cstheme="minorHAnsi"/>
                <w:color w:val="auto"/>
                <w:sz w:val="18"/>
                <w:szCs w:val="18"/>
              </w:rPr>
            </w:pPr>
            <w:r w:rsidRPr="00D95155">
              <w:rPr>
                <w:rFonts w:cstheme="minorHAnsi"/>
                <w:color w:val="auto"/>
                <w:sz w:val="18"/>
                <w:szCs w:val="18"/>
              </w:rPr>
              <w:t>Table 3.1.1 REVENUE GROUPING BY CHARGEABLE QUANTITY</w:t>
            </w:r>
          </w:p>
          <w:p w14:paraId="45743F3B" w14:textId="77777777" w:rsidR="00BE467B" w:rsidRPr="00D95155" w:rsidRDefault="00BE467B" w:rsidP="00E609CD">
            <w:pPr>
              <w:rPr>
                <w:rFonts w:cstheme="minorHAnsi"/>
                <w:color w:val="auto"/>
                <w:sz w:val="18"/>
                <w:szCs w:val="18"/>
              </w:rPr>
            </w:pPr>
          </w:p>
        </w:tc>
        <w:tc>
          <w:tcPr>
            <w:tcW w:w="1095" w:type="pct"/>
            <w:tcBorders>
              <w:top w:val="nil"/>
              <w:left w:val="nil"/>
              <w:bottom w:val="single" w:sz="4" w:space="0" w:color="auto"/>
              <w:right w:val="single" w:sz="4" w:space="0" w:color="auto"/>
            </w:tcBorders>
            <w:shd w:val="clear" w:color="auto" w:fill="DCE6F1"/>
            <w:vAlign w:val="center"/>
            <w:hideMark/>
          </w:tcPr>
          <w:p w14:paraId="17AA8225"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TREV0101 From Fixed Customer (Exit Point) Charges</w:t>
            </w:r>
          </w:p>
          <w:p w14:paraId="034F7267"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Connection Exit charges for distributors &amp; direct connect customers based on fixed daily rate</w:t>
            </w:r>
          </w:p>
          <w:p w14:paraId="19E48C4C"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TREV0102 From Variable Customer (Exit Point) Charges</w:t>
            </w:r>
          </w:p>
          <w:p w14:paraId="6FE6FFE6"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This type of charge is not applicable for TransGrid, all exit charges are on fixed basis above</w:t>
            </w:r>
          </w:p>
          <w:p w14:paraId="0BF4058E"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TREV0103 From Fixed Generator (Entry Point) Charges</w:t>
            </w:r>
          </w:p>
          <w:p w14:paraId="2B85DAC0"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Connection Entry charges for generators based on fixed daily rate</w:t>
            </w:r>
          </w:p>
          <w:p w14:paraId="4925BA23"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TREV0104 From Variable Generator (Entry Point) Charges</w:t>
            </w:r>
          </w:p>
          <w:p w14:paraId="4762A802"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lastRenderedPageBreak/>
              <w:t>This type of charge is not applicable for TransGrid, all entry charges are on fixed basis above</w:t>
            </w:r>
          </w:p>
          <w:p w14:paraId="2ED41FA8"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TREV0105 From Fixed Energy Usage Charges (Charge per day basis)</w:t>
            </w:r>
          </w:p>
          <w:p w14:paraId="1ACF3C16"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Charges applied for a direct connect customer.</w:t>
            </w:r>
          </w:p>
          <w:p w14:paraId="1B40D97B"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TREV0106 From Variable Energy Usage charges (Charge per kWh basis)</w:t>
            </w:r>
          </w:p>
          <w:p w14:paraId="21E41415"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Energy based (per kWh rate) usage charges from loads customers.</w:t>
            </w:r>
          </w:p>
          <w:p w14:paraId="45E33FA6"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TREV0107 From Energy based Common Service and General Charges</w:t>
            </w:r>
          </w:p>
          <w:p w14:paraId="3A0D8ADD"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 xml:space="preserve">Energy based (per kWh rate) Common Service and Non-locational </w:t>
            </w:r>
            <w:r w:rsidRPr="00A81A8E">
              <w:rPr>
                <w:rFonts w:cstheme="minorHAnsi"/>
                <w:color w:val="auto"/>
                <w:sz w:val="18"/>
                <w:szCs w:val="18"/>
              </w:rPr>
              <w:lastRenderedPageBreak/>
              <w:t>TUOS (previously called General Charges) from all loads customers.</w:t>
            </w:r>
          </w:p>
          <w:p w14:paraId="349505AB"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TransGrid no longer invoices transmission customers using energy based common service and non-locational prices.</w:t>
            </w:r>
          </w:p>
          <w:p w14:paraId="5407529A"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 xml:space="preserve">TREV0108 From Fixed </w:t>
            </w:r>
            <w:r w:rsidRPr="003155C2">
              <w:rPr>
                <w:b/>
                <w:bCs/>
                <w:color w:val="auto"/>
                <w:sz w:val="18"/>
                <w:szCs w:val="18"/>
              </w:rPr>
              <w:t>Demand</w:t>
            </w:r>
            <w:r w:rsidRPr="00A81A8E">
              <w:rPr>
                <w:rFonts w:cstheme="minorHAnsi"/>
                <w:b/>
                <w:bCs/>
                <w:color w:val="auto"/>
                <w:sz w:val="18"/>
                <w:szCs w:val="18"/>
              </w:rPr>
              <w:t xml:space="preserve"> based Usage Charges</w:t>
            </w:r>
          </w:p>
          <w:p w14:paraId="37F8C3D9"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Revenue from charges based on annual maximum demand</w:t>
            </w:r>
          </w:p>
          <w:p w14:paraId="5D7E36DE"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t xml:space="preserve">TREV0109 From Variable </w:t>
            </w:r>
            <w:r w:rsidRPr="003155C2">
              <w:rPr>
                <w:b/>
                <w:bCs/>
                <w:color w:val="auto"/>
                <w:sz w:val="18"/>
                <w:szCs w:val="18"/>
              </w:rPr>
              <w:t>Demand</w:t>
            </w:r>
            <w:r w:rsidRPr="00A81A8E">
              <w:rPr>
                <w:rFonts w:cstheme="minorHAnsi"/>
                <w:b/>
                <w:bCs/>
                <w:color w:val="auto"/>
                <w:sz w:val="18"/>
                <w:szCs w:val="18"/>
              </w:rPr>
              <w:t xml:space="preserve"> based Usage Charges</w:t>
            </w:r>
          </w:p>
          <w:p w14:paraId="4E0BD716" w14:textId="77777777" w:rsidR="00BE467B" w:rsidRPr="00A81A8E" w:rsidRDefault="00BE467B" w:rsidP="00E609CD">
            <w:pPr>
              <w:spacing w:line="360" w:lineRule="auto"/>
              <w:rPr>
                <w:rFonts w:cstheme="minorHAnsi"/>
                <w:color w:val="auto"/>
                <w:sz w:val="18"/>
                <w:szCs w:val="18"/>
              </w:rPr>
            </w:pPr>
            <w:r w:rsidRPr="00A81A8E">
              <w:rPr>
                <w:rFonts w:cstheme="minorHAnsi"/>
                <w:color w:val="auto"/>
                <w:sz w:val="18"/>
                <w:szCs w:val="18"/>
              </w:rPr>
              <w:t>Demand based (per kW rate) usage charges from all loads customers. This also includes adjustments from prior months for ease of reconciliation and consistency with prior year reporting.</w:t>
            </w:r>
          </w:p>
          <w:p w14:paraId="37474B2C" w14:textId="77777777" w:rsidR="00BE467B" w:rsidRPr="00A81A8E" w:rsidRDefault="00BE467B" w:rsidP="00E609CD">
            <w:pPr>
              <w:spacing w:before="100" w:beforeAutospacing="1" w:after="100" w:afterAutospacing="1" w:line="360" w:lineRule="auto"/>
              <w:rPr>
                <w:rFonts w:cstheme="minorHAnsi"/>
                <w:b/>
                <w:bCs/>
                <w:color w:val="auto"/>
                <w:sz w:val="18"/>
                <w:szCs w:val="18"/>
              </w:rPr>
            </w:pPr>
            <w:r w:rsidRPr="00A81A8E">
              <w:rPr>
                <w:rFonts w:cstheme="minorHAnsi"/>
                <w:b/>
                <w:bCs/>
                <w:color w:val="auto"/>
                <w:sz w:val="18"/>
                <w:szCs w:val="18"/>
              </w:rPr>
              <w:lastRenderedPageBreak/>
              <w:t xml:space="preserve">TREV0110 Revenue from other </w:t>
            </w:r>
            <w:r w:rsidRPr="003155C2">
              <w:rPr>
                <w:b/>
                <w:bCs/>
                <w:color w:val="auto"/>
                <w:sz w:val="18"/>
                <w:szCs w:val="18"/>
              </w:rPr>
              <w:t>Sources</w:t>
            </w:r>
          </w:p>
          <w:p w14:paraId="6A18D593" w14:textId="1B18D5BF" w:rsidR="00B22193" w:rsidRPr="00A81A8E" w:rsidRDefault="00BE467B" w:rsidP="00E609CD">
            <w:pPr>
              <w:spacing w:line="360" w:lineRule="auto"/>
              <w:rPr>
                <w:rFonts w:cstheme="minorHAnsi"/>
                <w:color w:val="auto"/>
                <w:sz w:val="18"/>
                <w:szCs w:val="18"/>
              </w:rPr>
            </w:pPr>
            <w:r w:rsidRPr="00A81A8E">
              <w:rPr>
                <w:rFonts w:cstheme="minorHAnsi"/>
                <w:color w:val="auto"/>
                <w:sz w:val="18"/>
                <w:szCs w:val="18"/>
              </w:rPr>
              <w:t>Intra-regional residues and Inter-regional Settlement residues auction proceeds, net financial transfers per TREV0201, net adjustments of network support pass through amounts, revenue deferral and under/over collection adjustment for financial year.</w:t>
            </w:r>
          </w:p>
          <w:p w14:paraId="5183CA06" w14:textId="77777777" w:rsidR="00BE467B" w:rsidRPr="00D95155" w:rsidRDefault="00BE467B" w:rsidP="00E609CD">
            <w:pPr>
              <w:spacing w:line="360" w:lineRule="auto"/>
              <w:rPr>
                <w:rFonts w:cstheme="minorHAnsi"/>
                <w:color w:val="auto"/>
                <w:sz w:val="18"/>
                <w:szCs w:val="18"/>
              </w:rPr>
            </w:pPr>
          </w:p>
        </w:tc>
        <w:tc>
          <w:tcPr>
            <w:tcW w:w="762" w:type="pct"/>
            <w:tcBorders>
              <w:top w:val="nil"/>
              <w:left w:val="nil"/>
              <w:bottom w:val="single" w:sz="4" w:space="0" w:color="auto"/>
              <w:right w:val="single" w:sz="4" w:space="0" w:color="auto"/>
            </w:tcBorders>
            <w:shd w:val="clear" w:color="auto" w:fill="DCE6F1"/>
            <w:vAlign w:val="center"/>
            <w:hideMark/>
          </w:tcPr>
          <w:p w14:paraId="47EA23BE" w14:textId="77777777" w:rsidR="00BE467B" w:rsidRPr="00D95155" w:rsidRDefault="00BE467B" w:rsidP="00E609CD">
            <w:pPr>
              <w:spacing w:before="100" w:beforeAutospacing="1" w:after="100" w:afterAutospacing="1" w:line="360" w:lineRule="auto"/>
              <w:rPr>
                <w:rFonts w:cstheme="minorHAnsi"/>
                <w:color w:val="auto"/>
                <w:sz w:val="18"/>
                <w:szCs w:val="18"/>
              </w:rPr>
            </w:pPr>
            <w:r w:rsidRPr="00D95155">
              <w:rPr>
                <w:rFonts w:cstheme="minorHAnsi"/>
                <w:b/>
                <w:bCs/>
                <w:color w:val="auto"/>
                <w:sz w:val="18"/>
                <w:szCs w:val="18"/>
              </w:rPr>
              <w:lastRenderedPageBreak/>
              <w:t xml:space="preserve">TREV0101 - TREV0109 </w:t>
            </w:r>
          </w:p>
          <w:p w14:paraId="7C6A0883" w14:textId="77777777" w:rsidR="00BE467B" w:rsidRPr="00D95155" w:rsidRDefault="00BE467B" w:rsidP="00E609CD">
            <w:pPr>
              <w:spacing w:line="360" w:lineRule="auto"/>
              <w:rPr>
                <w:rFonts w:cstheme="minorHAnsi"/>
                <w:color w:val="auto"/>
                <w:sz w:val="18"/>
                <w:szCs w:val="18"/>
              </w:rPr>
            </w:pPr>
            <w:r w:rsidRPr="00D95155">
              <w:rPr>
                <w:rFonts w:cstheme="minorHAnsi"/>
                <w:color w:val="auto"/>
                <w:sz w:val="18"/>
                <w:szCs w:val="18"/>
              </w:rPr>
              <w:t xml:space="preserve">From invoices generated by the Pricing team on the monthly basis using a core business TUOS billing system. Revenue from these invoices </w:t>
            </w:r>
            <w:proofErr w:type="gramStart"/>
            <w:r w:rsidRPr="00D95155">
              <w:rPr>
                <w:rFonts w:cstheme="minorHAnsi"/>
                <w:color w:val="auto"/>
                <w:sz w:val="18"/>
                <w:szCs w:val="18"/>
              </w:rPr>
              <w:t>are</w:t>
            </w:r>
            <w:proofErr w:type="gramEnd"/>
            <w:r w:rsidRPr="00D95155">
              <w:rPr>
                <w:rFonts w:cstheme="minorHAnsi"/>
                <w:color w:val="auto"/>
                <w:sz w:val="18"/>
                <w:szCs w:val="18"/>
              </w:rPr>
              <w:t xml:space="preserve"> summarised in the TUOS Data spreadsheets to facilitate internal financial reporting.</w:t>
            </w:r>
          </w:p>
          <w:p w14:paraId="0AD5774A" w14:textId="77777777" w:rsidR="00BE467B" w:rsidRPr="00D95155" w:rsidRDefault="00BE467B" w:rsidP="00E609CD">
            <w:pPr>
              <w:spacing w:before="100" w:beforeAutospacing="1" w:after="100" w:afterAutospacing="1" w:line="360" w:lineRule="auto"/>
              <w:rPr>
                <w:rFonts w:cstheme="minorHAnsi"/>
                <w:color w:val="auto"/>
                <w:sz w:val="18"/>
                <w:szCs w:val="18"/>
              </w:rPr>
            </w:pPr>
            <w:r w:rsidRPr="00D95155">
              <w:rPr>
                <w:rFonts w:cstheme="minorHAnsi"/>
                <w:b/>
                <w:bCs/>
                <w:color w:val="auto"/>
                <w:sz w:val="18"/>
                <w:szCs w:val="18"/>
              </w:rPr>
              <w:t>TREV0110 Revenue from other Sources</w:t>
            </w:r>
          </w:p>
          <w:p w14:paraId="3A4E025D" w14:textId="77777777" w:rsidR="00BE467B" w:rsidRPr="00D95155" w:rsidRDefault="00BE467B" w:rsidP="00E609CD">
            <w:pPr>
              <w:rPr>
                <w:rFonts w:cstheme="minorHAnsi"/>
                <w:color w:val="auto"/>
                <w:sz w:val="18"/>
                <w:szCs w:val="18"/>
              </w:rPr>
            </w:pPr>
            <w:r w:rsidRPr="00D95155">
              <w:rPr>
                <w:rFonts w:cstheme="minorHAnsi"/>
                <w:color w:val="auto"/>
                <w:sz w:val="18"/>
                <w:szCs w:val="18"/>
              </w:rPr>
              <w:t>From AEMO settlement statements, issued transmission service invoices, revenue reconciliations.</w:t>
            </w:r>
          </w:p>
        </w:tc>
        <w:tc>
          <w:tcPr>
            <w:tcW w:w="716" w:type="pct"/>
            <w:tcBorders>
              <w:top w:val="nil"/>
              <w:left w:val="nil"/>
              <w:bottom w:val="single" w:sz="4" w:space="0" w:color="auto"/>
              <w:right w:val="single" w:sz="4" w:space="0" w:color="auto"/>
            </w:tcBorders>
            <w:shd w:val="clear" w:color="auto" w:fill="DCE6F1"/>
            <w:vAlign w:val="center"/>
            <w:hideMark/>
          </w:tcPr>
          <w:p w14:paraId="5DBD7144" w14:textId="77777777" w:rsidR="00BE467B" w:rsidRPr="00D95155" w:rsidRDefault="00BE467B" w:rsidP="00E609CD">
            <w:pPr>
              <w:rPr>
                <w:rFonts w:cstheme="minorHAnsi"/>
                <w:color w:val="auto"/>
                <w:sz w:val="18"/>
                <w:szCs w:val="18"/>
              </w:rPr>
            </w:pPr>
            <w:r w:rsidRPr="00D95155">
              <w:rPr>
                <w:rFonts w:cstheme="minorHAnsi"/>
                <w:color w:val="auto"/>
                <w:sz w:val="18"/>
                <w:szCs w:val="18"/>
              </w:rPr>
              <w:t>No</w:t>
            </w:r>
          </w:p>
        </w:tc>
        <w:tc>
          <w:tcPr>
            <w:tcW w:w="1000" w:type="pct"/>
            <w:tcBorders>
              <w:top w:val="nil"/>
              <w:left w:val="nil"/>
              <w:bottom w:val="single" w:sz="4" w:space="0" w:color="auto"/>
              <w:right w:val="single" w:sz="4" w:space="0" w:color="auto"/>
            </w:tcBorders>
            <w:shd w:val="clear" w:color="auto" w:fill="DCE6F1"/>
            <w:vAlign w:val="center"/>
            <w:hideMark/>
          </w:tcPr>
          <w:p w14:paraId="47AF227B" w14:textId="77777777" w:rsidR="00BE467B" w:rsidRPr="00D95155" w:rsidRDefault="00BE467B" w:rsidP="00E609CD">
            <w:pPr>
              <w:spacing w:before="100" w:beforeAutospacing="1" w:after="100" w:afterAutospacing="1" w:line="360" w:lineRule="auto"/>
              <w:rPr>
                <w:rFonts w:cstheme="minorHAnsi"/>
                <w:color w:val="auto"/>
                <w:sz w:val="18"/>
                <w:szCs w:val="18"/>
              </w:rPr>
            </w:pPr>
            <w:r w:rsidRPr="00D95155">
              <w:rPr>
                <w:rFonts w:cstheme="minorHAnsi"/>
                <w:b/>
                <w:bCs/>
                <w:color w:val="auto"/>
                <w:sz w:val="18"/>
                <w:szCs w:val="18"/>
              </w:rPr>
              <w:t xml:space="preserve">TREV0101 - TREV0109 </w:t>
            </w:r>
          </w:p>
          <w:p w14:paraId="29810BD3" w14:textId="77777777" w:rsidR="00B22193" w:rsidRPr="00B22193" w:rsidRDefault="00B22193" w:rsidP="00B22193">
            <w:pPr>
              <w:spacing w:line="360" w:lineRule="auto"/>
              <w:rPr>
                <w:rFonts w:cstheme="minorHAnsi"/>
                <w:color w:val="auto"/>
                <w:sz w:val="18"/>
                <w:szCs w:val="18"/>
              </w:rPr>
            </w:pPr>
            <w:r w:rsidRPr="00B22193">
              <w:rPr>
                <w:rFonts w:cstheme="minorHAnsi"/>
                <w:color w:val="auto"/>
                <w:sz w:val="18"/>
                <w:szCs w:val="18"/>
              </w:rPr>
              <w:t>Prices for all customer connection points are calculated annually as per the AER approved Pricing Methodology.</w:t>
            </w:r>
          </w:p>
          <w:p w14:paraId="56AF6D4D" w14:textId="77777777" w:rsidR="00B22193" w:rsidRPr="00B22193" w:rsidRDefault="00B22193" w:rsidP="00B22193">
            <w:pPr>
              <w:spacing w:line="360" w:lineRule="auto"/>
              <w:rPr>
                <w:rFonts w:cstheme="minorHAnsi"/>
                <w:color w:val="auto"/>
                <w:sz w:val="18"/>
                <w:szCs w:val="18"/>
              </w:rPr>
            </w:pPr>
            <w:r w:rsidRPr="00B22193">
              <w:rPr>
                <w:rFonts w:cstheme="minorHAnsi"/>
                <w:color w:val="auto"/>
                <w:sz w:val="18"/>
                <w:szCs w:val="18"/>
              </w:rPr>
              <w:t>MAR is calculated as per the CPI-X methodology as outlined in the National Electricity Rules 6A.5.3(b)(5).</w:t>
            </w:r>
          </w:p>
          <w:p w14:paraId="23010009" w14:textId="77777777" w:rsidR="00B22193" w:rsidRPr="00B22193" w:rsidRDefault="00B22193" w:rsidP="00B22193">
            <w:pPr>
              <w:spacing w:line="360" w:lineRule="auto"/>
              <w:rPr>
                <w:rFonts w:cstheme="minorHAnsi"/>
                <w:color w:val="auto"/>
                <w:sz w:val="18"/>
                <w:szCs w:val="18"/>
              </w:rPr>
            </w:pPr>
            <w:r w:rsidRPr="00B22193">
              <w:rPr>
                <w:rFonts w:cstheme="minorHAnsi"/>
                <w:color w:val="auto"/>
                <w:sz w:val="18"/>
                <w:szCs w:val="18"/>
              </w:rPr>
              <w:t>Approved prices by the CFO are published on TransGrid's website by 15 March. These (prices) are entered into the TUOS billing system and invoices for all customers are generated each month using the TUOS billing system.</w:t>
            </w:r>
          </w:p>
          <w:p w14:paraId="1F5A480E" w14:textId="77777777" w:rsidR="00BE467B" w:rsidRPr="00D95155" w:rsidRDefault="00BE467B" w:rsidP="00E609CD">
            <w:pPr>
              <w:spacing w:before="100" w:beforeAutospacing="1" w:after="100" w:afterAutospacing="1" w:line="360" w:lineRule="auto"/>
              <w:rPr>
                <w:rFonts w:cstheme="minorHAnsi"/>
                <w:color w:val="auto"/>
                <w:sz w:val="18"/>
                <w:szCs w:val="18"/>
              </w:rPr>
            </w:pPr>
            <w:r w:rsidRPr="00D95155">
              <w:rPr>
                <w:rFonts w:cstheme="minorHAnsi"/>
                <w:b/>
                <w:bCs/>
                <w:color w:val="auto"/>
                <w:sz w:val="18"/>
                <w:szCs w:val="18"/>
              </w:rPr>
              <w:lastRenderedPageBreak/>
              <w:t>TREV0110 Revenue from other Sources</w:t>
            </w:r>
          </w:p>
          <w:p w14:paraId="658AFD07" w14:textId="1B89657F" w:rsidR="00BE467B" w:rsidRPr="00D95155" w:rsidRDefault="00B22193" w:rsidP="00B22193">
            <w:pPr>
              <w:spacing w:line="360" w:lineRule="auto"/>
              <w:rPr>
                <w:rFonts w:cstheme="minorHAnsi"/>
                <w:color w:val="auto"/>
                <w:sz w:val="18"/>
                <w:szCs w:val="18"/>
              </w:rPr>
            </w:pPr>
            <w:r w:rsidRPr="00B22193">
              <w:rPr>
                <w:rFonts w:cstheme="minorHAnsi"/>
                <w:color w:val="auto"/>
                <w:sz w:val="18"/>
                <w:szCs w:val="18"/>
              </w:rPr>
              <w:t>Other Revenue (TREV0205) + Revenue from Other Connected transmission Systems (TREV0201)</w:t>
            </w:r>
          </w:p>
        </w:tc>
        <w:tc>
          <w:tcPr>
            <w:tcW w:w="617" w:type="pct"/>
            <w:tcBorders>
              <w:top w:val="nil"/>
              <w:left w:val="nil"/>
              <w:bottom w:val="single" w:sz="4" w:space="0" w:color="auto"/>
              <w:right w:val="single" w:sz="4" w:space="0" w:color="auto"/>
            </w:tcBorders>
            <w:shd w:val="clear" w:color="auto" w:fill="DCE6F1"/>
            <w:vAlign w:val="center"/>
            <w:hideMark/>
          </w:tcPr>
          <w:p w14:paraId="2019DB5F" w14:textId="77777777" w:rsidR="00BE467B" w:rsidRPr="00D95155" w:rsidRDefault="00BE467B" w:rsidP="00E609CD">
            <w:pPr>
              <w:rPr>
                <w:rFonts w:cstheme="minorHAnsi"/>
                <w:color w:val="auto"/>
                <w:sz w:val="18"/>
                <w:szCs w:val="18"/>
              </w:rPr>
            </w:pPr>
            <w:r w:rsidRPr="00D95155">
              <w:rPr>
                <w:rFonts w:cstheme="minorHAnsi"/>
                <w:color w:val="auto"/>
                <w:sz w:val="18"/>
                <w:szCs w:val="18"/>
              </w:rPr>
              <w:lastRenderedPageBreak/>
              <w:t>N/A</w:t>
            </w:r>
          </w:p>
        </w:tc>
      </w:tr>
      <w:tr w:rsidR="00BE467B" w:rsidRPr="00B21581" w14:paraId="362AF8F5"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2853E954" w14:textId="77777777" w:rsidR="00BE467B" w:rsidRPr="00B21581" w:rsidRDefault="00BE467B" w:rsidP="00883C6C">
            <w:pPr>
              <w:spacing w:before="100" w:beforeAutospacing="1" w:after="100" w:afterAutospacing="1"/>
              <w:rPr>
                <w:rFonts w:ascii="Arial" w:hAnsi="Arial" w:cs="Arial"/>
                <w:b/>
                <w:bCs/>
                <w:color w:val="FFFFFF"/>
                <w:sz w:val="22"/>
                <w:szCs w:val="22"/>
              </w:rPr>
            </w:pPr>
            <w:r w:rsidRPr="00B21581">
              <w:rPr>
                <w:rFonts w:ascii="Arial" w:hAnsi="Arial" w:cs="Arial"/>
                <w:b/>
                <w:bCs/>
                <w:color w:val="FFFFFF"/>
                <w:sz w:val="22"/>
                <w:szCs w:val="22"/>
              </w:rPr>
              <w:lastRenderedPageBreak/>
              <w:t>3.1.2 REVENUE GROUPING BY TYPE OF CONNECTED EQUIPMENT</w:t>
            </w:r>
          </w:p>
        </w:tc>
      </w:tr>
      <w:tr w:rsidR="00C50D67" w:rsidRPr="00B21581" w14:paraId="6508BEA3" w14:textId="77777777" w:rsidTr="00525AE5">
        <w:trPr>
          <w:trHeight w:val="657"/>
        </w:trPr>
        <w:tc>
          <w:tcPr>
            <w:tcW w:w="810" w:type="pct"/>
            <w:tcBorders>
              <w:top w:val="nil"/>
              <w:left w:val="single" w:sz="4" w:space="0" w:color="auto"/>
              <w:bottom w:val="single" w:sz="4" w:space="0" w:color="auto"/>
              <w:right w:val="single" w:sz="4" w:space="0" w:color="auto"/>
            </w:tcBorders>
            <w:shd w:val="clear" w:color="auto" w:fill="DCE6F1"/>
            <w:vAlign w:val="center"/>
            <w:hideMark/>
          </w:tcPr>
          <w:p w14:paraId="299DA6BF" w14:textId="77777777" w:rsidR="00BE467B" w:rsidRPr="00A81A8E" w:rsidRDefault="00BE467B" w:rsidP="00E609CD">
            <w:pPr>
              <w:spacing w:line="360" w:lineRule="auto"/>
              <w:rPr>
                <w:color w:val="auto"/>
                <w:sz w:val="18"/>
                <w:szCs w:val="18"/>
              </w:rPr>
            </w:pPr>
            <w:r w:rsidRPr="00A81A8E">
              <w:rPr>
                <w:color w:val="auto"/>
                <w:sz w:val="18"/>
                <w:szCs w:val="18"/>
              </w:rPr>
              <w:t>Table 3.1.2 REVENUE GROUPING BY TYPE OF CONNECTED EQUIPMENT</w:t>
            </w:r>
          </w:p>
          <w:p w14:paraId="2012BBC4" w14:textId="77777777" w:rsidR="00BE467B" w:rsidRPr="00A81A8E" w:rsidRDefault="00BE467B" w:rsidP="00E609CD">
            <w:pPr>
              <w:spacing w:line="360" w:lineRule="auto"/>
              <w:rPr>
                <w:color w:val="auto"/>
                <w:sz w:val="18"/>
                <w:szCs w:val="18"/>
              </w:rPr>
            </w:pPr>
          </w:p>
        </w:tc>
        <w:tc>
          <w:tcPr>
            <w:tcW w:w="1095" w:type="pct"/>
            <w:tcBorders>
              <w:top w:val="nil"/>
              <w:left w:val="nil"/>
              <w:bottom w:val="single" w:sz="4" w:space="0" w:color="auto"/>
              <w:right w:val="single" w:sz="4" w:space="0" w:color="auto"/>
            </w:tcBorders>
            <w:shd w:val="clear" w:color="auto" w:fill="DCE6F1"/>
            <w:vAlign w:val="center"/>
            <w:hideMark/>
          </w:tcPr>
          <w:p w14:paraId="09BA0188"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TREV0201 From Other connected transmission networks</w:t>
            </w:r>
          </w:p>
          <w:p w14:paraId="515BD4A8"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 xml:space="preserve">Net of financial transfers to &amp; from other NSW/ACT market region TNSPs, and net inter-regional TUOS. (This includes </w:t>
            </w:r>
            <w:proofErr w:type="spellStart"/>
            <w:r w:rsidRPr="00B22193">
              <w:rPr>
                <w:color w:val="auto"/>
                <w:sz w:val="18"/>
                <w:szCs w:val="18"/>
              </w:rPr>
              <w:t>Evoenergy</w:t>
            </w:r>
            <w:proofErr w:type="spellEnd"/>
            <w:r w:rsidRPr="00B22193">
              <w:rPr>
                <w:color w:val="auto"/>
                <w:sz w:val="18"/>
                <w:szCs w:val="18"/>
              </w:rPr>
              <w:t xml:space="preserve">, Ausgrid, </w:t>
            </w:r>
            <w:proofErr w:type="spellStart"/>
            <w:r w:rsidRPr="00B22193">
              <w:rPr>
                <w:color w:val="auto"/>
                <w:sz w:val="18"/>
                <w:szCs w:val="18"/>
              </w:rPr>
              <w:t>Directlink</w:t>
            </w:r>
            <w:proofErr w:type="spellEnd"/>
            <w:r w:rsidRPr="00B22193">
              <w:rPr>
                <w:color w:val="auto"/>
                <w:sz w:val="18"/>
                <w:szCs w:val="18"/>
              </w:rPr>
              <w:t xml:space="preserve"> and the net MLEC charge to Powerlink Queensland and AEMO Victoria.).</w:t>
            </w:r>
          </w:p>
          <w:p w14:paraId="166280B6"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lastRenderedPageBreak/>
              <w:t>TREV0202 From Distribution networks</w:t>
            </w:r>
          </w:p>
          <w:p w14:paraId="21F27295"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 xml:space="preserve">Total amount charged to </w:t>
            </w:r>
            <w:proofErr w:type="spellStart"/>
            <w:r w:rsidRPr="00B22193">
              <w:rPr>
                <w:color w:val="auto"/>
                <w:sz w:val="18"/>
                <w:szCs w:val="18"/>
              </w:rPr>
              <w:t>Evoenergy</w:t>
            </w:r>
            <w:proofErr w:type="spellEnd"/>
            <w:r w:rsidRPr="00B22193">
              <w:rPr>
                <w:color w:val="auto"/>
                <w:sz w:val="18"/>
                <w:szCs w:val="18"/>
              </w:rPr>
              <w:t xml:space="preserve">, Ausgrid, Essential Energy, Endeavour Energy </w:t>
            </w:r>
            <w:proofErr w:type="gramStart"/>
            <w:r w:rsidRPr="00B22193">
              <w:rPr>
                <w:color w:val="auto"/>
                <w:sz w:val="18"/>
                <w:szCs w:val="18"/>
              </w:rPr>
              <w:t>less</w:t>
            </w:r>
            <w:proofErr w:type="gramEnd"/>
            <w:r w:rsidRPr="00B22193">
              <w:rPr>
                <w:color w:val="auto"/>
                <w:sz w:val="18"/>
                <w:szCs w:val="18"/>
              </w:rPr>
              <w:t xml:space="preserve"> financial transfers in TREV0201</w:t>
            </w:r>
          </w:p>
          <w:p w14:paraId="375B0104"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TREV0203 From Directly connected end-users</w:t>
            </w:r>
          </w:p>
          <w:p w14:paraId="03CA633B"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Total amounts charged to direct customers</w:t>
            </w:r>
          </w:p>
          <w:p w14:paraId="519711EE"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TREV0204 From Generators</w:t>
            </w:r>
          </w:p>
          <w:p w14:paraId="5EAE89F1"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Total connection Entry charges for generators</w:t>
            </w:r>
          </w:p>
          <w:p w14:paraId="7434D741"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TREV0205 Other revenue</w:t>
            </w:r>
          </w:p>
          <w:p w14:paraId="7C6F7330" w14:textId="266173AA" w:rsidR="00BE467B" w:rsidRPr="00A81A8E" w:rsidRDefault="00B22193" w:rsidP="00E609CD">
            <w:pPr>
              <w:spacing w:line="360" w:lineRule="auto"/>
              <w:rPr>
                <w:color w:val="auto"/>
                <w:sz w:val="18"/>
                <w:szCs w:val="18"/>
              </w:rPr>
            </w:pPr>
            <w:r w:rsidRPr="00B22193">
              <w:rPr>
                <w:color w:val="auto"/>
                <w:sz w:val="18"/>
                <w:szCs w:val="18"/>
              </w:rPr>
              <w:t xml:space="preserve">Intra-regional residues and Inter-regional Settlement residues auction proceeds net adjustments of network support pass through amounts, NTP Costs, revenue deferral and </w:t>
            </w:r>
            <w:r w:rsidRPr="00B22193">
              <w:rPr>
                <w:color w:val="auto"/>
                <w:sz w:val="18"/>
                <w:szCs w:val="18"/>
              </w:rPr>
              <w:lastRenderedPageBreak/>
              <w:t>under/over collection adjustment for financial year</w:t>
            </w:r>
          </w:p>
        </w:tc>
        <w:tc>
          <w:tcPr>
            <w:tcW w:w="762" w:type="pct"/>
            <w:tcBorders>
              <w:top w:val="nil"/>
              <w:left w:val="nil"/>
              <w:bottom w:val="single" w:sz="4" w:space="0" w:color="auto"/>
              <w:right w:val="single" w:sz="4" w:space="0" w:color="auto"/>
            </w:tcBorders>
            <w:shd w:val="clear" w:color="auto" w:fill="DCE6F1"/>
            <w:vAlign w:val="center"/>
            <w:hideMark/>
          </w:tcPr>
          <w:p w14:paraId="5AA2F8DD" w14:textId="77777777" w:rsidR="00BE467B" w:rsidRPr="003155C2" w:rsidRDefault="00BE467B" w:rsidP="00E609CD">
            <w:pPr>
              <w:spacing w:before="100" w:beforeAutospacing="1" w:after="100" w:afterAutospacing="1" w:line="360" w:lineRule="auto"/>
              <w:rPr>
                <w:b/>
                <w:bCs/>
                <w:color w:val="auto"/>
                <w:sz w:val="18"/>
                <w:szCs w:val="18"/>
              </w:rPr>
            </w:pPr>
            <w:r w:rsidRPr="003155C2">
              <w:rPr>
                <w:b/>
                <w:bCs/>
                <w:color w:val="auto"/>
                <w:sz w:val="18"/>
                <w:szCs w:val="18"/>
              </w:rPr>
              <w:lastRenderedPageBreak/>
              <w:t>TREV0201 - TREV0204</w:t>
            </w:r>
          </w:p>
          <w:p w14:paraId="1BCBC6F8"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 xml:space="preserve">From invoices generated by the Pricing team on the monthly basis using a core business TUOS billing system. Revenue from these invoices </w:t>
            </w:r>
            <w:proofErr w:type="gramStart"/>
            <w:r w:rsidRPr="00B22193">
              <w:rPr>
                <w:color w:val="auto"/>
                <w:sz w:val="18"/>
                <w:szCs w:val="18"/>
              </w:rPr>
              <w:t>are</w:t>
            </w:r>
            <w:proofErr w:type="gramEnd"/>
            <w:r w:rsidRPr="00B22193">
              <w:rPr>
                <w:color w:val="auto"/>
                <w:sz w:val="18"/>
                <w:szCs w:val="18"/>
              </w:rPr>
              <w:t xml:space="preserve"> summarised in the TUOS Data spreadsheets to </w:t>
            </w:r>
            <w:r w:rsidRPr="00B22193">
              <w:rPr>
                <w:color w:val="auto"/>
                <w:sz w:val="18"/>
                <w:szCs w:val="18"/>
              </w:rPr>
              <w:lastRenderedPageBreak/>
              <w:t>facilitate internal financial reporting.</w:t>
            </w:r>
          </w:p>
          <w:p w14:paraId="528FD70D" w14:textId="77777777" w:rsidR="00BE467B" w:rsidRPr="003155C2" w:rsidRDefault="00BE467B" w:rsidP="00E609CD">
            <w:pPr>
              <w:spacing w:before="100" w:beforeAutospacing="1" w:after="100" w:afterAutospacing="1" w:line="360" w:lineRule="auto"/>
              <w:rPr>
                <w:b/>
                <w:bCs/>
                <w:color w:val="auto"/>
                <w:sz w:val="18"/>
                <w:szCs w:val="18"/>
              </w:rPr>
            </w:pPr>
            <w:r w:rsidRPr="003155C2">
              <w:rPr>
                <w:b/>
                <w:bCs/>
                <w:color w:val="auto"/>
                <w:sz w:val="18"/>
                <w:szCs w:val="18"/>
              </w:rPr>
              <w:t>TREV0205 Other revenue</w:t>
            </w:r>
          </w:p>
          <w:p w14:paraId="7339FB31" w14:textId="6CCBBF07" w:rsidR="00BE467B" w:rsidRPr="00A81A8E" w:rsidRDefault="00B22193" w:rsidP="00B22193">
            <w:pPr>
              <w:spacing w:before="100" w:beforeAutospacing="1" w:after="100" w:afterAutospacing="1" w:line="360" w:lineRule="auto"/>
              <w:rPr>
                <w:color w:val="auto"/>
                <w:sz w:val="18"/>
                <w:szCs w:val="18"/>
              </w:rPr>
            </w:pPr>
            <w:r w:rsidRPr="00B22193">
              <w:rPr>
                <w:color w:val="auto"/>
                <w:sz w:val="18"/>
                <w:szCs w:val="18"/>
              </w:rPr>
              <w:t>From AEMO settlement statements, issued transmission service invoices, revenue reconciliations.</w:t>
            </w:r>
          </w:p>
        </w:tc>
        <w:tc>
          <w:tcPr>
            <w:tcW w:w="716" w:type="pct"/>
            <w:tcBorders>
              <w:top w:val="nil"/>
              <w:left w:val="nil"/>
              <w:bottom w:val="single" w:sz="4" w:space="0" w:color="auto"/>
              <w:right w:val="single" w:sz="4" w:space="0" w:color="auto"/>
            </w:tcBorders>
            <w:shd w:val="clear" w:color="auto" w:fill="DCE6F1"/>
            <w:vAlign w:val="center"/>
            <w:hideMark/>
          </w:tcPr>
          <w:p w14:paraId="12666F1B" w14:textId="77777777" w:rsidR="00BE467B" w:rsidRPr="00A81A8E" w:rsidRDefault="00BE467B" w:rsidP="00E609CD">
            <w:pPr>
              <w:spacing w:line="360" w:lineRule="auto"/>
              <w:rPr>
                <w:color w:val="auto"/>
                <w:sz w:val="18"/>
                <w:szCs w:val="18"/>
              </w:rPr>
            </w:pPr>
            <w:r w:rsidRPr="00A81A8E">
              <w:rPr>
                <w:color w:val="auto"/>
                <w:sz w:val="18"/>
                <w:szCs w:val="18"/>
              </w:rPr>
              <w:lastRenderedPageBreak/>
              <w:t>No</w:t>
            </w:r>
          </w:p>
        </w:tc>
        <w:tc>
          <w:tcPr>
            <w:tcW w:w="1000" w:type="pct"/>
            <w:tcBorders>
              <w:top w:val="nil"/>
              <w:left w:val="nil"/>
              <w:bottom w:val="single" w:sz="4" w:space="0" w:color="auto"/>
              <w:right w:val="single" w:sz="4" w:space="0" w:color="auto"/>
            </w:tcBorders>
            <w:shd w:val="clear" w:color="auto" w:fill="DCE6F1"/>
            <w:vAlign w:val="center"/>
            <w:hideMark/>
          </w:tcPr>
          <w:p w14:paraId="7EC10C49" w14:textId="77777777" w:rsidR="00BE467B" w:rsidRPr="00B22193" w:rsidRDefault="00BE467B" w:rsidP="00B22193">
            <w:pPr>
              <w:spacing w:line="360" w:lineRule="auto"/>
              <w:rPr>
                <w:b/>
                <w:bCs/>
                <w:color w:val="auto"/>
                <w:sz w:val="18"/>
                <w:szCs w:val="18"/>
              </w:rPr>
            </w:pPr>
            <w:r w:rsidRPr="00B22193">
              <w:rPr>
                <w:b/>
                <w:bCs/>
                <w:color w:val="auto"/>
                <w:sz w:val="18"/>
                <w:szCs w:val="18"/>
              </w:rPr>
              <w:t>TREV0201 - TREV0204</w:t>
            </w:r>
          </w:p>
          <w:p w14:paraId="75202B7A"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Prices for all customer connection points are calculated annually as per the AER approved Pricing Methodology.</w:t>
            </w:r>
          </w:p>
          <w:p w14:paraId="6E30CBDF"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 xml:space="preserve">MAR is calculated as per the CPI-X methodology as outlined in the </w:t>
            </w:r>
            <w:r w:rsidRPr="00B22193">
              <w:rPr>
                <w:color w:val="auto"/>
                <w:sz w:val="18"/>
                <w:szCs w:val="18"/>
              </w:rPr>
              <w:lastRenderedPageBreak/>
              <w:t>National Electricity Rules 6A.5.3(b)(5).</w:t>
            </w:r>
          </w:p>
          <w:p w14:paraId="610A2139" w14:textId="77777777" w:rsidR="00B22193" w:rsidRPr="00B22193" w:rsidRDefault="00B22193" w:rsidP="00B22193">
            <w:pPr>
              <w:spacing w:before="100" w:beforeAutospacing="1" w:after="100" w:afterAutospacing="1" w:line="360" w:lineRule="auto"/>
              <w:rPr>
                <w:color w:val="auto"/>
                <w:sz w:val="18"/>
                <w:szCs w:val="18"/>
              </w:rPr>
            </w:pPr>
            <w:r w:rsidRPr="00B22193">
              <w:rPr>
                <w:color w:val="auto"/>
                <w:sz w:val="18"/>
                <w:szCs w:val="18"/>
              </w:rPr>
              <w:t>Approved prices by the CFO are published on TransGrid's website by 15 March. These (prices) are entered into the TUOS billing system and invoices for all customers are generated each month using the TUOS billing system.</w:t>
            </w:r>
          </w:p>
          <w:p w14:paraId="5A39218F" w14:textId="77777777" w:rsidR="00BE467B" w:rsidRPr="00B22193" w:rsidRDefault="00BE467B" w:rsidP="00B22193">
            <w:pPr>
              <w:spacing w:line="360" w:lineRule="auto"/>
              <w:rPr>
                <w:b/>
                <w:bCs/>
                <w:color w:val="auto"/>
                <w:sz w:val="18"/>
                <w:szCs w:val="18"/>
              </w:rPr>
            </w:pPr>
            <w:r w:rsidRPr="00B22193">
              <w:rPr>
                <w:b/>
                <w:bCs/>
                <w:color w:val="auto"/>
                <w:sz w:val="18"/>
                <w:szCs w:val="18"/>
              </w:rPr>
              <w:t>TREV0205 Other revenue</w:t>
            </w:r>
          </w:p>
          <w:p w14:paraId="5CC941FA" w14:textId="65D3DF8F" w:rsidR="00BE467B" w:rsidRPr="00B22193" w:rsidRDefault="00B22193" w:rsidP="00B22193">
            <w:pPr>
              <w:spacing w:before="100" w:beforeAutospacing="1" w:after="100" w:afterAutospacing="1" w:line="360" w:lineRule="auto"/>
              <w:rPr>
                <w:color w:val="auto"/>
                <w:sz w:val="18"/>
                <w:szCs w:val="18"/>
              </w:rPr>
            </w:pPr>
            <w:r w:rsidRPr="00B22193">
              <w:rPr>
                <w:color w:val="auto"/>
                <w:sz w:val="18"/>
                <w:szCs w:val="18"/>
              </w:rPr>
              <w:t xml:space="preserve">AEMO email a Final Settlements report each week with the intraregional and inter-regional settlements figures, as well as </w:t>
            </w:r>
            <w:proofErr w:type="gramStart"/>
            <w:r w:rsidRPr="00B22193">
              <w:rPr>
                <w:color w:val="auto"/>
                <w:sz w:val="18"/>
                <w:szCs w:val="18"/>
              </w:rPr>
              <w:t>a settlement residue auctions</w:t>
            </w:r>
            <w:proofErr w:type="gramEnd"/>
            <w:r w:rsidRPr="00B22193">
              <w:rPr>
                <w:color w:val="auto"/>
                <w:sz w:val="18"/>
                <w:szCs w:val="18"/>
              </w:rPr>
              <w:t xml:space="preserve"> report on a quarterly basis. These figures are compiled into the Settlement residues spreadsheet. This forms part of the monthly account reconciliation process, confirming that the data within the spreadsheet is correct.</w:t>
            </w:r>
          </w:p>
        </w:tc>
        <w:tc>
          <w:tcPr>
            <w:tcW w:w="617" w:type="pct"/>
            <w:tcBorders>
              <w:top w:val="nil"/>
              <w:left w:val="nil"/>
              <w:bottom w:val="single" w:sz="4" w:space="0" w:color="auto"/>
              <w:right w:val="single" w:sz="4" w:space="0" w:color="auto"/>
            </w:tcBorders>
            <w:shd w:val="clear" w:color="auto" w:fill="DCE6F1"/>
            <w:vAlign w:val="center"/>
            <w:hideMark/>
          </w:tcPr>
          <w:p w14:paraId="2FF4FFDE" w14:textId="77777777" w:rsidR="00BE467B" w:rsidRPr="00D95155" w:rsidRDefault="00BE467B" w:rsidP="00E609CD">
            <w:pPr>
              <w:rPr>
                <w:rFonts w:ascii="Arial" w:hAnsi="Arial" w:cs="Arial"/>
                <w:color w:val="auto"/>
                <w:sz w:val="18"/>
                <w:szCs w:val="18"/>
              </w:rPr>
            </w:pPr>
            <w:r w:rsidRPr="00D95155">
              <w:rPr>
                <w:rFonts w:ascii="Arial" w:hAnsi="Arial" w:cs="Arial"/>
                <w:color w:val="auto"/>
                <w:sz w:val="18"/>
                <w:szCs w:val="18"/>
              </w:rPr>
              <w:lastRenderedPageBreak/>
              <w:t>N/A</w:t>
            </w:r>
          </w:p>
        </w:tc>
      </w:tr>
      <w:tr w:rsidR="00BE467B" w:rsidRPr="00B21581" w14:paraId="0F5D092D"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1B866F00" w14:textId="77777777" w:rsidR="00BE467B" w:rsidRPr="00B21581" w:rsidRDefault="00BE467B" w:rsidP="00883C6C">
            <w:pPr>
              <w:spacing w:before="100" w:beforeAutospacing="1" w:after="100" w:afterAutospacing="1"/>
              <w:rPr>
                <w:rFonts w:ascii="Arial" w:hAnsi="Arial" w:cs="Arial"/>
                <w:b/>
                <w:bCs/>
                <w:color w:val="FFFFFF"/>
                <w:sz w:val="22"/>
                <w:szCs w:val="22"/>
              </w:rPr>
            </w:pPr>
            <w:r w:rsidRPr="00B21581">
              <w:rPr>
                <w:rFonts w:ascii="Arial" w:hAnsi="Arial" w:cs="Arial"/>
                <w:b/>
                <w:bCs/>
                <w:color w:val="FFFFFF"/>
                <w:sz w:val="22"/>
                <w:szCs w:val="22"/>
              </w:rPr>
              <w:lastRenderedPageBreak/>
              <w:t>3.1.3 REVENUE (penalties) ALLOWED (deducted) THROUGH INCENTIVE SCHEMES</w:t>
            </w:r>
          </w:p>
        </w:tc>
      </w:tr>
      <w:tr w:rsidR="00C50D67" w:rsidRPr="00B21581" w14:paraId="6F7194F7" w14:textId="77777777" w:rsidTr="00525AE5">
        <w:trPr>
          <w:trHeight w:val="960"/>
        </w:trPr>
        <w:tc>
          <w:tcPr>
            <w:tcW w:w="810" w:type="pct"/>
            <w:tcBorders>
              <w:top w:val="nil"/>
              <w:left w:val="single" w:sz="4" w:space="0" w:color="auto"/>
              <w:bottom w:val="single" w:sz="4" w:space="0" w:color="auto"/>
              <w:right w:val="single" w:sz="4" w:space="0" w:color="auto"/>
            </w:tcBorders>
            <w:shd w:val="clear" w:color="auto" w:fill="DCE6F1"/>
            <w:vAlign w:val="center"/>
            <w:hideMark/>
          </w:tcPr>
          <w:p w14:paraId="7F35C355" w14:textId="77777777" w:rsidR="00BE467B" w:rsidRPr="00A81A8E" w:rsidRDefault="00BE467B" w:rsidP="00E609CD">
            <w:pPr>
              <w:spacing w:line="360" w:lineRule="auto"/>
              <w:rPr>
                <w:color w:val="auto"/>
                <w:sz w:val="18"/>
                <w:szCs w:val="18"/>
              </w:rPr>
            </w:pPr>
            <w:r w:rsidRPr="00362B7D">
              <w:rPr>
                <w:color w:val="auto"/>
                <w:sz w:val="18"/>
                <w:szCs w:val="18"/>
              </w:rPr>
              <w:t>Table 3.1.3 REVENUE (penalties) ALLOWED (deducted) THROUGH INCENTIVE SCHEMES</w:t>
            </w:r>
          </w:p>
        </w:tc>
        <w:tc>
          <w:tcPr>
            <w:tcW w:w="1095" w:type="pct"/>
            <w:tcBorders>
              <w:top w:val="nil"/>
              <w:left w:val="nil"/>
              <w:bottom w:val="single" w:sz="4" w:space="0" w:color="auto"/>
              <w:right w:val="single" w:sz="4" w:space="0" w:color="auto"/>
            </w:tcBorders>
            <w:shd w:val="clear" w:color="auto" w:fill="DCE6F1"/>
            <w:vAlign w:val="center"/>
            <w:hideMark/>
          </w:tcPr>
          <w:p w14:paraId="4C9398BA"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t>TREV0301 EBSS</w:t>
            </w:r>
          </w:p>
          <w:p w14:paraId="5556F35B" w14:textId="77777777" w:rsidR="00BE467B" w:rsidRPr="00A81A8E" w:rsidRDefault="00BE467B" w:rsidP="00E609CD">
            <w:pPr>
              <w:spacing w:before="100" w:beforeAutospacing="1" w:after="100" w:afterAutospacing="1" w:line="360" w:lineRule="auto"/>
              <w:rPr>
                <w:color w:val="auto"/>
                <w:sz w:val="18"/>
                <w:szCs w:val="18"/>
              </w:rPr>
            </w:pPr>
            <w:r w:rsidRPr="00A81A8E">
              <w:rPr>
                <w:color w:val="auto"/>
                <w:sz w:val="18"/>
                <w:szCs w:val="18"/>
              </w:rPr>
              <w:t>AER Approved EBSS revenue for the current regulatory year (</w:t>
            </w:r>
            <w:proofErr w:type="gramStart"/>
            <w:r w:rsidRPr="00A81A8E">
              <w:rPr>
                <w:color w:val="auto"/>
                <w:sz w:val="18"/>
                <w:szCs w:val="18"/>
              </w:rPr>
              <w:t>$,nominal</w:t>
            </w:r>
            <w:proofErr w:type="gramEnd"/>
            <w:r w:rsidRPr="00A81A8E">
              <w:rPr>
                <w:color w:val="auto"/>
                <w:sz w:val="18"/>
                <w:szCs w:val="18"/>
              </w:rPr>
              <w:t>)</w:t>
            </w:r>
          </w:p>
          <w:p w14:paraId="03C2D775"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TREV0302 STPIS</w:t>
            </w:r>
          </w:p>
          <w:p w14:paraId="64D05E78" w14:textId="77777777" w:rsidR="00BE467B" w:rsidRPr="00A81A8E" w:rsidRDefault="00BE467B" w:rsidP="006F79D1">
            <w:pPr>
              <w:spacing w:before="100" w:beforeAutospacing="1" w:after="100" w:afterAutospacing="1" w:line="360" w:lineRule="auto"/>
              <w:rPr>
                <w:color w:val="auto"/>
                <w:sz w:val="18"/>
                <w:szCs w:val="18"/>
              </w:rPr>
            </w:pPr>
            <w:r w:rsidRPr="00A81A8E">
              <w:rPr>
                <w:color w:val="auto"/>
                <w:sz w:val="18"/>
                <w:szCs w:val="18"/>
              </w:rPr>
              <w:t>AER Approved STPIS revenue for calendar year (</w:t>
            </w:r>
            <w:proofErr w:type="gramStart"/>
            <w:r w:rsidRPr="00A81A8E">
              <w:rPr>
                <w:color w:val="auto"/>
                <w:sz w:val="18"/>
                <w:szCs w:val="18"/>
              </w:rPr>
              <w:t>i.e.</w:t>
            </w:r>
            <w:proofErr w:type="gramEnd"/>
            <w:r w:rsidRPr="00A81A8E">
              <w:rPr>
                <w:color w:val="auto"/>
                <w:sz w:val="18"/>
                <w:szCs w:val="18"/>
              </w:rPr>
              <w:t xml:space="preserve"> 2018 calendar year for FY20).</w:t>
            </w:r>
          </w:p>
          <w:p w14:paraId="28C51FED" w14:textId="77777777" w:rsidR="00BE467B" w:rsidRPr="00B22193" w:rsidRDefault="00BE467B" w:rsidP="00E609CD">
            <w:pPr>
              <w:spacing w:before="100" w:beforeAutospacing="1" w:after="100" w:afterAutospacing="1" w:line="360" w:lineRule="auto"/>
              <w:rPr>
                <w:b/>
                <w:bCs/>
                <w:color w:val="auto"/>
                <w:sz w:val="18"/>
                <w:szCs w:val="18"/>
              </w:rPr>
            </w:pPr>
            <w:r w:rsidRPr="00B22193">
              <w:rPr>
                <w:b/>
                <w:bCs/>
                <w:color w:val="auto"/>
                <w:sz w:val="18"/>
                <w:szCs w:val="18"/>
              </w:rPr>
              <w:t>TREV0303 Other</w:t>
            </w:r>
          </w:p>
          <w:p w14:paraId="2D668404" w14:textId="77777777" w:rsidR="00BE467B" w:rsidRPr="00A81A8E" w:rsidRDefault="00BE467B" w:rsidP="00E609CD">
            <w:pPr>
              <w:spacing w:before="100" w:beforeAutospacing="1" w:after="100" w:afterAutospacing="1" w:line="360" w:lineRule="auto"/>
              <w:rPr>
                <w:color w:val="auto"/>
                <w:sz w:val="18"/>
                <w:szCs w:val="18"/>
              </w:rPr>
            </w:pPr>
            <w:r w:rsidRPr="00A81A8E">
              <w:rPr>
                <w:color w:val="auto"/>
                <w:sz w:val="18"/>
                <w:szCs w:val="18"/>
              </w:rPr>
              <w:t>AER Approved CESS revenue for the current regulatory year (</w:t>
            </w:r>
            <w:proofErr w:type="gramStart"/>
            <w:r w:rsidRPr="00A81A8E">
              <w:rPr>
                <w:color w:val="auto"/>
                <w:sz w:val="18"/>
                <w:szCs w:val="18"/>
              </w:rPr>
              <w:t>$,nominal</w:t>
            </w:r>
            <w:proofErr w:type="gramEnd"/>
            <w:r w:rsidRPr="00A81A8E">
              <w:rPr>
                <w:color w:val="auto"/>
                <w:sz w:val="18"/>
                <w:szCs w:val="18"/>
              </w:rPr>
              <w:t>)</w:t>
            </w:r>
          </w:p>
          <w:p w14:paraId="50E35AC7"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t>TREV03 Total revenue of incentive schemes</w:t>
            </w:r>
          </w:p>
          <w:p w14:paraId="3D1E6F84" w14:textId="77777777" w:rsidR="00BE467B" w:rsidRPr="00A81A8E" w:rsidRDefault="00BE467B" w:rsidP="00E609CD">
            <w:pPr>
              <w:spacing w:before="100" w:beforeAutospacing="1" w:after="100" w:afterAutospacing="1" w:line="360" w:lineRule="auto"/>
              <w:rPr>
                <w:color w:val="auto"/>
                <w:sz w:val="18"/>
                <w:szCs w:val="18"/>
              </w:rPr>
            </w:pPr>
            <w:r w:rsidRPr="00A81A8E">
              <w:rPr>
                <w:color w:val="auto"/>
                <w:sz w:val="18"/>
                <w:szCs w:val="18"/>
              </w:rPr>
              <w:t>Total of TREV0301, TREV0302 and TREV0303.</w:t>
            </w:r>
          </w:p>
          <w:p w14:paraId="53A8F205" w14:textId="77777777" w:rsidR="00BE467B" w:rsidRPr="00A81A8E" w:rsidRDefault="00BE467B" w:rsidP="00E609CD">
            <w:pPr>
              <w:spacing w:line="360" w:lineRule="auto"/>
              <w:rPr>
                <w:color w:val="auto"/>
                <w:sz w:val="18"/>
                <w:szCs w:val="18"/>
              </w:rPr>
            </w:pPr>
          </w:p>
        </w:tc>
        <w:tc>
          <w:tcPr>
            <w:tcW w:w="762" w:type="pct"/>
            <w:tcBorders>
              <w:top w:val="nil"/>
              <w:left w:val="nil"/>
              <w:bottom w:val="single" w:sz="4" w:space="0" w:color="auto"/>
              <w:right w:val="single" w:sz="4" w:space="0" w:color="auto"/>
            </w:tcBorders>
            <w:shd w:val="clear" w:color="auto" w:fill="DCE6F1"/>
            <w:vAlign w:val="center"/>
            <w:hideMark/>
          </w:tcPr>
          <w:p w14:paraId="13598635"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lastRenderedPageBreak/>
              <w:t>TREV0301 EBSS</w:t>
            </w:r>
          </w:p>
          <w:p w14:paraId="6C7E514E" w14:textId="77777777" w:rsidR="00BE467B" w:rsidRPr="00D95155" w:rsidRDefault="00BE467B" w:rsidP="00E609CD">
            <w:pPr>
              <w:spacing w:line="360" w:lineRule="auto"/>
              <w:rPr>
                <w:color w:val="auto"/>
                <w:sz w:val="18"/>
                <w:szCs w:val="18"/>
              </w:rPr>
            </w:pPr>
            <w:r w:rsidRPr="00D95155">
              <w:rPr>
                <w:color w:val="auto"/>
                <w:sz w:val="18"/>
                <w:szCs w:val="18"/>
              </w:rPr>
              <w:t>Current regulatory determination (current regulatory year) - using forecast inflation as per the PTRM</w:t>
            </w:r>
          </w:p>
          <w:p w14:paraId="45020410"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t>TREV0302 STPIS</w:t>
            </w:r>
          </w:p>
          <w:p w14:paraId="7962B4D9" w14:textId="77777777" w:rsidR="00BE467B" w:rsidRPr="00D95155" w:rsidRDefault="00BE467B" w:rsidP="00E609CD">
            <w:pPr>
              <w:spacing w:line="360" w:lineRule="auto"/>
              <w:rPr>
                <w:color w:val="auto"/>
                <w:sz w:val="18"/>
                <w:szCs w:val="18"/>
              </w:rPr>
            </w:pPr>
            <w:r w:rsidRPr="00D95155">
              <w:rPr>
                <w:color w:val="auto"/>
                <w:sz w:val="18"/>
                <w:szCs w:val="18"/>
              </w:rPr>
              <w:t>Approval letter from AER</w:t>
            </w:r>
          </w:p>
          <w:p w14:paraId="5AC0DD45"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t>TREV0303 Other</w:t>
            </w:r>
          </w:p>
          <w:p w14:paraId="33F58465" w14:textId="77777777" w:rsidR="00BE467B" w:rsidRPr="00D95155" w:rsidRDefault="00BE467B" w:rsidP="00E609CD">
            <w:pPr>
              <w:spacing w:line="360" w:lineRule="auto"/>
              <w:rPr>
                <w:color w:val="auto"/>
                <w:sz w:val="18"/>
                <w:szCs w:val="18"/>
              </w:rPr>
            </w:pPr>
            <w:r w:rsidRPr="00D95155">
              <w:rPr>
                <w:color w:val="auto"/>
                <w:sz w:val="18"/>
                <w:szCs w:val="18"/>
              </w:rPr>
              <w:t>Current regulatory determination (current regulatory year) - using forecast inflation as per the PTRM</w:t>
            </w:r>
          </w:p>
          <w:p w14:paraId="6CE4F8D8" w14:textId="77777777" w:rsidR="00BE467B" w:rsidRPr="00A81A8E" w:rsidRDefault="00BE467B" w:rsidP="00E609CD">
            <w:pPr>
              <w:spacing w:before="100" w:beforeAutospacing="1" w:after="100" w:afterAutospacing="1" w:line="360" w:lineRule="auto"/>
              <w:rPr>
                <w:b/>
                <w:bCs/>
                <w:color w:val="auto"/>
                <w:sz w:val="18"/>
                <w:szCs w:val="18"/>
              </w:rPr>
            </w:pPr>
            <w:r w:rsidRPr="00A81A8E">
              <w:rPr>
                <w:b/>
                <w:bCs/>
                <w:color w:val="auto"/>
                <w:sz w:val="18"/>
                <w:szCs w:val="18"/>
              </w:rPr>
              <w:lastRenderedPageBreak/>
              <w:t>TREV03 Total revenue of incentive schemes</w:t>
            </w:r>
          </w:p>
          <w:p w14:paraId="272B74BA" w14:textId="77777777" w:rsidR="00BE467B" w:rsidRPr="00A81A8E" w:rsidRDefault="00BE467B" w:rsidP="00E609CD">
            <w:pPr>
              <w:spacing w:line="360" w:lineRule="auto"/>
              <w:rPr>
                <w:color w:val="auto"/>
                <w:sz w:val="18"/>
                <w:szCs w:val="18"/>
              </w:rPr>
            </w:pPr>
            <w:r w:rsidRPr="00D95155">
              <w:rPr>
                <w:color w:val="auto"/>
                <w:sz w:val="18"/>
                <w:szCs w:val="18"/>
              </w:rPr>
              <w:t>N/A</w:t>
            </w:r>
          </w:p>
        </w:tc>
        <w:tc>
          <w:tcPr>
            <w:tcW w:w="716" w:type="pct"/>
            <w:tcBorders>
              <w:top w:val="nil"/>
              <w:left w:val="nil"/>
              <w:bottom w:val="single" w:sz="4" w:space="0" w:color="auto"/>
              <w:right w:val="single" w:sz="4" w:space="0" w:color="auto"/>
            </w:tcBorders>
            <w:shd w:val="clear" w:color="auto" w:fill="DCE6F1"/>
            <w:vAlign w:val="center"/>
            <w:hideMark/>
          </w:tcPr>
          <w:p w14:paraId="4929B998" w14:textId="77777777" w:rsidR="00BE467B" w:rsidRPr="00D95155" w:rsidRDefault="00BE467B" w:rsidP="00E609CD">
            <w:pPr>
              <w:rPr>
                <w:rFonts w:ascii="Arial" w:hAnsi="Arial" w:cs="Arial"/>
                <w:color w:val="auto"/>
                <w:sz w:val="18"/>
                <w:szCs w:val="18"/>
              </w:rPr>
            </w:pPr>
            <w:r w:rsidRPr="00D95155">
              <w:rPr>
                <w:rFonts w:ascii="Arial" w:hAnsi="Arial" w:cs="Arial"/>
                <w:color w:val="auto"/>
                <w:sz w:val="18"/>
                <w:szCs w:val="18"/>
              </w:rPr>
              <w:lastRenderedPageBreak/>
              <w:t>No</w:t>
            </w:r>
          </w:p>
        </w:tc>
        <w:tc>
          <w:tcPr>
            <w:tcW w:w="1000" w:type="pct"/>
            <w:tcBorders>
              <w:top w:val="nil"/>
              <w:left w:val="nil"/>
              <w:bottom w:val="single" w:sz="4" w:space="0" w:color="auto"/>
              <w:right w:val="single" w:sz="4" w:space="0" w:color="auto"/>
            </w:tcBorders>
            <w:shd w:val="clear" w:color="auto" w:fill="DCE6F1"/>
            <w:vAlign w:val="center"/>
            <w:hideMark/>
          </w:tcPr>
          <w:p w14:paraId="60C1D4A2" w14:textId="77777777" w:rsidR="00BE467B" w:rsidRPr="00D95155" w:rsidRDefault="00BE467B" w:rsidP="00E609CD">
            <w:pPr>
              <w:spacing w:before="100" w:beforeAutospacing="1" w:after="100" w:afterAutospacing="1" w:line="360" w:lineRule="auto"/>
              <w:rPr>
                <w:color w:val="auto"/>
                <w:sz w:val="18"/>
                <w:szCs w:val="18"/>
              </w:rPr>
            </w:pPr>
            <w:r w:rsidRPr="00D95155">
              <w:rPr>
                <w:b/>
                <w:bCs/>
                <w:color w:val="auto"/>
                <w:sz w:val="18"/>
                <w:szCs w:val="18"/>
              </w:rPr>
              <w:t>TREV0301 EBSS</w:t>
            </w:r>
          </w:p>
          <w:p w14:paraId="07073195" w14:textId="77777777" w:rsidR="00BE467B" w:rsidRPr="00D95155" w:rsidRDefault="00BE467B" w:rsidP="00E609CD">
            <w:pPr>
              <w:spacing w:line="360" w:lineRule="auto"/>
              <w:rPr>
                <w:color w:val="auto"/>
                <w:sz w:val="18"/>
                <w:szCs w:val="18"/>
              </w:rPr>
            </w:pPr>
            <w:r w:rsidRPr="00D95155">
              <w:rPr>
                <w:color w:val="auto"/>
                <w:sz w:val="18"/>
                <w:szCs w:val="18"/>
              </w:rPr>
              <w:t>N/A</w:t>
            </w:r>
          </w:p>
          <w:p w14:paraId="3A05D5BB" w14:textId="77777777" w:rsidR="00BE467B" w:rsidRPr="00D95155" w:rsidRDefault="00BE467B" w:rsidP="00E609CD">
            <w:pPr>
              <w:spacing w:before="100" w:beforeAutospacing="1" w:after="100" w:afterAutospacing="1" w:line="360" w:lineRule="auto"/>
              <w:rPr>
                <w:color w:val="auto"/>
                <w:sz w:val="18"/>
                <w:szCs w:val="18"/>
              </w:rPr>
            </w:pPr>
            <w:r w:rsidRPr="00D95155">
              <w:rPr>
                <w:b/>
                <w:bCs/>
                <w:color w:val="auto"/>
                <w:sz w:val="18"/>
                <w:szCs w:val="18"/>
              </w:rPr>
              <w:t>TREV0302 STPIS</w:t>
            </w:r>
          </w:p>
          <w:p w14:paraId="0CE52E0B" w14:textId="77777777" w:rsidR="00BE467B" w:rsidRPr="00D95155" w:rsidRDefault="00BE467B" w:rsidP="00E609CD">
            <w:pPr>
              <w:spacing w:line="360" w:lineRule="auto"/>
              <w:rPr>
                <w:color w:val="auto"/>
                <w:sz w:val="18"/>
                <w:szCs w:val="18"/>
              </w:rPr>
            </w:pPr>
            <w:r w:rsidRPr="00D95155">
              <w:rPr>
                <w:color w:val="auto"/>
                <w:sz w:val="18"/>
                <w:szCs w:val="18"/>
              </w:rPr>
              <w:t>N/A</w:t>
            </w:r>
          </w:p>
          <w:p w14:paraId="4F241DEF" w14:textId="77777777" w:rsidR="00BE467B" w:rsidRPr="00D95155" w:rsidRDefault="00BE467B" w:rsidP="00E609CD">
            <w:pPr>
              <w:spacing w:before="100" w:beforeAutospacing="1" w:after="100" w:afterAutospacing="1" w:line="360" w:lineRule="auto"/>
              <w:rPr>
                <w:color w:val="auto"/>
                <w:sz w:val="18"/>
                <w:szCs w:val="18"/>
              </w:rPr>
            </w:pPr>
            <w:r w:rsidRPr="00D95155">
              <w:rPr>
                <w:b/>
                <w:bCs/>
                <w:color w:val="auto"/>
                <w:sz w:val="18"/>
                <w:szCs w:val="18"/>
              </w:rPr>
              <w:t>TREV0303 Other</w:t>
            </w:r>
          </w:p>
          <w:p w14:paraId="379D2DAB" w14:textId="77777777" w:rsidR="00BE467B" w:rsidRPr="00D95155" w:rsidRDefault="00BE467B" w:rsidP="00E609CD">
            <w:pPr>
              <w:spacing w:line="360" w:lineRule="auto"/>
              <w:rPr>
                <w:color w:val="auto"/>
                <w:sz w:val="18"/>
                <w:szCs w:val="18"/>
              </w:rPr>
            </w:pPr>
            <w:r w:rsidRPr="00D95155">
              <w:rPr>
                <w:color w:val="auto"/>
                <w:sz w:val="18"/>
                <w:szCs w:val="18"/>
              </w:rPr>
              <w:t>N/A</w:t>
            </w:r>
          </w:p>
          <w:p w14:paraId="23EDDCC7" w14:textId="77777777" w:rsidR="00BE467B" w:rsidRPr="00D95155" w:rsidRDefault="00BE467B" w:rsidP="00E609CD">
            <w:pPr>
              <w:spacing w:before="100" w:beforeAutospacing="1" w:after="100" w:afterAutospacing="1" w:line="360" w:lineRule="auto"/>
              <w:rPr>
                <w:color w:val="auto"/>
                <w:sz w:val="18"/>
                <w:szCs w:val="18"/>
              </w:rPr>
            </w:pPr>
            <w:r w:rsidRPr="00D95155">
              <w:rPr>
                <w:b/>
                <w:bCs/>
                <w:color w:val="auto"/>
                <w:sz w:val="18"/>
                <w:szCs w:val="18"/>
              </w:rPr>
              <w:t>TREV03 Total revenue of incentive schemes</w:t>
            </w:r>
          </w:p>
          <w:p w14:paraId="773B8818" w14:textId="77777777" w:rsidR="00BE467B" w:rsidRPr="00D95155" w:rsidRDefault="00BE467B" w:rsidP="00E609CD">
            <w:pPr>
              <w:rPr>
                <w:rFonts w:ascii="Arial" w:hAnsi="Arial" w:cs="Arial"/>
                <w:color w:val="auto"/>
                <w:sz w:val="18"/>
                <w:szCs w:val="18"/>
              </w:rPr>
            </w:pPr>
            <w:r w:rsidRPr="00D95155">
              <w:rPr>
                <w:color w:val="auto"/>
                <w:sz w:val="18"/>
                <w:szCs w:val="18"/>
              </w:rPr>
              <w:t>TREV0301 + TREV0302 + TREV0303.</w:t>
            </w:r>
          </w:p>
        </w:tc>
        <w:tc>
          <w:tcPr>
            <w:tcW w:w="617" w:type="pct"/>
            <w:tcBorders>
              <w:top w:val="nil"/>
              <w:left w:val="nil"/>
              <w:bottom w:val="single" w:sz="4" w:space="0" w:color="auto"/>
              <w:right w:val="single" w:sz="4" w:space="0" w:color="auto"/>
            </w:tcBorders>
            <w:shd w:val="clear" w:color="auto" w:fill="DCE6F1"/>
            <w:vAlign w:val="center"/>
            <w:hideMark/>
          </w:tcPr>
          <w:p w14:paraId="41E0FDB3" w14:textId="77777777" w:rsidR="00BE467B" w:rsidRPr="00D95155" w:rsidRDefault="00BE467B" w:rsidP="00E609CD">
            <w:pPr>
              <w:rPr>
                <w:rFonts w:ascii="Arial" w:hAnsi="Arial" w:cs="Arial"/>
                <w:color w:val="auto"/>
                <w:sz w:val="18"/>
                <w:szCs w:val="18"/>
              </w:rPr>
            </w:pPr>
            <w:r w:rsidRPr="00D95155">
              <w:rPr>
                <w:rFonts w:ascii="Arial" w:hAnsi="Arial" w:cs="Arial"/>
                <w:color w:val="auto"/>
                <w:sz w:val="18"/>
                <w:szCs w:val="18"/>
              </w:rPr>
              <w:t>N/A</w:t>
            </w:r>
          </w:p>
        </w:tc>
      </w:tr>
    </w:tbl>
    <w:p w14:paraId="59B81F53" w14:textId="77777777" w:rsidR="00BE467B" w:rsidRPr="00BE467B" w:rsidRDefault="00BE467B" w:rsidP="00BE467B"/>
    <w:p w14:paraId="512113F4" w14:textId="24933E4B" w:rsidR="00BE467B" w:rsidRDefault="00BE467B" w:rsidP="0019343C">
      <w:pPr>
        <w:pStyle w:val="Heading3"/>
        <w:numPr>
          <w:ilvl w:val="2"/>
          <w:numId w:val="12"/>
        </w:numPr>
        <w:spacing w:after="240"/>
      </w:pPr>
      <w:bookmarkStart w:id="16" w:name="_Toc84499726"/>
      <w:r>
        <w:t>Worksheet 3.2 Operating Expenditure</w:t>
      </w:r>
      <w:bookmarkEnd w:id="16"/>
    </w:p>
    <w:tbl>
      <w:tblPr>
        <w:tblW w:w="5543" w:type="pct"/>
        <w:tblInd w:w="-572" w:type="dxa"/>
        <w:tblLook w:val="04A0" w:firstRow="1" w:lastRow="0" w:firstColumn="1" w:lastColumn="0" w:noHBand="0" w:noVBand="1"/>
      </w:tblPr>
      <w:tblGrid>
        <w:gridCol w:w="2126"/>
        <w:gridCol w:w="2786"/>
        <w:gridCol w:w="2298"/>
        <w:gridCol w:w="2045"/>
        <w:gridCol w:w="3646"/>
        <w:gridCol w:w="1982"/>
      </w:tblGrid>
      <w:tr w:rsidR="00B22193" w:rsidRPr="00B21581" w14:paraId="0FBD72A4" w14:textId="77777777" w:rsidTr="00C50D67">
        <w:trPr>
          <w:trHeight w:val="480"/>
          <w:tblHeader/>
        </w:trPr>
        <w:tc>
          <w:tcPr>
            <w:tcW w:w="1650"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3123EEA0" w14:textId="77777777" w:rsidR="00B22193" w:rsidRPr="007713F8" w:rsidRDefault="00B22193"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772" w:type="pct"/>
            <w:tcBorders>
              <w:top w:val="single" w:sz="4" w:space="0" w:color="auto"/>
              <w:left w:val="nil"/>
              <w:bottom w:val="single" w:sz="4" w:space="0" w:color="auto"/>
              <w:right w:val="single" w:sz="4" w:space="0" w:color="auto"/>
            </w:tcBorders>
            <w:shd w:val="clear" w:color="000000" w:fill="47A843" w:themeFill="accent1"/>
            <w:vAlign w:val="center"/>
            <w:hideMark/>
          </w:tcPr>
          <w:p w14:paraId="4A8650EF" w14:textId="77777777" w:rsidR="00B22193" w:rsidRPr="007713F8" w:rsidRDefault="00B22193"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578"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1DDBAE61" w14:textId="77777777" w:rsidR="00B22193" w:rsidRPr="007713F8" w:rsidRDefault="00B22193"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FE2B46" w:rsidRPr="00B21581" w14:paraId="7A51627E" w14:textId="77777777" w:rsidTr="00C50D67">
        <w:trPr>
          <w:trHeight w:val="960"/>
          <w:tblHeader/>
        </w:trPr>
        <w:tc>
          <w:tcPr>
            <w:tcW w:w="714"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71E3C847"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936"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A874FAB"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772"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440820F9"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68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6E5BFBC"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122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6F94984"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66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4862BF7" w14:textId="77777777" w:rsidR="00B22193" w:rsidRPr="007713F8" w:rsidRDefault="00B22193"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B22193" w:rsidRPr="00B21581" w14:paraId="6BFD33B4"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1F3C6BB8" w14:textId="5F63229E" w:rsidR="00B22193" w:rsidRPr="00B21581" w:rsidRDefault="00B22193" w:rsidP="00883C6C">
            <w:pPr>
              <w:spacing w:before="100" w:beforeAutospacing="1" w:after="100" w:afterAutospacing="1"/>
              <w:rPr>
                <w:rFonts w:ascii="Arial" w:hAnsi="Arial" w:cs="Arial"/>
                <w:b/>
                <w:bCs/>
                <w:color w:val="FFFFFF"/>
                <w:sz w:val="22"/>
                <w:szCs w:val="22"/>
              </w:rPr>
            </w:pPr>
            <w:r w:rsidRPr="00B21581">
              <w:rPr>
                <w:rFonts w:ascii="Arial" w:hAnsi="Arial" w:cs="Arial"/>
                <w:b/>
                <w:bCs/>
                <w:color w:val="FFFFFF"/>
                <w:sz w:val="22"/>
                <w:szCs w:val="22"/>
              </w:rPr>
              <w:t>3.</w:t>
            </w:r>
            <w:r>
              <w:rPr>
                <w:rFonts w:ascii="Arial" w:hAnsi="Arial" w:cs="Arial"/>
                <w:b/>
                <w:bCs/>
                <w:color w:val="FFFFFF"/>
                <w:sz w:val="22"/>
                <w:szCs w:val="22"/>
              </w:rPr>
              <w:t>2.1 OPEX CATEGORIES</w:t>
            </w:r>
          </w:p>
        </w:tc>
      </w:tr>
      <w:tr w:rsidR="00E43CDD" w:rsidRPr="00B21581" w14:paraId="20376B21" w14:textId="77777777" w:rsidTr="00525AE5">
        <w:trPr>
          <w:trHeight w:val="1649"/>
        </w:trPr>
        <w:tc>
          <w:tcPr>
            <w:tcW w:w="714" w:type="pct"/>
            <w:tcBorders>
              <w:top w:val="nil"/>
              <w:left w:val="single" w:sz="4" w:space="0" w:color="auto"/>
              <w:bottom w:val="single" w:sz="4" w:space="0" w:color="auto"/>
              <w:right w:val="single" w:sz="4" w:space="0" w:color="auto"/>
            </w:tcBorders>
            <w:shd w:val="clear" w:color="auto" w:fill="DCE6F1"/>
            <w:vAlign w:val="center"/>
            <w:hideMark/>
          </w:tcPr>
          <w:p w14:paraId="331CD412" w14:textId="77777777" w:rsidR="00FE2B46" w:rsidRPr="00A81A8E" w:rsidRDefault="00FE2B46" w:rsidP="00FE2B46">
            <w:pPr>
              <w:spacing w:line="360" w:lineRule="auto"/>
              <w:rPr>
                <w:color w:val="auto"/>
                <w:sz w:val="18"/>
                <w:szCs w:val="18"/>
              </w:rPr>
            </w:pPr>
            <w:r w:rsidRPr="00A81A8E">
              <w:rPr>
                <w:color w:val="auto"/>
                <w:sz w:val="18"/>
                <w:szCs w:val="18"/>
              </w:rPr>
              <w:t>Table 3.2.1 - OPEX CATEGORIES</w:t>
            </w:r>
          </w:p>
          <w:p w14:paraId="2B21CF6A" w14:textId="77777777" w:rsidR="00FE2B46" w:rsidRPr="00D95155" w:rsidRDefault="00FE2B46" w:rsidP="00FE2B46">
            <w:pPr>
              <w:rPr>
                <w:rFonts w:cstheme="minorHAnsi"/>
                <w:color w:val="auto"/>
                <w:sz w:val="18"/>
                <w:szCs w:val="18"/>
              </w:rPr>
            </w:pPr>
          </w:p>
        </w:tc>
        <w:tc>
          <w:tcPr>
            <w:tcW w:w="936" w:type="pct"/>
            <w:tcBorders>
              <w:top w:val="nil"/>
              <w:left w:val="nil"/>
              <w:bottom w:val="single" w:sz="4" w:space="0" w:color="auto"/>
              <w:right w:val="single" w:sz="4" w:space="0" w:color="auto"/>
            </w:tcBorders>
            <w:shd w:val="clear" w:color="auto" w:fill="DCE6F1"/>
            <w:vAlign w:val="center"/>
          </w:tcPr>
          <w:p w14:paraId="7629CD7E" w14:textId="77777777" w:rsidR="00E43CDD" w:rsidRPr="00E43CDD" w:rsidRDefault="00E43CDD" w:rsidP="00E43CDD">
            <w:pPr>
              <w:spacing w:line="360" w:lineRule="auto"/>
              <w:rPr>
                <w:color w:val="auto"/>
                <w:sz w:val="18"/>
                <w:szCs w:val="18"/>
              </w:rPr>
            </w:pPr>
            <w:r w:rsidRPr="00E43CDD">
              <w:rPr>
                <w:color w:val="auto"/>
                <w:sz w:val="18"/>
                <w:szCs w:val="18"/>
              </w:rPr>
              <w:t xml:space="preserve">The </w:t>
            </w:r>
            <w:proofErr w:type="spellStart"/>
            <w:r w:rsidRPr="00E43CDD">
              <w:rPr>
                <w:color w:val="auto"/>
                <w:sz w:val="18"/>
                <w:szCs w:val="18"/>
              </w:rPr>
              <w:t>Opex</w:t>
            </w:r>
            <w:proofErr w:type="spellEnd"/>
            <w:r w:rsidRPr="00E43CDD">
              <w:rPr>
                <w:color w:val="auto"/>
                <w:sz w:val="18"/>
                <w:szCs w:val="18"/>
              </w:rPr>
              <w:t xml:space="preserve"> line items reported are consistent with TransGrid's Revenue proposal </w:t>
            </w:r>
            <w:proofErr w:type="spellStart"/>
            <w:r w:rsidRPr="00E43CDD">
              <w:rPr>
                <w:color w:val="auto"/>
                <w:sz w:val="18"/>
                <w:szCs w:val="18"/>
              </w:rPr>
              <w:t>opex</w:t>
            </w:r>
            <w:proofErr w:type="spellEnd"/>
            <w:r w:rsidRPr="00E43CDD">
              <w:rPr>
                <w:color w:val="auto"/>
                <w:sz w:val="18"/>
                <w:szCs w:val="18"/>
              </w:rPr>
              <w:t xml:space="preserve"> line items and definitions, </w:t>
            </w:r>
            <w:proofErr w:type="gramStart"/>
            <w:r w:rsidRPr="00E43CDD">
              <w:rPr>
                <w:color w:val="auto"/>
                <w:sz w:val="18"/>
                <w:szCs w:val="18"/>
              </w:rPr>
              <w:t>with the exception of</w:t>
            </w:r>
            <w:proofErr w:type="gramEnd"/>
            <w:r w:rsidRPr="00E43CDD">
              <w:rPr>
                <w:color w:val="auto"/>
                <w:sz w:val="18"/>
                <w:szCs w:val="18"/>
              </w:rPr>
              <w:t xml:space="preserve"> TOPEX0119 Defined Benefit Superannuation Adjustment and TOPEX0121 Bushfire Remediation.</w:t>
            </w:r>
          </w:p>
          <w:p w14:paraId="3CBD61DF" w14:textId="77777777" w:rsidR="00E43CDD" w:rsidRPr="00E43CDD" w:rsidRDefault="00E43CDD" w:rsidP="00E43CDD">
            <w:pPr>
              <w:spacing w:line="360" w:lineRule="auto"/>
              <w:rPr>
                <w:color w:val="auto"/>
                <w:sz w:val="18"/>
                <w:szCs w:val="18"/>
              </w:rPr>
            </w:pPr>
            <w:r w:rsidRPr="00E43CDD">
              <w:rPr>
                <w:color w:val="auto"/>
                <w:sz w:val="18"/>
                <w:szCs w:val="18"/>
              </w:rPr>
              <w:lastRenderedPageBreak/>
              <w:t xml:space="preserve">TOPEX0119 relates to an adjustment made to reverse out the Defined Benefit superannuation cash contribution in Prescribed </w:t>
            </w:r>
            <w:proofErr w:type="spellStart"/>
            <w:r w:rsidRPr="00E43CDD">
              <w:rPr>
                <w:color w:val="auto"/>
                <w:sz w:val="18"/>
                <w:szCs w:val="18"/>
              </w:rPr>
              <w:t>Opex</w:t>
            </w:r>
            <w:proofErr w:type="spellEnd"/>
            <w:r w:rsidRPr="00E43CDD">
              <w:rPr>
                <w:color w:val="auto"/>
                <w:sz w:val="18"/>
                <w:szCs w:val="18"/>
              </w:rPr>
              <w:t xml:space="preserve"> and added back the Defined Benefit superannuation accounting expense for compliance with Australian Accounting Standard AASB 119.</w:t>
            </w:r>
          </w:p>
          <w:p w14:paraId="48606EAB" w14:textId="77777777" w:rsidR="00E43CDD" w:rsidRPr="00E43CDD" w:rsidRDefault="00E43CDD" w:rsidP="00E43CDD">
            <w:pPr>
              <w:spacing w:line="360" w:lineRule="auto"/>
              <w:rPr>
                <w:color w:val="auto"/>
                <w:sz w:val="18"/>
                <w:szCs w:val="18"/>
              </w:rPr>
            </w:pPr>
            <w:r w:rsidRPr="00E43CDD">
              <w:rPr>
                <w:color w:val="auto"/>
                <w:sz w:val="18"/>
                <w:szCs w:val="18"/>
              </w:rPr>
              <w:t>TOPEX0121 Bushfire Remediation related to the costs incurred in the current year in relation to the 2020/21 NSW bushfires.</w:t>
            </w:r>
          </w:p>
          <w:p w14:paraId="36827AFA" w14:textId="77777777" w:rsidR="00E43CDD" w:rsidRPr="00E43CDD" w:rsidRDefault="00E43CDD" w:rsidP="00E43CDD">
            <w:pPr>
              <w:spacing w:line="360" w:lineRule="auto"/>
              <w:rPr>
                <w:color w:val="auto"/>
                <w:sz w:val="18"/>
                <w:szCs w:val="18"/>
              </w:rPr>
            </w:pPr>
            <w:r w:rsidRPr="00E43CDD">
              <w:rPr>
                <w:color w:val="auto"/>
                <w:sz w:val="18"/>
                <w:szCs w:val="18"/>
              </w:rPr>
              <w:t xml:space="preserve">TOPEX0113 Corporate Governance has been adjusted to back out the non-cash impact of Australian Accounting Standard AASB 16 Leases from Prescribed </w:t>
            </w:r>
            <w:proofErr w:type="spellStart"/>
            <w:r w:rsidRPr="00E43CDD">
              <w:rPr>
                <w:color w:val="auto"/>
                <w:sz w:val="18"/>
                <w:szCs w:val="18"/>
              </w:rPr>
              <w:t>Opex</w:t>
            </w:r>
            <w:proofErr w:type="spellEnd"/>
            <w:r w:rsidRPr="00E43CDD">
              <w:rPr>
                <w:color w:val="auto"/>
                <w:sz w:val="18"/>
                <w:szCs w:val="18"/>
              </w:rPr>
              <w:t xml:space="preserve">. The </w:t>
            </w:r>
            <w:r w:rsidRPr="00E43CDD">
              <w:rPr>
                <w:color w:val="auto"/>
                <w:sz w:val="18"/>
                <w:szCs w:val="18"/>
              </w:rPr>
              <w:lastRenderedPageBreak/>
              <w:t>adjustment amounted to $478k and is taken from EE329.</w:t>
            </w:r>
          </w:p>
          <w:p w14:paraId="46B48F07" w14:textId="77777777" w:rsidR="00E43CDD" w:rsidRPr="00E43CDD" w:rsidRDefault="00E43CDD" w:rsidP="00E43CDD">
            <w:pPr>
              <w:spacing w:line="360" w:lineRule="auto"/>
              <w:rPr>
                <w:color w:val="auto"/>
                <w:sz w:val="18"/>
                <w:szCs w:val="18"/>
              </w:rPr>
            </w:pPr>
          </w:p>
          <w:p w14:paraId="17DFE0F4" w14:textId="77777777" w:rsidR="00E43CDD" w:rsidRPr="00E43CDD" w:rsidRDefault="00E43CDD" w:rsidP="00E43CDD">
            <w:pPr>
              <w:spacing w:line="360" w:lineRule="auto"/>
              <w:rPr>
                <w:color w:val="auto"/>
                <w:sz w:val="18"/>
                <w:szCs w:val="18"/>
              </w:rPr>
            </w:pPr>
            <w:r w:rsidRPr="00E43CDD">
              <w:rPr>
                <w:color w:val="auto"/>
                <w:sz w:val="18"/>
                <w:szCs w:val="18"/>
              </w:rPr>
              <w:t>TOTEX0101 - Furthermore under AASB16 a Regulatory adjustment for TX system leases for additional costs in Network maintenance has been made in 01 Lines by $1,202,796</w:t>
            </w:r>
          </w:p>
          <w:p w14:paraId="02C5A937" w14:textId="77777777" w:rsidR="00E43CDD" w:rsidRPr="00E43CDD" w:rsidRDefault="00E43CDD" w:rsidP="00E43CDD">
            <w:pPr>
              <w:spacing w:line="360" w:lineRule="auto"/>
              <w:rPr>
                <w:color w:val="auto"/>
                <w:sz w:val="18"/>
                <w:szCs w:val="18"/>
              </w:rPr>
            </w:pPr>
            <w:r w:rsidRPr="00E43CDD">
              <w:rPr>
                <w:color w:val="auto"/>
                <w:sz w:val="18"/>
                <w:szCs w:val="18"/>
              </w:rPr>
              <w:t xml:space="preserve">Since AER doesn't grant capex allowance for capitalised operating leases, the impact of AASB16 will be reversed as a regulatory adjustment. Current </w:t>
            </w:r>
            <w:proofErr w:type="spellStart"/>
            <w:r w:rsidRPr="00E43CDD">
              <w:rPr>
                <w:color w:val="auto"/>
                <w:sz w:val="18"/>
                <w:szCs w:val="18"/>
              </w:rPr>
              <w:t>opex</w:t>
            </w:r>
            <w:proofErr w:type="spellEnd"/>
            <w:r w:rsidRPr="00E43CDD">
              <w:rPr>
                <w:color w:val="auto"/>
                <w:sz w:val="18"/>
                <w:szCs w:val="18"/>
              </w:rPr>
              <w:t xml:space="preserve"> model reversed the property leases. The new TX system lease we </w:t>
            </w:r>
            <w:proofErr w:type="gramStart"/>
            <w:r w:rsidRPr="00E43CDD">
              <w:rPr>
                <w:color w:val="auto"/>
                <w:sz w:val="18"/>
                <w:szCs w:val="18"/>
              </w:rPr>
              <w:t>entered into</w:t>
            </w:r>
            <w:proofErr w:type="gramEnd"/>
            <w:r w:rsidRPr="00E43CDD">
              <w:rPr>
                <w:color w:val="auto"/>
                <w:sz w:val="18"/>
                <w:szCs w:val="18"/>
              </w:rPr>
              <w:t xml:space="preserve"> this year needs to be reversed as well. The $1.2m adjustment included 1) $1.95m total payment made in FY21 and 2) the credit of $747k being the recovery from CAPEX. It was </w:t>
            </w:r>
            <w:r w:rsidRPr="00E43CDD">
              <w:rPr>
                <w:color w:val="auto"/>
                <w:sz w:val="18"/>
                <w:szCs w:val="18"/>
              </w:rPr>
              <w:lastRenderedPageBreak/>
              <w:t xml:space="preserve">recorded as a depreciation recovery and should be reclassified as </w:t>
            </w:r>
            <w:proofErr w:type="spellStart"/>
            <w:r w:rsidRPr="00E43CDD">
              <w:rPr>
                <w:color w:val="auto"/>
                <w:sz w:val="18"/>
                <w:szCs w:val="18"/>
              </w:rPr>
              <w:t>opex</w:t>
            </w:r>
            <w:proofErr w:type="spellEnd"/>
            <w:r w:rsidRPr="00E43CDD">
              <w:rPr>
                <w:color w:val="auto"/>
                <w:sz w:val="18"/>
                <w:szCs w:val="18"/>
              </w:rPr>
              <w:t xml:space="preserve"> recovery. </w:t>
            </w:r>
          </w:p>
          <w:p w14:paraId="73F95BC6" w14:textId="77777777" w:rsidR="00E43CDD" w:rsidRPr="00E43CDD" w:rsidRDefault="00E43CDD" w:rsidP="00E43CDD">
            <w:pPr>
              <w:spacing w:line="360" w:lineRule="auto"/>
              <w:rPr>
                <w:color w:val="auto"/>
                <w:sz w:val="18"/>
                <w:szCs w:val="18"/>
              </w:rPr>
            </w:pPr>
            <w:r w:rsidRPr="00E43CDD">
              <w:rPr>
                <w:color w:val="auto"/>
                <w:sz w:val="18"/>
                <w:szCs w:val="18"/>
              </w:rPr>
              <w:t xml:space="preserve">As required by the "Economic Benchmarking RIN for TNSP Instructions and Definitions Nov 2013", </w:t>
            </w:r>
            <w:proofErr w:type="spellStart"/>
            <w:r w:rsidRPr="00E43CDD">
              <w:rPr>
                <w:color w:val="auto"/>
                <w:sz w:val="18"/>
                <w:szCs w:val="18"/>
              </w:rPr>
              <w:t>opex</w:t>
            </w:r>
            <w:proofErr w:type="spellEnd"/>
            <w:r w:rsidRPr="00E43CDD">
              <w:rPr>
                <w:color w:val="auto"/>
                <w:sz w:val="18"/>
                <w:szCs w:val="18"/>
              </w:rPr>
              <w:t xml:space="preserve"> line items reported in Table 3.2.1 align with the </w:t>
            </w:r>
            <w:proofErr w:type="spellStart"/>
            <w:r w:rsidRPr="00E43CDD">
              <w:rPr>
                <w:color w:val="auto"/>
                <w:sz w:val="18"/>
                <w:szCs w:val="18"/>
              </w:rPr>
              <w:t>Opex</w:t>
            </w:r>
            <w:proofErr w:type="spellEnd"/>
            <w:r w:rsidRPr="00E43CDD">
              <w:rPr>
                <w:color w:val="auto"/>
                <w:sz w:val="18"/>
                <w:szCs w:val="18"/>
              </w:rPr>
              <w:t xml:space="preserve"> line items reported in the Regulatory Accounting Statements.</w:t>
            </w:r>
          </w:p>
          <w:p w14:paraId="4042AEFF" w14:textId="77777777" w:rsidR="00E43CDD" w:rsidRPr="00E43CDD" w:rsidRDefault="00E43CDD" w:rsidP="00E43CDD">
            <w:pPr>
              <w:spacing w:line="360" w:lineRule="auto"/>
              <w:rPr>
                <w:color w:val="auto"/>
                <w:sz w:val="18"/>
                <w:szCs w:val="18"/>
              </w:rPr>
            </w:pPr>
            <w:r w:rsidRPr="00E43CDD">
              <w:rPr>
                <w:color w:val="auto"/>
                <w:sz w:val="18"/>
                <w:szCs w:val="18"/>
              </w:rPr>
              <w:t xml:space="preserve">Prescribed </w:t>
            </w:r>
            <w:proofErr w:type="spellStart"/>
            <w:r w:rsidRPr="00E43CDD">
              <w:rPr>
                <w:color w:val="auto"/>
                <w:sz w:val="18"/>
                <w:szCs w:val="18"/>
              </w:rPr>
              <w:t>Opex</w:t>
            </w:r>
            <w:proofErr w:type="spellEnd"/>
            <w:r w:rsidRPr="00E43CDD">
              <w:rPr>
                <w:color w:val="auto"/>
                <w:sz w:val="18"/>
                <w:szCs w:val="18"/>
              </w:rPr>
              <w:t xml:space="preserve"> in Table 3.2.1 is equal to the following Ellipse P&amp;L categories:</w:t>
            </w:r>
          </w:p>
          <w:p w14:paraId="594044FA"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Labour</w:t>
            </w:r>
          </w:p>
          <w:p w14:paraId="11A30A95"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Materials</w:t>
            </w:r>
          </w:p>
          <w:p w14:paraId="36D9AEDA"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Operating Expenses</w:t>
            </w:r>
          </w:p>
          <w:p w14:paraId="5815A7ED"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Statutory &amp; External Charges</w:t>
            </w:r>
          </w:p>
          <w:p w14:paraId="51D81AEB"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Support Costs</w:t>
            </w:r>
          </w:p>
          <w:p w14:paraId="6A8D91D2" w14:textId="77777777" w:rsidR="00E43CDD" w:rsidRPr="00E43CDD" w:rsidRDefault="00E43CDD" w:rsidP="0019343C">
            <w:pPr>
              <w:pStyle w:val="ListParagraph"/>
              <w:numPr>
                <w:ilvl w:val="0"/>
                <w:numId w:val="13"/>
              </w:numPr>
              <w:spacing w:line="360" w:lineRule="auto"/>
              <w:rPr>
                <w:color w:val="auto"/>
                <w:sz w:val="18"/>
                <w:szCs w:val="18"/>
              </w:rPr>
            </w:pPr>
            <w:r w:rsidRPr="00E43CDD">
              <w:rPr>
                <w:color w:val="auto"/>
                <w:sz w:val="18"/>
                <w:szCs w:val="18"/>
              </w:rPr>
              <w:t>Defined Benefit Super Adjustment</w:t>
            </w:r>
          </w:p>
          <w:p w14:paraId="3EBE4519" w14:textId="1EAB032B" w:rsidR="00FE2B46" w:rsidRPr="00611904" w:rsidRDefault="00E43CDD" w:rsidP="0019343C">
            <w:pPr>
              <w:pStyle w:val="ListParagraph"/>
              <w:numPr>
                <w:ilvl w:val="0"/>
                <w:numId w:val="13"/>
              </w:numPr>
              <w:spacing w:line="360" w:lineRule="auto"/>
              <w:rPr>
                <w:color w:val="auto"/>
                <w:sz w:val="18"/>
                <w:szCs w:val="18"/>
              </w:rPr>
            </w:pPr>
            <w:r w:rsidRPr="00E43CDD">
              <w:rPr>
                <w:color w:val="auto"/>
                <w:sz w:val="18"/>
                <w:szCs w:val="18"/>
              </w:rPr>
              <w:lastRenderedPageBreak/>
              <w:t>Grid support payments</w:t>
            </w:r>
          </w:p>
        </w:tc>
        <w:tc>
          <w:tcPr>
            <w:tcW w:w="772" w:type="pct"/>
            <w:tcBorders>
              <w:top w:val="nil"/>
              <w:left w:val="nil"/>
              <w:bottom w:val="single" w:sz="4" w:space="0" w:color="auto"/>
              <w:right w:val="single" w:sz="4" w:space="0" w:color="auto"/>
            </w:tcBorders>
            <w:shd w:val="clear" w:color="auto" w:fill="DCE6F1"/>
            <w:vAlign w:val="center"/>
            <w:hideMark/>
          </w:tcPr>
          <w:p w14:paraId="55643476" w14:textId="77777777" w:rsidR="00E43CDD" w:rsidRPr="00E43CDD" w:rsidRDefault="00E43CDD" w:rsidP="00E43CDD">
            <w:pPr>
              <w:spacing w:line="360" w:lineRule="auto"/>
              <w:rPr>
                <w:color w:val="auto"/>
                <w:sz w:val="18"/>
                <w:szCs w:val="18"/>
              </w:rPr>
            </w:pPr>
            <w:r w:rsidRPr="00E43CDD">
              <w:rPr>
                <w:color w:val="auto"/>
                <w:sz w:val="18"/>
                <w:szCs w:val="18"/>
              </w:rPr>
              <w:lastRenderedPageBreak/>
              <w:t xml:space="preserve">2020-21 Regulatory Accounts 'DISAGG </w:t>
            </w:r>
            <w:proofErr w:type="spellStart"/>
            <w:r w:rsidRPr="00E43CDD">
              <w:rPr>
                <w:color w:val="auto"/>
                <w:sz w:val="18"/>
                <w:szCs w:val="18"/>
              </w:rPr>
              <w:t>Opex</w:t>
            </w:r>
            <w:proofErr w:type="spellEnd"/>
            <w:r w:rsidRPr="00E43CDD">
              <w:rPr>
                <w:color w:val="auto"/>
                <w:sz w:val="18"/>
                <w:szCs w:val="18"/>
              </w:rPr>
              <w:t xml:space="preserve">', 'RFS Inc Network' and DISAGG Inc' templates - Prescribed column. Categories of the Regulatory Account </w:t>
            </w:r>
            <w:r w:rsidRPr="00E43CDD">
              <w:rPr>
                <w:color w:val="auto"/>
                <w:sz w:val="18"/>
                <w:szCs w:val="18"/>
              </w:rPr>
              <w:lastRenderedPageBreak/>
              <w:t>templates can be mapped to the EB 3.2 as follows:</w:t>
            </w:r>
          </w:p>
          <w:p w14:paraId="003D6FEF"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t>Network Maintenance - TOPEX0101 to TOPEX0105</w:t>
            </w:r>
          </w:p>
          <w:p w14:paraId="4FFBC7DD"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t>Network Operations - TOPEX0106 to TOPEX0108</w:t>
            </w:r>
          </w:p>
          <w:p w14:paraId="092F514A"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t>Other Controllable Costs - TOPEX0109 to TOPEX0118</w:t>
            </w:r>
          </w:p>
          <w:p w14:paraId="774E4A3D"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t>Defined Benefit Superannuation Adjustment - TOPEX0119</w:t>
            </w:r>
          </w:p>
          <w:p w14:paraId="1182F582"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t>Network Support TOPEX0120</w:t>
            </w:r>
          </w:p>
          <w:p w14:paraId="68112CB4" w14:textId="77777777" w:rsidR="00E43CDD" w:rsidRPr="00E43CDD" w:rsidRDefault="00E43CDD" w:rsidP="0019343C">
            <w:pPr>
              <w:pStyle w:val="ListParagraph"/>
              <w:numPr>
                <w:ilvl w:val="0"/>
                <w:numId w:val="14"/>
              </w:numPr>
              <w:spacing w:line="360" w:lineRule="auto"/>
              <w:rPr>
                <w:color w:val="auto"/>
                <w:sz w:val="18"/>
                <w:szCs w:val="18"/>
              </w:rPr>
            </w:pPr>
            <w:r w:rsidRPr="00E43CDD">
              <w:rPr>
                <w:color w:val="auto"/>
                <w:sz w:val="18"/>
                <w:szCs w:val="18"/>
              </w:rPr>
              <w:lastRenderedPageBreak/>
              <w:t>Bushfire remediation TOPEX0121</w:t>
            </w:r>
          </w:p>
          <w:p w14:paraId="1B0D10E6" w14:textId="527B0B10" w:rsidR="00FE2B46" w:rsidRPr="00D95155" w:rsidRDefault="00FE2B46" w:rsidP="00E43CDD">
            <w:pPr>
              <w:spacing w:before="0" w:after="0" w:line="360" w:lineRule="auto"/>
              <w:rPr>
                <w:rFonts w:cstheme="minorHAnsi"/>
                <w:color w:val="auto"/>
                <w:sz w:val="18"/>
                <w:szCs w:val="18"/>
              </w:rPr>
            </w:pPr>
          </w:p>
        </w:tc>
        <w:tc>
          <w:tcPr>
            <w:tcW w:w="687" w:type="pct"/>
            <w:tcBorders>
              <w:top w:val="nil"/>
              <w:left w:val="nil"/>
              <w:bottom w:val="single" w:sz="4" w:space="0" w:color="auto"/>
              <w:right w:val="single" w:sz="4" w:space="0" w:color="auto"/>
            </w:tcBorders>
            <w:shd w:val="clear" w:color="auto" w:fill="DCE6F1"/>
            <w:vAlign w:val="center"/>
            <w:hideMark/>
          </w:tcPr>
          <w:p w14:paraId="5F4E0D50" w14:textId="77E1042C" w:rsidR="00FE2B46" w:rsidRPr="00D95155" w:rsidRDefault="00FE2B46" w:rsidP="00FE2B46">
            <w:pPr>
              <w:rPr>
                <w:rFonts w:cstheme="minorHAnsi"/>
                <w:color w:val="auto"/>
                <w:sz w:val="18"/>
                <w:szCs w:val="18"/>
              </w:rPr>
            </w:pPr>
            <w:r w:rsidRPr="00362B7D">
              <w:rPr>
                <w:rFonts w:ascii="Arial" w:hAnsi="Arial" w:cs="Arial"/>
                <w:color w:val="auto"/>
                <w:sz w:val="18"/>
                <w:szCs w:val="18"/>
              </w:rPr>
              <w:lastRenderedPageBreak/>
              <w:t>No</w:t>
            </w:r>
          </w:p>
        </w:tc>
        <w:tc>
          <w:tcPr>
            <w:tcW w:w="1225" w:type="pct"/>
            <w:tcBorders>
              <w:top w:val="nil"/>
              <w:left w:val="nil"/>
              <w:bottom w:val="single" w:sz="4" w:space="0" w:color="auto"/>
              <w:right w:val="single" w:sz="4" w:space="0" w:color="auto"/>
            </w:tcBorders>
            <w:shd w:val="clear" w:color="auto" w:fill="DCE6F1"/>
            <w:vAlign w:val="center"/>
            <w:hideMark/>
          </w:tcPr>
          <w:p w14:paraId="0AEA6DF4" w14:textId="77777777" w:rsidR="006F79D1" w:rsidRPr="006F79D1" w:rsidRDefault="006F79D1" w:rsidP="006F79D1">
            <w:pPr>
              <w:spacing w:line="360" w:lineRule="auto"/>
              <w:rPr>
                <w:color w:val="auto"/>
                <w:sz w:val="18"/>
                <w:szCs w:val="18"/>
              </w:rPr>
            </w:pPr>
            <w:r w:rsidRPr="006F79D1">
              <w:rPr>
                <w:color w:val="auto"/>
                <w:sz w:val="18"/>
                <w:szCs w:val="18"/>
              </w:rPr>
              <w:t>Prepared in accordance with the requirements of the annual Regulatory Accounts.</w:t>
            </w:r>
          </w:p>
          <w:p w14:paraId="5E88D21A" w14:textId="77777777" w:rsidR="006F79D1" w:rsidRPr="006F79D1" w:rsidRDefault="006F79D1" w:rsidP="006F79D1">
            <w:pPr>
              <w:spacing w:line="360" w:lineRule="auto"/>
              <w:rPr>
                <w:color w:val="auto"/>
                <w:sz w:val="18"/>
                <w:szCs w:val="18"/>
              </w:rPr>
            </w:pPr>
            <w:r w:rsidRPr="006F79D1">
              <w:rPr>
                <w:color w:val="auto"/>
                <w:sz w:val="18"/>
                <w:szCs w:val="18"/>
              </w:rPr>
              <w:t xml:space="preserve">The source data is extracted from Ellipse and </w:t>
            </w:r>
            <w:proofErr w:type="spellStart"/>
            <w:r w:rsidRPr="006F79D1">
              <w:rPr>
                <w:color w:val="auto"/>
                <w:sz w:val="18"/>
                <w:szCs w:val="18"/>
              </w:rPr>
              <w:t>recategorised</w:t>
            </w:r>
            <w:proofErr w:type="spellEnd"/>
            <w:r w:rsidRPr="006F79D1">
              <w:rPr>
                <w:color w:val="auto"/>
                <w:sz w:val="18"/>
                <w:szCs w:val="18"/>
              </w:rPr>
              <w:t xml:space="preserve"> into regulatory categories based on Responsibility Centres, Activity Centres and Expense Element codes. Specific project and work </w:t>
            </w:r>
            <w:r w:rsidRPr="006F79D1">
              <w:rPr>
                <w:color w:val="auto"/>
                <w:sz w:val="18"/>
                <w:szCs w:val="18"/>
              </w:rPr>
              <w:lastRenderedPageBreak/>
              <w:t>orders as well as business stream are used to identify the Bushfire remediation costs.</w:t>
            </w:r>
          </w:p>
          <w:p w14:paraId="41F10C95" w14:textId="77777777" w:rsidR="006F79D1" w:rsidRPr="006F79D1" w:rsidRDefault="006F79D1" w:rsidP="006F79D1">
            <w:pPr>
              <w:spacing w:line="360" w:lineRule="auto"/>
              <w:rPr>
                <w:color w:val="auto"/>
                <w:sz w:val="18"/>
                <w:szCs w:val="18"/>
              </w:rPr>
            </w:pPr>
            <w:r w:rsidRPr="006F79D1">
              <w:rPr>
                <w:color w:val="auto"/>
                <w:sz w:val="18"/>
                <w:szCs w:val="18"/>
              </w:rPr>
              <w:t xml:space="preserve">An adjustment to back out the non-cash impact of the Australian Accounting Standard AASB 16 Leases from Prescribed </w:t>
            </w:r>
            <w:proofErr w:type="spellStart"/>
            <w:r w:rsidRPr="006F79D1">
              <w:rPr>
                <w:color w:val="auto"/>
                <w:sz w:val="18"/>
                <w:szCs w:val="18"/>
              </w:rPr>
              <w:t>Opex</w:t>
            </w:r>
            <w:proofErr w:type="spellEnd"/>
            <w:r w:rsidRPr="006F79D1">
              <w:rPr>
                <w:color w:val="auto"/>
                <w:sz w:val="18"/>
                <w:szCs w:val="18"/>
              </w:rPr>
              <w:t xml:space="preserve"> for purposes of the EB RIN and Regulatory Accounts was made commencing from FY20. AASB 16 came into effect from 1 July 2019. This adjustment has been made to ensure the annual lease costs incurred for the provision of prescribed transmission network services were recognised in Prescribed </w:t>
            </w:r>
            <w:proofErr w:type="spellStart"/>
            <w:r w:rsidRPr="006F79D1">
              <w:rPr>
                <w:color w:val="auto"/>
                <w:sz w:val="18"/>
                <w:szCs w:val="18"/>
              </w:rPr>
              <w:t>Opex</w:t>
            </w:r>
            <w:proofErr w:type="spellEnd"/>
            <w:r w:rsidRPr="006F79D1">
              <w:rPr>
                <w:color w:val="auto"/>
                <w:sz w:val="18"/>
                <w:szCs w:val="18"/>
              </w:rPr>
              <w:t xml:space="preserve">, consistent with the treatment applied for the Prescribed </w:t>
            </w:r>
            <w:proofErr w:type="spellStart"/>
            <w:r w:rsidRPr="006F79D1">
              <w:rPr>
                <w:color w:val="auto"/>
                <w:sz w:val="18"/>
                <w:szCs w:val="18"/>
              </w:rPr>
              <w:t>Opex</w:t>
            </w:r>
            <w:proofErr w:type="spellEnd"/>
            <w:r w:rsidRPr="006F79D1">
              <w:rPr>
                <w:color w:val="auto"/>
                <w:sz w:val="18"/>
                <w:szCs w:val="18"/>
              </w:rPr>
              <w:t xml:space="preserve"> allowance in TransGrid's Revenue Determination.</w:t>
            </w:r>
          </w:p>
          <w:p w14:paraId="715631B6" w14:textId="0E6A15DB" w:rsidR="00FE2B46" w:rsidRPr="006F79D1" w:rsidRDefault="00FE2B46" w:rsidP="006F79D1">
            <w:pPr>
              <w:spacing w:line="360" w:lineRule="auto"/>
              <w:rPr>
                <w:color w:val="auto"/>
                <w:sz w:val="18"/>
                <w:szCs w:val="18"/>
              </w:rPr>
            </w:pPr>
          </w:p>
        </w:tc>
        <w:tc>
          <w:tcPr>
            <w:tcW w:w="667" w:type="pct"/>
            <w:tcBorders>
              <w:top w:val="nil"/>
              <w:left w:val="nil"/>
              <w:bottom w:val="single" w:sz="4" w:space="0" w:color="auto"/>
              <w:right w:val="single" w:sz="4" w:space="0" w:color="auto"/>
            </w:tcBorders>
            <w:shd w:val="clear" w:color="auto" w:fill="DCE6F1"/>
            <w:vAlign w:val="center"/>
            <w:hideMark/>
          </w:tcPr>
          <w:p w14:paraId="12BE0E4D" w14:textId="0AA43460" w:rsidR="00FE2B46" w:rsidRPr="00D95155" w:rsidRDefault="00FE2B46" w:rsidP="006F79D1">
            <w:pPr>
              <w:spacing w:line="360" w:lineRule="auto"/>
              <w:rPr>
                <w:rFonts w:cstheme="minorHAnsi"/>
                <w:color w:val="auto"/>
                <w:sz w:val="18"/>
                <w:szCs w:val="18"/>
              </w:rPr>
            </w:pPr>
            <w:r w:rsidRPr="00362B7D">
              <w:rPr>
                <w:color w:val="auto"/>
                <w:sz w:val="18"/>
                <w:szCs w:val="18"/>
              </w:rPr>
              <w:lastRenderedPageBreak/>
              <w:t>Figures reconcile to the Regulatory accounts</w:t>
            </w:r>
          </w:p>
        </w:tc>
      </w:tr>
    </w:tbl>
    <w:p w14:paraId="5C35CEC9" w14:textId="77777777" w:rsidR="00611904" w:rsidRDefault="00611904" w:rsidP="00611904"/>
    <w:p w14:paraId="2E27C5FD" w14:textId="77777777" w:rsidR="00611904" w:rsidRDefault="00611904">
      <w:pPr>
        <w:rPr>
          <w:rFonts w:asciiTheme="majorHAnsi" w:eastAsiaTheme="majorEastAsia" w:hAnsiTheme="majorHAnsi" w:cstheme="majorBidi"/>
          <w:b/>
          <w:sz w:val="22"/>
          <w:szCs w:val="24"/>
        </w:rPr>
      </w:pPr>
      <w:r>
        <w:br w:type="page"/>
      </w:r>
    </w:p>
    <w:p w14:paraId="7D074E54" w14:textId="174ADDB2" w:rsidR="00BE467B" w:rsidRDefault="00BE467B" w:rsidP="0019343C">
      <w:pPr>
        <w:pStyle w:val="Heading3"/>
        <w:numPr>
          <w:ilvl w:val="2"/>
          <w:numId w:val="12"/>
        </w:numPr>
        <w:spacing w:after="240"/>
      </w:pPr>
      <w:bookmarkStart w:id="17" w:name="_Toc84499727"/>
      <w:r>
        <w:lastRenderedPageBreak/>
        <w:t>Worksheet 3.2.3 Provisions</w:t>
      </w:r>
      <w:bookmarkEnd w:id="17"/>
    </w:p>
    <w:tbl>
      <w:tblPr>
        <w:tblW w:w="5597" w:type="pct"/>
        <w:tblInd w:w="-572" w:type="dxa"/>
        <w:tblLook w:val="04A0" w:firstRow="1" w:lastRow="0" w:firstColumn="1" w:lastColumn="0" w:noHBand="0" w:noVBand="1"/>
      </w:tblPr>
      <w:tblGrid>
        <w:gridCol w:w="2233"/>
        <w:gridCol w:w="2684"/>
        <w:gridCol w:w="3066"/>
        <w:gridCol w:w="1785"/>
        <w:gridCol w:w="2558"/>
        <w:gridCol w:w="2702"/>
      </w:tblGrid>
      <w:tr w:rsidR="00611904" w:rsidRPr="00B21581" w14:paraId="293DECBF" w14:textId="77777777" w:rsidTr="00C50D67">
        <w:trPr>
          <w:trHeight w:val="480"/>
          <w:tblHeader/>
        </w:trPr>
        <w:tc>
          <w:tcPr>
            <w:tcW w:w="1636"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2644BBF7" w14:textId="77777777" w:rsidR="000120C6" w:rsidRPr="007713F8" w:rsidRDefault="000120C6"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1020" w:type="pct"/>
            <w:tcBorders>
              <w:top w:val="single" w:sz="4" w:space="0" w:color="auto"/>
              <w:left w:val="nil"/>
              <w:bottom w:val="single" w:sz="4" w:space="0" w:color="auto"/>
              <w:right w:val="single" w:sz="4" w:space="0" w:color="auto"/>
            </w:tcBorders>
            <w:shd w:val="clear" w:color="000000" w:fill="47A843" w:themeFill="accent1"/>
            <w:vAlign w:val="center"/>
            <w:hideMark/>
          </w:tcPr>
          <w:p w14:paraId="35EBCC62" w14:textId="77777777" w:rsidR="000120C6" w:rsidRPr="007713F8" w:rsidRDefault="000120C6"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343"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320C9F09" w14:textId="77777777" w:rsidR="000120C6" w:rsidRPr="007713F8" w:rsidRDefault="000120C6"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C50D67" w:rsidRPr="00B21581" w14:paraId="3E537230" w14:textId="77777777" w:rsidTr="00C50D67">
        <w:trPr>
          <w:trHeight w:val="960"/>
          <w:tblHeader/>
        </w:trPr>
        <w:tc>
          <w:tcPr>
            <w:tcW w:w="743"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47B01202"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893"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8AFC086"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1020"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979C0CE"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59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6EE6566E"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85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58EB1A0"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898"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E40FDC0" w14:textId="77777777" w:rsidR="000120C6" w:rsidRPr="007713F8" w:rsidRDefault="000120C6"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0120C6" w:rsidRPr="00B21581" w14:paraId="00AD9921" w14:textId="77777777" w:rsidTr="00525AE5">
        <w:trPr>
          <w:trHeight w:val="347"/>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22506133" w14:textId="0C741014" w:rsidR="000120C6" w:rsidRPr="00B21581" w:rsidRDefault="000120C6" w:rsidP="00883C6C">
            <w:pPr>
              <w:spacing w:before="100" w:beforeAutospacing="1" w:after="100" w:afterAutospacing="1"/>
              <w:rPr>
                <w:rFonts w:ascii="Arial" w:hAnsi="Arial" w:cs="Arial"/>
                <w:b/>
                <w:bCs/>
                <w:color w:val="FFFFFF"/>
                <w:sz w:val="22"/>
                <w:szCs w:val="22"/>
              </w:rPr>
            </w:pPr>
            <w:r w:rsidRPr="00B21581">
              <w:rPr>
                <w:rFonts w:ascii="Arial" w:hAnsi="Arial" w:cs="Arial"/>
                <w:b/>
                <w:bCs/>
                <w:color w:val="FFFFFF"/>
                <w:sz w:val="22"/>
                <w:szCs w:val="22"/>
              </w:rPr>
              <w:t>3.</w:t>
            </w:r>
            <w:r>
              <w:rPr>
                <w:rFonts w:ascii="Arial" w:hAnsi="Arial" w:cs="Arial"/>
                <w:b/>
                <w:bCs/>
                <w:color w:val="FFFFFF"/>
                <w:sz w:val="22"/>
                <w:szCs w:val="22"/>
              </w:rPr>
              <w:t>2.</w:t>
            </w:r>
            <w:r w:rsidR="00611904">
              <w:rPr>
                <w:rFonts w:ascii="Arial" w:hAnsi="Arial" w:cs="Arial"/>
                <w:b/>
                <w:bCs/>
                <w:color w:val="FFFFFF"/>
                <w:sz w:val="22"/>
                <w:szCs w:val="22"/>
              </w:rPr>
              <w:t>3 PROVISIONS</w:t>
            </w:r>
          </w:p>
        </w:tc>
      </w:tr>
      <w:tr w:rsidR="00C50D67" w:rsidRPr="00611904" w14:paraId="37723A10" w14:textId="77777777" w:rsidTr="00525AE5">
        <w:trPr>
          <w:trHeight w:val="1649"/>
        </w:trPr>
        <w:tc>
          <w:tcPr>
            <w:tcW w:w="743" w:type="pct"/>
            <w:tcBorders>
              <w:top w:val="nil"/>
              <w:left w:val="single" w:sz="4" w:space="0" w:color="auto"/>
              <w:bottom w:val="single" w:sz="4" w:space="0" w:color="auto"/>
              <w:right w:val="single" w:sz="4" w:space="0" w:color="auto"/>
            </w:tcBorders>
            <w:shd w:val="clear" w:color="auto" w:fill="DCE6F1"/>
            <w:vAlign w:val="center"/>
          </w:tcPr>
          <w:p w14:paraId="2AE34894" w14:textId="77777777" w:rsidR="00611904" w:rsidRPr="00A81A8E" w:rsidRDefault="00611904" w:rsidP="00611904">
            <w:pPr>
              <w:spacing w:line="360" w:lineRule="auto"/>
              <w:rPr>
                <w:color w:val="auto"/>
                <w:sz w:val="18"/>
                <w:szCs w:val="18"/>
              </w:rPr>
            </w:pPr>
            <w:r w:rsidRPr="00A81A8E">
              <w:rPr>
                <w:color w:val="auto"/>
                <w:sz w:val="18"/>
                <w:szCs w:val="18"/>
              </w:rPr>
              <w:t>TABLE 3.2.3 - PROVISIONS</w:t>
            </w:r>
          </w:p>
          <w:p w14:paraId="670007A5" w14:textId="77777777" w:rsidR="00611904" w:rsidRPr="00611904" w:rsidRDefault="00611904" w:rsidP="00611904">
            <w:pPr>
              <w:rPr>
                <w:color w:val="auto"/>
                <w:sz w:val="18"/>
                <w:szCs w:val="18"/>
              </w:rPr>
            </w:pPr>
          </w:p>
        </w:tc>
        <w:tc>
          <w:tcPr>
            <w:tcW w:w="893" w:type="pct"/>
            <w:tcBorders>
              <w:top w:val="nil"/>
              <w:left w:val="nil"/>
              <w:bottom w:val="single" w:sz="4" w:space="0" w:color="auto"/>
              <w:right w:val="single" w:sz="4" w:space="0" w:color="auto"/>
            </w:tcBorders>
            <w:shd w:val="clear" w:color="auto" w:fill="DCE6F1"/>
            <w:vAlign w:val="center"/>
          </w:tcPr>
          <w:p w14:paraId="6E13659A" w14:textId="77777777" w:rsidR="00611904" w:rsidRPr="00611904" w:rsidRDefault="00611904" w:rsidP="00611904">
            <w:pPr>
              <w:spacing w:line="360" w:lineRule="auto"/>
              <w:rPr>
                <w:b/>
                <w:bCs/>
                <w:color w:val="auto"/>
                <w:sz w:val="18"/>
                <w:szCs w:val="18"/>
              </w:rPr>
            </w:pPr>
            <w:r w:rsidRPr="00611904">
              <w:rPr>
                <w:b/>
                <w:bCs/>
                <w:color w:val="auto"/>
                <w:sz w:val="18"/>
                <w:szCs w:val="18"/>
              </w:rPr>
              <w:t>Opening balance</w:t>
            </w:r>
          </w:p>
          <w:p w14:paraId="792DB5A2"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699E0F3F" w14:textId="77777777" w:rsidR="00611904" w:rsidRPr="00611904" w:rsidRDefault="00611904" w:rsidP="00611904">
            <w:pPr>
              <w:spacing w:line="360" w:lineRule="auto"/>
              <w:rPr>
                <w:b/>
                <w:bCs/>
                <w:color w:val="auto"/>
                <w:sz w:val="18"/>
                <w:szCs w:val="18"/>
              </w:rPr>
            </w:pPr>
            <w:r w:rsidRPr="00611904">
              <w:rPr>
                <w:b/>
                <w:bCs/>
                <w:color w:val="auto"/>
                <w:sz w:val="18"/>
                <w:szCs w:val="18"/>
              </w:rPr>
              <w:t>Long Service Leave</w:t>
            </w:r>
          </w:p>
          <w:p w14:paraId="6FBBC66A" w14:textId="77777777" w:rsidR="00611904" w:rsidRPr="00611904" w:rsidRDefault="00611904" w:rsidP="00611904">
            <w:pPr>
              <w:spacing w:line="360" w:lineRule="auto"/>
              <w:rPr>
                <w:color w:val="auto"/>
                <w:sz w:val="18"/>
                <w:szCs w:val="18"/>
              </w:rPr>
            </w:pPr>
            <w:r w:rsidRPr="00611904">
              <w:rPr>
                <w:color w:val="auto"/>
                <w:sz w:val="18"/>
                <w:szCs w:val="18"/>
              </w:rPr>
              <w:t>The provision breakdowns are consistent with the audited financial statements for FY21 prepared in accordance with Australian Accounting Standards. The capex components exclude contingent capex projects.</w:t>
            </w:r>
          </w:p>
          <w:p w14:paraId="11B7CB3E" w14:textId="77777777" w:rsidR="00611904" w:rsidRPr="00611904" w:rsidRDefault="00611904" w:rsidP="00611904">
            <w:pPr>
              <w:spacing w:line="360" w:lineRule="auto"/>
              <w:rPr>
                <w:b/>
                <w:bCs/>
                <w:color w:val="auto"/>
                <w:sz w:val="18"/>
                <w:szCs w:val="18"/>
              </w:rPr>
            </w:pPr>
            <w:r w:rsidRPr="00611904">
              <w:rPr>
                <w:b/>
                <w:bCs/>
                <w:color w:val="auto"/>
                <w:sz w:val="18"/>
                <w:szCs w:val="18"/>
              </w:rPr>
              <w:t>Annual Leave</w:t>
            </w:r>
          </w:p>
          <w:p w14:paraId="52FCD161" w14:textId="77777777" w:rsidR="00611904" w:rsidRPr="00611904" w:rsidRDefault="00611904" w:rsidP="00611904">
            <w:pPr>
              <w:spacing w:line="360" w:lineRule="auto"/>
              <w:rPr>
                <w:color w:val="auto"/>
                <w:sz w:val="18"/>
                <w:szCs w:val="18"/>
              </w:rPr>
            </w:pPr>
            <w:r w:rsidRPr="00611904">
              <w:rPr>
                <w:color w:val="auto"/>
                <w:sz w:val="18"/>
                <w:szCs w:val="18"/>
              </w:rPr>
              <w:t xml:space="preserve">The provision breakdowns are consistent with the audited financial statements for FY21 prepared in accordance with Australian Accounting Standards. The capex </w:t>
            </w:r>
            <w:r w:rsidRPr="00611904">
              <w:rPr>
                <w:color w:val="auto"/>
                <w:sz w:val="18"/>
                <w:szCs w:val="18"/>
              </w:rPr>
              <w:lastRenderedPageBreak/>
              <w:t>components exclude contingent capex projects.</w:t>
            </w:r>
          </w:p>
          <w:p w14:paraId="47F9577F" w14:textId="77777777" w:rsidR="00611904" w:rsidRPr="00611904" w:rsidRDefault="00611904" w:rsidP="00611904">
            <w:pPr>
              <w:spacing w:line="360" w:lineRule="auto"/>
              <w:rPr>
                <w:b/>
                <w:bCs/>
                <w:color w:val="auto"/>
                <w:sz w:val="18"/>
                <w:szCs w:val="18"/>
              </w:rPr>
            </w:pPr>
            <w:r w:rsidRPr="00611904">
              <w:rPr>
                <w:b/>
                <w:bCs/>
                <w:color w:val="auto"/>
                <w:sz w:val="18"/>
                <w:szCs w:val="18"/>
              </w:rPr>
              <w:t>Defined Benefit Superannuation Scheme</w:t>
            </w:r>
          </w:p>
          <w:p w14:paraId="439E7422" w14:textId="77777777" w:rsidR="00611904" w:rsidRPr="00611904" w:rsidRDefault="00611904" w:rsidP="00611904">
            <w:pPr>
              <w:spacing w:line="360" w:lineRule="auto"/>
              <w:rPr>
                <w:color w:val="auto"/>
                <w:sz w:val="18"/>
                <w:szCs w:val="18"/>
              </w:rPr>
            </w:pPr>
            <w:r w:rsidRPr="00611904">
              <w:rPr>
                <w:color w:val="auto"/>
                <w:sz w:val="18"/>
                <w:szCs w:val="18"/>
              </w:rPr>
              <w:t>The provision breakdowns are consistent with the audited financial statements for FY21 prepared in accordance with Australian Accounting Standards.</w:t>
            </w:r>
          </w:p>
          <w:p w14:paraId="30DA23C1" w14:textId="77777777" w:rsidR="00611904" w:rsidRPr="00611904" w:rsidRDefault="00611904" w:rsidP="00611904">
            <w:pPr>
              <w:spacing w:line="360" w:lineRule="auto"/>
              <w:rPr>
                <w:b/>
                <w:bCs/>
                <w:color w:val="auto"/>
                <w:sz w:val="18"/>
                <w:szCs w:val="18"/>
              </w:rPr>
            </w:pPr>
            <w:r w:rsidRPr="00611904">
              <w:rPr>
                <w:b/>
                <w:bCs/>
                <w:color w:val="auto"/>
                <w:sz w:val="18"/>
                <w:szCs w:val="18"/>
              </w:rPr>
              <w:t>Employee incentives</w:t>
            </w:r>
          </w:p>
          <w:p w14:paraId="3B9A7011" w14:textId="77777777" w:rsidR="00611904" w:rsidRPr="00611904" w:rsidRDefault="00611904" w:rsidP="00611904">
            <w:pPr>
              <w:spacing w:line="360" w:lineRule="auto"/>
              <w:rPr>
                <w:color w:val="auto"/>
                <w:sz w:val="18"/>
                <w:szCs w:val="18"/>
              </w:rPr>
            </w:pPr>
            <w:r w:rsidRPr="00611904">
              <w:rPr>
                <w:color w:val="auto"/>
                <w:sz w:val="18"/>
                <w:szCs w:val="18"/>
              </w:rPr>
              <w:t>The provision breakdowns are consistent with the audited financial statements for FY21 prepared in accordance with Australian Accounting Standards.</w:t>
            </w:r>
          </w:p>
          <w:p w14:paraId="2ECA048F" w14:textId="77777777" w:rsidR="00611904" w:rsidRPr="00611904" w:rsidRDefault="00611904" w:rsidP="00611904">
            <w:pPr>
              <w:spacing w:line="360" w:lineRule="auto"/>
              <w:rPr>
                <w:b/>
                <w:bCs/>
                <w:color w:val="auto"/>
                <w:sz w:val="18"/>
                <w:szCs w:val="18"/>
              </w:rPr>
            </w:pPr>
            <w:r w:rsidRPr="00611904">
              <w:rPr>
                <w:b/>
                <w:bCs/>
                <w:color w:val="auto"/>
                <w:sz w:val="18"/>
                <w:szCs w:val="18"/>
              </w:rPr>
              <w:t>Rectification Obligations</w:t>
            </w:r>
          </w:p>
          <w:p w14:paraId="171DA743" w14:textId="77777777" w:rsidR="00611904" w:rsidRPr="00611904" w:rsidRDefault="00611904" w:rsidP="00611904">
            <w:pPr>
              <w:spacing w:line="360" w:lineRule="auto"/>
              <w:rPr>
                <w:color w:val="auto"/>
                <w:sz w:val="18"/>
                <w:szCs w:val="18"/>
              </w:rPr>
            </w:pPr>
            <w:r w:rsidRPr="00611904">
              <w:rPr>
                <w:color w:val="auto"/>
                <w:sz w:val="18"/>
                <w:szCs w:val="18"/>
              </w:rPr>
              <w:t xml:space="preserve">The provision breakdowns are consistent with the audited </w:t>
            </w:r>
            <w:r w:rsidRPr="00611904">
              <w:rPr>
                <w:color w:val="auto"/>
                <w:sz w:val="18"/>
                <w:szCs w:val="18"/>
              </w:rPr>
              <w:lastRenderedPageBreak/>
              <w:t>financial statements for FY21 prepared in accordance with Australian Accounting Standards.</w:t>
            </w:r>
          </w:p>
          <w:p w14:paraId="67A6697D" w14:textId="77777777" w:rsidR="00611904" w:rsidRPr="00611904" w:rsidRDefault="00611904" w:rsidP="00611904">
            <w:pPr>
              <w:spacing w:line="360" w:lineRule="auto"/>
              <w:rPr>
                <w:b/>
                <w:bCs/>
                <w:color w:val="auto"/>
                <w:sz w:val="18"/>
                <w:szCs w:val="18"/>
              </w:rPr>
            </w:pPr>
            <w:r w:rsidRPr="00611904">
              <w:rPr>
                <w:b/>
                <w:bCs/>
                <w:color w:val="auto"/>
                <w:sz w:val="18"/>
                <w:szCs w:val="18"/>
              </w:rPr>
              <w:t>Labour initiatives</w:t>
            </w:r>
          </w:p>
          <w:p w14:paraId="7629CA6E"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3C47DEFD" w14:textId="77777777" w:rsidR="00611904" w:rsidRPr="00611904" w:rsidRDefault="00611904" w:rsidP="00611904">
            <w:pPr>
              <w:spacing w:line="360" w:lineRule="auto"/>
              <w:rPr>
                <w:color w:val="auto"/>
                <w:sz w:val="18"/>
                <w:szCs w:val="18"/>
              </w:rPr>
            </w:pPr>
            <w:r w:rsidRPr="00611904">
              <w:rPr>
                <w:color w:val="auto"/>
                <w:sz w:val="18"/>
                <w:szCs w:val="18"/>
              </w:rPr>
              <w:t>The provision breakdowns are consistent with the audited financial statements for FY21 prepared in accordance with Australian Accounting Standards.</w:t>
            </w:r>
          </w:p>
          <w:p w14:paraId="67C6287F" w14:textId="77777777" w:rsidR="00611904" w:rsidRPr="00611904" w:rsidRDefault="00611904" w:rsidP="00611904">
            <w:pPr>
              <w:spacing w:line="360" w:lineRule="auto"/>
              <w:rPr>
                <w:color w:val="auto"/>
                <w:sz w:val="18"/>
                <w:szCs w:val="18"/>
              </w:rPr>
            </w:pPr>
          </w:p>
        </w:tc>
        <w:tc>
          <w:tcPr>
            <w:tcW w:w="1020" w:type="pct"/>
            <w:tcBorders>
              <w:top w:val="nil"/>
              <w:left w:val="nil"/>
              <w:bottom w:val="single" w:sz="4" w:space="0" w:color="auto"/>
              <w:right w:val="single" w:sz="4" w:space="0" w:color="auto"/>
            </w:tcBorders>
            <w:shd w:val="clear" w:color="auto" w:fill="DCE6F1"/>
            <w:vAlign w:val="center"/>
          </w:tcPr>
          <w:p w14:paraId="60A13ADC" w14:textId="77777777" w:rsidR="00611904" w:rsidRPr="00611904" w:rsidRDefault="00611904" w:rsidP="00611904">
            <w:pPr>
              <w:spacing w:line="360" w:lineRule="auto"/>
              <w:rPr>
                <w:color w:val="auto"/>
                <w:sz w:val="18"/>
                <w:szCs w:val="18"/>
              </w:rPr>
            </w:pPr>
            <w:r w:rsidRPr="00611904">
              <w:rPr>
                <w:color w:val="auto"/>
                <w:sz w:val="18"/>
                <w:szCs w:val="18"/>
              </w:rPr>
              <w:lastRenderedPageBreak/>
              <w:t>Opening balance</w:t>
            </w:r>
          </w:p>
          <w:p w14:paraId="245BE8EF"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7503D896" w14:textId="77777777" w:rsidR="00611904" w:rsidRPr="00611904" w:rsidRDefault="00611904" w:rsidP="00611904">
            <w:pPr>
              <w:spacing w:line="360" w:lineRule="auto"/>
              <w:rPr>
                <w:b/>
                <w:bCs/>
                <w:color w:val="auto"/>
                <w:sz w:val="18"/>
                <w:szCs w:val="18"/>
              </w:rPr>
            </w:pPr>
            <w:r w:rsidRPr="00611904">
              <w:rPr>
                <w:b/>
                <w:bCs/>
                <w:color w:val="auto"/>
                <w:sz w:val="18"/>
                <w:szCs w:val="18"/>
              </w:rPr>
              <w:t>Long Service Leave</w:t>
            </w:r>
          </w:p>
          <w:p w14:paraId="2F98E270" w14:textId="77777777"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for the long service leave provision and the working papers used for the preparation of the Regulatory Accounts 'DISAGG </w:t>
            </w:r>
            <w:proofErr w:type="spellStart"/>
            <w:r w:rsidRPr="00611904">
              <w:rPr>
                <w:color w:val="auto"/>
                <w:sz w:val="18"/>
                <w:szCs w:val="18"/>
              </w:rPr>
              <w:t>ProvSum</w:t>
            </w:r>
            <w:proofErr w:type="spellEnd"/>
            <w:r w:rsidRPr="00611904">
              <w:rPr>
                <w:color w:val="auto"/>
                <w:sz w:val="18"/>
                <w:szCs w:val="18"/>
              </w:rPr>
              <w:t>' schedule. (Including only the prescribed portion and excluding contingent capex projects).</w:t>
            </w:r>
          </w:p>
          <w:p w14:paraId="1733A48D" w14:textId="77777777" w:rsidR="00611904" w:rsidRPr="00611904" w:rsidRDefault="00611904" w:rsidP="00611904">
            <w:pPr>
              <w:spacing w:line="360" w:lineRule="auto"/>
              <w:rPr>
                <w:b/>
                <w:bCs/>
                <w:color w:val="auto"/>
                <w:sz w:val="18"/>
                <w:szCs w:val="18"/>
              </w:rPr>
            </w:pPr>
            <w:r w:rsidRPr="00611904">
              <w:rPr>
                <w:b/>
                <w:bCs/>
                <w:color w:val="auto"/>
                <w:sz w:val="18"/>
                <w:szCs w:val="18"/>
              </w:rPr>
              <w:t>Annual Leave</w:t>
            </w:r>
          </w:p>
          <w:p w14:paraId="333C821A" w14:textId="77777777"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for annual leave provision and the working papers used for the preparation of the Regulatory </w:t>
            </w:r>
            <w:r w:rsidRPr="00611904">
              <w:rPr>
                <w:color w:val="auto"/>
                <w:sz w:val="18"/>
                <w:szCs w:val="18"/>
              </w:rPr>
              <w:lastRenderedPageBreak/>
              <w:t xml:space="preserve">Accounts 'DISAGG </w:t>
            </w:r>
            <w:proofErr w:type="spellStart"/>
            <w:r w:rsidRPr="00611904">
              <w:rPr>
                <w:color w:val="auto"/>
                <w:sz w:val="18"/>
                <w:szCs w:val="18"/>
              </w:rPr>
              <w:t>ProvSum</w:t>
            </w:r>
            <w:proofErr w:type="spellEnd"/>
            <w:r w:rsidRPr="00611904">
              <w:rPr>
                <w:color w:val="auto"/>
                <w:sz w:val="18"/>
                <w:szCs w:val="18"/>
              </w:rPr>
              <w:t>' schedule. (Including only the prescribed portion and excluding contingent capex projects).</w:t>
            </w:r>
          </w:p>
          <w:p w14:paraId="3357E0DC" w14:textId="77777777" w:rsidR="00611904" w:rsidRPr="00611904" w:rsidRDefault="00611904" w:rsidP="00611904">
            <w:pPr>
              <w:spacing w:line="360" w:lineRule="auto"/>
              <w:rPr>
                <w:b/>
                <w:bCs/>
                <w:color w:val="auto"/>
                <w:sz w:val="18"/>
                <w:szCs w:val="18"/>
              </w:rPr>
            </w:pPr>
            <w:r w:rsidRPr="00611904">
              <w:rPr>
                <w:b/>
                <w:bCs/>
                <w:color w:val="auto"/>
                <w:sz w:val="18"/>
                <w:szCs w:val="18"/>
              </w:rPr>
              <w:t>Defined Benefit Superannuation Scheme</w:t>
            </w:r>
          </w:p>
          <w:p w14:paraId="4D5A215A" w14:textId="77777777"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relating to the net defined benefit superannuation liability and movements and the working papers for the preparation of the Regulatory Accounts 'DISAGG </w:t>
            </w:r>
            <w:proofErr w:type="spellStart"/>
            <w:r w:rsidRPr="00611904">
              <w:rPr>
                <w:color w:val="auto"/>
                <w:sz w:val="18"/>
                <w:szCs w:val="18"/>
              </w:rPr>
              <w:t>ProvSum</w:t>
            </w:r>
            <w:proofErr w:type="spellEnd"/>
            <w:r w:rsidRPr="00611904">
              <w:rPr>
                <w:color w:val="auto"/>
                <w:sz w:val="18"/>
                <w:szCs w:val="18"/>
              </w:rPr>
              <w:t>' schedule. (Including only the prescribed portion).</w:t>
            </w:r>
          </w:p>
          <w:p w14:paraId="15BE53D6" w14:textId="77777777" w:rsidR="00611904" w:rsidRPr="00611904" w:rsidRDefault="00611904" w:rsidP="00611904">
            <w:pPr>
              <w:spacing w:line="360" w:lineRule="auto"/>
              <w:rPr>
                <w:b/>
                <w:bCs/>
                <w:color w:val="auto"/>
                <w:sz w:val="18"/>
                <w:szCs w:val="18"/>
              </w:rPr>
            </w:pPr>
            <w:r w:rsidRPr="00611904">
              <w:rPr>
                <w:b/>
                <w:bCs/>
                <w:color w:val="auto"/>
                <w:sz w:val="18"/>
                <w:szCs w:val="18"/>
              </w:rPr>
              <w:t>Employee incentives</w:t>
            </w:r>
          </w:p>
          <w:p w14:paraId="41A2FFED" w14:textId="77777777"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for the Incentives provision and the working papers used for the preparation of the Regulatory </w:t>
            </w:r>
            <w:r w:rsidRPr="00611904">
              <w:rPr>
                <w:color w:val="auto"/>
                <w:sz w:val="18"/>
                <w:szCs w:val="18"/>
              </w:rPr>
              <w:lastRenderedPageBreak/>
              <w:t xml:space="preserve">Accounts 'DISAGG </w:t>
            </w:r>
            <w:proofErr w:type="spellStart"/>
            <w:r w:rsidRPr="00611904">
              <w:rPr>
                <w:color w:val="auto"/>
                <w:sz w:val="18"/>
                <w:szCs w:val="18"/>
              </w:rPr>
              <w:t>ProvSum</w:t>
            </w:r>
            <w:proofErr w:type="spellEnd"/>
            <w:r w:rsidRPr="00611904">
              <w:rPr>
                <w:color w:val="auto"/>
                <w:sz w:val="18"/>
                <w:szCs w:val="18"/>
              </w:rPr>
              <w:t>' schedule. (Including only the prescribed portion).</w:t>
            </w:r>
          </w:p>
          <w:p w14:paraId="2540F001" w14:textId="77777777" w:rsidR="00611904" w:rsidRPr="00611904" w:rsidRDefault="00611904" w:rsidP="00611904">
            <w:pPr>
              <w:spacing w:line="360" w:lineRule="auto"/>
              <w:rPr>
                <w:b/>
                <w:bCs/>
                <w:color w:val="auto"/>
                <w:sz w:val="18"/>
                <w:szCs w:val="18"/>
              </w:rPr>
            </w:pPr>
            <w:r w:rsidRPr="00611904">
              <w:rPr>
                <w:b/>
                <w:bCs/>
                <w:color w:val="auto"/>
                <w:sz w:val="18"/>
                <w:szCs w:val="18"/>
              </w:rPr>
              <w:t>Rectification Obligations</w:t>
            </w:r>
          </w:p>
          <w:p w14:paraId="47442616"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1C75FE06" w14:textId="77777777"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for Provision for Rectification Obligation and the working papers used for the preparation of the Regulatory Accounts 'DISAGG </w:t>
            </w:r>
            <w:proofErr w:type="spellStart"/>
            <w:r w:rsidRPr="00611904">
              <w:rPr>
                <w:color w:val="auto"/>
                <w:sz w:val="18"/>
                <w:szCs w:val="18"/>
              </w:rPr>
              <w:t>ProvSum</w:t>
            </w:r>
            <w:proofErr w:type="spellEnd"/>
            <w:r w:rsidRPr="00611904">
              <w:rPr>
                <w:color w:val="auto"/>
                <w:sz w:val="18"/>
                <w:szCs w:val="18"/>
              </w:rPr>
              <w:t>' schedule. (Including only the prescribed portion).</w:t>
            </w:r>
          </w:p>
          <w:p w14:paraId="759EF276" w14:textId="77777777" w:rsidR="00611904" w:rsidRPr="00611904" w:rsidRDefault="00611904" w:rsidP="00611904">
            <w:pPr>
              <w:spacing w:line="360" w:lineRule="auto"/>
              <w:rPr>
                <w:b/>
                <w:bCs/>
                <w:color w:val="auto"/>
                <w:sz w:val="18"/>
                <w:szCs w:val="18"/>
              </w:rPr>
            </w:pPr>
            <w:r w:rsidRPr="00611904">
              <w:rPr>
                <w:b/>
                <w:bCs/>
                <w:color w:val="auto"/>
                <w:sz w:val="18"/>
                <w:szCs w:val="18"/>
              </w:rPr>
              <w:t>Labour initiatives</w:t>
            </w:r>
          </w:p>
          <w:p w14:paraId="6DC8813D"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73C346C2" w14:textId="257D53E5" w:rsidR="00611904" w:rsidRPr="00611904" w:rsidRDefault="00611904" w:rsidP="00611904">
            <w:pPr>
              <w:spacing w:line="360" w:lineRule="auto"/>
              <w:rPr>
                <w:color w:val="auto"/>
                <w:sz w:val="18"/>
                <w:szCs w:val="18"/>
              </w:rPr>
            </w:pPr>
            <w:r w:rsidRPr="00611904">
              <w:rPr>
                <w:color w:val="auto"/>
                <w:sz w:val="18"/>
                <w:szCs w:val="18"/>
              </w:rPr>
              <w:t xml:space="preserve">FY21 audited Financial Statements, Ellipse General Ledger for Provision for labour initiatives and the working papers used for the preparation of the Regulatory </w:t>
            </w:r>
            <w:r w:rsidRPr="00611904">
              <w:rPr>
                <w:color w:val="auto"/>
                <w:sz w:val="18"/>
                <w:szCs w:val="18"/>
              </w:rPr>
              <w:lastRenderedPageBreak/>
              <w:t xml:space="preserve">Accounts 'DISAGG </w:t>
            </w:r>
            <w:proofErr w:type="spellStart"/>
            <w:r w:rsidRPr="00611904">
              <w:rPr>
                <w:color w:val="auto"/>
                <w:sz w:val="18"/>
                <w:szCs w:val="18"/>
              </w:rPr>
              <w:t>ProvSum</w:t>
            </w:r>
            <w:proofErr w:type="spellEnd"/>
            <w:r w:rsidRPr="00611904">
              <w:rPr>
                <w:color w:val="auto"/>
                <w:sz w:val="18"/>
                <w:szCs w:val="18"/>
              </w:rPr>
              <w:t>' schedule. (Including only the prescribed portion).</w:t>
            </w:r>
          </w:p>
        </w:tc>
        <w:tc>
          <w:tcPr>
            <w:tcW w:w="594" w:type="pct"/>
            <w:tcBorders>
              <w:top w:val="nil"/>
              <w:left w:val="nil"/>
              <w:bottom w:val="single" w:sz="4" w:space="0" w:color="auto"/>
              <w:right w:val="single" w:sz="4" w:space="0" w:color="auto"/>
            </w:tcBorders>
            <w:shd w:val="clear" w:color="auto" w:fill="DCE6F1"/>
            <w:vAlign w:val="center"/>
          </w:tcPr>
          <w:p w14:paraId="257E7F1B" w14:textId="18B77DB4" w:rsidR="00611904" w:rsidRPr="00611904" w:rsidRDefault="00611904" w:rsidP="00611904">
            <w:pPr>
              <w:spacing w:line="360" w:lineRule="auto"/>
              <w:rPr>
                <w:color w:val="auto"/>
                <w:sz w:val="18"/>
                <w:szCs w:val="18"/>
              </w:rPr>
            </w:pPr>
            <w:r w:rsidRPr="00362B7D">
              <w:rPr>
                <w:rFonts w:ascii="Arial" w:hAnsi="Arial" w:cs="Arial"/>
                <w:color w:val="auto"/>
                <w:sz w:val="18"/>
                <w:szCs w:val="18"/>
              </w:rPr>
              <w:lastRenderedPageBreak/>
              <w:t>No</w:t>
            </w:r>
          </w:p>
        </w:tc>
        <w:tc>
          <w:tcPr>
            <w:tcW w:w="851" w:type="pct"/>
            <w:tcBorders>
              <w:top w:val="nil"/>
              <w:left w:val="nil"/>
              <w:bottom w:val="single" w:sz="4" w:space="0" w:color="auto"/>
              <w:right w:val="single" w:sz="4" w:space="0" w:color="auto"/>
            </w:tcBorders>
            <w:shd w:val="clear" w:color="auto" w:fill="DCE6F1"/>
            <w:vAlign w:val="center"/>
          </w:tcPr>
          <w:p w14:paraId="196094AD" w14:textId="77777777" w:rsidR="00611904" w:rsidRPr="00611904" w:rsidRDefault="00611904" w:rsidP="00611904">
            <w:pPr>
              <w:spacing w:line="360" w:lineRule="auto"/>
              <w:rPr>
                <w:b/>
                <w:bCs/>
                <w:color w:val="auto"/>
                <w:sz w:val="18"/>
                <w:szCs w:val="18"/>
              </w:rPr>
            </w:pPr>
            <w:r w:rsidRPr="00611904">
              <w:rPr>
                <w:b/>
                <w:bCs/>
                <w:color w:val="auto"/>
                <w:sz w:val="18"/>
                <w:szCs w:val="18"/>
              </w:rPr>
              <w:t>Opening balance</w:t>
            </w:r>
          </w:p>
          <w:p w14:paraId="2934691F" w14:textId="77777777" w:rsidR="00611904" w:rsidRPr="00611904" w:rsidRDefault="00611904" w:rsidP="00611904">
            <w:pPr>
              <w:spacing w:line="360" w:lineRule="auto"/>
              <w:rPr>
                <w:color w:val="auto"/>
                <w:sz w:val="18"/>
                <w:szCs w:val="18"/>
              </w:rPr>
            </w:pPr>
            <w:r w:rsidRPr="00611904">
              <w:rPr>
                <w:color w:val="auto"/>
                <w:sz w:val="18"/>
                <w:szCs w:val="18"/>
              </w:rPr>
              <w:t>Last year's closing balance</w:t>
            </w:r>
          </w:p>
          <w:p w14:paraId="5AB18D8C" w14:textId="77777777" w:rsidR="00611904" w:rsidRPr="00611904" w:rsidRDefault="00611904" w:rsidP="00611904">
            <w:pPr>
              <w:spacing w:line="360" w:lineRule="auto"/>
              <w:rPr>
                <w:b/>
                <w:bCs/>
                <w:color w:val="auto"/>
                <w:sz w:val="18"/>
                <w:szCs w:val="18"/>
              </w:rPr>
            </w:pPr>
            <w:r w:rsidRPr="00611904">
              <w:rPr>
                <w:b/>
                <w:bCs/>
                <w:color w:val="auto"/>
                <w:sz w:val="18"/>
                <w:szCs w:val="18"/>
              </w:rPr>
              <w:t>Long Service Leave</w:t>
            </w:r>
          </w:p>
          <w:p w14:paraId="6890120B" w14:textId="77777777" w:rsidR="00611904" w:rsidRPr="00611904" w:rsidRDefault="00611904" w:rsidP="00611904">
            <w:pPr>
              <w:spacing w:line="360" w:lineRule="auto"/>
              <w:rPr>
                <w:color w:val="auto"/>
                <w:sz w:val="18"/>
                <w:szCs w:val="18"/>
              </w:rPr>
            </w:pPr>
            <w:r w:rsidRPr="00611904">
              <w:rPr>
                <w:color w:val="auto"/>
                <w:sz w:val="18"/>
                <w:szCs w:val="18"/>
              </w:rPr>
              <w:t>The additional provisions made in the period and amounts used in the period are allocated to Prescribed Services based on the labour oncosts costed to prescribed activities (excluding contingent capex projects).</w:t>
            </w:r>
          </w:p>
          <w:p w14:paraId="7A111632" w14:textId="77777777" w:rsidR="00611904" w:rsidRPr="00611904" w:rsidRDefault="00611904" w:rsidP="00611904">
            <w:pPr>
              <w:spacing w:line="360" w:lineRule="auto"/>
              <w:rPr>
                <w:b/>
                <w:bCs/>
                <w:color w:val="auto"/>
                <w:sz w:val="18"/>
                <w:szCs w:val="18"/>
              </w:rPr>
            </w:pPr>
            <w:r w:rsidRPr="00611904">
              <w:rPr>
                <w:b/>
                <w:bCs/>
                <w:color w:val="auto"/>
                <w:sz w:val="18"/>
                <w:szCs w:val="18"/>
              </w:rPr>
              <w:t>Annual Leave</w:t>
            </w:r>
          </w:p>
          <w:p w14:paraId="7C8D7312" w14:textId="77777777" w:rsidR="00611904" w:rsidRPr="00611904" w:rsidRDefault="00611904" w:rsidP="00611904">
            <w:pPr>
              <w:spacing w:line="360" w:lineRule="auto"/>
              <w:rPr>
                <w:color w:val="auto"/>
                <w:sz w:val="18"/>
                <w:szCs w:val="18"/>
              </w:rPr>
            </w:pPr>
            <w:r w:rsidRPr="00611904">
              <w:rPr>
                <w:color w:val="auto"/>
                <w:sz w:val="18"/>
                <w:szCs w:val="18"/>
              </w:rPr>
              <w:t xml:space="preserve">The additional provisions made in the period and amounts used in the period are allocated to Prescribed Services based on the labour oncosts costed to prescribed </w:t>
            </w:r>
            <w:r w:rsidRPr="00611904">
              <w:rPr>
                <w:color w:val="auto"/>
                <w:sz w:val="18"/>
                <w:szCs w:val="18"/>
              </w:rPr>
              <w:lastRenderedPageBreak/>
              <w:t>activities (excluding contingent capex projects).</w:t>
            </w:r>
          </w:p>
          <w:p w14:paraId="598483EE" w14:textId="77777777" w:rsidR="00611904" w:rsidRPr="00611904" w:rsidRDefault="00611904" w:rsidP="00611904">
            <w:pPr>
              <w:spacing w:line="360" w:lineRule="auto"/>
              <w:rPr>
                <w:b/>
                <w:bCs/>
                <w:color w:val="auto"/>
                <w:sz w:val="18"/>
                <w:szCs w:val="18"/>
              </w:rPr>
            </w:pPr>
            <w:r w:rsidRPr="00611904">
              <w:rPr>
                <w:b/>
                <w:bCs/>
                <w:color w:val="auto"/>
                <w:sz w:val="18"/>
                <w:szCs w:val="18"/>
              </w:rPr>
              <w:t>Defined Benefit Superannuation Scheme</w:t>
            </w:r>
          </w:p>
          <w:p w14:paraId="4BC62E2E" w14:textId="77777777" w:rsidR="00611904" w:rsidRPr="00611904" w:rsidRDefault="00611904" w:rsidP="00611904">
            <w:pPr>
              <w:spacing w:line="360" w:lineRule="auto"/>
              <w:rPr>
                <w:color w:val="auto"/>
                <w:sz w:val="18"/>
                <w:szCs w:val="18"/>
              </w:rPr>
            </w:pPr>
            <w:r w:rsidRPr="00611904">
              <w:rPr>
                <w:color w:val="auto"/>
                <w:sz w:val="18"/>
                <w:szCs w:val="18"/>
              </w:rPr>
              <w:t xml:space="preserve">The additional provision movement was costed directly to Prescribed </w:t>
            </w:r>
            <w:proofErr w:type="spellStart"/>
            <w:r w:rsidRPr="00611904">
              <w:rPr>
                <w:color w:val="auto"/>
                <w:sz w:val="18"/>
                <w:szCs w:val="18"/>
              </w:rPr>
              <w:t>Opex</w:t>
            </w:r>
            <w:proofErr w:type="spellEnd"/>
            <w:r w:rsidRPr="00611904">
              <w:rPr>
                <w:color w:val="auto"/>
                <w:sz w:val="18"/>
                <w:szCs w:val="18"/>
              </w:rPr>
              <w:t xml:space="preserve"> in the General Ledger and the amount used against the provision was treated as Prescribed </w:t>
            </w:r>
            <w:proofErr w:type="spellStart"/>
            <w:r w:rsidRPr="00611904">
              <w:rPr>
                <w:color w:val="auto"/>
                <w:sz w:val="18"/>
                <w:szCs w:val="18"/>
              </w:rPr>
              <w:t>Opex</w:t>
            </w:r>
            <w:proofErr w:type="spellEnd"/>
            <w:r w:rsidRPr="00611904">
              <w:rPr>
                <w:color w:val="auto"/>
                <w:sz w:val="18"/>
                <w:szCs w:val="18"/>
              </w:rPr>
              <w:t xml:space="preserve"> consistent with the costing for the additional provision movement. Actuarial gains/losses were costed directly to Equity in the General Ledger and shown as 'Other component' in the 'Unused amounts reversed during the period' section in the RIN schedule.</w:t>
            </w:r>
          </w:p>
          <w:p w14:paraId="0CE68A0F" w14:textId="77777777" w:rsidR="00611904" w:rsidRPr="00611904" w:rsidRDefault="00611904" w:rsidP="00611904">
            <w:pPr>
              <w:spacing w:line="360" w:lineRule="auto"/>
              <w:rPr>
                <w:b/>
                <w:bCs/>
                <w:color w:val="auto"/>
                <w:sz w:val="18"/>
                <w:szCs w:val="18"/>
              </w:rPr>
            </w:pPr>
            <w:r w:rsidRPr="00611904">
              <w:rPr>
                <w:b/>
                <w:bCs/>
                <w:color w:val="auto"/>
                <w:sz w:val="18"/>
                <w:szCs w:val="18"/>
              </w:rPr>
              <w:lastRenderedPageBreak/>
              <w:t>Employee incentives</w:t>
            </w:r>
          </w:p>
          <w:p w14:paraId="034B11C8" w14:textId="77777777" w:rsidR="00611904" w:rsidRPr="00611904" w:rsidRDefault="00611904" w:rsidP="00611904">
            <w:pPr>
              <w:spacing w:line="360" w:lineRule="auto"/>
              <w:rPr>
                <w:color w:val="auto"/>
                <w:sz w:val="18"/>
                <w:szCs w:val="18"/>
              </w:rPr>
            </w:pPr>
            <w:r w:rsidRPr="00611904">
              <w:rPr>
                <w:color w:val="auto"/>
                <w:sz w:val="18"/>
                <w:szCs w:val="18"/>
              </w:rPr>
              <w:t>The additional provisions made in the period and amounts used in the period are allocated to Prescribed Services based on the labour oncosts costed to prescribed activities.</w:t>
            </w:r>
          </w:p>
          <w:p w14:paraId="71F5DF33" w14:textId="77777777" w:rsidR="00611904" w:rsidRPr="00611904" w:rsidRDefault="00611904" w:rsidP="00611904">
            <w:pPr>
              <w:spacing w:line="360" w:lineRule="auto"/>
              <w:rPr>
                <w:b/>
                <w:bCs/>
                <w:color w:val="auto"/>
                <w:sz w:val="18"/>
                <w:szCs w:val="18"/>
              </w:rPr>
            </w:pPr>
            <w:r w:rsidRPr="00611904">
              <w:rPr>
                <w:b/>
                <w:bCs/>
                <w:color w:val="auto"/>
                <w:sz w:val="18"/>
                <w:szCs w:val="18"/>
              </w:rPr>
              <w:t>Rectification Obligations</w:t>
            </w:r>
          </w:p>
          <w:p w14:paraId="0080948E" w14:textId="77777777" w:rsidR="00611904" w:rsidRPr="00611904" w:rsidRDefault="00611904" w:rsidP="00611904">
            <w:pPr>
              <w:spacing w:line="360" w:lineRule="auto"/>
              <w:rPr>
                <w:color w:val="auto"/>
                <w:sz w:val="18"/>
                <w:szCs w:val="18"/>
              </w:rPr>
            </w:pPr>
            <w:r w:rsidRPr="00611904">
              <w:rPr>
                <w:color w:val="auto"/>
                <w:sz w:val="18"/>
                <w:szCs w:val="18"/>
              </w:rPr>
              <w:t>The additional provision made in the period and amounts used in the period as recognised in the audited financial statements relate wholly to Prescribed Services.</w:t>
            </w:r>
          </w:p>
          <w:p w14:paraId="5FCFBAB7" w14:textId="77777777" w:rsidR="00611904" w:rsidRPr="00611904" w:rsidRDefault="00611904" w:rsidP="00611904">
            <w:pPr>
              <w:spacing w:line="360" w:lineRule="auto"/>
              <w:rPr>
                <w:b/>
                <w:bCs/>
                <w:color w:val="auto"/>
                <w:sz w:val="18"/>
                <w:szCs w:val="18"/>
              </w:rPr>
            </w:pPr>
            <w:r w:rsidRPr="00611904">
              <w:rPr>
                <w:b/>
                <w:bCs/>
                <w:color w:val="auto"/>
                <w:sz w:val="18"/>
                <w:szCs w:val="18"/>
              </w:rPr>
              <w:t>Labour initiatives</w:t>
            </w:r>
          </w:p>
          <w:p w14:paraId="3F3AE1FD" w14:textId="77777777" w:rsidR="00611904" w:rsidRPr="00611904" w:rsidRDefault="00611904" w:rsidP="00611904">
            <w:pPr>
              <w:spacing w:line="360" w:lineRule="auto"/>
              <w:rPr>
                <w:color w:val="auto"/>
                <w:sz w:val="18"/>
                <w:szCs w:val="18"/>
              </w:rPr>
            </w:pPr>
            <w:r w:rsidRPr="00611904">
              <w:rPr>
                <w:color w:val="auto"/>
                <w:sz w:val="18"/>
                <w:szCs w:val="18"/>
              </w:rPr>
              <w:t xml:space="preserve">The provision made in the period as recognised in the FY21 audited financial </w:t>
            </w:r>
            <w:r w:rsidRPr="00611904">
              <w:rPr>
                <w:color w:val="auto"/>
                <w:sz w:val="18"/>
                <w:szCs w:val="18"/>
              </w:rPr>
              <w:lastRenderedPageBreak/>
              <w:t>statements relate wholly to Prescribed Services.</w:t>
            </w:r>
          </w:p>
          <w:p w14:paraId="5A885FE9" w14:textId="77777777" w:rsidR="00611904" w:rsidRPr="00611904" w:rsidRDefault="00611904" w:rsidP="00611904">
            <w:pPr>
              <w:spacing w:line="360" w:lineRule="auto"/>
              <w:rPr>
                <w:color w:val="auto"/>
                <w:sz w:val="18"/>
                <w:szCs w:val="18"/>
              </w:rPr>
            </w:pPr>
          </w:p>
        </w:tc>
        <w:tc>
          <w:tcPr>
            <w:tcW w:w="898" w:type="pct"/>
            <w:tcBorders>
              <w:top w:val="nil"/>
              <w:left w:val="nil"/>
              <w:bottom w:val="single" w:sz="4" w:space="0" w:color="auto"/>
              <w:right w:val="single" w:sz="4" w:space="0" w:color="auto"/>
            </w:tcBorders>
            <w:shd w:val="clear" w:color="auto" w:fill="DCE6F1"/>
            <w:vAlign w:val="center"/>
          </w:tcPr>
          <w:p w14:paraId="3CD44BF1" w14:textId="536BD7FB" w:rsidR="00611904" w:rsidRPr="00611904" w:rsidRDefault="00611904" w:rsidP="00611904">
            <w:pPr>
              <w:spacing w:line="360" w:lineRule="auto"/>
              <w:rPr>
                <w:color w:val="auto"/>
                <w:sz w:val="18"/>
                <w:szCs w:val="18"/>
              </w:rPr>
            </w:pPr>
            <w:r w:rsidRPr="00362B7D">
              <w:rPr>
                <w:rFonts w:ascii="Arial" w:hAnsi="Arial" w:cs="Arial"/>
                <w:color w:val="auto"/>
                <w:sz w:val="18"/>
                <w:szCs w:val="18"/>
              </w:rPr>
              <w:lastRenderedPageBreak/>
              <w:t>N/A</w:t>
            </w:r>
          </w:p>
        </w:tc>
      </w:tr>
    </w:tbl>
    <w:p w14:paraId="241DCCC1" w14:textId="49686A02" w:rsidR="00693990" w:rsidRDefault="00693990" w:rsidP="000120C6"/>
    <w:p w14:paraId="45B79B61" w14:textId="77777777" w:rsidR="00693990" w:rsidRDefault="00693990">
      <w:r>
        <w:br w:type="page"/>
      </w:r>
    </w:p>
    <w:p w14:paraId="1C54F2CA" w14:textId="2FD0AB1C" w:rsidR="00BE467B" w:rsidRDefault="00BE467B" w:rsidP="0019343C">
      <w:pPr>
        <w:pStyle w:val="Heading3"/>
        <w:numPr>
          <w:ilvl w:val="2"/>
          <w:numId w:val="12"/>
        </w:numPr>
        <w:spacing w:after="240"/>
      </w:pPr>
      <w:bookmarkStart w:id="18" w:name="_Toc84499728"/>
      <w:r>
        <w:lastRenderedPageBreak/>
        <w:t>Worksheet 3.3 Assets (RAB)</w:t>
      </w:r>
      <w:bookmarkEnd w:id="18"/>
    </w:p>
    <w:tbl>
      <w:tblPr>
        <w:tblW w:w="5596" w:type="pct"/>
        <w:tblInd w:w="-572" w:type="dxa"/>
        <w:tblLook w:val="04A0" w:firstRow="1" w:lastRow="0" w:firstColumn="1" w:lastColumn="0" w:noHBand="0" w:noVBand="1"/>
      </w:tblPr>
      <w:tblGrid>
        <w:gridCol w:w="2380"/>
        <w:gridCol w:w="2269"/>
        <w:gridCol w:w="2143"/>
        <w:gridCol w:w="1758"/>
        <w:gridCol w:w="3218"/>
        <w:gridCol w:w="3257"/>
      </w:tblGrid>
      <w:tr w:rsidR="002F4F0D" w:rsidRPr="00B21581" w14:paraId="28468626" w14:textId="77777777" w:rsidTr="00C50D67">
        <w:trPr>
          <w:trHeight w:val="480"/>
          <w:tblHeader/>
        </w:trPr>
        <w:tc>
          <w:tcPr>
            <w:tcW w:w="1547"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1A5A0B5F" w14:textId="77777777" w:rsidR="002F4F0D" w:rsidRPr="007713F8" w:rsidRDefault="002F4F0D"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713" w:type="pct"/>
            <w:tcBorders>
              <w:top w:val="single" w:sz="4" w:space="0" w:color="auto"/>
              <w:left w:val="nil"/>
              <w:bottom w:val="single" w:sz="4" w:space="0" w:color="auto"/>
              <w:right w:val="single" w:sz="4" w:space="0" w:color="auto"/>
            </w:tcBorders>
            <w:shd w:val="clear" w:color="000000" w:fill="47A843" w:themeFill="accent1"/>
            <w:vAlign w:val="center"/>
            <w:hideMark/>
          </w:tcPr>
          <w:p w14:paraId="0B72F1FD" w14:textId="77777777" w:rsidR="002F4F0D" w:rsidRPr="007713F8" w:rsidRDefault="002F4F0D"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740"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53BA2C68" w14:textId="77777777" w:rsidR="002F4F0D" w:rsidRPr="007713F8" w:rsidRDefault="002F4F0D"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60365A" w:rsidRPr="00B21581" w14:paraId="751A313A" w14:textId="77777777" w:rsidTr="00C50D67">
        <w:trPr>
          <w:trHeight w:val="960"/>
          <w:tblHeader/>
        </w:trPr>
        <w:tc>
          <w:tcPr>
            <w:tcW w:w="792"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349516A7"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755"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5692DD02"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713"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B35757C"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58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CE8F522"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107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010E017"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108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2717174" w14:textId="77777777" w:rsidR="002F4F0D" w:rsidRPr="007713F8" w:rsidRDefault="002F4F0D"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8C4F3C" w:rsidRPr="00611904" w14:paraId="0E555ACE" w14:textId="77777777" w:rsidTr="00525AE5">
        <w:trPr>
          <w:trHeight w:val="1649"/>
        </w:trPr>
        <w:tc>
          <w:tcPr>
            <w:tcW w:w="792" w:type="pct"/>
            <w:tcBorders>
              <w:top w:val="single" w:sz="4" w:space="0" w:color="auto"/>
              <w:left w:val="single" w:sz="4" w:space="0" w:color="auto"/>
              <w:bottom w:val="single" w:sz="4" w:space="0" w:color="auto"/>
              <w:right w:val="single" w:sz="4" w:space="0" w:color="auto"/>
            </w:tcBorders>
            <w:shd w:val="clear" w:color="auto" w:fill="4F81BD"/>
            <w:vAlign w:val="center"/>
          </w:tcPr>
          <w:p w14:paraId="03DF42F8" w14:textId="77777777" w:rsidR="00FA4481" w:rsidRPr="00C50D67" w:rsidRDefault="00FA4481" w:rsidP="00FA4481">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TABLE 3.3.1 - REGULATORY ASSET BASE VALUES</w:t>
            </w:r>
          </w:p>
          <w:p w14:paraId="04639F98" w14:textId="77777777" w:rsidR="00FA4481" w:rsidRPr="00C50D67" w:rsidRDefault="00FA4481" w:rsidP="00FA4481">
            <w:pPr>
              <w:rPr>
                <w:color w:val="FFFFFF" w:themeColor="background1"/>
                <w:sz w:val="18"/>
                <w:szCs w:val="18"/>
              </w:rPr>
            </w:pPr>
          </w:p>
        </w:tc>
        <w:tc>
          <w:tcPr>
            <w:tcW w:w="755" w:type="pct"/>
            <w:tcBorders>
              <w:top w:val="single" w:sz="4" w:space="0" w:color="auto"/>
              <w:left w:val="single" w:sz="4" w:space="0" w:color="auto"/>
              <w:bottom w:val="single" w:sz="4" w:space="0" w:color="auto"/>
              <w:right w:val="single" w:sz="4" w:space="0" w:color="auto"/>
            </w:tcBorders>
            <w:shd w:val="clear" w:color="auto" w:fill="4F81BD"/>
            <w:vAlign w:val="center"/>
          </w:tcPr>
          <w:p w14:paraId="44C4A7B9" w14:textId="2718DC84" w:rsidR="00FA4481" w:rsidRPr="00C50D67" w:rsidRDefault="00FA4481" w:rsidP="00FA4481">
            <w:pPr>
              <w:spacing w:line="360" w:lineRule="auto"/>
              <w:rPr>
                <w:color w:val="FFFFFF" w:themeColor="background1"/>
                <w:sz w:val="18"/>
                <w:szCs w:val="18"/>
              </w:rPr>
            </w:pPr>
            <w:r w:rsidRPr="00C50D67">
              <w:rPr>
                <w:rFonts w:ascii="Arial" w:hAnsi="Arial" w:cs="Arial"/>
                <w:b/>
                <w:bCs/>
                <w:color w:val="FFFFFF" w:themeColor="background1"/>
                <w:sz w:val="18"/>
                <w:szCs w:val="18"/>
              </w:rPr>
              <w:t>As per Instructions and Definitions provided by the AER in their letter dated 19 December 2013 "Regulatory Information Notice issued under section Division 4 of Part 3 National Electricity (New South Wales) Law".</w:t>
            </w:r>
          </w:p>
        </w:tc>
        <w:tc>
          <w:tcPr>
            <w:tcW w:w="713" w:type="pct"/>
            <w:tcBorders>
              <w:top w:val="single" w:sz="4" w:space="0" w:color="auto"/>
              <w:left w:val="single" w:sz="4" w:space="0" w:color="auto"/>
              <w:bottom w:val="single" w:sz="4" w:space="0" w:color="auto"/>
              <w:right w:val="single" w:sz="4" w:space="0" w:color="auto"/>
            </w:tcBorders>
            <w:shd w:val="clear" w:color="auto" w:fill="4F81BD"/>
            <w:vAlign w:val="center"/>
          </w:tcPr>
          <w:p w14:paraId="7FD0852C" w14:textId="77777777" w:rsidR="00FA4481" w:rsidRPr="00C50D67" w:rsidRDefault="00FA4481" w:rsidP="00FA4481">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Electricity Transmission Network Service Provider Roll Forward Model (RFM), with TransGrid information</w:t>
            </w:r>
          </w:p>
          <w:p w14:paraId="700E95B4" w14:textId="7D91E549" w:rsidR="00FA4481" w:rsidRPr="00C50D67" w:rsidRDefault="00FA4481" w:rsidP="00FA4481">
            <w:pPr>
              <w:spacing w:line="360" w:lineRule="auto"/>
              <w:rPr>
                <w:color w:val="FFFFFF" w:themeColor="background1"/>
                <w:sz w:val="18"/>
                <w:szCs w:val="18"/>
              </w:rPr>
            </w:pPr>
            <w:r w:rsidRPr="00C50D67">
              <w:rPr>
                <w:rFonts w:ascii="Arial" w:hAnsi="Arial" w:cs="Arial"/>
                <w:b/>
                <w:bCs/>
                <w:color w:val="FFFFFF" w:themeColor="background1"/>
                <w:sz w:val="18"/>
                <w:szCs w:val="18"/>
              </w:rPr>
              <w:t>Table 3.3.2</w:t>
            </w:r>
          </w:p>
        </w:tc>
        <w:tc>
          <w:tcPr>
            <w:tcW w:w="585" w:type="pct"/>
            <w:tcBorders>
              <w:top w:val="single" w:sz="4" w:space="0" w:color="auto"/>
              <w:left w:val="single" w:sz="4" w:space="0" w:color="auto"/>
              <w:bottom w:val="single" w:sz="4" w:space="0" w:color="auto"/>
              <w:right w:val="single" w:sz="4" w:space="0" w:color="auto"/>
            </w:tcBorders>
            <w:shd w:val="clear" w:color="auto" w:fill="4F81BD"/>
            <w:vAlign w:val="center"/>
          </w:tcPr>
          <w:p w14:paraId="7A91FCEB" w14:textId="61162EE8" w:rsidR="00FA4481" w:rsidRPr="00C50D67" w:rsidRDefault="00FA4481" w:rsidP="00FA4481">
            <w:pPr>
              <w:spacing w:line="360" w:lineRule="auto"/>
              <w:rPr>
                <w:color w:val="FFFFFF" w:themeColor="background1"/>
                <w:sz w:val="18"/>
                <w:szCs w:val="18"/>
              </w:rPr>
            </w:pPr>
            <w:r w:rsidRPr="00C50D67">
              <w:rPr>
                <w:rFonts w:ascii="Arial" w:hAnsi="Arial" w:cs="Arial"/>
                <w:b/>
                <w:bCs/>
                <w:color w:val="FFFFFF" w:themeColor="background1"/>
                <w:sz w:val="18"/>
                <w:szCs w:val="18"/>
              </w:rPr>
              <w:t>No</w:t>
            </w:r>
          </w:p>
        </w:tc>
        <w:tc>
          <w:tcPr>
            <w:tcW w:w="1071" w:type="pct"/>
            <w:tcBorders>
              <w:top w:val="single" w:sz="4" w:space="0" w:color="auto"/>
              <w:left w:val="single" w:sz="4" w:space="0" w:color="auto"/>
              <w:bottom w:val="single" w:sz="4" w:space="0" w:color="auto"/>
              <w:right w:val="single" w:sz="4" w:space="0" w:color="auto"/>
            </w:tcBorders>
            <w:shd w:val="clear" w:color="auto" w:fill="4F81BD"/>
            <w:vAlign w:val="center"/>
          </w:tcPr>
          <w:p w14:paraId="4BA6892F" w14:textId="77777777" w:rsidR="00025AAE" w:rsidRPr="00C50D67" w:rsidRDefault="00025AAE"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Prepared in accordance with the requirements of the AER Determination.</w:t>
            </w:r>
          </w:p>
          <w:p w14:paraId="4EE9ADA9" w14:textId="77777777" w:rsidR="00025AAE" w:rsidRPr="00C50D67" w:rsidRDefault="00025AAE"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This is the sum of all the "Asset Categories" in Table 3.3.2. for "As Commissioned" RAB.</w:t>
            </w:r>
          </w:p>
          <w:p w14:paraId="75B80136" w14:textId="77777777" w:rsidR="00025AAE" w:rsidRPr="00C50D67" w:rsidRDefault="00025AAE"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Expenditure balances in the schedule include the following adjustments:</w:t>
            </w:r>
          </w:p>
          <w:p w14:paraId="2F136623" w14:textId="77777777" w:rsidR="00025AAE" w:rsidRPr="00C50D67" w:rsidRDefault="00025AAE"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an adjustment from accounting to cash basis for employees' accrued benefits provision; and</w:t>
            </w:r>
          </w:p>
          <w:p w14:paraId="5E0FB7FF" w14:textId="7AC8BA1A" w:rsidR="00FA4481" w:rsidRPr="00C50D67" w:rsidRDefault="00025AAE"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 xml:space="preserve">an adjustment to reverse capitalised defined benefit superannuation on-costs as this component is treated as </w:t>
            </w:r>
            <w:proofErr w:type="spellStart"/>
            <w:r w:rsidRPr="00C50D67">
              <w:rPr>
                <w:rFonts w:ascii="Arial" w:hAnsi="Arial" w:cs="Arial"/>
                <w:b/>
                <w:bCs/>
                <w:color w:val="FFFFFF" w:themeColor="background1"/>
                <w:sz w:val="18"/>
                <w:szCs w:val="18"/>
              </w:rPr>
              <w:t>opex</w:t>
            </w:r>
            <w:proofErr w:type="spellEnd"/>
            <w:r w:rsidRPr="00C50D67">
              <w:rPr>
                <w:rFonts w:ascii="Arial" w:hAnsi="Arial" w:cs="Arial"/>
                <w:b/>
                <w:bCs/>
                <w:color w:val="FFFFFF" w:themeColor="background1"/>
                <w:sz w:val="18"/>
                <w:szCs w:val="18"/>
              </w:rPr>
              <w:t xml:space="preserve"> for regulatory allowance purposes.</w:t>
            </w:r>
          </w:p>
        </w:tc>
        <w:tc>
          <w:tcPr>
            <w:tcW w:w="1085" w:type="pct"/>
            <w:tcBorders>
              <w:top w:val="single" w:sz="4" w:space="0" w:color="auto"/>
              <w:left w:val="single" w:sz="4" w:space="0" w:color="auto"/>
              <w:bottom w:val="single" w:sz="4" w:space="0" w:color="auto"/>
              <w:right w:val="single" w:sz="4" w:space="0" w:color="auto"/>
            </w:tcBorders>
            <w:shd w:val="clear" w:color="auto" w:fill="4F81BD"/>
            <w:vAlign w:val="center"/>
          </w:tcPr>
          <w:p w14:paraId="7FD02A45" w14:textId="77777777" w:rsidR="00025AAE" w:rsidRPr="00C50D67" w:rsidRDefault="00025AAE" w:rsidP="00025AAE">
            <w:pPr>
              <w:spacing w:line="36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Expenditure is classified into asset classes in line with activity centre (WIP AC) used for the RFM and PTRM.</w:t>
            </w:r>
          </w:p>
          <w:p w14:paraId="1C128A6E" w14:textId="313D762F" w:rsidR="00FA4481" w:rsidRPr="00C50D67" w:rsidRDefault="00025AAE" w:rsidP="00FA4481">
            <w:pPr>
              <w:spacing w:line="36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Where the asset classes do not exist in WIP AC (</w:t>
            </w:r>
            <w:proofErr w:type="gramStart"/>
            <w:r w:rsidRPr="00C50D67">
              <w:rPr>
                <w:rFonts w:ascii="Arial" w:hAnsi="Arial" w:cs="Arial"/>
                <w:b/>
                <w:bCs/>
                <w:color w:val="FFFFFF" w:themeColor="background1"/>
                <w:sz w:val="18"/>
                <w:szCs w:val="18"/>
              </w:rPr>
              <w:t>e.g.</w:t>
            </w:r>
            <w:proofErr w:type="gramEnd"/>
            <w:r w:rsidRPr="00C50D67">
              <w:rPr>
                <w:rFonts w:ascii="Arial" w:hAnsi="Arial" w:cs="Arial"/>
                <w:b/>
                <w:bCs/>
                <w:color w:val="FFFFFF" w:themeColor="background1"/>
                <w:sz w:val="18"/>
                <w:szCs w:val="18"/>
              </w:rPr>
              <w:t xml:space="preserve"> secondary systems, cables and transmission line life extension), TransGrid has used % allocation consistent with the latest Capital Asset Model (CAM)/PTRM as per the AER's final revenue determination for the 2018-2023 regulatory control period for TransGrid.</w:t>
            </w:r>
          </w:p>
        </w:tc>
      </w:tr>
      <w:tr w:rsidR="008C4F3C" w:rsidRPr="00611904" w14:paraId="5750CC5D" w14:textId="77777777" w:rsidTr="00525AE5">
        <w:trPr>
          <w:trHeight w:val="571"/>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2BD6345" w14:textId="23030CE8" w:rsidR="0060365A" w:rsidRPr="00611904" w:rsidRDefault="0060365A" w:rsidP="0060365A">
            <w:pPr>
              <w:rPr>
                <w:color w:val="auto"/>
                <w:sz w:val="18"/>
                <w:szCs w:val="18"/>
              </w:rPr>
            </w:pPr>
            <w:r w:rsidRPr="00362B7D">
              <w:rPr>
                <w:rFonts w:ascii="Arial" w:hAnsi="Arial" w:cs="Arial"/>
                <w:color w:val="auto"/>
                <w:sz w:val="18"/>
                <w:szCs w:val="18"/>
              </w:rPr>
              <w:t>TRAB0101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26962EA7" w14:textId="4712DFF8" w:rsidR="0060365A" w:rsidRPr="00611904" w:rsidRDefault="0060365A" w:rsidP="0060365A">
            <w:pPr>
              <w:spacing w:line="360" w:lineRule="auto"/>
              <w:rPr>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A887550" w14:textId="3A271612" w:rsidR="0060365A" w:rsidRPr="00611904" w:rsidRDefault="0060365A" w:rsidP="0060365A">
            <w:pPr>
              <w:spacing w:line="360" w:lineRule="auto"/>
              <w:rPr>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0096431" w14:textId="08867660" w:rsidR="0060365A" w:rsidRPr="00611904" w:rsidRDefault="0060365A" w:rsidP="0060365A">
            <w:pPr>
              <w:spacing w:line="360" w:lineRule="auto"/>
              <w:rPr>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53557561" w14:textId="2977FF71" w:rsidR="0060365A" w:rsidRPr="00611904" w:rsidRDefault="0060365A" w:rsidP="0060365A">
            <w:pPr>
              <w:spacing w:line="360" w:lineRule="auto"/>
              <w:rPr>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084F251" w14:textId="7B8F5F39" w:rsidR="0060365A" w:rsidRPr="00611904" w:rsidRDefault="0060365A" w:rsidP="0060365A">
            <w:pPr>
              <w:spacing w:line="360" w:lineRule="auto"/>
              <w:rPr>
                <w:color w:val="auto"/>
                <w:sz w:val="18"/>
                <w:szCs w:val="18"/>
              </w:rPr>
            </w:pPr>
            <w:r w:rsidRPr="00362B7D">
              <w:rPr>
                <w:rFonts w:ascii="Arial" w:hAnsi="Arial" w:cs="Arial"/>
                <w:color w:val="auto"/>
                <w:sz w:val="18"/>
                <w:szCs w:val="18"/>
              </w:rPr>
              <w:t>as above</w:t>
            </w:r>
          </w:p>
        </w:tc>
      </w:tr>
      <w:tr w:rsidR="0060365A" w:rsidRPr="00611904" w14:paraId="0F9FCC50" w14:textId="77777777" w:rsidTr="00525AE5">
        <w:trPr>
          <w:trHeight w:val="441"/>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00C7E02" w14:textId="006DDE3A" w:rsidR="0060365A" w:rsidRPr="00362B7D" w:rsidRDefault="0060365A" w:rsidP="0060365A">
            <w:pPr>
              <w:rPr>
                <w:rFonts w:ascii="Arial" w:hAnsi="Arial" w:cs="Arial"/>
                <w:color w:val="auto"/>
                <w:sz w:val="18"/>
                <w:szCs w:val="18"/>
              </w:rPr>
            </w:pPr>
            <w:r w:rsidRPr="00362B7D">
              <w:rPr>
                <w:rFonts w:ascii="Arial" w:hAnsi="Arial" w:cs="Arial"/>
                <w:color w:val="auto"/>
                <w:sz w:val="18"/>
                <w:szCs w:val="18"/>
              </w:rPr>
              <w:t>TRAB0102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2A4B0B23" w14:textId="11F2FD49"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BF713A9" w14:textId="31EBA56D"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0B9FAFB" w14:textId="383605A7"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29DE5F0E" w14:textId="0B839899"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2F156E7" w14:textId="5281D4F0"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r>
      <w:tr w:rsidR="0060365A" w:rsidRPr="00611904" w14:paraId="1536BBF3" w14:textId="77777777" w:rsidTr="00525AE5">
        <w:trPr>
          <w:trHeight w:val="566"/>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EB475DD" w14:textId="6FD52208" w:rsidR="0060365A" w:rsidRPr="00362B7D" w:rsidRDefault="0060365A" w:rsidP="0060365A">
            <w:pPr>
              <w:rPr>
                <w:rFonts w:ascii="Arial" w:hAnsi="Arial" w:cs="Arial"/>
                <w:color w:val="auto"/>
                <w:sz w:val="18"/>
                <w:szCs w:val="18"/>
              </w:rPr>
            </w:pPr>
            <w:r w:rsidRPr="00362B7D">
              <w:rPr>
                <w:rFonts w:ascii="Arial" w:hAnsi="Arial" w:cs="Arial"/>
                <w:color w:val="auto"/>
                <w:sz w:val="18"/>
                <w:szCs w:val="18"/>
              </w:rPr>
              <w:lastRenderedPageBreak/>
              <w:t>TRAB0103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6C1A8FFA" w14:textId="5E87750E"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521261EE" w14:textId="0DA28683"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2643C7E5" w14:textId="2F0EFCB3"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1586D44" w14:textId="6D011FD7"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086491B7" w14:textId="5F2F5983"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r>
      <w:tr w:rsidR="0060365A" w:rsidRPr="00611904" w14:paraId="12DDBDC0" w14:textId="77777777" w:rsidTr="00525AE5">
        <w:trPr>
          <w:trHeight w:val="437"/>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61C50791" w14:textId="5FC521D9" w:rsidR="0060365A" w:rsidRPr="00362B7D" w:rsidRDefault="0060365A" w:rsidP="0060365A">
            <w:pPr>
              <w:rPr>
                <w:rFonts w:ascii="Arial" w:hAnsi="Arial" w:cs="Arial"/>
                <w:color w:val="auto"/>
                <w:sz w:val="18"/>
                <w:szCs w:val="18"/>
              </w:rPr>
            </w:pPr>
            <w:r w:rsidRPr="00362B7D">
              <w:rPr>
                <w:rFonts w:ascii="Arial" w:hAnsi="Arial" w:cs="Arial"/>
                <w:color w:val="auto"/>
                <w:sz w:val="18"/>
                <w:szCs w:val="18"/>
              </w:rPr>
              <w:t>TRAB0105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EC02249" w14:textId="28B07D64"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0BF037D8" w14:textId="15C72CF6"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99B0D79" w14:textId="1514A5B9"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C6090AE" w14:textId="54266134"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4F9B461E" w14:textId="5F6BEE2B"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r>
      <w:tr w:rsidR="006F79D1" w:rsidRPr="00611904" w14:paraId="2CCA9135"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69FB9246" w14:textId="723177CA" w:rsidR="0060365A" w:rsidRPr="00362B7D" w:rsidRDefault="0060365A" w:rsidP="0060365A">
            <w:pPr>
              <w:rPr>
                <w:rFonts w:ascii="Arial" w:hAnsi="Arial" w:cs="Arial"/>
                <w:color w:val="auto"/>
                <w:sz w:val="18"/>
                <w:szCs w:val="18"/>
              </w:rPr>
            </w:pPr>
            <w:r w:rsidRPr="00362B7D">
              <w:rPr>
                <w:rFonts w:ascii="Arial" w:hAnsi="Arial" w:cs="Arial"/>
                <w:color w:val="auto"/>
                <w:sz w:val="18"/>
                <w:szCs w:val="18"/>
              </w:rPr>
              <w:t>TRAB0106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3278468" w14:textId="6ECD82E8"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E0F8915" w14:textId="5D23E84E"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50ADBD8" w14:textId="4593D313"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CA0D8EA" w14:textId="53155877"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1AE74FB" w14:textId="74EFC1E4" w:rsidR="0060365A" w:rsidRPr="00362B7D" w:rsidRDefault="0060365A" w:rsidP="0060365A">
            <w:pPr>
              <w:spacing w:line="360" w:lineRule="auto"/>
              <w:rPr>
                <w:rFonts w:ascii="Arial" w:hAnsi="Arial" w:cs="Arial"/>
                <w:color w:val="auto"/>
                <w:sz w:val="18"/>
                <w:szCs w:val="18"/>
              </w:rPr>
            </w:pPr>
            <w:r w:rsidRPr="00362B7D">
              <w:rPr>
                <w:rFonts w:ascii="Arial" w:hAnsi="Arial" w:cs="Arial"/>
                <w:color w:val="auto"/>
                <w:sz w:val="18"/>
                <w:szCs w:val="18"/>
              </w:rPr>
              <w:t>as above</w:t>
            </w:r>
          </w:p>
        </w:tc>
      </w:tr>
      <w:tr w:rsidR="00C50D67" w:rsidRPr="00C50D67" w14:paraId="7627F5D6"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4F81BD"/>
            <w:vAlign w:val="center"/>
          </w:tcPr>
          <w:p w14:paraId="68F60556" w14:textId="71B1A7A8" w:rsidR="00005E46" w:rsidRPr="00C50D67" w:rsidRDefault="00005E46" w:rsidP="00005E46">
            <w:pPr>
              <w:rPr>
                <w:rFonts w:ascii="Arial" w:hAnsi="Arial" w:cs="Arial"/>
                <w:color w:val="FFFFFF" w:themeColor="background1"/>
                <w:sz w:val="18"/>
                <w:szCs w:val="18"/>
              </w:rPr>
            </w:pPr>
            <w:r w:rsidRPr="00C50D67">
              <w:rPr>
                <w:rFonts w:ascii="Arial" w:hAnsi="Arial" w:cs="Arial"/>
                <w:b/>
                <w:bCs/>
                <w:color w:val="FFFFFF" w:themeColor="background1"/>
                <w:sz w:val="18"/>
                <w:szCs w:val="18"/>
              </w:rPr>
              <w:t>TABLE 3.3.2 - ASSET VALUE ROLL FORWARD</w:t>
            </w:r>
          </w:p>
        </w:tc>
        <w:tc>
          <w:tcPr>
            <w:tcW w:w="755" w:type="pct"/>
            <w:tcBorders>
              <w:top w:val="single" w:sz="4" w:space="0" w:color="auto"/>
              <w:left w:val="single" w:sz="4" w:space="0" w:color="auto"/>
              <w:bottom w:val="single" w:sz="4" w:space="0" w:color="auto"/>
              <w:right w:val="single" w:sz="4" w:space="0" w:color="auto"/>
            </w:tcBorders>
            <w:shd w:val="clear" w:color="auto" w:fill="4F81BD"/>
            <w:vAlign w:val="center"/>
          </w:tcPr>
          <w:p w14:paraId="413794FA" w14:textId="0AB0CA98"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As per Instructions and Definitions provided by the AER in their letter dated 19 December 2013 "Regulatory Information Notice issued under section Division 4 of Part 3 National Electricity (New South Wales) Law".</w:t>
            </w:r>
          </w:p>
        </w:tc>
        <w:tc>
          <w:tcPr>
            <w:tcW w:w="713" w:type="pct"/>
            <w:tcBorders>
              <w:top w:val="single" w:sz="4" w:space="0" w:color="auto"/>
              <w:left w:val="single" w:sz="4" w:space="0" w:color="auto"/>
              <w:bottom w:val="single" w:sz="4" w:space="0" w:color="auto"/>
              <w:right w:val="single" w:sz="4" w:space="0" w:color="auto"/>
            </w:tcBorders>
            <w:shd w:val="clear" w:color="auto" w:fill="4F81BD"/>
            <w:vAlign w:val="center"/>
          </w:tcPr>
          <w:p w14:paraId="0C5B0168" w14:textId="702BD4AC"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Electricity Transmission Network Service Provider Roll Forward Model (RFM), with TransGrid information</w:t>
            </w:r>
          </w:p>
        </w:tc>
        <w:tc>
          <w:tcPr>
            <w:tcW w:w="585" w:type="pct"/>
            <w:tcBorders>
              <w:top w:val="single" w:sz="4" w:space="0" w:color="auto"/>
              <w:left w:val="single" w:sz="4" w:space="0" w:color="auto"/>
              <w:bottom w:val="single" w:sz="4" w:space="0" w:color="auto"/>
              <w:right w:val="single" w:sz="4" w:space="0" w:color="auto"/>
            </w:tcBorders>
            <w:shd w:val="clear" w:color="auto" w:fill="4F81BD"/>
            <w:vAlign w:val="center"/>
          </w:tcPr>
          <w:p w14:paraId="1A51AA4E" w14:textId="1503ABF8"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No</w:t>
            </w:r>
          </w:p>
        </w:tc>
        <w:tc>
          <w:tcPr>
            <w:tcW w:w="1071" w:type="pct"/>
            <w:tcBorders>
              <w:top w:val="single" w:sz="4" w:space="0" w:color="auto"/>
              <w:left w:val="single" w:sz="4" w:space="0" w:color="auto"/>
              <w:bottom w:val="single" w:sz="4" w:space="0" w:color="auto"/>
              <w:right w:val="single" w:sz="4" w:space="0" w:color="auto"/>
            </w:tcBorders>
            <w:shd w:val="clear" w:color="auto" w:fill="4F81BD"/>
            <w:vAlign w:val="center"/>
          </w:tcPr>
          <w:p w14:paraId="41517EC8"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Prepared in accordance with the requirements of the AER Determination, for "As Commissioned" RAB.</w:t>
            </w:r>
          </w:p>
          <w:p w14:paraId="6E79853C"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The asset categories in Table 3.3.2 and their corresponding classifications in the RFM are shown as follows:</w:t>
            </w:r>
          </w:p>
          <w:p w14:paraId="46F9530C"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Overhead Transmission Assets - RFM classifications for "Transmission Lines" and "Transmission Lines Life Extension"</w:t>
            </w:r>
          </w:p>
          <w:p w14:paraId="65F3BDC3"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Underground Transmission Assets - RFM classification for "Underground Cables"</w:t>
            </w:r>
          </w:p>
          <w:p w14:paraId="52C3C9D7"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lastRenderedPageBreak/>
              <w:t>Transmission Switchyards, Substations - RFM classification for "Substations"</w:t>
            </w:r>
          </w:p>
          <w:p w14:paraId="3C231B71"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Easements - RFM classification for "Land and Easements"</w:t>
            </w:r>
          </w:p>
          <w:p w14:paraId="29E08BD4"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Other Assets with Long Lives - RFM classifications for "SCADA and Communications", "Secondary Systems", "Communications", "Communications (short life)" and "Equity Raising Costs"</w:t>
            </w:r>
          </w:p>
          <w:p w14:paraId="26610C53" w14:textId="77777777" w:rsidR="00005E46" w:rsidRPr="00C50D67" w:rsidRDefault="00005E46" w:rsidP="0019343C">
            <w:pPr>
              <w:numPr>
                <w:ilvl w:val="0"/>
                <w:numId w:val="15"/>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Other" Assets with Short Lives - RFM classifications for "Business IT", "Minor Plant" and "Motor Vehicles &amp; Mobile Plant"</w:t>
            </w:r>
          </w:p>
          <w:p w14:paraId="74228A7D"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Expenditure balances in the schedule include the following adjustments:</w:t>
            </w:r>
          </w:p>
          <w:p w14:paraId="6C27E268" w14:textId="77777777" w:rsidR="00005E46" w:rsidRPr="00C50D67" w:rsidRDefault="00005E46" w:rsidP="0019343C">
            <w:pPr>
              <w:numPr>
                <w:ilvl w:val="0"/>
                <w:numId w:val="16"/>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 xml:space="preserve">an adjustment from accounting to cash basis </w:t>
            </w:r>
            <w:r w:rsidRPr="00C50D67">
              <w:rPr>
                <w:rFonts w:ascii="Arial" w:hAnsi="Arial" w:cs="Arial"/>
                <w:b/>
                <w:bCs/>
                <w:color w:val="FFFFFF" w:themeColor="background1"/>
                <w:sz w:val="18"/>
                <w:szCs w:val="18"/>
              </w:rPr>
              <w:lastRenderedPageBreak/>
              <w:t>for employees' accrued benefits provision; and</w:t>
            </w:r>
          </w:p>
          <w:p w14:paraId="49FF3CAA" w14:textId="3DE82BDB" w:rsidR="00005E46" w:rsidRPr="00C50D67" w:rsidRDefault="00005E46" w:rsidP="0019343C">
            <w:pPr>
              <w:numPr>
                <w:ilvl w:val="0"/>
                <w:numId w:val="16"/>
              </w:num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 xml:space="preserve">an adjustment to reverse capitalised defined benefit superannuation on-costs as this component is treated as </w:t>
            </w:r>
            <w:proofErr w:type="spellStart"/>
            <w:r w:rsidRPr="00C50D67">
              <w:rPr>
                <w:rFonts w:ascii="Arial" w:hAnsi="Arial" w:cs="Arial"/>
                <w:b/>
                <w:bCs/>
                <w:color w:val="FFFFFF" w:themeColor="background1"/>
                <w:sz w:val="18"/>
                <w:szCs w:val="18"/>
              </w:rPr>
              <w:t>opex</w:t>
            </w:r>
            <w:proofErr w:type="spellEnd"/>
            <w:r w:rsidRPr="00C50D67">
              <w:rPr>
                <w:rFonts w:ascii="Arial" w:hAnsi="Arial" w:cs="Arial"/>
                <w:b/>
                <w:bCs/>
                <w:color w:val="FFFFFF" w:themeColor="background1"/>
                <w:sz w:val="18"/>
                <w:szCs w:val="18"/>
              </w:rPr>
              <w:t xml:space="preserve"> for regulatory allowance purposes.</w:t>
            </w:r>
          </w:p>
        </w:tc>
        <w:tc>
          <w:tcPr>
            <w:tcW w:w="1085" w:type="pct"/>
            <w:tcBorders>
              <w:top w:val="single" w:sz="4" w:space="0" w:color="auto"/>
              <w:left w:val="single" w:sz="4" w:space="0" w:color="auto"/>
              <w:bottom w:val="single" w:sz="4" w:space="0" w:color="auto"/>
              <w:right w:val="single" w:sz="4" w:space="0" w:color="auto"/>
            </w:tcBorders>
            <w:shd w:val="clear" w:color="auto" w:fill="4F81BD"/>
            <w:vAlign w:val="center"/>
          </w:tcPr>
          <w:p w14:paraId="52A5A2C6"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lastRenderedPageBreak/>
              <w:t>Expenditure is classified into asset classes in line with activity centre (WIP AC) used for the RFM and PTRM.</w:t>
            </w:r>
          </w:p>
          <w:p w14:paraId="37626F21"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Where the asset classes do not exist in WIP AC (</w:t>
            </w:r>
            <w:proofErr w:type="gramStart"/>
            <w:r w:rsidRPr="00C50D67">
              <w:rPr>
                <w:rFonts w:ascii="Arial" w:hAnsi="Arial" w:cs="Arial"/>
                <w:b/>
                <w:bCs/>
                <w:color w:val="FFFFFF" w:themeColor="background1"/>
                <w:sz w:val="18"/>
                <w:szCs w:val="18"/>
              </w:rPr>
              <w:t>e.g.</w:t>
            </w:r>
            <w:proofErr w:type="gramEnd"/>
            <w:r w:rsidRPr="00C50D67">
              <w:rPr>
                <w:rFonts w:ascii="Arial" w:hAnsi="Arial" w:cs="Arial"/>
                <w:b/>
                <w:bCs/>
                <w:color w:val="FFFFFF" w:themeColor="background1"/>
                <w:sz w:val="18"/>
                <w:szCs w:val="18"/>
              </w:rPr>
              <w:t xml:space="preserve"> secondary systems, cables and transmission line life extension), TransGrid has used % allocation consistent with the latest Capital Asset Model (CAM)/PTRM as per the AER's final revenue determination for the 2018-2023 regulatory control period for TransGrid.</w:t>
            </w:r>
          </w:p>
          <w:p w14:paraId="564E1FBA" w14:textId="77777777"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 xml:space="preserve">The Substations asset category does not include </w:t>
            </w:r>
            <w:proofErr w:type="gramStart"/>
            <w:r w:rsidRPr="00C50D67">
              <w:rPr>
                <w:rFonts w:ascii="Arial" w:hAnsi="Arial" w:cs="Arial"/>
                <w:b/>
                <w:bCs/>
                <w:color w:val="FFFFFF" w:themeColor="background1"/>
                <w:sz w:val="18"/>
                <w:szCs w:val="18"/>
              </w:rPr>
              <w:t>Substations</w:t>
            </w:r>
            <w:proofErr w:type="gramEnd"/>
            <w:r w:rsidRPr="00C50D67">
              <w:rPr>
                <w:rFonts w:ascii="Arial" w:hAnsi="Arial" w:cs="Arial"/>
                <w:b/>
                <w:bCs/>
                <w:color w:val="FFFFFF" w:themeColor="background1"/>
                <w:sz w:val="18"/>
                <w:szCs w:val="18"/>
              </w:rPr>
              <w:t xml:space="preserve"> land as this is included in the Easements asset category. It is not </w:t>
            </w:r>
            <w:r w:rsidRPr="00C50D67">
              <w:rPr>
                <w:rFonts w:ascii="Arial" w:hAnsi="Arial" w:cs="Arial"/>
                <w:b/>
                <w:bCs/>
                <w:color w:val="FFFFFF" w:themeColor="background1"/>
                <w:sz w:val="18"/>
                <w:szCs w:val="18"/>
              </w:rPr>
              <w:lastRenderedPageBreak/>
              <w:t>possible to segregate the existing "land and easements" asset category between substation land and other.</w:t>
            </w:r>
          </w:p>
          <w:p w14:paraId="5FC726CA" w14:textId="532F24DA" w:rsidR="00005E46" w:rsidRPr="00C50D67" w:rsidRDefault="00005E46" w:rsidP="00005E46">
            <w:pPr>
              <w:rPr>
                <w:rFonts w:ascii="Arial" w:hAnsi="Arial" w:cs="Arial"/>
                <w:b/>
                <w:bCs/>
                <w:color w:val="FFFFFF" w:themeColor="background1"/>
                <w:sz w:val="18"/>
                <w:szCs w:val="18"/>
              </w:rPr>
            </w:pPr>
          </w:p>
        </w:tc>
      </w:tr>
      <w:tr w:rsidR="00005E46" w:rsidRPr="00611904" w14:paraId="76535183"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6D32E52" w14:textId="58FC9ED8"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lastRenderedPageBreak/>
              <w:t>TRAB0201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EA4CBC5" w14:textId="6E66A62C"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329FF15" w14:textId="7301E0CA"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D2BC383" w14:textId="2A199A7F"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2F84E3B" w14:textId="3348D061" w:rsidR="00005E46" w:rsidRPr="00005E46" w:rsidRDefault="00005E46" w:rsidP="00005E46">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3ADE1EE0" w14:textId="0B6EF5B4" w:rsidR="00005E46" w:rsidRPr="00005E46" w:rsidRDefault="00005E46" w:rsidP="00005E46">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r>
      <w:tr w:rsidR="00005E46" w:rsidRPr="00611904" w14:paraId="2F6CEF0B"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873C163" w14:textId="3AD4B369"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TRAB0202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4BCECD67" w14:textId="0CF3A5C1"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57AACB79" w14:textId="7A2A9216"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E4CBFBE" w14:textId="4E333FF1" w:rsidR="00005E46" w:rsidRPr="00005E46" w:rsidRDefault="00005E46" w:rsidP="00005E46">
            <w:pPr>
              <w:rPr>
                <w:rFonts w:ascii="Arial" w:hAnsi="Arial" w:cs="Arial"/>
                <w:b/>
                <w:bCs/>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164AD3E" w14:textId="1F28D466" w:rsidR="00005E46" w:rsidRPr="00005E46" w:rsidRDefault="00005E46" w:rsidP="00005E46">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3E571FD4" w14:textId="7C690A58" w:rsidR="00005E46" w:rsidRPr="00005E46" w:rsidRDefault="00005E46" w:rsidP="00005E46">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r>
      <w:tr w:rsidR="00005E46" w:rsidRPr="00611904" w14:paraId="7CBBD49F"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322F065" w14:textId="4CD8CBF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TRAB0203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E6D31A0" w14:textId="3416052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E15A649" w14:textId="4BD12A2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3F990C38" w14:textId="324BB4E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D76A80B" w14:textId="1D66B58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7C1996D1" w14:textId="084E4F0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74F28517"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930995C" w14:textId="16E8CCC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TRAB0205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8783378" w14:textId="7C04A6D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565B3C4A" w14:textId="59824B7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524B77B" w14:textId="7695224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C9F9FEE" w14:textId="525059FA"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42C75AC8" w14:textId="6F98AC8D"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6DFA65B5"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AC9FFE5" w14:textId="3A1CB63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TRAB0206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26AF19F" w14:textId="7A86E6F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BC43D4C" w14:textId="2458930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27072F6" w14:textId="750CB3ED"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EF725D9" w14:textId="035F8323"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A73F7E9" w14:textId="023688E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73EEC22"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33ED47E" w14:textId="53F5AA8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TRAB0207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C6AC54F" w14:textId="129B85D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72031E0" w14:textId="736939B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292657D6" w14:textId="26D790A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F047127" w14:textId="36D402B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875B8CA" w14:textId="7E7845D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6FDAC1D"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58FA3F40" w14:textId="4CC08AA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lastRenderedPageBreak/>
              <w:t>TRAB0301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3595D02" w14:textId="1193483D"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651D8A3" w14:textId="5A47086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6CF0C6EB" w14:textId="721A32C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C0C202D" w14:textId="721A000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83B5376" w14:textId="6A8139A8"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E9D3F57"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1F223406" w14:textId="5193D40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TRAB0302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E328140" w14:textId="2F391DA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295617E" w14:textId="3D34649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67CA18AE" w14:textId="1E03E08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F21B96E" w14:textId="15C9758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BD39237" w14:textId="6CAFB29B"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2AB89571"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744FA70" w14:textId="0649C86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TRAB0303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2C4897D2" w14:textId="5799BB4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7F513F3" w14:textId="3FB39FC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00B481E" w14:textId="6904E26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BDA5DAC" w14:textId="7B6EEFE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34860DC" w14:textId="69F619E7"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3D129E9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4E5E839C" w14:textId="0E5B383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TRAB0305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AEBE12C" w14:textId="5C88474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62A253B" w14:textId="732382E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9E336E0" w14:textId="34629BE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CBD258A" w14:textId="4603FD01"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F55E3D8" w14:textId="220DF48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279F692B"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00D72DD8" w14:textId="2992708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TRAB0306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A067A14" w14:textId="71F4106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5863D77" w14:textId="3B26616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9F0C842" w14:textId="4A73EE4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53F7780" w14:textId="5C88302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ED83613" w14:textId="6FABD0E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32F6C2D7"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AEB16EB" w14:textId="3F9D70F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TRAB0307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67DB18F3" w14:textId="1603C32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5B590B7A" w14:textId="29622F3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21A2210" w14:textId="36BB3E5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F997204" w14:textId="4853106E"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7CB7D1C1" w14:textId="35AA25BA"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47AFADE"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2FFDD4D" w14:textId="0CF7070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TRAB0401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CD99C8E" w14:textId="7BD5F62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357B54C" w14:textId="5A51291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36D309EA" w14:textId="76A2E33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59301FA9" w14:textId="61F3E98E"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63B8571" w14:textId="6553E37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CFD8604"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6193978D" w14:textId="050B1CA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TRAB0402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629E079" w14:textId="1656D3F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3F958382" w14:textId="1C0D6A8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65E2EE50" w14:textId="49BD0D7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DDD55F8" w14:textId="74BB810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3F37DBF1" w14:textId="5852A73D"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358E4A40"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69674457" w14:textId="2EC357D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TRAB0403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9B59A25" w14:textId="170C82E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06E73D6F" w14:textId="5605D40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02C8371" w14:textId="38A48FD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6BB8820" w14:textId="1C2E65B9"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3621A0E" w14:textId="3B013C67"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E7FC622"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1ECB903C" w14:textId="16E0F6E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lastRenderedPageBreak/>
              <w:t>TRAB0405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2692099" w14:textId="4F6C824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614360C" w14:textId="10CF153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206A2123" w14:textId="736DD1F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2285FDBB" w14:textId="571DF68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0963A363" w14:textId="3386AF2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E0F173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78FFCCD" w14:textId="33FAB97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TRAB0406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9E20CA1" w14:textId="34AA5A0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500B5341" w14:textId="064BCCA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D85CB7D" w14:textId="24F6F8E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0DC634F" w14:textId="31B7DF1B"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1DAB2ED" w14:textId="75F6EE30"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208475A1"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5B1D19BD" w14:textId="14A16BE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TRAB0407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671409B" w14:textId="0FB4F1D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1C81EB9" w14:textId="2BAE305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354F83B0" w14:textId="5481BA7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67BC0AB" w14:textId="0FDB7C4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49B2FC6" w14:textId="723AFB0A"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18AE177F"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A2B47F0" w14:textId="69C823F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9738A31" w14:textId="3E17FFB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08968FF" w14:textId="39B8D7A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28DC764" w14:textId="033718C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4272F7B" w14:textId="73BDAF8D"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E5547BE" w14:textId="4F04B5B3"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643A10D0"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A0C369A" w14:textId="22A3E72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41979DEB" w14:textId="04E7E37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0921078" w14:textId="4F0D2DD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2E8EAC1A" w14:textId="47A41EA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26D397D" w14:textId="7E395B3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343344C" w14:textId="796E1A2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95E4AC2"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AD4C457" w14:textId="1166D5F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F7D09A8" w14:textId="312AFDE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3AE859E2" w14:textId="595B885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ECD037F" w14:textId="27897FD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A0C1B85" w14:textId="60FB257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D8884DF" w14:textId="1DD91A7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32063B7A"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B0DB3A6" w14:textId="34248D4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7B1CCFC" w14:textId="794C2A4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B11A5AF" w14:textId="79FF48B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F0DDEA7" w14:textId="5196CEE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2223695D" w14:textId="218D70EE"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438DCD35" w14:textId="4A32269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7501721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A198CD1" w14:textId="5383319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13C134F" w14:textId="6B12CFE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8BD67F5" w14:textId="4BBF1E3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54A0CEE" w14:textId="7DF73ED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54DECD44" w14:textId="113342B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02759C7F" w14:textId="7692EA00"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74F2BEEC"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559062E8" w14:textId="1F93633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TRAB0507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F2F3B0B" w14:textId="7451013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1F8E9E3" w14:textId="62A8F14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531A1F2" w14:textId="063CF72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0C1EC41E" w14:textId="6BE25C2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356687A" w14:textId="65F5F47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6763D82"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088BD5CB" w14:textId="41226DB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TRAB0601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79580D1" w14:textId="60D8800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3D7BDB58" w14:textId="6CB4E90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39A9DE7" w14:textId="735DADB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DA88613" w14:textId="6BDEAB48"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752C7AF7" w14:textId="585DECF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3D48E303"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0CACE26B" w14:textId="3039D0E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lastRenderedPageBreak/>
              <w:t>TRAB0602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F76EA80" w14:textId="350F9CC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00F2336" w14:textId="32FDA7D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FC6D258" w14:textId="481C325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59803A08" w14:textId="7CC390D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73F2A5C" w14:textId="75985727"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03B6EC2"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5540C9F6" w14:textId="0314A6AD"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TRAB0603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190D216" w14:textId="4A4AF60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BD8692A" w14:textId="38CDD8E1"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8473B8F" w14:textId="4C0601E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FC4CBD8" w14:textId="1D8511A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7BCCF0B6" w14:textId="1502253B"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625A6F6"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13CFD358" w14:textId="2D82F4F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TRAB0605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26EB8E1E" w14:textId="13FBCFF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35B7E2C0" w14:textId="3E67023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6A82AF06" w14:textId="10CCC1A3"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28159C3" w14:textId="1A2D52E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75D6CDA" w14:textId="57D1FC5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1F83038"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675F91EE" w14:textId="295E922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TRAB0606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86E4561" w14:textId="2C1A031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196885FD" w14:textId="7CF666A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9E8F607" w14:textId="13CDA6F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59335072" w14:textId="538BC49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0A20074" w14:textId="340109A1"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46CA8F8"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0E175A6A" w14:textId="179B05A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TRAB0607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0F44DC1" w14:textId="31342C5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2757B643" w14:textId="39969FB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6AF7F750" w14:textId="6279DE3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5D7A323" w14:textId="784F8AD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7C9A3EEB" w14:textId="1E8D9121"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7EA7C46D"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4ABCCCAA" w14:textId="0527842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TRAB0701 Opening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480462C9" w14:textId="5806B8D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B4E885E" w14:textId="14EE120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3ED265B3" w14:textId="0C36956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28945F11" w14:textId="250E3163"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F0FDD40" w14:textId="2C8979C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84AEEF6"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1947F762" w14:textId="3DBDFFA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TRAB0702 Inflation addition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8EA2A10" w14:textId="3D056A8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A5CA23F" w14:textId="13D5AEF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EC91D3B" w14:textId="07A60A5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6473522C" w14:textId="07E8099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372457D9" w14:textId="6BC5D3F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D3D2BFD"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08AC014A" w14:textId="0ECD7B0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TRAB0703 Straight line depreciation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49BA3452" w14:textId="7BF5878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07760FB9" w14:textId="155CDA3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5745EF31" w14:textId="262BAB2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30F6137A" w14:textId="7450A0D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6B55FFA4" w14:textId="54387855"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53081B68"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7B01973" w14:textId="7910380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TRAB0705 Actual additions (recognised in RAB)</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9CD31E2" w14:textId="7E424246"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FFF9486" w14:textId="4EF5809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AF1C866" w14:textId="3B54441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48A1C43A" w14:textId="2AC497D2"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00F1B061" w14:textId="530123F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52DD377"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09E8A5E" w14:textId="4A163FB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lastRenderedPageBreak/>
              <w:t>TRAB0706 Disposals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7D2EF9EF" w14:textId="529828C0"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0E373219" w14:textId="3260279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7689AEB0" w14:textId="2DDB9D87"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AFF8C54" w14:textId="5D371D6E"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8B725B1" w14:textId="2670F98D"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6DA54414"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3E4FDCC5" w14:textId="7831B14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TRAB0707 Closing value</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18D5512D" w14:textId="256B782B"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4A97FC7F" w14:textId="26EDCF1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3BE631C" w14:textId="0C2E1AB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9ED143E" w14:textId="5FC3C043"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72E7E05" w14:textId="73B3A5C0"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C50D67" w:rsidRPr="00C50D67" w14:paraId="2494E2F1"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4F81BD"/>
            <w:vAlign w:val="center"/>
          </w:tcPr>
          <w:p w14:paraId="31CAD0C2" w14:textId="77777777"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TABLE 3.3.3 - TOTAL DISAGGREGATED RAB ASSET VALUES</w:t>
            </w:r>
          </w:p>
          <w:p w14:paraId="2D064979" w14:textId="77777777" w:rsidR="00005E46" w:rsidRPr="00C50D67" w:rsidRDefault="00005E46" w:rsidP="00005E46">
            <w:pPr>
              <w:rPr>
                <w:rFonts w:ascii="Arial" w:hAnsi="Arial" w:cs="Arial"/>
                <w:b/>
                <w:bCs/>
                <w:color w:val="FFFFFF" w:themeColor="background1"/>
                <w:sz w:val="18"/>
                <w:szCs w:val="18"/>
              </w:rPr>
            </w:pPr>
          </w:p>
        </w:tc>
        <w:tc>
          <w:tcPr>
            <w:tcW w:w="755" w:type="pct"/>
            <w:tcBorders>
              <w:top w:val="single" w:sz="4" w:space="0" w:color="auto"/>
              <w:left w:val="single" w:sz="4" w:space="0" w:color="auto"/>
              <w:bottom w:val="single" w:sz="4" w:space="0" w:color="auto"/>
              <w:right w:val="single" w:sz="4" w:space="0" w:color="auto"/>
            </w:tcBorders>
            <w:shd w:val="clear" w:color="auto" w:fill="4F81BD"/>
            <w:vAlign w:val="center"/>
          </w:tcPr>
          <w:p w14:paraId="653D6F43" w14:textId="59C192C9"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As per Instructions and Definitions provided by the AER in their letter dated 19 December 2013 "Regulatory Information Notice issued under section Division 4 of Part 3 National Electricity (New South Wales) Law".</w:t>
            </w:r>
          </w:p>
        </w:tc>
        <w:tc>
          <w:tcPr>
            <w:tcW w:w="713" w:type="pct"/>
            <w:tcBorders>
              <w:top w:val="single" w:sz="4" w:space="0" w:color="auto"/>
              <w:left w:val="single" w:sz="4" w:space="0" w:color="auto"/>
              <w:bottom w:val="single" w:sz="4" w:space="0" w:color="auto"/>
              <w:right w:val="single" w:sz="4" w:space="0" w:color="auto"/>
            </w:tcBorders>
            <w:shd w:val="clear" w:color="auto" w:fill="4F81BD"/>
            <w:vAlign w:val="center"/>
          </w:tcPr>
          <w:p w14:paraId="7F9F81F9" w14:textId="77777777" w:rsidR="00005E46" w:rsidRPr="00C50D67" w:rsidRDefault="00005E46" w:rsidP="00005E46">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Electricity Transmission Network Service Provider Roll Forward Model (RFM), with TransGrid information</w:t>
            </w:r>
          </w:p>
          <w:p w14:paraId="254A2126" w14:textId="77777777" w:rsidR="00005E46" w:rsidRPr="00C50D67" w:rsidRDefault="00005E46" w:rsidP="00005E46">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Table 3.3.2</w:t>
            </w:r>
          </w:p>
          <w:p w14:paraId="00E24D8D" w14:textId="77777777" w:rsidR="00005E46" w:rsidRPr="00C50D67" w:rsidRDefault="00005E46" w:rsidP="00005E46">
            <w:pPr>
              <w:rPr>
                <w:rFonts w:ascii="Arial" w:hAnsi="Arial" w:cs="Arial"/>
                <w:b/>
                <w:bCs/>
                <w:color w:val="FFFFFF" w:themeColor="background1"/>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4F81BD"/>
            <w:vAlign w:val="center"/>
          </w:tcPr>
          <w:p w14:paraId="04C5BABF" w14:textId="04A759BE" w:rsidR="00005E46" w:rsidRPr="00C50D67" w:rsidRDefault="00005E46" w:rsidP="00005E46">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No</w:t>
            </w:r>
          </w:p>
        </w:tc>
        <w:tc>
          <w:tcPr>
            <w:tcW w:w="1071" w:type="pct"/>
            <w:tcBorders>
              <w:top w:val="single" w:sz="4" w:space="0" w:color="auto"/>
              <w:left w:val="single" w:sz="4" w:space="0" w:color="auto"/>
              <w:bottom w:val="single" w:sz="4" w:space="0" w:color="auto"/>
              <w:right w:val="single" w:sz="4" w:space="0" w:color="auto"/>
            </w:tcBorders>
            <w:shd w:val="clear" w:color="auto" w:fill="4F81BD"/>
            <w:vAlign w:val="center"/>
          </w:tcPr>
          <w:p w14:paraId="05A46EA3" w14:textId="77777777" w:rsidR="00005E46" w:rsidRPr="00C50D67" w:rsidRDefault="00005E46" w:rsidP="00005E46">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The Disaggregated RAB Asset Values are calculated as the average of the opening and closing RAB values for the Regulatory Year for each RAB Asset Category in Table 3.3.2.</w:t>
            </w:r>
          </w:p>
          <w:p w14:paraId="3099DE6C" w14:textId="1379BC94" w:rsidR="00005E46" w:rsidRPr="00C50D67" w:rsidRDefault="00005E46" w:rsidP="00005E46">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This approach is in accordance with Page 22 of the AER letter dated 19 December 2013 "Regulatory Information Notice issued under section Division 4 of Part 3 National Electricity (New South Wales) Law".</w:t>
            </w:r>
          </w:p>
        </w:tc>
        <w:tc>
          <w:tcPr>
            <w:tcW w:w="1085" w:type="pct"/>
            <w:tcBorders>
              <w:top w:val="single" w:sz="4" w:space="0" w:color="auto"/>
              <w:left w:val="single" w:sz="4" w:space="0" w:color="auto"/>
              <w:bottom w:val="single" w:sz="4" w:space="0" w:color="auto"/>
              <w:right w:val="single" w:sz="4" w:space="0" w:color="auto"/>
            </w:tcBorders>
            <w:shd w:val="clear" w:color="auto" w:fill="4F81BD"/>
            <w:vAlign w:val="center"/>
          </w:tcPr>
          <w:p w14:paraId="19F69A94" w14:textId="7030E0AD" w:rsidR="00005E46" w:rsidRPr="00C50D67" w:rsidRDefault="00005E46" w:rsidP="00005E46">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N/A</w:t>
            </w:r>
          </w:p>
        </w:tc>
      </w:tr>
      <w:tr w:rsidR="00005E46" w:rsidRPr="00611904" w14:paraId="4834A221"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4F3D9FBB" w14:textId="534351C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TRAB0801 Overhead transmission assets (wires and towers/poles etc)</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A25B223" w14:textId="58A6461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32F9D17" w14:textId="7DDCD78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34AA53EC" w14:textId="1C44F55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0562530A" w14:textId="1C85C7EE"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81852FE" w14:textId="5353B27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0C544EDB"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17489C6C" w14:textId="1961D2DF"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TRAB0802 Underground transmission assets (cables, ducts etc)</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57A5AB42" w14:textId="58E3680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09A7DC85" w14:textId="271B15D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7C3901E" w14:textId="552264A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47C9268" w14:textId="237D0CD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6A0992DE" w14:textId="0F61DB8A"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48DE7AA0"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4A4AFC97" w14:textId="1A13322E"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 xml:space="preserve">TRAB0803 Substations, switchyards, transformers </w:t>
            </w:r>
            <w:r w:rsidRPr="00362B7D">
              <w:rPr>
                <w:rFonts w:ascii="Arial" w:hAnsi="Arial" w:cs="Arial"/>
                <w:color w:val="auto"/>
                <w:sz w:val="18"/>
                <w:szCs w:val="18"/>
              </w:rPr>
              <w:lastRenderedPageBreak/>
              <w:t>etc with transmission function</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9C8F889" w14:textId="6D78D15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lastRenderedPageBreak/>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DF364C7" w14:textId="4F0322FC"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2D6E0B4C" w14:textId="4662027A"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71B436C0" w14:textId="3905CF7F"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29A56348" w14:textId="2EF6186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6A0EFD1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286A1E61" w14:textId="5C1088BD"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TRAB0804 Easements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0A1C3081" w14:textId="015AA0A4"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67D805A" w14:textId="0CD16F3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47B20570" w14:textId="59A4A7A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3878690" w14:textId="1CC0EE74"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5141F2DE" w14:textId="30889116"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67E23D1B"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7135E100" w14:textId="6D4F26D9"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TRAB0805 "Other" assets with long lives</w:t>
            </w: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B05B051" w14:textId="10923E3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6449DBE1" w14:textId="556935F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00853962" w14:textId="4048463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11F714A2" w14:textId="2FBA344D"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4EDF4EE3" w14:textId="157527A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005E46" w:rsidRPr="00611904" w14:paraId="251D22F1"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DCE6F1"/>
            <w:vAlign w:val="center"/>
          </w:tcPr>
          <w:p w14:paraId="5E4C31D4" w14:textId="77777777" w:rsidR="00005E46" w:rsidRDefault="00005E46" w:rsidP="00005E46">
            <w:pPr>
              <w:rPr>
                <w:rFonts w:ascii="Arial" w:hAnsi="Arial" w:cs="Arial"/>
                <w:color w:val="auto"/>
                <w:sz w:val="18"/>
                <w:szCs w:val="18"/>
              </w:rPr>
            </w:pPr>
            <w:r w:rsidRPr="00362B7D">
              <w:rPr>
                <w:rFonts w:ascii="Arial" w:hAnsi="Arial" w:cs="Arial"/>
                <w:color w:val="auto"/>
                <w:sz w:val="18"/>
                <w:szCs w:val="18"/>
              </w:rPr>
              <w:t>TRAB0806 "Other" assets with short lives</w:t>
            </w:r>
          </w:p>
          <w:p w14:paraId="3C737975" w14:textId="0CBA333C" w:rsidR="00C50D67" w:rsidRPr="00362B7D" w:rsidRDefault="00C50D67" w:rsidP="00005E46">
            <w:pPr>
              <w:rPr>
                <w:rFonts w:ascii="Arial" w:hAnsi="Arial" w:cs="Arial"/>
                <w:color w:val="auto"/>
                <w:sz w:val="18"/>
                <w:szCs w:val="18"/>
              </w:rPr>
            </w:pPr>
          </w:p>
        </w:tc>
        <w:tc>
          <w:tcPr>
            <w:tcW w:w="755" w:type="pct"/>
            <w:tcBorders>
              <w:top w:val="single" w:sz="4" w:space="0" w:color="auto"/>
              <w:left w:val="single" w:sz="4" w:space="0" w:color="auto"/>
              <w:bottom w:val="single" w:sz="4" w:space="0" w:color="auto"/>
              <w:right w:val="single" w:sz="4" w:space="0" w:color="auto"/>
            </w:tcBorders>
            <w:shd w:val="clear" w:color="auto" w:fill="DCE6F1"/>
            <w:vAlign w:val="center"/>
          </w:tcPr>
          <w:p w14:paraId="350756F8" w14:textId="44301F02"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DCE6F1"/>
            <w:vAlign w:val="center"/>
          </w:tcPr>
          <w:p w14:paraId="75A03D49" w14:textId="052275C8"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DCE6F1"/>
            <w:vAlign w:val="center"/>
          </w:tcPr>
          <w:p w14:paraId="1F5C0784" w14:textId="160D3C45" w:rsidR="00005E46" w:rsidRPr="00362B7D" w:rsidRDefault="00005E46" w:rsidP="00005E46">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DCE6F1"/>
            <w:vAlign w:val="center"/>
          </w:tcPr>
          <w:p w14:paraId="28991F4F" w14:textId="14CDE8E7"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DCE6F1"/>
            <w:vAlign w:val="center"/>
          </w:tcPr>
          <w:p w14:paraId="1552D0B3" w14:textId="3A6CA47C" w:rsidR="00005E46" w:rsidRPr="00362B7D" w:rsidRDefault="00005E46" w:rsidP="00005E46">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02492577" w14:textId="77777777" w:rsidTr="00C50D67">
        <w:trPr>
          <w:trHeight w:val="353"/>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0668EC98" w14:textId="05DD0B60" w:rsidR="008C4F3C" w:rsidRPr="00C50D67" w:rsidRDefault="008C4F3C" w:rsidP="008C4F3C">
            <w:pPr>
              <w:spacing w:before="100" w:beforeAutospacing="1" w:after="100" w:afterAutospacing="1"/>
              <w:rPr>
                <w:rFonts w:ascii="Arial" w:hAnsi="Arial" w:cs="Arial"/>
                <w:color w:val="FFFFFF" w:themeColor="background1"/>
                <w:sz w:val="18"/>
                <w:szCs w:val="18"/>
              </w:rPr>
            </w:pPr>
            <w:r w:rsidRPr="00C50D67">
              <w:rPr>
                <w:rFonts w:ascii="Arial" w:hAnsi="Arial" w:cs="Arial"/>
                <w:b/>
                <w:bCs/>
                <w:color w:val="FFFFFF" w:themeColor="background1"/>
                <w:sz w:val="18"/>
                <w:szCs w:val="18"/>
              </w:rPr>
              <w:t>3.3.4 ASSET LIVES</w:t>
            </w:r>
          </w:p>
        </w:tc>
      </w:tr>
      <w:tr w:rsidR="008C4F3C" w:rsidRPr="00611904" w14:paraId="4825A1DA"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9BBB59"/>
            <w:vAlign w:val="center"/>
          </w:tcPr>
          <w:p w14:paraId="3B1A8377" w14:textId="517675CC"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 xml:space="preserve">ASSET </w:t>
            </w:r>
            <w:proofErr w:type="gramStart"/>
            <w:r w:rsidRPr="00C50D67">
              <w:rPr>
                <w:rFonts w:ascii="Arial" w:hAnsi="Arial" w:cs="Arial"/>
                <w:b/>
                <w:bCs/>
                <w:color w:val="FFFFFF" w:themeColor="background1"/>
                <w:sz w:val="18"/>
                <w:szCs w:val="18"/>
              </w:rPr>
              <w:t>LIVES  -</w:t>
            </w:r>
            <w:proofErr w:type="gramEnd"/>
            <w:r w:rsidRPr="00C50D67">
              <w:rPr>
                <w:rFonts w:ascii="Arial" w:hAnsi="Arial" w:cs="Arial"/>
                <w:b/>
                <w:bCs/>
                <w:color w:val="FFFFFF" w:themeColor="background1"/>
                <w:sz w:val="18"/>
                <w:szCs w:val="18"/>
              </w:rPr>
              <w:t xml:space="preserve"> ESTIMATED SERVICE LIFE OF NEW ASSETS</w:t>
            </w:r>
          </w:p>
        </w:tc>
        <w:tc>
          <w:tcPr>
            <w:tcW w:w="755" w:type="pct"/>
            <w:tcBorders>
              <w:top w:val="single" w:sz="4" w:space="0" w:color="auto"/>
              <w:left w:val="single" w:sz="4" w:space="0" w:color="auto"/>
              <w:bottom w:val="single" w:sz="4" w:space="0" w:color="auto"/>
              <w:right w:val="single" w:sz="4" w:space="0" w:color="auto"/>
            </w:tcBorders>
            <w:shd w:val="clear" w:color="auto" w:fill="9BBB59"/>
            <w:vAlign w:val="center"/>
          </w:tcPr>
          <w:p w14:paraId="03325249" w14:textId="5EF483EB"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As per Instructions and Definitions provided by the AER in their letter dated 19 December 2013 "Regulatory Information Notice issued under section Division 4 of Part 3 National Electricity (New South Wales) Law".</w:t>
            </w:r>
          </w:p>
        </w:tc>
        <w:tc>
          <w:tcPr>
            <w:tcW w:w="713" w:type="pct"/>
            <w:tcBorders>
              <w:top w:val="single" w:sz="4" w:space="0" w:color="auto"/>
              <w:left w:val="single" w:sz="4" w:space="0" w:color="auto"/>
              <w:bottom w:val="single" w:sz="4" w:space="0" w:color="auto"/>
              <w:right w:val="single" w:sz="4" w:space="0" w:color="auto"/>
            </w:tcBorders>
            <w:shd w:val="clear" w:color="auto" w:fill="9BBB59"/>
            <w:vAlign w:val="center"/>
          </w:tcPr>
          <w:p w14:paraId="4A8E2F12" w14:textId="77777777" w:rsidR="008C4F3C" w:rsidRPr="00C50D67" w:rsidRDefault="008C4F3C" w:rsidP="008C4F3C">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AER Final Determination 2018-2023 Attachment 5 - regulatory depreciation - May 2018 (page 9)</w:t>
            </w:r>
          </w:p>
          <w:p w14:paraId="3C8B7D22" w14:textId="26AD8B92" w:rsidR="008C4F3C" w:rsidRPr="00C50D67" w:rsidRDefault="008C4F3C" w:rsidP="00B34F02">
            <w:pPr>
              <w:spacing w:before="100" w:beforeAutospacing="1" w:after="100" w:afterAutospacing="1" w:line="240" w:lineRule="auto"/>
              <w:rPr>
                <w:rFonts w:ascii="Arial" w:hAnsi="Arial" w:cs="Arial"/>
                <w:b/>
                <w:bCs/>
                <w:color w:val="FFFFFF" w:themeColor="background1"/>
                <w:sz w:val="18"/>
                <w:szCs w:val="18"/>
              </w:rPr>
            </w:pPr>
            <w:r w:rsidRPr="00C50D67">
              <w:rPr>
                <w:rFonts w:ascii="Arial" w:hAnsi="Arial" w:cs="Arial"/>
                <w:b/>
                <w:bCs/>
                <w:color w:val="FFFFFF" w:themeColor="background1"/>
                <w:sz w:val="18"/>
                <w:szCs w:val="18"/>
              </w:rPr>
              <w:t>Values for actual additions and disposals for each asset category in Table 3.3.2</w:t>
            </w:r>
          </w:p>
        </w:tc>
        <w:tc>
          <w:tcPr>
            <w:tcW w:w="585" w:type="pct"/>
            <w:tcBorders>
              <w:top w:val="single" w:sz="4" w:space="0" w:color="auto"/>
              <w:left w:val="single" w:sz="4" w:space="0" w:color="auto"/>
              <w:bottom w:val="single" w:sz="4" w:space="0" w:color="auto"/>
              <w:right w:val="single" w:sz="4" w:space="0" w:color="auto"/>
            </w:tcBorders>
            <w:shd w:val="clear" w:color="auto" w:fill="9BBB59"/>
            <w:vAlign w:val="center"/>
          </w:tcPr>
          <w:p w14:paraId="4E4C4730" w14:textId="3C3D08A0"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No</w:t>
            </w:r>
          </w:p>
        </w:tc>
        <w:tc>
          <w:tcPr>
            <w:tcW w:w="1071" w:type="pct"/>
            <w:tcBorders>
              <w:top w:val="single" w:sz="4" w:space="0" w:color="auto"/>
              <w:left w:val="single" w:sz="4" w:space="0" w:color="auto"/>
              <w:bottom w:val="single" w:sz="4" w:space="0" w:color="auto"/>
              <w:right w:val="single" w:sz="4" w:space="0" w:color="auto"/>
            </w:tcBorders>
            <w:shd w:val="clear" w:color="auto" w:fill="9BBB59"/>
            <w:vAlign w:val="center"/>
          </w:tcPr>
          <w:p w14:paraId="5F53D201" w14:textId="3F19DCA5" w:rsidR="008C4F3C" w:rsidRPr="00C50D67" w:rsidRDefault="008C4F3C" w:rsidP="008C4F3C">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Calculation of the estimated service life of new assets for each asset category is performed in accordance with Page 22 of the AER letter dated 19 December 2013 "Regulatory Information Notice issued under section Division 4 of Part 3 National Electricity (New South Wales) Law".</w:t>
            </w:r>
          </w:p>
        </w:tc>
        <w:tc>
          <w:tcPr>
            <w:tcW w:w="1085" w:type="pct"/>
            <w:tcBorders>
              <w:top w:val="single" w:sz="4" w:space="0" w:color="auto"/>
              <w:left w:val="single" w:sz="4" w:space="0" w:color="auto"/>
              <w:bottom w:val="single" w:sz="4" w:space="0" w:color="auto"/>
              <w:right w:val="single" w:sz="4" w:space="0" w:color="auto"/>
            </w:tcBorders>
            <w:shd w:val="clear" w:color="auto" w:fill="9BBB59"/>
            <w:vAlign w:val="center"/>
          </w:tcPr>
          <w:p w14:paraId="2DAC5AD6" w14:textId="3E92E89D" w:rsidR="008C4F3C" w:rsidRPr="00C50D67" w:rsidRDefault="008C4F3C" w:rsidP="008C4F3C">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N/A</w:t>
            </w:r>
          </w:p>
        </w:tc>
      </w:tr>
      <w:tr w:rsidR="008C4F3C" w:rsidRPr="00611904" w14:paraId="3BB2D5BD"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06BEE015" w14:textId="5BB0B663"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lastRenderedPageBreak/>
              <w:t xml:space="preserve">TRAB0901 Overhead transmission assets </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63A733B5" w14:textId="2551E14A"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20779BCB" w14:textId="513C87E2"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27A089F2" w14:textId="1A35C531"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54D8E287" w14:textId="1BDAA558" w:rsidR="008C4F3C" w:rsidRPr="008C4F3C" w:rsidRDefault="008C4F3C" w:rsidP="008C4F3C">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1F77382D" w14:textId="2E05F1D1" w:rsidR="008C4F3C" w:rsidRPr="008C4F3C" w:rsidRDefault="008C4F3C" w:rsidP="008C4F3C">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r>
      <w:tr w:rsidR="008C4F3C" w:rsidRPr="00611904" w14:paraId="3C4E6D0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3EA4963F" w14:textId="5D20A985"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 xml:space="preserve">TRAB0902 Underground transmission assets </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4B24C19B" w14:textId="291A666B"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5C244587" w14:textId="1601A3EE"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768C2D4C" w14:textId="42DA50BD" w:rsidR="008C4F3C" w:rsidRPr="008C4F3C" w:rsidRDefault="008C4F3C" w:rsidP="008C4F3C">
            <w:pPr>
              <w:rPr>
                <w:rFonts w:ascii="Arial" w:hAnsi="Arial" w:cs="Arial"/>
                <w:b/>
                <w:bCs/>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7AB2B3F8" w14:textId="714C3E34" w:rsidR="008C4F3C" w:rsidRPr="008C4F3C" w:rsidRDefault="008C4F3C" w:rsidP="008C4F3C">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34AF1892" w14:textId="04DC4014" w:rsidR="008C4F3C" w:rsidRPr="008C4F3C" w:rsidRDefault="008C4F3C" w:rsidP="008C4F3C">
            <w:pPr>
              <w:spacing w:before="100" w:beforeAutospacing="1" w:after="100" w:afterAutospacing="1"/>
              <w:rPr>
                <w:rFonts w:ascii="Arial" w:hAnsi="Arial" w:cs="Arial"/>
                <w:b/>
                <w:bCs/>
                <w:color w:val="auto"/>
                <w:sz w:val="18"/>
                <w:szCs w:val="18"/>
              </w:rPr>
            </w:pPr>
            <w:r w:rsidRPr="00362B7D">
              <w:rPr>
                <w:rFonts w:ascii="Arial" w:hAnsi="Arial" w:cs="Arial"/>
                <w:color w:val="auto"/>
                <w:sz w:val="18"/>
                <w:szCs w:val="18"/>
              </w:rPr>
              <w:t>as above</w:t>
            </w:r>
          </w:p>
        </w:tc>
      </w:tr>
      <w:tr w:rsidR="008C4F3C" w:rsidRPr="00611904" w14:paraId="5EB0CA7D"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35937568" w14:textId="3F551539"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TRAB0903 Switchyard, substation and transformer assets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750BD485" w14:textId="3E1BFBA8"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61E4E5EE" w14:textId="52922E9A"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2555BFCB" w14:textId="4D12AA3A"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65AB8A89" w14:textId="60195C91"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00EEA807" w14:textId="48011D49"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0EBA1B6C"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189E7E48" w14:textId="14BAC3FF"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TRAB0904 "Other" assets with long lives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135F4416" w14:textId="5BFDC53B"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48C3AEBF" w14:textId="31846018"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1613BC6A" w14:textId="3E6755A1"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0E2FFEFC" w14:textId="1D4CE452"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6255C02B" w14:textId="29DFE7AC"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46B68E10"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0C2F4BFF" w14:textId="6474D520"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TRAB0905 "Other" assets with short lives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0D8325BE" w14:textId="71211A3E"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7B4BB506" w14:textId="1DF8B2C3"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226CA091" w14:textId="68EEAE97"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3C58980B" w14:textId="27ACC933"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2DCDAEC5" w14:textId="2AAF640C"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C50D67" w:rsidRPr="00C50D67" w14:paraId="507B83F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9BBB59"/>
            <w:vAlign w:val="center"/>
          </w:tcPr>
          <w:p w14:paraId="31479C43" w14:textId="15B658C3" w:rsidR="008C4F3C" w:rsidRPr="00C50D67" w:rsidRDefault="008C4F3C" w:rsidP="008C4F3C">
            <w:pPr>
              <w:rPr>
                <w:rFonts w:ascii="Arial" w:hAnsi="Arial" w:cs="Arial"/>
                <w:color w:val="FFFFFF" w:themeColor="background1"/>
                <w:sz w:val="18"/>
                <w:szCs w:val="18"/>
              </w:rPr>
            </w:pPr>
            <w:r w:rsidRPr="00C50D67">
              <w:rPr>
                <w:rFonts w:ascii="Arial" w:hAnsi="Arial" w:cs="Arial"/>
                <w:b/>
                <w:bCs/>
                <w:color w:val="FFFFFF" w:themeColor="background1"/>
                <w:sz w:val="18"/>
                <w:szCs w:val="18"/>
              </w:rPr>
              <w:t xml:space="preserve">ASSET </w:t>
            </w:r>
            <w:proofErr w:type="gramStart"/>
            <w:r w:rsidRPr="00C50D67">
              <w:rPr>
                <w:rFonts w:ascii="Arial" w:hAnsi="Arial" w:cs="Arial"/>
                <w:b/>
                <w:bCs/>
                <w:color w:val="FFFFFF" w:themeColor="background1"/>
                <w:sz w:val="18"/>
                <w:szCs w:val="18"/>
              </w:rPr>
              <w:t>LIVES  -</w:t>
            </w:r>
            <w:proofErr w:type="gramEnd"/>
            <w:r w:rsidRPr="00C50D67">
              <w:rPr>
                <w:rFonts w:ascii="Arial" w:hAnsi="Arial" w:cs="Arial"/>
                <w:b/>
                <w:bCs/>
                <w:color w:val="FFFFFF" w:themeColor="background1"/>
                <w:sz w:val="18"/>
                <w:szCs w:val="18"/>
              </w:rPr>
              <w:t xml:space="preserve"> ESTIMATED RESIDUAL SERVICE LIFE</w:t>
            </w:r>
          </w:p>
        </w:tc>
        <w:tc>
          <w:tcPr>
            <w:tcW w:w="755" w:type="pct"/>
            <w:tcBorders>
              <w:top w:val="single" w:sz="4" w:space="0" w:color="auto"/>
              <w:left w:val="single" w:sz="4" w:space="0" w:color="auto"/>
              <w:bottom w:val="single" w:sz="4" w:space="0" w:color="auto"/>
              <w:right w:val="single" w:sz="4" w:space="0" w:color="auto"/>
            </w:tcBorders>
            <w:shd w:val="clear" w:color="auto" w:fill="9BBB59"/>
            <w:vAlign w:val="center"/>
          </w:tcPr>
          <w:p w14:paraId="23427B0D" w14:textId="4F5E0D8F"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As per Instructions and Definitions provided by the AER in their letter dated 19 December 2013 "Regulatory Information Notice issued under section Division 4 of Part 3 National Electricity (New South Wales) Law".</w:t>
            </w:r>
          </w:p>
        </w:tc>
        <w:tc>
          <w:tcPr>
            <w:tcW w:w="713" w:type="pct"/>
            <w:tcBorders>
              <w:top w:val="single" w:sz="4" w:space="0" w:color="auto"/>
              <w:left w:val="single" w:sz="4" w:space="0" w:color="auto"/>
              <w:bottom w:val="single" w:sz="4" w:space="0" w:color="auto"/>
              <w:right w:val="single" w:sz="4" w:space="0" w:color="auto"/>
            </w:tcBorders>
            <w:shd w:val="clear" w:color="auto" w:fill="9BBB59"/>
            <w:vAlign w:val="center"/>
          </w:tcPr>
          <w:p w14:paraId="48776ADA" w14:textId="0997F9E6"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Table 3.3.2</w:t>
            </w:r>
          </w:p>
        </w:tc>
        <w:tc>
          <w:tcPr>
            <w:tcW w:w="585" w:type="pct"/>
            <w:tcBorders>
              <w:top w:val="single" w:sz="4" w:space="0" w:color="auto"/>
              <w:left w:val="single" w:sz="4" w:space="0" w:color="auto"/>
              <w:bottom w:val="single" w:sz="4" w:space="0" w:color="auto"/>
              <w:right w:val="single" w:sz="4" w:space="0" w:color="auto"/>
            </w:tcBorders>
            <w:shd w:val="clear" w:color="auto" w:fill="9BBB59"/>
            <w:vAlign w:val="center"/>
          </w:tcPr>
          <w:p w14:paraId="284B11D3" w14:textId="265A9791" w:rsidR="008C4F3C" w:rsidRPr="00C50D67" w:rsidRDefault="008C4F3C" w:rsidP="008C4F3C">
            <w:pPr>
              <w:rPr>
                <w:rFonts w:ascii="Arial" w:hAnsi="Arial" w:cs="Arial"/>
                <w:b/>
                <w:bCs/>
                <w:color w:val="FFFFFF" w:themeColor="background1"/>
                <w:sz w:val="18"/>
                <w:szCs w:val="18"/>
              </w:rPr>
            </w:pPr>
            <w:r w:rsidRPr="00C50D67">
              <w:rPr>
                <w:rFonts w:ascii="Arial" w:hAnsi="Arial" w:cs="Arial"/>
                <w:b/>
                <w:bCs/>
                <w:color w:val="FFFFFF" w:themeColor="background1"/>
                <w:sz w:val="18"/>
                <w:szCs w:val="18"/>
              </w:rPr>
              <w:t>No</w:t>
            </w:r>
          </w:p>
        </w:tc>
        <w:tc>
          <w:tcPr>
            <w:tcW w:w="1071" w:type="pct"/>
            <w:tcBorders>
              <w:top w:val="single" w:sz="4" w:space="0" w:color="auto"/>
              <w:left w:val="single" w:sz="4" w:space="0" w:color="auto"/>
              <w:bottom w:val="single" w:sz="4" w:space="0" w:color="auto"/>
              <w:right w:val="single" w:sz="4" w:space="0" w:color="auto"/>
            </w:tcBorders>
            <w:shd w:val="clear" w:color="auto" w:fill="9BBB59"/>
            <w:vAlign w:val="center"/>
          </w:tcPr>
          <w:p w14:paraId="62F7A351" w14:textId="573B36CB" w:rsidR="008C4F3C" w:rsidRPr="00C50D67" w:rsidRDefault="008C4F3C" w:rsidP="008C4F3C">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The asset lives relating to estimated residual service life are calculated using the Opening Asset Value divided by Straight line Depreciation for the Regulatory Year for each asset category, based on the figures in Table 3.3.2.</w:t>
            </w:r>
          </w:p>
        </w:tc>
        <w:tc>
          <w:tcPr>
            <w:tcW w:w="1085" w:type="pct"/>
            <w:tcBorders>
              <w:top w:val="single" w:sz="4" w:space="0" w:color="auto"/>
              <w:left w:val="single" w:sz="4" w:space="0" w:color="auto"/>
              <w:bottom w:val="single" w:sz="4" w:space="0" w:color="auto"/>
              <w:right w:val="single" w:sz="4" w:space="0" w:color="auto"/>
            </w:tcBorders>
            <w:shd w:val="clear" w:color="auto" w:fill="9BBB59"/>
            <w:vAlign w:val="center"/>
          </w:tcPr>
          <w:p w14:paraId="51414832" w14:textId="3C055D83" w:rsidR="008C4F3C" w:rsidRPr="00C50D67" w:rsidRDefault="008C4F3C" w:rsidP="008C4F3C">
            <w:pPr>
              <w:spacing w:before="100" w:beforeAutospacing="1" w:after="100" w:afterAutospacing="1"/>
              <w:rPr>
                <w:rFonts w:ascii="Arial" w:hAnsi="Arial" w:cs="Arial"/>
                <w:b/>
                <w:bCs/>
                <w:color w:val="FFFFFF" w:themeColor="background1"/>
                <w:sz w:val="18"/>
                <w:szCs w:val="18"/>
              </w:rPr>
            </w:pPr>
            <w:r w:rsidRPr="00C50D67">
              <w:rPr>
                <w:rFonts w:ascii="Arial" w:hAnsi="Arial" w:cs="Arial"/>
                <w:b/>
                <w:bCs/>
                <w:color w:val="FFFFFF" w:themeColor="background1"/>
                <w:sz w:val="18"/>
                <w:szCs w:val="18"/>
              </w:rPr>
              <w:t>N/A</w:t>
            </w:r>
          </w:p>
        </w:tc>
      </w:tr>
      <w:tr w:rsidR="008C4F3C" w:rsidRPr="00611904" w14:paraId="6E838BB8"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11B5F6DD" w14:textId="4793FC64" w:rsidR="008C4F3C" w:rsidRDefault="008C4F3C" w:rsidP="008C4F3C">
            <w:pPr>
              <w:rPr>
                <w:rFonts w:ascii="Arial" w:hAnsi="Arial" w:cs="Arial"/>
                <w:b/>
                <w:bCs/>
                <w:color w:val="FFFFFF"/>
                <w:sz w:val="18"/>
                <w:szCs w:val="18"/>
              </w:rPr>
            </w:pPr>
            <w:r w:rsidRPr="00362B7D">
              <w:rPr>
                <w:rFonts w:ascii="Arial" w:hAnsi="Arial" w:cs="Arial"/>
                <w:color w:val="auto"/>
                <w:sz w:val="18"/>
                <w:szCs w:val="18"/>
              </w:rPr>
              <w:lastRenderedPageBreak/>
              <w:t>TRAB1001 Overhead transmission assets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0CCC3C6D" w14:textId="13466D8F" w:rsidR="008C4F3C" w:rsidRPr="00756F37" w:rsidRDefault="008C4F3C" w:rsidP="008C4F3C">
            <w:pPr>
              <w:rPr>
                <w:rFonts w:ascii="Arial" w:hAnsi="Arial" w:cs="Arial"/>
                <w:b/>
                <w:bCs/>
                <w:color w:val="FFFFFF"/>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1236E7A9" w14:textId="0FE5C9A3" w:rsidR="008C4F3C" w:rsidRPr="00756F37" w:rsidRDefault="008C4F3C" w:rsidP="008C4F3C">
            <w:pPr>
              <w:rPr>
                <w:rFonts w:ascii="Arial" w:hAnsi="Arial" w:cs="Arial"/>
                <w:b/>
                <w:bCs/>
                <w:color w:val="FFFFFF"/>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5F61EB80" w14:textId="7D753F03" w:rsidR="008C4F3C" w:rsidRDefault="008C4F3C" w:rsidP="008C4F3C">
            <w:pPr>
              <w:rPr>
                <w:rFonts w:ascii="Arial" w:hAnsi="Arial" w:cs="Arial"/>
                <w:b/>
                <w:bCs/>
                <w:color w:val="FFFFFF"/>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4A9474AD" w14:textId="15FF5D43" w:rsidR="008C4F3C" w:rsidRPr="00756F37" w:rsidRDefault="008C4F3C" w:rsidP="008C4F3C">
            <w:pPr>
              <w:spacing w:before="100" w:beforeAutospacing="1" w:after="100" w:afterAutospacing="1"/>
              <w:rPr>
                <w:rFonts w:ascii="Arial" w:hAnsi="Arial" w:cs="Arial"/>
                <w:b/>
                <w:bCs/>
                <w:color w:val="FFFFFF"/>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3C4CEF42" w14:textId="00A9A0E5" w:rsidR="008C4F3C" w:rsidRPr="00756F37" w:rsidRDefault="008C4F3C" w:rsidP="008C4F3C">
            <w:pPr>
              <w:spacing w:before="100" w:beforeAutospacing="1" w:after="100" w:afterAutospacing="1"/>
              <w:rPr>
                <w:rFonts w:ascii="Arial" w:hAnsi="Arial" w:cs="Arial"/>
                <w:b/>
                <w:bCs/>
                <w:color w:val="FFFFFF"/>
                <w:sz w:val="18"/>
                <w:szCs w:val="18"/>
              </w:rPr>
            </w:pPr>
            <w:r w:rsidRPr="00362B7D">
              <w:rPr>
                <w:rFonts w:ascii="Arial" w:hAnsi="Arial" w:cs="Arial"/>
                <w:color w:val="auto"/>
                <w:sz w:val="18"/>
                <w:szCs w:val="18"/>
              </w:rPr>
              <w:t>as above</w:t>
            </w:r>
          </w:p>
        </w:tc>
      </w:tr>
      <w:tr w:rsidR="008C4F3C" w:rsidRPr="00611904" w14:paraId="6210CF47"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700F41F4" w14:textId="39ECB1D5"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TRAB1002 Underground transmission assets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146222FB" w14:textId="486F0674"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13E4BC0C" w14:textId="66577451"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490EC910" w14:textId="44164202"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57444733" w14:textId="24EF26DD"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716C47F1" w14:textId="05B2A17D"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289A79FA"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4BCCFEA2" w14:textId="49462943"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TRAB1003 Switchyard, substation and transformer assets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12516B6A" w14:textId="23A9C715"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58927DD3" w14:textId="43473F01"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06F1E9F6" w14:textId="1F48E30E"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09A941D6" w14:textId="4A3B53D2"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3D4F5C73" w14:textId="610B80EB"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1A4FCA29"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2069D5E1" w14:textId="020B50DA"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TRAB1004 "Other" assets with long lives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173EDF40" w14:textId="07297964"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62074ACD" w14:textId="5D229BAA"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4CCD8F49" w14:textId="13BAAB48"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04FEC42E" w14:textId="7B49AE3D"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3CB8D853" w14:textId="54AE4622"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r w:rsidR="008C4F3C" w:rsidRPr="00611904" w14:paraId="2A51716F" w14:textId="77777777" w:rsidTr="00525AE5">
        <w:trPr>
          <w:trHeight w:val="353"/>
        </w:trPr>
        <w:tc>
          <w:tcPr>
            <w:tcW w:w="792" w:type="pct"/>
            <w:tcBorders>
              <w:top w:val="single" w:sz="4" w:space="0" w:color="auto"/>
              <w:left w:val="single" w:sz="4" w:space="0" w:color="auto"/>
              <w:bottom w:val="single" w:sz="4" w:space="0" w:color="auto"/>
              <w:right w:val="single" w:sz="4" w:space="0" w:color="auto"/>
            </w:tcBorders>
            <w:shd w:val="clear" w:color="auto" w:fill="EBF1DE"/>
            <w:vAlign w:val="center"/>
          </w:tcPr>
          <w:p w14:paraId="6FBF630B" w14:textId="1179710A"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TRAB1005 "Other" assets with short lives</w:t>
            </w:r>
          </w:p>
        </w:tc>
        <w:tc>
          <w:tcPr>
            <w:tcW w:w="755" w:type="pct"/>
            <w:tcBorders>
              <w:top w:val="single" w:sz="4" w:space="0" w:color="auto"/>
              <w:left w:val="single" w:sz="4" w:space="0" w:color="auto"/>
              <w:bottom w:val="single" w:sz="4" w:space="0" w:color="auto"/>
              <w:right w:val="single" w:sz="4" w:space="0" w:color="auto"/>
            </w:tcBorders>
            <w:shd w:val="clear" w:color="auto" w:fill="EBF1DE"/>
            <w:vAlign w:val="center"/>
          </w:tcPr>
          <w:p w14:paraId="1C47965D" w14:textId="7AF24B92"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713" w:type="pct"/>
            <w:tcBorders>
              <w:top w:val="single" w:sz="4" w:space="0" w:color="auto"/>
              <w:left w:val="single" w:sz="4" w:space="0" w:color="auto"/>
              <w:bottom w:val="single" w:sz="4" w:space="0" w:color="auto"/>
              <w:right w:val="single" w:sz="4" w:space="0" w:color="auto"/>
            </w:tcBorders>
            <w:shd w:val="clear" w:color="auto" w:fill="EBF1DE"/>
            <w:vAlign w:val="center"/>
          </w:tcPr>
          <w:p w14:paraId="01603319" w14:textId="3C4A100F"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585" w:type="pct"/>
            <w:tcBorders>
              <w:top w:val="single" w:sz="4" w:space="0" w:color="auto"/>
              <w:left w:val="single" w:sz="4" w:space="0" w:color="auto"/>
              <w:bottom w:val="single" w:sz="4" w:space="0" w:color="auto"/>
              <w:right w:val="single" w:sz="4" w:space="0" w:color="auto"/>
            </w:tcBorders>
            <w:shd w:val="clear" w:color="auto" w:fill="EBF1DE"/>
            <w:vAlign w:val="center"/>
          </w:tcPr>
          <w:p w14:paraId="6294FA3B" w14:textId="0056D835" w:rsidR="008C4F3C" w:rsidRPr="00362B7D" w:rsidRDefault="008C4F3C" w:rsidP="008C4F3C">
            <w:pPr>
              <w:rPr>
                <w:rFonts w:ascii="Arial" w:hAnsi="Arial" w:cs="Arial"/>
                <w:color w:val="auto"/>
                <w:sz w:val="18"/>
                <w:szCs w:val="18"/>
              </w:rPr>
            </w:pPr>
            <w:r w:rsidRPr="00362B7D">
              <w:rPr>
                <w:rFonts w:ascii="Arial" w:hAnsi="Arial" w:cs="Arial"/>
                <w:color w:val="auto"/>
                <w:sz w:val="18"/>
                <w:szCs w:val="18"/>
              </w:rPr>
              <w:t>as above</w:t>
            </w:r>
          </w:p>
        </w:tc>
        <w:tc>
          <w:tcPr>
            <w:tcW w:w="1071" w:type="pct"/>
            <w:tcBorders>
              <w:top w:val="single" w:sz="4" w:space="0" w:color="auto"/>
              <w:left w:val="single" w:sz="4" w:space="0" w:color="auto"/>
              <w:bottom w:val="single" w:sz="4" w:space="0" w:color="auto"/>
              <w:right w:val="single" w:sz="4" w:space="0" w:color="auto"/>
            </w:tcBorders>
            <w:shd w:val="clear" w:color="auto" w:fill="EBF1DE"/>
            <w:vAlign w:val="center"/>
          </w:tcPr>
          <w:p w14:paraId="08509376" w14:textId="1EB12B0B"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c>
          <w:tcPr>
            <w:tcW w:w="1085" w:type="pct"/>
            <w:tcBorders>
              <w:top w:val="single" w:sz="4" w:space="0" w:color="auto"/>
              <w:left w:val="single" w:sz="4" w:space="0" w:color="auto"/>
              <w:bottom w:val="single" w:sz="4" w:space="0" w:color="auto"/>
              <w:right w:val="single" w:sz="4" w:space="0" w:color="auto"/>
            </w:tcBorders>
            <w:shd w:val="clear" w:color="auto" w:fill="EBF1DE"/>
            <w:vAlign w:val="center"/>
          </w:tcPr>
          <w:p w14:paraId="1635D5A2" w14:textId="0DCD0AE9" w:rsidR="008C4F3C" w:rsidRPr="00362B7D" w:rsidRDefault="008C4F3C" w:rsidP="008C4F3C">
            <w:pPr>
              <w:spacing w:before="100" w:beforeAutospacing="1" w:after="100" w:afterAutospacing="1"/>
              <w:rPr>
                <w:rFonts w:ascii="Arial" w:hAnsi="Arial" w:cs="Arial"/>
                <w:color w:val="auto"/>
                <w:sz w:val="18"/>
                <w:szCs w:val="18"/>
              </w:rPr>
            </w:pPr>
            <w:r w:rsidRPr="00362B7D">
              <w:rPr>
                <w:rFonts w:ascii="Arial" w:hAnsi="Arial" w:cs="Arial"/>
                <w:color w:val="auto"/>
                <w:sz w:val="18"/>
                <w:szCs w:val="18"/>
              </w:rPr>
              <w:t>as above</w:t>
            </w:r>
          </w:p>
        </w:tc>
      </w:tr>
    </w:tbl>
    <w:p w14:paraId="734126F6" w14:textId="06F9C6CB" w:rsidR="00C50D67" w:rsidRDefault="00C50D67" w:rsidP="00693990"/>
    <w:p w14:paraId="374C208E" w14:textId="77777777" w:rsidR="00C50D67" w:rsidRDefault="00C50D67">
      <w:r>
        <w:br w:type="page"/>
      </w:r>
    </w:p>
    <w:p w14:paraId="01F2F60B" w14:textId="00C7D091" w:rsidR="00BE467B" w:rsidRDefault="00BE467B" w:rsidP="0019343C">
      <w:pPr>
        <w:pStyle w:val="Heading3"/>
        <w:numPr>
          <w:ilvl w:val="2"/>
          <w:numId w:val="12"/>
        </w:numPr>
        <w:spacing w:after="240"/>
      </w:pPr>
      <w:bookmarkStart w:id="19" w:name="_Toc84499729"/>
      <w:r>
        <w:lastRenderedPageBreak/>
        <w:t>Worksheet 3.4 Operational Data</w:t>
      </w:r>
      <w:bookmarkEnd w:id="19"/>
    </w:p>
    <w:tbl>
      <w:tblPr>
        <w:tblW w:w="5596" w:type="pct"/>
        <w:tblInd w:w="-572" w:type="dxa"/>
        <w:tblLook w:val="04A0" w:firstRow="1" w:lastRow="0" w:firstColumn="1" w:lastColumn="0" w:noHBand="0" w:noVBand="1"/>
      </w:tblPr>
      <w:tblGrid>
        <w:gridCol w:w="1340"/>
        <w:gridCol w:w="3074"/>
        <w:gridCol w:w="2828"/>
        <w:gridCol w:w="1548"/>
        <w:gridCol w:w="3684"/>
        <w:gridCol w:w="2551"/>
      </w:tblGrid>
      <w:tr w:rsidR="00883C6C" w:rsidRPr="001E7278" w14:paraId="7DE6706A" w14:textId="77777777" w:rsidTr="008670D7">
        <w:trPr>
          <w:trHeight w:val="510"/>
          <w:tblHeader/>
        </w:trPr>
        <w:tc>
          <w:tcPr>
            <w:tcW w:w="1469"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64399DB" w14:textId="77777777" w:rsidR="008C4F3C" w:rsidRPr="00C50D67" w:rsidRDefault="008C4F3C" w:rsidP="00E609CD">
            <w:pPr>
              <w:spacing w:line="240" w:lineRule="auto"/>
              <w:rPr>
                <w:rFonts w:ascii="Arial" w:hAnsi="Arial" w:cs="Arial"/>
                <w:b/>
                <w:bCs/>
                <w:color w:val="auto"/>
                <w:sz w:val="18"/>
                <w:szCs w:val="18"/>
              </w:rPr>
            </w:pPr>
            <w:r w:rsidRPr="00C50D67">
              <w:rPr>
                <w:rFonts w:ascii="Arial" w:hAnsi="Arial" w:cs="Arial"/>
                <w:b/>
                <w:bCs/>
                <w:color w:val="auto"/>
                <w:sz w:val="18"/>
                <w:szCs w:val="18"/>
              </w:rPr>
              <w:t>Data variable &amp; TransGrid’s interpretation</w:t>
            </w:r>
          </w:p>
        </w:tc>
        <w:tc>
          <w:tcPr>
            <w:tcW w:w="941" w:type="pct"/>
            <w:tcBorders>
              <w:top w:val="single" w:sz="4" w:space="0" w:color="auto"/>
              <w:left w:val="nil"/>
              <w:bottom w:val="single" w:sz="4" w:space="0" w:color="auto"/>
              <w:right w:val="single" w:sz="4" w:space="0" w:color="auto"/>
            </w:tcBorders>
            <w:shd w:val="clear" w:color="000000" w:fill="47A843" w:themeFill="accent1"/>
            <w:vAlign w:val="center"/>
            <w:hideMark/>
          </w:tcPr>
          <w:p w14:paraId="4A724169" w14:textId="77777777" w:rsidR="008C4F3C" w:rsidRPr="00C50D67" w:rsidRDefault="008C4F3C" w:rsidP="00E609CD">
            <w:pPr>
              <w:spacing w:line="240" w:lineRule="auto"/>
              <w:rPr>
                <w:rFonts w:ascii="Arial" w:hAnsi="Arial" w:cs="Arial"/>
                <w:b/>
                <w:bCs/>
                <w:color w:val="auto"/>
                <w:sz w:val="18"/>
                <w:szCs w:val="18"/>
              </w:rPr>
            </w:pPr>
            <w:r w:rsidRPr="00C50D67">
              <w:rPr>
                <w:rFonts w:ascii="Arial" w:hAnsi="Arial" w:cs="Arial"/>
                <w:b/>
                <w:bCs/>
                <w:color w:val="auto"/>
                <w:sz w:val="18"/>
                <w:szCs w:val="18"/>
              </w:rPr>
              <w:t>Data sources, locations and ‘owners’</w:t>
            </w:r>
          </w:p>
        </w:tc>
        <w:tc>
          <w:tcPr>
            <w:tcW w:w="2590"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1C442905" w14:textId="77777777" w:rsidR="008C4F3C" w:rsidRPr="00C50D67" w:rsidRDefault="008C4F3C" w:rsidP="00E609CD">
            <w:pPr>
              <w:spacing w:line="240" w:lineRule="auto"/>
              <w:rPr>
                <w:rFonts w:ascii="Arial" w:hAnsi="Arial" w:cs="Arial"/>
                <w:b/>
                <w:bCs/>
                <w:color w:val="auto"/>
                <w:sz w:val="18"/>
                <w:szCs w:val="18"/>
              </w:rPr>
            </w:pPr>
            <w:r w:rsidRPr="00C50D67">
              <w:rPr>
                <w:rFonts w:ascii="Arial" w:hAnsi="Arial" w:cs="Arial"/>
                <w:b/>
                <w:bCs/>
                <w:color w:val="auto"/>
                <w:sz w:val="18"/>
                <w:szCs w:val="18"/>
              </w:rPr>
              <w:t>Estimation or actual information, calculations and assumptions</w:t>
            </w:r>
          </w:p>
        </w:tc>
      </w:tr>
      <w:tr w:rsidR="008670D7" w:rsidRPr="001E7278" w14:paraId="554C11CC" w14:textId="77777777" w:rsidTr="008670D7">
        <w:trPr>
          <w:trHeight w:val="960"/>
          <w:tblHeader/>
        </w:trPr>
        <w:tc>
          <w:tcPr>
            <w:tcW w:w="446"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C739D47" w14:textId="77777777" w:rsidR="008C4F3C" w:rsidRPr="001E7278" w:rsidRDefault="008C4F3C" w:rsidP="00E609CD">
            <w:pPr>
              <w:spacing w:line="240" w:lineRule="auto"/>
              <w:rPr>
                <w:rFonts w:ascii="Arial" w:hAnsi="Arial" w:cs="Arial"/>
                <w:color w:val="000000"/>
                <w:sz w:val="18"/>
                <w:szCs w:val="18"/>
              </w:rPr>
            </w:pPr>
            <w:r w:rsidRPr="001E7278">
              <w:rPr>
                <w:rFonts w:ascii="Arial" w:hAnsi="Arial" w:cs="Arial"/>
                <w:color w:val="000000"/>
                <w:sz w:val="18"/>
                <w:szCs w:val="18"/>
              </w:rPr>
              <w:t>Variable reference &amp; AER description</w:t>
            </w:r>
          </w:p>
        </w:tc>
        <w:tc>
          <w:tcPr>
            <w:tcW w:w="1023"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A656F8E" w14:textId="77777777" w:rsidR="008C4F3C" w:rsidRPr="001E7278" w:rsidRDefault="008C4F3C" w:rsidP="00E609CD">
            <w:pPr>
              <w:spacing w:line="240" w:lineRule="auto"/>
              <w:rPr>
                <w:rFonts w:ascii="Arial" w:hAnsi="Arial" w:cs="Arial"/>
                <w:color w:val="000000"/>
                <w:sz w:val="18"/>
                <w:szCs w:val="18"/>
              </w:rPr>
            </w:pPr>
            <w:r w:rsidRPr="001E7278">
              <w:rPr>
                <w:rFonts w:ascii="Arial" w:hAnsi="Arial" w:cs="Arial"/>
                <w:color w:val="000000"/>
                <w:sz w:val="18"/>
                <w:szCs w:val="18"/>
              </w:rPr>
              <w:t xml:space="preserve">TransGrid’s interpretation of data variable </w:t>
            </w:r>
          </w:p>
        </w:tc>
        <w:tc>
          <w:tcPr>
            <w:tcW w:w="941"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30756E5B" w14:textId="77777777" w:rsidR="008C4F3C" w:rsidRPr="008C4F3C" w:rsidRDefault="008C4F3C" w:rsidP="00E609CD">
            <w:pPr>
              <w:spacing w:line="240" w:lineRule="auto"/>
              <w:rPr>
                <w:rFonts w:ascii="Arial" w:hAnsi="Arial" w:cs="Arial"/>
                <w:color w:val="auto"/>
                <w:sz w:val="18"/>
                <w:szCs w:val="18"/>
              </w:rPr>
            </w:pPr>
            <w:r w:rsidRPr="008C4F3C">
              <w:rPr>
                <w:rFonts w:ascii="Arial" w:hAnsi="Arial" w:cs="Arial"/>
                <w:color w:val="auto"/>
                <w:sz w:val="18"/>
                <w:szCs w:val="18"/>
              </w:rPr>
              <w:t>Data sources</w:t>
            </w:r>
          </w:p>
        </w:tc>
        <w:tc>
          <w:tcPr>
            <w:tcW w:w="51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41775BF" w14:textId="77777777" w:rsidR="008C4F3C" w:rsidRPr="008C4F3C" w:rsidRDefault="008C4F3C" w:rsidP="00E609CD">
            <w:pPr>
              <w:spacing w:line="240" w:lineRule="auto"/>
              <w:rPr>
                <w:rFonts w:ascii="Arial" w:hAnsi="Arial" w:cs="Arial"/>
                <w:color w:val="auto"/>
                <w:sz w:val="18"/>
                <w:szCs w:val="18"/>
              </w:rPr>
            </w:pPr>
            <w:r w:rsidRPr="008C4F3C">
              <w:rPr>
                <w:rFonts w:ascii="Arial" w:hAnsi="Arial" w:cs="Arial"/>
                <w:color w:val="auto"/>
                <w:sz w:val="18"/>
                <w:szCs w:val="18"/>
              </w:rPr>
              <w:t xml:space="preserve">Is this variable ‘Estimated Information’ as per AER definition? (Y/N) </w:t>
            </w:r>
          </w:p>
        </w:tc>
        <w:tc>
          <w:tcPr>
            <w:tcW w:w="122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30CEE50" w14:textId="77777777" w:rsidR="008C4F3C" w:rsidRPr="008C4F3C" w:rsidRDefault="008C4F3C" w:rsidP="00E609CD">
            <w:pPr>
              <w:spacing w:line="240" w:lineRule="auto"/>
              <w:rPr>
                <w:rFonts w:ascii="Arial" w:hAnsi="Arial" w:cs="Arial"/>
                <w:color w:val="auto"/>
                <w:sz w:val="18"/>
                <w:szCs w:val="18"/>
              </w:rPr>
            </w:pPr>
            <w:r w:rsidRPr="008C4F3C">
              <w:rPr>
                <w:rFonts w:ascii="Arial" w:hAnsi="Arial" w:cs="Arial"/>
                <w:color w:val="auto"/>
                <w:sz w:val="18"/>
                <w:szCs w:val="18"/>
              </w:rPr>
              <w:t>How the values for this variable are calculated</w:t>
            </w:r>
          </w:p>
        </w:tc>
        <w:tc>
          <w:tcPr>
            <w:tcW w:w="849"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21F494F" w14:textId="77777777" w:rsidR="008C4F3C" w:rsidRPr="008C4F3C" w:rsidRDefault="008C4F3C" w:rsidP="00E609CD">
            <w:pPr>
              <w:spacing w:line="240" w:lineRule="auto"/>
              <w:rPr>
                <w:rFonts w:ascii="Arial" w:hAnsi="Arial" w:cs="Arial"/>
                <w:color w:val="auto"/>
                <w:sz w:val="18"/>
                <w:szCs w:val="18"/>
              </w:rPr>
            </w:pPr>
            <w:r w:rsidRPr="008C4F3C">
              <w:rPr>
                <w:rFonts w:ascii="Arial" w:hAnsi="Arial" w:cs="Arial"/>
                <w:color w:val="auto"/>
                <w:sz w:val="18"/>
                <w:szCs w:val="18"/>
              </w:rPr>
              <w:t>Assumptions made to allow calculation / estimation of the variable</w:t>
            </w:r>
          </w:p>
        </w:tc>
      </w:tr>
      <w:tr w:rsidR="008C4F3C" w:rsidRPr="001E7278" w14:paraId="3CF42A61" w14:textId="77777777" w:rsidTr="00883C6C">
        <w:trPr>
          <w:trHeight w:val="345"/>
        </w:trPr>
        <w:tc>
          <w:tcPr>
            <w:tcW w:w="5000" w:type="pct"/>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2539E7E" w14:textId="77777777" w:rsidR="008C4F3C" w:rsidRPr="00883C6C" w:rsidRDefault="008C4F3C" w:rsidP="00883C6C">
            <w:pPr>
              <w:spacing w:before="100" w:beforeAutospacing="1" w:after="100" w:afterAutospacing="1"/>
              <w:rPr>
                <w:rFonts w:ascii="Arial" w:hAnsi="Arial" w:cs="Arial"/>
                <w:b/>
                <w:bCs/>
                <w:color w:val="FFFFFF"/>
                <w:sz w:val="22"/>
                <w:szCs w:val="22"/>
              </w:rPr>
            </w:pPr>
            <w:r w:rsidRPr="00883C6C">
              <w:rPr>
                <w:rFonts w:ascii="Arial" w:hAnsi="Arial" w:cs="Arial"/>
                <w:b/>
                <w:bCs/>
                <w:color w:val="FFFFFF"/>
                <w:sz w:val="22"/>
                <w:szCs w:val="22"/>
              </w:rPr>
              <w:t>3.4.1 - ENERGY DELIVERY</w:t>
            </w:r>
          </w:p>
        </w:tc>
      </w:tr>
      <w:tr w:rsidR="008C4F3C" w:rsidRPr="001E7278" w14:paraId="79A53F59" w14:textId="77777777" w:rsidTr="00525AE5">
        <w:trPr>
          <w:trHeight w:val="240"/>
        </w:trPr>
        <w:tc>
          <w:tcPr>
            <w:tcW w:w="5000"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7E0AA693" w14:textId="77777777" w:rsidR="008C4F3C" w:rsidRPr="001E7278" w:rsidRDefault="008C4F3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t xml:space="preserve">Energy </w:t>
            </w:r>
            <w:r w:rsidRPr="00883C6C">
              <w:rPr>
                <w:rFonts w:ascii="Arial" w:hAnsi="Arial" w:cs="Arial"/>
                <w:b/>
                <w:bCs/>
                <w:color w:val="FFFFFF" w:themeColor="background1"/>
                <w:sz w:val="18"/>
                <w:szCs w:val="18"/>
              </w:rPr>
              <w:t>Grouping</w:t>
            </w:r>
            <w:r w:rsidRPr="001E7278">
              <w:rPr>
                <w:rFonts w:ascii="Arial" w:hAnsi="Arial" w:cs="Arial"/>
                <w:b/>
                <w:bCs/>
                <w:color w:val="FFFFFF"/>
                <w:sz w:val="18"/>
                <w:szCs w:val="18"/>
              </w:rPr>
              <w:t xml:space="preserve"> by Downstream Connection type</w:t>
            </w:r>
          </w:p>
        </w:tc>
      </w:tr>
      <w:tr w:rsidR="008670D7" w:rsidRPr="001E7278" w14:paraId="75E01942" w14:textId="77777777" w:rsidTr="00525AE5">
        <w:trPr>
          <w:trHeight w:val="5865"/>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37C338A"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TOPED0101 To Other connected transmission networks</w:t>
            </w:r>
          </w:p>
          <w:p w14:paraId="5ED218DC" w14:textId="77777777" w:rsidR="008C4F3C" w:rsidRPr="00362B7D" w:rsidRDefault="008C4F3C" w:rsidP="00E609CD">
            <w:pPr>
              <w:spacing w:line="360" w:lineRule="auto"/>
              <w:jc w:val="center"/>
              <w:rPr>
                <w:rFonts w:ascii="Arial" w:hAnsi="Arial" w:cs="Arial"/>
                <w:color w:val="auto"/>
                <w:sz w:val="18"/>
                <w:szCs w:val="18"/>
              </w:rPr>
            </w:pP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3D10A70F" w14:textId="77777777" w:rsidR="008C4F3C" w:rsidRPr="00C50D67" w:rsidRDefault="008C4F3C" w:rsidP="00C50D67">
            <w:pPr>
              <w:spacing w:before="0" w:after="0" w:line="360" w:lineRule="auto"/>
              <w:rPr>
                <w:rFonts w:ascii="Arial" w:eastAsia="Times New Roman" w:hAnsi="Arial" w:cs="Arial"/>
                <w:color w:val="auto"/>
                <w:sz w:val="18"/>
                <w:szCs w:val="18"/>
                <w:lang w:eastAsia="en-AU"/>
              </w:rPr>
            </w:pPr>
            <w:r w:rsidRPr="00C50D67">
              <w:rPr>
                <w:rFonts w:ascii="Arial" w:eastAsia="Times New Roman" w:hAnsi="Arial" w:cs="Arial"/>
                <w:color w:val="auto"/>
                <w:sz w:val="18"/>
                <w:szCs w:val="18"/>
                <w:lang w:eastAsia="en-AU"/>
              </w:rPr>
              <w:t>Energy supplied to transmission networks in adjacent NEM regions (</w:t>
            </w:r>
            <w:proofErr w:type="gramStart"/>
            <w:r w:rsidRPr="00C50D67">
              <w:rPr>
                <w:rFonts w:ascii="Arial" w:eastAsia="Times New Roman" w:hAnsi="Arial" w:cs="Arial"/>
                <w:color w:val="auto"/>
                <w:sz w:val="18"/>
                <w:szCs w:val="18"/>
                <w:lang w:eastAsia="en-AU"/>
              </w:rPr>
              <w:t>i.e.</w:t>
            </w:r>
            <w:proofErr w:type="gramEnd"/>
            <w:r w:rsidRPr="00C50D67">
              <w:rPr>
                <w:rFonts w:ascii="Arial" w:eastAsia="Times New Roman" w:hAnsi="Arial" w:cs="Arial"/>
                <w:color w:val="auto"/>
                <w:sz w:val="18"/>
                <w:szCs w:val="18"/>
                <w:lang w:eastAsia="en-AU"/>
              </w:rPr>
              <w:t xml:space="preserve"> flows related to interconnectors). Both exports and imports have been considered, with each being added for the four relevant interconnectors.</w:t>
            </w:r>
          </w:p>
          <w:p w14:paraId="42E5BCF2" w14:textId="77777777" w:rsidR="008C4F3C" w:rsidRPr="007D7459" w:rsidRDefault="008C4F3C" w:rsidP="00C50D67">
            <w:pPr>
              <w:spacing w:before="0" w:after="0" w:line="360" w:lineRule="auto"/>
              <w:rPr>
                <w:rFonts w:ascii="Arial" w:hAnsi="Arial" w:cs="Arial"/>
                <w:color w:val="auto"/>
                <w:sz w:val="18"/>
                <w:szCs w:val="18"/>
              </w:rPr>
            </w:pPr>
            <w:r w:rsidRPr="00C50D67">
              <w:rPr>
                <w:rFonts w:ascii="Arial" w:eastAsia="Times New Roman" w:hAnsi="Arial" w:cs="Arial"/>
                <w:color w:val="auto"/>
                <w:sz w:val="18"/>
                <w:szCs w:val="18"/>
                <w:lang w:eastAsia="en-AU"/>
              </w:rPr>
              <w:t>Flows to other transmission networks have been taken to be flows to adjacent NEM Regions. Flows to other transmission networks within the NSW region of the NEM (to networks owned by DNSPs) have been included in “Flows to Distribution Networks”</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028E693C"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2C67C3B1"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47B01387" w14:textId="77777777" w:rsidR="00C50D67" w:rsidRPr="00C50D67" w:rsidRDefault="008C4F3C" w:rsidP="00C50D67">
            <w:pPr>
              <w:spacing w:before="0" w:after="0" w:line="360" w:lineRule="auto"/>
              <w:rPr>
                <w:rFonts w:ascii="Arial" w:eastAsia="Times New Roman" w:hAnsi="Arial" w:cs="Arial"/>
                <w:color w:val="auto"/>
                <w:sz w:val="18"/>
                <w:szCs w:val="18"/>
                <w:lang w:eastAsia="en-AU"/>
              </w:rPr>
            </w:pPr>
            <w:r w:rsidRPr="00C50D67">
              <w:rPr>
                <w:rFonts w:ascii="Arial" w:eastAsia="Times New Roman" w:hAnsi="Arial" w:cs="Arial"/>
                <w:color w:val="auto"/>
                <w:sz w:val="18"/>
                <w:szCs w:val="18"/>
                <w:lang w:eastAsia="en-AU"/>
              </w:rPr>
              <w:t xml:space="preserve">Data have been obtained from revenue or statistical </w:t>
            </w:r>
            <w:proofErr w:type="gramStart"/>
            <w:r w:rsidRPr="00C50D67">
              <w:rPr>
                <w:rFonts w:ascii="Arial" w:eastAsia="Times New Roman" w:hAnsi="Arial" w:cs="Arial"/>
                <w:color w:val="auto"/>
                <w:sz w:val="18"/>
                <w:szCs w:val="18"/>
                <w:lang w:eastAsia="en-AU"/>
              </w:rPr>
              <w:t>15 minute</w:t>
            </w:r>
            <w:proofErr w:type="gramEnd"/>
            <w:r w:rsidRPr="00C50D67">
              <w:rPr>
                <w:rFonts w:ascii="Arial" w:eastAsia="Times New Roman" w:hAnsi="Arial" w:cs="Arial"/>
                <w:color w:val="auto"/>
                <w:sz w:val="18"/>
                <w:szCs w:val="18"/>
                <w:lang w:eastAsia="en-AU"/>
              </w:rPr>
              <w:t xml:space="preserve"> metering registrations. For each of the categories, those </w:t>
            </w:r>
            <w:proofErr w:type="gramStart"/>
            <w:r w:rsidRPr="00C50D67">
              <w:rPr>
                <w:rFonts w:ascii="Arial" w:eastAsia="Times New Roman" w:hAnsi="Arial" w:cs="Arial"/>
                <w:color w:val="auto"/>
                <w:sz w:val="18"/>
                <w:szCs w:val="18"/>
                <w:lang w:eastAsia="en-AU"/>
              </w:rPr>
              <w:t>15 minute</w:t>
            </w:r>
            <w:proofErr w:type="gramEnd"/>
            <w:r w:rsidRPr="00C50D67">
              <w:rPr>
                <w:rFonts w:ascii="Arial" w:eastAsia="Times New Roman" w:hAnsi="Arial" w:cs="Arial"/>
                <w:color w:val="auto"/>
                <w:sz w:val="18"/>
                <w:szCs w:val="18"/>
                <w:lang w:eastAsia="en-AU"/>
              </w:rPr>
              <w:t xml:space="preserve"> data have been summated to obtain figures for each regulatory (financial) year.</w:t>
            </w:r>
          </w:p>
          <w:p w14:paraId="4490F9F4" w14:textId="73CAD73C" w:rsidR="008C4F3C" w:rsidRPr="00C50D67" w:rsidRDefault="008C4F3C" w:rsidP="00C50D67">
            <w:pPr>
              <w:spacing w:before="0" w:after="0" w:line="360" w:lineRule="auto"/>
              <w:rPr>
                <w:rFonts w:ascii="Arial" w:eastAsia="Times New Roman" w:hAnsi="Arial" w:cs="Arial"/>
                <w:color w:val="auto"/>
                <w:sz w:val="18"/>
                <w:szCs w:val="18"/>
                <w:lang w:eastAsia="en-AU"/>
              </w:rPr>
            </w:pPr>
            <w:r w:rsidRPr="00C50D67">
              <w:rPr>
                <w:rFonts w:ascii="Arial" w:eastAsia="Times New Roman" w:hAnsi="Arial" w:cs="Arial"/>
                <w:color w:val="auto"/>
                <w:sz w:val="18"/>
                <w:szCs w:val="18"/>
                <w:lang w:eastAsia="en-AU"/>
              </w:rPr>
              <w:t xml:space="preserve">Energy calculations involve spreadsheets which sum the </w:t>
            </w:r>
            <w:proofErr w:type="gramStart"/>
            <w:r w:rsidRPr="00C50D67">
              <w:rPr>
                <w:rFonts w:ascii="Arial" w:eastAsia="Times New Roman" w:hAnsi="Arial" w:cs="Arial"/>
                <w:color w:val="auto"/>
                <w:sz w:val="18"/>
                <w:szCs w:val="18"/>
                <w:lang w:eastAsia="en-AU"/>
              </w:rPr>
              <w:t>15 minute</w:t>
            </w:r>
            <w:proofErr w:type="gramEnd"/>
            <w:r w:rsidRPr="00C50D67">
              <w:rPr>
                <w:rFonts w:ascii="Arial" w:eastAsia="Times New Roman" w:hAnsi="Arial" w:cs="Arial"/>
                <w:color w:val="auto"/>
                <w:sz w:val="18"/>
                <w:szCs w:val="18"/>
                <w:lang w:eastAsia="en-AU"/>
              </w:rPr>
              <w:t xml:space="preserve"> registrations for the relevant period(s) and make any adjustments to achieve the appropriate units of measurement (for example, dividing by 1,000 to convert from kWh to MWh)</w:t>
            </w:r>
          </w:p>
          <w:p w14:paraId="08D1E0FB" w14:textId="77777777" w:rsidR="008C4F3C" w:rsidRPr="007D7459" w:rsidRDefault="008C4F3C" w:rsidP="00C50D67">
            <w:pPr>
              <w:spacing w:before="0" w:after="0" w:line="360" w:lineRule="auto"/>
              <w:rPr>
                <w:rFonts w:ascii="Arial" w:hAnsi="Arial" w:cs="Arial"/>
                <w:color w:val="auto"/>
                <w:sz w:val="18"/>
                <w:szCs w:val="18"/>
              </w:rPr>
            </w:pPr>
            <w:r w:rsidRPr="00C50D67">
              <w:rPr>
                <w:rFonts w:ascii="Arial" w:eastAsia="Times New Roman" w:hAnsi="Arial" w:cs="Arial"/>
                <w:color w:val="auto"/>
                <w:sz w:val="18"/>
                <w:szCs w:val="18"/>
                <w:lang w:eastAsia="en-AU"/>
              </w:rPr>
              <w:t>Energy flow to other TNSPs was found by summing up interconnector imports and exports to or from TransGrid’s network, irrespective of direction of flow. These are at Jindera-Wodonga, Buronga-Red Cliffs,</w:t>
            </w:r>
            <w:r w:rsidRPr="00354FB3">
              <w:rPr>
                <w:rFonts w:ascii="Arial" w:hAnsi="Arial" w:cs="Arial"/>
                <w:color w:val="auto"/>
                <w:sz w:val="18"/>
                <w:szCs w:val="18"/>
              </w:rPr>
              <w:t xml:space="preserve"> and Murray–Dederang to Victoria and QNI to Queensland.</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76B0C0C4" w14:textId="77777777" w:rsidR="008C4F3C" w:rsidRPr="007D7459" w:rsidRDefault="008C4F3C" w:rsidP="00E609CD">
            <w:pPr>
              <w:spacing w:line="360" w:lineRule="auto"/>
              <w:rPr>
                <w:rFonts w:ascii="Arial" w:hAnsi="Arial" w:cs="Arial"/>
                <w:color w:val="auto"/>
                <w:sz w:val="18"/>
                <w:szCs w:val="18"/>
              </w:rPr>
            </w:pPr>
            <w:r w:rsidRPr="006614EF">
              <w:rPr>
                <w:rFonts w:ascii="Arial" w:hAnsi="Arial" w:cs="Arial"/>
                <w:color w:val="auto"/>
                <w:sz w:val="18"/>
                <w:szCs w:val="18"/>
              </w:rPr>
              <w:t>DNSP transmission assets are not included in this calculation.</w:t>
            </w:r>
          </w:p>
        </w:tc>
      </w:tr>
      <w:tr w:rsidR="008670D7" w:rsidRPr="001E7278" w14:paraId="1EE61444" w14:textId="77777777" w:rsidTr="00525AE5">
        <w:trPr>
          <w:trHeight w:val="5865"/>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135F522"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TOPED0102 To Distribution networks</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7E09F270"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Energy supplied to the distribution networks has been taken to be the energy supplied to the distributors in NSW and the ACT.</w:t>
            </w:r>
          </w:p>
          <w:p w14:paraId="5EA6B1C4"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Energy supplied to customers directly connected via dedicated connections owned by third parties such as a DNSP are included in TOPED0103.</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3BFE8871"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2EC52188"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5BA42703"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This was calculated as the summation of energy flows leaving TransGrid’s network.</w:t>
            </w:r>
          </w:p>
          <w:p w14:paraId="4379784E"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Data have been obtained from revenue or statistical </w:t>
            </w:r>
            <w:proofErr w:type="gramStart"/>
            <w:r w:rsidRPr="00354FB3">
              <w:rPr>
                <w:rFonts w:ascii="Arial" w:hAnsi="Arial" w:cs="Arial"/>
                <w:color w:val="auto"/>
                <w:sz w:val="18"/>
                <w:szCs w:val="18"/>
              </w:rPr>
              <w:t>15 minute</w:t>
            </w:r>
            <w:proofErr w:type="gramEnd"/>
            <w:r w:rsidRPr="00354FB3">
              <w:rPr>
                <w:rFonts w:ascii="Arial" w:hAnsi="Arial" w:cs="Arial"/>
                <w:color w:val="auto"/>
                <w:sz w:val="18"/>
                <w:szCs w:val="18"/>
              </w:rPr>
              <w:t xml:space="preserve"> metering registrations. For each of the categories, those </w:t>
            </w:r>
            <w:proofErr w:type="gramStart"/>
            <w:r w:rsidRPr="00354FB3">
              <w:rPr>
                <w:rFonts w:ascii="Arial" w:hAnsi="Arial" w:cs="Arial"/>
                <w:color w:val="auto"/>
                <w:sz w:val="18"/>
                <w:szCs w:val="18"/>
              </w:rPr>
              <w:t>15 minute</w:t>
            </w:r>
            <w:proofErr w:type="gramEnd"/>
            <w:r w:rsidRPr="00354FB3">
              <w:rPr>
                <w:rFonts w:ascii="Arial" w:hAnsi="Arial" w:cs="Arial"/>
                <w:color w:val="auto"/>
                <w:sz w:val="18"/>
                <w:szCs w:val="18"/>
              </w:rPr>
              <w:t xml:space="preserve"> data have been summated to obtain figures for each regulatory (financial) year.</w:t>
            </w:r>
          </w:p>
          <w:p w14:paraId="2609167D"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Energy calculations involve spreadsheets which sum the </w:t>
            </w:r>
            <w:proofErr w:type="gramStart"/>
            <w:r w:rsidRPr="00354FB3">
              <w:rPr>
                <w:rFonts w:ascii="Arial" w:hAnsi="Arial" w:cs="Arial"/>
                <w:color w:val="auto"/>
                <w:sz w:val="18"/>
                <w:szCs w:val="18"/>
              </w:rPr>
              <w:t>15 minute</w:t>
            </w:r>
            <w:proofErr w:type="gramEnd"/>
            <w:r w:rsidRPr="00354FB3">
              <w:rPr>
                <w:rFonts w:ascii="Arial" w:hAnsi="Arial" w:cs="Arial"/>
                <w:color w:val="auto"/>
                <w:sz w:val="18"/>
                <w:szCs w:val="18"/>
              </w:rPr>
              <w:t xml:space="preserve"> registrations for the relevant period(s) and make any adjustments to achieve the appropriate units of measurement (for example, dividing by 1,000 to convert from kWh to MWh).</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45B07E32" w14:textId="77777777" w:rsidR="008C4F3C" w:rsidRPr="007D7459" w:rsidRDefault="008C4F3C" w:rsidP="00E609CD">
            <w:pPr>
              <w:spacing w:line="360" w:lineRule="auto"/>
              <w:rPr>
                <w:rFonts w:ascii="Arial" w:hAnsi="Arial" w:cs="Arial"/>
                <w:color w:val="auto"/>
                <w:sz w:val="18"/>
                <w:szCs w:val="18"/>
              </w:rPr>
            </w:pPr>
            <w:r w:rsidRPr="006614EF">
              <w:rPr>
                <w:rFonts w:ascii="Arial" w:hAnsi="Arial" w:cs="Arial"/>
                <w:color w:val="auto"/>
                <w:sz w:val="18"/>
                <w:szCs w:val="18"/>
              </w:rPr>
              <w:t>Energy supplied to the distribution networks has been taken to be the energy supplied to the distributors in NSW and the ACT, even though parts of Ausgrid’s and Essential Energy’s networks are considered to serve a transmission function.</w:t>
            </w:r>
          </w:p>
        </w:tc>
      </w:tr>
      <w:tr w:rsidR="008670D7" w:rsidRPr="001E7278" w14:paraId="6AED7621" w14:textId="77777777" w:rsidTr="00525AE5">
        <w:trPr>
          <w:trHeight w:val="1920"/>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BA42ED8"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TOPED0103 to TOPD0112 To directly connected end-users</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64A612DF"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Energy supplied to customers directly connected via dedicated connections owned by third parties such as a DNSP (excluding customers whose identity could be deduced from the voltage of supply – Reported in TOPED0102)</w:t>
            </w:r>
          </w:p>
          <w:p w14:paraId="522EDF56"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Aggregated data for customers supplied at 132 kV has been provided.</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6B3AB66A"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4674E7FC"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0DF4828B"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This was calculated as the energy flows to each of the industrial loads connected at 330kV, 220kV and 132 kV.</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7840D9B9"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Includes some industrial loads connected via dedicated feeders owned by DNSPs</w:t>
            </w:r>
          </w:p>
        </w:tc>
      </w:tr>
      <w:tr w:rsidR="008670D7" w:rsidRPr="001E7278" w14:paraId="37836AFF" w14:textId="77777777" w:rsidTr="00525AE5">
        <w:trPr>
          <w:trHeight w:val="1680"/>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2D9CDCB"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TOPED0113 Pumping and Power Station </w:t>
            </w:r>
            <w:proofErr w:type="spellStart"/>
            <w:r w:rsidRPr="00354FB3">
              <w:rPr>
                <w:rFonts w:ascii="Arial" w:hAnsi="Arial" w:cs="Arial"/>
                <w:color w:val="auto"/>
                <w:sz w:val="18"/>
                <w:szCs w:val="18"/>
              </w:rPr>
              <w:t>Auxillaries</w:t>
            </w:r>
            <w:proofErr w:type="spellEnd"/>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68B8BDAF"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Energy supplied to pumps and power station auxiliaries</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1251D3B8"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6833F7F5"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2CBC6219"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This was calculated as the energy flows to major pumps and generator </w:t>
            </w:r>
            <w:proofErr w:type="spellStart"/>
            <w:r w:rsidRPr="00354FB3">
              <w:rPr>
                <w:rFonts w:ascii="Arial" w:hAnsi="Arial" w:cs="Arial"/>
                <w:color w:val="auto"/>
                <w:sz w:val="18"/>
                <w:szCs w:val="18"/>
              </w:rPr>
              <w:t>auxillaries</w:t>
            </w:r>
            <w:proofErr w:type="spellEnd"/>
            <w:r w:rsidRPr="00354FB3">
              <w:rPr>
                <w:rFonts w:ascii="Arial" w:hAnsi="Arial" w:cs="Arial"/>
                <w:color w:val="auto"/>
                <w:sz w:val="18"/>
                <w:szCs w:val="18"/>
              </w:rPr>
              <w:t xml:space="preserve"> from the transmission network.</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520C28BB" w14:textId="77777777" w:rsidR="008C4F3C" w:rsidRPr="007D7459" w:rsidRDefault="008C4F3C" w:rsidP="00E609CD">
            <w:pPr>
              <w:spacing w:line="360" w:lineRule="auto"/>
              <w:rPr>
                <w:rFonts w:ascii="Arial" w:hAnsi="Arial" w:cs="Arial"/>
                <w:color w:val="auto"/>
                <w:sz w:val="18"/>
                <w:szCs w:val="18"/>
              </w:rPr>
            </w:pPr>
            <w:r>
              <w:rPr>
                <w:rFonts w:ascii="Arial" w:hAnsi="Arial" w:cs="Arial"/>
                <w:color w:val="auto"/>
                <w:sz w:val="18"/>
                <w:szCs w:val="18"/>
              </w:rPr>
              <w:t>None</w:t>
            </w:r>
          </w:p>
        </w:tc>
      </w:tr>
      <w:tr w:rsidR="008670D7" w:rsidRPr="001E7278" w14:paraId="2B064620" w14:textId="77777777" w:rsidTr="00525AE5">
        <w:trPr>
          <w:trHeight w:val="7368"/>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7AC830A" w14:textId="77777777" w:rsidR="008C4F3C" w:rsidRPr="00586221"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TOPED01 Total energy transported</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402BFEA2" w14:textId="77777777" w:rsidR="008C4F3C" w:rsidRPr="00586221"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The total (gross) energy delivered by TransGrid’s network at the locations where it connects to other party’s networks.</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72D46B2F"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5A20DE36"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39F9AC70"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Summation of metered energy delivered at the individual locations within each category.</w:t>
            </w:r>
          </w:p>
          <w:p w14:paraId="3A5910F7" w14:textId="77777777" w:rsidR="008C4F3C" w:rsidRPr="00586221"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TOPED0101 includes both exports from and imports to TransGrid’s network.</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05ECAA20" w14:textId="77777777" w:rsidR="008C4F3C" w:rsidRPr="006614EF" w:rsidRDefault="008C4F3C" w:rsidP="00E609CD">
            <w:pPr>
              <w:spacing w:line="360" w:lineRule="auto"/>
              <w:rPr>
                <w:rFonts w:ascii="Arial" w:hAnsi="Arial" w:cs="Arial"/>
                <w:color w:val="auto"/>
                <w:sz w:val="18"/>
                <w:szCs w:val="18"/>
              </w:rPr>
            </w:pPr>
            <w:r w:rsidRPr="006614EF">
              <w:rPr>
                <w:rFonts w:ascii="Arial" w:hAnsi="Arial" w:cs="Arial"/>
                <w:color w:val="auto"/>
                <w:sz w:val="18"/>
                <w:szCs w:val="18"/>
              </w:rPr>
              <w:t>Other connected networks have been taken to be interconnections to adjacent states.</w:t>
            </w:r>
          </w:p>
          <w:p w14:paraId="634751A8" w14:textId="77777777" w:rsidR="008C4F3C" w:rsidRPr="006614EF" w:rsidRDefault="008C4F3C" w:rsidP="00E609CD">
            <w:pPr>
              <w:spacing w:line="360" w:lineRule="auto"/>
              <w:rPr>
                <w:rFonts w:ascii="Arial" w:hAnsi="Arial" w:cs="Arial"/>
                <w:color w:val="auto"/>
                <w:sz w:val="18"/>
                <w:szCs w:val="18"/>
              </w:rPr>
            </w:pPr>
            <w:r w:rsidRPr="006614EF">
              <w:rPr>
                <w:rFonts w:ascii="Arial" w:hAnsi="Arial" w:cs="Arial"/>
                <w:color w:val="auto"/>
                <w:sz w:val="18"/>
                <w:szCs w:val="18"/>
              </w:rPr>
              <w:t>Distribution networks have been taken to be DNSP networks, even though some parts of those networks may serve a transmission function.</w:t>
            </w:r>
          </w:p>
          <w:p w14:paraId="42149789" w14:textId="77777777" w:rsidR="008C4F3C" w:rsidRPr="00586221" w:rsidRDefault="008C4F3C" w:rsidP="00E609CD">
            <w:pPr>
              <w:spacing w:line="360" w:lineRule="auto"/>
              <w:rPr>
                <w:rFonts w:ascii="Arial" w:hAnsi="Arial" w:cs="Arial"/>
                <w:color w:val="auto"/>
                <w:sz w:val="18"/>
                <w:szCs w:val="18"/>
              </w:rPr>
            </w:pPr>
            <w:r w:rsidRPr="006614EF">
              <w:rPr>
                <w:rFonts w:ascii="Arial" w:hAnsi="Arial" w:cs="Arial"/>
                <w:color w:val="auto"/>
                <w:sz w:val="18"/>
                <w:szCs w:val="18"/>
              </w:rPr>
              <w:t>End-use customers directly connected via dedicated assets owned by a third party have been taken to be “Directly connected end-users”.</w:t>
            </w:r>
          </w:p>
        </w:tc>
      </w:tr>
      <w:tr w:rsidR="008C4F3C" w:rsidRPr="001E7278" w14:paraId="31CBD779" w14:textId="77777777" w:rsidTr="00883C6C">
        <w:trPr>
          <w:trHeight w:val="345"/>
        </w:trPr>
        <w:tc>
          <w:tcPr>
            <w:tcW w:w="5000" w:type="pct"/>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ABD0DEC" w14:textId="77777777" w:rsidR="008C4F3C" w:rsidRPr="001E7278" w:rsidRDefault="008C4F3C" w:rsidP="00883C6C">
            <w:pPr>
              <w:spacing w:before="100" w:beforeAutospacing="1" w:after="100" w:afterAutospacing="1"/>
              <w:rPr>
                <w:rFonts w:ascii="Arial" w:hAnsi="Arial" w:cs="Arial"/>
                <w:b/>
                <w:bCs/>
                <w:color w:val="FFFFFF"/>
                <w:sz w:val="22"/>
                <w:szCs w:val="22"/>
              </w:rPr>
            </w:pPr>
            <w:r w:rsidRPr="001E7278">
              <w:rPr>
                <w:rFonts w:ascii="Arial" w:hAnsi="Arial" w:cs="Arial"/>
                <w:b/>
                <w:bCs/>
                <w:color w:val="FFFFFF"/>
                <w:sz w:val="22"/>
                <w:szCs w:val="22"/>
              </w:rPr>
              <w:t>3.4.2 CONNECTION POINTS</w:t>
            </w:r>
          </w:p>
        </w:tc>
      </w:tr>
      <w:tr w:rsidR="008C4F3C" w:rsidRPr="001E7278" w14:paraId="0E1965EC" w14:textId="77777777" w:rsidTr="00525AE5">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74161465" w14:textId="77777777" w:rsidR="008C4F3C" w:rsidRPr="001E7278" w:rsidRDefault="008C4F3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lastRenderedPageBreak/>
              <w:t>Number of entry points at each transmission voltage level</w:t>
            </w:r>
          </w:p>
        </w:tc>
      </w:tr>
      <w:tr w:rsidR="008670D7" w:rsidRPr="001E7278" w14:paraId="6D5533FC" w14:textId="77777777" w:rsidTr="00525AE5">
        <w:trPr>
          <w:trHeight w:val="848"/>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67D2B1"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TOPCP0101 to TOPCP0111 Number of entry points at each transmission voltage level</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4D0AC6D6"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This variable is interpreted as locations of connections between TransGrid’s network and generators at TransGrid’s network at locations that have a Transmission Node Identifier (TNI).</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317AE75F"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Based on AEMO TNIs, as described in their documents giving marginal loss factors</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530AE301"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63B37FBE"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At a particular location (such as a TransGrid substation):</w:t>
            </w:r>
          </w:p>
          <w:p w14:paraId="783888D1"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TNIs are taken to define the node, and connection points are counted at the nominal connection voltage</w:t>
            </w:r>
          </w:p>
          <w:p w14:paraId="2BE5B03D"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       Entry connections are generator only connections where TransGrid is the relevant TNSP.  </w:t>
            </w:r>
          </w:p>
          <w:p w14:paraId="25A6E6CF"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Bidirectional flows across connection points not associated with generators are not classified an entry point</w:t>
            </w:r>
          </w:p>
          <w:p w14:paraId="0EF15417"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 xml:space="preserve">·       Where there is more than one TNI having the same voltage designation (such as for supplies to different customers or multiple generator connection) only one is counted.  That is, there can only one connection point per voltage level at a particular </w:t>
            </w:r>
            <w:proofErr w:type="gramStart"/>
            <w:r w:rsidRPr="00354FB3">
              <w:rPr>
                <w:rFonts w:ascii="Arial" w:hAnsi="Arial" w:cs="Arial"/>
                <w:color w:val="auto"/>
                <w:sz w:val="18"/>
                <w:szCs w:val="18"/>
              </w:rPr>
              <w:t>location;</w:t>
            </w:r>
            <w:proofErr w:type="gramEnd"/>
          </w:p>
          <w:p w14:paraId="5B33B55E" w14:textId="77777777" w:rsidR="008C4F3C" w:rsidRPr="00354FB3"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       The voltage has been taken to be the designated voltage of the physical connection point associated with the TNI.</w:t>
            </w:r>
          </w:p>
          <w:p w14:paraId="69C1CE22"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t>The data for 2018-19 are the average of the numbers at the beginning and end of that financial year.</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4B0DD946"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TNIs which are not part of or directly connected to TransGrid’s network have been excluded.</w:t>
            </w:r>
          </w:p>
        </w:tc>
      </w:tr>
      <w:tr w:rsidR="008C4F3C" w:rsidRPr="001E7278" w14:paraId="4E32DADD" w14:textId="77777777" w:rsidTr="00525AE5">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78B8376A" w14:textId="77777777" w:rsidR="008C4F3C" w:rsidRPr="001E7278" w:rsidRDefault="008C4F3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lastRenderedPageBreak/>
              <w:t>Number of exit points at each transmission voltage level</w:t>
            </w:r>
          </w:p>
        </w:tc>
      </w:tr>
      <w:tr w:rsidR="008670D7" w:rsidRPr="001E7278" w14:paraId="5C8A5FBF" w14:textId="77777777" w:rsidTr="00525AE5">
        <w:trPr>
          <w:trHeight w:val="905"/>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00325C8"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TOPCP0201 to TOPCP0212 Number of exit points at each transmission voltage level</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63CD26CC"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xml:space="preserve">This variable is interpreted as locations of connections between TransGrid’s network and networks of other parties, where real power can flow directly out of TransGrid’s </w:t>
            </w:r>
            <w:proofErr w:type="gramStart"/>
            <w:r w:rsidRPr="00362B7D">
              <w:rPr>
                <w:rFonts w:ascii="Arial" w:hAnsi="Arial" w:cs="Arial"/>
                <w:color w:val="auto"/>
                <w:sz w:val="18"/>
                <w:szCs w:val="18"/>
              </w:rPr>
              <w:t>network</w:t>
            </w:r>
            <w:proofErr w:type="gramEnd"/>
            <w:r w:rsidRPr="00362B7D">
              <w:rPr>
                <w:rFonts w:ascii="Arial" w:hAnsi="Arial" w:cs="Arial"/>
                <w:color w:val="auto"/>
                <w:sz w:val="18"/>
                <w:szCs w:val="18"/>
              </w:rPr>
              <w:t xml:space="preserve"> and those locations have a Transmission Node Identifier (TNI).  </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50564257"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Based on AEMO TNIs, as described in their documents giving marginal loss factors</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183BE278"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4C6BC76C"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At a particular location (such as a TransGrid substation):</w:t>
            </w:r>
          </w:p>
          <w:p w14:paraId="5DCE4C0E"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TNIs are taken to define the node, and connection points are counted at the nominal connection voltage</w:t>
            </w:r>
          </w:p>
          <w:p w14:paraId="4E489C69"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xml:space="preserve">·          Entry connections are generator only connections where TransGrid is the relevant TNSP.  </w:t>
            </w:r>
          </w:p>
          <w:p w14:paraId="52A5547D"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Bidirectional flows across connection points not associated with generators are classified an exit point</w:t>
            </w:r>
          </w:p>
          <w:p w14:paraId="2BA73247"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lastRenderedPageBreak/>
              <w:t>·          Interconnectors are classified as exit points</w:t>
            </w:r>
          </w:p>
          <w:p w14:paraId="484092BA"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xml:space="preserve">·          Where there is more than one TNI having the same voltage designation (such as for supplies to different customers or multiple customer connections) only one is counted.  That is, there can only one connection point per voltage level at a particular </w:t>
            </w:r>
            <w:proofErr w:type="gramStart"/>
            <w:r w:rsidRPr="00362B7D">
              <w:rPr>
                <w:rFonts w:ascii="Arial" w:hAnsi="Arial" w:cs="Arial"/>
                <w:color w:val="auto"/>
                <w:sz w:val="18"/>
                <w:szCs w:val="18"/>
              </w:rPr>
              <w:t>location;</w:t>
            </w:r>
            <w:proofErr w:type="gramEnd"/>
          </w:p>
          <w:p w14:paraId="7049C79A" w14:textId="77777777" w:rsidR="008C4F3C" w:rsidRPr="00362B7D"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          The voltage has been taken to be the designated voltage of the physical connection point associated with the TNI.</w:t>
            </w:r>
          </w:p>
          <w:p w14:paraId="76BABD3F" w14:textId="74FB1BA9" w:rsidR="008670D7" w:rsidRDefault="008C4F3C" w:rsidP="00E609CD">
            <w:pPr>
              <w:spacing w:line="360" w:lineRule="auto"/>
              <w:rPr>
                <w:rFonts w:ascii="Arial" w:hAnsi="Arial" w:cs="Arial"/>
                <w:color w:val="auto"/>
                <w:sz w:val="18"/>
                <w:szCs w:val="18"/>
              </w:rPr>
            </w:pPr>
            <w:r w:rsidRPr="00362B7D">
              <w:rPr>
                <w:rFonts w:ascii="Arial" w:hAnsi="Arial" w:cs="Arial"/>
                <w:color w:val="auto"/>
                <w:sz w:val="18"/>
                <w:szCs w:val="18"/>
              </w:rPr>
              <w:t>The data for 2018-19 are the average of the numbers at the beginning and end of that financial year.</w:t>
            </w:r>
          </w:p>
          <w:p w14:paraId="597B5D93" w14:textId="72CAE4D9" w:rsidR="008670D7" w:rsidRPr="00362B7D" w:rsidRDefault="008670D7" w:rsidP="00E609CD">
            <w:pPr>
              <w:spacing w:line="360" w:lineRule="auto"/>
              <w:rPr>
                <w:rFonts w:ascii="Arial" w:hAnsi="Arial" w:cs="Arial"/>
                <w:color w:val="auto"/>
                <w:sz w:val="18"/>
                <w:szCs w:val="18"/>
              </w:rPr>
            </w:pP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6CC1A957" w14:textId="77777777" w:rsidR="008C4F3C" w:rsidRPr="007D7459" w:rsidRDefault="008C4F3C" w:rsidP="00E609CD">
            <w:pPr>
              <w:spacing w:line="360" w:lineRule="auto"/>
              <w:rPr>
                <w:rFonts w:ascii="Arial" w:hAnsi="Arial" w:cs="Arial"/>
                <w:color w:val="auto"/>
                <w:sz w:val="18"/>
                <w:szCs w:val="18"/>
              </w:rPr>
            </w:pPr>
            <w:r w:rsidRPr="00354FB3">
              <w:rPr>
                <w:rFonts w:ascii="Arial" w:hAnsi="Arial" w:cs="Arial"/>
                <w:color w:val="auto"/>
                <w:sz w:val="18"/>
                <w:szCs w:val="18"/>
              </w:rPr>
              <w:lastRenderedPageBreak/>
              <w:t>TNIs which are not part of or directly connected to TransGrid’s network have been excluded.</w:t>
            </w:r>
          </w:p>
        </w:tc>
      </w:tr>
      <w:tr w:rsidR="008C4F3C" w:rsidRPr="001E7278" w14:paraId="5481FC1E" w14:textId="77777777" w:rsidTr="00883C6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3880704" w14:textId="77777777" w:rsidR="008C4F3C" w:rsidRPr="001E7278" w:rsidRDefault="008C4F3C" w:rsidP="00883C6C">
            <w:pPr>
              <w:spacing w:before="100" w:beforeAutospacing="1" w:after="100" w:afterAutospacing="1"/>
              <w:rPr>
                <w:rFonts w:ascii="Arial" w:hAnsi="Arial" w:cs="Arial"/>
                <w:b/>
                <w:bCs/>
                <w:color w:val="FFFFFF"/>
                <w:sz w:val="22"/>
                <w:szCs w:val="22"/>
              </w:rPr>
            </w:pPr>
            <w:r w:rsidRPr="001E7278">
              <w:rPr>
                <w:rFonts w:ascii="Arial" w:hAnsi="Arial" w:cs="Arial"/>
                <w:b/>
                <w:bCs/>
                <w:color w:val="FFFFFF"/>
                <w:sz w:val="22"/>
                <w:szCs w:val="22"/>
              </w:rPr>
              <w:t>3.4.3 SYSTEM DEMAND</w:t>
            </w:r>
          </w:p>
        </w:tc>
      </w:tr>
      <w:tr w:rsidR="008C4F3C" w:rsidRPr="001E7278" w14:paraId="5B9D95EE" w14:textId="77777777" w:rsidTr="00525AE5">
        <w:trPr>
          <w:trHeight w:val="240"/>
        </w:trPr>
        <w:tc>
          <w:tcPr>
            <w:tcW w:w="5000"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9B1F8AC" w14:textId="77777777" w:rsidR="008C4F3C" w:rsidRPr="001E7278" w:rsidRDefault="008C4F3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t>3.4.3.1 - Annual system maximum demand characteristics – MW measure</w:t>
            </w:r>
          </w:p>
        </w:tc>
      </w:tr>
      <w:tr w:rsidR="008670D7" w:rsidRPr="001E7278" w14:paraId="01531D77" w14:textId="77777777" w:rsidTr="00525AE5">
        <w:trPr>
          <w:trHeight w:val="3075"/>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478DB52F"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lastRenderedPageBreak/>
              <w:t>TOPSD0101 Transmission System coincident maximum demand</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226CB13B" w14:textId="77777777" w:rsidR="008C4F3C" w:rsidRPr="00586221"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Raw network demand only in TransGrid’s bulk supply points (BSPs) over rolling half hour periods on an as-delivered basis considered in identifying MD.</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3ED7E027"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7ABF0916"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0DCC97CB"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Transmission system coincident MD in TransGrid’s network is calculated as the maximum of the summated rolling half hour period demands for </w:t>
            </w:r>
            <w:proofErr w:type="gramStart"/>
            <w:r w:rsidRPr="00793FCB">
              <w:rPr>
                <w:rFonts w:ascii="Arial" w:hAnsi="Arial" w:cs="Arial"/>
                <w:color w:val="auto"/>
                <w:sz w:val="18"/>
                <w:szCs w:val="18"/>
              </w:rPr>
              <w:t>each and every</w:t>
            </w:r>
            <w:proofErr w:type="gramEnd"/>
            <w:r w:rsidRPr="00793FCB">
              <w:rPr>
                <w:rFonts w:ascii="Arial" w:hAnsi="Arial" w:cs="Arial"/>
                <w:color w:val="auto"/>
                <w:sz w:val="18"/>
                <w:szCs w:val="18"/>
              </w:rPr>
              <w:t xml:space="preserve"> BSP and other locations within TransGrid’s network. All half hours per</w:t>
            </w:r>
            <w:r>
              <w:rPr>
                <w:rFonts w:ascii="Arial" w:hAnsi="Arial" w:cs="Arial"/>
                <w:color w:val="auto"/>
                <w:sz w:val="18"/>
                <w:szCs w:val="18"/>
              </w:rPr>
              <w:t>iods for all days within FY 2020-21</w:t>
            </w:r>
            <w:r w:rsidRPr="00793FCB">
              <w:rPr>
                <w:rFonts w:ascii="Arial" w:hAnsi="Arial" w:cs="Arial"/>
                <w:color w:val="auto"/>
                <w:sz w:val="18"/>
                <w:szCs w:val="18"/>
              </w:rPr>
              <w:t xml:space="preserve"> have been considered for calculation of this variable.</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7CE7F187"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Reported to three significant figures</w:t>
            </w:r>
          </w:p>
          <w:p w14:paraId="6929BD61"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Raw network demand only in TransGrid’s BSPs over rolling half hour periods on an as-delivered basis considered in identifying MD.</w:t>
            </w:r>
          </w:p>
        </w:tc>
      </w:tr>
      <w:tr w:rsidR="008670D7" w:rsidRPr="001E7278" w14:paraId="44714E76" w14:textId="77777777" w:rsidTr="00525AE5">
        <w:trPr>
          <w:trHeight w:val="848"/>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6C9E0EEE"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TOPSD0102 Transmission System coincident weather adjusted maximum demand 10%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06AFC337" w14:textId="77777777" w:rsidR="008C4F3C" w:rsidRPr="00586221"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This is the network coincident maximum demand with weather correction applied to the raw maximum demand to obtain a 10% POE maximum demand</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1FE0D2A6"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0EFDF097"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3F0392DE"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(TG NSW Region 10% POE/TG NSW Region RAW MD) x TransGrid RAW MD</w:t>
            </w:r>
          </w:p>
          <w:p w14:paraId="07262977"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a)     TransGrid RAW MD is the TransGrid raw network coincident MD</w:t>
            </w:r>
          </w:p>
          <w:p w14:paraId="5E117366"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b)     TG NSW Region RAW MD is the NSW+ACT raw MD as reported by TG </w:t>
            </w:r>
            <w:r>
              <w:rPr>
                <w:rFonts w:ascii="Arial" w:hAnsi="Arial" w:cs="Arial"/>
                <w:color w:val="auto"/>
                <w:sz w:val="18"/>
                <w:szCs w:val="18"/>
              </w:rPr>
              <w:t>TAPR 2021</w:t>
            </w:r>
            <w:r w:rsidRPr="00793FCB">
              <w:rPr>
                <w:rFonts w:ascii="Arial" w:hAnsi="Arial" w:cs="Arial"/>
                <w:color w:val="auto"/>
                <w:sz w:val="18"/>
                <w:szCs w:val="18"/>
              </w:rPr>
              <w:t>, and</w:t>
            </w:r>
          </w:p>
          <w:p w14:paraId="5E850098"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c)     TG NSW Region 10% POE is the 10% POE MD for NSW Region</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2F74C0AE"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 has started producing weather corrected maximum demands for the NSW Region (NSW+ACT).</w:t>
            </w:r>
          </w:p>
          <w:p w14:paraId="2D10978C"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The source data (TransGrid RAW MD) is based on the TUOS billing system, and the weather correction from TransGrid's NSW Region Model.</w:t>
            </w:r>
          </w:p>
          <w:p w14:paraId="7092A282" w14:textId="77777777" w:rsidR="008C4F3C" w:rsidRPr="00586221"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The response is materially dependent on the assumption that there is a </w:t>
            </w:r>
            <w:r w:rsidRPr="00793FCB">
              <w:rPr>
                <w:rFonts w:ascii="Arial" w:hAnsi="Arial" w:cs="Arial"/>
                <w:color w:val="auto"/>
                <w:sz w:val="18"/>
                <w:szCs w:val="18"/>
              </w:rPr>
              <w:lastRenderedPageBreak/>
              <w:t>consistent relationship between the native maximum demand of the NSW region of the NEM and the gross maximum demand delivered by TransGrid’s network.</w:t>
            </w:r>
          </w:p>
        </w:tc>
      </w:tr>
      <w:tr w:rsidR="008670D7" w:rsidRPr="001E7278" w14:paraId="5917AE72" w14:textId="77777777" w:rsidTr="00525AE5">
        <w:trPr>
          <w:trHeight w:val="564"/>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49DBDACF"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lastRenderedPageBreak/>
              <w:t>TOPSD0103 Transmission System coincident weather adjusted maximum demand 50%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12661E27"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This is the network coincident maximum demand with weather correction applied to the raw maximum demand to obtain a 50% POE maximum demand</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729F87AB"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6D24B297"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33E43448"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(TG NSW Region 50% POE/TG NSW Region RAW MD) x TransGrid RAW MD</w:t>
            </w:r>
          </w:p>
          <w:p w14:paraId="54B67783"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a)     TransGrid RAW MD is the TransGrid raw network coincident MD</w:t>
            </w:r>
          </w:p>
          <w:p w14:paraId="7713AFC2"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b)     TG NSW Region RAW MD is the NSW+ACT raw MD as reported by TG </w:t>
            </w:r>
            <w:r>
              <w:rPr>
                <w:rFonts w:ascii="Arial" w:hAnsi="Arial" w:cs="Arial"/>
                <w:color w:val="auto"/>
                <w:sz w:val="18"/>
                <w:szCs w:val="18"/>
              </w:rPr>
              <w:t>TAPR 2021</w:t>
            </w:r>
            <w:r w:rsidRPr="00793FCB">
              <w:rPr>
                <w:rFonts w:ascii="Arial" w:hAnsi="Arial" w:cs="Arial"/>
                <w:color w:val="auto"/>
                <w:sz w:val="18"/>
                <w:szCs w:val="18"/>
              </w:rPr>
              <w:t>, and</w:t>
            </w:r>
          </w:p>
          <w:p w14:paraId="494A9724"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c)     TG NSW Region 50% POE is the 50% POE MD for NSW Region</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4D952F0C"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 has started producing weather corrected maximum demands for the NSW Region (NSW+ACT).</w:t>
            </w:r>
          </w:p>
          <w:p w14:paraId="6F3AB992"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The source data (TransGrid RAW MD) is based on the TUOS billing system, and the weather correction from TransGrid's NSW Region Model.</w:t>
            </w:r>
          </w:p>
          <w:p w14:paraId="3AEE0A8E"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The response is materially dependent on the assumption that there is a consistent relationship between the native </w:t>
            </w:r>
            <w:r w:rsidRPr="00793FCB">
              <w:rPr>
                <w:rFonts w:ascii="Arial" w:hAnsi="Arial" w:cs="Arial"/>
                <w:color w:val="auto"/>
                <w:sz w:val="18"/>
                <w:szCs w:val="18"/>
              </w:rPr>
              <w:lastRenderedPageBreak/>
              <w:t>maximum demand of the NSW region of the NEM and the gross maximum demand delivered by TransGrid’s network.</w:t>
            </w:r>
          </w:p>
        </w:tc>
      </w:tr>
      <w:tr w:rsidR="008670D7" w:rsidRPr="001E7278" w14:paraId="49908F90" w14:textId="77777777" w:rsidTr="00525AE5">
        <w:trPr>
          <w:trHeight w:val="3105"/>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7C8C227A"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lastRenderedPageBreak/>
              <w:t>TOPSD0104 Transmission System non-coincident summated maximum demand</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2713A512" w14:textId="7917B54A" w:rsidR="008C4F3C" w:rsidRPr="007D7459" w:rsidRDefault="004F52CC" w:rsidP="00E609CD">
            <w:pPr>
              <w:spacing w:line="360" w:lineRule="auto"/>
              <w:rPr>
                <w:rFonts w:ascii="Arial" w:hAnsi="Arial" w:cs="Arial"/>
                <w:color w:val="auto"/>
                <w:sz w:val="18"/>
                <w:szCs w:val="18"/>
              </w:rPr>
            </w:pPr>
            <w:r>
              <w:rPr>
                <w:rFonts w:ascii="Arial" w:hAnsi="Arial" w:cs="Arial"/>
                <w:color w:val="auto"/>
                <w:sz w:val="18"/>
                <w:szCs w:val="18"/>
              </w:rPr>
              <w:t xml:space="preserve">This is the summation of </w:t>
            </w:r>
            <w:r w:rsidR="008C4F3C" w:rsidRPr="00DB306E">
              <w:rPr>
                <w:rFonts w:ascii="Arial" w:hAnsi="Arial" w:cs="Arial"/>
                <w:color w:val="auto"/>
                <w:sz w:val="18"/>
                <w:szCs w:val="18"/>
              </w:rPr>
              <w:t>raw maximum demands at TransGrid’s downstream connection and supply locations irrespective of when they occur in the year.</w:t>
            </w:r>
          </w:p>
        </w:tc>
        <w:tc>
          <w:tcPr>
            <w:tcW w:w="941" w:type="pct"/>
            <w:tcBorders>
              <w:top w:val="single" w:sz="4" w:space="0" w:color="auto"/>
              <w:left w:val="nil"/>
              <w:bottom w:val="single" w:sz="4" w:space="0" w:color="auto"/>
              <w:right w:val="single" w:sz="4" w:space="0" w:color="auto"/>
            </w:tcBorders>
            <w:shd w:val="clear" w:color="auto" w:fill="EBF1DE"/>
            <w:noWrap/>
            <w:vAlign w:val="center"/>
            <w:hideMark/>
          </w:tcPr>
          <w:p w14:paraId="37B07C08"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auto" w:fill="EBF1DE"/>
            <w:noWrap/>
            <w:vAlign w:val="center"/>
            <w:hideMark/>
          </w:tcPr>
          <w:p w14:paraId="0893063E"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No</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0B632901"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 xml:space="preserve">Transmission system non-coincident summated MD in TransGrid’s network is calculated as the summated rolling half hour period local maximum demands for </w:t>
            </w:r>
            <w:proofErr w:type="gramStart"/>
            <w:r w:rsidRPr="00DB306E">
              <w:rPr>
                <w:rFonts w:ascii="Arial" w:hAnsi="Arial" w:cs="Arial"/>
                <w:color w:val="auto"/>
                <w:sz w:val="18"/>
                <w:szCs w:val="18"/>
              </w:rPr>
              <w:t>each and every</w:t>
            </w:r>
            <w:proofErr w:type="gramEnd"/>
            <w:r w:rsidRPr="00DB306E">
              <w:rPr>
                <w:rFonts w:ascii="Arial" w:hAnsi="Arial" w:cs="Arial"/>
                <w:color w:val="auto"/>
                <w:sz w:val="18"/>
                <w:szCs w:val="18"/>
              </w:rPr>
              <w:t xml:space="preserve"> BSP and other locations within TransGrid’s network. All half hours per</w:t>
            </w:r>
            <w:r>
              <w:rPr>
                <w:rFonts w:ascii="Arial" w:hAnsi="Arial" w:cs="Arial"/>
                <w:color w:val="auto"/>
                <w:sz w:val="18"/>
                <w:szCs w:val="18"/>
              </w:rPr>
              <w:t>iods for all days within FY 2020-21</w:t>
            </w:r>
            <w:r w:rsidRPr="00DB306E">
              <w:rPr>
                <w:rFonts w:ascii="Arial" w:hAnsi="Arial" w:cs="Arial"/>
                <w:color w:val="auto"/>
                <w:sz w:val="18"/>
                <w:szCs w:val="18"/>
              </w:rPr>
              <w:t xml:space="preserve"> have been considered for calculation of this variable.</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7628D2D8" w14:textId="77777777" w:rsidR="008C4F3C" w:rsidRPr="00793FCB"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It has been assumed that all components of this total are to be calculated on a consistent basis, </w:t>
            </w:r>
            <w:proofErr w:type="gramStart"/>
            <w:r w:rsidRPr="00793FCB">
              <w:rPr>
                <w:rFonts w:ascii="Arial" w:hAnsi="Arial" w:cs="Arial"/>
                <w:color w:val="auto"/>
                <w:sz w:val="18"/>
                <w:szCs w:val="18"/>
              </w:rPr>
              <w:t>i.e.</w:t>
            </w:r>
            <w:proofErr w:type="gramEnd"/>
            <w:r w:rsidRPr="00793FCB">
              <w:rPr>
                <w:rFonts w:ascii="Arial" w:hAnsi="Arial" w:cs="Arial"/>
                <w:color w:val="auto"/>
                <w:sz w:val="18"/>
                <w:szCs w:val="18"/>
              </w:rPr>
              <w:t xml:space="preserve"> on an “as delivered” basis.</w:t>
            </w:r>
          </w:p>
          <w:p w14:paraId="172D8D40"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Reported to three significant figures.</w:t>
            </w:r>
          </w:p>
        </w:tc>
      </w:tr>
      <w:tr w:rsidR="008670D7" w:rsidRPr="001E7278" w14:paraId="42D8BA45" w14:textId="77777777" w:rsidTr="00525AE5">
        <w:trPr>
          <w:trHeight w:val="441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49E073CF"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lastRenderedPageBreak/>
              <w:t>TOPSD0105 Transmission System non-coincident weather adjusted summated maximum demand 10%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42C7A6A3"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This is the summation of the weather corrected MD at TransGrid’s Down-stream connection and supply locations at the 10 % POE level irrespective of when they occur in the year.</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00509E46"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TransGrid’s TUOS billing system, AEMO</w:t>
            </w:r>
            <w:r>
              <w:rPr>
                <w:rFonts w:ascii="Arial" w:hAnsi="Arial" w:cs="Arial"/>
                <w:color w:val="auto"/>
                <w:sz w:val="18"/>
                <w:szCs w:val="18"/>
              </w:rPr>
              <w:t xml:space="preserve"> Connection Point forecasts 2020</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2FD49BDA"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0A6BCB6C"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maximum demand for each BSP is calculated using:</w:t>
            </w:r>
          </w:p>
          <w:p w14:paraId="784602AE" w14:textId="52071AEB"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(AEMO BSP 10% POE/AEMO BSP RAW MD) x TransGrid adjusted BSP MD</w:t>
            </w:r>
          </w:p>
          <w:p w14:paraId="30E1CB77"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 xml:space="preserve">Where: </w:t>
            </w:r>
          </w:p>
          <w:p w14:paraId="6147709E"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a)  </w:t>
            </w:r>
            <w:proofErr w:type="gramStart"/>
            <w:r w:rsidRPr="00DB306E">
              <w:rPr>
                <w:rFonts w:ascii="Arial" w:hAnsi="Arial" w:cs="Arial"/>
                <w:color w:val="auto"/>
                <w:sz w:val="18"/>
                <w:szCs w:val="18"/>
              </w:rPr>
              <w:t>   “</w:t>
            </w:r>
            <w:proofErr w:type="gramEnd"/>
            <w:r w:rsidRPr="00DB306E">
              <w:rPr>
                <w:rFonts w:ascii="Arial" w:hAnsi="Arial" w:cs="Arial"/>
                <w:color w:val="auto"/>
                <w:sz w:val="18"/>
                <w:szCs w:val="18"/>
              </w:rPr>
              <w:t>TransGrid adjusted BSP MD” refers to the raw adjusted MD for each BSP in the schedule</w:t>
            </w:r>
          </w:p>
          <w:p w14:paraId="0CB835D1"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b)     AEMO BSP RAW MD is the bulk supply point/connection point raw MD as reported by AEMO; and</w:t>
            </w:r>
          </w:p>
          <w:p w14:paraId="11F5534B"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c)     AEMO BSP 10% POE is the bulk supply point/connection point 10% POE MD as reported by AEMO.</w:t>
            </w:r>
          </w:p>
          <w:p w14:paraId="0B8918D9"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figure is adjusted (as per CA RIN 5.4) for load transfers where appropriate. For certain industrial loads, no weather correction is made, as loads are not weather dependent.</w:t>
            </w:r>
          </w:p>
          <w:p w14:paraId="258B03F1"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lastRenderedPageBreak/>
              <w:t>The corrected (non-coincident) maximum demand for each bulk supply point and other locations was then summed to obtain this variable.</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6122F67C"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lastRenderedPageBreak/>
              <w:t>TransGrid does not produce weather corrected maximum demands for individual BSPs.</w:t>
            </w:r>
          </w:p>
          <w:p w14:paraId="1556ED42"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source data is based on TUOS billing sy</w:t>
            </w:r>
            <w:r>
              <w:rPr>
                <w:rFonts w:ascii="Arial" w:hAnsi="Arial" w:cs="Arial"/>
                <w:color w:val="auto"/>
                <w:sz w:val="18"/>
                <w:szCs w:val="18"/>
              </w:rPr>
              <w:t>stem and 2020</w:t>
            </w:r>
            <w:r w:rsidRPr="00DB306E">
              <w:rPr>
                <w:rFonts w:ascii="Arial" w:hAnsi="Arial" w:cs="Arial"/>
                <w:color w:val="auto"/>
                <w:sz w:val="18"/>
                <w:szCs w:val="18"/>
              </w:rPr>
              <w:t xml:space="preserve"> AEMO Connection Point Forecast data containing weather corrected and raw maximum demand data.</w:t>
            </w:r>
          </w:p>
        </w:tc>
      </w:tr>
      <w:tr w:rsidR="008670D7" w:rsidRPr="001E7278" w14:paraId="5519368B" w14:textId="77777777" w:rsidTr="00525AE5">
        <w:trPr>
          <w:trHeight w:val="2039"/>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0F6EB2E0" w14:textId="77777777" w:rsidR="008C4F3C" w:rsidRPr="007D7459" w:rsidRDefault="008C4F3C" w:rsidP="00E609CD">
            <w:pPr>
              <w:spacing w:line="360" w:lineRule="auto"/>
              <w:rPr>
                <w:rFonts w:ascii="Arial" w:hAnsi="Arial" w:cs="Arial"/>
                <w:color w:val="auto"/>
                <w:sz w:val="18"/>
                <w:szCs w:val="18"/>
              </w:rPr>
            </w:pPr>
            <w:r w:rsidRPr="00793FCB">
              <w:rPr>
                <w:rFonts w:ascii="Arial" w:hAnsi="Arial" w:cs="Arial"/>
                <w:color w:val="auto"/>
                <w:sz w:val="18"/>
                <w:szCs w:val="18"/>
              </w:rPr>
              <w:t xml:space="preserve">TOPSD0106 Transmission System non-coincident weather adjusted summated maximum </w:t>
            </w:r>
            <w:r w:rsidRPr="00793FCB">
              <w:rPr>
                <w:rFonts w:ascii="Arial" w:hAnsi="Arial" w:cs="Arial"/>
                <w:color w:val="auto"/>
                <w:sz w:val="18"/>
                <w:szCs w:val="18"/>
              </w:rPr>
              <w:lastRenderedPageBreak/>
              <w:t>demand 50%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24D0EBA1"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lastRenderedPageBreak/>
              <w:t>This is the summation of the weather corrected MD at TransGrid’s Down-stream connection and supply locations at the 50 % POE level irrespective of when they occur in the year.</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7DEC586D"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TransGrid’s TUOS billing system, AEMO</w:t>
            </w:r>
            <w:r>
              <w:rPr>
                <w:rFonts w:ascii="Arial" w:hAnsi="Arial" w:cs="Arial"/>
                <w:color w:val="auto"/>
                <w:sz w:val="18"/>
                <w:szCs w:val="18"/>
              </w:rPr>
              <w:t xml:space="preserve"> Connection Point forecasts 2020</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6F093EBD" w14:textId="77777777" w:rsidR="008C4F3C" w:rsidRPr="007D7459" w:rsidRDefault="008C4F3C" w:rsidP="00E609CD">
            <w:pPr>
              <w:spacing w:line="360" w:lineRule="auto"/>
              <w:rPr>
                <w:rFonts w:ascii="Arial" w:hAnsi="Arial" w:cs="Arial"/>
                <w:color w:val="auto"/>
                <w:sz w:val="18"/>
                <w:szCs w:val="18"/>
              </w:rPr>
            </w:pPr>
            <w:r w:rsidRPr="007D7459">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50B8BD4A"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maximum demand for each BSP is calculated using:</w:t>
            </w:r>
          </w:p>
          <w:p w14:paraId="47BFA380" w14:textId="304B40F1"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(AEMO BSP 50% POE/AEMO BSP RAW MD) x TransGrid adjusted BSP MD</w:t>
            </w:r>
          </w:p>
          <w:p w14:paraId="1DF03F31"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 xml:space="preserve">Where: </w:t>
            </w:r>
          </w:p>
          <w:p w14:paraId="24B4FE8A"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lastRenderedPageBreak/>
              <w:t>a)  </w:t>
            </w:r>
            <w:proofErr w:type="gramStart"/>
            <w:r w:rsidRPr="00DB306E">
              <w:rPr>
                <w:rFonts w:ascii="Arial" w:hAnsi="Arial" w:cs="Arial"/>
                <w:color w:val="auto"/>
                <w:sz w:val="18"/>
                <w:szCs w:val="18"/>
              </w:rPr>
              <w:t>   “</w:t>
            </w:r>
            <w:proofErr w:type="gramEnd"/>
            <w:r w:rsidRPr="00DB306E">
              <w:rPr>
                <w:rFonts w:ascii="Arial" w:hAnsi="Arial" w:cs="Arial"/>
                <w:color w:val="auto"/>
                <w:sz w:val="18"/>
                <w:szCs w:val="18"/>
              </w:rPr>
              <w:t>TransGrid adjusted BSP MD” refers to the raw adjusted MD for each BSP in the schedule</w:t>
            </w:r>
          </w:p>
          <w:p w14:paraId="4E95AF67"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b)     AEMO BSP RAW MD is the bulk supply point/connection point raw MD as reported by AEMO; and</w:t>
            </w:r>
          </w:p>
          <w:p w14:paraId="5F76CFE4"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c)     AEMO BSP 50% POE is the bulk supply point/connection point 50% POE MD as reported by AEMO.</w:t>
            </w:r>
          </w:p>
          <w:p w14:paraId="6C1256FC"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figure is adjusted (as per CA RIN 5.4) for load transfers where appropriate. For certain industrial loads, no weather correction is made, as loads are not weather dependent.</w:t>
            </w:r>
          </w:p>
          <w:p w14:paraId="169FF6BD"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corrected (non-coincident) maximum demand for each bulk supply point and other locations was then summed to obtain this variable.</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11C96770" w14:textId="77777777" w:rsidR="008C4F3C" w:rsidRPr="00DB306E"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lastRenderedPageBreak/>
              <w:t>TransGrid does not produce weather corrected maximum demands for individual BSPs.</w:t>
            </w:r>
          </w:p>
          <w:p w14:paraId="7691DEB1" w14:textId="77777777" w:rsidR="008C4F3C" w:rsidRPr="007D7459" w:rsidRDefault="008C4F3C" w:rsidP="00E609CD">
            <w:pPr>
              <w:spacing w:line="360" w:lineRule="auto"/>
              <w:rPr>
                <w:rFonts w:ascii="Arial" w:hAnsi="Arial" w:cs="Arial"/>
                <w:color w:val="auto"/>
                <w:sz w:val="18"/>
                <w:szCs w:val="18"/>
              </w:rPr>
            </w:pPr>
            <w:r w:rsidRPr="00DB306E">
              <w:rPr>
                <w:rFonts w:ascii="Arial" w:hAnsi="Arial" w:cs="Arial"/>
                <w:color w:val="auto"/>
                <w:sz w:val="18"/>
                <w:szCs w:val="18"/>
              </w:rPr>
              <w:t>The source data is based</w:t>
            </w:r>
            <w:r>
              <w:rPr>
                <w:rFonts w:ascii="Arial" w:hAnsi="Arial" w:cs="Arial"/>
                <w:color w:val="auto"/>
                <w:sz w:val="18"/>
                <w:szCs w:val="18"/>
              </w:rPr>
              <w:t xml:space="preserve"> on TUOS billing system and 2020</w:t>
            </w:r>
            <w:r w:rsidRPr="00DB306E">
              <w:rPr>
                <w:rFonts w:ascii="Arial" w:hAnsi="Arial" w:cs="Arial"/>
                <w:color w:val="auto"/>
                <w:sz w:val="18"/>
                <w:szCs w:val="18"/>
              </w:rPr>
              <w:t xml:space="preserve"> AEMO Connection Point Forecast data containing weather corrected </w:t>
            </w:r>
            <w:r w:rsidRPr="00DB306E">
              <w:rPr>
                <w:rFonts w:ascii="Arial" w:hAnsi="Arial" w:cs="Arial"/>
                <w:color w:val="auto"/>
                <w:sz w:val="18"/>
                <w:szCs w:val="18"/>
              </w:rPr>
              <w:lastRenderedPageBreak/>
              <w:t>and raw maximum demand data.</w:t>
            </w:r>
          </w:p>
        </w:tc>
      </w:tr>
      <w:tr w:rsidR="008C4F3C" w:rsidRPr="001E7278" w14:paraId="2E910861" w14:textId="77777777" w:rsidTr="003C46F5">
        <w:trPr>
          <w:trHeight w:val="405"/>
        </w:trPr>
        <w:tc>
          <w:tcPr>
            <w:tcW w:w="5000" w:type="pct"/>
            <w:gridSpan w:val="6"/>
            <w:tcBorders>
              <w:top w:val="single" w:sz="4" w:space="0" w:color="auto"/>
              <w:left w:val="single" w:sz="4" w:space="0" w:color="auto"/>
              <w:bottom w:val="single" w:sz="4" w:space="0" w:color="auto"/>
              <w:right w:val="single" w:sz="4" w:space="0" w:color="auto"/>
            </w:tcBorders>
            <w:shd w:val="clear" w:color="auto" w:fill="89AB22" w:themeFill="accent2" w:themeFillShade="BF"/>
            <w:vAlign w:val="center"/>
            <w:hideMark/>
          </w:tcPr>
          <w:p w14:paraId="434E5148" w14:textId="77777777" w:rsidR="008C4F3C" w:rsidRPr="001E7278" w:rsidRDefault="008C4F3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lastRenderedPageBreak/>
              <w:t>3.4.3.2 - Annual system maximum demand characteristics – MVA measure</w:t>
            </w:r>
          </w:p>
        </w:tc>
      </w:tr>
      <w:tr w:rsidR="008670D7" w:rsidRPr="001E7278" w14:paraId="7589620B" w14:textId="77777777" w:rsidTr="00525AE5">
        <w:trPr>
          <w:trHeight w:val="171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0CFB472F"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lastRenderedPageBreak/>
              <w:t>TOPSD0201 Transmission System coincident maximum demand</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1EE696AA"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This is the network coincident raw maximum </w:t>
            </w:r>
            <w:proofErr w:type="gramStart"/>
            <w:r w:rsidRPr="00282555">
              <w:rPr>
                <w:rFonts w:ascii="Arial" w:hAnsi="Arial" w:cs="Arial"/>
                <w:color w:val="auto"/>
                <w:sz w:val="18"/>
                <w:szCs w:val="18"/>
              </w:rPr>
              <w:t>demand ,</w:t>
            </w:r>
            <w:proofErr w:type="gramEnd"/>
            <w:r w:rsidRPr="00282555">
              <w:rPr>
                <w:rFonts w:ascii="Arial" w:hAnsi="Arial" w:cs="Arial"/>
                <w:color w:val="auto"/>
                <w:sz w:val="18"/>
                <w:szCs w:val="18"/>
              </w:rPr>
              <w:t xml:space="preserv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0F2EC144" w14:textId="77777777" w:rsidR="008C4F3C" w:rsidRPr="00586221" w:rsidRDefault="008C4F3C" w:rsidP="00E609CD">
            <w:pPr>
              <w:spacing w:line="360" w:lineRule="auto"/>
              <w:rPr>
                <w:rFonts w:ascii="Arial" w:hAnsi="Arial" w:cs="Arial"/>
                <w:color w:val="auto"/>
                <w:sz w:val="18"/>
                <w:szCs w:val="18"/>
              </w:rPr>
            </w:pPr>
            <w:r>
              <w:rPr>
                <w:rFonts w:ascii="Arial" w:hAnsi="Arial" w:cs="Arial"/>
                <w:color w:val="000000"/>
                <w:sz w:val="18"/>
                <w:szCs w:val="18"/>
              </w:rPr>
              <w:t>Variables:</w:t>
            </w:r>
            <w:r>
              <w:rPr>
                <w:rFonts w:ascii="Arial" w:hAnsi="Arial" w:cs="Arial"/>
                <w:color w:val="000000"/>
                <w:sz w:val="18"/>
                <w:szCs w:val="18"/>
              </w:rPr>
              <w:br/>
              <w:t>TOPSD0101</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0FB90873"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4885E6D7"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Divide Transmission System Coincident Maximum Demand MW number (TOPSD0101) by Average Overall Network Power Factor (TOPSD0301) for conversion to MVA.</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53F58F62"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Accuracy is limited by the uncertainty inherent in the calculation of the average power factor.</w:t>
            </w:r>
          </w:p>
          <w:p w14:paraId="0E8A952C"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Refer to ‘Note to TOPSD0201 and TOPSD0301‘</w:t>
            </w:r>
          </w:p>
        </w:tc>
      </w:tr>
      <w:tr w:rsidR="008670D7" w:rsidRPr="001E7278" w14:paraId="19EA1381" w14:textId="77777777" w:rsidTr="00525AE5">
        <w:trPr>
          <w:trHeight w:val="138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32832E84"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TOPSD0202 Transmission System coincident weather adjusted maximum demand 10%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6D9C54CB"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This is the </w:t>
            </w:r>
            <w:proofErr w:type="spellStart"/>
            <w:r w:rsidRPr="00282555">
              <w:rPr>
                <w:rFonts w:ascii="Arial" w:hAnsi="Arial" w:cs="Arial"/>
                <w:color w:val="auto"/>
                <w:sz w:val="18"/>
                <w:szCs w:val="18"/>
              </w:rPr>
              <w:t>the</w:t>
            </w:r>
            <w:proofErr w:type="spellEnd"/>
            <w:r w:rsidRPr="00282555">
              <w:rPr>
                <w:rFonts w:ascii="Arial" w:hAnsi="Arial" w:cs="Arial"/>
                <w:color w:val="auto"/>
                <w:sz w:val="18"/>
                <w:szCs w:val="18"/>
              </w:rPr>
              <w:t xml:space="preserve"> weather corrected network coincident maximum demand at the 10 % POE level. MW values are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216DDD98" w14:textId="77777777" w:rsidR="008C4F3C" w:rsidRPr="00586221" w:rsidRDefault="008C4F3C" w:rsidP="00E609CD">
            <w:pPr>
              <w:spacing w:line="360" w:lineRule="auto"/>
              <w:rPr>
                <w:rFonts w:ascii="Arial" w:hAnsi="Arial" w:cs="Arial"/>
                <w:color w:val="auto"/>
                <w:sz w:val="18"/>
                <w:szCs w:val="18"/>
              </w:rPr>
            </w:pPr>
            <w:r>
              <w:rPr>
                <w:rFonts w:ascii="Arial" w:hAnsi="Arial" w:cs="Arial"/>
                <w:color w:val="000000"/>
                <w:sz w:val="18"/>
                <w:szCs w:val="18"/>
              </w:rPr>
              <w:t>Variables:</w:t>
            </w:r>
            <w:r>
              <w:rPr>
                <w:rFonts w:ascii="Arial" w:hAnsi="Arial" w:cs="Arial"/>
                <w:color w:val="000000"/>
                <w:sz w:val="18"/>
                <w:szCs w:val="18"/>
              </w:rPr>
              <w:br/>
              <w:t>TOPSD0102</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0EDACECA"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7B3BC231"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Divide Transmission System Coincident Maximum Demand 10% POE (TOPSD0102) by Average Overall Network Power Factor (TOPSD0301) for conversion to MVA.</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3E95D573"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As per TOPSD0201</w:t>
            </w:r>
          </w:p>
          <w:p w14:paraId="152A7C2A"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data is materially dependent on availability of MVAr data, and accuracy of power factor estimates in their absence.</w:t>
            </w:r>
          </w:p>
        </w:tc>
      </w:tr>
      <w:tr w:rsidR="008670D7" w:rsidRPr="001E7278" w14:paraId="551B2B01" w14:textId="77777777" w:rsidTr="00525AE5">
        <w:trPr>
          <w:trHeight w:val="135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43FAF0D6"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TOPSD0203 Transmission System coincident weather </w:t>
            </w:r>
            <w:r w:rsidRPr="00282555">
              <w:rPr>
                <w:rFonts w:ascii="Arial" w:hAnsi="Arial" w:cs="Arial"/>
                <w:color w:val="auto"/>
                <w:sz w:val="18"/>
                <w:szCs w:val="18"/>
              </w:rPr>
              <w:lastRenderedPageBreak/>
              <w:t>adjusted maximum demand 50%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0CF62BB2" w14:textId="130D2007" w:rsidR="008C4F3C" w:rsidRPr="00586221" w:rsidRDefault="003C46F5" w:rsidP="00E609CD">
            <w:pPr>
              <w:spacing w:line="360" w:lineRule="auto"/>
              <w:rPr>
                <w:rFonts w:ascii="Arial" w:hAnsi="Arial" w:cs="Arial"/>
                <w:color w:val="auto"/>
                <w:sz w:val="18"/>
                <w:szCs w:val="18"/>
              </w:rPr>
            </w:pPr>
            <w:r>
              <w:rPr>
                <w:rFonts w:ascii="Arial" w:hAnsi="Arial" w:cs="Arial"/>
                <w:color w:val="auto"/>
                <w:sz w:val="18"/>
                <w:szCs w:val="18"/>
              </w:rPr>
              <w:lastRenderedPageBreak/>
              <w:t xml:space="preserve">This is the </w:t>
            </w:r>
            <w:r w:rsidR="008C4F3C" w:rsidRPr="00282555">
              <w:rPr>
                <w:rFonts w:ascii="Arial" w:hAnsi="Arial" w:cs="Arial"/>
                <w:color w:val="auto"/>
                <w:sz w:val="18"/>
                <w:szCs w:val="18"/>
              </w:rPr>
              <w:t xml:space="preserve">network coincident weather corrected maximum demand at the 50% POE level at the time when this summation is </w:t>
            </w:r>
            <w:r w:rsidR="008C4F3C" w:rsidRPr="00282555">
              <w:rPr>
                <w:rFonts w:ascii="Arial" w:hAnsi="Arial" w:cs="Arial"/>
                <w:color w:val="auto"/>
                <w:sz w:val="18"/>
                <w:szCs w:val="18"/>
              </w:rPr>
              <w:lastRenderedPageBreak/>
              <w:t>greatest. MW values are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5AF6F8FF" w14:textId="77777777" w:rsidR="008C4F3C" w:rsidRPr="00586221" w:rsidRDefault="008C4F3C" w:rsidP="00E609CD">
            <w:pPr>
              <w:spacing w:line="360" w:lineRule="auto"/>
              <w:rPr>
                <w:rFonts w:ascii="Arial" w:hAnsi="Arial" w:cs="Arial"/>
                <w:color w:val="auto"/>
                <w:sz w:val="18"/>
                <w:szCs w:val="18"/>
              </w:rPr>
            </w:pPr>
            <w:r>
              <w:rPr>
                <w:rFonts w:ascii="Arial" w:hAnsi="Arial" w:cs="Arial"/>
                <w:color w:val="000000"/>
                <w:sz w:val="18"/>
                <w:szCs w:val="18"/>
              </w:rPr>
              <w:lastRenderedPageBreak/>
              <w:t>Variables:</w:t>
            </w:r>
            <w:r>
              <w:rPr>
                <w:rFonts w:ascii="Arial" w:hAnsi="Arial" w:cs="Arial"/>
                <w:color w:val="000000"/>
                <w:sz w:val="18"/>
                <w:szCs w:val="18"/>
              </w:rPr>
              <w:br/>
              <w:t>TOPSD0103</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4FBB245B"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596E891B"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Divide Transmission System Coincident Maximum Demand 50% POE (TOPSD0103) by Average Overall Network </w:t>
            </w:r>
            <w:r w:rsidRPr="00282555">
              <w:rPr>
                <w:rFonts w:ascii="Arial" w:hAnsi="Arial" w:cs="Arial"/>
                <w:color w:val="auto"/>
                <w:sz w:val="18"/>
                <w:szCs w:val="18"/>
              </w:rPr>
              <w:lastRenderedPageBreak/>
              <w:t>Power Factor (TOPSD0301) for conversion to MVA.</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008EA6AE"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lastRenderedPageBreak/>
              <w:t>As per TOPSD0201</w:t>
            </w:r>
          </w:p>
          <w:p w14:paraId="7B9D1AD4"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The data is materially dependent on availability of MVAr data, and accuracy of </w:t>
            </w:r>
            <w:r w:rsidRPr="00282555">
              <w:rPr>
                <w:rFonts w:ascii="Arial" w:hAnsi="Arial" w:cs="Arial"/>
                <w:color w:val="auto"/>
                <w:sz w:val="18"/>
                <w:szCs w:val="18"/>
              </w:rPr>
              <w:lastRenderedPageBreak/>
              <w:t>power factor estimates in their absence.</w:t>
            </w:r>
          </w:p>
        </w:tc>
      </w:tr>
      <w:tr w:rsidR="008670D7" w:rsidRPr="001E7278" w14:paraId="097F73C2" w14:textId="77777777" w:rsidTr="00525AE5">
        <w:trPr>
          <w:trHeight w:val="189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0E4DB1A3"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lastRenderedPageBreak/>
              <w:t>TOPSD0204 Transmission System non-coincident summated maximum demand</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55A47FBF"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This is the actual unadjusted summation of actual raw maximum demand at TransGrid’s downstream connection and supply locations irrespective of when they occur in the year. MW values are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22C5B1CF" w14:textId="77777777" w:rsidR="008C4F3C" w:rsidRPr="00586221" w:rsidRDefault="008C4F3C" w:rsidP="00E609CD">
            <w:pPr>
              <w:spacing w:line="360" w:lineRule="auto"/>
              <w:rPr>
                <w:rFonts w:ascii="Arial" w:hAnsi="Arial" w:cs="Arial"/>
                <w:color w:val="auto"/>
                <w:sz w:val="18"/>
                <w:szCs w:val="18"/>
              </w:rPr>
            </w:pPr>
            <w:r>
              <w:rPr>
                <w:rFonts w:ascii="Arial" w:hAnsi="Arial" w:cs="Arial"/>
                <w:color w:val="000000"/>
                <w:sz w:val="18"/>
                <w:szCs w:val="18"/>
              </w:rPr>
              <w:t>Variables:</w:t>
            </w:r>
            <w:r>
              <w:rPr>
                <w:rFonts w:ascii="Arial" w:hAnsi="Arial" w:cs="Arial"/>
                <w:color w:val="000000"/>
                <w:sz w:val="18"/>
                <w:szCs w:val="18"/>
              </w:rPr>
              <w:br/>
              <w:t>TOPSD0104</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15430980"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47D028EC"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Divide Transmission System non-coincident weather summated maximum demand (TOPSD0104) by Average Overall Network Power Factor (TOPSD0301) for conversion to MVA.</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17BED322"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As per TOPSD0201</w:t>
            </w:r>
          </w:p>
          <w:p w14:paraId="0EB67A53"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data is materially dependent on availability of MVAr data, and accuracy of power factor estimates in their absence.</w:t>
            </w:r>
          </w:p>
        </w:tc>
      </w:tr>
      <w:tr w:rsidR="008670D7" w:rsidRPr="001E7278" w14:paraId="755A25BB" w14:textId="77777777" w:rsidTr="00525AE5">
        <w:trPr>
          <w:trHeight w:val="2190"/>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79889664"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TOPSD0205 Transmission System non-coincident weather adjusted summated maximum demand 10%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07FE6E05"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This is the weather corrected summation of MD at TransGrid’s downstream connection and supply locations (</w:t>
            </w:r>
            <w:proofErr w:type="gramStart"/>
            <w:r w:rsidRPr="00282555">
              <w:rPr>
                <w:rFonts w:ascii="Arial" w:hAnsi="Arial" w:cs="Arial"/>
                <w:color w:val="auto"/>
                <w:sz w:val="18"/>
                <w:szCs w:val="18"/>
              </w:rPr>
              <w:t>i.e.</w:t>
            </w:r>
            <w:proofErr w:type="gramEnd"/>
            <w:r w:rsidRPr="00282555">
              <w:rPr>
                <w:rFonts w:ascii="Arial" w:hAnsi="Arial" w:cs="Arial"/>
                <w:color w:val="auto"/>
                <w:sz w:val="18"/>
                <w:szCs w:val="18"/>
              </w:rPr>
              <w:t xml:space="preserve"> individual BSPs) at 10% POE level, irrespective of when they occur in the year. MW values are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46CF7AAD" w14:textId="77777777" w:rsidR="008C4F3C" w:rsidRPr="007D7459" w:rsidRDefault="008C4F3C" w:rsidP="00E609CD">
            <w:pPr>
              <w:spacing w:line="360" w:lineRule="auto"/>
              <w:rPr>
                <w:rFonts w:ascii="Arial" w:hAnsi="Arial" w:cs="Arial"/>
                <w:color w:val="auto"/>
                <w:sz w:val="18"/>
                <w:szCs w:val="18"/>
              </w:rPr>
            </w:pPr>
            <w:r>
              <w:rPr>
                <w:rFonts w:ascii="Arial" w:hAnsi="Arial" w:cs="Arial"/>
                <w:color w:val="000000"/>
                <w:sz w:val="18"/>
                <w:szCs w:val="18"/>
              </w:rPr>
              <w:t>Variables:</w:t>
            </w:r>
            <w:r>
              <w:rPr>
                <w:rFonts w:ascii="Arial" w:hAnsi="Arial" w:cs="Arial"/>
                <w:color w:val="000000"/>
                <w:sz w:val="18"/>
                <w:szCs w:val="18"/>
              </w:rPr>
              <w:br/>
              <w:t>TOPSD0105</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20A215EB"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052F8E66"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Divide Transmission System non-coincident weather adjusted summated maximum demand 10% PoE (TOPSD0105) by Average Overall Network Power Factor Conversion between MVA and MW (TOPSD0301) for conversion to MVA.</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0C76911C"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As per TOPSD0201</w:t>
            </w:r>
          </w:p>
          <w:p w14:paraId="3BA99F89"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data is materially dependent on availability of MVAr data and accuracy of power factor estimates in their absence.</w:t>
            </w:r>
          </w:p>
        </w:tc>
      </w:tr>
      <w:tr w:rsidR="008670D7" w:rsidRPr="001E7278" w14:paraId="5164819A" w14:textId="77777777" w:rsidTr="00525AE5">
        <w:trPr>
          <w:trHeight w:val="1875"/>
        </w:trPr>
        <w:tc>
          <w:tcPr>
            <w:tcW w:w="446"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1E666468"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lastRenderedPageBreak/>
              <w:t>TOPSD0206 Transmission System non-coincident weather adjusted summated maximum demand 50% POE</w:t>
            </w:r>
          </w:p>
        </w:tc>
        <w:tc>
          <w:tcPr>
            <w:tcW w:w="1023" w:type="pct"/>
            <w:tcBorders>
              <w:top w:val="single" w:sz="4" w:space="0" w:color="auto"/>
              <w:left w:val="nil"/>
              <w:bottom w:val="single" w:sz="4" w:space="0" w:color="auto"/>
              <w:right w:val="single" w:sz="4" w:space="0" w:color="auto"/>
            </w:tcBorders>
            <w:shd w:val="clear" w:color="auto" w:fill="EBF1DE"/>
            <w:vAlign w:val="center"/>
            <w:hideMark/>
          </w:tcPr>
          <w:p w14:paraId="5926ABCB"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This is the weather corrected summation of maximum demand at TransGrid’s downstream connection and supply locations at 50% POE level, irrespective of when they occur in the year. MW values are converted to MVA.</w:t>
            </w:r>
          </w:p>
        </w:tc>
        <w:tc>
          <w:tcPr>
            <w:tcW w:w="941" w:type="pct"/>
            <w:tcBorders>
              <w:top w:val="single" w:sz="4" w:space="0" w:color="auto"/>
              <w:left w:val="nil"/>
              <w:bottom w:val="single" w:sz="4" w:space="0" w:color="auto"/>
              <w:right w:val="single" w:sz="4" w:space="0" w:color="auto"/>
            </w:tcBorders>
            <w:shd w:val="clear" w:color="auto" w:fill="EBF1DE"/>
            <w:vAlign w:val="center"/>
            <w:hideMark/>
          </w:tcPr>
          <w:p w14:paraId="3B99658F" w14:textId="77777777" w:rsidR="008C4F3C" w:rsidRPr="007D7459" w:rsidRDefault="008C4F3C" w:rsidP="00E609CD">
            <w:pPr>
              <w:spacing w:line="360" w:lineRule="auto"/>
              <w:rPr>
                <w:rFonts w:ascii="Arial" w:hAnsi="Arial" w:cs="Arial"/>
                <w:color w:val="auto"/>
                <w:sz w:val="18"/>
                <w:szCs w:val="18"/>
              </w:rPr>
            </w:pPr>
            <w:r>
              <w:rPr>
                <w:rFonts w:ascii="Arial" w:hAnsi="Arial" w:cs="Arial"/>
                <w:color w:val="000000"/>
                <w:sz w:val="18"/>
                <w:szCs w:val="18"/>
              </w:rPr>
              <w:t>Variables:</w:t>
            </w:r>
            <w:r>
              <w:rPr>
                <w:rFonts w:ascii="Arial" w:hAnsi="Arial" w:cs="Arial"/>
                <w:color w:val="000000"/>
                <w:sz w:val="18"/>
                <w:szCs w:val="18"/>
              </w:rPr>
              <w:br/>
              <w:t>TOPSD0106</w:t>
            </w:r>
            <w:r>
              <w:rPr>
                <w:rFonts w:ascii="Arial" w:hAnsi="Arial" w:cs="Arial"/>
                <w:color w:val="000000"/>
                <w:sz w:val="18"/>
                <w:szCs w:val="18"/>
              </w:rPr>
              <w:br/>
              <w:t>TOPSD0301</w:t>
            </w:r>
          </w:p>
        </w:tc>
        <w:tc>
          <w:tcPr>
            <w:tcW w:w="515" w:type="pct"/>
            <w:tcBorders>
              <w:top w:val="single" w:sz="4" w:space="0" w:color="auto"/>
              <w:left w:val="nil"/>
              <w:bottom w:val="single" w:sz="4" w:space="0" w:color="auto"/>
              <w:right w:val="single" w:sz="4" w:space="0" w:color="auto"/>
            </w:tcBorders>
            <w:shd w:val="clear" w:color="auto" w:fill="EBF1DE"/>
            <w:vAlign w:val="center"/>
            <w:hideMark/>
          </w:tcPr>
          <w:p w14:paraId="06D9FE7D"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auto" w:fill="EBF1DE"/>
            <w:vAlign w:val="center"/>
            <w:hideMark/>
          </w:tcPr>
          <w:p w14:paraId="7404A539"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Divide Transmission System non-coincident weather adjusted summated maximum demand 50% PoE (TOPSD0106) by Average Overall Network Power Factor Conversion between MVA and MW TOPSD0301.</w:t>
            </w:r>
          </w:p>
        </w:tc>
        <w:tc>
          <w:tcPr>
            <w:tcW w:w="849" w:type="pct"/>
            <w:tcBorders>
              <w:top w:val="single" w:sz="4" w:space="0" w:color="auto"/>
              <w:left w:val="nil"/>
              <w:bottom w:val="single" w:sz="4" w:space="0" w:color="auto"/>
              <w:right w:val="single" w:sz="4" w:space="0" w:color="auto"/>
            </w:tcBorders>
            <w:shd w:val="clear" w:color="auto" w:fill="EBF1DE"/>
            <w:vAlign w:val="center"/>
            <w:hideMark/>
          </w:tcPr>
          <w:p w14:paraId="7143752A"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As per TOPSD0201</w:t>
            </w:r>
          </w:p>
          <w:p w14:paraId="43F2B708" w14:textId="77777777" w:rsidR="008C4F3C" w:rsidRPr="007D7459"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data is materially dependent on availability of MVAr data and accuracy of power factor estimates in their absence.</w:t>
            </w:r>
          </w:p>
        </w:tc>
      </w:tr>
      <w:tr w:rsidR="00883C6C" w:rsidRPr="001E7278" w14:paraId="25EE39CE" w14:textId="77777777" w:rsidTr="00525AE5">
        <w:trPr>
          <w:trHeight w:val="405"/>
        </w:trPr>
        <w:tc>
          <w:tcPr>
            <w:tcW w:w="5000"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7CCC6AB" w14:textId="384BE203" w:rsidR="00883C6C" w:rsidRPr="001E7278" w:rsidRDefault="00883C6C" w:rsidP="00883C6C">
            <w:pPr>
              <w:spacing w:before="100" w:beforeAutospacing="1" w:after="100" w:afterAutospacing="1"/>
              <w:rPr>
                <w:rFonts w:ascii="Arial" w:hAnsi="Arial" w:cs="Arial"/>
                <w:b/>
                <w:bCs/>
                <w:color w:val="FFFFFF"/>
                <w:sz w:val="18"/>
                <w:szCs w:val="18"/>
              </w:rPr>
            </w:pPr>
            <w:r w:rsidRPr="001E7278">
              <w:rPr>
                <w:rFonts w:ascii="Arial" w:hAnsi="Arial" w:cs="Arial"/>
                <w:b/>
                <w:bCs/>
                <w:color w:val="FFFFFF"/>
                <w:sz w:val="18"/>
                <w:szCs w:val="18"/>
              </w:rPr>
              <w:t>3.4.3</w:t>
            </w:r>
            <w:r>
              <w:rPr>
                <w:rFonts w:ascii="Arial" w:hAnsi="Arial" w:cs="Arial"/>
                <w:b/>
                <w:bCs/>
                <w:color w:val="FFFFFF"/>
                <w:sz w:val="18"/>
                <w:szCs w:val="18"/>
              </w:rPr>
              <w:t>.3</w:t>
            </w:r>
            <w:r w:rsidRPr="001E7278">
              <w:rPr>
                <w:rFonts w:ascii="Arial" w:hAnsi="Arial" w:cs="Arial"/>
                <w:b/>
                <w:bCs/>
                <w:color w:val="FFFFFF"/>
                <w:sz w:val="18"/>
                <w:szCs w:val="18"/>
              </w:rPr>
              <w:t xml:space="preserve"> </w:t>
            </w:r>
            <w:r>
              <w:rPr>
                <w:rFonts w:ascii="Arial" w:hAnsi="Arial" w:cs="Arial"/>
                <w:b/>
                <w:bCs/>
                <w:color w:val="FFFFFF"/>
                <w:sz w:val="18"/>
                <w:szCs w:val="18"/>
              </w:rPr>
              <w:t>–</w:t>
            </w:r>
            <w:r w:rsidRPr="001E7278">
              <w:rPr>
                <w:rFonts w:ascii="Arial" w:hAnsi="Arial" w:cs="Arial"/>
                <w:b/>
                <w:bCs/>
                <w:color w:val="FFFFFF"/>
                <w:sz w:val="18"/>
                <w:szCs w:val="18"/>
              </w:rPr>
              <w:t xml:space="preserve"> </w:t>
            </w:r>
            <w:r>
              <w:rPr>
                <w:rFonts w:ascii="Arial" w:hAnsi="Arial" w:cs="Arial"/>
                <w:b/>
                <w:bCs/>
                <w:color w:val="FFFFFF"/>
                <w:sz w:val="18"/>
                <w:szCs w:val="18"/>
              </w:rPr>
              <w:t>Power factor conversion between MVA and MW</w:t>
            </w:r>
          </w:p>
        </w:tc>
      </w:tr>
      <w:tr w:rsidR="008670D7" w:rsidRPr="001E7278" w14:paraId="3FB1A29E" w14:textId="77777777" w:rsidTr="00525AE5">
        <w:trPr>
          <w:trHeight w:val="2745"/>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F2C69B4"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TOPSD0301 Average overall network power factor conversion between MVA and MW</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25DFFE60"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Total system MW divided by total system MVA, as on day of TransGrid network maximum demand</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1D2E7681"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TransGrid’s TUOS billing system</w:t>
            </w:r>
          </w:p>
        </w:tc>
        <w:tc>
          <w:tcPr>
            <w:tcW w:w="515" w:type="pct"/>
            <w:tcBorders>
              <w:top w:val="single" w:sz="4" w:space="0" w:color="auto"/>
              <w:left w:val="nil"/>
              <w:bottom w:val="single" w:sz="4" w:space="0" w:color="auto"/>
              <w:right w:val="single" w:sz="4" w:space="0" w:color="auto"/>
            </w:tcBorders>
            <w:shd w:val="clear" w:color="000000" w:fill="EBF1DE"/>
            <w:vAlign w:val="center"/>
            <w:hideMark/>
          </w:tcPr>
          <w:p w14:paraId="1A84ED3C"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788DDD60"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TransGrid does not collect data to derive network wide power factors. However, there is data for reactive loading at some (but not all) bulk supply points. This data has been used to develop a broad approximation of system wide power factors.</w:t>
            </w:r>
          </w:p>
          <w:p w14:paraId="7572B01F"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Refer to note below.</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4BDB8607"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Refer to ‘Note to TOPSD0201 and TOPSD0301’</w:t>
            </w:r>
          </w:p>
        </w:tc>
      </w:tr>
      <w:tr w:rsidR="008670D7" w:rsidRPr="001E7278" w14:paraId="2A29F2B8" w14:textId="77777777" w:rsidTr="00525AE5">
        <w:trPr>
          <w:trHeight w:val="3570"/>
        </w:trPr>
        <w:tc>
          <w:tcPr>
            <w:tcW w:w="44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CB86CB4"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lastRenderedPageBreak/>
              <w:t>TOPSD0302 to TOPSD0312 Average power factor conversion for lines, per voltage level</w:t>
            </w:r>
          </w:p>
        </w:tc>
        <w:tc>
          <w:tcPr>
            <w:tcW w:w="1023" w:type="pct"/>
            <w:tcBorders>
              <w:top w:val="single" w:sz="4" w:space="0" w:color="auto"/>
              <w:left w:val="nil"/>
              <w:bottom w:val="single" w:sz="4" w:space="0" w:color="auto"/>
              <w:right w:val="single" w:sz="4" w:space="0" w:color="auto"/>
            </w:tcBorders>
            <w:shd w:val="clear" w:color="000000" w:fill="EBF1DE"/>
            <w:vAlign w:val="center"/>
            <w:hideMark/>
          </w:tcPr>
          <w:p w14:paraId="6A2EFF0B"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This variable has been taken to be the power factor derived from the aggregate MW and MVAr flows, at the time of overall maximum demand, on TransGrid’s lines which operate at the </w:t>
            </w:r>
            <w:proofErr w:type="gramStart"/>
            <w:r w:rsidRPr="00282555">
              <w:rPr>
                <w:rFonts w:ascii="Arial" w:hAnsi="Arial" w:cs="Arial"/>
                <w:color w:val="auto"/>
                <w:sz w:val="18"/>
                <w:szCs w:val="18"/>
              </w:rPr>
              <w:t>particular nominal</w:t>
            </w:r>
            <w:proofErr w:type="gramEnd"/>
            <w:r w:rsidRPr="00282555">
              <w:rPr>
                <w:rFonts w:ascii="Arial" w:hAnsi="Arial" w:cs="Arial"/>
                <w:color w:val="auto"/>
                <w:sz w:val="18"/>
                <w:szCs w:val="18"/>
              </w:rPr>
              <w:t xml:space="preserve"> voltage.</w:t>
            </w:r>
          </w:p>
          <w:p w14:paraId="27FB380B"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Where TransGrid does not have any lines operating at a particular nominal voltage, the average power factor provided for those lines is unity.</w:t>
            </w:r>
          </w:p>
        </w:tc>
        <w:tc>
          <w:tcPr>
            <w:tcW w:w="941" w:type="pct"/>
            <w:tcBorders>
              <w:top w:val="single" w:sz="4" w:space="0" w:color="auto"/>
              <w:left w:val="nil"/>
              <w:bottom w:val="single" w:sz="4" w:space="0" w:color="auto"/>
              <w:right w:val="single" w:sz="4" w:space="0" w:color="auto"/>
            </w:tcBorders>
            <w:shd w:val="clear" w:color="000000" w:fill="EBF1DE"/>
            <w:vAlign w:val="center"/>
            <w:hideMark/>
          </w:tcPr>
          <w:p w14:paraId="6BA1B8D0"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TransGrid’s SCADA system</w:t>
            </w:r>
          </w:p>
        </w:tc>
        <w:tc>
          <w:tcPr>
            <w:tcW w:w="515" w:type="pct"/>
            <w:tcBorders>
              <w:top w:val="single" w:sz="4" w:space="0" w:color="auto"/>
              <w:left w:val="nil"/>
              <w:bottom w:val="single" w:sz="4" w:space="0" w:color="auto"/>
              <w:right w:val="single" w:sz="4" w:space="0" w:color="auto"/>
            </w:tcBorders>
            <w:shd w:val="clear" w:color="000000" w:fill="EBF1DE"/>
            <w:noWrap/>
            <w:vAlign w:val="center"/>
            <w:hideMark/>
          </w:tcPr>
          <w:p w14:paraId="363BF3F5" w14:textId="77777777" w:rsidR="008C4F3C" w:rsidRPr="00586221" w:rsidRDefault="008C4F3C" w:rsidP="00E609CD">
            <w:pPr>
              <w:spacing w:line="360" w:lineRule="auto"/>
              <w:rPr>
                <w:rFonts w:ascii="Arial" w:hAnsi="Arial" w:cs="Arial"/>
                <w:color w:val="auto"/>
                <w:sz w:val="18"/>
                <w:szCs w:val="18"/>
              </w:rPr>
            </w:pPr>
            <w:r w:rsidRPr="00586221">
              <w:rPr>
                <w:rFonts w:ascii="Arial" w:hAnsi="Arial" w:cs="Arial"/>
                <w:color w:val="auto"/>
                <w:sz w:val="18"/>
                <w:szCs w:val="18"/>
              </w:rPr>
              <w:t>Yes</w:t>
            </w:r>
          </w:p>
        </w:tc>
        <w:tc>
          <w:tcPr>
            <w:tcW w:w="1226" w:type="pct"/>
            <w:tcBorders>
              <w:top w:val="single" w:sz="4" w:space="0" w:color="auto"/>
              <w:left w:val="nil"/>
              <w:bottom w:val="single" w:sz="4" w:space="0" w:color="auto"/>
              <w:right w:val="single" w:sz="4" w:space="0" w:color="auto"/>
            </w:tcBorders>
            <w:shd w:val="clear" w:color="000000" w:fill="EBF1DE"/>
            <w:vAlign w:val="center"/>
            <w:hideMark/>
          </w:tcPr>
          <w:p w14:paraId="350AC32A"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Information on the MW and MVAr flows at each end of TransGrid lines at the time of the overall network maximum MW loading were extracted from TransGrid’s SCADA system.</w:t>
            </w:r>
          </w:p>
          <w:p w14:paraId="78EDEED5"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For lines operating at each nominal voltage the aggregate MW and MVAr flows at the “sending end” (where real power flows into the line) and the “receiving end” (where real power flows out of the line) were calculated.</w:t>
            </w:r>
          </w:p>
          <w:p w14:paraId="5AF053A5"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power factors of the aggregate sending end flows and the aggregate receiving end flows were calculated.  The average of these two power factors was taken to be the average power factor for the lines operating at that nominal voltage.</w:t>
            </w:r>
          </w:p>
        </w:tc>
        <w:tc>
          <w:tcPr>
            <w:tcW w:w="849" w:type="pct"/>
            <w:tcBorders>
              <w:top w:val="single" w:sz="4" w:space="0" w:color="auto"/>
              <w:left w:val="nil"/>
              <w:bottom w:val="single" w:sz="4" w:space="0" w:color="auto"/>
              <w:right w:val="single" w:sz="4" w:space="0" w:color="auto"/>
            </w:tcBorders>
            <w:shd w:val="clear" w:color="000000" w:fill="EBF1DE"/>
            <w:vAlign w:val="center"/>
            <w:hideMark/>
          </w:tcPr>
          <w:p w14:paraId="50C5BAEE"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The assumptions include that the measure:</w:t>
            </w:r>
          </w:p>
          <w:p w14:paraId="4CA11C12"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Relates to MW and MVAr flows at the time of the maximum MW loading on TransGrid’s network, rather than being an average across the year.</w:t>
            </w:r>
          </w:p>
          <w:p w14:paraId="5BBEAFAF" w14:textId="77777777" w:rsidR="008C4F3C" w:rsidRPr="00282555"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Is based on the power factor of the aggregated MW and MVAr flows on all TransGrid lines operating at a particular nominal voltage.</w:t>
            </w:r>
          </w:p>
          <w:p w14:paraId="3D66C1EA" w14:textId="77777777" w:rsidR="008C4F3C" w:rsidRPr="00586221" w:rsidRDefault="008C4F3C" w:rsidP="00E609CD">
            <w:pPr>
              <w:spacing w:line="360" w:lineRule="auto"/>
              <w:rPr>
                <w:rFonts w:ascii="Arial" w:hAnsi="Arial" w:cs="Arial"/>
                <w:color w:val="auto"/>
                <w:sz w:val="18"/>
                <w:szCs w:val="18"/>
              </w:rPr>
            </w:pPr>
            <w:r w:rsidRPr="00282555">
              <w:rPr>
                <w:rFonts w:ascii="Arial" w:hAnsi="Arial" w:cs="Arial"/>
                <w:color w:val="auto"/>
                <w:sz w:val="18"/>
                <w:szCs w:val="18"/>
              </w:rPr>
              <w:t xml:space="preserve">TransGrid does not have any assets with metered </w:t>
            </w:r>
            <w:proofErr w:type="spellStart"/>
            <w:r w:rsidRPr="00282555">
              <w:rPr>
                <w:rFonts w:ascii="Arial" w:hAnsi="Arial" w:cs="Arial"/>
                <w:color w:val="auto"/>
                <w:sz w:val="18"/>
                <w:szCs w:val="18"/>
              </w:rPr>
              <w:t>MVArs</w:t>
            </w:r>
            <w:proofErr w:type="spellEnd"/>
            <w:r w:rsidRPr="00282555">
              <w:rPr>
                <w:rFonts w:ascii="Arial" w:hAnsi="Arial" w:cs="Arial"/>
                <w:color w:val="auto"/>
                <w:sz w:val="18"/>
                <w:szCs w:val="18"/>
              </w:rPr>
              <w:t xml:space="preserve"> at 275kV, 110kV or lower. Hence these values of 1 are provided only in keeping with the RIN instructions.</w:t>
            </w:r>
          </w:p>
        </w:tc>
      </w:tr>
    </w:tbl>
    <w:p w14:paraId="5FF2A680" w14:textId="77777777" w:rsidR="00231516" w:rsidRDefault="00231516" w:rsidP="00231516">
      <w:pPr>
        <w:pStyle w:val="BodyText"/>
        <w:rPr>
          <w:sz w:val="18"/>
          <w:szCs w:val="18"/>
        </w:rPr>
      </w:pPr>
    </w:p>
    <w:p w14:paraId="1949AA5F" w14:textId="7AEA6DDD" w:rsidR="00231516" w:rsidRPr="00231516" w:rsidRDefault="00231516" w:rsidP="00231516">
      <w:pPr>
        <w:pStyle w:val="BodyText"/>
        <w:rPr>
          <w:sz w:val="18"/>
          <w:szCs w:val="18"/>
        </w:rPr>
      </w:pPr>
      <w:r w:rsidRPr="00231516">
        <w:rPr>
          <w:sz w:val="18"/>
          <w:szCs w:val="18"/>
        </w:rPr>
        <w:lastRenderedPageBreak/>
        <w:t xml:space="preserve">Note to TOPSD0201 and TOPSD0301 </w:t>
      </w:r>
      <w:r w:rsidRPr="00231516">
        <w:rPr>
          <w:sz w:val="18"/>
          <w:szCs w:val="18"/>
        </w:rPr>
        <w:tab/>
      </w:r>
    </w:p>
    <w:p w14:paraId="3A19B19D" w14:textId="77777777" w:rsidR="00231516" w:rsidRPr="00231516" w:rsidRDefault="00231516" w:rsidP="00231516">
      <w:pPr>
        <w:pStyle w:val="BodyText"/>
        <w:rPr>
          <w:sz w:val="18"/>
          <w:szCs w:val="18"/>
        </w:rPr>
      </w:pPr>
      <w:r w:rsidRPr="00231516">
        <w:rPr>
          <w:sz w:val="18"/>
          <w:szCs w:val="18"/>
        </w:rPr>
        <w:t xml:space="preserve">The nature of transmission systems is that they are “better” at transmitting real power (MW) than reactive power (MVAr) </w:t>
      </w:r>
      <w:r w:rsidRPr="00231516">
        <w:rPr>
          <w:sz w:val="18"/>
          <w:szCs w:val="18"/>
          <w:vertAlign w:val="superscript"/>
        </w:rPr>
        <w:t>[1]</w:t>
      </w:r>
      <w:r w:rsidRPr="00231516">
        <w:rPr>
          <w:sz w:val="18"/>
          <w:szCs w:val="18"/>
        </w:rPr>
        <w:t xml:space="preserve">. Consequently, reactive power needs (to manage voltage levels) are met on a local basis, rather than a network wide basis. This involves the installation of reactive plant (such as shunt capacitors, shunt reactors, </w:t>
      </w:r>
      <w:proofErr w:type="spellStart"/>
      <w:r w:rsidRPr="00231516">
        <w:rPr>
          <w:sz w:val="18"/>
          <w:szCs w:val="18"/>
        </w:rPr>
        <w:t>statcoms</w:t>
      </w:r>
      <w:proofErr w:type="spellEnd"/>
      <w:r w:rsidRPr="00231516">
        <w:rPr>
          <w:sz w:val="18"/>
          <w:szCs w:val="18"/>
        </w:rPr>
        <w:t xml:space="preserve"> and static </w:t>
      </w:r>
      <w:proofErr w:type="spellStart"/>
      <w:r w:rsidRPr="00231516">
        <w:rPr>
          <w:sz w:val="18"/>
          <w:szCs w:val="18"/>
        </w:rPr>
        <w:t>VAr</w:t>
      </w:r>
      <w:proofErr w:type="spellEnd"/>
      <w:r w:rsidRPr="00231516">
        <w:rPr>
          <w:sz w:val="18"/>
          <w:szCs w:val="18"/>
        </w:rPr>
        <w:t xml:space="preserve"> compensators) at strategic locations, as well as utilisation of the reactive generation/absorption capability of generators. In some circumstances reactive plant may be installed in “downstream” networks, rather than at bulk supply points, if there is also a need to manage voltage levels (or reactive power loadings) within those networks.</w:t>
      </w:r>
      <w:r w:rsidRPr="00231516">
        <w:rPr>
          <w:sz w:val="18"/>
          <w:szCs w:val="18"/>
        </w:rPr>
        <w:tab/>
      </w:r>
    </w:p>
    <w:p w14:paraId="06BFA93C" w14:textId="77777777" w:rsidR="00231516" w:rsidRPr="00231516" w:rsidRDefault="00231516" w:rsidP="00231516">
      <w:pPr>
        <w:pStyle w:val="BodyText"/>
        <w:rPr>
          <w:sz w:val="18"/>
          <w:szCs w:val="18"/>
        </w:rPr>
      </w:pPr>
      <w:r w:rsidRPr="00231516">
        <w:rPr>
          <w:sz w:val="18"/>
          <w:szCs w:val="18"/>
        </w:rPr>
        <w:t>As network wide reactive loads and their derivative network wide power factors, are not used, TransGrid does not routinely collect data to derive them. However, TransGrid does have reactive loading data for some (but not all) bulk supply points. Those data have been used to develop a broad approximation of system wide power factors. This has been done by:</w:t>
      </w:r>
      <w:r w:rsidRPr="00231516">
        <w:rPr>
          <w:sz w:val="18"/>
          <w:szCs w:val="18"/>
        </w:rPr>
        <w:tab/>
      </w:r>
    </w:p>
    <w:p w14:paraId="01CC0412" w14:textId="77777777" w:rsidR="00231516" w:rsidRPr="00231516" w:rsidRDefault="00231516" w:rsidP="0019343C">
      <w:pPr>
        <w:pStyle w:val="BodyText"/>
        <w:numPr>
          <w:ilvl w:val="0"/>
          <w:numId w:val="17"/>
        </w:numPr>
        <w:tabs>
          <w:tab w:val="left" w:pos="2268"/>
          <w:tab w:val="left" w:pos="4536"/>
          <w:tab w:val="left" w:pos="6804"/>
          <w:tab w:val="right" w:pos="9638"/>
        </w:tabs>
        <w:spacing w:after="120"/>
        <w:jc w:val="both"/>
        <w:rPr>
          <w:sz w:val="18"/>
          <w:szCs w:val="18"/>
        </w:rPr>
      </w:pPr>
      <w:r w:rsidRPr="00231516">
        <w:rPr>
          <w:sz w:val="18"/>
          <w:szCs w:val="18"/>
        </w:rPr>
        <w:t xml:space="preserve">Deriving the real and reactive power loads for individual bulk supply points where data are available and </w:t>
      </w:r>
      <w:proofErr w:type="gramStart"/>
      <w:r w:rsidRPr="00231516">
        <w:rPr>
          <w:sz w:val="18"/>
          <w:szCs w:val="18"/>
        </w:rPr>
        <w:t>usable</w:t>
      </w:r>
      <w:r w:rsidRPr="00231516">
        <w:rPr>
          <w:sz w:val="18"/>
          <w:szCs w:val="18"/>
          <w:vertAlign w:val="superscript"/>
        </w:rPr>
        <w:t>[</w:t>
      </w:r>
      <w:proofErr w:type="gramEnd"/>
      <w:r w:rsidRPr="00231516">
        <w:rPr>
          <w:sz w:val="18"/>
          <w:szCs w:val="18"/>
          <w:vertAlign w:val="superscript"/>
        </w:rPr>
        <w:t>2]</w:t>
      </w:r>
      <w:r w:rsidRPr="00231516">
        <w:rPr>
          <w:sz w:val="18"/>
          <w:szCs w:val="18"/>
        </w:rPr>
        <w:t xml:space="preserve"> at the time of overall maximum (MW) demand for on TransGrid’s network; and</w:t>
      </w:r>
      <w:r w:rsidRPr="00231516">
        <w:rPr>
          <w:sz w:val="18"/>
          <w:szCs w:val="18"/>
        </w:rPr>
        <w:tab/>
      </w:r>
    </w:p>
    <w:p w14:paraId="0AC4CC88" w14:textId="77777777" w:rsidR="00231516" w:rsidRPr="00231516" w:rsidRDefault="00231516" w:rsidP="0019343C">
      <w:pPr>
        <w:pStyle w:val="BodyText"/>
        <w:numPr>
          <w:ilvl w:val="0"/>
          <w:numId w:val="17"/>
        </w:numPr>
        <w:tabs>
          <w:tab w:val="left" w:pos="2268"/>
          <w:tab w:val="left" w:pos="4536"/>
          <w:tab w:val="left" w:pos="6804"/>
          <w:tab w:val="right" w:pos="9638"/>
        </w:tabs>
        <w:spacing w:after="120"/>
        <w:jc w:val="both"/>
        <w:rPr>
          <w:sz w:val="18"/>
          <w:szCs w:val="18"/>
        </w:rPr>
      </w:pPr>
      <w:r w:rsidRPr="00231516">
        <w:rPr>
          <w:sz w:val="18"/>
          <w:szCs w:val="18"/>
        </w:rPr>
        <w:t>Summating those individual bulk supply point demands to derive the diversified (coincident, as delivered) maximum demand on TransGrid’s network and the associated power factor.</w:t>
      </w:r>
      <w:r w:rsidRPr="00231516">
        <w:rPr>
          <w:sz w:val="18"/>
          <w:szCs w:val="18"/>
        </w:rPr>
        <w:tab/>
      </w:r>
    </w:p>
    <w:p w14:paraId="3AE73468" w14:textId="77777777" w:rsidR="00231516" w:rsidRPr="00231516" w:rsidRDefault="00231516" w:rsidP="00231516">
      <w:pPr>
        <w:pStyle w:val="BodyText"/>
        <w:rPr>
          <w:sz w:val="18"/>
          <w:szCs w:val="18"/>
        </w:rPr>
      </w:pPr>
      <w:r w:rsidRPr="00231516">
        <w:rPr>
          <w:sz w:val="18"/>
          <w:szCs w:val="18"/>
        </w:rPr>
        <w:t xml:space="preserve">The real and corresponding reactive power loads at the individual bulk supply points are derived from revenue </w:t>
      </w:r>
      <w:r w:rsidRPr="00231516">
        <w:rPr>
          <w:sz w:val="18"/>
          <w:szCs w:val="18"/>
          <w:vertAlign w:val="superscript"/>
        </w:rPr>
        <w:t>[3]</w:t>
      </w:r>
      <w:r w:rsidRPr="00231516">
        <w:rPr>
          <w:sz w:val="18"/>
          <w:szCs w:val="18"/>
        </w:rPr>
        <w:t xml:space="preserve"> and in some cases statistical metering data. Generally, the statistical metering uses the same class of metering instruments (current transformers, voltage transformers and meters) as the revenue metering at that site.</w:t>
      </w:r>
      <w:r w:rsidRPr="00231516">
        <w:rPr>
          <w:sz w:val="18"/>
          <w:szCs w:val="18"/>
        </w:rPr>
        <w:tab/>
      </w:r>
    </w:p>
    <w:p w14:paraId="696E5577" w14:textId="0D91A8AD" w:rsidR="00231516" w:rsidRPr="00231516" w:rsidRDefault="00231516" w:rsidP="00231516">
      <w:pPr>
        <w:pStyle w:val="BodyText"/>
        <w:rPr>
          <w:sz w:val="18"/>
          <w:szCs w:val="18"/>
        </w:rPr>
      </w:pPr>
      <w:r w:rsidRPr="00231516">
        <w:rPr>
          <w:sz w:val="18"/>
          <w:szCs w:val="18"/>
        </w:rPr>
        <w:t xml:space="preserve">TransGrid’s bulk supply points provide supply at </w:t>
      </w:r>
      <w:proofErr w:type="gramStart"/>
      <w:r w:rsidRPr="00231516">
        <w:rPr>
          <w:sz w:val="18"/>
          <w:szCs w:val="18"/>
        </w:rPr>
        <w:t>a number of</w:t>
      </w:r>
      <w:proofErr w:type="gramEnd"/>
      <w:r w:rsidRPr="00231516">
        <w:rPr>
          <w:sz w:val="18"/>
          <w:szCs w:val="18"/>
        </w:rPr>
        <w:t xml:space="preserve"> voltages (between 11 kV and 330 kV) with supply from most being at 66 kV or below. Those supplies are at what can </w:t>
      </w:r>
      <w:proofErr w:type="gramStart"/>
      <w:r w:rsidRPr="00231516">
        <w:rPr>
          <w:sz w:val="18"/>
          <w:szCs w:val="18"/>
        </w:rPr>
        <w:t>be considered to be</w:t>
      </w:r>
      <w:proofErr w:type="gramEnd"/>
      <w:r w:rsidRPr="00231516">
        <w:rPr>
          <w:sz w:val="18"/>
          <w:szCs w:val="18"/>
        </w:rPr>
        <w:t xml:space="preserve"> the “edges” of TransGrid’s network. </w:t>
      </w:r>
      <w:proofErr w:type="gramStart"/>
      <w:r w:rsidRPr="00231516">
        <w:rPr>
          <w:sz w:val="18"/>
          <w:szCs w:val="18"/>
        </w:rPr>
        <w:t>Thus</w:t>
      </w:r>
      <w:proofErr w:type="gramEnd"/>
      <w:r w:rsidRPr="00231516">
        <w:rPr>
          <w:sz w:val="18"/>
          <w:szCs w:val="18"/>
        </w:rPr>
        <w:t xml:space="preserve"> power factor data at bulk supply points do not necessarily provide any meaningful information about the power factors in other parts of TransGrid’s network.  As the system average power factor is only a very broad estimate, the figure is given to two only significant figures (to avoid a false sense of precision).</w:t>
      </w:r>
      <w:r w:rsidRPr="00231516">
        <w:rPr>
          <w:sz w:val="18"/>
          <w:szCs w:val="18"/>
        </w:rPr>
        <w:tab/>
      </w:r>
    </w:p>
    <w:p w14:paraId="48D194CA" w14:textId="77777777" w:rsidR="00231516" w:rsidRPr="00231516" w:rsidRDefault="00231516" w:rsidP="00231516">
      <w:pPr>
        <w:pStyle w:val="BodyText"/>
        <w:rPr>
          <w:sz w:val="18"/>
          <w:szCs w:val="18"/>
        </w:rPr>
      </w:pPr>
      <w:r w:rsidRPr="00231516">
        <w:rPr>
          <w:sz w:val="18"/>
          <w:szCs w:val="18"/>
          <w:vertAlign w:val="superscript"/>
        </w:rPr>
        <w:t>[1]</w:t>
      </w:r>
      <w:r w:rsidRPr="00231516">
        <w:rPr>
          <w:sz w:val="18"/>
          <w:szCs w:val="18"/>
        </w:rPr>
        <w:t xml:space="preserve"> This stems from the fact that the reactance of transmission lines and transformers is typically several (to many) times greater than their resistance.  This leads to the voltage drops associated with reactive power flows through those network elements being commensurately higher than those associated with real power flows.  Consequently, it is much more difficult to meet reactive power needs from “remote” locations than is the case for real power needs.  This leads to reactive power needs being met on a “more local” basis.</w:t>
      </w:r>
    </w:p>
    <w:p w14:paraId="2B45EC11" w14:textId="77777777" w:rsidR="00231516" w:rsidRPr="00231516" w:rsidRDefault="00231516" w:rsidP="00231516">
      <w:pPr>
        <w:pStyle w:val="BodyText"/>
        <w:rPr>
          <w:sz w:val="18"/>
          <w:szCs w:val="18"/>
        </w:rPr>
      </w:pPr>
      <w:r w:rsidRPr="00231516">
        <w:rPr>
          <w:sz w:val="18"/>
          <w:szCs w:val="18"/>
          <w:vertAlign w:val="superscript"/>
        </w:rPr>
        <w:t>[2]</w:t>
      </w:r>
      <w:r w:rsidRPr="00231516">
        <w:rPr>
          <w:sz w:val="18"/>
          <w:szCs w:val="18"/>
        </w:rPr>
        <w:t xml:space="preserve"> At some locations the meters measure the real and reactive power flows on the customers lines supplied from the bulk supply point.  In these cases, calculations are straight forward.  At other locations, the meters measure the real and reactive power flows in the transformers at the bulk supply point.  In these </w:t>
      </w:r>
      <w:proofErr w:type="gramStart"/>
      <w:r w:rsidRPr="00231516">
        <w:rPr>
          <w:sz w:val="18"/>
          <w:szCs w:val="18"/>
        </w:rPr>
        <w:t>cases</w:t>
      </w:r>
      <w:proofErr w:type="gramEnd"/>
      <w:r w:rsidRPr="00231516">
        <w:rPr>
          <w:sz w:val="18"/>
          <w:szCs w:val="18"/>
        </w:rPr>
        <w:t xml:space="preserve"> the reactive power flows are affected by any reactive plant connected to the low voltage busbar.  Where reactive plant is also installed within the customer’s networks, it is sometimes not possible to identify, and adjust for, the impact of TransGrid’s reactive plant.  Where this is the case, the </w:t>
      </w:r>
      <w:proofErr w:type="gramStart"/>
      <w:r w:rsidRPr="00231516">
        <w:rPr>
          <w:sz w:val="18"/>
          <w:szCs w:val="18"/>
        </w:rPr>
        <w:t>particular bulk</w:t>
      </w:r>
      <w:proofErr w:type="gramEnd"/>
      <w:r w:rsidRPr="00231516">
        <w:rPr>
          <w:sz w:val="18"/>
          <w:szCs w:val="18"/>
        </w:rPr>
        <w:t xml:space="preserve"> supply points have been excluded from the calculations.</w:t>
      </w:r>
    </w:p>
    <w:p w14:paraId="347E041F" w14:textId="7D27112E" w:rsidR="00231516" w:rsidRDefault="00231516" w:rsidP="00231516">
      <w:pPr>
        <w:pStyle w:val="BodyText"/>
        <w:rPr>
          <w:sz w:val="18"/>
          <w:szCs w:val="18"/>
        </w:rPr>
      </w:pPr>
      <w:r w:rsidRPr="00231516">
        <w:rPr>
          <w:sz w:val="18"/>
          <w:szCs w:val="18"/>
          <w:vertAlign w:val="superscript"/>
        </w:rPr>
        <w:t>[3]</w:t>
      </w:r>
      <w:r w:rsidRPr="00231516">
        <w:rPr>
          <w:sz w:val="18"/>
          <w:szCs w:val="18"/>
        </w:rPr>
        <w:t xml:space="preserve"> The accuracy requirements for revenue metering installations are specified in the National Electricity Rules.</w:t>
      </w:r>
    </w:p>
    <w:p w14:paraId="5ECAFF1B" w14:textId="77777777" w:rsidR="00231516" w:rsidRDefault="00231516">
      <w:pPr>
        <w:rPr>
          <w:rFonts w:ascii="Arial" w:hAnsi="Arial"/>
          <w:color w:val="262626" w:themeColor="text1" w:themeTint="D9"/>
          <w:sz w:val="18"/>
          <w:szCs w:val="18"/>
        </w:rPr>
      </w:pPr>
      <w:r>
        <w:rPr>
          <w:sz w:val="18"/>
          <w:szCs w:val="18"/>
        </w:rPr>
        <w:br w:type="page"/>
      </w:r>
    </w:p>
    <w:p w14:paraId="60D5C27C" w14:textId="4E8CC043" w:rsidR="00BE467B" w:rsidRDefault="00BE467B" w:rsidP="0019343C">
      <w:pPr>
        <w:pStyle w:val="Heading3"/>
        <w:numPr>
          <w:ilvl w:val="2"/>
          <w:numId w:val="12"/>
        </w:numPr>
        <w:spacing w:after="240"/>
      </w:pPr>
      <w:bookmarkStart w:id="20" w:name="_Toc84499730"/>
      <w:r>
        <w:lastRenderedPageBreak/>
        <w:t>Worksheet 3.5 Physical Assets</w:t>
      </w:r>
      <w:bookmarkEnd w:id="20"/>
    </w:p>
    <w:tbl>
      <w:tblPr>
        <w:tblW w:w="5596" w:type="pct"/>
        <w:tblInd w:w="-572" w:type="dxa"/>
        <w:tblLayout w:type="fixed"/>
        <w:tblLook w:val="04A0" w:firstRow="1" w:lastRow="0" w:firstColumn="1" w:lastColumn="0" w:noHBand="0" w:noVBand="1"/>
      </w:tblPr>
      <w:tblGrid>
        <w:gridCol w:w="1987"/>
        <w:gridCol w:w="2696"/>
        <w:gridCol w:w="2659"/>
        <w:gridCol w:w="1740"/>
        <w:gridCol w:w="2692"/>
        <w:gridCol w:w="3251"/>
      </w:tblGrid>
      <w:tr w:rsidR="003A7071" w:rsidRPr="00B21581" w14:paraId="20A58321" w14:textId="77777777" w:rsidTr="008670D7">
        <w:trPr>
          <w:trHeight w:val="480"/>
          <w:tblHeader/>
        </w:trPr>
        <w:tc>
          <w:tcPr>
            <w:tcW w:w="1557"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42160E88" w14:textId="77777777" w:rsidR="003A7071" w:rsidRPr="007713F8" w:rsidRDefault="003A7071"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885" w:type="pct"/>
            <w:tcBorders>
              <w:top w:val="single" w:sz="4" w:space="0" w:color="auto"/>
              <w:left w:val="nil"/>
              <w:bottom w:val="single" w:sz="4" w:space="0" w:color="auto"/>
              <w:right w:val="single" w:sz="4" w:space="0" w:color="auto"/>
            </w:tcBorders>
            <w:shd w:val="clear" w:color="000000" w:fill="47A843" w:themeFill="accent1"/>
            <w:vAlign w:val="center"/>
            <w:hideMark/>
          </w:tcPr>
          <w:p w14:paraId="63383EE3" w14:textId="77777777" w:rsidR="003A7071" w:rsidRPr="007713F8" w:rsidRDefault="003A7071"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558"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FD16F3D" w14:textId="77777777" w:rsidR="003A7071" w:rsidRPr="007713F8" w:rsidRDefault="003A7071"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BB038E" w:rsidRPr="00B21581" w14:paraId="36E83043" w14:textId="77777777" w:rsidTr="008670D7">
        <w:trPr>
          <w:trHeight w:val="960"/>
          <w:tblHeader/>
        </w:trPr>
        <w:tc>
          <w:tcPr>
            <w:tcW w:w="661"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8A44828"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897"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2170DEBB"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885"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021D6841"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579"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D35418E"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89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F20CA6B"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1083"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68022F94" w14:textId="77777777" w:rsidR="003A7071" w:rsidRPr="007713F8" w:rsidRDefault="003A7071"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3A7071" w:rsidRPr="00B21581" w14:paraId="2BD869FA"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0490389C" w14:textId="7A2851EE" w:rsidR="003A7071" w:rsidRPr="00B21581" w:rsidRDefault="003A7071" w:rsidP="00883C6C">
            <w:pPr>
              <w:spacing w:before="100" w:beforeAutospacing="1" w:after="100" w:afterAutospacing="1"/>
              <w:rPr>
                <w:rFonts w:ascii="Arial" w:hAnsi="Arial" w:cs="Arial"/>
                <w:b/>
                <w:bCs/>
                <w:color w:val="FFFFFF"/>
                <w:sz w:val="22"/>
                <w:szCs w:val="22"/>
              </w:rPr>
            </w:pPr>
            <w:r w:rsidRPr="001E7278">
              <w:rPr>
                <w:rFonts w:ascii="Arial" w:hAnsi="Arial" w:cs="Arial"/>
                <w:b/>
                <w:bCs/>
                <w:color w:val="FFFFFF"/>
                <w:sz w:val="22"/>
                <w:szCs w:val="22"/>
              </w:rPr>
              <w:t>3.5.1 TRANSMISSION SYSTEM CAPACITIES</w:t>
            </w:r>
          </w:p>
        </w:tc>
      </w:tr>
      <w:tr w:rsidR="00BB038E" w:rsidRPr="00B21581" w14:paraId="3238D4F7" w14:textId="77777777" w:rsidTr="00525AE5">
        <w:trPr>
          <w:trHeight w:val="1649"/>
        </w:trPr>
        <w:tc>
          <w:tcPr>
            <w:tcW w:w="661" w:type="pct"/>
            <w:tcBorders>
              <w:top w:val="nil"/>
              <w:left w:val="single" w:sz="4" w:space="0" w:color="auto"/>
              <w:bottom w:val="single" w:sz="4" w:space="0" w:color="auto"/>
              <w:right w:val="single" w:sz="4" w:space="0" w:color="auto"/>
            </w:tcBorders>
            <w:shd w:val="clear" w:color="auto" w:fill="EBF1DE"/>
            <w:vAlign w:val="center"/>
          </w:tcPr>
          <w:p w14:paraId="7AF985E1" w14:textId="49CAA95D" w:rsidR="00BB038E" w:rsidRPr="00D95155" w:rsidRDefault="00BB038E" w:rsidP="00BB038E">
            <w:pPr>
              <w:rPr>
                <w:rFonts w:cstheme="minorHAnsi"/>
                <w:color w:val="auto"/>
                <w:sz w:val="18"/>
                <w:szCs w:val="18"/>
              </w:rPr>
            </w:pPr>
            <w:r w:rsidRPr="004B67AC">
              <w:rPr>
                <w:rFonts w:ascii="Arial" w:hAnsi="Arial" w:cs="Arial"/>
                <w:color w:val="auto"/>
                <w:sz w:val="18"/>
                <w:szCs w:val="18"/>
              </w:rPr>
              <w:t>Table 3.5.1.1 Overhead network length of circuit at each voltage</w:t>
            </w:r>
            <w:r w:rsidRPr="004B67AC">
              <w:rPr>
                <w:rFonts w:ascii="Arial" w:hAnsi="Arial" w:cs="Arial"/>
                <w:color w:val="auto"/>
                <w:sz w:val="18"/>
                <w:szCs w:val="18"/>
              </w:rPr>
              <w:br/>
              <w:t>TPA0101 to TPA0109</w:t>
            </w:r>
          </w:p>
        </w:tc>
        <w:tc>
          <w:tcPr>
            <w:tcW w:w="897" w:type="pct"/>
            <w:tcBorders>
              <w:top w:val="nil"/>
              <w:left w:val="nil"/>
              <w:bottom w:val="single" w:sz="4" w:space="0" w:color="auto"/>
              <w:right w:val="single" w:sz="4" w:space="0" w:color="auto"/>
            </w:tcBorders>
            <w:shd w:val="clear" w:color="auto" w:fill="EBF1DE"/>
            <w:vAlign w:val="center"/>
          </w:tcPr>
          <w:p w14:paraId="7ED02E9F" w14:textId="77777777" w:rsidR="00BB038E" w:rsidRPr="00A81A8E" w:rsidRDefault="00BB038E" w:rsidP="00BB038E">
            <w:pPr>
              <w:spacing w:line="360" w:lineRule="auto"/>
              <w:rPr>
                <w:rFonts w:ascii="Arial" w:hAnsi="Arial" w:cs="Arial"/>
                <w:color w:val="auto"/>
                <w:sz w:val="18"/>
                <w:szCs w:val="18"/>
              </w:rPr>
            </w:pPr>
            <w:r w:rsidRPr="00A81A8E">
              <w:rPr>
                <w:rFonts w:ascii="Arial" w:hAnsi="Arial" w:cs="Arial"/>
                <w:color w:val="auto"/>
                <w:sz w:val="18"/>
                <w:szCs w:val="18"/>
              </w:rPr>
              <w:t>Overhead line total length operating at each voltage.</w:t>
            </w:r>
          </w:p>
          <w:p w14:paraId="139981CD" w14:textId="77777777" w:rsidR="00BB038E" w:rsidRPr="00A81A8E" w:rsidRDefault="00BB038E" w:rsidP="00BB038E">
            <w:pPr>
              <w:spacing w:line="360" w:lineRule="auto"/>
              <w:rPr>
                <w:rFonts w:ascii="Arial" w:hAnsi="Arial" w:cs="Arial"/>
                <w:color w:val="auto"/>
                <w:sz w:val="18"/>
                <w:szCs w:val="18"/>
              </w:rPr>
            </w:pPr>
            <w:r w:rsidRPr="00A81A8E">
              <w:rPr>
                <w:rFonts w:ascii="Arial" w:hAnsi="Arial" w:cs="Arial"/>
                <w:color w:val="auto"/>
                <w:sz w:val="18"/>
                <w:szCs w:val="18"/>
              </w:rPr>
              <w:t>TransGrid has no Transmission Line assets at 275kV, 110kV, 88kV, 22kV or lower.</w:t>
            </w:r>
          </w:p>
          <w:p w14:paraId="5AAF70A0" w14:textId="77777777" w:rsidR="00BB038E" w:rsidRPr="00D95155" w:rsidRDefault="00BB038E" w:rsidP="00BB038E">
            <w:pPr>
              <w:spacing w:line="360" w:lineRule="auto"/>
              <w:rPr>
                <w:rFonts w:cstheme="minorHAnsi"/>
                <w:color w:val="auto"/>
                <w:sz w:val="18"/>
                <w:szCs w:val="18"/>
              </w:rPr>
            </w:pPr>
          </w:p>
        </w:tc>
        <w:tc>
          <w:tcPr>
            <w:tcW w:w="885" w:type="pct"/>
            <w:tcBorders>
              <w:top w:val="nil"/>
              <w:left w:val="nil"/>
              <w:bottom w:val="single" w:sz="4" w:space="0" w:color="auto"/>
              <w:right w:val="single" w:sz="4" w:space="0" w:color="auto"/>
            </w:tcBorders>
            <w:shd w:val="clear" w:color="auto" w:fill="EBF1DE"/>
            <w:vAlign w:val="center"/>
          </w:tcPr>
          <w:p w14:paraId="1D1BC842" w14:textId="031548A7" w:rsidR="00BB038E" w:rsidRPr="00D95155" w:rsidRDefault="00BB038E" w:rsidP="00BB038E">
            <w:pPr>
              <w:rPr>
                <w:rFonts w:cstheme="minorHAnsi"/>
                <w:color w:val="auto"/>
                <w:sz w:val="18"/>
                <w:szCs w:val="18"/>
              </w:rPr>
            </w:pPr>
            <w:r w:rsidRPr="004548FD">
              <w:rPr>
                <w:rFonts w:ascii="Arial" w:hAnsi="Arial" w:cs="Arial"/>
                <w:color w:val="auto"/>
                <w:sz w:val="18"/>
                <w:szCs w:val="18"/>
              </w:rPr>
              <w:t xml:space="preserve">Ellipse and TSS Data Extract in </w:t>
            </w:r>
            <w:proofErr w:type="spellStart"/>
            <w:r w:rsidRPr="004548FD">
              <w:rPr>
                <w:rFonts w:ascii="Arial" w:hAnsi="Arial" w:cs="Arial"/>
                <w:color w:val="auto"/>
                <w:sz w:val="18"/>
                <w:szCs w:val="18"/>
              </w:rPr>
              <w:t>PowerBI</w:t>
            </w:r>
            <w:proofErr w:type="spellEnd"/>
          </w:p>
        </w:tc>
        <w:tc>
          <w:tcPr>
            <w:tcW w:w="579" w:type="pct"/>
            <w:tcBorders>
              <w:top w:val="nil"/>
              <w:left w:val="nil"/>
              <w:bottom w:val="single" w:sz="4" w:space="0" w:color="auto"/>
              <w:right w:val="single" w:sz="4" w:space="0" w:color="auto"/>
            </w:tcBorders>
            <w:shd w:val="clear" w:color="auto" w:fill="EBF1DE"/>
            <w:vAlign w:val="center"/>
          </w:tcPr>
          <w:p w14:paraId="4DDE3FFA" w14:textId="6290E477" w:rsidR="00BB038E" w:rsidRPr="00D95155" w:rsidRDefault="00BB038E" w:rsidP="00BB038E">
            <w:pPr>
              <w:rPr>
                <w:rFonts w:cstheme="minorHAnsi"/>
                <w:color w:val="auto"/>
                <w:sz w:val="18"/>
                <w:szCs w:val="18"/>
              </w:rPr>
            </w:pPr>
            <w:r w:rsidRPr="004B67AC">
              <w:rPr>
                <w:rFonts w:ascii="Arial" w:hAnsi="Arial" w:cs="Arial"/>
                <w:color w:val="auto"/>
                <w:sz w:val="18"/>
                <w:szCs w:val="18"/>
              </w:rPr>
              <w:t>No</w:t>
            </w:r>
          </w:p>
        </w:tc>
        <w:tc>
          <w:tcPr>
            <w:tcW w:w="896" w:type="pct"/>
            <w:tcBorders>
              <w:top w:val="nil"/>
              <w:left w:val="nil"/>
              <w:bottom w:val="single" w:sz="4" w:space="0" w:color="auto"/>
              <w:right w:val="single" w:sz="4" w:space="0" w:color="auto"/>
            </w:tcBorders>
            <w:shd w:val="clear" w:color="auto" w:fill="EBF1DE"/>
            <w:vAlign w:val="center"/>
          </w:tcPr>
          <w:p w14:paraId="1EEABBA8" w14:textId="6B99931B" w:rsidR="00BB038E" w:rsidRPr="00D95155" w:rsidRDefault="00BB038E" w:rsidP="00BB038E">
            <w:pPr>
              <w:spacing w:line="360" w:lineRule="auto"/>
              <w:rPr>
                <w:rFonts w:cstheme="minorHAnsi"/>
                <w:color w:val="auto"/>
                <w:sz w:val="18"/>
                <w:szCs w:val="18"/>
              </w:rPr>
            </w:pPr>
            <w:r w:rsidRPr="004548FD">
              <w:rPr>
                <w:rFonts w:ascii="Arial" w:hAnsi="Arial" w:cs="Arial"/>
                <w:color w:val="auto"/>
                <w:sz w:val="18"/>
                <w:szCs w:val="18"/>
              </w:rPr>
              <w:t xml:space="preserve">The </w:t>
            </w:r>
            <w:proofErr w:type="spellStart"/>
            <w:r w:rsidRPr="004548FD">
              <w:rPr>
                <w:rFonts w:ascii="Arial" w:hAnsi="Arial" w:cs="Arial"/>
                <w:color w:val="auto"/>
                <w:sz w:val="18"/>
                <w:szCs w:val="18"/>
              </w:rPr>
              <w:t>PowerBI</w:t>
            </w:r>
            <w:proofErr w:type="spellEnd"/>
            <w:r w:rsidRPr="004548FD">
              <w:rPr>
                <w:rFonts w:ascii="Arial" w:hAnsi="Arial" w:cs="Arial"/>
                <w:color w:val="auto"/>
                <w:sz w:val="18"/>
                <w:szCs w:val="18"/>
              </w:rPr>
              <w:t xml:space="preserve"> gets asset information from Ellipse and geospatial (length etc) information from TSS, TransGrid's Geospatial Information System</w:t>
            </w:r>
          </w:p>
        </w:tc>
        <w:tc>
          <w:tcPr>
            <w:tcW w:w="1083" w:type="pct"/>
            <w:tcBorders>
              <w:top w:val="nil"/>
              <w:left w:val="nil"/>
              <w:bottom w:val="single" w:sz="4" w:space="0" w:color="auto"/>
              <w:right w:val="single" w:sz="4" w:space="0" w:color="auto"/>
            </w:tcBorders>
            <w:shd w:val="clear" w:color="auto" w:fill="EBF1DE"/>
            <w:vAlign w:val="center"/>
          </w:tcPr>
          <w:p w14:paraId="7DAD5689" w14:textId="77777777"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No assumptions were made in calculations as the asset is static.</w:t>
            </w:r>
          </w:p>
          <w:p w14:paraId="7DDDBCFA" w14:textId="77777777"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Circuits with sections of split phase arrangement are counted as a single length.</w:t>
            </w:r>
          </w:p>
          <w:p w14:paraId="2E2DE862" w14:textId="50E1D0E7" w:rsidR="00BB038E" w:rsidRPr="00BB038E"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Lines are reported at their operating voltage, although they may be constructed suitable for operation at a higher voltage. The 33kV line is strung with double circuit 132kV structures; neither end terminates at a TransGrid substation.</w:t>
            </w:r>
          </w:p>
        </w:tc>
      </w:tr>
      <w:tr w:rsidR="00BB038E" w:rsidRPr="00B21581" w14:paraId="64BFB53C" w14:textId="77777777" w:rsidTr="00525AE5">
        <w:trPr>
          <w:trHeight w:val="657"/>
        </w:trPr>
        <w:tc>
          <w:tcPr>
            <w:tcW w:w="661" w:type="pct"/>
            <w:tcBorders>
              <w:top w:val="single" w:sz="4" w:space="0" w:color="auto"/>
              <w:left w:val="single" w:sz="4" w:space="0" w:color="auto"/>
              <w:bottom w:val="single" w:sz="4" w:space="0" w:color="auto"/>
              <w:right w:val="single" w:sz="4" w:space="0" w:color="auto"/>
            </w:tcBorders>
            <w:shd w:val="clear" w:color="auto" w:fill="EBF1DE"/>
            <w:vAlign w:val="center"/>
          </w:tcPr>
          <w:p w14:paraId="33234D5F" w14:textId="44E60F72" w:rsidR="00BB038E" w:rsidRPr="00A81A8E" w:rsidRDefault="00BB038E" w:rsidP="00BB038E">
            <w:pPr>
              <w:spacing w:line="360" w:lineRule="auto"/>
              <w:rPr>
                <w:color w:val="auto"/>
                <w:sz w:val="18"/>
                <w:szCs w:val="18"/>
              </w:rPr>
            </w:pPr>
            <w:r w:rsidRPr="004B67AC">
              <w:rPr>
                <w:rFonts w:ascii="Arial" w:hAnsi="Arial" w:cs="Arial"/>
                <w:color w:val="auto"/>
                <w:sz w:val="18"/>
                <w:szCs w:val="18"/>
              </w:rPr>
              <w:t>Table 3.5.1.2 Underground cable circuit length at each voltage</w:t>
            </w:r>
            <w:r w:rsidRPr="004B67AC">
              <w:rPr>
                <w:rFonts w:ascii="Arial" w:hAnsi="Arial" w:cs="Arial"/>
                <w:color w:val="auto"/>
                <w:sz w:val="18"/>
                <w:szCs w:val="18"/>
              </w:rPr>
              <w:br/>
              <w:t>TPA0201 to TPA0211</w:t>
            </w:r>
          </w:p>
        </w:tc>
        <w:tc>
          <w:tcPr>
            <w:tcW w:w="897" w:type="pct"/>
            <w:tcBorders>
              <w:top w:val="single" w:sz="4" w:space="0" w:color="auto"/>
              <w:left w:val="nil"/>
              <w:bottom w:val="single" w:sz="4" w:space="0" w:color="auto"/>
              <w:right w:val="single" w:sz="4" w:space="0" w:color="auto"/>
            </w:tcBorders>
            <w:shd w:val="clear" w:color="auto" w:fill="EBF1DE"/>
            <w:vAlign w:val="center"/>
          </w:tcPr>
          <w:p w14:paraId="78039560" w14:textId="77777777" w:rsidR="00BB038E" w:rsidRPr="00BB038E" w:rsidRDefault="00BB038E" w:rsidP="00BB038E">
            <w:pPr>
              <w:spacing w:line="360" w:lineRule="auto"/>
              <w:rPr>
                <w:rFonts w:ascii="Arial" w:hAnsi="Arial" w:cs="Arial"/>
                <w:color w:val="auto"/>
                <w:sz w:val="18"/>
                <w:szCs w:val="18"/>
              </w:rPr>
            </w:pPr>
            <w:r w:rsidRPr="00BB038E">
              <w:rPr>
                <w:rFonts w:ascii="Arial" w:hAnsi="Arial" w:cs="Arial"/>
                <w:color w:val="auto"/>
                <w:sz w:val="18"/>
                <w:szCs w:val="18"/>
              </w:rPr>
              <w:t>Underground cable circuit length at each voltage.</w:t>
            </w:r>
          </w:p>
          <w:p w14:paraId="3C86898C" w14:textId="77777777" w:rsidR="00BB038E" w:rsidRPr="00BB038E" w:rsidRDefault="00BB038E" w:rsidP="00BB038E">
            <w:pPr>
              <w:spacing w:line="360" w:lineRule="auto"/>
              <w:rPr>
                <w:rFonts w:ascii="Arial" w:hAnsi="Arial" w:cs="Arial"/>
                <w:color w:val="auto"/>
                <w:sz w:val="18"/>
                <w:szCs w:val="18"/>
              </w:rPr>
            </w:pPr>
            <w:r w:rsidRPr="00BB038E">
              <w:rPr>
                <w:rFonts w:ascii="Arial" w:hAnsi="Arial" w:cs="Arial"/>
                <w:color w:val="auto"/>
                <w:sz w:val="18"/>
                <w:szCs w:val="18"/>
              </w:rPr>
              <w:t xml:space="preserve">TransGrid has no Underground Cable assets at </w:t>
            </w:r>
            <w:r w:rsidRPr="00BB038E">
              <w:rPr>
                <w:rFonts w:ascii="Arial" w:hAnsi="Arial" w:cs="Arial"/>
                <w:color w:val="auto"/>
                <w:sz w:val="18"/>
                <w:szCs w:val="18"/>
              </w:rPr>
              <w:lastRenderedPageBreak/>
              <w:t>500kV, 275kV, 220kV, 110kV to 22kV.</w:t>
            </w:r>
          </w:p>
          <w:p w14:paraId="663F84B1" w14:textId="5C68719F" w:rsidR="00BB038E" w:rsidRPr="00BB038E" w:rsidRDefault="00BB038E" w:rsidP="00BB038E">
            <w:pPr>
              <w:spacing w:line="360" w:lineRule="auto"/>
              <w:rPr>
                <w:rFonts w:ascii="Arial" w:hAnsi="Arial" w:cs="Arial"/>
                <w:color w:val="auto"/>
                <w:sz w:val="18"/>
                <w:szCs w:val="18"/>
              </w:rPr>
            </w:pPr>
          </w:p>
        </w:tc>
        <w:tc>
          <w:tcPr>
            <w:tcW w:w="885" w:type="pct"/>
            <w:tcBorders>
              <w:top w:val="single" w:sz="4" w:space="0" w:color="auto"/>
              <w:left w:val="nil"/>
              <w:bottom w:val="single" w:sz="4" w:space="0" w:color="auto"/>
              <w:right w:val="single" w:sz="4" w:space="0" w:color="auto"/>
            </w:tcBorders>
            <w:shd w:val="clear" w:color="auto" w:fill="EBF1DE"/>
            <w:vAlign w:val="center"/>
          </w:tcPr>
          <w:p w14:paraId="234AE353" w14:textId="77777777"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lastRenderedPageBreak/>
              <w:t>Electrical Data Book</w:t>
            </w:r>
          </w:p>
          <w:p w14:paraId="0AFFB54E" w14:textId="77777777"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Project Records (EDMS)</w:t>
            </w:r>
          </w:p>
          <w:p w14:paraId="34D4D173" w14:textId="0EDB3620" w:rsidR="00BB038E" w:rsidRPr="00BB038E" w:rsidRDefault="00BB038E" w:rsidP="00BB038E">
            <w:pPr>
              <w:spacing w:before="100" w:beforeAutospacing="1" w:after="100" w:afterAutospacing="1" w:line="360" w:lineRule="auto"/>
              <w:rPr>
                <w:rFonts w:ascii="Arial" w:hAnsi="Arial" w:cs="Arial"/>
                <w:color w:val="auto"/>
                <w:sz w:val="18"/>
                <w:szCs w:val="18"/>
              </w:rPr>
            </w:pPr>
            <w:r w:rsidRPr="004548FD">
              <w:rPr>
                <w:rFonts w:ascii="Arial" w:hAnsi="Arial" w:cs="Arial"/>
                <w:color w:val="auto"/>
                <w:sz w:val="18"/>
                <w:szCs w:val="18"/>
              </w:rPr>
              <w:t>TSS</w:t>
            </w:r>
          </w:p>
        </w:tc>
        <w:tc>
          <w:tcPr>
            <w:tcW w:w="579" w:type="pct"/>
            <w:tcBorders>
              <w:top w:val="single" w:sz="4" w:space="0" w:color="auto"/>
              <w:left w:val="nil"/>
              <w:bottom w:val="single" w:sz="4" w:space="0" w:color="auto"/>
              <w:right w:val="single" w:sz="4" w:space="0" w:color="auto"/>
            </w:tcBorders>
            <w:shd w:val="clear" w:color="auto" w:fill="EBF1DE"/>
            <w:vAlign w:val="center"/>
          </w:tcPr>
          <w:p w14:paraId="6373F341" w14:textId="0AB8135D" w:rsidR="00BB038E" w:rsidRPr="00BB038E" w:rsidRDefault="00BB038E" w:rsidP="00BB038E">
            <w:pPr>
              <w:spacing w:line="360" w:lineRule="auto"/>
              <w:rPr>
                <w:rFonts w:ascii="Arial" w:hAnsi="Arial" w:cs="Arial"/>
                <w:color w:val="auto"/>
                <w:sz w:val="18"/>
                <w:szCs w:val="18"/>
              </w:rPr>
            </w:pPr>
            <w:r w:rsidRPr="004B67AC">
              <w:rPr>
                <w:rFonts w:ascii="Arial" w:hAnsi="Arial" w:cs="Arial"/>
                <w:color w:val="auto"/>
                <w:sz w:val="18"/>
                <w:szCs w:val="18"/>
              </w:rPr>
              <w:t>No</w:t>
            </w:r>
          </w:p>
        </w:tc>
        <w:tc>
          <w:tcPr>
            <w:tcW w:w="896" w:type="pct"/>
            <w:tcBorders>
              <w:top w:val="single" w:sz="4" w:space="0" w:color="auto"/>
              <w:left w:val="nil"/>
              <w:bottom w:val="single" w:sz="4" w:space="0" w:color="auto"/>
              <w:right w:val="single" w:sz="4" w:space="0" w:color="auto"/>
            </w:tcBorders>
            <w:shd w:val="clear" w:color="auto" w:fill="EBF1DE"/>
            <w:vAlign w:val="center"/>
          </w:tcPr>
          <w:p w14:paraId="58BFCA03" w14:textId="0DCF7FBB" w:rsidR="00BB038E" w:rsidRPr="00BB038E" w:rsidRDefault="00BB038E" w:rsidP="00BB038E">
            <w:pPr>
              <w:spacing w:line="360" w:lineRule="auto"/>
              <w:rPr>
                <w:rFonts w:ascii="Arial" w:hAnsi="Arial" w:cs="Arial"/>
                <w:color w:val="auto"/>
                <w:sz w:val="18"/>
                <w:szCs w:val="18"/>
              </w:rPr>
            </w:pPr>
            <w:r w:rsidRPr="00BB038E">
              <w:rPr>
                <w:rFonts w:ascii="Arial" w:hAnsi="Arial" w:cs="Arial"/>
                <w:color w:val="auto"/>
                <w:sz w:val="18"/>
                <w:szCs w:val="18"/>
              </w:rPr>
              <w:t xml:space="preserve">TransGrid's Electrical Database (published as the Electrical Data Book) records the commissioning date of segments of transmission cable circuits. For high voltage cables within substations, the </w:t>
            </w:r>
            <w:r w:rsidRPr="00BB038E">
              <w:rPr>
                <w:rFonts w:ascii="Arial" w:hAnsi="Arial" w:cs="Arial"/>
                <w:color w:val="auto"/>
                <w:sz w:val="18"/>
                <w:szCs w:val="18"/>
              </w:rPr>
              <w:lastRenderedPageBreak/>
              <w:t>length of the cables has been estimated from project drawings</w:t>
            </w:r>
          </w:p>
        </w:tc>
        <w:tc>
          <w:tcPr>
            <w:tcW w:w="1083" w:type="pct"/>
            <w:tcBorders>
              <w:top w:val="single" w:sz="4" w:space="0" w:color="auto"/>
              <w:left w:val="nil"/>
              <w:bottom w:val="single" w:sz="4" w:space="0" w:color="auto"/>
              <w:right w:val="single" w:sz="4" w:space="0" w:color="auto"/>
            </w:tcBorders>
            <w:shd w:val="clear" w:color="auto" w:fill="EBF1DE"/>
            <w:vAlign w:val="center"/>
          </w:tcPr>
          <w:p w14:paraId="01FA50F9" w14:textId="77777777" w:rsidR="00BB038E" w:rsidRPr="00BB038E" w:rsidRDefault="00BB038E" w:rsidP="00BB038E">
            <w:pPr>
              <w:spacing w:line="360" w:lineRule="auto"/>
              <w:rPr>
                <w:rFonts w:ascii="Arial" w:hAnsi="Arial" w:cs="Arial"/>
                <w:color w:val="auto"/>
                <w:sz w:val="18"/>
                <w:szCs w:val="18"/>
              </w:rPr>
            </w:pPr>
            <w:r w:rsidRPr="00BB038E">
              <w:rPr>
                <w:rFonts w:ascii="Arial" w:hAnsi="Arial" w:cs="Arial"/>
                <w:color w:val="auto"/>
                <w:sz w:val="18"/>
                <w:szCs w:val="18"/>
              </w:rPr>
              <w:lastRenderedPageBreak/>
              <w:t>No assumptions were made in calculations as the asset is static.</w:t>
            </w:r>
          </w:p>
          <w:p w14:paraId="7B011D72" w14:textId="77777777" w:rsidR="00BB038E" w:rsidRPr="00BB038E" w:rsidRDefault="00BB038E" w:rsidP="00BB038E">
            <w:pPr>
              <w:spacing w:line="360" w:lineRule="auto"/>
              <w:rPr>
                <w:rFonts w:ascii="Arial" w:hAnsi="Arial" w:cs="Arial"/>
                <w:color w:val="auto"/>
                <w:sz w:val="18"/>
                <w:szCs w:val="18"/>
              </w:rPr>
            </w:pPr>
            <w:r w:rsidRPr="00BB038E">
              <w:rPr>
                <w:rFonts w:ascii="Arial" w:hAnsi="Arial" w:cs="Arial"/>
                <w:color w:val="auto"/>
                <w:sz w:val="18"/>
                <w:szCs w:val="18"/>
              </w:rPr>
              <w:t xml:space="preserve">Cables are reported at their operating voltage, although they may be </w:t>
            </w:r>
            <w:r w:rsidRPr="00BB038E">
              <w:rPr>
                <w:rFonts w:ascii="Arial" w:hAnsi="Arial" w:cs="Arial"/>
                <w:color w:val="auto"/>
                <w:sz w:val="18"/>
                <w:szCs w:val="18"/>
              </w:rPr>
              <w:lastRenderedPageBreak/>
              <w:t>constructed suitable for operation at a higher voltage.</w:t>
            </w:r>
          </w:p>
          <w:p w14:paraId="50B5AD21" w14:textId="79AD401D" w:rsidR="00BB038E" w:rsidRPr="00D95155" w:rsidRDefault="00BB038E" w:rsidP="00BB038E">
            <w:pPr>
              <w:rPr>
                <w:rFonts w:ascii="Arial" w:hAnsi="Arial" w:cs="Arial"/>
                <w:color w:val="auto"/>
                <w:sz w:val="18"/>
                <w:szCs w:val="18"/>
              </w:rPr>
            </w:pPr>
          </w:p>
        </w:tc>
      </w:tr>
      <w:tr w:rsidR="00BB038E" w:rsidRPr="00B21581" w14:paraId="2A90D9AA" w14:textId="77777777" w:rsidTr="00525AE5">
        <w:trPr>
          <w:trHeight w:val="960"/>
        </w:trPr>
        <w:tc>
          <w:tcPr>
            <w:tcW w:w="661" w:type="pct"/>
            <w:tcBorders>
              <w:top w:val="single" w:sz="4" w:space="0" w:color="auto"/>
              <w:left w:val="single" w:sz="4" w:space="0" w:color="auto"/>
              <w:bottom w:val="single" w:sz="4" w:space="0" w:color="auto"/>
              <w:right w:val="single" w:sz="4" w:space="0" w:color="auto"/>
            </w:tcBorders>
            <w:shd w:val="clear" w:color="auto" w:fill="EBF1DE"/>
            <w:vAlign w:val="center"/>
          </w:tcPr>
          <w:p w14:paraId="23B5B026" w14:textId="36EC28F5" w:rsidR="00BB038E" w:rsidRPr="00A81A8E" w:rsidRDefault="00BB038E" w:rsidP="00BB038E">
            <w:pPr>
              <w:spacing w:line="360" w:lineRule="auto"/>
              <w:rPr>
                <w:color w:val="auto"/>
                <w:sz w:val="18"/>
                <w:szCs w:val="18"/>
              </w:rPr>
            </w:pPr>
            <w:r w:rsidRPr="00362B7D">
              <w:rPr>
                <w:rFonts w:ascii="Arial" w:hAnsi="Arial" w:cs="Arial"/>
                <w:color w:val="auto"/>
                <w:sz w:val="18"/>
                <w:szCs w:val="18"/>
              </w:rPr>
              <w:lastRenderedPageBreak/>
              <w:t>Table 3.5.1.3 Estimated overhead network weighted average MVA capacity by voltage class</w:t>
            </w:r>
            <w:r w:rsidRPr="00362B7D">
              <w:rPr>
                <w:rFonts w:ascii="Arial" w:hAnsi="Arial" w:cs="Arial"/>
                <w:color w:val="auto"/>
                <w:sz w:val="18"/>
                <w:szCs w:val="18"/>
              </w:rPr>
              <w:br/>
              <w:t>TPA0301 to TPA0311</w:t>
            </w:r>
          </w:p>
        </w:tc>
        <w:tc>
          <w:tcPr>
            <w:tcW w:w="897" w:type="pct"/>
            <w:tcBorders>
              <w:top w:val="single" w:sz="4" w:space="0" w:color="auto"/>
              <w:left w:val="nil"/>
              <w:bottom w:val="single" w:sz="4" w:space="0" w:color="auto"/>
              <w:right w:val="single" w:sz="4" w:space="0" w:color="auto"/>
            </w:tcBorders>
            <w:shd w:val="clear" w:color="auto" w:fill="EBF1DE"/>
            <w:vAlign w:val="center"/>
          </w:tcPr>
          <w:p w14:paraId="608ABF7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This variable is interpreted as the sum of all {peak transmission circuit capacity × relevant circuit lengths} for all circuits at each voltage level, divided by the total circuit length for that voltage level.</w:t>
            </w:r>
          </w:p>
          <w:p w14:paraId="45E06EFB"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TransGrid has no Transmission Line assets at 275kV, 110kV, 88kV, 22kV or lower.</w:t>
            </w:r>
          </w:p>
          <w:p w14:paraId="12A769EC" w14:textId="77777777" w:rsidR="00BB038E" w:rsidRPr="00A81A8E" w:rsidRDefault="00BB038E" w:rsidP="00BB038E">
            <w:pPr>
              <w:spacing w:line="360" w:lineRule="auto"/>
              <w:rPr>
                <w:color w:val="auto"/>
                <w:sz w:val="18"/>
                <w:szCs w:val="18"/>
              </w:rPr>
            </w:pPr>
          </w:p>
        </w:tc>
        <w:tc>
          <w:tcPr>
            <w:tcW w:w="885" w:type="pct"/>
            <w:tcBorders>
              <w:top w:val="single" w:sz="4" w:space="0" w:color="auto"/>
              <w:left w:val="nil"/>
              <w:bottom w:val="single" w:sz="4" w:space="0" w:color="auto"/>
              <w:right w:val="single" w:sz="4" w:space="0" w:color="auto"/>
            </w:tcBorders>
            <w:shd w:val="clear" w:color="auto" w:fill="EBF1DE"/>
            <w:vAlign w:val="center"/>
          </w:tcPr>
          <w:p w14:paraId="02CFF0FB"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Uses other calculated value: TPA0101 to TPA0111</w:t>
            </w:r>
          </w:p>
          <w:p w14:paraId="7E5C7C63"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TransGrid Operating Manuals:</w:t>
            </w:r>
          </w:p>
          <w:p w14:paraId="1776E529" w14:textId="77777777" w:rsidR="009748FB" w:rsidRDefault="009748FB" w:rsidP="0019343C">
            <w:pPr>
              <w:numPr>
                <w:ilvl w:val="0"/>
                <w:numId w:val="18"/>
              </w:numPr>
              <w:spacing w:line="360" w:lineRule="auto"/>
              <w:rPr>
                <w:rFonts w:ascii="Arial" w:hAnsi="Arial" w:cs="Arial"/>
                <w:color w:val="auto"/>
                <w:sz w:val="18"/>
                <w:szCs w:val="18"/>
              </w:rPr>
            </w:pPr>
            <w:r w:rsidRPr="009748FB">
              <w:rPr>
                <w:rFonts w:ascii="Arial" w:hAnsi="Arial" w:cs="Arial"/>
                <w:color w:val="auto"/>
                <w:sz w:val="18"/>
                <w:szCs w:val="18"/>
              </w:rPr>
              <w:t>OM304 - Ratings of Main Grid Circuits</w:t>
            </w:r>
          </w:p>
          <w:p w14:paraId="14DBD9CE" w14:textId="508B9F9B" w:rsidR="009748FB" w:rsidRPr="009748FB" w:rsidRDefault="009748FB" w:rsidP="0019343C">
            <w:pPr>
              <w:numPr>
                <w:ilvl w:val="0"/>
                <w:numId w:val="18"/>
              </w:numPr>
              <w:spacing w:line="360" w:lineRule="auto"/>
              <w:rPr>
                <w:rFonts w:ascii="Arial" w:hAnsi="Arial" w:cs="Arial"/>
                <w:color w:val="auto"/>
                <w:sz w:val="18"/>
                <w:szCs w:val="18"/>
              </w:rPr>
            </w:pPr>
            <w:r w:rsidRPr="009748FB">
              <w:rPr>
                <w:rFonts w:ascii="Arial" w:hAnsi="Arial" w:cs="Arial"/>
                <w:color w:val="auto"/>
                <w:sz w:val="18"/>
                <w:szCs w:val="18"/>
              </w:rPr>
              <w:t xml:space="preserve">OM305 - Ratings of Subsystem Circuits </w:t>
            </w:r>
            <w:proofErr w:type="gramStart"/>
            <w:r w:rsidRPr="009748FB">
              <w:rPr>
                <w:rFonts w:ascii="Arial" w:hAnsi="Arial" w:cs="Arial"/>
                <w:color w:val="auto"/>
                <w:sz w:val="18"/>
                <w:szCs w:val="18"/>
              </w:rPr>
              <w:t>In</w:t>
            </w:r>
            <w:proofErr w:type="gramEnd"/>
            <w:r w:rsidRPr="009748FB">
              <w:rPr>
                <w:rFonts w:ascii="Arial" w:hAnsi="Arial" w:cs="Arial"/>
                <w:color w:val="auto"/>
                <w:sz w:val="18"/>
                <w:szCs w:val="18"/>
              </w:rPr>
              <w:t xml:space="preserve"> Northern Region</w:t>
            </w:r>
          </w:p>
          <w:p w14:paraId="513F63A4" w14:textId="77777777" w:rsidR="009748FB" w:rsidRPr="009748FB" w:rsidRDefault="009748FB" w:rsidP="0019343C">
            <w:pPr>
              <w:numPr>
                <w:ilvl w:val="0"/>
                <w:numId w:val="18"/>
              </w:numPr>
              <w:spacing w:line="360" w:lineRule="auto"/>
              <w:rPr>
                <w:rFonts w:ascii="Arial" w:hAnsi="Arial" w:cs="Arial"/>
                <w:color w:val="auto"/>
                <w:sz w:val="18"/>
                <w:szCs w:val="18"/>
              </w:rPr>
            </w:pPr>
            <w:r w:rsidRPr="009748FB">
              <w:rPr>
                <w:rFonts w:ascii="Arial" w:hAnsi="Arial" w:cs="Arial"/>
                <w:color w:val="auto"/>
                <w:sz w:val="18"/>
                <w:szCs w:val="18"/>
              </w:rPr>
              <w:t xml:space="preserve">OM306 - Ratings </w:t>
            </w:r>
            <w:proofErr w:type="gramStart"/>
            <w:r w:rsidRPr="009748FB">
              <w:rPr>
                <w:rFonts w:ascii="Arial" w:hAnsi="Arial" w:cs="Arial"/>
                <w:color w:val="auto"/>
                <w:sz w:val="18"/>
                <w:szCs w:val="18"/>
              </w:rPr>
              <w:t>Of</w:t>
            </w:r>
            <w:proofErr w:type="gramEnd"/>
            <w:r w:rsidRPr="009748FB">
              <w:rPr>
                <w:rFonts w:ascii="Arial" w:hAnsi="Arial" w:cs="Arial"/>
                <w:color w:val="auto"/>
                <w:sz w:val="18"/>
                <w:szCs w:val="18"/>
              </w:rPr>
              <w:t xml:space="preserve"> Subsystem Circuits In Central Region</w:t>
            </w:r>
          </w:p>
          <w:p w14:paraId="07DE6013" w14:textId="77777777" w:rsidR="009748FB" w:rsidRPr="009748FB" w:rsidRDefault="009748FB" w:rsidP="0019343C">
            <w:pPr>
              <w:numPr>
                <w:ilvl w:val="0"/>
                <w:numId w:val="18"/>
              </w:numPr>
              <w:spacing w:line="360" w:lineRule="auto"/>
              <w:rPr>
                <w:rFonts w:ascii="Arial" w:hAnsi="Arial" w:cs="Arial"/>
                <w:color w:val="auto"/>
                <w:sz w:val="18"/>
                <w:szCs w:val="18"/>
              </w:rPr>
            </w:pPr>
            <w:r w:rsidRPr="009748FB">
              <w:rPr>
                <w:rFonts w:ascii="Arial" w:hAnsi="Arial" w:cs="Arial"/>
                <w:color w:val="auto"/>
                <w:sz w:val="18"/>
                <w:szCs w:val="18"/>
              </w:rPr>
              <w:t xml:space="preserve">OM307 - Ratings of Subsystem Circuits </w:t>
            </w:r>
            <w:proofErr w:type="gramStart"/>
            <w:r w:rsidRPr="009748FB">
              <w:rPr>
                <w:rFonts w:ascii="Arial" w:hAnsi="Arial" w:cs="Arial"/>
                <w:color w:val="auto"/>
                <w:sz w:val="18"/>
                <w:szCs w:val="18"/>
              </w:rPr>
              <w:t>In</w:t>
            </w:r>
            <w:proofErr w:type="gramEnd"/>
            <w:r w:rsidRPr="009748FB">
              <w:rPr>
                <w:rFonts w:ascii="Arial" w:hAnsi="Arial" w:cs="Arial"/>
                <w:color w:val="auto"/>
                <w:sz w:val="18"/>
                <w:szCs w:val="18"/>
              </w:rPr>
              <w:t xml:space="preserve"> Southern Region</w:t>
            </w:r>
          </w:p>
          <w:p w14:paraId="7918760A"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lastRenderedPageBreak/>
              <w:t>TUOS for time of maximum demand determination</w:t>
            </w:r>
          </w:p>
          <w:p w14:paraId="3B17489A" w14:textId="14CE66F9" w:rsidR="00BB038E"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For the 33kV line, as neither end terminates at a TransGrid substation the connection agreement was used.</w:t>
            </w:r>
          </w:p>
        </w:tc>
        <w:tc>
          <w:tcPr>
            <w:tcW w:w="579" w:type="pct"/>
            <w:tcBorders>
              <w:top w:val="single" w:sz="4" w:space="0" w:color="auto"/>
              <w:left w:val="nil"/>
              <w:bottom w:val="single" w:sz="4" w:space="0" w:color="auto"/>
              <w:right w:val="single" w:sz="4" w:space="0" w:color="auto"/>
            </w:tcBorders>
            <w:shd w:val="clear" w:color="auto" w:fill="EBF1DE"/>
            <w:vAlign w:val="center"/>
          </w:tcPr>
          <w:p w14:paraId="07491770" w14:textId="6FE33AB5" w:rsidR="00BB038E" w:rsidRPr="00D95155" w:rsidRDefault="00BB038E" w:rsidP="00BB038E">
            <w:pPr>
              <w:rPr>
                <w:rFonts w:ascii="Arial" w:hAnsi="Arial" w:cs="Arial"/>
                <w:color w:val="auto"/>
                <w:sz w:val="18"/>
                <w:szCs w:val="18"/>
              </w:rPr>
            </w:pPr>
            <w:r w:rsidRPr="004548FD">
              <w:rPr>
                <w:rFonts w:ascii="Arial" w:hAnsi="Arial" w:cs="Arial"/>
                <w:color w:val="auto"/>
                <w:sz w:val="18"/>
                <w:szCs w:val="18"/>
              </w:rPr>
              <w:lastRenderedPageBreak/>
              <w:t>No</w:t>
            </w:r>
          </w:p>
        </w:tc>
        <w:tc>
          <w:tcPr>
            <w:tcW w:w="896" w:type="pct"/>
            <w:tcBorders>
              <w:top w:val="single" w:sz="4" w:space="0" w:color="auto"/>
              <w:left w:val="nil"/>
              <w:bottom w:val="single" w:sz="4" w:space="0" w:color="auto"/>
              <w:right w:val="single" w:sz="4" w:space="0" w:color="auto"/>
            </w:tcBorders>
            <w:shd w:val="clear" w:color="auto" w:fill="EBF1DE"/>
            <w:vAlign w:val="center"/>
          </w:tcPr>
          <w:p w14:paraId="106852F3"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Line ratings vary on time of year and time of day, TUOS was used to determine date/time of maximum demand and thus which rating to use. For FY21, the maximum demand was </w:t>
            </w:r>
            <w:proofErr w:type="gramStart"/>
            <w:r w:rsidRPr="009748FB">
              <w:rPr>
                <w:rFonts w:ascii="Arial" w:hAnsi="Arial" w:cs="Arial"/>
                <w:color w:val="auto"/>
                <w:sz w:val="18"/>
                <w:szCs w:val="18"/>
              </w:rPr>
              <w:t>in</w:t>
            </w:r>
            <w:proofErr w:type="gramEnd"/>
            <w:r w:rsidRPr="009748FB">
              <w:rPr>
                <w:rFonts w:ascii="Arial" w:hAnsi="Arial" w:cs="Arial"/>
                <w:color w:val="auto"/>
                <w:sz w:val="18"/>
                <w:szCs w:val="18"/>
              </w:rPr>
              <w:t xml:space="preserve"> 10 June at 1800 hrs, so Winter Night ratings were used.</w:t>
            </w:r>
          </w:p>
          <w:p w14:paraId="0D42E5CF"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The "Normal MVA" ratings applicable for the time of maximum demand for each line were entered into a spreadsheet which multiplied the rating with the length of the line (obtained as part of the TPA0101 to TPA0111 </w:t>
            </w:r>
            <w:r w:rsidRPr="009748FB">
              <w:rPr>
                <w:rFonts w:ascii="Arial" w:hAnsi="Arial" w:cs="Arial"/>
                <w:color w:val="auto"/>
                <w:sz w:val="18"/>
                <w:szCs w:val="18"/>
              </w:rPr>
              <w:lastRenderedPageBreak/>
              <w:t>calculation) to give a MVA × km value.</w:t>
            </w:r>
          </w:p>
          <w:p w14:paraId="32B247AF" w14:textId="1C7BB056" w:rsidR="00BB038E" w:rsidRPr="00D95155"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The sum of the MVA × km values was then divided by the determined kilometres for the voltage class in TPA0101 to TPA0111.</w:t>
            </w:r>
          </w:p>
        </w:tc>
        <w:tc>
          <w:tcPr>
            <w:tcW w:w="1083" w:type="pct"/>
            <w:tcBorders>
              <w:top w:val="single" w:sz="4" w:space="0" w:color="auto"/>
              <w:left w:val="nil"/>
              <w:bottom w:val="single" w:sz="4" w:space="0" w:color="auto"/>
              <w:right w:val="single" w:sz="4" w:space="0" w:color="auto"/>
            </w:tcBorders>
            <w:shd w:val="clear" w:color="auto" w:fill="EBF1DE"/>
            <w:vAlign w:val="center"/>
          </w:tcPr>
          <w:p w14:paraId="59C57638"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lastRenderedPageBreak/>
              <w:t xml:space="preserve">Constrained values are included where applicable. </w:t>
            </w:r>
            <w:proofErr w:type="gramStart"/>
            <w:r w:rsidRPr="009748FB">
              <w:rPr>
                <w:rFonts w:ascii="Arial" w:hAnsi="Arial" w:cs="Arial"/>
                <w:color w:val="auto"/>
                <w:sz w:val="18"/>
                <w:szCs w:val="18"/>
              </w:rPr>
              <w:t>E.g.</w:t>
            </w:r>
            <w:proofErr w:type="gramEnd"/>
            <w:r w:rsidRPr="009748FB">
              <w:rPr>
                <w:rFonts w:ascii="Arial" w:hAnsi="Arial" w:cs="Arial"/>
                <w:color w:val="auto"/>
                <w:sz w:val="18"/>
                <w:szCs w:val="18"/>
              </w:rPr>
              <w:t xml:space="preserve"> A line rating may be constrained by terminal equipment (such as CT's, </w:t>
            </w:r>
            <w:proofErr w:type="spellStart"/>
            <w:r w:rsidRPr="009748FB">
              <w:rPr>
                <w:rFonts w:ascii="Arial" w:hAnsi="Arial" w:cs="Arial"/>
                <w:color w:val="auto"/>
                <w:sz w:val="18"/>
                <w:szCs w:val="18"/>
              </w:rPr>
              <w:t>wavetraps</w:t>
            </w:r>
            <w:proofErr w:type="spellEnd"/>
            <w:r w:rsidRPr="009748FB">
              <w:rPr>
                <w:rFonts w:ascii="Arial" w:hAnsi="Arial" w:cs="Arial"/>
                <w:color w:val="auto"/>
                <w:sz w:val="18"/>
                <w:szCs w:val="18"/>
              </w:rPr>
              <w:t>, etc). In this case the constrained value will be entered, not the line rating.</w:t>
            </w:r>
          </w:p>
          <w:p w14:paraId="07551C1D"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Where the ratings are dependent on the load flow direction, the most likely direction will be shown. This is based on:</w:t>
            </w:r>
          </w:p>
          <w:p w14:paraId="672428E0" w14:textId="77777777" w:rsidR="009748FB" w:rsidRPr="009748FB" w:rsidRDefault="009748FB" w:rsidP="0019343C">
            <w:pPr>
              <w:numPr>
                <w:ilvl w:val="0"/>
                <w:numId w:val="19"/>
              </w:numPr>
              <w:spacing w:line="360" w:lineRule="auto"/>
              <w:rPr>
                <w:rFonts w:ascii="Arial" w:hAnsi="Arial" w:cs="Arial"/>
                <w:color w:val="auto"/>
                <w:sz w:val="18"/>
                <w:szCs w:val="18"/>
              </w:rPr>
            </w:pPr>
            <w:r w:rsidRPr="009748FB">
              <w:rPr>
                <w:rFonts w:ascii="Arial" w:hAnsi="Arial" w:cs="Arial"/>
                <w:color w:val="auto"/>
                <w:sz w:val="18"/>
                <w:szCs w:val="18"/>
              </w:rPr>
              <w:t>Load will be going away from Generator sites</w:t>
            </w:r>
          </w:p>
          <w:p w14:paraId="7C74DEB6" w14:textId="4B986463" w:rsidR="00BB038E" w:rsidRPr="009748FB" w:rsidRDefault="009748FB" w:rsidP="0019343C">
            <w:pPr>
              <w:numPr>
                <w:ilvl w:val="0"/>
                <w:numId w:val="19"/>
              </w:numPr>
              <w:spacing w:line="360" w:lineRule="auto"/>
              <w:rPr>
                <w:rFonts w:ascii="Arial" w:hAnsi="Arial" w:cs="Arial"/>
                <w:color w:val="auto"/>
                <w:sz w:val="18"/>
                <w:szCs w:val="18"/>
              </w:rPr>
            </w:pPr>
            <w:r w:rsidRPr="009748FB">
              <w:rPr>
                <w:rFonts w:ascii="Arial" w:hAnsi="Arial" w:cs="Arial"/>
                <w:color w:val="auto"/>
                <w:sz w:val="18"/>
                <w:szCs w:val="18"/>
              </w:rPr>
              <w:t xml:space="preserve">Load is assumed to flow from the higher voltage site, </w:t>
            </w:r>
            <w:r w:rsidRPr="009748FB">
              <w:rPr>
                <w:rFonts w:ascii="Arial" w:hAnsi="Arial" w:cs="Arial"/>
                <w:color w:val="auto"/>
                <w:sz w:val="18"/>
                <w:szCs w:val="18"/>
              </w:rPr>
              <w:lastRenderedPageBreak/>
              <w:t>or the site closest to the higher voltage network.</w:t>
            </w:r>
          </w:p>
        </w:tc>
      </w:tr>
      <w:tr w:rsidR="00BB038E" w:rsidRPr="00B21581" w14:paraId="447DD3FF" w14:textId="77777777" w:rsidTr="00525AE5">
        <w:trPr>
          <w:trHeight w:val="960"/>
        </w:trPr>
        <w:tc>
          <w:tcPr>
            <w:tcW w:w="661" w:type="pct"/>
            <w:tcBorders>
              <w:top w:val="single" w:sz="4" w:space="0" w:color="auto"/>
              <w:left w:val="single" w:sz="4" w:space="0" w:color="auto"/>
              <w:bottom w:val="single" w:sz="4" w:space="0" w:color="auto"/>
              <w:right w:val="single" w:sz="4" w:space="0" w:color="auto"/>
            </w:tcBorders>
            <w:shd w:val="clear" w:color="auto" w:fill="EBF1DE"/>
            <w:vAlign w:val="center"/>
          </w:tcPr>
          <w:p w14:paraId="17B11285" w14:textId="2A3ABBAC" w:rsidR="00BB038E" w:rsidRPr="00362B7D" w:rsidRDefault="00BB038E" w:rsidP="00BB038E">
            <w:pPr>
              <w:spacing w:line="360" w:lineRule="auto"/>
              <w:rPr>
                <w:rFonts w:ascii="Arial" w:hAnsi="Arial" w:cs="Arial"/>
                <w:color w:val="auto"/>
                <w:sz w:val="18"/>
                <w:szCs w:val="18"/>
              </w:rPr>
            </w:pPr>
            <w:r w:rsidRPr="00362B7D">
              <w:rPr>
                <w:rFonts w:ascii="Arial" w:hAnsi="Arial" w:cs="Arial"/>
                <w:color w:val="auto"/>
                <w:sz w:val="18"/>
                <w:szCs w:val="18"/>
              </w:rPr>
              <w:lastRenderedPageBreak/>
              <w:t>Table 3.5.1.4 Estimated underground network weighted average MVA capacity by voltage class</w:t>
            </w:r>
            <w:r w:rsidRPr="00362B7D">
              <w:rPr>
                <w:rFonts w:ascii="Arial" w:hAnsi="Arial" w:cs="Arial"/>
                <w:color w:val="auto"/>
                <w:sz w:val="18"/>
                <w:szCs w:val="18"/>
              </w:rPr>
              <w:br/>
              <w:t>TPA0401 to TPA0411</w:t>
            </w:r>
          </w:p>
        </w:tc>
        <w:tc>
          <w:tcPr>
            <w:tcW w:w="897" w:type="pct"/>
            <w:tcBorders>
              <w:top w:val="single" w:sz="4" w:space="0" w:color="auto"/>
              <w:left w:val="nil"/>
              <w:bottom w:val="single" w:sz="4" w:space="0" w:color="auto"/>
              <w:right w:val="single" w:sz="4" w:space="0" w:color="auto"/>
            </w:tcBorders>
            <w:shd w:val="clear" w:color="auto" w:fill="EBF1DE"/>
            <w:vAlign w:val="center"/>
          </w:tcPr>
          <w:p w14:paraId="4C20DE4E"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This variable is interpreted as the sum of all {peak transmission circuit capacity × relevant circuit lengths} for all underground circuits at each voltage level, divided by the total underground circuit lengths at that voltage level.</w:t>
            </w:r>
          </w:p>
          <w:p w14:paraId="23FD2F94"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TransGrid has no Underground transmission Cable assets at 500kV, 275kV, 220 kV, 110kV to 22kV.</w:t>
            </w:r>
          </w:p>
          <w:p w14:paraId="7F202A24" w14:textId="77777777" w:rsidR="00BB038E" w:rsidRPr="00A81A8E" w:rsidRDefault="00BB038E" w:rsidP="009748FB">
            <w:pPr>
              <w:spacing w:line="360" w:lineRule="auto"/>
              <w:rPr>
                <w:rFonts w:ascii="Arial" w:hAnsi="Arial" w:cs="Arial"/>
                <w:color w:val="auto"/>
                <w:sz w:val="18"/>
                <w:szCs w:val="18"/>
              </w:rPr>
            </w:pPr>
          </w:p>
        </w:tc>
        <w:tc>
          <w:tcPr>
            <w:tcW w:w="885" w:type="pct"/>
            <w:tcBorders>
              <w:top w:val="single" w:sz="4" w:space="0" w:color="auto"/>
              <w:left w:val="nil"/>
              <w:bottom w:val="single" w:sz="4" w:space="0" w:color="auto"/>
              <w:right w:val="single" w:sz="4" w:space="0" w:color="auto"/>
            </w:tcBorders>
            <w:shd w:val="clear" w:color="auto" w:fill="EBF1DE"/>
            <w:vAlign w:val="center"/>
          </w:tcPr>
          <w:p w14:paraId="250BD880"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Uses other calculated value TPA0201 to TPA0211.</w:t>
            </w:r>
          </w:p>
          <w:p w14:paraId="527D5F5F"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TransGrid Operating Manual OM304 Ratings of Main Grid Circuits.</w:t>
            </w:r>
          </w:p>
          <w:p w14:paraId="2EC0942F"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TUOS for time of maximum demand determination</w:t>
            </w:r>
          </w:p>
          <w:p w14:paraId="0FFD9F44" w14:textId="593017BF" w:rsidR="00BB038E" w:rsidRPr="004548FD" w:rsidRDefault="00BB038E" w:rsidP="009748FB">
            <w:pPr>
              <w:spacing w:line="360" w:lineRule="auto"/>
              <w:rPr>
                <w:rFonts w:ascii="Arial" w:hAnsi="Arial" w:cs="Arial"/>
                <w:color w:val="auto"/>
                <w:sz w:val="18"/>
                <w:szCs w:val="18"/>
              </w:rPr>
            </w:pPr>
          </w:p>
        </w:tc>
        <w:tc>
          <w:tcPr>
            <w:tcW w:w="579" w:type="pct"/>
            <w:tcBorders>
              <w:top w:val="single" w:sz="4" w:space="0" w:color="auto"/>
              <w:left w:val="nil"/>
              <w:bottom w:val="single" w:sz="4" w:space="0" w:color="auto"/>
              <w:right w:val="single" w:sz="4" w:space="0" w:color="auto"/>
            </w:tcBorders>
            <w:shd w:val="clear" w:color="auto" w:fill="EBF1DE"/>
            <w:vAlign w:val="center"/>
          </w:tcPr>
          <w:p w14:paraId="0FD3B4AB" w14:textId="778E1BCE" w:rsidR="00BB038E" w:rsidRPr="004548FD" w:rsidRDefault="00BB038E" w:rsidP="00BB038E">
            <w:pPr>
              <w:rPr>
                <w:rFonts w:ascii="Arial" w:hAnsi="Arial" w:cs="Arial"/>
                <w:color w:val="auto"/>
                <w:sz w:val="18"/>
                <w:szCs w:val="18"/>
              </w:rPr>
            </w:pPr>
            <w:r w:rsidRPr="004548FD">
              <w:rPr>
                <w:rFonts w:ascii="Arial" w:hAnsi="Arial" w:cs="Arial"/>
                <w:color w:val="auto"/>
                <w:sz w:val="18"/>
                <w:szCs w:val="18"/>
              </w:rPr>
              <w:t>No</w:t>
            </w:r>
          </w:p>
        </w:tc>
        <w:tc>
          <w:tcPr>
            <w:tcW w:w="896" w:type="pct"/>
            <w:tcBorders>
              <w:top w:val="single" w:sz="4" w:space="0" w:color="auto"/>
              <w:left w:val="nil"/>
              <w:bottom w:val="single" w:sz="4" w:space="0" w:color="auto"/>
              <w:right w:val="single" w:sz="4" w:space="0" w:color="auto"/>
            </w:tcBorders>
            <w:shd w:val="clear" w:color="auto" w:fill="EBF1DE"/>
            <w:vAlign w:val="center"/>
          </w:tcPr>
          <w:p w14:paraId="769C7E77"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Cable ratings can vary on time of year, TUOS was used to determine date/time of maximum demand and thus which rating to use. For FY21, the maximum demand was on 10 June at 1800 hrs, so Winter Night ratings were used.</w:t>
            </w:r>
          </w:p>
          <w:p w14:paraId="6CAC8B2C"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The normal cyclic rating was multiplied by the length of the circuit to give an MVA × km value. The sum of the MVA × km values was then divided by the determined kilometres for the voltage class TPA0202 to </w:t>
            </w:r>
            <w:r w:rsidRPr="009748FB">
              <w:rPr>
                <w:rFonts w:ascii="Arial" w:hAnsi="Arial" w:cs="Arial"/>
                <w:color w:val="auto"/>
                <w:sz w:val="18"/>
                <w:szCs w:val="18"/>
              </w:rPr>
              <w:lastRenderedPageBreak/>
              <w:t>TPA211 to determine a weighted average MVA.</w:t>
            </w:r>
          </w:p>
          <w:p w14:paraId="47C6CA1B" w14:textId="7DAB434A" w:rsidR="00BB038E" w:rsidRPr="004548FD" w:rsidRDefault="009748FB" w:rsidP="00BB038E">
            <w:pPr>
              <w:spacing w:line="360" w:lineRule="auto"/>
              <w:rPr>
                <w:rFonts w:ascii="Arial" w:hAnsi="Arial" w:cs="Arial"/>
                <w:color w:val="auto"/>
                <w:sz w:val="18"/>
                <w:szCs w:val="18"/>
              </w:rPr>
            </w:pPr>
            <w:r w:rsidRPr="009748FB">
              <w:rPr>
                <w:rFonts w:ascii="Arial" w:hAnsi="Arial" w:cs="Arial"/>
                <w:color w:val="auto"/>
                <w:sz w:val="18"/>
                <w:szCs w:val="18"/>
              </w:rPr>
              <w:t>Note that in 19.7 km 330 kV cable was derated in FY17 due to backfill issues.</w:t>
            </w:r>
          </w:p>
        </w:tc>
        <w:tc>
          <w:tcPr>
            <w:tcW w:w="1083" w:type="pct"/>
            <w:tcBorders>
              <w:top w:val="single" w:sz="4" w:space="0" w:color="auto"/>
              <w:left w:val="nil"/>
              <w:bottom w:val="single" w:sz="4" w:space="0" w:color="auto"/>
              <w:right w:val="single" w:sz="4" w:space="0" w:color="auto"/>
            </w:tcBorders>
            <w:shd w:val="clear" w:color="auto" w:fill="EBF1DE"/>
            <w:vAlign w:val="center"/>
          </w:tcPr>
          <w:p w14:paraId="30443A50" w14:textId="248CD25F"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lastRenderedPageBreak/>
              <w:t>It is assumed that the AER require Cyclic rating for underground cables</w:t>
            </w:r>
          </w:p>
        </w:tc>
      </w:tr>
      <w:tr w:rsidR="00BB038E" w:rsidRPr="00B21581" w14:paraId="7F90B583" w14:textId="77777777" w:rsidTr="00525AE5">
        <w:trPr>
          <w:trHeight w:val="960"/>
        </w:trPr>
        <w:tc>
          <w:tcPr>
            <w:tcW w:w="661" w:type="pct"/>
            <w:tcBorders>
              <w:top w:val="single" w:sz="4" w:space="0" w:color="auto"/>
              <w:left w:val="single" w:sz="4" w:space="0" w:color="auto"/>
              <w:bottom w:val="single" w:sz="4" w:space="0" w:color="auto"/>
              <w:right w:val="single" w:sz="4" w:space="0" w:color="auto"/>
            </w:tcBorders>
            <w:shd w:val="clear" w:color="auto" w:fill="EBF1DE"/>
            <w:vAlign w:val="center"/>
          </w:tcPr>
          <w:p w14:paraId="5DC8182C" w14:textId="6D905933" w:rsidR="00BB038E" w:rsidRPr="00362B7D" w:rsidRDefault="00BB038E" w:rsidP="00BB038E">
            <w:pPr>
              <w:spacing w:line="360" w:lineRule="auto"/>
              <w:rPr>
                <w:rFonts w:ascii="Arial" w:hAnsi="Arial" w:cs="Arial"/>
                <w:color w:val="auto"/>
                <w:sz w:val="18"/>
                <w:szCs w:val="18"/>
              </w:rPr>
            </w:pPr>
            <w:r w:rsidRPr="00362B7D">
              <w:rPr>
                <w:rFonts w:ascii="Arial" w:hAnsi="Arial" w:cs="Arial"/>
                <w:color w:val="auto"/>
                <w:sz w:val="18"/>
                <w:szCs w:val="18"/>
              </w:rPr>
              <w:t>Table 3.5.1.5 Installed transmission system transformer capacity TPA0501 to TPA0506</w:t>
            </w:r>
          </w:p>
        </w:tc>
        <w:tc>
          <w:tcPr>
            <w:tcW w:w="897" w:type="pct"/>
            <w:tcBorders>
              <w:top w:val="single" w:sz="4" w:space="0" w:color="auto"/>
              <w:left w:val="nil"/>
              <w:bottom w:val="single" w:sz="4" w:space="0" w:color="auto"/>
              <w:right w:val="single" w:sz="4" w:space="0" w:color="auto"/>
            </w:tcBorders>
            <w:shd w:val="clear" w:color="auto" w:fill="EBF1DE"/>
            <w:vAlign w:val="center"/>
          </w:tcPr>
          <w:p w14:paraId="711B268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These were taken to be the sum of nameplate capacities of transformers with a primary winding voltage rating of 220 kV and above and not used to supply load directly.</w:t>
            </w:r>
          </w:p>
          <w:p w14:paraId="39A25081"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b/>
                <w:bCs/>
                <w:color w:val="auto"/>
                <w:sz w:val="18"/>
                <w:szCs w:val="18"/>
              </w:rPr>
              <w:t>TPA0502 Terminal points to DNSP systems</w:t>
            </w:r>
            <w:r w:rsidRPr="009748FB">
              <w:rPr>
                <w:rFonts w:ascii="Arial" w:hAnsi="Arial" w:cs="Arial"/>
                <w:color w:val="auto"/>
                <w:sz w:val="18"/>
                <w:szCs w:val="18"/>
              </w:rPr>
              <w:t>: Transformers primarily used to directly supply DNSP load.</w:t>
            </w:r>
          </w:p>
          <w:p w14:paraId="22F72CB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b/>
                <w:bCs/>
                <w:color w:val="auto"/>
                <w:sz w:val="18"/>
                <w:szCs w:val="18"/>
              </w:rPr>
              <w:t>TPA0503 Transformer capacity for directly connected end-users owned by the TNSP</w:t>
            </w:r>
            <w:r w:rsidRPr="009748FB">
              <w:rPr>
                <w:rFonts w:ascii="Arial" w:hAnsi="Arial" w:cs="Arial"/>
                <w:color w:val="auto"/>
                <w:sz w:val="18"/>
                <w:szCs w:val="18"/>
              </w:rPr>
              <w:t xml:space="preserve">: Transformers used to supply direct </w:t>
            </w:r>
            <w:r w:rsidRPr="009748FB">
              <w:rPr>
                <w:rFonts w:ascii="Arial" w:hAnsi="Arial" w:cs="Arial"/>
                <w:color w:val="auto"/>
                <w:sz w:val="18"/>
                <w:szCs w:val="18"/>
              </w:rPr>
              <w:lastRenderedPageBreak/>
              <w:t>customers exclusively. Owned by TransGrid.</w:t>
            </w:r>
          </w:p>
          <w:p w14:paraId="7F7B701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b/>
                <w:bCs/>
                <w:color w:val="auto"/>
                <w:sz w:val="18"/>
                <w:szCs w:val="18"/>
              </w:rPr>
              <w:t>TPA0504 Transformer capacity for directly connected end-users owned by the end- user</w:t>
            </w:r>
            <w:r w:rsidRPr="009748FB">
              <w:rPr>
                <w:rFonts w:ascii="Arial" w:hAnsi="Arial" w:cs="Arial"/>
                <w:color w:val="auto"/>
                <w:sz w:val="18"/>
                <w:szCs w:val="18"/>
              </w:rPr>
              <w:t>: Transformers used to supply direct customers exclusively. Owned by the customer. These transformers were separately identified and may not be part of TransGrid's asset management system.</w:t>
            </w:r>
          </w:p>
          <w:p w14:paraId="3D886671"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b/>
                <w:bCs/>
                <w:color w:val="auto"/>
                <w:sz w:val="18"/>
                <w:szCs w:val="18"/>
              </w:rPr>
              <w:t>TPA0505 Interconnector capacity</w:t>
            </w:r>
            <w:r w:rsidRPr="009748FB">
              <w:rPr>
                <w:rFonts w:ascii="Arial" w:hAnsi="Arial" w:cs="Arial"/>
                <w:color w:val="auto"/>
                <w:sz w:val="18"/>
                <w:szCs w:val="18"/>
              </w:rPr>
              <w:t>: These were taken to be transformers used to directly connect interstate. None were identified.</w:t>
            </w:r>
          </w:p>
          <w:p w14:paraId="60542F4B" w14:textId="50945E73" w:rsidR="00BB038E" w:rsidRPr="009748FB" w:rsidRDefault="009748FB" w:rsidP="009748FB">
            <w:pPr>
              <w:spacing w:line="360" w:lineRule="auto"/>
              <w:rPr>
                <w:rFonts w:ascii="Arial" w:hAnsi="Arial" w:cs="Arial"/>
                <w:color w:val="auto"/>
                <w:sz w:val="18"/>
                <w:szCs w:val="18"/>
              </w:rPr>
            </w:pPr>
            <w:r w:rsidRPr="009748FB">
              <w:rPr>
                <w:rFonts w:ascii="Arial" w:hAnsi="Arial" w:cs="Arial"/>
                <w:b/>
                <w:bCs/>
                <w:color w:val="auto"/>
                <w:sz w:val="18"/>
                <w:szCs w:val="18"/>
              </w:rPr>
              <w:t>TPA0506 Other</w:t>
            </w:r>
            <w:r w:rsidRPr="009748FB">
              <w:rPr>
                <w:rFonts w:ascii="Arial" w:hAnsi="Arial" w:cs="Arial"/>
                <w:color w:val="auto"/>
                <w:sz w:val="18"/>
                <w:szCs w:val="18"/>
              </w:rPr>
              <w:t xml:space="preserve">: Dedicated SVC/Reactor Transformers - Transformers used to connect SVC/Reactors to the network. </w:t>
            </w:r>
            <w:r w:rsidRPr="009748FB">
              <w:rPr>
                <w:rFonts w:ascii="Arial" w:hAnsi="Arial" w:cs="Arial"/>
                <w:color w:val="auto"/>
                <w:sz w:val="18"/>
                <w:szCs w:val="18"/>
              </w:rPr>
              <w:lastRenderedPageBreak/>
              <w:t>They do not fit into any of the above categories</w:t>
            </w:r>
          </w:p>
        </w:tc>
        <w:tc>
          <w:tcPr>
            <w:tcW w:w="885" w:type="pct"/>
            <w:tcBorders>
              <w:top w:val="single" w:sz="4" w:space="0" w:color="auto"/>
              <w:left w:val="nil"/>
              <w:bottom w:val="single" w:sz="4" w:space="0" w:color="auto"/>
              <w:right w:val="single" w:sz="4" w:space="0" w:color="auto"/>
            </w:tcBorders>
            <w:shd w:val="clear" w:color="auto" w:fill="EBF1DE"/>
            <w:vAlign w:val="center"/>
          </w:tcPr>
          <w:p w14:paraId="7952F67E"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lastRenderedPageBreak/>
              <w:t>Ellipse: Equipment Register Tracing Data Nameplate Data</w:t>
            </w:r>
          </w:p>
          <w:p w14:paraId="7EC741B2"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System operating diagrams and amendments GM AS S1 009 and amendments - In-Service and Spare Power Transformers and Reactors Equipment Manuals</w:t>
            </w:r>
          </w:p>
          <w:p w14:paraId="18A72BE3" w14:textId="77777777" w:rsidR="00BB038E" w:rsidRPr="004548FD" w:rsidRDefault="00BB038E" w:rsidP="009748FB">
            <w:pPr>
              <w:spacing w:line="360" w:lineRule="auto"/>
              <w:rPr>
                <w:rFonts w:ascii="Arial" w:hAnsi="Arial" w:cs="Arial"/>
                <w:color w:val="auto"/>
                <w:sz w:val="18"/>
                <w:szCs w:val="18"/>
              </w:rPr>
            </w:pPr>
          </w:p>
        </w:tc>
        <w:tc>
          <w:tcPr>
            <w:tcW w:w="579" w:type="pct"/>
            <w:tcBorders>
              <w:top w:val="single" w:sz="4" w:space="0" w:color="auto"/>
              <w:left w:val="nil"/>
              <w:bottom w:val="single" w:sz="4" w:space="0" w:color="auto"/>
              <w:right w:val="single" w:sz="4" w:space="0" w:color="auto"/>
            </w:tcBorders>
            <w:shd w:val="clear" w:color="auto" w:fill="EBF1DE"/>
            <w:vAlign w:val="center"/>
          </w:tcPr>
          <w:p w14:paraId="604B5C8F" w14:textId="69F8418C" w:rsidR="00BB038E" w:rsidRPr="004548FD" w:rsidRDefault="00BB038E" w:rsidP="009748FB">
            <w:pPr>
              <w:spacing w:line="360" w:lineRule="auto"/>
              <w:rPr>
                <w:rFonts w:ascii="Arial" w:hAnsi="Arial" w:cs="Arial"/>
                <w:color w:val="auto"/>
                <w:sz w:val="18"/>
                <w:szCs w:val="18"/>
              </w:rPr>
            </w:pPr>
            <w:r w:rsidRPr="004548FD">
              <w:rPr>
                <w:rFonts w:ascii="Arial" w:hAnsi="Arial" w:cs="Arial"/>
                <w:color w:val="auto"/>
                <w:sz w:val="18"/>
                <w:szCs w:val="18"/>
              </w:rPr>
              <w:t>No</w:t>
            </w:r>
          </w:p>
        </w:tc>
        <w:tc>
          <w:tcPr>
            <w:tcW w:w="896" w:type="pct"/>
            <w:tcBorders>
              <w:top w:val="single" w:sz="4" w:space="0" w:color="auto"/>
              <w:left w:val="nil"/>
              <w:bottom w:val="single" w:sz="4" w:space="0" w:color="auto"/>
              <w:right w:val="single" w:sz="4" w:space="0" w:color="auto"/>
            </w:tcBorders>
            <w:shd w:val="clear" w:color="auto" w:fill="EBF1DE"/>
            <w:vAlign w:val="center"/>
          </w:tcPr>
          <w:p w14:paraId="555454A1"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1. For consistency, the Excel file '2021_Transformer_Worksheet_RIN v2' is used for Economic Benchmarking RIN as well as Category Analysis</w:t>
            </w:r>
          </w:p>
          <w:p w14:paraId="1F3F7962"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2. The current register of all TransGrid's Transformers are exported from Ellipse (ERM) on June 30th</w:t>
            </w:r>
            <w:proofErr w:type="gramStart"/>
            <w:r w:rsidRPr="009748FB">
              <w:rPr>
                <w:rFonts w:ascii="Arial" w:hAnsi="Arial" w:cs="Arial"/>
                <w:color w:val="auto"/>
                <w:sz w:val="18"/>
                <w:szCs w:val="18"/>
              </w:rPr>
              <w:t xml:space="preserve"> 2021</w:t>
            </w:r>
            <w:proofErr w:type="gramEnd"/>
            <w:r w:rsidRPr="009748FB">
              <w:rPr>
                <w:rFonts w:ascii="Arial" w:hAnsi="Arial" w:cs="Arial"/>
                <w:color w:val="auto"/>
                <w:sz w:val="18"/>
                <w:szCs w:val="18"/>
              </w:rPr>
              <w:t>.</w:t>
            </w:r>
          </w:p>
          <w:p w14:paraId="612076B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3. The Transformer asset base is reviewed for invalid entries.</w:t>
            </w:r>
          </w:p>
          <w:p w14:paraId="3577740B"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4. The nameplate data has been collected from field </w:t>
            </w:r>
            <w:r w:rsidRPr="009748FB">
              <w:rPr>
                <w:rFonts w:ascii="Arial" w:hAnsi="Arial" w:cs="Arial"/>
                <w:color w:val="auto"/>
                <w:sz w:val="18"/>
                <w:szCs w:val="18"/>
              </w:rPr>
              <w:lastRenderedPageBreak/>
              <w:t>surveys and Transformer datasheets.</w:t>
            </w:r>
          </w:p>
          <w:p w14:paraId="462AC386" w14:textId="4EEDEFE7" w:rsidR="00BB038E" w:rsidRPr="004548FD" w:rsidRDefault="00BB038E" w:rsidP="009748FB">
            <w:pPr>
              <w:spacing w:line="360" w:lineRule="auto"/>
              <w:rPr>
                <w:rFonts w:ascii="Arial" w:hAnsi="Arial" w:cs="Arial"/>
                <w:color w:val="auto"/>
                <w:sz w:val="18"/>
                <w:szCs w:val="18"/>
              </w:rPr>
            </w:pPr>
          </w:p>
        </w:tc>
        <w:tc>
          <w:tcPr>
            <w:tcW w:w="1083" w:type="pct"/>
            <w:tcBorders>
              <w:top w:val="single" w:sz="4" w:space="0" w:color="auto"/>
              <w:left w:val="nil"/>
              <w:bottom w:val="single" w:sz="4" w:space="0" w:color="auto"/>
              <w:right w:val="single" w:sz="4" w:space="0" w:color="auto"/>
            </w:tcBorders>
            <w:shd w:val="clear" w:color="auto" w:fill="EBF1DE"/>
            <w:vAlign w:val="center"/>
          </w:tcPr>
          <w:p w14:paraId="2F1D705B"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lastRenderedPageBreak/>
              <w:t>When relocations were known to have occurred, it was assumed that transformers were moved at the end of a financial year and for a replacement, no overlap was shown.</w:t>
            </w:r>
          </w:p>
          <w:p w14:paraId="176C28C8"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Spare transformers temporarily connected to facilitate project staging were considered as remaining as spares. The quoted year is assumed to be the second year of a financial year period - e.g.: 2006 = 2005/2006.</w:t>
            </w:r>
          </w:p>
          <w:p w14:paraId="2B652C57"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A frequency injection transformer located at Forbes (Asset ID: COSFB24K) was omitted. Its only </w:t>
            </w:r>
            <w:r w:rsidRPr="009748FB">
              <w:rPr>
                <w:rFonts w:ascii="Arial" w:hAnsi="Arial" w:cs="Arial"/>
                <w:color w:val="auto"/>
                <w:sz w:val="18"/>
                <w:szCs w:val="18"/>
              </w:rPr>
              <w:lastRenderedPageBreak/>
              <w:t>function is for the injection of the DNSP ripple control into the network.</w:t>
            </w:r>
          </w:p>
          <w:p w14:paraId="6362DB79" w14:textId="77777777" w:rsidR="009748FB" w:rsidRPr="009748FB" w:rsidRDefault="009748FB" w:rsidP="009748FB">
            <w:pPr>
              <w:spacing w:line="360" w:lineRule="auto"/>
              <w:rPr>
                <w:rFonts w:ascii="Arial" w:hAnsi="Arial" w:cs="Arial"/>
                <w:color w:val="auto"/>
                <w:sz w:val="18"/>
                <w:szCs w:val="18"/>
              </w:rPr>
            </w:pPr>
            <w:r w:rsidRPr="009748FB">
              <w:rPr>
                <w:rFonts w:ascii="Arial" w:hAnsi="Arial" w:cs="Arial"/>
                <w:color w:val="auto"/>
                <w:sz w:val="18"/>
                <w:szCs w:val="18"/>
              </w:rPr>
              <w:t xml:space="preserve">Deer Park Transformers have been included under TPA0503 - Transformer Capacity for directly connected end-users owned by the TNSP. They are owned and maintained by TransGrid in Victoria. The substation connects Ausnet (TNSP) and </w:t>
            </w:r>
            <w:proofErr w:type="spellStart"/>
            <w:r w:rsidRPr="009748FB">
              <w:rPr>
                <w:rFonts w:ascii="Arial" w:hAnsi="Arial" w:cs="Arial"/>
                <w:color w:val="auto"/>
                <w:sz w:val="18"/>
                <w:szCs w:val="18"/>
              </w:rPr>
              <w:t>PowerCor</w:t>
            </w:r>
            <w:proofErr w:type="spellEnd"/>
            <w:r w:rsidRPr="009748FB">
              <w:rPr>
                <w:rFonts w:ascii="Arial" w:hAnsi="Arial" w:cs="Arial"/>
                <w:color w:val="auto"/>
                <w:sz w:val="18"/>
                <w:szCs w:val="18"/>
              </w:rPr>
              <w:t xml:space="preserve"> (DNSP) and it is outside of TransGrid network. It is considered as a non-regulated asset owned by TransGrid in our asset register.</w:t>
            </w:r>
          </w:p>
          <w:p w14:paraId="719BC2E5" w14:textId="449B87DE" w:rsidR="00BB038E" w:rsidRPr="004548FD" w:rsidRDefault="00BB038E" w:rsidP="009748FB">
            <w:pPr>
              <w:spacing w:line="360" w:lineRule="auto"/>
              <w:rPr>
                <w:rFonts w:ascii="Arial" w:hAnsi="Arial" w:cs="Arial"/>
                <w:color w:val="auto"/>
                <w:sz w:val="18"/>
                <w:szCs w:val="18"/>
              </w:rPr>
            </w:pPr>
          </w:p>
        </w:tc>
      </w:tr>
      <w:tr w:rsidR="00BB038E" w:rsidRPr="00B21581" w14:paraId="0F41DF07" w14:textId="77777777" w:rsidTr="00525AE5">
        <w:trPr>
          <w:trHeight w:val="960"/>
        </w:trPr>
        <w:tc>
          <w:tcPr>
            <w:tcW w:w="661" w:type="pct"/>
            <w:tcBorders>
              <w:top w:val="single" w:sz="4" w:space="0" w:color="auto"/>
              <w:left w:val="single" w:sz="4" w:space="0" w:color="auto"/>
              <w:bottom w:val="single" w:sz="4" w:space="0" w:color="auto"/>
              <w:right w:val="single" w:sz="4" w:space="0" w:color="auto"/>
            </w:tcBorders>
            <w:shd w:val="clear" w:color="auto" w:fill="EBF1DE"/>
            <w:vAlign w:val="center"/>
          </w:tcPr>
          <w:p w14:paraId="008394FF" w14:textId="6D15BDD9" w:rsidR="00BB038E" w:rsidRPr="00362B7D" w:rsidRDefault="00BB038E" w:rsidP="00BB038E">
            <w:pPr>
              <w:spacing w:line="360" w:lineRule="auto"/>
              <w:rPr>
                <w:rFonts w:ascii="Arial" w:hAnsi="Arial" w:cs="Arial"/>
                <w:color w:val="auto"/>
                <w:sz w:val="18"/>
                <w:szCs w:val="18"/>
              </w:rPr>
            </w:pPr>
            <w:r w:rsidRPr="00362B7D">
              <w:rPr>
                <w:rFonts w:ascii="Arial" w:hAnsi="Arial" w:cs="Arial"/>
                <w:color w:val="auto"/>
                <w:sz w:val="18"/>
                <w:szCs w:val="18"/>
              </w:rPr>
              <w:lastRenderedPageBreak/>
              <w:t>Table 3.5.1.6 Cold Spare Capacity</w:t>
            </w:r>
            <w:r w:rsidRPr="00362B7D">
              <w:rPr>
                <w:rFonts w:ascii="Arial" w:hAnsi="Arial" w:cs="Arial"/>
                <w:color w:val="auto"/>
                <w:sz w:val="18"/>
                <w:szCs w:val="18"/>
              </w:rPr>
              <w:br/>
              <w:t>TPA06</w:t>
            </w:r>
          </w:p>
        </w:tc>
        <w:tc>
          <w:tcPr>
            <w:tcW w:w="897" w:type="pct"/>
            <w:tcBorders>
              <w:top w:val="single" w:sz="4" w:space="0" w:color="auto"/>
              <w:left w:val="nil"/>
              <w:bottom w:val="single" w:sz="4" w:space="0" w:color="auto"/>
              <w:right w:val="single" w:sz="4" w:space="0" w:color="auto"/>
            </w:tcBorders>
            <w:shd w:val="clear" w:color="auto" w:fill="EBF1DE"/>
            <w:vAlign w:val="center"/>
          </w:tcPr>
          <w:p w14:paraId="52F7A08D" w14:textId="5405D2B4" w:rsidR="00BB038E" w:rsidRPr="00A81A8E" w:rsidRDefault="009748FB" w:rsidP="00BB038E">
            <w:pPr>
              <w:spacing w:line="360" w:lineRule="auto"/>
              <w:rPr>
                <w:rFonts w:ascii="Arial" w:hAnsi="Arial" w:cs="Arial"/>
                <w:color w:val="auto"/>
                <w:sz w:val="18"/>
                <w:szCs w:val="18"/>
              </w:rPr>
            </w:pPr>
            <w:r w:rsidRPr="009748FB">
              <w:rPr>
                <w:rFonts w:ascii="Arial" w:hAnsi="Arial" w:cs="Arial"/>
                <w:color w:val="auto"/>
                <w:sz w:val="18"/>
                <w:szCs w:val="18"/>
              </w:rPr>
              <w:t>In service or cold standby transformers that are not connected to the network and are used as spares to cover against possible failure.</w:t>
            </w:r>
          </w:p>
        </w:tc>
        <w:tc>
          <w:tcPr>
            <w:tcW w:w="885" w:type="pct"/>
            <w:tcBorders>
              <w:top w:val="single" w:sz="4" w:space="0" w:color="auto"/>
              <w:left w:val="nil"/>
              <w:bottom w:val="single" w:sz="4" w:space="0" w:color="auto"/>
              <w:right w:val="single" w:sz="4" w:space="0" w:color="auto"/>
            </w:tcBorders>
            <w:shd w:val="clear" w:color="auto" w:fill="EBF1DE"/>
            <w:vAlign w:val="center"/>
          </w:tcPr>
          <w:p w14:paraId="00D7179F" w14:textId="6DA5D26B"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As for TPA05</w:t>
            </w:r>
          </w:p>
        </w:tc>
        <w:tc>
          <w:tcPr>
            <w:tcW w:w="579" w:type="pct"/>
            <w:tcBorders>
              <w:top w:val="single" w:sz="4" w:space="0" w:color="auto"/>
              <w:left w:val="nil"/>
              <w:bottom w:val="single" w:sz="4" w:space="0" w:color="auto"/>
              <w:right w:val="single" w:sz="4" w:space="0" w:color="auto"/>
            </w:tcBorders>
            <w:shd w:val="clear" w:color="auto" w:fill="EBF1DE"/>
            <w:vAlign w:val="center"/>
          </w:tcPr>
          <w:p w14:paraId="56B1D7E5" w14:textId="0D8634A8" w:rsidR="00BB038E" w:rsidRPr="004548FD" w:rsidRDefault="00BB038E" w:rsidP="00BB038E">
            <w:pPr>
              <w:rPr>
                <w:rFonts w:ascii="Arial" w:hAnsi="Arial" w:cs="Arial"/>
                <w:color w:val="auto"/>
                <w:sz w:val="18"/>
                <w:szCs w:val="18"/>
              </w:rPr>
            </w:pPr>
            <w:r w:rsidRPr="004548FD">
              <w:rPr>
                <w:rFonts w:ascii="Arial" w:hAnsi="Arial" w:cs="Arial"/>
                <w:color w:val="auto"/>
                <w:sz w:val="18"/>
                <w:szCs w:val="18"/>
              </w:rPr>
              <w:t>No</w:t>
            </w:r>
          </w:p>
        </w:tc>
        <w:tc>
          <w:tcPr>
            <w:tcW w:w="896" w:type="pct"/>
            <w:tcBorders>
              <w:top w:val="single" w:sz="4" w:space="0" w:color="auto"/>
              <w:left w:val="nil"/>
              <w:bottom w:val="single" w:sz="4" w:space="0" w:color="auto"/>
              <w:right w:val="single" w:sz="4" w:space="0" w:color="auto"/>
            </w:tcBorders>
            <w:shd w:val="clear" w:color="auto" w:fill="EBF1DE"/>
            <w:vAlign w:val="center"/>
          </w:tcPr>
          <w:p w14:paraId="7FB461AD" w14:textId="433D66E8" w:rsidR="00BB038E" w:rsidRPr="004548FD" w:rsidRDefault="009748FB" w:rsidP="00BB038E">
            <w:pPr>
              <w:spacing w:line="360" w:lineRule="auto"/>
              <w:rPr>
                <w:rFonts w:ascii="Arial" w:hAnsi="Arial" w:cs="Arial"/>
                <w:color w:val="auto"/>
                <w:sz w:val="18"/>
                <w:szCs w:val="18"/>
              </w:rPr>
            </w:pPr>
            <w:r w:rsidRPr="009748FB">
              <w:rPr>
                <w:rFonts w:ascii="Arial" w:hAnsi="Arial" w:cs="Arial"/>
                <w:color w:val="auto"/>
                <w:sz w:val="18"/>
                <w:szCs w:val="18"/>
              </w:rPr>
              <w:t xml:space="preserve">System spares were cross checked using amendments of corporate document: </w:t>
            </w:r>
            <w:r w:rsidRPr="009748FB">
              <w:rPr>
                <w:rFonts w:ascii="Arial" w:hAnsi="Arial" w:cs="Arial"/>
                <w:b/>
                <w:bCs/>
                <w:color w:val="auto"/>
                <w:sz w:val="18"/>
                <w:szCs w:val="18"/>
              </w:rPr>
              <w:t>D2003/2182 In Service and Spare Power Transformers and Reactors.</w:t>
            </w:r>
          </w:p>
        </w:tc>
        <w:tc>
          <w:tcPr>
            <w:tcW w:w="1083" w:type="pct"/>
            <w:tcBorders>
              <w:top w:val="single" w:sz="4" w:space="0" w:color="auto"/>
              <w:left w:val="nil"/>
              <w:bottom w:val="single" w:sz="4" w:space="0" w:color="auto"/>
              <w:right w:val="single" w:sz="4" w:space="0" w:color="auto"/>
            </w:tcBorders>
            <w:shd w:val="clear" w:color="auto" w:fill="EBF1DE"/>
            <w:vAlign w:val="center"/>
          </w:tcPr>
          <w:p w14:paraId="46142E52" w14:textId="1624BE0E" w:rsidR="00BB038E" w:rsidRPr="004548FD" w:rsidRDefault="00BB038E" w:rsidP="00BB038E">
            <w:pPr>
              <w:spacing w:line="360" w:lineRule="auto"/>
              <w:rPr>
                <w:rFonts w:ascii="Arial" w:hAnsi="Arial" w:cs="Arial"/>
                <w:color w:val="auto"/>
                <w:sz w:val="18"/>
                <w:szCs w:val="18"/>
              </w:rPr>
            </w:pPr>
            <w:r w:rsidRPr="004548FD">
              <w:rPr>
                <w:rFonts w:ascii="Arial" w:hAnsi="Arial" w:cs="Arial"/>
                <w:color w:val="auto"/>
                <w:sz w:val="18"/>
                <w:szCs w:val="18"/>
              </w:rPr>
              <w:t>As for TPA05</w:t>
            </w:r>
          </w:p>
        </w:tc>
      </w:tr>
    </w:tbl>
    <w:p w14:paraId="08B8ACCD" w14:textId="2B485625" w:rsidR="009748FB" w:rsidRDefault="009748FB" w:rsidP="00265F1C"/>
    <w:p w14:paraId="111D8E3B" w14:textId="77777777" w:rsidR="009748FB" w:rsidRDefault="009748FB">
      <w:r>
        <w:br w:type="page"/>
      </w:r>
    </w:p>
    <w:p w14:paraId="0392FBA0" w14:textId="4255F214" w:rsidR="00BE467B" w:rsidRDefault="00BE467B" w:rsidP="0019343C">
      <w:pPr>
        <w:pStyle w:val="Heading3"/>
        <w:numPr>
          <w:ilvl w:val="2"/>
          <w:numId w:val="12"/>
        </w:numPr>
        <w:spacing w:after="240"/>
      </w:pPr>
      <w:bookmarkStart w:id="21" w:name="_Toc84499731"/>
      <w:r>
        <w:lastRenderedPageBreak/>
        <w:t>Worksheet 3.6 Quality of Services</w:t>
      </w:r>
      <w:bookmarkEnd w:id="21"/>
    </w:p>
    <w:tbl>
      <w:tblPr>
        <w:tblW w:w="5596" w:type="pct"/>
        <w:tblInd w:w="-572" w:type="dxa"/>
        <w:tblLook w:val="04A0" w:firstRow="1" w:lastRow="0" w:firstColumn="1" w:lastColumn="0" w:noHBand="0" w:noVBand="1"/>
      </w:tblPr>
      <w:tblGrid>
        <w:gridCol w:w="1598"/>
        <w:gridCol w:w="2110"/>
        <w:gridCol w:w="4231"/>
        <w:gridCol w:w="1893"/>
        <w:gridCol w:w="2897"/>
        <w:gridCol w:w="2296"/>
      </w:tblGrid>
      <w:tr w:rsidR="008670D7" w:rsidRPr="00B21581" w14:paraId="04848B4A" w14:textId="77777777" w:rsidTr="008670D7">
        <w:trPr>
          <w:trHeight w:val="480"/>
          <w:tblHeader/>
        </w:trPr>
        <w:tc>
          <w:tcPr>
            <w:tcW w:w="1234"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9522EFA" w14:textId="77777777" w:rsidR="002F210C" w:rsidRPr="007713F8" w:rsidRDefault="002F210C"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1408" w:type="pct"/>
            <w:tcBorders>
              <w:top w:val="single" w:sz="4" w:space="0" w:color="auto"/>
              <w:left w:val="nil"/>
              <w:bottom w:val="single" w:sz="4" w:space="0" w:color="auto"/>
              <w:right w:val="single" w:sz="4" w:space="0" w:color="auto"/>
            </w:tcBorders>
            <w:shd w:val="clear" w:color="000000" w:fill="47A843" w:themeFill="accent1"/>
            <w:vAlign w:val="center"/>
            <w:hideMark/>
          </w:tcPr>
          <w:p w14:paraId="10E129CE" w14:textId="77777777" w:rsidR="002F210C" w:rsidRPr="007713F8" w:rsidRDefault="002F210C"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358"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290D766A" w14:textId="77777777" w:rsidR="002F210C" w:rsidRPr="007713F8" w:rsidRDefault="002F210C"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8670D7" w:rsidRPr="00B21581" w14:paraId="22A3882A" w14:textId="77777777" w:rsidTr="008670D7">
        <w:trPr>
          <w:trHeight w:val="960"/>
          <w:tblHeader/>
        </w:trPr>
        <w:tc>
          <w:tcPr>
            <w:tcW w:w="532"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6BE053FF"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702"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18034DBB"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1408"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1C9CE95"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630"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6070731"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96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6ABAD35"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76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53208BE4" w14:textId="77777777" w:rsidR="002F210C" w:rsidRPr="007713F8" w:rsidRDefault="002F210C"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2F210C" w:rsidRPr="00B21581" w14:paraId="2C81FE94" w14:textId="77777777" w:rsidTr="00C50D67">
        <w:trPr>
          <w:trHeight w:val="300"/>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76AB8108" w14:textId="751D43C8" w:rsidR="002F210C" w:rsidRPr="00B21581" w:rsidRDefault="002F210C" w:rsidP="00883C6C">
            <w:pPr>
              <w:spacing w:before="100" w:beforeAutospacing="1" w:after="100" w:afterAutospacing="1"/>
              <w:rPr>
                <w:rFonts w:ascii="Arial" w:hAnsi="Arial" w:cs="Arial"/>
                <w:b/>
                <w:bCs/>
                <w:color w:val="FFFFFF"/>
                <w:sz w:val="22"/>
                <w:szCs w:val="22"/>
              </w:rPr>
            </w:pPr>
            <w:r w:rsidRPr="001E7278">
              <w:rPr>
                <w:rFonts w:ascii="Arial" w:hAnsi="Arial" w:cs="Arial"/>
                <w:b/>
                <w:bCs/>
                <w:color w:val="FFFFFF"/>
                <w:sz w:val="22"/>
                <w:szCs w:val="22"/>
              </w:rPr>
              <w:t>3.6.1 SERVICE COMPONENT</w:t>
            </w:r>
          </w:p>
        </w:tc>
      </w:tr>
      <w:tr w:rsidR="002F210C" w:rsidRPr="00B21581" w14:paraId="16996515" w14:textId="77777777" w:rsidTr="00525AE5">
        <w:trPr>
          <w:trHeight w:val="255"/>
        </w:trPr>
        <w:tc>
          <w:tcPr>
            <w:tcW w:w="5000" w:type="pct"/>
            <w:gridSpan w:val="6"/>
            <w:tcBorders>
              <w:left w:val="single" w:sz="4" w:space="0" w:color="auto"/>
              <w:right w:val="single" w:sz="4" w:space="0" w:color="auto"/>
            </w:tcBorders>
            <w:shd w:val="clear" w:color="auto" w:fill="9BBB59"/>
            <w:vAlign w:val="center"/>
          </w:tcPr>
          <w:p w14:paraId="44589D5A" w14:textId="211B040C" w:rsidR="002F210C" w:rsidRPr="002F210C" w:rsidRDefault="002F210C" w:rsidP="00883C6C">
            <w:pPr>
              <w:spacing w:before="100" w:beforeAutospacing="1" w:after="100" w:afterAutospacing="1"/>
              <w:rPr>
                <w:rFonts w:cstheme="minorHAnsi"/>
                <w:color w:val="auto"/>
                <w:sz w:val="18"/>
                <w:szCs w:val="18"/>
              </w:rPr>
            </w:pPr>
            <w:r w:rsidRPr="002F210C">
              <w:rPr>
                <w:rFonts w:ascii="Arial" w:hAnsi="Arial" w:cs="Arial"/>
                <w:b/>
                <w:bCs/>
                <w:color w:val="FFFFFF"/>
                <w:sz w:val="18"/>
                <w:szCs w:val="18"/>
              </w:rPr>
              <w:t>Service Parameter 1 - Average circuit outage rate</w:t>
            </w:r>
          </w:p>
        </w:tc>
      </w:tr>
      <w:tr w:rsidR="008670D7" w:rsidRPr="00B21581" w14:paraId="4C970C10" w14:textId="77777777" w:rsidTr="00525AE5">
        <w:trPr>
          <w:trHeight w:val="788"/>
        </w:trPr>
        <w:tc>
          <w:tcPr>
            <w:tcW w:w="532" w:type="pct"/>
            <w:tcBorders>
              <w:top w:val="nil"/>
              <w:left w:val="single" w:sz="4" w:space="0" w:color="auto"/>
              <w:bottom w:val="single" w:sz="4" w:space="0" w:color="auto"/>
              <w:right w:val="single" w:sz="4" w:space="0" w:color="auto"/>
            </w:tcBorders>
            <w:shd w:val="clear" w:color="auto" w:fill="EBF1DE"/>
            <w:vAlign w:val="center"/>
          </w:tcPr>
          <w:p w14:paraId="62675FD2" w14:textId="7CBD5DBA"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Lines outage rate – fault</w:t>
            </w:r>
          </w:p>
        </w:tc>
        <w:tc>
          <w:tcPr>
            <w:tcW w:w="702" w:type="pct"/>
            <w:tcBorders>
              <w:top w:val="nil"/>
              <w:left w:val="nil"/>
              <w:bottom w:val="single" w:sz="4" w:space="0" w:color="auto"/>
              <w:right w:val="single" w:sz="4" w:space="0" w:color="auto"/>
            </w:tcBorders>
            <w:shd w:val="clear" w:color="auto" w:fill="EBF1DE"/>
            <w:vAlign w:val="center"/>
          </w:tcPr>
          <w:p w14:paraId="32D3D8BA" w14:textId="3FDC859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TQS0102 / TQS0103</w:t>
            </w:r>
          </w:p>
        </w:tc>
        <w:tc>
          <w:tcPr>
            <w:tcW w:w="1408" w:type="pct"/>
            <w:tcBorders>
              <w:top w:val="nil"/>
              <w:left w:val="nil"/>
              <w:bottom w:val="single" w:sz="4" w:space="0" w:color="auto"/>
              <w:right w:val="single" w:sz="4" w:space="0" w:color="auto"/>
            </w:tcBorders>
            <w:shd w:val="clear" w:color="auto" w:fill="EBF1DE"/>
            <w:vAlign w:val="center"/>
          </w:tcPr>
          <w:p w14:paraId="042E1E75" w14:textId="054671C0"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TQS0102 and TQS0103.</w:t>
            </w:r>
          </w:p>
        </w:tc>
        <w:tc>
          <w:tcPr>
            <w:tcW w:w="630" w:type="pct"/>
            <w:tcBorders>
              <w:top w:val="nil"/>
              <w:left w:val="nil"/>
              <w:bottom w:val="single" w:sz="4" w:space="0" w:color="auto"/>
              <w:right w:val="single" w:sz="4" w:space="0" w:color="auto"/>
            </w:tcBorders>
            <w:shd w:val="clear" w:color="auto" w:fill="EBF1DE"/>
            <w:vAlign w:val="center"/>
          </w:tcPr>
          <w:p w14:paraId="78531B88" w14:textId="134E8DF9"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nil"/>
              <w:left w:val="nil"/>
              <w:bottom w:val="single" w:sz="4" w:space="0" w:color="auto"/>
              <w:right w:val="single" w:sz="4" w:space="0" w:color="auto"/>
            </w:tcBorders>
            <w:shd w:val="clear" w:color="auto" w:fill="EBF1DE"/>
            <w:vAlign w:val="center"/>
          </w:tcPr>
          <w:p w14:paraId="275436FB" w14:textId="441A5CE8"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TQS0101 = TQS0102 / TQS0103</w:t>
            </w:r>
          </w:p>
        </w:tc>
        <w:tc>
          <w:tcPr>
            <w:tcW w:w="764" w:type="pct"/>
            <w:tcBorders>
              <w:top w:val="nil"/>
              <w:left w:val="nil"/>
              <w:bottom w:val="single" w:sz="4" w:space="0" w:color="auto"/>
              <w:right w:val="single" w:sz="4" w:space="0" w:color="auto"/>
            </w:tcBorders>
            <w:shd w:val="clear" w:color="auto" w:fill="EBF1DE"/>
            <w:vAlign w:val="center"/>
          </w:tcPr>
          <w:p w14:paraId="64CDF759" w14:textId="219DBFD9"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64838E75"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FABBB7C" w14:textId="1ACCF09E"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Number of Lines fault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6A445A70" w14:textId="6A33A28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of instantaneous outages (fault outages as defined by the AER) on transmission line and/or underground cable circuits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59EFBE6F" w14:textId="77777777" w:rsidR="000C126B" w:rsidRPr="000C126B" w:rsidRDefault="000C126B" w:rsidP="000C126B">
            <w:pPr>
              <w:spacing w:after="0" w:line="360" w:lineRule="auto"/>
              <w:ind w:left="113"/>
              <w:rPr>
                <w:rFonts w:ascii="Arial" w:hAnsi="Arial" w:cs="Arial"/>
                <w:color w:val="auto"/>
                <w:sz w:val="18"/>
                <w:szCs w:val="18"/>
              </w:rPr>
            </w:pPr>
            <w:r w:rsidRPr="000C126B">
              <w:rPr>
                <w:rFonts w:ascii="Arial" w:hAnsi="Arial" w:cs="Arial"/>
                <w:color w:val="auto"/>
                <w:sz w:val="18"/>
                <w:szCs w:val="18"/>
              </w:rPr>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5D697F8A"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in Statistics Backend.accdb is populated by importing data into it from THEOS (the business application used by Network Operations staff to record outage data). Each of these outage records in the Statistics Backend database is assigned with an AER code.</w:t>
            </w:r>
          </w:p>
          <w:p w14:paraId="5B4E6516" w14:textId="334EBB75"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lastRenderedPageBreak/>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6988D422" w14:textId="641C9F52"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13EFFB5" w14:textId="10340809"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Every outage record in the "NPR Outages List Linked Table" worksheet of the RINB-36-01 spreadsheet whose AER code field (column L) is Z, and Component Type field (column P) is TL or UG, is counted across the relevant calendar year 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28E4970D" w14:textId="372502D5"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tc>
      </w:tr>
      <w:tr w:rsidR="008670D7" w:rsidRPr="00B21581" w14:paraId="1F299CED"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0E8479B" w14:textId="6E0FA4B4"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Number of defined Lines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0A0FC287" w14:textId="26C4F91A"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(three phase equivalent) of transmission line and/or underground cable circuits owned and operated by TransGrid. This measure is an average number over twelve months in a calendar year.</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6D951257"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within the Statistics Backend.accdb database stored on TransGrid's shared drive (with secure access for only staff requiring access). An extract of this table is provided in the worksheet "Equipment Count Linked Table" worksheet of spreadsheet RINB-36-01.</w:t>
            </w:r>
          </w:p>
          <w:p w14:paraId="19A677E2" w14:textId="0AED80C8"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data contained in 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in Statistics Backend.accdb is regularly updated in an incremental manner, based on System Development Summaries and/or High Voltage Operating Diagrams released by the Network Operations group.</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251CD7B" w14:textId="39143D0B"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374499E3" w14:textId="5BD8E42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Every equipment </w:t>
            </w:r>
            <w:proofErr w:type="gramStart"/>
            <w:r w:rsidRPr="000C126B">
              <w:rPr>
                <w:rFonts w:ascii="Arial" w:hAnsi="Arial" w:cs="Arial"/>
                <w:color w:val="auto"/>
                <w:sz w:val="18"/>
                <w:szCs w:val="18"/>
              </w:rPr>
              <w:t>record</w:t>
            </w:r>
            <w:proofErr w:type="gramEnd"/>
            <w:r w:rsidRPr="000C126B">
              <w:rPr>
                <w:rFonts w:ascii="Arial" w:hAnsi="Arial" w:cs="Arial"/>
                <w:color w:val="auto"/>
                <w:sz w:val="18"/>
                <w:szCs w:val="18"/>
              </w:rPr>
              <w:t xml:space="preserve"> in the "Equipment Count Linked Table" worksheet of the RINB-36-01 spreadsheet whose Component field (column A) is TL or UG, has its </w:t>
            </w:r>
            <w:proofErr w:type="spellStart"/>
            <w:r w:rsidRPr="000C126B">
              <w:rPr>
                <w:rFonts w:ascii="Arial" w:hAnsi="Arial" w:cs="Arial"/>
                <w:color w:val="auto"/>
                <w:sz w:val="18"/>
                <w:szCs w:val="18"/>
              </w:rPr>
              <w:t>AllCircuits</w:t>
            </w:r>
            <w:proofErr w:type="spellEnd"/>
            <w:r w:rsidRPr="000C126B">
              <w:rPr>
                <w:rFonts w:ascii="Arial" w:hAnsi="Arial" w:cs="Arial"/>
                <w:color w:val="auto"/>
                <w:sz w:val="18"/>
                <w:szCs w:val="18"/>
              </w:rPr>
              <w:t xml:space="preserve"> count (column G) averaged across each month of the relevant calendar year.</w:t>
            </w:r>
          </w:p>
        </w:tc>
        <w:tc>
          <w:tcPr>
            <w:tcW w:w="764" w:type="pct"/>
            <w:tcBorders>
              <w:top w:val="single" w:sz="4" w:space="0" w:color="auto"/>
              <w:left w:val="nil"/>
              <w:bottom w:val="single" w:sz="4" w:space="0" w:color="auto"/>
              <w:right w:val="single" w:sz="4" w:space="0" w:color="auto"/>
            </w:tcBorders>
            <w:shd w:val="clear" w:color="auto" w:fill="EBF1DE"/>
            <w:vAlign w:val="center"/>
          </w:tcPr>
          <w:p w14:paraId="5DD067C3" w14:textId="2D794323"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Accuracy of the System Development Summary documents and/or High Voltage Operating Diagrams produced by the Network Operations group within TransGrid.</w:t>
            </w:r>
          </w:p>
        </w:tc>
      </w:tr>
      <w:tr w:rsidR="008670D7" w:rsidRPr="00B21581" w14:paraId="083B0160" w14:textId="77777777" w:rsidTr="00525AE5">
        <w:trPr>
          <w:trHeight w:val="996"/>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8C79E5F" w14:textId="56AA3D11"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lastRenderedPageBreak/>
              <w:t>Transformer outage rate – fault</w:t>
            </w:r>
          </w:p>
        </w:tc>
        <w:tc>
          <w:tcPr>
            <w:tcW w:w="702" w:type="pct"/>
            <w:tcBorders>
              <w:top w:val="single" w:sz="4" w:space="0" w:color="auto"/>
              <w:left w:val="nil"/>
              <w:bottom w:val="single" w:sz="4" w:space="0" w:color="auto"/>
              <w:right w:val="single" w:sz="4" w:space="0" w:color="auto"/>
            </w:tcBorders>
            <w:shd w:val="clear" w:color="auto" w:fill="EBF1DE"/>
            <w:vAlign w:val="center"/>
          </w:tcPr>
          <w:p w14:paraId="5D136918" w14:textId="5118C66D"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TQS0105 / TQS0106</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4CB39B9A" w14:textId="7AFCBBBA"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TQS0105 and TQS0106.</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16553A4" w14:textId="3398CAC0"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746753F" w14:textId="2E33E12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TQS0104 = TQS0105 / TQS0106</w:t>
            </w:r>
          </w:p>
        </w:tc>
        <w:tc>
          <w:tcPr>
            <w:tcW w:w="764" w:type="pct"/>
            <w:tcBorders>
              <w:top w:val="single" w:sz="4" w:space="0" w:color="auto"/>
              <w:left w:val="nil"/>
              <w:bottom w:val="single" w:sz="4" w:space="0" w:color="auto"/>
              <w:right w:val="single" w:sz="4" w:space="0" w:color="auto"/>
            </w:tcBorders>
            <w:shd w:val="clear" w:color="auto" w:fill="EBF1DE"/>
            <w:vAlign w:val="center"/>
          </w:tcPr>
          <w:p w14:paraId="750CD457" w14:textId="473A020E"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1A07D219"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7C2564BE" w14:textId="0392A947"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Number of Transformer fault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4196BF97" w14:textId="1542D8C0"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of instantaneous outages (fault outages as defined by the AER) on transformers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40820DD9"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585A1E57"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in Statistics Backend.accdb is populated by importing data into it from THEOS (the business application used by Network Operations staff to record outage data). Each of these outage records in the Statistics Backend database is assigned with an AER code.</w:t>
            </w:r>
          </w:p>
          <w:p w14:paraId="4F40D35B" w14:textId="144AC7A6"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04F91930" w14:textId="2AB9F402"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347F2B8" w14:textId="409B71EA"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Every outage record in the "NPR Outages List Linked Table" worksheet of the RINB-36-01 spreadsheet whose AER code field (column L) is Z, and Component Type field (column P) is TX, is counted across the relevant calendar year 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5A376418" w14:textId="611550AB"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tc>
      </w:tr>
      <w:tr w:rsidR="008670D7" w:rsidRPr="00B21581" w14:paraId="051EBCA7"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5B3B632E" w14:textId="5CFA1F24"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lastRenderedPageBreak/>
              <w:t>Number of defined Transformers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1058C716" w14:textId="6A6348DB"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(three phase equivalent) of transformers owned and operated by TransGrid. This measure is an average number over twelve months in a calendar year.</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7DEED98A"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within the Statistics Backend.accdb database stored on TransGrid's shared drive (with secure access for only staff requiring access). An extract of this table is provided in the worksheet "Equipment Count Linked Table" worksheet of spreadsheet RINB-36-01.</w:t>
            </w:r>
          </w:p>
          <w:p w14:paraId="38DA55A2" w14:textId="4F1C771F"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data contained in 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in Statistics Backend.accdb is regularly updated in an incremental manner, based on System Development Summaries and/or High Voltage Operating Diagrams released by the Network Operations group.</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B13FBFF" w14:textId="7482BD37"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38B73ECD" w14:textId="1CCA00D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Every equipment </w:t>
            </w:r>
            <w:proofErr w:type="gramStart"/>
            <w:r w:rsidRPr="000C126B">
              <w:rPr>
                <w:rFonts w:ascii="Arial" w:hAnsi="Arial" w:cs="Arial"/>
                <w:color w:val="auto"/>
                <w:sz w:val="18"/>
                <w:szCs w:val="18"/>
              </w:rPr>
              <w:t>record</w:t>
            </w:r>
            <w:proofErr w:type="gramEnd"/>
            <w:r w:rsidRPr="000C126B">
              <w:rPr>
                <w:rFonts w:ascii="Arial" w:hAnsi="Arial" w:cs="Arial"/>
                <w:color w:val="auto"/>
                <w:sz w:val="18"/>
                <w:szCs w:val="18"/>
              </w:rPr>
              <w:t xml:space="preserve"> in the "Equipment Count Linked Table" worksheet of the RINB-36-01 spreadsheet whose Component field (column A) is TX, has its </w:t>
            </w:r>
            <w:proofErr w:type="spellStart"/>
            <w:r w:rsidRPr="000C126B">
              <w:rPr>
                <w:rFonts w:ascii="Arial" w:hAnsi="Arial" w:cs="Arial"/>
                <w:color w:val="auto"/>
                <w:sz w:val="18"/>
                <w:szCs w:val="18"/>
              </w:rPr>
              <w:t>AllCircuits</w:t>
            </w:r>
            <w:proofErr w:type="spellEnd"/>
            <w:r w:rsidRPr="000C126B">
              <w:rPr>
                <w:rFonts w:ascii="Arial" w:hAnsi="Arial" w:cs="Arial"/>
                <w:color w:val="auto"/>
                <w:sz w:val="18"/>
                <w:szCs w:val="18"/>
              </w:rPr>
              <w:t xml:space="preserve"> count (column G) averaged across each month of the relevant calendar year.</w:t>
            </w:r>
          </w:p>
        </w:tc>
        <w:tc>
          <w:tcPr>
            <w:tcW w:w="764" w:type="pct"/>
            <w:tcBorders>
              <w:top w:val="single" w:sz="4" w:space="0" w:color="auto"/>
              <w:left w:val="nil"/>
              <w:bottom w:val="single" w:sz="4" w:space="0" w:color="auto"/>
              <w:right w:val="single" w:sz="4" w:space="0" w:color="auto"/>
            </w:tcBorders>
            <w:shd w:val="clear" w:color="auto" w:fill="EBF1DE"/>
            <w:vAlign w:val="center"/>
          </w:tcPr>
          <w:p w14:paraId="68F11E27" w14:textId="640FCC5B"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Accuracy of the System Development Summary documents and/or High Voltage Operating Diagrams produced by the Network Operations group within TransGrid.</w:t>
            </w:r>
          </w:p>
        </w:tc>
      </w:tr>
      <w:tr w:rsidR="008670D7" w:rsidRPr="00B21581" w14:paraId="6A4F72D6"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0737F729" w14:textId="0F8BE191"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Reactive Plant outage rate – fault</w:t>
            </w:r>
          </w:p>
        </w:tc>
        <w:tc>
          <w:tcPr>
            <w:tcW w:w="702" w:type="pct"/>
            <w:tcBorders>
              <w:top w:val="single" w:sz="4" w:space="0" w:color="auto"/>
              <w:left w:val="nil"/>
              <w:bottom w:val="single" w:sz="4" w:space="0" w:color="auto"/>
              <w:right w:val="single" w:sz="4" w:space="0" w:color="auto"/>
            </w:tcBorders>
            <w:shd w:val="clear" w:color="auto" w:fill="EBF1DE"/>
            <w:vAlign w:val="center"/>
          </w:tcPr>
          <w:p w14:paraId="0911A4FB" w14:textId="0E6250F6"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TQS0108 / TQS0109</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04F2F6CC" w14:textId="68C0C546"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TQS0108 and TQS0109.</w:t>
            </w:r>
          </w:p>
        </w:tc>
        <w:tc>
          <w:tcPr>
            <w:tcW w:w="630" w:type="pct"/>
            <w:tcBorders>
              <w:top w:val="single" w:sz="4" w:space="0" w:color="auto"/>
              <w:left w:val="nil"/>
              <w:bottom w:val="single" w:sz="4" w:space="0" w:color="auto"/>
              <w:right w:val="single" w:sz="4" w:space="0" w:color="auto"/>
            </w:tcBorders>
            <w:shd w:val="clear" w:color="auto" w:fill="EBF1DE"/>
            <w:vAlign w:val="center"/>
          </w:tcPr>
          <w:p w14:paraId="77F299C4" w14:textId="7AD93097"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3101F41B" w14:textId="5C2E1198"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TQS0107 = TQS0108 / TQS0109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2FE8C0C" w14:textId="5442943D"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44961F5A"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04F56AB7" w14:textId="4FAFF589"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lastRenderedPageBreak/>
              <w:t>Number of Reactive plant fault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560BA254" w14:textId="6460CEEE"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This variable is interpreted as the total number of instantaneous outages (fault outages as defined by the AER) on Reactors and Capacitors at 66kV and above, and Static </w:t>
            </w:r>
            <w:proofErr w:type="spellStart"/>
            <w:r w:rsidRPr="000C126B">
              <w:rPr>
                <w:rFonts w:ascii="Arial" w:hAnsi="Arial" w:cs="Arial"/>
                <w:color w:val="auto"/>
                <w:sz w:val="18"/>
                <w:szCs w:val="18"/>
              </w:rPr>
              <w:t>VAr</w:t>
            </w:r>
            <w:proofErr w:type="spellEnd"/>
            <w:r w:rsidRPr="000C126B">
              <w:rPr>
                <w:rFonts w:ascii="Arial" w:hAnsi="Arial" w:cs="Arial"/>
                <w:color w:val="auto"/>
                <w:sz w:val="18"/>
                <w:szCs w:val="18"/>
              </w:rPr>
              <w:t xml:space="preserve"> Compensators (SVCs) at all voltages,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70EF7D83"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2EAF10DD"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in Statistics Backend.accdb is populated by importing data into it from THEOS (the business application used by Network Operations staff to record outage data). Each of these outage records in the Statistics Backend database is assigned with an AER code.</w:t>
            </w:r>
          </w:p>
          <w:p w14:paraId="175F6508" w14:textId="0D26B4F2"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41B3A8B1" w14:textId="747D69FC"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245B5E67" w14:textId="6AAB325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Every outage record in the "NPR Outages List Linked Table" worksheet of the RINB-36-01 spreadsheet whose AER code field (column L) is Z, and Component Type field (column P) is CAP or RX or SVC, is counted across the relevant calendar year 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60414F90" w14:textId="5B166BD4"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tc>
      </w:tr>
      <w:tr w:rsidR="008670D7" w:rsidRPr="00B21581" w14:paraId="4D0B1EEC"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005258C" w14:textId="7680C795"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lastRenderedPageBreak/>
              <w:t>Number of defined Reactive Plant</w:t>
            </w:r>
          </w:p>
        </w:tc>
        <w:tc>
          <w:tcPr>
            <w:tcW w:w="702" w:type="pct"/>
            <w:tcBorders>
              <w:top w:val="single" w:sz="4" w:space="0" w:color="auto"/>
              <w:left w:val="nil"/>
              <w:bottom w:val="single" w:sz="4" w:space="0" w:color="auto"/>
              <w:right w:val="single" w:sz="4" w:space="0" w:color="auto"/>
            </w:tcBorders>
            <w:shd w:val="clear" w:color="auto" w:fill="EBF1DE"/>
            <w:vAlign w:val="center"/>
          </w:tcPr>
          <w:p w14:paraId="507E331E" w14:textId="539251C3"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This variable is interpreted as the total number (three phase equivalent) of reactors and capacitors at 66kV and above, and Static </w:t>
            </w:r>
            <w:proofErr w:type="spellStart"/>
            <w:r w:rsidRPr="000C126B">
              <w:rPr>
                <w:rFonts w:ascii="Arial" w:hAnsi="Arial" w:cs="Arial"/>
                <w:color w:val="auto"/>
                <w:sz w:val="18"/>
                <w:szCs w:val="18"/>
              </w:rPr>
              <w:t>VAr</w:t>
            </w:r>
            <w:proofErr w:type="spellEnd"/>
            <w:r w:rsidRPr="000C126B">
              <w:rPr>
                <w:rFonts w:ascii="Arial" w:hAnsi="Arial" w:cs="Arial"/>
                <w:color w:val="auto"/>
                <w:sz w:val="18"/>
                <w:szCs w:val="18"/>
              </w:rPr>
              <w:t xml:space="preserve"> Compensators (SVCs) at all voltages, owned and operated by TransGrid. This measure is an average number over twelve months in a calendar year.</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2F57970F"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within the Statistics Backend.accdb database stored on TransGrid's shared drive (with secure access for only staff requiring access). An extract of this table is provided in the worksheet "Equipment Count Linked Table" worksheet of spreadsheet RINB-36-01.</w:t>
            </w:r>
          </w:p>
          <w:p w14:paraId="147BD5C6" w14:textId="4E4ADF88"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data contained in the "</w:t>
            </w:r>
            <w:proofErr w:type="spellStart"/>
            <w:r w:rsidRPr="000C126B">
              <w:rPr>
                <w:rFonts w:ascii="Arial" w:hAnsi="Arial" w:cs="Arial"/>
                <w:color w:val="auto"/>
                <w:sz w:val="18"/>
                <w:szCs w:val="18"/>
              </w:rPr>
              <w:t>tblCircuits_SettingData</w:t>
            </w:r>
            <w:proofErr w:type="spellEnd"/>
            <w:r w:rsidRPr="000C126B">
              <w:rPr>
                <w:rFonts w:ascii="Arial" w:hAnsi="Arial" w:cs="Arial"/>
                <w:color w:val="auto"/>
                <w:sz w:val="18"/>
                <w:szCs w:val="18"/>
              </w:rPr>
              <w:t>" table in Statistics Backend.accdb is regularly updated in an incremental manner, based on System Development Summaries and/or High Voltage Operating Diagrams released by the Network Operations group.</w:t>
            </w:r>
          </w:p>
        </w:tc>
        <w:tc>
          <w:tcPr>
            <w:tcW w:w="630" w:type="pct"/>
            <w:tcBorders>
              <w:top w:val="single" w:sz="4" w:space="0" w:color="auto"/>
              <w:left w:val="nil"/>
              <w:bottom w:val="single" w:sz="4" w:space="0" w:color="auto"/>
              <w:right w:val="single" w:sz="4" w:space="0" w:color="auto"/>
            </w:tcBorders>
            <w:shd w:val="clear" w:color="auto" w:fill="EBF1DE"/>
            <w:vAlign w:val="center"/>
          </w:tcPr>
          <w:p w14:paraId="6DC4D888" w14:textId="080E6944"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33B3BDD0" w14:textId="26067BE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Every equipment </w:t>
            </w:r>
            <w:proofErr w:type="gramStart"/>
            <w:r w:rsidRPr="000C126B">
              <w:rPr>
                <w:rFonts w:ascii="Arial" w:hAnsi="Arial" w:cs="Arial"/>
                <w:color w:val="auto"/>
                <w:sz w:val="18"/>
                <w:szCs w:val="18"/>
              </w:rPr>
              <w:t>record</w:t>
            </w:r>
            <w:proofErr w:type="gramEnd"/>
            <w:r w:rsidRPr="000C126B">
              <w:rPr>
                <w:rFonts w:ascii="Arial" w:hAnsi="Arial" w:cs="Arial"/>
                <w:color w:val="auto"/>
                <w:sz w:val="18"/>
                <w:szCs w:val="18"/>
              </w:rPr>
              <w:t xml:space="preserve"> in the "Equipment Count Linked Table" worksheet of the RINB-36-01 spreadsheet whose Component field (column A) is CAP or RX or SVC, has its </w:t>
            </w:r>
            <w:proofErr w:type="spellStart"/>
            <w:r w:rsidRPr="000C126B">
              <w:rPr>
                <w:rFonts w:ascii="Arial" w:hAnsi="Arial" w:cs="Arial"/>
                <w:color w:val="auto"/>
                <w:sz w:val="18"/>
                <w:szCs w:val="18"/>
              </w:rPr>
              <w:t>AllCircuits</w:t>
            </w:r>
            <w:proofErr w:type="spellEnd"/>
            <w:r w:rsidRPr="000C126B">
              <w:rPr>
                <w:rFonts w:ascii="Arial" w:hAnsi="Arial" w:cs="Arial"/>
                <w:color w:val="auto"/>
                <w:sz w:val="18"/>
                <w:szCs w:val="18"/>
              </w:rPr>
              <w:t xml:space="preserve"> count (column G) averaged across each month of the relevant calendar year.</w:t>
            </w:r>
          </w:p>
        </w:tc>
        <w:tc>
          <w:tcPr>
            <w:tcW w:w="764" w:type="pct"/>
            <w:tcBorders>
              <w:top w:val="single" w:sz="4" w:space="0" w:color="auto"/>
              <w:left w:val="nil"/>
              <w:bottom w:val="single" w:sz="4" w:space="0" w:color="auto"/>
              <w:right w:val="single" w:sz="4" w:space="0" w:color="auto"/>
            </w:tcBorders>
            <w:shd w:val="clear" w:color="auto" w:fill="EBF1DE"/>
            <w:vAlign w:val="center"/>
          </w:tcPr>
          <w:p w14:paraId="11859754" w14:textId="6C9F18AF"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Accuracy of the System Development Summary documents and/or High Voltage Operating Diagrams produced by the Network Operations group within TransGrid.</w:t>
            </w:r>
          </w:p>
        </w:tc>
      </w:tr>
      <w:tr w:rsidR="008670D7" w:rsidRPr="00B21581" w14:paraId="094EE179"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EAE206C" w14:textId="16CD53BF"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 xml:space="preserve">Lines outage rate </w:t>
            </w:r>
            <w:r>
              <w:rPr>
                <w:rFonts w:ascii="Arial" w:hAnsi="Arial" w:cs="Arial"/>
                <w:color w:val="auto"/>
                <w:sz w:val="18"/>
                <w:szCs w:val="18"/>
              </w:rPr>
              <w:t>-</w:t>
            </w:r>
            <w:r w:rsidRPr="001865FC">
              <w:rPr>
                <w:rFonts w:ascii="Arial" w:hAnsi="Arial" w:cs="Arial"/>
                <w:color w:val="auto"/>
                <w:sz w:val="18"/>
                <w:szCs w:val="18"/>
              </w:rPr>
              <w:t xml:space="preserve"> forced</w:t>
            </w:r>
          </w:p>
        </w:tc>
        <w:tc>
          <w:tcPr>
            <w:tcW w:w="702" w:type="pct"/>
            <w:tcBorders>
              <w:top w:val="single" w:sz="4" w:space="0" w:color="auto"/>
              <w:left w:val="nil"/>
              <w:bottom w:val="single" w:sz="4" w:space="0" w:color="auto"/>
              <w:right w:val="single" w:sz="4" w:space="0" w:color="auto"/>
            </w:tcBorders>
            <w:shd w:val="clear" w:color="auto" w:fill="EBF1DE"/>
            <w:vAlign w:val="center"/>
          </w:tcPr>
          <w:p w14:paraId="391E9D29" w14:textId="28DAC5F4"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TQS0111 / TQS0103</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66800423" w14:textId="604A1A4A"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TQS0111 and TQS0103.</w:t>
            </w:r>
          </w:p>
        </w:tc>
        <w:tc>
          <w:tcPr>
            <w:tcW w:w="630" w:type="pct"/>
            <w:tcBorders>
              <w:top w:val="single" w:sz="4" w:space="0" w:color="auto"/>
              <w:left w:val="nil"/>
              <w:bottom w:val="single" w:sz="4" w:space="0" w:color="auto"/>
              <w:right w:val="single" w:sz="4" w:space="0" w:color="auto"/>
            </w:tcBorders>
            <w:shd w:val="clear" w:color="auto" w:fill="EBF1DE"/>
            <w:vAlign w:val="center"/>
          </w:tcPr>
          <w:p w14:paraId="582B8F2D" w14:textId="39A0F96D"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1A2090BC" w14:textId="274EF558"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TQS0110 = TQS0111 / TQS0103</w:t>
            </w:r>
          </w:p>
        </w:tc>
        <w:tc>
          <w:tcPr>
            <w:tcW w:w="764" w:type="pct"/>
            <w:tcBorders>
              <w:top w:val="single" w:sz="4" w:space="0" w:color="auto"/>
              <w:left w:val="nil"/>
              <w:bottom w:val="single" w:sz="4" w:space="0" w:color="auto"/>
              <w:right w:val="single" w:sz="4" w:space="0" w:color="auto"/>
            </w:tcBorders>
            <w:shd w:val="clear" w:color="auto" w:fill="EBF1DE"/>
            <w:vAlign w:val="center"/>
          </w:tcPr>
          <w:p w14:paraId="6E5D3889" w14:textId="42A006D7"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2DA0F6A7"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22CA29E" w14:textId="0B9D4E38" w:rsidR="000C126B" w:rsidRPr="00C25CE7" w:rsidRDefault="000C126B" w:rsidP="00C25CE7">
            <w:pPr>
              <w:spacing w:line="360" w:lineRule="auto"/>
              <w:rPr>
                <w:rFonts w:ascii="Arial" w:hAnsi="Arial" w:cs="Arial"/>
                <w:color w:val="auto"/>
                <w:sz w:val="18"/>
                <w:szCs w:val="18"/>
              </w:rPr>
            </w:pPr>
            <w:r w:rsidRPr="004B67AC">
              <w:rPr>
                <w:rFonts w:ascii="Arial" w:hAnsi="Arial" w:cs="Arial"/>
                <w:color w:val="auto"/>
                <w:sz w:val="18"/>
                <w:szCs w:val="18"/>
              </w:rPr>
              <w:lastRenderedPageBreak/>
              <w:t>Number of Lines forced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7567620F" w14:textId="1607AFE9"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of outages that are not instantaneous, however less than 24 hours' notice is given to the customer and/or AEMO (forced outages as defined by the AER) on transmission line and/or underground cable circuits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3FF43B6C"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17988227"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in Statistics Backend.accdb is populated by importing data into it from THEOS (the business application used by Network Operations staff to record outage data). Each of these outage records in the Statistics Backend database is assigned with an AER code.</w:t>
            </w:r>
          </w:p>
          <w:p w14:paraId="1A29D169" w14:textId="50C5E124"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51537BA4" w14:textId="0A145A4D"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2404CDD4"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Every outage record in the "NPR Outages List Linked Table" worksheet of the RINB</w:t>
            </w:r>
          </w:p>
          <w:p w14:paraId="0ABB1BE5" w14:textId="6759056C"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-36-01 spreadsheet whose AER code field (column L) is E, and Component Type field (column P) is TL or UG, is counted across the relevant calendar year 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5D2035B8"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p w14:paraId="4729E773" w14:textId="37B9B8FF" w:rsidR="000C126B" w:rsidRPr="000C126B" w:rsidRDefault="000C126B" w:rsidP="00DC218C">
            <w:pPr>
              <w:rPr>
                <w:rFonts w:ascii="Arial" w:hAnsi="Arial" w:cs="Arial"/>
                <w:color w:val="auto"/>
                <w:sz w:val="18"/>
                <w:szCs w:val="18"/>
              </w:rPr>
            </w:pPr>
            <w:r w:rsidRPr="000C126B">
              <w:rPr>
                <w:rFonts w:ascii="Arial" w:hAnsi="Arial" w:cs="Arial"/>
                <w:color w:val="auto"/>
                <w:sz w:val="18"/>
                <w:szCs w:val="18"/>
              </w:rPr>
              <w:t>.</w:t>
            </w:r>
          </w:p>
        </w:tc>
      </w:tr>
      <w:tr w:rsidR="008670D7" w:rsidRPr="00B21581" w14:paraId="65312598"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13233046" w14:textId="5A82E331" w:rsidR="000C126B" w:rsidRPr="00C25CE7" w:rsidRDefault="000C126B" w:rsidP="00C25CE7">
            <w:pPr>
              <w:spacing w:line="360" w:lineRule="auto"/>
              <w:rPr>
                <w:rFonts w:ascii="Arial" w:hAnsi="Arial" w:cs="Arial"/>
                <w:color w:val="auto"/>
                <w:sz w:val="18"/>
                <w:szCs w:val="18"/>
              </w:rPr>
            </w:pPr>
            <w:proofErr w:type="gramStart"/>
            <w:r w:rsidRPr="004B67AC">
              <w:rPr>
                <w:rFonts w:ascii="Arial" w:hAnsi="Arial" w:cs="Arial"/>
                <w:color w:val="auto"/>
                <w:sz w:val="18"/>
                <w:szCs w:val="18"/>
              </w:rPr>
              <w:lastRenderedPageBreak/>
              <w:t>Transformers</w:t>
            </w:r>
            <w:proofErr w:type="gramEnd"/>
            <w:r w:rsidRPr="004B67AC">
              <w:rPr>
                <w:rFonts w:ascii="Arial" w:hAnsi="Arial" w:cs="Arial"/>
                <w:color w:val="auto"/>
                <w:sz w:val="18"/>
                <w:szCs w:val="18"/>
              </w:rPr>
              <w:t xml:space="preserve"> outage rate </w:t>
            </w:r>
            <w:r>
              <w:rPr>
                <w:rFonts w:ascii="Arial" w:hAnsi="Arial" w:cs="Arial"/>
                <w:color w:val="auto"/>
                <w:sz w:val="18"/>
                <w:szCs w:val="18"/>
              </w:rPr>
              <w:t>-</w:t>
            </w:r>
            <w:r w:rsidRPr="004B67AC">
              <w:rPr>
                <w:rFonts w:ascii="Arial" w:hAnsi="Arial" w:cs="Arial"/>
                <w:color w:val="auto"/>
                <w:sz w:val="18"/>
                <w:szCs w:val="18"/>
              </w:rPr>
              <w:t xml:space="preserve"> forced</w:t>
            </w:r>
          </w:p>
        </w:tc>
        <w:tc>
          <w:tcPr>
            <w:tcW w:w="702" w:type="pct"/>
            <w:tcBorders>
              <w:top w:val="single" w:sz="4" w:space="0" w:color="auto"/>
              <w:left w:val="nil"/>
              <w:bottom w:val="single" w:sz="4" w:space="0" w:color="auto"/>
              <w:right w:val="single" w:sz="4" w:space="0" w:color="auto"/>
            </w:tcBorders>
            <w:shd w:val="clear" w:color="auto" w:fill="EBF1DE"/>
            <w:vAlign w:val="center"/>
          </w:tcPr>
          <w:p w14:paraId="47FFAB78" w14:textId="7F7E1F4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TQS0113 / TQS0106</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366203B8" w14:textId="6B7D95E5"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TQS0113 and TQS0106.</w:t>
            </w:r>
          </w:p>
        </w:tc>
        <w:tc>
          <w:tcPr>
            <w:tcW w:w="630" w:type="pct"/>
            <w:tcBorders>
              <w:top w:val="single" w:sz="4" w:space="0" w:color="auto"/>
              <w:left w:val="nil"/>
              <w:bottom w:val="single" w:sz="4" w:space="0" w:color="auto"/>
              <w:right w:val="single" w:sz="4" w:space="0" w:color="auto"/>
            </w:tcBorders>
            <w:shd w:val="clear" w:color="auto" w:fill="EBF1DE"/>
            <w:vAlign w:val="center"/>
          </w:tcPr>
          <w:p w14:paraId="69357D9D" w14:textId="44B1AF45"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420CCB9" w14:textId="119416EA"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TQS0112 = TQS0113 / TQS0106</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95AA322" w14:textId="1F960F64"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313E411F"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97C14AF" w14:textId="613ACAE8" w:rsidR="000C126B" w:rsidRPr="00C25CE7" w:rsidRDefault="000C126B" w:rsidP="00C25CE7">
            <w:pPr>
              <w:spacing w:line="360" w:lineRule="auto"/>
              <w:rPr>
                <w:rFonts w:ascii="Arial" w:hAnsi="Arial" w:cs="Arial"/>
                <w:color w:val="auto"/>
                <w:sz w:val="18"/>
                <w:szCs w:val="18"/>
              </w:rPr>
            </w:pPr>
            <w:r w:rsidRPr="004B67AC">
              <w:rPr>
                <w:rFonts w:ascii="Arial" w:hAnsi="Arial" w:cs="Arial"/>
                <w:color w:val="auto"/>
                <w:sz w:val="18"/>
                <w:szCs w:val="18"/>
              </w:rPr>
              <w:t>Number of Transformers forced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18323699" w14:textId="5D0DE02B"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This variable is interpreted as the total number of outages that are not instantaneous, however less than 24 hours' notice is given to the customer and/or AEMO (forced outages as defined by the AER) on transformers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785DBC3E"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3F0B8292"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The "QAPR Comment on Outage" Table in Statistics Backend.accdb is populated by importing data into it from THEOS (the business application used by Network Operations staff to record outage data). Each of these outage records in the Statistics Backend database is assigned with an AER code.</w:t>
            </w:r>
          </w:p>
          <w:p w14:paraId="596547D3" w14:textId="379CF22E"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lastRenderedPageBreak/>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1D8144FE" w14:textId="77D30A78"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034087DD" w14:textId="6400781A"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Every outage record in the "NPR Outages List Linked Table" worksheet of the RINB-36-01 spreadsheet whose AER code field (column L) is E, and Component Type field (column P) is TX, is counted across the relevant calendar year 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5DA8D69E" w14:textId="571A9C8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tc>
      </w:tr>
      <w:tr w:rsidR="008670D7" w:rsidRPr="00B21581" w14:paraId="786DF70E"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C5504F3" w14:textId="60B30B9A" w:rsidR="000C126B" w:rsidRPr="00C25CE7" w:rsidRDefault="000C126B" w:rsidP="00C25CE7">
            <w:pPr>
              <w:spacing w:line="360" w:lineRule="auto"/>
              <w:rPr>
                <w:rFonts w:ascii="Arial" w:hAnsi="Arial" w:cs="Arial"/>
                <w:color w:val="auto"/>
                <w:sz w:val="18"/>
                <w:szCs w:val="18"/>
              </w:rPr>
            </w:pPr>
            <w:r w:rsidRPr="004B67AC">
              <w:rPr>
                <w:rFonts w:ascii="Arial" w:hAnsi="Arial" w:cs="Arial"/>
                <w:color w:val="auto"/>
                <w:sz w:val="18"/>
                <w:szCs w:val="18"/>
              </w:rPr>
              <w:t xml:space="preserve">Reactive Plant outage rate </w:t>
            </w:r>
            <w:r>
              <w:rPr>
                <w:rFonts w:ascii="Arial" w:hAnsi="Arial" w:cs="Arial"/>
                <w:color w:val="auto"/>
                <w:sz w:val="18"/>
                <w:szCs w:val="18"/>
              </w:rPr>
              <w:t>-</w:t>
            </w:r>
            <w:r w:rsidRPr="004B67AC">
              <w:rPr>
                <w:rFonts w:ascii="Arial" w:hAnsi="Arial" w:cs="Arial"/>
                <w:color w:val="auto"/>
                <w:sz w:val="18"/>
                <w:szCs w:val="18"/>
              </w:rPr>
              <w:t xml:space="preserve"> forced</w:t>
            </w:r>
          </w:p>
        </w:tc>
        <w:tc>
          <w:tcPr>
            <w:tcW w:w="702" w:type="pct"/>
            <w:tcBorders>
              <w:top w:val="single" w:sz="4" w:space="0" w:color="auto"/>
              <w:left w:val="nil"/>
              <w:bottom w:val="single" w:sz="4" w:space="0" w:color="auto"/>
              <w:right w:val="single" w:sz="4" w:space="0" w:color="auto"/>
            </w:tcBorders>
            <w:shd w:val="clear" w:color="auto" w:fill="EBF1DE"/>
            <w:vAlign w:val="center"/>
          </w:tcPr>
          <w:p w14:paraId="24ABAB15" w14:textId="4F32C5CC"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TQS0115 / TQS0109</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68CEFF12" w14:textId="105D9101"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Refer to RIN variables TQS0115 and TQS0109.</w:t>
            </w:r>
          </w:p>
        </w:tc>
        <w:tc>
          <w:tcPr>
            <w:tcW w:w="630" w:type="pct"/>
            <w:tcBorders>
              <w:top w:val="single" w:sz="4" w:space="0" w:color="auto"/>
              <w:left w:val="nil"/>
              <w:bottom w:val="single" w:sz="4" w:space="0" w:color="auto"/>
              <w:right w:val="single" w:sz="4" w:space="0" w:color="auto"/>
            </w:tcBorders>
            <w:shd w:val="clear" w:color="auto" w:fill="EBF1DE"/>
            <w:vAlign w:val="center"/>
          </w:tcPr>
          <w:p w14:paraId="681C4973" w14:textId="767D1626"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203AC0E8" w14:textId="03140A5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TQS0114 = TQS0115 / TQS0109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09074EFD" w14:textId="700BAC05"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t>NIL</w:t>
            </w:r>
          </w:p>
        </w:tc>
      </w:tr>
      <w:tr w:rsidR="008670D7" w:rsidRPr="00B21581" w14:paraId="4A3D778E"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DABC84D" w14:textId="7DFCCD8E" w:rsidR="000C126B" w:rsidRPr="00C25CE7" w:rsidRDefault="000C126B" w:rsidP="00C25CE7">
            <w:pPr>
              <w:spacing w:line="360" w:lineRule="auto"/>
              <w:rPr>
                <w:rFonts w:ascii="Arial" w:hAnsi="Arial" w:cs="Arial"/>
                <w:color w:val="auto"/>
                <w:sz w:val="18"/>
                <w:szCs w:val="18"/>
              </w:rPr>
            </w:pPr>
            <w:r w:rsidRPr="001865FC">
              <w:rPr>
                <w:rFonts w:ascii="Arial" w:hAnsi="Arial" w:cs="Arial"/>
                <w:color w:val="auto"/>
                <w:sz w:val="18"/>
                <w:szCs w:val="18"/>
              </w:rPr>
              <w:t>Number of Reactive Plant forced outages</w:t>
            </w:r>
          </w:p>
        </w:tc>
        <w:tc>
          <w:tcPr>
            <w:tcW w:w="702" w:type="pct"/>
            <w:tcBorders>
              <w:top w:val="single" w:sz="4" w:space="0" w:color="auto"/>
              <w:left w:val="nil"/>
              <w:bottom w:val="single" w:sz="4" w:space="0" w:color="auto"/>
              <w:right w:val="single" w:sz="4" w:space="0" w:color="auto"/>
            </w:tcBorders>
            <w:shd w:val="clear" w:color="auto" w:fill="EBF1DE"/>
            <w:vAlign w:val="center"/>
          </w:tcPr>
          <w:p w14:paraId="32300153" w14:textId="761BF03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This variable is interpreted as the total number of outages that are not instantaneous, however less than 24 hours' notice is given to the customer and/or AEMO (forced outages as defined by the AER) on Reactors and Capacitors at 66kV and above, and Static </w:t>
            </w:r>
            <w:proofErr w:type="spellStart"/>
            <w:r w:rsidRPr="000C126B">
              <w:rPr>
                <w:rFonts w:ascii="Arial" w:hAnsi="Arial" w:cs="Arial"/>
                <w:color w:val="auto"/>
                <w:sz w:val="18"/>
                <w:szCs w:val="18"/>
              </w:rPr>
              <w:t>VAr</w:t>
            </w:r>
            <w:proofErr w:type="spellEnd"/>
            <w:r w:rsidRPr="000C126B">
              <w:rPr>
                <w:rFonts w:ascii="Arial" w:hAnsi="Arial" w:cs="Arial"/>
                <w:color w:val="auto"/>
                <w:sz w:val="18"/>
                <w:szCs w:val="18"/>
              </w:rPr>
              <w:t xml:space="preserve"> Compensators (SVCs) </w:t>
            </w:r>
            <w:r w:rsidRPr="000C126B">
              <w:rPr>
                <w:rFonts w:ascii="Arial" w:hAnsi="Arial" w:cs="Arial"/>
                <w:color w:val="auto"/>
                <w:sz w:val="18"/>
                <w:szCs w:val="18"/>
              </w:rPr>
              <w:lastRenderedPageBreak/>
              <w:t>at all voltages, owned and operated by TransGrid. This measure has excluded outages (as defined in V5 of the AER STPIS) removed from the count.</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28DB6724" w14:textId="77777777"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lastRenderedPageBreak/>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04109EFB" w14:textId="77777777"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The "QAPR Comment on Outage" Table in Statistics Backend.accdb is populated by importing data into it from THEOS (the business application used by Network Operations staff to record outage data). Each of these outage </w:t>
            </w:r>
            <w:r w:rsidRPr="000C126B">
              <w:rPr>
                <w:rFonts w:ascii="Arial" w:hAnsi="Arial" w:cs="Arial"/>
                <w:color w:val="auto"/>
                <w:sz w:val="18"/>
                <w:szCs w:val="18"/>
              </w:rPr>
              <w:lastRenderedPageBreak/>
              <w:t>records in the Statistics Backend database is assigned with an AER code.</w:t>
            </w:r>
          </w:p>
          <w:p w14:paraId="76AF8E56" w14:textId="0CAFC0EE"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t xml:space="preserve">Selecting the appropriate AER code occasionally requires obtaining additional information from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47F47A7E" w14:textId="1E6B6797" w:rsidR="000C126B" w:rsidRPr="000C126B" w:rsidRDefault="000C126B" w:rsidP="000C126B">
            <w:pPr>
              <w:rPr>
                <w:rFonts w:ascii="Arial" w:hAnsi="Arial" w:cs="Arial"/>
                <w:color w:val="auto"/>
                <w:sz w:val="18"/>
                <w:szCs w:val="18"/>
              </w:rPr>
            </w:pPr>
            <w:r w:rsidRPr="000C126B">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090C1A5B" w14:textId="3BF9AF39" w:rsidR="000C126B" w:rsidRPr="000C126B" w:rsidRDefault="000C126B" w:rsidP="000C126B">
            <w:pPr>
              <w:spacing w:line="360" w:lineRule="auto"/>
              <w:rPr>
                <w:rFonts w:ascii="Arial" w:hAnsi="Arial" w:cs="Arial"/>
                <w:color w:val="auto"/>
                <w:sz w:val="18"/>
                <w:szCs w:val="18"/>
              </w:rPr>
            </w:pPr>
            <w:r w:rsidRPr="000C126B">
              <w:rPr>
                <w:rFonts w:ascii="Arial" w:hAnsi="Arial" w:cs="Arial"/>
                <w:color w:val="auto"/>
                <w:sz w:val="18"/>
                <w:szCs w:val="18"/>
              </w:rPr>
              <w:t xml:space="preserve">Every outage record in the "NPR Outages List Linked Table" worksheet of the RINB-36-01 spreadsheet whose AER code field (column L) is E, and Component Type field (column P) is CAP or RX or SVC, is counted across the relevant calendar year and forms this value. This RIN variable (amongst various others) is presented in the "Economic RIN" </w:t>
            </w:r>
            <w:r w:rsidRPr="000C126B">
              <w:rPr>
                <w:rFonts w:ascii="Arial" w:hAnsi="Arial" w:cs="Arial"/>
                <w:color w:val="auto"/>
                <w:sz w:val="18"/>
                <w:szCs w:val="18"/>
              </w:rPr>
              <w:lastRenderedPageBreak/>
              <w:t>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05BBBB9" w14:textId="1D4D03EA" w:rsidR="000C126B" w:rsidRPr="000C126B" w:rsidRDefault="000C126B" w:rsidP="00DC218C">
            <w:pPr>
              <w:spacing w:line="360" w:lineRule="auto"/>
              <w:rPr>
                <w:rFonts w:ascii="Arial" w:hAnsi="Arial" w:cs="Arial"/>
                <w:color w:val="auto"/>
                <w:sz w:val="18"/>
                <w:szCs w:val="18"/>
              </w:rPr>
            </w:pPr>
            <w:r w:rsidRPr="000C126B">
              <w:rPr>
                <w:rFonts w:ascii="Arial" w:hAnsi="Arial" w:cs="Arial"/>
                <w:color w:val="auto"/>
                <w:sz w:val="18"/>
                <w:szCs w:val="18"/>
              </w:rPr>
              <w:lastRenderedPageBreak/>
              <w:t xml:space="preserve">Accuracy of the record data sources (THEOS and/or </w:t>
            </w:r>
            <w:proofErr w:type="spellStart"/>
            <w:r w:rsidRPr="000C126B">
              <w:rPr>
                <w:rFonts w:ascii="Arial" w:hAnsi="Arial" w:cs="Arial"/>
                <w:color w:val="auto"/>
                <w:sz w:val="18"/>
                <w:szCs w:val="18"/>
              </w:rPr>
              <w:t>Opslog</w:t>
            </w:r>
            <w:proofErr w:type="spellEnd"/>
            <w:r w:rsidRPr="000C126B">
              <w:rPr>
                <w:rFonts w:ascii="Arial" w:hAnsi="Arial" w:cs="Arial"/>
                <w:color w:val="auto"/>
                <w:sz w:val="18"/>
                <w:szCs w:val="18"/>
              </w:rPr>
              <w:t>) maintained by the Network Operations group within TransGrid.</w:t>
            </w:r>
          </w:p>
        </w:tc>
      </w:tr>
      <w:tr w:rsidR="00B668D3" w:rsidRPr="00B21581" w14:paraId="518AFB28" w14:textId="77777777" w:rsidTr="00525AE5">
        <w:trPr>
          <w:trHeight w:val="321"/>
        </w:trPr>
        <w:tc>
          <w:tcPr>
            <w:tcW w:w="5000" w:type="pct"/>
            <w:gridSpan w:val="6"/>
            <w:tcBorders>
              <w:top w:val="single" w:sz="4" w:space="0" w:color="auto"/>
              <w:left w:val="single" w:sz="4" w:space="0" w:color="auto"/>
              <w:right w:val="single" w:sz="4" w:space="0" w:color="auto"/>
            </w:tcBorders>
            <w:shd w:val="clear" w:color="auto" w:fill="9BBB59"/>
            <w:vAlign w:val="center"/>
          </w:tcPr>
          <w:p w14:paraId="366165CB" w14:textId="694C914D" w:rsidR="00B668D3" w:rsidRPr="00B668D3" w:rsidRDefault="00B668D3" w:rsidP="00883C6C">
            <w:pPr>
              <w:spacing w:before="100" w:beforeAutospacing="1" w:after="100" w:afterAutospacing="1"/>
              <w:rPr>
                <w:rFonts w:ascii="Arial" w:hAnsi="Arial" w:cs="Arial"/>
                <w:color w:val="auto"/>
                <w:sz w:val="18"/>
                <w:szCs w:val="18"/>
              </w:rPr>
            </w:pPr>
            <w:r w:rsidRPr="00B668D3">
              <w:rPr>
                <w:rFonts w:ascii="Arial" w:hAnsi="Arial" w:cs="Arial"/>
                <w:b/>
                <w:bCs/>
                <w:color w:val="FFFFFF"/>
                <w:sz w:val="18"/>
                <w:szCs w:val="18"/>
              </w:rPr>
              <w:t>Service Parameter 2 – Loss of Supply Event Frequency – Number in Ranges Specifies</w:t>
            </w:r>
          </w:p>
        </w:tc>
      </w:tr>
      <w:tr w:rsidR="008670D7" w:rsidRPr="00B21581" w14:paraId="1783B874" w14:textId="77777777" w:rsidTr="00525AE5">
        <w:trPr>
          <w:trHeight w:val="1649"/>
        </w:trPr>
        <w:tc>
          <w:tcPr>
            <w:tcW w:w="532" w:type="pct"/>
            <w:tcBorders>
              <w:top w:val="nil"/>
              <w:left w:val="single" w:sz="4" w:space="0" w:color="auto"/>
              <w:bottom w:val="single" w:sz="4" w:space="0" w:color="auto"/>
              <w:right w:val="single" w:sz="4" w:space="0" w:color="auto"/>
            </w:tcBorders>
            <w:shd w:val="clear" w:color="auto" w:fill="EBF1DE"/>
            <w:vAlign w:val="center"/>
          </w:tcPr>
          <w:p w14:paraId="4E3DA9F1" w14:textId="5C3BDAD6"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t>Number of events greater than 0.05 system minutes per annum (X)</w:t>
            </w:r>
          </w:p>
        </w:tc>
        <w:tc>
          <w:tcPr>
            <w:tcW w:w="702" w:type="pct"/>
            <w:tcBorders>
              <w:top w:val="nil"/>
              <w:left w:val="nil"/>
              <w:bottom w:val="single" w:sz="4" w:space="0" w:color="auto"/>
              <w:right w:val="single" w:sz="4" w:space="0" w:color="auto"/>
            </w:tcBorders>
            <w:shd w:val="clear" w:color="auto" w:fill="EBF1DE"/>
            <w:vAlign w:val="center"/>
          </w:tcPr>
          <w:p w14:paraId="2EAD721F" w14:textId="11436576"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'X' threshold set by the AER for TransGrid (which is 0.05 system minutes) where the loss of supply also is greater than 0.05 system minutes, subtracting any applicable exclusions </w:t>
            </w:r>
            <w:r w:rsidRPr="00DC218C">
              <w:rPr>
                <w:rFonts w:ascii="Arial" w:hAnsi="Arial" w:cs="Arial"/>
                <w:color w:val="auto"/>
                <w:sz w:val="18"/>
                <w:szCs w:val="18"/>
              </w:rPr>
              <w:lastRenderedPageBreak/>
              <w:t>as defined by the AER STPIS V5.</w:t>
            </w:r>
          </w:p>
        </w:tc>
        <w:tc>
          <w:tcPr>
            <w:tcW w:w="1408" w:type="pct"/>
            <w:tcBorders>
              <w:top w:val="nil"/>
              <w:left w:val="nil"/>
              <w:bottom w:val="single" w:sz="4" w:space="0" w:color="auto"/>
              <w:right w:val="single" w:sz="4" w:space="0" w:color="auto"/>
            </w:tcBorders>
            <w:shd w:val="clear" w:color="auto" w:fill="EBF1DE"/>
            <w:vAlign w:val="center"/>
          </w:tcPr>
          <w:p w14:paraId="61982074"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2421F203"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4EFFD47F" w14:textId="454E17D5"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nil"/>
              <w:left w:val="nil"/>
              <w:bottom w:val="single" w:sz="4" w:space="0" w:color="auto"/>
              <w:right w:val="single" w:sz="4" w:space="0" w:color="auto"/>
            </w:tcBorders>
            <w:shd w:val="clear" w:color="auto" w:fill="EBF1DE"/>
            <w:vAlign w:val="center"/>
          </w:tcPr>
          <w:p w14:paraId="4787DFAE" w14:textId="5C37BB1D"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nil"/>
              <w:left w:val="nil"/>
              <w:bottom w:val="single" w:sz="4" w:space="0" w:color="auto"/>
              <w:right w:val="single" w:sz="4" w:space="0" w:color="auto"/>
            </w:tcBorders>
            <w:shd w:val="clear" w:color="auto" w:fill="EBF1DE"/>
            <w:vAlign w:val="center"/>
          </w:tcPr>
          <w:p w14:paraId="61123A19"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0.05 system minute threshold, is counted across the relevant calendar year and forms this value. This RIN variable (amongst various others) is presented in the "Economic RIN" </w:t>
            </w:r>
            <w:r w:rsidRPr="00DC218C">
              <w:rPr>
                <w:rFonts w:ascii="Arial" w:hAnsi="Arial" w:cs="Arial"/>
                <w:color w:val="auto"/>
                <w:sz w:val="18"/>
                <w:szCs w:val="18"/>
              </w:rPr>
              <w:lastRenderedPageBreak/>
              <w:t>worksheet of the spreadsheet RINB-36-01.</w:t>
            </w:r>
          </w:p>
          <w:p w14:paraId="134BC6DF"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w:t>
            </w:r>
          </w:p>
          <w:p w14:paraId="429D045B" w14:textId="5D19212B"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The record MW demand was obtained from the 2012 National Electricity Forecasting Report by AEMO (shortcut RINB-36-02 &amp; report RINB-36-03), on page 4-9.</w:t>
            </w:r>
          </w:p>
        </w:tc>
        <w:tc>
          <w:tcPr>
            <w:tcW w:w="764" w:type="pct"/>
            <w:tcBorders>
              <w:top w:val="nil"/>
              <w:left w:val="nil"/>
              <w:bottom w:val="single" w:sz="4" w:space="0" w:color="auto"/>
              <w:right w:val="single" w:sz="4" w:space="0" w:color="auto"/>
            </w:tcBorders>
            <w:shd w:val="clear" w:color="auto" w:fill="EBF1DE"/>
            <w:vAlign w:val="center"/>
          </w:tcPr>
          <w:p w14:paraId="281A4564"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1CBCF15A" w14:textId="12E4CDD8"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1B900811"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347FACE" w14:textId="57E3B973" w:rsidR="00DC218C" w:rsidRPr="00C25CE7" w:rsidRDefault="00DC218C" w:rsidP="00C25CE7">
            <w:pPr>
              <w:spacing w:line="360" w:lineRule="auto"/>
              <w:rPr>
                <w:rFonts w:ascii="Arial" w:hAnsi="Arial" w:cs="Arial"/>
                <w:color w:val="auto"/>
                <w:sz w:val="18"/>
                <w:szCs w:val="18"/>
              </w:rPr>
            </w:pPr>
            <w:r w:rsidRPr="001865FC">
              <w:rPr>
                <w:rFonts w:ascii="Arial" w:hAnsi="Arial" w:cs="Arial"/>
                <w:color w:val="auto"/>
                <w:sz w:val="18"/>
                <w:szCs w:val="18"/>
              </w:rPr>
              <w:t>Number of events greater than 0.1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6B6D814E" w14:textId="3109D92E"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'X' threshold set by the AER for TransGrid (which is 0.05 system minutes) where the loss of supply also is </w:t>
            </w:r>
            <w:r w:rsidRPr="00DC218C">
              <w:rPr>
                <w:rFonts w:ascii="Arial" w:hAnsi="Arial" w:cs="Arial"/>
                <w:color w:val="auto"/>
                <w:sz w:val="18"/>
                <w:szCs w:val="18"/>
              </w:rPr>
              <w:lastRenderedPageBreak/>
              <w:t>greater than 0.1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0D32F13C"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765D3641"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w:t>
            </w:r>
            <w:r w:rsidRPr="00DC218C">
              <w:rPr>
                <w:rFonts w:ascii="Arial" w:hAnsi="Arial" w:cs="Arial"/>
                <w:color w:val="auto"/>
                <w:sz w:val="18"/>
                <w:szCs w:val="18"/>
              </w:rPr>
              <w:lastRenderedPageBreak/>
              <w:t xml:space="preserve">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630690AF" w14:textId="70F742F0"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0DE97374" w14:textId="39757D38"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B51951F"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0.1 system minute threshold, is counted across the relevant calendar year and forms this </w:t>
            </w:r>
            <w:r w:rsidRPr="00DC218C">
              <w:rPr>
                <w:rFonts w:ascii="Arial" w:hAnsi="Arial" w:cs="Arial"/>
                <w:color w:val="auto"/>
                <w:sz w:val="18"/>
                <w:szCs w:val="18"/>
              </w:rPr>
              <w:lastRenderedPageBreak/>
              <w:t>value. This RIN variable (amongst various others) is presented in the "Economic RIN" worksheet of the spreadsheet RINB-36-01.</w:t>
            </w:r>
          </w:p>
          <w:p w14:paraId="4FFECF81" w14:textId="33D2C6EA"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825D434"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1E4A9686" w14:textId="77777777" w:rsidR="00DC218C" w:rsidRPr="00DC218C" w:rsidRDefault="00DC218C" w:rsidP="00DC218C">
            <w:pPr>
              <w:spacing w:line="360" w:lineRule="auto"/>
              <w:rPr>
                <w:rFonts w:ascii="Arial" w:hAnsi="Arial" w:cs="Arial"/>
                <w:color w:val="auto"/>
                <w:sz w:val="18"/>
                <w:szCs w:val="18"/>
              </w:rPr>
            </w:pPr>
          </w:p>
          <w:p w14:paraId="5DD586EB" w14:textId="77777777" w:rsidR="00DC218C" w:rsidRDefault="00DC218C" w:rsidP="00DC218C">
            <w:pPr>
              <w:spacing w:line="360" w:lineRule="auto"/>
              <w:rPr>
                <w:rFonts w:ascii="Arial" w:hAnsi="Arial" w:cs="Arial"/>
                <w:color w:val="auto"/>
                <w:sz w:val="18"/>
                <w:szCs w:val="18"/>
              </w:rPr>
            </w:pPr>
          </w:p>
          <w:p w14:paraId="7D6B61B3" w14:textId="33C313A6"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261AF55C"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CD3243A" w14:textId="1469CB2B" w:rsidR="00DC218C" w:rsidRPr="00C25CE7" w:rsidRDefault="00DC218C" w:rsidP="00C25CE7">
            <w:pPr>
              <w:spacing w:line="360" w:lineRule="auto"/>
              <w:rPr>
                <w:rFonts w:ascii="Arial" w:hAnsi="Arial" w:cs="Arial"/>
                <w:color w:val="auto"/>
                <w:sz w:val="18"/>
                <w:szCs w:val="18"/>
              </w:rPr>
            </w:pPr>
            <w:r w:rsidRPr="001865FC">
              <w:rPr>
                <w:rFonts w:ascii="Arial" w:hAnsi="Arial" w:cs="Arial"/>
                <w:color w:val="auto"/>
                <w:sz w:val="18"/>
                <w:szCs w:val="18"/>
              </w:rPr>
              <w:lastRenderedPageBreak/>
              <w:t>Number of events greater than 0.2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3B2189A1" w14:textId="7C8DCA6B"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'X' threshold set by the AER for TransGrid (which is 0.05 system </w:t>
            </w:r>
            <w:r w:rsidRPr="00DC218C">
              <w:rPr>
                <w:rFonts w:ascii="Arial" w:hAnsi="Arial" w:cs="Arial"/>
                <w:color w:val="auto"/>
                <w:sz w:val="18"/>
                <w:szCs w:val="18"/>
              </w:rPr>
              <w:lastRenderedPageBreak/>
              <w:t>minutes) where the loss of supply also is greater than 0.2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7572B21C"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4C27CDC3"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10A9C70C" w14:textId="2E0D99C4"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5C45DDDE" w14:textId="171E71F0"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0605CC1F"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0.2 system minute threshold, is </w:t>
            </w:r>
            <w:r w:rsidRPr="00DC218C">
              <w:rPr>
                <w:rFonts w:ascii="Arial" w:hAnsi="Arial" w:cs="Arial"/>
                <w:color w:val="auto"/>
                <w:sz w:val="18"/>
                <w:szCs w:val="18"/>
              </w:rPr>
              <w:lastRenderedPageBreak/>
              <w:t>counted across the relevant calendar year and forms this value. This RIN variable (amongst various others) is presented in the "Economic RIN" worksheet of the spreadsheet RINB-36-01.</w:t>
            </w:r>
          </w:p>
          <w:p w14:paraId="7F5D6490" w14:textId="27748320"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BD72F81"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3CE7DD20" w14:textId="4946294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Accuracy of data from AEMO.</w:t>
            </w:r>
          </w:p>
        </w:tc>
      </w:tr>
      <w:tr w:rsidR="008670D7" w:rsidRPr="00B21581" w14:paraId="4136D8C9"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73439100" w14:textId="5BA6A6CB"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lastRenderedPageBreak/>
              <w:t>Number of events greater than 0.25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021EB141" w14:textId="0641CFEA"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'X' threshold set by the </w:t>
            </w:r>
            <w:r w:rsidRPr="00DC218C">
              <w:rPr>
                <w:rFonts w:ascii="Arial" w:hAnsi="Arial" w:cs="Arial"/>
                <w:color w:val="auto"/>
                <w:sz w:val="18"/>
                <w:szCs w:val="18"/>
              </w:rPr>
              <w:lastRenderedPageBreak/>
              <w:t>AER for TransGrid (which is 0.05 system minutes) where the loss of supply also is greater than 0.25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0523E9CC"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The "ENS Lost Load" table within the Statistics Backend.accdb database stored on TransGrid's shared drive (with secure access for only staff requiring access). An extract of this table is </w:t>
            </w:r>
            <w:r w:rsidRPr="00DC218C">
              <w:rPr>
                <w:rFonts w:ascii="Arial" w:hAnsi="Arial" w:cs="Arial"/>
                <w:color w:val="auto"/>
                <w:sz w:val="18"/>
                <w:szCs w:val="18"/>
              </w:rPr>
              <w:lastRenderedPageBreak/>
              <w:t>provided in the worksheet "ENS Lost Load Linked Table" worksheet of spreadsheet RINB-36-01.</w:t>
            </w:r>
          </w:p>
          <w:p w14:paraId="4DCCEF01" w14:textId="77777777"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6E82AEA7" w14:textId="49F9E689"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67324AC" w14:textId="16AB7C7F"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BD3CFEE"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w:t>
            </w:r>
            <w:r w:rsidRPr="00DC218C">
              <w:rPr>
                <w:rFonts w:ascii="Arial" w:hAnsi="Arial" w:cs="Arial"/>
                <w:color w:val="auto"/>
                <w:sz w:val="18"/>
                <w:szCs w:val="18"/>
              </w:rPr>
              <w:lastRenderedPageBreak/>
              <w:t>(column AD) exceeds the 0.25 system minute threshold, is counted across the relevant calendar year and forms this value. This RIN variable (amongst various others) is presented in the "Economic RIN" worksheet of the spreadsheet RINB-36-01.</w:t>
            </w:r>
          </w:p>
          <w:p w14:paraId="2A52A989" w14:textId="17DCB55B"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09261A03"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maintained by the </w:t>
            </w:r>
            <w:r w:rsidRPr="00DC218C">
              <w:rPr>
                <w:rFonts w:ascii="Arial" w:hAnsi="Arial" w:cs="Arial"/>
                <w:color w:val="auto"/>
                <w:sz w:val="18"/>
                <w:szCs w:val="18"/>
              </w:rPr>
              <w:lastRenderedPageBreak/>
              <w:t>Network Operations group within TransGrid.</w:t>
            </w:r>
          </w:p>
          <w:p w14:paraId="403EB873" w14:textId="15C0902D" w:rsidR="00DC218C" w:rsidRPr="00DC218C" w:rsidRDefault="00DC218C" w:rsidP="00DC218C">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7125D051"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47607C1E" w14:textId="3EF1BF01"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lastRenderedPageBreak/>
              <w:t>Number of events greater than 0.3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5B8652E7" w14:textId="7DABD365"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This is taken to be the number of unplanned outages in the relevant year entailing a loss of supply exceeding the 'X' threshold set by the AER for TransGrid (which is 0.05 system minutes) where the loss of supply also is greater than 0.3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1722D0EC"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2DB5A316"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4B27571C" w14:textId="2C3E430F"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w:t>
            </w:r>
            <w:r w:rsidRPr="00DC218C">
              <w:rPr>
                <w:rFonts w:ascii="Arial" w:hAnsi="Arial" w:cs="Arial"/>
                <w:color w:val="auto"/>
                <w:sz w:val="18"/>
                <w:szCs w:val="18"/>
              </w:rPr>
              <w:lastRenderedPageBreak/>
              <w:t>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3F45BC4A" w14:textId="5AA166B9"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7CEEAE15"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0.3 system minute threshold, is counted across the relevant calendar year and forms this value. This RIN variable (amongst various others) is presented in the "Economic RIN" worksheet of the spreadsheet RINB-36-01.</w:t>
            </w:r>
          </w:p>
          <w:p w14:paraId="71554B08" w14:textId="6B99448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w:t>
            </w:r>
            <w:r w:rsidRPr="00DC218C">
              <w:rPr>
                <w:rFonts w:ascii="Arial" w:hAnsi="Arial" w:cs="Arial"/>
                <w:color w:val="auto"/>
                <w:sz w:val="18"/>
                <w:szCs w:val="18"/>
              </w:rPr>
              <w:lastRenderedPageBreak/>
              <w:t>(shortcut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71E6D445"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702C5E2D" w14:textId="3F6A4431"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480611CC"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52B5A9E3" w14:textId="4D6E34BC"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t>Number of events greater than 0.5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1E434A0D" w14:textId="750D86CA"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This is taken to be the number of unplanned outages in the relevant year entailing a loss of supply exceeding the 'X' threshold set by the AER for TransGrid (which is 0.05 system minutes) where the loss of supply also is greater than 0.5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4107D172"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63FAEADD"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167C8D5F" w14:textId="2C110211"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"Peak Demand" table in within the Statistics Backend.accdb database stored on TransGrid's shared drive (with secure access for only staff requiring access). An extract of this table is </w:t>
            </w:r>
            <w:r w:rsidRPr="00DC218C">
              <w:rPr>
                <w:rFonts w:ascii="Arial" w:hAnsi="Arial" w:cs="Arial"/>
                <w:color w:val="auto"/>
                <w:sz w:val="18"/>
                <w:szCs w:val="18"/>
              </w:rPr>
              <w:lastRenderedPageBreak/>
              <w:t>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43483547" w14:textId="5EDA6868"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7BE453B7"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0.5 system minute threshold, is counted across the relevant calendar year and forms this value. This RIN variable (amongst various others) is presented in the "Economic RIN" worksheet of the spreadsheet RINB-36-01.</w:t>
            </w:r>
          </w:p>
          <w:p w14:paraId="4430AE5F" w14:textId="016C8FF1"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is: MWh = system </w:t>
            </w:r>
            <w:r w:rsidRPr="00DC218C">
              <w:rPr>
                <w:rFonts w:ascii="Arial" w:hAnsi="Arial" w:cs="Arial"/>
                <w:color w:val="auto"/>
                <w:sz w:val="18"/>
                <w:szCs w:val="18"/>
              </w:rPr>
              <w:lastRenderedPageBreak/>
              <w:t>minutes / 60 * (record MW demand</w:t>
            </w:r>
            <w:proofErr w:type="gramStart"/>
            <w:r w:rsidRPr="00DC218C">
              <w:rPr>
                <w:rFonts w:ascii="Arial" w:hAnsi="Arial" w:cs="Arial"/>
                <w:color w:val="auto"/>
                <w:sz w:val="18"/>
                <w:szCs w:val="18"/>
              </w:rPr>
              <w:t>).The</w:t>
            </w:r>
            <w:proofErr w:type="gramEnd"/>
            <w:r w:rsidRPr="00DC218C">
              <w:rPr>
                <w:rFonts w:ascii="Arial" w:hAnsi="Arial" w:cs="Arial"/>
                <w:color w:val="auto"/>
                <w:sz w:val="18"/>
                <w:szCs w:val="18"/>
              </w:rPr>
              <w:t xml:space="preserv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CDAB8CA"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1A9E5A97" w14:textId="2DEFE59E"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4241469D"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2BE588C4" w14:textId="7BAB1883"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t>Number of events greater than 0.75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1FBC8FE3" w14:textId="5551D10F"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This is taken to be the number of unplanned outages in the relevant year entailing a loss of supply exceeding the 'X' threshold set by the AER for TransGrid (which is 0.05 system minutes) where the loss of supply also is greater than 0.75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031E7C2D"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438E80AC"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1FE8B249" w14:textId="4CEB1469"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"Peak Demand" table in within the Statistics Backend.accdb database stored on TransGrid's </w:t>
            </w:r>
            <w:r w:rsidRPr="00DC218C">
              <w:rPr>
                <w:rFonts w:ascii="Arial" w:hAnsi="Arial" w:cs="Arial"/>
                <w:color w:val="auto"/>
                <w:sz w:val="18"/>
                <w:szCs w:val="18"/>
              </w:rPr>
              <w:lastRenderedPageBreak/>
              <w:t>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3D0C648D" w14:textId="13F1E8BA"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279E17D"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0.75 system minute threshold, is counted across the relevant calendar year and forms this value. This RIN variable (amongst various others) is presented in the "Economic RIN" worksheet of the spreadsheet RINB-36-01.</w:t>
            </w:r>
          </w:p>
          <w:p w14:paraId="1F7A3A62" w14:textId="58CC61E8"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mathematical relationship between MWh and system minutes is: MWh = system minutes / 60 * (record MW demand</w:t>
            </w:r>
            <w:proofErr w:type="gramStart"/>
            <w:r w:rsidRPr="00DC218C">
              <w:rPr>
                <w:rFonts w:ascii="Arial" w:hAnsi="Arial" w:cs="Arial"/>
                <w:color w:val="auto"/>
                <w:sz w:val="18"/>
                <w:szCs w:val="18"/>
              </w:rPr>
              <w:t>).The</w:t>
            </w:r>
            <w:proofErr w:type="gramEnd"/>
            <w:r w:rsidRPr="00DC218C">
              <w:rPr>
                <w:rFonts w:ascii="Arial" w:hAnsi="Arial" w:cs="Arial"/>
                <w:color w:val="auto"/>
                <w:sz w:val="18"/>
                <w:szCs w:val="18"/>
              </w:rPr>
              <w:t xml:space="preserve"> record MW demand was obtained from the 2012 National Electricity Forecasting Report by AEMO (shortcut RINB-36-02 &amp; report RINB-36-03), on page 4-9. worksheet.</w:t>
            </w:r>
          </w:p>
        </w:tc>
        <w:tc>
          <w:tcPr>
            <w:tcW w:w="764" w:type="pct"/>
            <w:tcBorders>
              <w:top w:val="single" w:sz="4" w:space="0" w:color="auto"/>
              <w:left w:val="nil"/>
              <w:bottom w:val="single" w:sz="4" w:space="0" w:color="auto"/>
              <w:right w:val="single" w:sz="4" w:space="0" w:color="auto"/>
            </w:tcBorders>
            <w:shd w:val="clear" w:color="auto" w:fill="EBF1DE"/>
            <w:vAlign w:val="center"/>
          </w:tcPr>
          <w:p w14:paraId="33D4F7E5"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2F1E8E2E" w14:textId="0C36D44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447FFC46"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5D3ECEF3" w14:textId="01BDDBD9"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t>Number of events greater than 1.0 system minutes per annum (X)</w:t>
            </w:r>
          </w:p>
        </w:tc>
        <w:tc>
          <w:tcPr>
            <w:tcW w:w="702" w:type="pct"/>
            <w:tcBorders>
              <w:top w:val="single" w:sz="4" w:space="0" w:color="auto"/>
              <w:left w:val="nil"/>
              <w:bottom w:val="single" w:sz="4" w:space="0" w:color="auto"/>
              <w:right w:val="single" w:sz="4" w:space="0" w:color="auto"/>
            </w:tcBorders>
            <w:shd w:val="clear" w:color="auto" w:fill="EBF1DE"/>
            <w:vAlign w:val="center"/>
          </w:tcPr>
          <w:p w14:paraId="4D9618EB" w14:textId="6C1BD29C"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'X' threshold set by the AER for TransGrid (which is 0.05 system minutes) where the loss of supply also is greater than 1.0 system minutes, subtracting </w:t>
            </w:r>
            <w:r w:rsidRPr="00DC218C">
              <w:rPr>
                <w:rFonts w:ascii="Arial" w:hAnsi="Arial" w:cs="Arial"/>
                <w:color w:val="auto"/>
                <w:sz w:val="18"/>
                <w:szCs w:val="18"/>
              </w:rPr>
              <w:lastRenderedPageBreak/>
              <w:t>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026B9CB8"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7567DDA3"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w:t>
            </w:r>
            <w:r w:rsidRPr="00DC218C">
              <w:rPr>
                <w:rFonts w:ascii="Arial" w:hAnsi="Arial" w:cs="Arial"/>
                <w:color w:val="auto"/>
                <w:sz w:val="18"/>
                <w:szCs w:val="18"/>
              </w:rPr>
              <w:lastRenderedPageBreak/>
              <w:t xml:space="preserve">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1246C4A5" w14:textId="158651A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3FF2962E" w14:textId="773F561F"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53D7DF31" w14:textId="77777777" w:rsidR="00DC218C" w:rsidRPr="00DC218C" w:rsidRDefault="00DC218C" w:rsidP="00C25CE7">
            <w:pPr>
              <w:spacing w:after="0" w:line="360" w:lineRule="auto"/>
              <w:ind w:left="113"/>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1.0 system minute threshold, is counted across the relevant calendar year and forms this value. This RIN variable (amongst various others) is </w:t>
            </w:r>
            <w:r w:rsidRPr="00DC218C">
              <w:rPr>
                <w:rFonts w:ascii="Arial" w:hAnsi="Arial" w:cs="Arial"/>
                <w:color w:val="auto"/>
                <w:sz w:val="18"/>
                <w:szCs w:val="18"/>
              </w:rPr>
              <w:lastRenderedPageBreak/>
              <w:t>presented in the "Economic RIN" worksheet of the spreadsheet RINB-36-01.</w:t>
            </w:r>
          </w:p>
          <w:p w14:paraId="58782AF1" w14:textId="1B9A456D" w:rsidR="00DC218C" w:rsidRPr="00DC218C" w:rsidRDefault="00DC218C" w:rsidP="00C25CE7">
            <w:pPr>
              <w:spacing w:after="0" w:line="360" w:lineRule="auto"/>
              <w:ind w:left="113"/>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08662C49" w14:textId="77777777" w:rsidR="00DC218C" w:rsidRPr="00DC218C" w:rsidRDefault="00DC218C" w:rsidP="00C25CE7">
            <w:pPr>
              <w:spacing w:after="0" w:line="360" w:lineRule="auto"/>
              <w:ind w:left="113"/>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15143D4A" w14:textId="52BD9D26"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5ED87857"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42D1E9CD" w14:textId="2521025C"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br/>
              <w:t>Number of events greater than 0.05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0A03433B" w14:textId="3F302F20"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'Y' threshold set by the AER for TransGrid (which is 0.25 system minutes) where the loss of supply also is greater than 0.05 </w:t>
            </w:r>
            <w:r w:rsidRPr="00DC218C">
              <w:rPr>
                <w:rFonts w:ascii="Arial" w:hAnsi="Arial" w:cs="Arial"/>
                <w:color w:val="auto"/>
                <w:sz w:val="18"/>
                <w:szCs w:val="18"/>
              </w:rPr>
              <w:lastRenderedPageBreak/>
              <w:t>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368CC6ED"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51B845F1"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w:t>
            </w:r>
            <w:r w:rsidRPr="00DC218C">
              <w:rPr>
                <w:rFonts w:ascii="Arial" w:hAnsi="Arial" w:cs="Arial"/>
                <w:color w:val="auto"/>
                <w:sz w:val="18"/>
                <w:szCs w:val="18"/>
              </w:rPr>
              <w:lastRenderedPageBreak/>
              <w:t xml:space="preserve">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3A36D52C" w14:textId="25601235"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649CCF4D" w14:textId="39112711" w:rsidR="00DC218C" w:rsidRPr="00DC218C" w:rsidRDefault="00DC218C" w:rsidP="00C25CE7">
            <w:pPr>
              <w:spacing w:after="0" w:line="360" w:lineRule="auto"/>
              <w:ind w:left="113"/>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214901D"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0.25 system minute threshold, is counted across the relevant calendar year and forms this value. This RIN variable </w:t>
            </w:r>
            <w:r w:rsidRPr="00DC218C">
              <w:rPr>
                <w:rFonts w:ascii="Arial" w:hAnsi="Arial" w:cs="Arial"/>
                <w:color w:val="auto"/>
                <w:sz w:val="18"/>
                <w:szCs w:val="18"/>
              </w:rPr>
              <w:lastRenderedPageBreak/>
              <w:t>(amongst various others) is presented in the "Economic RIN" worksheet of the spreadsheet RINB-36-01.</w:t>
            </w:r>
          </w:p>
          <w:p w14:paraId="6EC9A066" w14:textId="49E999AD"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21B96654"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481B6AAE" w14:textId="60976E3E"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6313CEC0"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318D875C" w14:textId="6E723A49" w:rsidR="00DC218C" w:rsidRPr="00C25CE7" w:rsidRDefault="00DC218C" w:rsidP="00C25CE7">
            <w:pPr>
              <w:spacing w:line="360" w:lineRule="auto"/>
              <w:rPr>
                <w:rFonts w:ascii="Arial" w:hAnsi="Arial" w:cs="Arial"/>
                <w:color w:val="auto"/>
                <w:sz w:val="18"/>
                <w:szCs w:val="18"/>
              </w:rPr>
            </w:pPr>
            <w:r w:rsidRPr="004B67AC">
              <w:rPr>
                <w:rFonts w:ascii="Arial" w:hAnsi="Arial" w:cs="Arial"/>
                <w:color w:val="auto"/>
                <w:sz w:val="18"/>
                <w:szCs w:val="18"/>
              </w:rPr>
              <w:br/>
              <w:t>Number of events greater than 0.1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1D8EA187" w14:textId="28BC8E1D"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'Y' threshold set by the AER for TransGrid (which is 0.25 system minutes) where the </w:t>
            </w:r>
            <w:r w:rsidRPr="00DC218C">
              <w:rPr>
                <w:rFonts w:ascii="Arial" w:hAnsi="Arial" w:cs="Arial"/>
                <w:color w:val="auto"/>
                <w:sz w:val="18"/>
                <w:szCs w:val="18"/>
              </w:rPr>
              <w:lastRenderedPageBreak/>
              <w:t>loss of supply also is greater than 0.1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64A4A54E"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1B669913"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w:t>
            </w:r>
            <w:r w:rsidRPr="00DC218C">
              <w:rPr>
                <w:rFonts w:ascii="Arial" w:hAnsi="Arial" w:cs="Arial"/>
                <w:color w:val="auto"/>
                <w:sz w:val="18"/>
                <w:szCs w:val="18"/>
              </w:rPr>
              <w:lastRenderedPageBreak/>
              <w:t xml:space="preserve">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03D76800" w14:textId="4A0B2B6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79BD8510" w14:textId="3570CC62" w:rsidR="00DC218C" w:rsidRPr="00DC218C" w:rsidRDefault="00DC218C" w:rsidP="00DC218C">
            <w:pPr>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35DA5AA"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0.25 system minute threshold, is counted across the relevant </w:t>
            </w:r>
            <w:r w:rsidRPr="00DC218C">
              <w:rPr>
                <w:rFonts w:ascii="Arial" w:hAnsi="Arial" w:cs="Arial"/>
                <w:color w:val="auto"/>
                <w:sz w:val="18"/>
                <w:szCs w:val="18"/>
              </w:rPr>
              <w:lastRenderedPageBreak/>
              <w:t>calendar year and forms this value. This RIN variable (amongst various others) is presented in the "Economic RIN" worksheet of the spreadsheet RINB-36-01.</w:t>
            </w:r>
          </w:p>
          <w:p w14:paraId="76A6B86F" w14:textId="7AA95155"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mathematical relationship between MWh and system minutes is: MWh = system minutes / 60 * (record MW demand</w:t>
            </w:r>
            <w:proofErr w:type="gramStart"/>
            <w:r w:rsidRPr="00DC218C">
              <w:rPr>
                <w:rFonts w:ascii="Arial" w:hAnsi="Arial" w:cs="Arial"/>
                <w:color w:val="auto"/>
                <w:sz w:val="18"/>
                <w:szCs w:val="18"/>
              </w:rPr>
              <w:t>).The</w:t>
            </w:r>
            <w:proofErr w:type="gramEnd"/>
            <w:r w:rsidRPr="00DC218C">
              <w:rPr>
                <w:rFonts w:ascii="Arial" w:hAnsi="Arial" w:cs="Arial"/>
                <w:color w:val="auto"/>
                <w:sz w:val="18"/>
                <w:szCs w:val="18"/>
              </w:rPr>
              <w:t xml:space="preserv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4CA21D45"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74FE83D1" w14:textId="0249AF6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Accuracy of data from AEMO.</w:t>
            </w:r>
          </w:p>
        </w:tc>
      </w:tr>
      <w:tr w:rsidR="008670D7" w:rsidRPr="00B21581" w14:paraId="3E8A7756"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09EF9643" w14:textId="12279729" w:rsidR="00DC218C" w:rsidRPr="00C25CE7" w:rsidRDefault="00DC218C" w:rsidP="00C25CE7">
            <w:pPr>
              <w:spacing w:line="360" w:lineRule="auto"/>
              <w:rPr>
                <w:rFonts w:ascii="Arial" w:hAnsi="Arial" w:cs="Arial"/>
                <w:color w:val="auto"/>
                <w:sz w:val="18"/>
                <w:szCs w:val="18"/>
              </w:rPr>
            </w:pPr>
            <w:r w:rsidRPr="00680C33">
              <w:rPr>
                <w:rFonts w:ascii="Arial" w:hAnsi="Arial" w:cs="Arial"/>
                <w:color w:val="auto"/>
                <w:sz w:val="18"/>
                <w:szCs w:val="18"/>
              </w:rPr>
              <w:lastRenderedPageBreak/>
              <w:br/>
              <w:t>Number of events greater than 0.2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47643B24" w14:textId="1453AE2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'Y' threshold set by the AER for TransGrid </w:t>
            </w:r>
            <w:r w:rsidRPr="00DC218C">
              <w:rPr>
                <w:rFonts w:ascii="Arial" w:hAnsi="Arial" w:cs="Arial"/>
                <w:color w:val="auto"/>
                <w:sz w:val="18"/>
                <w:szCs w:val="18"/>
              </w:rPr>
              <w:lastRenderedPageBreak/>
              <w:t>(which is 0.25 system minutes) where the loss of supply also is greater than 0.2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5B5E5534"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4CF79E88"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6B3DB3C2" w14:textId="25703712"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392617F5" w14:textId="3C0D3081" w:rsidR="00DC218C" w:rsidRPr="00DC218C" w:rsidRDefault="00DC218C" w:rsidP="00DC218C">
            <w:pPr>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10A994E"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0.25 </w:t>
            </w:r>
            <w:r w:rsidRPr="00DC218C">
              <w:rPr>
                <w:rFonts w:ascii="Arial" w:hAnsi="Arial" w:cs="Arial"/>
                <w:color w:val="auto"/>
                <w:sz w:val="18"/>
                <w:szCs w:val="18"/>
              </w:rPr>
              <w:lastRenderedPageBreak/>
              <w:t>system minute threshold, is counted across the relevant calendar year and forms this value. This RIN variable (amongst various others) is presented in the "Economic RIN" worksheet of the spreadsheet RINB-36-01.</w:t>
            </w:r>
          </w:p>
          <w:p w14:paraId="0571DCDC" w14:textId="6EA83A5F"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46D44413"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7C32A901" w14:textId="5844669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Accuracy of data from AEMO.</w:t>
            </w:r>
          </w:p>
        </w:tc>
      </w:tr>
      <w:tr w:rsidR="008670D7" w:rsidRPr="00B21581" w14:paraId="0E6BBE38"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6110EE57" w14:textId="2FD723C3" w:rsidR="00DC218C" w:rsidRPr="00C25CE7" w:rsidRDefault="00DC218C" w:rsidP="00C25CE7">
            <w:pPr>
              <w:spacing w:line="360" w:lineRule="auto"/>
              <w:rPr>
                <w:rFonts w:ascii="Arial" w:hAnsi="Arial" w:cs="Arial"/>
                <w:color w:val="auto"/>
                <w:sz w:val="18"/>
                <w:szCs w:val="18"/>
              </w:rPr>
            </w:pPr>
            <w:r w:rsidRPr="00680C33">
              <w:rPr>
                <w:rFonts w:ascii="Arial" w:hAnsi="Arial" w:cs="Arial"/>
                <w:color w:val="auto"/>
                <w:sz w:val="18"/>
                <w:szCs w:val="18"/>
              </w:rPr>
              <w:lastRenderedPageBreak/>
              <w:t xml:space="preserve">Number of events greater than 0.25 system </w:t>
            </w:r>
            <w:r w:rsidRPr="00680C33">
              <w:rPr>
                <w:rFonts w:ascii="Arial" w:hAnsi="Arial" w:cs="Arial"/>
                <w:color w:val="auto"/>
                <w:sz w:val="18"/>
                <w:szCs w:val="18"/>
              </w:rPr>
              <w:lastRenderedPageBreak/>
              <w:t>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6194601D" w14:textId="62DB01B0"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This is taken to be the number of unplanned outages in the relevant year entailing a loss of supply exceeding the </w:t>
            </w:r>
            <w:r w:rsidRPr="00DC218C">
              <w:rPr>
                <w:rFonts w:ascii="Arial" w:hAnsi="Arial" w:cs="Arial"/>
                <w:color w:val="auto"/>
                <w:sz w:val="18"/>
                <w:szCs w:val="18"/>
              </w:rPr>
              <w:lastRenderedPageBreak/>
              <w:t>'Y' threshold set by the AER for TransGrid (which is 0.25 system minutes) where the loss of supply also is greater than 0.25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5A1AC4BC"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The "ENS Lost Load" table within the Statistics Backend.accdb database stored on TransGrid's shared drive (with secure access for only staff requiring access). An extract of this table is </w:t>
            </w:r>
            <w:r w:rsidRPr="00DC218C">
              <w:rPr>
                <w:rFonts w:ascii="Arial" w:hAnsi="Arial" w:cs="Arial"/>
                <w:color w:val="auto"/>
                <w:sz w:val="18"/>
                <w:szCs w:val="18"/>
              </w:rPr>
              <w:lastRenderedPageBreak/>
              <w:t>provided in the worksheet "ENS Lost Load Linked Table" worksheet of spreadsheet RINB-36-01.</w:t>
            </w:r>
          </w:p>
          <w:p w14:paraId="4FFA5569"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14381094" w14:textId="51AB7350"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45E0C1A7" w14:textId="22D6C018"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23941497"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w:t>
            </w:r>
            <w:r w:rsidRPr="00DC218C">
              <w:rPr>
                <w:rFonts w:ascii="Arial" w:hAnsi="Arial" w:cs="Arial"/>
                <w:color w:val="auto"/>
                <w:sz w:val="18"/>
                <w:szCs w:val="18"/>
              </w:rPr>
              <w:lastRenderedPageBreak/>
              <w:t>and whose system minute value (column AD) exceeds the 0.25 system minute threshold, is counted across the relevant calendar year and forms this value. This RIN variable (amongst various others) is presented in the "Economic RIN" worksheet of the spreadsheet RINB-36-01.</w:t>
            </w:r>
          </w:p>
          <w:p w14:paraId="02E69D5B"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p w14:paraId="642F5DE2"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 </w:t>
            </w:r>
          </w:p>
          <w:p w14:paraId="5A71ECDF" w14:textId="08319F4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 </w:t>
            </w:r>
          </w:p>
        </w:tc>
        <w:tc>
          <w:tcPr>
            <w:tcW w:w="764" w:type="pct"/>
            <w:tcBorders>
              <w:top w:val="single" w:sz="4" w:space="0" w:color="auto"/>
              <w:left w:val="nil"/>
              <w:bottom w:val="single" w:sz="4" w:space="0" w:color="auto"/>
              <w:right w:val="single" w:sz="4" w:space="0" w:color="auto"/>
            </w:tcBorders>
            <w:shd w:val="clear" w:color="auto" w:fill="EBF1DE"/>
            <w:vAlign w:val="center"/>
          </w:tcPr>
          <w:p w14:paraId="72B8B1D9"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maintained by the </w:t>
            </w:r>
            <w:r w:rsidRPr="00DC218C">
              <w:rPr>
                <w:rFonts w:ascii="Arial" w:hAnsi="Arial" w:cs="Arial"/>
                <w:color w:val="auto"/>
                <w:sz w:val="18"/>
                <w:szCs w:val="18"/>
              </w:rPr>
              <w:lastRenderedPageBreak/>
              <w:t>Network Operations group within TransGrid.</w:t>
            </w:r>
          </w:p>
          <w:p w14:paraId="5F99129B" w14:textId="328BB51D"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65C6FBAF"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566D3220" w14:textId="1C091E40" w:rsidR="00DC218C" w:rsidRPr="00C25CE7" w:rsidRDefault="00DC218C" w:rsidP="00C25CE7">
            <w:pPr>
              <w:spacing w:line="360" w:lineRule="auto"/>
              <w:rPr>
                <w:rFonts w:ascii="Arial" w:hAnsi="Arial" w:cs="Arial"/>
                <w:color w:val="auto"/>
                <w:sz w:val="18"/>
                <w:szCs w:val="18"/>
              </w:rPr>
            </w:pPr>
            <w:r w:rsidRPr="00680C33">
              <w:rPr>
                <w:rFonts w:ascii="Arial" w:hAnsi="Arial" w:cs="Arial"/>
                <w:color w:val="auto"/>
                <w:sz w:val="18"/>
                <w:szCs w:val="18"/>
              </w:rPr>
              <w:lastRenderedPageBreak/>
              <w:t>Number of events greater than 0.3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3628CFEA" w14:textId="258AF8C1"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This is taken to be the number of unplanned outages in the relevant year entailing a loss of supply exceeding the 'Y' threshold set by the AER for TransGrid (which is 0.25 system minutes) where the loss of supply also is greater than 0.30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4746B185"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7E151AB2"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56BD1920" w14:textId="0AAE27A3"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"Peak Demand" table in within the Statistics Backend.accdb database stored on TransGrid's shared drive (with secure access for only staff requiring access). An extract of this table is </w:t>
            </w:r>
            <w:r w:rsidRPr="00DC218C">
              <w:rPr>
                <w:rFonts w:ascii="Arial" w:hAnsi="Arial" w:cs="Arial"/>
                <w:color w:val="auto"/>
                <w:sz w:val="18"/>
                <w:szCs w:val="18"/>
              </w:rPr>
              <w:lastRenderedPageBreak/>
              <w:t>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F79C7A7" w14:textId="09251464" w:rsidR="00DC218C" w:rsidRPr="00DC218C" w:rsidRDefault="00DC218C" w:rsidP="00DC218C">
            <w:pPr>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E8BEDA8"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0.3 system minute threshold, is counted across the relevant calendar year and forms this value. This RIN variable (amongst various others) is presented in the "Economic RIN" worksheet of the spreadsheet RINB-36-01.</w:t>
            </w:r>
          </w:p>
          <w:p w14:paraId="6DED2223" w14:textId="0929421E"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w:t>
            </w:r>
            <w:r w:rsidRPr="00DC218C">
              <w:rPr>
                <w:rFonts w:ascii="Arial" w:hAnsi="Arial" w:cs="Arial"/>
                <w:color w:val="auto"/>
                <w:sz w:val="18"/>
                <w:szCs w:val="18"/>
              </w:rPr>
              <w:lastRenderedPageBreak/>
              <w:t>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0EDA2496"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3D439C11" w14:textId="61BA3DFF"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679498A6"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1DB25BAB" w14:textId="1CF921A3" w:rsidR="00DC218C" w:rsidRPr="00D95155" w:rsidRDefault="00DC218C" w:rsidP="00C25CE7">
            <w:pPr>
              <w:spacing w:line="360" w:lineRule="auto"/>
              <w:rPr>
                <w:rFonts w:cstheme="minorHAnsi"/>
                <w:color w:val="auto"/>
                <w:sz w:val="18"/>
                <w:szCs w:val="18"/>
              </w:rPr>
            </w:pPr>
            <w:r w:rsidRPr="00CA577F">
              <w:rPr>
                <w:rFonts w:ascii="Arial" w:hAnsi="Arial" w:cs="Arial"/>
                <w:color w:val="auto"/>
                <w:sz w:val="18"/>
                <w:szCs w:val="18"/>
              </w:rPr>
              <w:t>Number of events greater than 0.5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5E736298" w14:textId="42CADE28"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This is taken to be the number of unplanned outages in the relevant year entailing a loss of supply exceeding the 'Y' threshold set by the AER for TransGrid (which is 0.25 system minutes) where the loss of supply also is greater than 0.5 system 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16711157"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0AB30210"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0B9A5942" w14:textId="1062CFEB"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"Peak Demand" table in within the Statistics Backend.accdb database stored on TransGrid's </w:t>
            </w:r>
            <w:r w:rsidRPr="00DC218C">
              <w:rPr>
                <w:rFonts w:ascii="Arial" w:hAnsi="Arial" w:cs="Arial"/>
                <w:color w:val="auto"/>
                <w:sz w:val="18"/>
                <w:szCs w:val="18"/>
              </w:rPr>
              <w:lastRenderedPageBreak/>
              <w:t>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3B5EEC01" w14:textId="5D3F76E5" w:rsidR="00DC218C" w:rsidRPr="00DC218C" w:rsidRDefault="00DC218C" w:rsidP="00DC218C">
            <w:pPr>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66C112EB"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0.5 system minute threshold, is counted across the relevant calendar year and forms this value. This RIN variable (amongst various others) is presented in the "Economic RIN" worksheet of the spreadsheet RINB-36-01.</w:t>
            </w:r>
          </w:p>
          <w:p w14:paraId="4390B097" w14:textId="17FFB883"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485625B9"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20D35C9C" w14:textId="2BF20386"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6367B2B3"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4AB0F930" w14:textId="3D949722" w:rsidR="00DC218C" w:rsidRPr="00C25CE7" w:rsidRDefault="00DC218C" w:rsidP="00C25CE7">
            <w:pPr>
              <w:spacing w:line="360" w:lineRule="auto"/>
              <w:rPr>
                <w:rFonts w:ascii="Arial" w:hAnsi="Arial" w:cs="Arial"/>
                <w:color w:val="auto"/>
                <w:sz w:val="18"/>
                <w:szCs w:val="18"/>
              </w:rPr>
            </w:pPr>
            <w:r w:rsidRPr="00CA577F">
              <w:rPr>
                <w:rFonts w:ascii="Arial" w:hAnsi="Arial" w:cs="Arial"/>
                <w:color w:val="auto"/>
                <w:sz w:val="18"/>
                <w:szCs w:val="18"/>
              </w:rPr>
              <w:t>Number of events greater than 0.75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02547AF6" w14:textId="6143AD20"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'Y' threshold set by the AER for TransGrid (which is 0.25 system minutes) where the loss of supply also is greater than 0.75 system minutes, subtracting any </w:t>
            </w:r>
            <w:r w:rsidRPr="00DC218C">
              <w:rPr>
                <w:rFonts w:ascii="Arial" w:hAnsi="Arial" w:cs="Arial"/>
                <w:color w:val="auto"/>
                <w:sz w:val="18"/>
                <w:szCs w:val="18"/>
              </w:rPr>
              <w:lastRenderedPageBreak/>
              <w:t>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7C1CF0A2"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7D48745A"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Network Operations staff to record outage data) </w:t>
            </w:r>
            <w:r w:rsidRPr="00DC218C">
              <w:rPr>
                <w:rFonts w:ascii="Arial" w:hAnsi="Arial" w:cs="Arial"/>
                <w:color w:val="auto"/>
                <w:sz w:val="18"/>
                <w:szCs w:val="18"/>
              </w:rPr>
              <w:lastRenderedPageBreak/>
              <w:t xml:space="preserve">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7DFDDEA5" w14:textId="5FA4AA7D"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0F535163" w14:textId="25B28156"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4C1893F0"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0.75 system minute threshold, is counted across the relevant calendar year and forms this value. This RIN variable (amongst various others) is presented in the "Economic RIN" </w:t>
            </w:r>
            <w:r w:rsidRPr="00DC218C">
              <w:rPr>
                <w:rFonts w:ascii="Arial" w:hAnsi="Arial" w:cs="Arial"/>
                <w:color w:val="auto"/>
                <w:sz w:val="18"/>
                <w:szCs w:val="18"/>
              </w:rPr>
              <w:lastRenderedPageBreak/>
              <w:t>worksheet of the spreadsheet RINB-36-01.</w:t>
            </w:r>
          </w:p>
          <w:p w14:paraId="0A660DAC" w14:textId="65F033E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4B041D54"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082736A3" w14:textId="77E5F561"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8670D7" w:rsidRPr="00B21581" w14:paraId="4CFF5D3A" w14:textId="77777777" w:rsidTr="00525AE5">
        <w:trPr>
          <w:trHeight w:val="90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1C3F72AB" w14:textId="1ACCE07A" w:rsidR="00DC218C" w:rsidRPr="00C25CE7" w:rsidRDefault="00DC218C" w:rsidP="00C25CE7">
            <w:pPr>
              <w:spacing w:line="360" w:lineRule="auto"/>
              <w:rPr>
                <w:rFonts w:ascii="Arial" w:hAnsi="Arial" w:cs="Arial"/>
                <w:color w:val="auto"/>
                <w:sz w:val="18"/>
                <w:szCs w:val="18"/>
              </w:rPr>
            </w:pPr>
            <w:r w:rsidRPr="00CA577F">
              <w:rPr>
                <w:rFonts w:ascii="Arial" w:hAnsi="Arial" w:cs="Arial"/>
                <w:color w:val="auto"/>
                <w:sz w:val="18"/>
                <w:szCs w:val="18"/>
              </w:rPr>
              <w:t>Number of events greater than 1.0 system minutes per annum (Y)</w:t>
            </w:r>
          </w:p>
        </w:tc>
        <w:tc>
          <w:tcPr>
            <w:tcW w:w="702" w:type="pct"/>
            <w:tcBorders>
              <w:top w:val="single" w:sz="4" w:space="0" w:color="auto"/>
              <w:left w:val="nil"/>
              <w:bottom w:val="single" w:sz="4" w:space="0" w:color="auto"/>
              <w:right w:val="single" w:sz="4" w:space="0" w:color="auto"/>
            </w:tcBorders>
            <w:shd w:val="clear" w:color="auto" w:fill="EBF1DE"/>
            <w:vAlign w:val="center"/>
          </w:tcPr>
          <w:p w14:paraId="491EC457" w14:textId="551DAA94"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This is taken to be the number of unplanned outages in the relevant year entailing a loss of supply exceeding the 'Y' threshold set by the AER for TransGrid (which is 0.25 system minutes) where the loss of supply also is greater than 1.0 system </w:t>
            </w:r>
            <w:r w:rsidRPr="00DC218C">
              <w:rPr>
                <w:rFonts w:ascii="Arial" w:hAnsi="Arial" w:cs="Arial"/>
                <w:color w:val="auto"/>
                <w:sz w:val="18"/>
                <w:szCs w:val="18"/>
              </w:rPr>
              <w:lastRenderedPageBreak/>
              <w:t>minutes, subtracting any applicable exclusions as defined by the AER STPIS V5.</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3C1E40B0"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6FA464CB"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"ENS Lost Load" Table in Statistics Backend.accdb is populated by manually entering data into it using information sourced from THEOS (the business application used by </w:t>
            </w:r>
            <w:r w:rsidRPr="00DC218C">
              <w:rPr>
                <w:rFonts w:ascii="Arial" w:hAnsi="Arial" w:cs="Arial"/>
                <w:color w:val="auto"/>
                <w:sz w:val="18"/>
                <w:szCs w:val="18"/>
              </w:rPr>
              <w:lastRenderedPageBreak/>
              <w:t xml:space="preserve">Network Operations staff to record outage data)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xml:space="preserve"> (a separate business application used as a diary/logbook by Network Operators).</w:t>
            </w:r>
          </w:p>
          <w:p w14:paraId="3C5F1C9D" w14:textId="3021A29C" w:rsidR="00525AE5"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The "Peak Demand" table in within the Statistics Backend.accdb database stored on TransGrid's shared drive (with secure access for only staff requiring access). An extract of this table is provided in the worksheet "Peak Demand Linked Table" worksheet of spreadsheet RINB-36-01. The "Peak Demand" Table in Statistics Backend.accdb is populated by manually entering peak demand data using information sourced from AEMO.</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7D9992A" w14:textId="1B1A1B75"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539C0FA0"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Every outage record in the "ENS Lost Load Linked Table" worksheet of the RINB-36-01 spreadsheet which is not excluded (</w:t>
            </w:r>
            <w:proofErr w:type="gramStart"/>
            <w:r w:rsidRPr="00DC218C">
              <w:rPr>
                <w:rFonts w:ascii="Arial" w:hAnsi="Arial" w:cs="Arial"/>
                <w:color w:val="auto"/>
                <w:sz w:val="18"/>
                <w:szCs w:val="18"/>
              </w:rPr>
              <w:t>i.e.</w:t>
            </w:r>
            <w:proofErr w:type="gramEnd"/>
            <w:r w:rsidRPr="00DC218C">
              <w:rPr>
                <w:rFonts w:ascii="Arial" w:hAnsi="Arial" w:cs="Arial"/>
                <w:color w:val="auto"/>
                <w:sz w:val="18"/>
                <w:szCs w:val="18"/>
              </w:rPr>
              <w:t xml:space="preserve"> column N is false) and whose system minute value (column AD) exceeds the 1.0 system minute threshold, is counted across the relevant calendar year and forms this value. This RIN variable </w:t>
            </w:r>
            <w:r w:rsidRPr="00DC218C">
              <w:rPr>
                <w:rFonts w:ascii="Arial" w:hAnsi="Arial" w:cs="Arial"/>
                <w:color w:val="auto"/>
                <w:sz w:val="18"/>
                <w:szCs w:val="18"/>
              </w:rPr>
              <w:lastRenderedPageBreak/>
              <w:t>(amongst various others) is presented in the "Economic RIN" worksheet of the spreadsheet RINB-36-01.</w:t>
            </w:r>
          </w:p>
          <w:p w14:paraId="61D5A9D6" w14:textId="251048D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 xml:space="preserve">The mathematical relationship between MWh and system minutes </w:t>
            </w:r>
            <w:proofErr w:type="gramStart"/>
            <w:r w:rsidRPr="00DC218C">
              <w:rPr>
                <w:rFonts w:ascii="Arial" w:hAnsi="Arial" w:cs="Arial"/>
                <w:color w:val="auto"/>
                <w:sz w:val="18"/>
                <w:szCs w:val="18"/>
              </w:rPr>
              <w:t>is:</w:t>
            </w:r>
            <w:proofErr w:type="gramEnd"/>
            <w:r w:rsidRPr="00DC218C">
              <w:rPr>
                <w:rFonts w:ascii="Arial" w:hAnsi="Arial" w:cs="Arial"/>
                <w:color w:val="auto"/>
                <w:sz w:val="18"/>
                <w:szCs w:val="18"/>
              </w:rPr>
              <w:t xml:space="preserve"> MWh = system minutes / 60 * (record MW demand). The record MW demand was obtained from the 2012 National Electricity Forecasting Report by AEMO (shortcut RINB-36-02 &amp; report RINB-36-03), on page 4-9.</w:t>
            </w:r>
          </w:p>
        </w:tc>
        <w:tc>
          <w:tcPr>
            <w:tcW w:w="764" w:type="pct"/>
            <w:tcBorders>
              <w:top w:val="single" w:sz="4" w:space="0" w:color="auto"/>
              <w:left w:val="nil"/>
              <w:bottom w:val="single" w:sz="4" w:space="0" w:color="auto"/>
              <w:right w:val="single" w:sz="4" w:space="0" w:color="auto"/>
            </w:tcBorders>
            <w:shd w:val="clear" w:color="auto" w:fill="EBF1DE"/>
            <w:vAlign w:val="center"/>
          </w:tcPr>
          <w:p w14:paraId="7CC7202A" w14:textId="77777777"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lastRenderedPageBreak/>
              <w:t xml:space="preserve">Accuracy of the record data sources (THEOS and/or </w:t>
            </w:r>
            <w:proofErr w:type="spellStart"/>
            <w:r w:rsidRPr="00DC218C">
              <w:rPr>
                <w:rFonts w:ascii="Arial" w:hAnsi="Arial" w:cs="Arial"/>
                <w:color w:val="auto"/>
                <w:sz w:val="18"/>
                <w:szCs w:val="18"/>
              </w:rPr>
              <w:t>Opslog</w:t>
            </w:r>
            <w:proofErr w:type="spellEnd"/>
            <w:r w:rsidRPr="00DC218C">
              <w:rPr>
                <w:rFonts w:ascii="Arial" w:hAnsi="Arial" w:cs="Arial"/>
                <w:color w:val="auto"/>
                <w:sz w:val="18"/>
                <w:szCs w:val="18"/>
              </w:rPr>
              <w:t>) maintained by the Network Operations group within TransGrid.</w:t>
            </w:r>
          </w:p>
          <w:p w14:paraId="5CE15ED1" w14:textId="7E29F712" w:rsidR="00DC218C" w:rsidRPr="00DC218C" w:rsidRDefault="00DC218C" w:rsidP="00C25CE7">
            <w:pPr>
              <w:spacing w:line="360" w:lineRule="auto"/>
              <w:rPr>
                <w:rFonts w:ascii="Arial" w:hAnsi="Arial" w:cs="Arial"/>
                <w:color w:val="auto"/>
                <w:sz w:val="18"/>
                <w:szCs w:val="18"/>
              </w:rPr>
            </w:pPr>
            <w:r w:rsidRPr="00DC218C">
              <w:rPr>
                <w:rFonts w:ascii="Arial" w:hAnsi="Arial" w:cs="Arial"/>
                <w:color w:val="auto"/>
                <w:sz w:val="18"/>
                <w:szCs w:val="18"/>
              </w:rPr>
              <w:t>Accuracy of data from AEMO.</w:t>
            </w:r>
          </w:p>
        </w:tc>
      </w:tr>
      <w:tr w:rsidR="00DC218C" w:rsidRPr="00B21581" w14:paraId="791FCACD" w14:textId="77777777" w:rsidTr="00525AE5">
        <w:trPr>
          <w:trHeight w:val="251"/>
        </w:trPr>
        <w:tc>
          <w:tcPr>
            <w:tcW w:w="5000" w:type="pct"/>
            <w:gridSpan w:val="6"/>
            <w:tcBorders>
              <w:top w:val="single" w:sz="4" w:space="0" w:color="auto"/>
              <w:left w:val="single" w:sz="4" w:space="0" w:color="auto"/>
              <w:right w:val="single" w:sz="4" w:space="0" w:color="auto"/>
            </w:tcBorders>
            <w:shd w:val="clear" w:color="auto" w:fill="9BBB59"/>
            <w:vAlign w:val="center"/>
          </w:tcPr>
          <w:p w14:paraId="2DB44DF7" w14:textId="781DB102" w:rsidR="00DC218C" w:rsidRPr="00DC218C" w:rsidRDefault="00DC218C" w:rsidP="00883C6C">
            <w:pPr>
              <w:spacing w:before="100" w:beforeAutospacing="1" w:after="100" w:afterAutospacing="1"/>
              <w:rPr>
                <w:rFonts w:cstheme="minorHAnsi"/>
                <w:color w:val="auto"/>
                <w:sz w:val="18"/>
                <w:szCs w:val="18"/>
              </w:rPr>
            </w:pPr>
            <w:r w:rsidRPr="00DC218C">
              <w:rPr>
                <w:rFonts w:ascii="Arial" w:hAnsi="Arial" w:cs="Arial"/>
                <w:b/>
                <w:bCs/>
                <w:color w:val="FFFFFF"/>
                <w:sz w:val="18"/>
                <w:szCs w:val="18"/>
              </w:rPr>
              <w:t>Service Parameter 3 – Average Outage Duration</w:t>
            </w:r>
          </w:p>
        </w:tc>
      </w:tr>
      <w:tr w:rsidR="008670D7" w:rsidRPr="00B21581" w14:paraId="0792CB1B" w14:textId="77777777" w:rsidTr="00525AE5">
        <w:trPr>
          <w:trHeight w:val="1649"/>
        </w:trPr>
        <w:tc>
          <w:tcPr>
            <w:tcW w:w="532" w:type="pct"/>
            <w:tcBorders>
              <w:top w:val="nil"/>
              <w:left w:val="single" w:sz="4" w:space="0" w:color="auto"/>
              <w:bottom w:val="single" w:sz="4" w:space="0" w:color="auto"/>
              <w:right w:val="single" w:sz="4" w:space="0" w:color="auto"/>
            </w:tcBorders>
            <w:shd w:val="clear" w:color="auto" w:fill="EBF1DE"/>
            <w:vAlign w:val="center"/>
          </w:tcPr>
          <w:p w14:paraId="53B42504" w14:textId="437CE8B6" w:rsidR="00DC218C" w:rsidRPr="00C25CE7" w:rsidRDefault="00DC218C" w:rsidP="00C25CE7">
            <w:pPr>
              <w:spacing w:line="360" w:lineRule="auto"/>
              <w:rPr>
                <w:rFonts w:ascii="Arial" w:hAnsi="Arial" w:cs="Arial"/>
                <w:color w:val="auto"/>
                <w:sz w:val="18"/>
                <w:szCs w:val="18"/>
              </w:rPr>
            </w:pPr>
            <w:r w:rsidRPr="00CA577F">
              <w:rPr>
                <w:rFonts w:ascii="Arial" w:hAnsi="Arial" w:cs="Arial"/>
                <w:color w:val="auto"/>
                <w:sz w:val="18"/>
                <w:szCs w:val="18"/>
              </w:rPr>
              <w:t>Average outage duration</w:t>
            </w:r>
          </w:p>
        </w:tc>
        <w:tc>
          <w:tcPr>
            <w:tcW w:w="702" w:type="pct"/>
            <w:tcBorders>
              <w:top w:val="nil"/>
              <w:left w:val="nil"/>
              <w:bottom w:val="single" w:sz="4" w:space="0" w:color="auto"/>
              <w:right w:val="single" w:sz="4" w:space="0" w:color="auto"/>
            </w:tcBorders>
            <w:shd w:val="clear" w:color="auto" w:fill="EBF1DE"/>
            <w:vAlign w:val="center"/>
          </w:tcPr>
          <w:p w14:paraId="40FCDEBF" w14:textId="547C3BD5"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t xml:space="preserve">This is the average duration in minutes of all unplanned outages </w:t>
            </w:r>
            <w:proofErr w:type="gramStart"/>
            <w:r w:rsidRPr="00C25CE7">
              <w:rPr>
                <w:rFonts w:ascii="Arial" w:hAnsi="Arial" w:cs="Arial"/>
                <w:color w:val="auto"/>
                <w:sz w:val="18"/>
                <w:szCs w:val="18"/>
              </w:rPr>
              <w:t>in a given year</w:t>
            </w:r>
            <w:proofErr w:type="gramEnd"/>
            <w:r w:rsidRPr="00C25CE7">
              <w:rPr>
                <w:rFonts w:ascii="Arial" w:hAnsi="Arial" w:cs="Arial"/>
                <w:color w:val="auto"/>
                <w:sz w:val="18"/>
                <w:szCs w:val="18"/>
              </w:rPr>
              <w:t xml:space="preserve"> involving a loss of supply, which are not </w:t>
            </w:r>
            <w:r w:rsidRPr="00C25CE7">
              <w:rPr>
                <w:rFonts w:ascii="Arial" w:hAnsi="Arial" w:cs="Arial"/>
                <w:color w:val="auto"/>
                <w:sz w:val="18"/>
                <w:szCs w:val="18"/>
              </w:rPr>
              <w:lastRenderedPageBreak/>
              <w:t>excluded (as defined by the AER STPIS V5).</w:t>
            </w:r>
          </w:p>
        </w:tc>
        <w:tc>
          <w:tcPr>
            <w:tcW w:w="1408" w:type="pct"/>
            <w:tcBorders>
              <w:top w:val="nil"/>
              <w:left w:val="nil"/>
              <w:bottom w:val="single" w:sz="4" w:space="0" w:color="auto"/>
              <w:right w:val="single" w:sz="4" w:space="0" w:color="auto"/>
            </w:tcBorders>
            <w:shd w:val="clear" w:color="auto" w:fill="EBF1DE"/>
            <w:vAlign w:val="center"/>
          </w:tcPr>
          <w:p w14:paraId="331769DA" w14:textId="77777777"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lastRenderedPageBreak/>
              <w:t>The "ENS Lost Load" table within the Statistics Backend.accdb database stored on TransGrid's shared drive (with secure access for only staff requiring access). An extract of this table is provided in the worksheet "ENS Lost Load Linked Table" worksheet of spreadsheet RINB-36-01.</w:t>
            </w:r>
          </w:p>
          <w:p w14:paraId="3FFA2C7D" w14:textId="2444992D"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lastRenderedPageBreak/>
              <w:t xml:space="preserve">The "ENS Lost Load" Table in Statistics Backend.accdb is populated by manually entering data into it using information sourced from THEOS (the business application used by Network Operations staff to record outage data) and/or </w:t>
            </w:r>
            <w:proofErr w:type="spellStart"/>
            <w:r w:rsidRPr="00C25CE7">
              <w:rPr>
                <w:rFonts w:ascii="Arial" w:hAnsi="Arial" w:cs="Arial"/>
                <w:color w:val="auto"/>
                <w:sz w:val="18"/>
                <w:szCs w:val="18"/>
              </w:rPr>
              <w:t>Opslog</w:t>
            </w:r>
            <w:proofErr w:type="spellEnd"/>
            <w:r w:rsidRPr="00C25CE7">
              <w:rPr>
                <w:rFonts w:ascii="Arial" w:hAnsi="Arial" w:cs="Arial"/>
                <w:color w:val="auto"/>
                <w:sz w:val="18"/>
                <w:szCs w:val="18"/>
              </w:rPr>
              <w:t xml:space="preserve"> (a separate business application used as a diary/logbook by Network Operators).</w:t>
            </w:r>
          </w:p>
        </w:tc>
        <w:tc>
          <w:tcPr>
            <w:tcW w:w="630" w:type="pct"/>
            <w:tcBorders>
              <w:top w:val="nil"/>
              <w:left w:val="nil"/>
              <w:bottom w:val="single" w:sz="4" w:space="0" w:color="auto"/>
              <w:right w:val="single" w:sz="4" w:space="0" w:color="auto"/>
            </w:tcBorders>
            <w:shd w:val="clear" w:color="auto" w:fill="EBF1DE"/>
            <w:vAlign w:val="center"/>
          </w:tcPr>
          <w:p w14:paraId="7B898ED9" w14:textId="1F1AA18B"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lastRenderedPageBreak/>
              <w:t>No</w:t>
            </w:r>
          </w:p>
        </w:tc>
        <w:tc>
          <w:tcPr>
            <w:tcW w:w="964" w:type="pct"/>
            <w:tcBorders>
              <w:top w:val="nil"/>
              <w:left w:val="nil"/>
              <w:bottom w:val="single" w:sz="4" w:space="0" w:color="auto"/>
              <w:right w:val="single" w:sz="4" w:space="0" w:color="auto"/>
            </w:tcBorders>
            <w:shd w:val="clear" w:color="auto" w:fill="EBF1DE"/>
            <w:vAlign w:val="center"/>
          </w:tcPr>
          <w:p w14:paraId="673A1A0F" w14:textId="270F7506"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t>Every outage record in the "ENS Lost Load Linked Table" worksheet of the RINB-36-01 spreadsheet which is not excluded (</w:t>
            </w:r>
            <w:proofErr w:type="gramStart"/>
            <w:r w:rsidRPr="00C25CE7">
              <w:rPr>
                <w:rFonts w:ascii="Arial" w:hAnsi="Arial" w:cs="Arial"/>
                <w:color w:val="auto"/>
                <w:sz w:val="18"/>
                <w:szCs w:val="18"/>
              </w:rPr>
              <w:t>i.e.</w:t>
            </w:r>
            <w:proofErr w:type="gramEnd"/>
            <w:r w:rsidRPr="00C25CE7">
              <w:rPr>
                <w:rFonts w:ascii="Arial" w:hAnsi="Arial" w:cs="Arial"/>
                <w:color w:val="auto"/>
                <w:sz w:val="18"/>
                <w:szCs w:val="18"/>
              </w:rPr>
              <w:t xml:space="preserve"> column N contains FALSE), has its Lost Load Time Hrs (column E) averaged across the relevant calendar year. This </w:t>
            </w:r>
            <w:r w:rsidRPr="00C25CE7">
              <w:rPr>
                <w:rFonts w:ascii="Arial" w:hAnsi="Arial" w:cs="Arial"/>
                <w:color w:val="auto"/>
                <w:sz w:val="18"/>
                <w:szCs w:val="18"/>
              </w:rPr>
              <w:lastRenderedPageBreak/>
              <w:t>is subsequently multiplied by 60 to convert from hours to minutes, which forms this value. This RIN variable (amongst various others) is presented in the "Economic RIN" worksheet of the spreadsheet RINB-36-01.</w:t>
            </w:r>
          </w:p>
        </w:tc>
        <w:tc>
          <w:tcPr>
            <w:tcW w:w="764" w:type="pct"/>
            <w:tcBorders>
              <w:top w:val="nil"/>
              <w:left w:val="nil"/>
              <w:bottom w:val="single" w:sz="4" w:space="0" w:color="auto"/>
              <w:right w:val="single" w:sz="4" w:space="0" w:color="auto"/>
            </w:tcBorders>
            <w:shd w:val="clear" w:color="auto" w:fill="EBF1DE"/>
            <w:vAlign w:val="center"/>
          </w:tcPr>
          <w:p w14:paraId="3B069BC6" w14:textId="17092D64" w:rsidR="00DC218C" w:rsidRPr="00C25CE7" w:rsidRDefault="00DC218C" w:rsidP="00C25CE7">
            <w:pPr>
              <w:spacing w:line="360" w:lineRule="auto"/>
              <w:rPr>
                <w:rFonts w:ascii="Arial" w:hAnsi="Arial" w:cs="Arial"/>
                <w:color w:val="auto"/>
                <w:sz w:val="18"/>
                <w:szCs w:val="18"/>
              </w:rPr>
            </w:pPr>
            <w:r w:rsidRPr="00C25CE7">
              <w:rPr>
                <w:rFonts w:ascii="Arial" w:hAnsi="Arial" w:cs="Arial"/>
                <w:color w:val="auto"/>
                <w:sz w:val="18"/>
                <w:szCs w:val="18"/>
              </w:rPr>
              <w:lastRenderedPageBreak/>
              <w:t xml:space="preserve">Accuracy of the record data sources (THEOS and/or </w:t>
            </w:r>
            <w:proofErr w:type="spellStart"/>
            <w:r w:rsidRPr="00C25CE7">
              <w:rPr>
                <w:rFonts w:ascii="Arial" w:hAnsi="Arial" w:cs="Arial"/>
                <w:color w:val="auto"/>
                <w:sz w:val="18"/>
                <w:szCs w:val="18"/>
              </w:rPr>
              <w:t>Opslog</w:t>
            </w:r>
            <w:proofErr w:type="spellEnd"/>
            <w:r w:rsidRPr="00C25CE7">
              <w:rPr>
                <w:rFonts w:ascii="Arial" w:hAnsi="Arial" w:cs="Arial"/>
                <w:color w:val="auto"/>
                <w:sz w:val="18"/>
                <w:szCs w:val="18"/>
              </w:rPr>
              <w:t>) maintained by the Network Operations group within TransGrid.</w:t>
            </w:r>
          </w:p>
        </w:tc>
      </w:tr>
      <w:tr w:rsidR="00C25CE7" w:rsidRPr="00B21581" w14:paraId="6541295B" w14:textId="77777777" w:rsidTr="00525AE5">
        <w:trPr>
          <w:trHeight w:val="294"/>
        </w:trPr>
        <w:tc>
          <w:tcPr>
            <w:tcW w:w="5000" w:type="pct"/>
            <w:gridSpan w:val="6"/>
            <w:tcBorders>
              <w:top w:val="single" w:sz="4" w:space="0" w:color="auto"/>
              <w:left w:val="single" w:sz="4" w:space="0" w:color="auto"/>
              <w:right w:val="single" w:sz="4" w:space="0" w:color="auto"/>
            </w:tcBorders>
            <w:shd w:val="clear" w:color="auto" w:fill="9BBB59"/>
            <w:vAlign w:val="center"/>
          </w:tcPr>
          <w:p w14:paraId="36EE0BA2" w14:textId="2A64D663" w:rsidR="00C25CE7" w:rsidRPr="00C25CE7" w:rsidRDefault="00C25CE7" w:rsidP="00883C6C">
            <w:pPr>
              <w:spacing w:before="100" w:beforeAutospacing="1" w:after="100" w:afterAutospacing="1"/>
              <w:rPr>
                <w:rFonts w:cstheme="minorHAnsi"/>
                <w:color w:val="auto"/>
                <w:sz w:val="18"/>
                <w:szCs w:val="18"/>
              </w:rPr>
            </w:pPr>
            <w:r w:rsidRPr="00C25CE7">
              <w:rPr>
                <w:rFonts w:ascii="Arial" w:hAnsi="Arial" w:cs="Arial"/>
                <w:b/>
                <w:bCs/>
                <w:color w:val="FFFFFF"/>
                <w:sz w:val="18"/>
                <w:szCs w:val="18"/>
              </w:rPr>
              <w:t>Service Parameter 4 – Proper Operation of Equipment – Number of Failure Events</w:t>
            </w:r>
          </w:p>
        </w:tc>
      </w:tr>
      <w:tr w:rsidR="008670D7" w:rsidRPr="00C25CE7" w14:paraId="45758901" w14:textId="77777777" w:rsidTr="00525AE5">
        <w:trPr>
          <w:trHeight w:val="1649"/>
        </w:trPr>
        <w:tc>
          <w:tcPr>
            <w:tcW w:w="532" w:type="pct"/>
            <w:tcBorders>
              <w:top w:val="nil"/>
              <w:left w:val="single" w:sz="4" w:space="0" w:color="auto"/>
              <w:bottom w:val="single" w:sz="4" w:space="0" w:color="auto"/>
              <w:right w:val="single" w:sz="4" w:space="0" w:color="auto"/>
            </w:tcBorders>
            <w:shd w:val="clear" w:color="auto" w:fill="EBF1DE"/>
            <w:vAlign w:val="center"/>
          </w:tcPr>
          <w:p w14:paraId="0FDC6A4B" w14:textId="3D0DC099" w:rsidR="00C25CE7" w:rsidRPr="00C25CE7" w:rsidRDefault="00C25CE7" w:rsidP="00C25CE7">
            <w:pPr>
              <w:spacing w:line="360" w:lineRule="auto"/>
              <w:rPr>
                <w:rFonts w:ascii="Arial" w:hAnsi="Arial" w:cs="Arial"/>
                <w:color w:val="auto"/>
                <w:sz w:val="18"/>
                <w:szCs w:val="18"/>
              </w:rPr>
            </w:pPr>
            <w:r w:rsidRPr="00CA577F">
              <w:rPr>
                <w:rFonts w:ascii="Arial" w:hAnsi="Arial" w:cs="Arial"/>
                <w:color w:val="auto"/>
                <w:sz w:val="18"/>
                <w:szCs w:val="18"/>
              </w:rPr>
              <w:t>Failure of protection system</w:t>
            </w:r>
          </w:p>
        </w:tc>
        <w:tc>
          <w:tcPr>
            <w:tcW w:w="702" w:type="pct"/>
            <w:tcBorders>
              <w:top w:val="nil"/>
              <w:left w:val="nil"/>
              <w:bottom w:val="single" w:sz="4" w:space="0" w:color="auto"/>
              <w:right w:val="single" w:sz="4" w:space="0" w:color="auto"/>
            </w:tcBorders>
            <w:shd w:val="clear" w:color="auto" w:fill="EBF1DE"/>
            <w:vAlign w:val="center"/>
          </w:tcPr>
          <w:p w14:paraId="15E677BF" w14:textId="0299E357"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 xml:space="preserve">Number of events </w:t>
            </w:r>
            <w:proofErr w:type="gramStart"/>
            <w:r w:rsidRPr="00C25CE7">
              <w:rPr>
                <w:rFonts w:ascii="Arial" w:hAnsi="Arial" w:cs="Arial"/>
                <w:color w:val="auto"/>
                <w:sz w:val="18"/>
                <w:szCs w:val="18"/>
              </w:rPr>
              <w:t>in a given year</w:t>
            </w:r>
            <w:proofErr w:type="gramEnd"/>
            <w:r w:rsidRPr="00C25CE7">
              <w:rPr>
                <w:rFonts w:ascii="Arial" w:hAnsi="Arial" w:cs="Arial"/>
                <w:color w:val="auto"/>
                <w:sz w:val="18"/>
                <w:szCs w:val="18"/>
              </w:rPr>
              <w:t xml:space="preserve"> where the protection system does not operate for a fault or operates where there is no actual fault.</w:t>
            </w:r>
          </w:p>
        </w:tc>
        <w:tc>
          <w:tcPr>
            <w:tcW w:w="1408" w:type="pct"/>
            <w:tcBorders>
              <w:top w:val="nil"/>
              <w:left w:val="nil"/>
              <w:bottom w:val="single" w:sz="4" w:space="0" w:color="auto"/>
              <w:right w:val="single" w:sz="4" w:space="0" w:color="auto"/>
            </w:tcBorders>
            <w:shd w:val="clear" w:color="auto" w:fill="EBF1DE"/>
            <w:vAlign w:val="center"/>
          </w:tcPr>
          <w:p w14:paraId="4804B0C5" w14:textId="2A6B582C"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The "QAPR Comment on Outage" table within the Statistics Backend</w:t>
            </w:r>
            <w:r w:rsidR="00073FBF">
              <w:rPr>
                <w:rFonts w:ascii="Arial" w:hAnsi="Arial" w:cs="Arial"/>
                <w:color w:val="auto"/>
                <w:sz w:val="18"/>
                <w:szCs w:val="18"/>
              </w:rPr>
              <w:t xml:space="preserve"> </w:t>
            </w:r>
            <w:r w:rsidRPr="00C25CE7">
              <w:rPr>
                <w:rFonts w:ascii="Arial" w:hAnsi="Arial" w:cs="Arial"/>
                <w:color w:val="auto"/>
                <w:sz w:val="18"/>
                <w:szCs w:val="18"/>
              </w:rPr>
              <w:t>.</w:t>
            </w:r>
            <w:proofErr w:type="spellStart"/>
            <w:r w:rsidRPr="00C25CE7">
              <w:rPr>
                <w:rFonts w:ascii="Arial" w:hAnsi="Arial" w:cs="Arial"/>
                <w:color w:val="auto"/>
                <w:sz w:val="18"/>
                <w:szCs w:val="18"/>
              </w:rPr>
              <w:t>accdb</w:t>
            </w:r>
            <w:proofErr w:type="spellEnd"/>
            <w:r w:rsidRPr="00C25CE7">
              <w:rPr>
                <w:rFonts w:ascii="Arial" w:hAnsi="Arial" w:cs="Arial"/>
                <w:color w:val="auto"/>
                <w:sz w:val="18"/>
                <w:szCs w:val="18"/>
              </w:rPr>
              <w:t xml:space="preserve"> database stored on TransGrid's shared drive (with secure access for only staff requiring access). An extract of this table is provided in the worksheet "NPR Outages List Linked Table" worksheet of spreadsheet RINB-36-01.</w:t>
            </w:r>
          </w:p>
          <w:p w14:paraId="76FE5F83" w14:textId="77777777"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 xml:space="preserve">The "QAPR Comment on Outage" Table in Statistics Backend.accdb is populated by importing data into it from THEOS (the business application used by Network Operations staff to record outage data). Each of these outage records in the Statistics Backend database is </w:t>
            </w:r>
            <w:r w:rsidRPr="00C25CE7">
              <w:rPr>
                <w:rFonts w:ascii="Arial" w:hAnsi="Arial" w:cs="Arial"/>
                <w:color w:val="auto"/>
                <w:sz w:val="18"/>
                <w:szCs w:val="18"/>
              </w:rPr>
              <w:lastRenderedPageBreak/>
              <w:t>populated with a TRUE/FALSE value for the AER Protection Failure field.</w:t>
            </w:r>
          </w:p>
          <w:p w14:paraId="458C8C37" w14:textId="416E25D8"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 xml:space="preserve">Selecting the appropriate AER Protection Failure value occasionally requires obtaining additional information from </w:t>
            </w:r>
            <w:proofErr w:type="spellStart"/>
            <w:r w:rsidRPr="00C25CE7">
              <w:rPr>
                <w:rFonts w:ascii="Arial" w:hAnsi="Arial" w:cs="Arial"/>
                <w:color w:val="auto"/>
                <w:sz w:val="18"/>
                <w:szCs w:val="18"/>
              </w:rPr>
              <w:t>Opslog</w:t>
            </w:r>
            <w:proofErr w:type="spellEnd"/>
            <w:r w:rsidRPr="00C25CE7">
              <w:rPr>
                <w:rFonts w:ascii="Arial" w:hAnsi="Arial" w:cs="Arial"/>
                <w:color w:val="auto"/>
                <w:sz w:val="18"/>
                <w:szCs w:val="18"/>
              </w:rPr>
              <w:t xml:space="preserve"> (a separate business application used as a diary/logbook by Network Operators).</w:t>
            </w:r>
          </w:p>
        </w:tc>
        <w:tc>
          <w:tcPr>
            <w:tcW w:w="630" w:type="pct"/>
            <w:tcBorders>
              <w:top w:val="nil"/>
              <w:left w:val="nil"/>
              <w:bottom w:val="single" w:sz="4" w:space="0" w:color="auto"/>
              <w:right w:val="single" w:sz="4" w:space="0" w:color="auto"/>
            </w:tcBorders>
            <w:shd w:val="clear" w:color="auto" w:fill="EBF1DE"/>
            <w:vAlign w:val="center"/>
          </w:tcPr>
          <w:p w14:paraId="3BEBEBCE" w14:textId="784144D3"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lastRenderedPageBreak/>
              <w:t>No</w:t>
            </w:r>
          </w:p>
        </w:tc>
        <w:tc>
          <w:tcPr>
            <w:tcW w:w="964" w:type="pct"/>
            <w:tcBorders>
              <w:top w:val="nil"/>
              <w:left w:val="nil"/>
              <w:bottom w:val="single" w:sz="4" w:space="0" w:color="auto"/>
              <w:right w:val="single" w:sz="4" w:space="0" w:color="auto"/>
            </w:tcBorders>
            <w:shd w:val="clear" w:color="auto" w:fill="EBF1DE"/>
            <w:vAlign w:val="center"/>
          </w:tcPr>
          <w:p w14:paraId="64C1FECC" w14:textId="714661EC"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Every outage record in the "NPR Outages List Linked Table" worksheet of the RINB-36-01 spreadsheet classified as a Protection Failure (</w:t>
            </w:r>
            <w:proofErr w:type="gramStart"/>
            <w:r w:rsidRPr="00C25CE7">
              <w:rPr>
                <w:rFonts w:ascii="Arial" w:hAnsi="Arial" w:cs="Arial"/>
                <w:color w:val="auto"/>
                <w:sz w:val="18"/>
                <w:szCs w:val="18"/>
              </w:rPr>
              <w:t>i.e.</w:t>
            </w:r>
            <w:proofErr w:type="gramEnd"/>
            <w:r w:rsidRPr="00C25CE7">
              <w:rPr>
                <w:rFonts w:ascii="Arial" w:hAnsi="Arial" w:cs="Arial"/>
                <w:color w:val="auto"/>
                <w:sz w:val="18"/>
                <w:szCs w:val="18"/>
              </w:rPr>
              <w:t xml:space="preserve"> column AL contains TRUE), is counted across the relevant calendar year and forms this value. This RIN variable (amongst various others) is presented in the "Economic RIN" worksheet of the spreadsheet RINB-36-01.</w:t>
            </w:r>
          </w:p>
        </w:tc>
        <w:tc>
          <w:tcPr>
            <w:tcW w:w="764" w:type="pct"/>
            <w:tcBorders>
              <w:top w:val="nil"/>
              <w:left w:val="nil"/>
              <w:bottom w:val="single" w:sz="4" w:space="0" w:color="auto"/>
              <w:right w:val="single" w:sz="4" w:space="0" w:color="auto"/>
            </w:tcBorders>
            <w:shd w:val="clear" w:color="auto" w:fill="EBF1DE"/>
            <w:vAlign w:val="center"/>
          </w:tcPr>
          <w:p w14:paraId="0158C476" w14:textId="6CD1CD8E" w:rsidR="00C25CE7" w:rsidRPr="00C25CE7" w:rsidRDefault="00C25CE7" w:rsidP="00C25CE7">
            <w:pPr>
              <w:spacing w:line="360" w:lineRule="auto"/>
              <w:rPr>
                <w:rFonts w:ascii="Arial" w:hAnsi="Arial" w:cs="Arial"/>
                <w:color w:val="auto"/>
                <w:sz w:val="18"/>
                <w:szCs w:val="18"/>
              </w:rPr>
            </w:pPr>
            <w:r w:rsidRPr="00C25CE7">
              <w:rPr>
                <w:rFonts w:ascii="Arial" w:hAnsi="Arial" w:cs="Arial"/>
                <w:color w:val="auto"/>
                <w:sz w:val="18"/>
                <w:szCs w:val="18"/>
              </w:rPr>
              <w:t xml:space="preserve">Accuracy of the record data sources (THEOS and/or </w:t>
            </w:r>
            <w:proofErr w:type="spellStart"/>
            <w:r w:rsidRPr="00C25CE7">
              <w:rPr>
                <w:rFonts w:ascii="Arial" w:hAnsi="Arial" w:cs="Arial"/>
                <w:color w:val="auto"/>
                <w:sz w:val="18"/>
                <w:szCs w:val="18"/>
              </w:rPr>
              <w:t>Opslog</w:t>
            </w:r>
            <w:proofErr w:type="spellEnd"/>
            <w:r w:rsidRPr="00C25CE7">
              <w:rPr>
                <w:rFonts w:ascii="Arial" w:hAnsi="Arial" w:cs="Arial"/>
                <w:color w:val="auto"/>
                <w:sz w:val="18"/>
                <w:szCs w:val="18"/>
              </w:rPr>
              <w:t>) maintained by the Network Operations group within TransGrid.</w:t>
            </w:r>
          </w:p>
        </w:tc>
      </w:tr>
      <w:tr w:rsidR="008670D7" w:rsidRPr="00B21581" w14:paraId="2E326B00" w14:textId="77777777" w:rsidTr="00525AE5">
        <w:trPr>
          <w:trHeight w:val="713"/>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4915D6A9" w14:textId="32E2B16E" w:rsidR="00C25CE7" w:rsidRPr="00073FBF" w:rsidRDefault="00C25CE7" w:rsidP="00073FBF">
            <w:pPr>
              <w:spacing w:line="360" w:lineRule="auto"/>
              <w:rPr>
                <w:rFonts w:ascii="Arial" w:hAnsi="Arial" w:cs="Arial"/>
                <w:color w:val="auto"/>
                <w:sz w:val="18"/>
                <w:szCs w:val="18"/>
              </w:rPr>
            </w:pPr>
            <w:r w:rsidRPr="00CA577F">
              <w:rPr>
                <w:rFonts w:ascii="Arial" w:hAnsi="Arial" w:cs="Arial"/>
                <w:color w:val="auto"/>
                <w:sz w:val="18"/>
                <w:szCs w:val="18"/>
              </w:rPr>
              <w:t>Material failure of Supervisory Control and Data Acquisition (SCADA) system</w:t>
            </w:r>
          </w:p>
        </w:tc>
        <w:tc>
          <w:tcPr>
            <w:tcW w:w="702" w:type="pct"/>
            <w:tcBorders>
              <w:top w:val="single" w:sz="4" w:space="0" w:color="auto"/>
              <w:left w:val="nil"/>
              <w:bottom w:val="single" w:sz="4" w:space="0" w:color="auto"/>
              <w:right w:val="single" w:sz="4" w:space="0" w:color="auto"/>
            </w:tcBorders>
            <w:shd w:val="clear" w:color="auto" w:fill="EBF1DE"/>
            <w:vAlign w:val="center"/>
          </w:tcPr>
          <w:p w14:paraId="65D8FAE4" w14:textId="3DE9A3A9"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The number of TransGrid SCADA outage events advised by AEMO to TransGrid in any given year.</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501DF370" w14:textId="56EEE00C"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Email from Terry Day (AEMO) (RINB-36-04).</w:t>
            </w:r>
          </w:p>
        </w:tc>
        <w:tc>
          <w:tcPr>
            <w:tcW w:w="630" w:type="pct"/>
            <w:tcBorders>
              <w:top w:val="single" w:sz="4" w:space="0" w:color="auto"/>
              <w:left w:val="nil"/>
              <w:bottom w:val="single" w:sz="4" w:space="0" w:color="auto"/>
              <w:right w:val="single" w:sz="4" w:space="0" w:color="auto"/>
            </w:tcBorders>
            <w:shd w:val="clear" w:color="auto" w:fill="EBF1DE"/>
            <w:vAlign w:val="center"/>
          </w:tcPr>
          <w:p w14:paraId="2810FE22" w14:textId="5D28D3F6"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2EF22E27" w14:textId="12AD0E3B"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This value was calculated by counting all occurrences of SCADA outages reported from AEMO to TransGrid, for the relevant calendar year. AEMO is responsible for monitoring and reporting this variable.</w:t>
            </w:r>
          </w:p>
        </w:tc>
        <w:tc>
          <w:tcPr>
            <w:tcW w:w="764" w:type="pct"/>
            <w:tcBorders>
              <w:top w:val="single" w:sz="4" w:space="0" w:color="auto"/>
              <w:left w:val="nil"/>
              <w:bottom w:val="single" w:sz="4" w:space="0" w:color="auto"/>
              <w:right w:val="single" w:sz="4" w:space="0" w:color="auto"/>
            </w:tcBorders>
            <w:shd w:val="clear" w:color="auto" w:fill="EBF1DE"/>
            <w:vAlign w:val="center"/>
          </w:tcPr>
          <w:p w14:paraId="1BE152CE" w14:textId="05F6B954"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Accuracy of data from AEMO.</w:t>
            </w:r>
          </w:p>
        </w:tc>
      </w:tr>
      <w:tr w:rsidR="008670D7" w:rsidRPr="00B21581" w14:paraId="0CD53ECA" w14:textId="77777777" w:rsidTr="00525AE5">
        <w:trPr>
          <w:trHeight w:val="1649"/>
        </w:trPr>
        <w:tc>
          <w:tcPr>
            <w:tcW w:w="532" w:type="pct"/>
            <w:tcBorders>
              <w:top w:val="single" w:sz="4" w:space="0" w:color="auto"/>
              <w:left w:val="single" w:sz="4" w:space="0" w:color="auto"/>
              <w:bottom w:val="single" w:sz="4" w:space="0" w:color="auto"/>
              <w:right w:val="single" w:sz="4" w:space="0" w:color="auto"/>
            </w:tcBorders>
            <w:shd w:val="clear" w:color="auto" w:fill="EBF1DE"/>
            <w:vAlign w:val="center"/>
          </w:tcPr>
          <w:p w14:paraId="5F3FA163" w14:textId="2B019E93" w:rsidR="00C25CE7" w:rsidRPr="00073FBF" w:rsidRDefault="00C25CE7" w:rsidP="00073FBF">
            <w:pPr>
              <w:spacing w:line="360" w:lineRule="auto"/>
              <w:rPr>
                <w:rFonts w:ascii="Arial" w:hAnsi="Arial" w:cs="Arial"/>
                <w:color w:val="auto"/>
                <w:sz w:val="18"/>
                <w:szCs w:val="18"/>
              </w:rPr>
            </w:pPr>
            <w:r w:rsidRPr="00FD1477">
              <w:rPr>
                <w:rFonts w:ascii="Arial" w:hAnsi="Arial" w:cs="Arial"/>
                <w:color w:val="auto"/>
                <w:sz w:val="18"/>
                <w:szCs w:val="18"/>
              </w:rPr>
              <w:t>Incorrect operational isolation of primary or secondary equipment</w:t>
            </w:r>
          </w:p>
        </w:tc>
        <w:tc>
          <w:tcPr>
            <w:tcW w:w="702" w:type="pct"/>
            <w:tcBorders>
              <w:top w:val="single" w:sz="4" w:space="0" w:color="auto"/>
              <w:left w:val="nil"/>
              <w:bottom w:val="single" w:sz="4" w:space="0" w:color="auto"/>
              <w:right w:val="single" w:sz="4" w:space="0" w:color="auto"/>
            </w:tcBorders>
            <w:shd w:val="clear" w:color="auto" w:fill="EBF1DE"/>
            <w:vAlign w:val="center"/>
          </w:tcPr>
          <w:p w14:paraId="271F2A42" w14:textId="4485DCF1"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 xml:space="preserve">Number of events </w:t>
            </w:r>
            <w:proofErr w:type="gramStart"/>
            <w:r w:rsidRPr="00073FBF">
              <w:rPr>
                <w:rFonts w:ascii="Arial" w:hAnsi="Arial" w:cs="Arial"/>
                <w:color w:val="auto"/>
                <w:sz w:val="18"/>
                <w:szCs w:val="18"/>
              </w:rPr>
              <w:t>in a given year</w:t>
            </w:r>
            <w:proofErr w:type="gramEnd"/>
            <w:r w:rsidRPr="00073FBF">
              <w:rPr>
                <w:rFonts w:ascii="Arial" w:hAnsi="Arial" w:cs="Arial"/>
                <w:color w:val="auto"/>
                <w:sz w:val="18"/>
                <w:szCs w:val="18"/>
              </w:rPr>
              <w:t xml:space="preserve"> where the primary or secondary equipment is not properly isolated during scheduled or emergency </w:t>
            </w:r>
            <w:r w:rsidRPr="00073FBF">
              <w:rPr>
                <w:rFonts w:ascii="Arial" w:hAnsi="Arial" w:cs="Arial"/>
                <w:color w:val="auto"/>
                <w:sz w:val="18"/>
                <w:szCs w:val="18"/>
              </w:rPr>
              <w:lastRenderedPageBreak/>
              <w:t>maintenance. Incorrect isolation is defined as any accidental or deliberate action by a staff member or contractor that results in an unplanned outage. No data is available to indicate the occurrence of incorrect isolation action which did not lead to unplanned outages.</w:t>
            </w:r>
          </w:p>
        </w:tc>
        <w:tc>
          <w:tcPr>
            <w:tcW w:w="1408" w:type="pct"/>
            <w:tcBorders>
              <w:top w:val="single" w:sz="4" w:space="0" w:color="auto"/>
              <w:left w:val="nil"/>
              <w:bottom w:val="single" w:sz="4" w:space="0" w:color="auto"/>
              <w:right w:val="single" w:sz="4" w:space="0" w:color="auto"/>
            </w:tcBorders>
            <w:shd w:val="clear" w:color="auto" w:fill="EBF1DE"/>
            <w:vAlign w:val="center"/>
          </w:tcPr>
          <w:p w14:paraId="5E79E20A" w14:textId="77777777"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lastRenderedPageBreak/>
              <w:t>The "QAPR Comment on Outage" table within the Statistics Backend.accdb database stored on TransGrid's shared drive (with secure access for only staff requiring access). An extract of this table is provided in the worksheet "NPR Outages List Linked Table" worksheet of spreadsheet RINB-36-01.</w:t>
            </w:r>
          </w:p>
          <w:p w14:paraId="04E18755" w14:textId="77777777"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lastRenderedPageBreak/>
              <w:t>The "QAPR Comment on Outage" Table in Statistics Backend.accdb is populated by importing data into it from THEOS (the business application used by Network Operations staff to record outage data). Each of these outage records in the Statistics Backend database is populated with a TRUE/FALSE value for the AER Incorrect Isolation field.</w:t>
            </w:r>
          </w:p>
          <w:p w14:paraId="71A4F0E7" w14:textId="5B11785B"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 xml:space="preserve">Selecting the appropriate AER Incorrect Isolation value occasionally requires obtaining additional information from </w:t>
            </w:r>
            <w:proofErr w:type="spellStart"/>
            <w:r w:rsidRPr="00073FBF">
              <w:rPr>
                <w:rFonts w:ascii="Arial" w:hAnsi="Arial" w:cs="Arial"/>
                <w:color w:val="auto"/>
                <w:sz w:val="18"/>
                <w:szCs w:val="18"/>
              </w:rPr>
              <w:t>Opslog</w:t>
            </w:r>
            <w:proofErr w:type="spellEnd"/>
            <w:r w:rsidRPr="00073FBF">
              <w:rPr>
                <w:rFonts w:ascii="Arial" w:hAnsi="Arial" w:cs="Arial"/>
                <w:color w:val="auto"/>
                <w:sz w:val="18"/>
                <w:szCs w:val="18"/>
              </w:rPr>
              <w:t xml:space="preserve"> (a separate business application used as a diary/logbook by Network Operators).</w:t>
            </w:r>
          </w:p>
        </w:tc>
        <w:tc>
          <w:tcPr>
            <w:tcW w:w="630" w:type="pct"/>
            <w:tcBorders>
              <w:top w:val="single" w:sz="4" w:space="0" w:color="auto"/>
              <w:left w:val="nil"/>
              <w:bottom w:val="single" w:sz="4" w:space="0" w:color="auto"/>
              <w:right w:val="single" w:sz="4" w:space="0" w:color="auto"/>
            </w:tcBorders>
            <w:shd w:val="clear" w:color="auto" w:fill="EBF1DE"/>
            <w:vAlign w:val="center"/>
          </w:tcPr>
          <w:p w14:paraId="5FBAC055" w14:textId="53850AB2"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lastRenderedPageBreak/>
              <w:t>No</w:t>
            </w:r>
          </w:p>
        </w:tc>
        <w:tc>
          <w:tcPr>
            <w:tcW w:w="964" w:type="pct"/>
            <w:tcBorders>
              <w:top w:val="single" w:sz="4" w:space="0" w:color="auto"/>
              <w:left w:val="nil"/>
              <w:bottom w:val="single" w:sz="4" w:space="0" w:color="auto"/>
              <w:right w:val="single" w:sz="4" w:space="0" w:color="auto"/>
            </w:tcBorders>
            <w:shd w:val="clear" w:color="auto" w:fill="EBF1DE"/>
            <w:vAlign w:val="center"/>
          </w:tcPr>
          <w:p w14:paraId="1A7164CF" w14:textId="19F9FA3C"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t>Every outage record in the "NPR Outages List Linked Table" worksheet of the RINB-36-01 spreadsheet classified as an Incorrect Isolation (</w:t>
            </w:r>
            <w:proofErr w:type="gramStart"/>
            <w:r w:rsidRPr="00073FBF">
              <w:rPr>
                <w:rFonts w:ascii="Arial" w:hAnsi="Arial" w:cs="Arial"/>
                <w:color w:val="auto"/>
                <w:sz w:val="18"/>
                <w:szCs w:val="18"/>
              </w:rPr>
              <w:t>i.e.</w:t>
            </w:r>
            <w:proofErr w:type="gramEnd"/>
            <w:r w:rsidRPr="00073FBF">
              <w:rPr>
                <w:rFonts w:ascii="Arial" w:hAnsi="Arial" w:cs="Arial"/>
                <w:color w:val="auto"/>
                <w:sz w:val="18"/>
                <w:szCs w:val="18"/>
              </w:rPr>
              <w:t xml:space="preserve"> column AM contains TRUE), is counted across the relevant calendar year </w:t>
            </w:r>
            <w:r w:rsidRPr="00073FBF">
              <w:rPr>
                <w:rFonts w:ascii="Arial" w:hAnsi="Arial" w:cs="Arial"/>
                <w:color w:val="auto"/>
                <w:sz w:val="18"/>
                <w:szCs w:val="18"/>
              </w:rPr>
              <w:lastRenderedPageBreak/>
              <w:t>and forms this value. This RIN variable (amongst various others) is presented in the "Economic RIN" worksheet of the spreadsheet RINB-36-01.</w:t>
            </w:r>
          </w:p>
        </w:tc>
        <w:tc>
          <w:tcPr>
            <w:tcW w:w="764" w:type="pct"/>
            <w:tcBorders>
              <w:top w:val="single" w:sz="4" w:space="0" w:color="auto"/>
              <w:left w:val="nil"/>
              <w:bottom w:val="single" w:sz="4" w:space="0" w:color="auto"/>
              <w:right w:val="single" w:sz="4" w:space="0" w:color="auto"/>
            </w:tcBorders>
            <w:shd w:val="clear" w:color="auto" w:fill="EBF1DE"/>
            <w:vAlign w:val="center"/>
          </w:tcPr>
          <w:p w14:paraId="0B350A35" w14:textId="23CAFDF5" w:rsidR="00C25CE7" w:rsidRPr="00073FBF" w:rsidRDefault="00C25CE7" w:rsidP="00073FBF">
            <w:pPr>
              <w:spacing w:line="360" w:lineRule="auto"/>
              <w:rPr>
                <w:rFonts w:ascii="Arial" w:hAnsi="Arial" w:cs="Arial"/>
                <w:color w:val="auto"/>
                <w:sz w:val="18"/>
                <w:szCs w:val="18"/>
              </w:rPr>
            </w:pPr>
            <w:r w:rsidRPr="00073FBF">
              <w:rPr>
                <w:rFonts w:ascii="Arial" w:hAnsi="Arial" w:cs="Arial"/>
                <w:color w:val="auto"/>
                <w:sz w:val="18"/>
                <w:szCs w:val="18"/>
              </w:rPr>
              <w:lastRenderedPageBreak/>
              <w:t xml:space="preserve">Accuracy of the record data sources (THEOS and/or </w:t>
            </w:r>
            <w:proofErr w:type="spellStart"/>
            <w:r w:rsidRPr="00073FBF">
              <w:rPr>
                <w:rFonts w:ascii="Arial" w:hAnsi="Arial" w:cs="Arial"/>
                <w:color w:val="auto"/>
                <w:sz w:val="18"/>
                <w:szCs w:val="18"/>
              </w:rPr>
              <w:t>Opslog</w:t>
            </w:r>
            <w:proofErr w:type="spellEnd"/>
            <w:r w:rsidRPr="00073FBF">
              <w:rPr>
                <w:rFonts w:ascii="Arial" w:hAnsi="Arial" w:cs="Arial"/>
                <w:color w:val="auto"/>
                <w:sz w:val="18"/>
                <w:szCs w:val="18"/>
              </w:rPr>
              <w:t>) maintained by the Network Operations group within TransGrid.</w:t>
            </w:r>
          </w:p>
        </w:tc>
      </w:tr>
      <w:tr w:rsidR="00073FBF" w:rsidRPr="00B21581" w14:paraId="245A505A"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15C792E0" w14:textId="7AF6BE54" w:rsidR="00073FBF" w:rsidRPr="00073FBF" w:rsidRDefault="00073FBF" w:rsidP="00883C6C">
            <w:pPr>
              <w:spacing w:before="100" w:beforeAutospacing="1" w:after="100" w:afterAutospacing="1"/>
              <w:rPr>
                <w:rFonts w:ascii="Arial" w:hAnsi="Arial" w:cs="Arial"/>
                <w:b/>
                <w:bCs/>
                <w:color w:val="FFFFFF"/>
                <w:sz w:val="22"/>
                <w:szCs w:val="22"/>
              </w:rPr>
            </w:pPr>
            <w:r w:rsidRPr="00073FBF">
              <w:rPr>
                <w:b/>
                <w:bCs/>
                <w:color w:val="FFFFFF"/>
                <w:sz w:val="22"/>
                <w:szCs w:val="22"/>
              </w:rPr>
              <w:t xml:space="preserve">3.6.2 - </w:t>
            </w:r>
            <w:r w:rsidRPr="00883C6C">
              <w:rPr>
                <w:rFonts w:ascii="Arial" w:hAnsi="Arial" w:cs="Arial"/>
                <w:b/>
                <w:bCs/>
                <w:color w:val="FFFFFF"/>
                <w:sz w:val="22"/>
                <w:szCs w:val="22"/>
              </w:rPr>
              <w:t>MARKET</w:t>
            </w:r>
            <w:r w:rsidRPr="00073FBF">
              <w:rPr>
                <w:b/>
                <w:bCs/>
                <w:color w:val="FFFFFF"/>
                <w:sz w:val="22"/>
                <w:szCs w:val="22"/>
              </w:rPr>
              <w:t xml:space="preserve"> IMPACT COMPONENT</w:t>
            </w:r>
          </w:p>
        </w:tc>
      </w:tr>
      <w:tr w:rsidR="008670D7" w:rsidRPr="00B21581" w14:paraId="30A7357D" w14:textId="77777777" w:rsidTr="00525AE5">
        <w:trPr>
          <w:trHeight w:val="657"/>
        </w:trPr>
        <w:tc>
          <w:tcPr>
            <w:tcW w:w="532" w:type="pct"/>
            <w:tcBorders>
              <w:top w:val="nil"/>
              <w:left w:val="single" w:sz="4" w:space="0" w:color="auto"/>
              <w:bottom w:val="single" w:sz="4" w:space="0" w:color="auto"/>
              <w:right w:val="single" w:sz="4" w:space="0" w:color="auto"/>
            </w:tcBorders>
            <w:shd w:val="clear" w:color="auto" w:fill="EBF1DE"/>
            <w:vAlign w:val="center"/>
            <w:hideMark/>
          </w:tcPr>
          <w:p w14:paraId="4119ADDA" w14:textId="3BE99A3B" w:rsidR="00073FBF" w:rsidRPr="00A81A8E" w:rsidRDefault="00073FBF" w:rsidP="00073FBF">
            <w:pPr>
              <w:spacing w:line="360" w:lineRule="auto"/>
              <w:rPr>
                <w:color w:val="auto"/>
                <w:sz w:val="18"/>
                <w:szCs w:val="18"/>
              </w:rPr>
            </w:pPr>
            <w:r w:rsidRPr="00073FBF">
              <w:rPr>
                <w:color w:val="auto"/>
                <w:sz w:val="18"/>
                <w:szCs w:val="18"/>
              </w:rPr>
              <w:t>Market Impact Parameter</w:t>
            </w:r>
          </w:p>
        </w:tc>
        <w:tc>
          <w:tcPr>
            <w:tcW w:w="702" w:type="pct"/>
            <w:tcBorders>
              <w:top w:val="nil"/>
              <w:left w:val="nil"/>
              <w:bottom w:val="single" w:sz="4" w:space="0" w:color="auto"/>
              <w:right w:val="single" w:sz="4" w:space="0" w:color="auto"/>
            </w:tcBorders>
            <w:shd w:val="clear" w:color="auto" w:fill="EBF1DE"/>
            <w:vAlign w:val="center"/>
            <w:hideMark/>
          </w:tcPr>
          <w:p w14:paraId="5864EBD4" w14:textId="3B391891" w:rsidR="00073FBF" w:rsidRPr="00A81A8E" w:rsidRDefault="00073FBF" w:rsidP="00073FBF">
            <w:pPr>
              <w:spacing w:line="360" w:lineRule="auto"/>
              <w:rPr>
                <w:color w:val="auto"/>
                <w:sz w:val="18"/>
                <w:szCs w:val="18"/>
              </w:rPr>
            </w:pPr>
            <w:r w:rsidRPr="00073FBF">
              <w:rPr>
                <w:color w:val="auto"/>
                <w:sz w:val="18"/>
                <w:szCs w:val="18"/>
              </w:rPr>
              <w:t xml:space="preserve">The number of binding constraint dispatch periods with a marginal cost of constraint &gt;$10/MW due to TransGrid outages that do not meet any exclusion criteria (according to the AER </w:t>
            </w:r>
            <w:r w:rsidRPr="00073FBF">
              <w:rPr>
                <w:color w:val="auto"/>
                <w:sz w:val="18"/>
                <w:szCs w:val="18"/>
              </w:rPr>
              <w:lastRenderedPageBreak/>
              <w:t>STPIS V5). During the period of time when AER STPIS V5 applies (</w:t>
            </w:r>
            <w:proofErr w:type="gramStart"/>
            <w:r w:rsidRPr="00073FBF">
              <w:rPr>
                <w:color w:val="auto"/>
                <w:sz w:val="18"/>
                <w:szCs w:val="18"/>
              </w:rPr>
              <w:t>i.e.</w:t>
            </w:r>
            <w:proofErr w:type="gramEnd"/>
            <w:r w:rsidRPr="00073FBF">
              <w:rPr>
                <w:color w:val="auto"/>
                <w:sz w:val="18"/>
                <w:szCs w:val="18"/>
              </w:rPr>
              <w:t xml:space="preserve"> 1st July 2018 onward), binding constraint dispatch periods that do not affect the STPIS incentive specifically due to the unplanned outage event limit provision, are not counted within this variable.</w:t>
            </w:r>
          </w:p>
        </w:tc>
        <w:tc>
          <w:tcPr>
            <w:tcW w:w="1408" w:type="pct"/>
            <w:tcBorders>
              <w:top w:val="nil"/>
              <w:left w:val="nil"/>
              <w:bottom w:val="single" w:sz="4" w:space="0" w:color="auto"/>
              <w:right w:val="single" w:sz="4" w:space="0" w:color="auto"/>
            </w:tcBorders>
            <w:shd w:val="clear" w:color="auto" w:fill="EBF1DE"/>
            <w:vAlign w:val="center"/>
            <w:hideMark/>
          </w:tcPr>
          <w:p w14:paraId="260C22F3" w14:textId="77777777" w:rsidR="00073FBF" w:rsidRPr="00073FBF" w:rsidRDefault="00073FBF" w:rsidP="00073FBF">
            <w:pPr>
              <w:spacing w:line="360" w:lineRule="auto"/>
              <w:rPr>
                <w:color w:val="auto"/>
                <w:sz w:val="18"/>
                <w:szCs w:val="18"/>
              </w:rPr>
            </w:pPr>
            <w:r w:rsidRPr="00073FBF">
              <w:rPr>
                <w:color w:val="auto"/>
                <w:sz w:val="18"/>
                <w:szCs w:val="18"/>
              </w:rPr>
              <w:lastRenderedPageBreak/>
              <w:t>The "</w:t>
            </w:r>
            <w:proofErr w:type="spellStart"/>
            <w:r w:rsidRPr="00073FBF">
              <w:rPr>
                <w:color w:val="auto"/>
                <w:sz w:val="18"/>
                <w:szCs w:val="18"/>
              </w:rPr>
              <w:t>tblMITC_SettingData</w:t>
            </w:r>
            <w:proofErr w:type="spellEnd"/>
            <w:r w:rsidRPr="00073FBF">
              <w:rPr>
                <w:color w:val="auto"/>
                <w:sz w:val="18"/>
                <w:szCs w:val="18"/>
              </w:rPr>
              <w:t>" table within the Statistics Backend.accdb database stored on TransGrid's shared drive (with secure access for only staff requiring access). An extract of this table is provided in the worksheet "MIC Linked Table" worksheet of spreadsheet RINB-36-01.</w:t>
            </w:r>
          </w:p>
          <w:p w14:paraId="5F552543" w14:textId="3AA579C7" w:rsidR="00073FBF" w:rsidRPr="00A81A8E" w:rsidRDefault="00073FBF" w:rsidP="00073FBF">
            <w:pPr>
              <w:spacing w:line="360" w:lineRule="auto"/>
              <w:rPr>
                <w:color w:val="auto"/>
                <w:sz w:val="18"/>
                <w:szCs w:val="18"/>
              </w:rPr>
            </w:pPr>
            <w:r w:rsidRPr="00073FBF">
              <w:rPr>
                <w:color w:val="auto"/>
                <w:sz w:val="18"/>
                <w:szCs w:val="18"/>
              </w:rPr>
              <w:t>The "</w:t>
            </w:r>
            <w:proofErr w:type="spellStart"/>
            <w:r w:rsidRPr="00073FBF">
              <w:rPr>
                <w:color w:val="auto"/>
                <w:sz w:val="18"/>
                <w:szCs w:val="18"/>
              </w:rPr>
              <w:t>tblMITC_SettingData</w:t>
            </w:r>
            <w:proofErr w:type="spellEnd"/>
            <w:r w:rsidRPr="00073FBF">
              <w:rPr>
                <w:color w:val="auto"/>
                <w:sz w:val="18"/>
                <w:szCs w:val="18"/>
              </w:rPr>
              <w:t xml:space="preserve">" Table in Statistics Backend.accdb is populated by manually entering </w:t>
            </w:r>
            <w:r w:rsidRPr="00073FBF">
              <w:rPr>
                <w:color w:val="auto"/>
                <w:sz w:val="18"/>
                <w:szCs w:val="18"/>
              </w:rPr>
              <w:lastRenderedPageBreak/>
              <w:t xml:space="preserve">data into it which is output from the MITC Reporting.xlsm spreadsheet. The MITC Reporting.xlsm spreadsheet is a macro enabled spreadsheet in which the user inputs relevant data from various sources including THEOS (the business application used by Network Operations staff to record outage data), </w:t>
            </w:r>
            <w:proofErr w:type="spellStart"/>
            <w:r w:rsidRPr="00073FBF">
              <w:rPr>
                <w:color w:val="auto"/>
                <w:sz w:val="18"/>
                <w:szCs w:val="18"/>
              </w:rPr>
              <w:t>Opslog</w:t>
            </w:r>
            <w:proofErr w:type="spellEnd"/>
            <w:r w:rsidRPr="00073FBF">
              <w:rPr>
                <w:color w:val="auto"/>
                <w:sz w:val="18"/>
                <w:szCs w:val="18"/>
              </w:rPr>
              <w:t xml:space="preserve"> (a separate business application used as a diary/logbook by Network Operators), ez2view (a software package developed by 3rd party vendor Global Roam, used to retrieve National Electricity Market data from AEMO), and NOS (AEMO's online database for network outage data resulting in market constraints).</w:t>
            </w:r>
          </w:p>
        </w:tc>
        <w:tc>
          <w:tcPr>
            <w:tcW w:w="630" w:type="pct"/>
            <w:tcBorders>
              <w:top w:val="nil"/>
              <w:left w:val="nil"/>
              <w:bottom w:val="single" w:sz="4" w:space="0" w:color="auto"/>
              <w:right w:val="single" w:sz="4" w:space="0" w:color="auto"/>
            </w:tcBorders>
            <w:shd w:val="clear" w:color="auto" w:fill="EBF1DE"/>
            <w:vAlign w:val="center"/>
            <w:hideMark/>
          </w:tcPr>
          <w:p w14:paraId="60837326" w14:textId="4A953B75" w:rsidR="00073FBF" w:rsidRPr="00A81A8E" w:rsidRDefault="00073FBF" w:rsidP="00073FBF">
            <w:pPr>
              <w:spacing w:before="100" w:beforeAutospacing="1" w:after="100" w:afterAutospacing="1" w:line="360" w:lineRule="auto"/>
              <w:rPr>
                <w:color w:val="auto"/>
                <w:sz w:val="18"/>
                <w:szCs w:val="18"/>
              </w:rPr>
            </w:pPr>
            <w:r w:rsidRPr="00073FBF">
              <w:rPr>
                <w:color w:val="auto"/>
                <w:sz w:val="18"/>
                <w:szCs w:val="18"/>
              </w:rPr>
              <w:lastRenderedPageBreak/>
              <w:t>No</w:t>
            </w:r>
          </w:p>
        </w:tc>
        <w:tc>
          <w:tcPr>
            <w:tcW w:w="964" w:type="pct"/>
            <w:tcBorders>
              <w:top w:val="nil"/>
              <w:left w:val="nil"/>
              <w:bottom w:val="single" w:sz="4" w:space="0" w:color="auto"/>
              <w:right w:val="single" w:sz="4" w:space="0" w:color="auto"/>
            </w:tcBorders>
            <w:shd w:val="clear" w:color="auto" w:fill="EBF1DE"/>
            <w:vAlign w:val="center"/>
            <w:hideMark/>
          </w:tcPr>
          <w:p w14:paraId="072DF786" w14:textId="3830713A" w:rsidR="00073FBF" w:rsidRPr="00B22193" w:rsidRDefault="00073FBF" w:rsidP="00073FBF">
            <w:pPr>
              <w:spacing w:line="360" w:lineRule="auto"/>
              <w:rPr>
                <w:color w:val="auto"/>
                <w:sz w:val="18"/>
                <w:szCs w:val="18"/>
              </w:rPr>
            </w:pPr>
            <w:r w:rsidRPr="00073FBF">
              <w:rPr>
                <w:color w:val="auto"/>
                <w:sz w:val="18"/>
                <w:szCs w:val="18"/>
              </w:rPr>
              <w:t xml:space="preserve">Every monthly penalty count record in the "MIC Linked Table" worksheet of the RINB-36-01 spreadsheet has its non-excluded penalty count (column C) summed across the relevant calendar year and forms this value. This RIN variable (amongst various others) is </w:t>
            </w:r>
            <w:r w:rsidRPr="00073FBF">
              <w:rPr>
                <w:color w:val="auto"/>
                <w:sz w:val="18"/>
                <w:szCs w:val="18"/>
              </w:rPr>
              <w:lastRenderedPageBreak/>
              <w:t>presented in the "Economic RIN" worksheet of the spreadsheet RINB-36-01.</w:t>
            </w:r>
          </w:p>
        </w:tc>
        <w:tc>
          <w:tcPr>
            <w:tcW w:w="764" w:type="pct"/>
            <w:tcBorders>
              <w:top w:val="nil"/>
              <w:left w:val="nil"/>
              <w:bottom w:val="single" w:sz="4" w:space="0" w:color="auto"/>
              <w:right w:val="single" w:sz="4" w:space="0" w:color="auto"/>
            </w:tcBorders>
            <w:shd w:val="clear" w:color="auto" w:fill="EBF1DE"/>
            <w:vAlign w:val="center"/>
            <w:hideMark/>
          </w:tcPr>
          <w:p w14:paraId="097D8D6D" w14:textId="55BDCE43" w:rsidR="00073FBF" w:rsidRPr="00073FBF" w:rsidRDefault="00073FBF" w:rsidP="00073FBF">
            <w:pPr>
              <w:spacing w:line="360" w:lineRule="auto"/>
              <w:rPr>
                <w:color w:val="auto"/>
                <w:sz w:val="18"/>
                <w:szCs w:val="18"/>
              </w:rPr>
            </w:pPr>
            <w:r w:rsidRPr="00073FBF">
              <w:rPr>
                <w:color w:val="auto"/>
                <w:sz w:val="18"/>
                <w:szCs w:val="18"/>
              </w:rPr>
              <w:lastRenderedPageBreak/>
              <w:t xml:space="preserve">Accuracy of National Electricity Market data from AEMO, which is provided via the ez2view software and NOS. Accuracy of the record data sources (THEOS and/or </w:t>
            </w:r>
            <w:proofErr w:type="spellStart"/>
            <w:r w:rsidRPr="00073FBF">
              <w:rPr>
                <w:color w:val="auto"/>
                <w:sz w:val="18"/>
                <w:szCs w:val="18"/>
              </w:rPr>
              <w:t>Opslog</w:t>
            </w:r>
            <w:proofErr w:type="spellEnd"/>
            <w:r w:rsidRPr="00073FBF">
              <w:rPr>
                <w:color w:val="auto"/>
                <w:sz w:val="18"/>
                <w:szCs w:val="18"/>
              </w:rPr>
              <w:t xml:space="preserve">) maintained by the </w:t>
            </w:r>
            <w:r w:rsidRPr="00073FBF">
              <w:rPr>
                <w:color w:val="auto"/>
                <w:sz w:val="18"/>
                <w:szCs w:val="18"/>
              </w:rPr>
              <w:lastRenderedPageBreak/>
              <w:t>Network Operations group within TransGrid.</w:t>
            </w:r>
          </w:p>
        </w:tc>
      </w:tr>
      <w:tr w:rsidR="00073FBF" w:rsidRPr="00B21581" w14:paraId="51E6F729"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19BBBA4E" w14:textId="4486E415" w:rsidR="00073FBF" w:rsidRPr="00073FBF" w:rsidRDefault="00073FBF" w:rsidP="00883C6C">
            <w:pPr>
              <w:spacing w:before="100" w:beforeAutospacing="1" w:after="100" w:afterAutospacing="1"/>
              <w:rPr>
                <w:rFonts w:ascii="Arial" w:hAnsi="Arial" w:cs="Arial"/>
                <w:b/>
                <w:bCs/>
                <w:color w:val="FFFFFF"/>
                <w:sz w:val="22"/>
                <w:szCs w:val="22"/>
              </w:rPr>
            </w:pPr>
            <w:r w:rsidRPr="00073FBF">
              <w:rPr>
                <w:b/>
                <w:bCs/>
                <w:color w:val="FFFFFF"/>
                <w:sz w:val="22"/>
                <w:szCs w:val="22"/>
              </w:rPr>
              <w:lastRenderedPageBreak/>
              <w:t>TABLE 3.6.3 - SYSTEM LOSSES</w:t>
            </w:r>
          </w:p>
        </w:tc>
      </w:tr>
      <w:tr w:rsidR="008670D7" w:rsidRPr="00B21581" w14:paraId="57A6EDBD" w14:textId="77777777" w:rsidTr="00525AE5">
        <w:trPr>
          <w:trHeight w:val="960"/>
        </w:trPr>
        <w:tc>
          <w:tcPr>
            <w:tcW w:w="532" w:type="pct"/>
            <w:tcBorders>
              <w:top w:val="nil"/>
              <w:left w:val="single" w:sz="4" w:space="0" w:color="auto"/>
              <w:bottom w:val="single" w:sz="4" w:space="0" w:color="auto"/>
              <w:right w:val="single" w:sz="4" w:space="0" w:color="auto"/>
            </w:tcBorders>
            <w:shd w:val="clear" w:color="auto" w:fill="EBF1DE"/>
            <w:vAlign w:val="center"/>
            <w:hideMark/>
          </w:tcPr>
          <w:p w14:paraId="24A4BBE9" w14:textId="02B8AF8D" w:rsidR="00073FBF" w:rsidRPr="00A81A8E" w:rsidRDefault="00073FBF" w:rsidP="00073FBF">
            <w:pPr>
              <w:spacing w:line="360" w:lineRule="auto"/>
              <w:rPr>
                <w:color w:val="auto"/>
                <w:sz w:val="18"/>
                <w:szCs w:val="18"/>
              </w:rPr>
            </w:pPr>
            <w:r w:rsidRPr="00073FBF">
              <w:rPr>
                <w:color w:val="auto"/>
                <w:sz w:val="18"/>
                <w:szCs w:val="18"/>
              </w:rPr>
              <w:t>TQS03 System Losses</w:t>
            </w:r>
          </w:p>
        </w:tc>
        <w:tc>
          <w:tcPr>
            <w:tcW w:w="702" w:type="pct"/>
            <w:tcBorders>
              <w:top w:val="nil"/>
              <w:left w:val="nil"/>
              <w:bottom w:val="single" w:sz="4" w:space="0" w:color="auto"/>
              <w:right w:val="single" w:sz="4" w:space="0" w:color="auto"/>
            </w:tcBorders>
            <w:shd w:val="clear" w:color="auto" w:fill="EBF1DE"/>
            <w:vAlign w:val="center"/>
            <w:hideMark/>
          </w:tcPr>
          <w:p w14:paraId="4B7B7C0E" w14:textId="47D8AB4B" w:rsidR="00073FBF" w:rsidRPr="00A81A8E" w:rsidRDefault="00073FBF" w:rsidP="00073FBF">
            <w:pPr>
              <w:spacing w:line="360" w:lineRule="auto"/>
              <w:rPr>
                <w:color w:val="auto"/>
                <w:sz w:val="18"/>
                <w:szCs w:val="18"/>
              </w:rPr>
            </w:pPr>
            <w:r w:rsidRPr="00073FBF">
              <w:rPr>
                <w:color w:val="auto"/>
                <w:sz w:val="18"/>
                <w:szCs w:val="18"/>
              </w:rPr>
              <w:t>{(Energy into TransGrid - Energy out of TransGrid)/Energy into TransGrid</w:t>
            </w:r>
            <w:proofErr w:type="gramStart"/>
            <w:r w:rsidRPr="00073FBF">
              <w:rPr>
                <w:color w:val="auto"/>
                <w:sz w:val="18"/>
                <w:szCs w:val="18"/>
              </w:rPr>
              <w:t>)}*</w:t>
            </w:r>
            <w:proofErr w:type="gramEnd"/>
            <w:r w:rsidRPr="00073FBF">
              <w:rPr>
                <w:color w:val="auto"/>
                <w:sz w:val="18"/>
                <w:szCs w:val="18"/>
              </w:rPr>
              <w:t>100</w:t>
            </w:r>
          </w:p>
        </w:tc>
        <w:tc>
          <w:tcPr>
            <w:tcW w:w="1408" w:type="pct"/>
            <w:tcBorders>
              <w:top w:val="nil"/>
              <w:left w:val="nil"/>
              <w:bottom w:val="single" w:sz="4" w:space="0" w:color="auto"/>
              <w:right w:val="single" w:sz="4" w:space="0" w:color="auto"/>
            </w:tcBorders>
            <w:shd w:val="clear" w:color="auto" w:fill="EBF1DE"/>
            <w:vAlign w:val="center"/>
            <w:hideMark/>
          </w:tcPr>
          <w:p w14:paraId="66E586C6" w14:textId="7A5B5E60" w:rsidR="00073FBF" w:rsidRPr="00A81A8E" w:rsidRDefault="00073FBF" w:rsidP="00073FBF">
            <w:pPr>
              <w:spacing w:line="360" w:lineRule="auto"/>
              <w:rPr>
                <w:color w:val="auto"/>
                <w:sz w:val="18"/>
                <w:szCs w:val="18"/>
              </w:rPr>
            </w:pPr>
            <w:r w:rsidRPr="00073FBF">
              <w:rPr>
                <w:color w:val="auto"/>
                <w:sz w:val="18"/>
                <w:szCs w:val="18"/>
              </w:rPr>
              <w:t>TransGrid's TUOS billing system</w:t>
            </w:r>
          </w:p>
        </w:tc>
        <w:tc>
          <w:tcPr>
            <w:tcW w:w="630" w:type="pct"/>
            <w:tcBorders>
              <w:top w:val="nil"/>
              <w:left w:val="nil"/>
              <w:bottom w:val="single" w:sz="4" w:space="0" w:color="auto"/>
              <w:right w:val="single" w:sz="4" w:space="0" w:color="auto"/>
            </w:tcBorders>
            <w:shd w:val="clear" w:color="auto" w:fill="EBF1DE"/>
            <w:vAlign w:val="center"/>
            <w:hideMark/>
          </w:tcPr>
          <w:p w14:paraId="0E7058B6" w14:textId="2E3EE5C6" w:rsidR="00073FBF" w:rsidRPr="00073FBF" w:rsidRDefault="00073FBF" w:rsidP="00073FBF">
            <w:pPr>
              <w:rPr>
                <w:color w:val="auto"/>
                <w:sz w:val="18"/>
                <w:szCs w:val="18"/>
              </w:rPr>
            </w:pPr>
            <w:r w:rsidRPr="00073FBF">
              <w:rPr>
                <w:color w:val="auto"/>
                <w:sz w:val="18"/>
                <w:szCs w:val="18"/>
              </w:rPr>
              <w:t>No</w:t>
            </w:r>
          </w:p>
        </w:tc>
        <w:tc>
          <w:tcPr>
            <w:tcW w:w="964" w:type="pct"/>
            <w:tcBorders>
              <w:top w:val="nil"/>
              <w:left w:val="nil"/>
              <w:bottom w:val="single" w:sz="4" w:space="0" w:color="auto"/>
              <w:right w:val="single" w:sz="4" w:space="0" w:color="auto"/>
            </w:tcBorders>
            <w:shd w:val="clear" w:color="auto" w:fill="EBF1DE"/>
            <w:vAlign w:val="center"/>
            <w:hideMark/>
          </w:tcPr>
          <w:p w14:paraId="6046B256" w14:textId="77777777" w:rsidR="00073FBF" w:rsidRPr="00073FBF" w:rsidRDefault="00073FBF" w:rsidP="00073FBF">
            <w:pPr>
              <w:spacing w:line="360" w:lineRule="auto"/>
              <w:rPr>
                <w:color w:val="auto"/>
                <w:sz w:val="18"/>
                <w:szCs w:val="18"/>
              </w:rPr>
            </w:pPr>
            <w:r w:rsidRPr="00073FBF">
              <w:rPr>
                <w:color w:val="auto"/>
                <w:sz w:val="18"/>
                <w:szCs w:val="18"/>
              </w:rPr>
              <w:t>This is defined as {(Energy into TransGrid - Energy out of TransGrid)/Energy into TransGrid</w:t>
            </w:r>
            <w:proofErr w:type="gramStart"/>
            <w:r w:rsidRPr="00073FBF">
              <w:rPr>
                <w:color w:val="auto"/>
                <w:sz w:val="18"/>
                <w:szCs w:val="18"/>
              </w:rPr>
              <w:t>)}*</w:t>
            </w:r>
            <w:proofErr w:type="gramEnd"/>
            <w:r w:rsidRPr="00073FBF">
              <w:rPr>
                <w:color w:val="auto"/>
                <w:sz w:val="18"/>
                <w:szCs w:val="18"/>
              </w:rPr>
              <w:t xml:space="preserve">100 2020 calendar year data for the energy into TransGrid's network and the energy out of TransGrid's network have been extracted </w:t>
            </w:r>
            <w:r w:rsidRPr="00073FBF">
              <w:rPr>
                <w:color w:val="auto"/>
                <w:sz w:val="18"/>
                <w:szCs w:val="18"/>
              </w:rPr>
              <w:lastRenderedPageBreak/>
              <w:t>from the spreadsheets developed for the 2019/20 and 2020/21 RINs (January to June 2020 from the 2019/20 RIN and July to December 2020 from the 2020/21 RIN).</w:t>
            </w:r>
          </w:p>
          <w:p w14:paraId="13346D27" w14:textId="77777777" w:rsidR="00073FBF" w:rsidRPr="00073FBF" w:rsidRDefault="00073FBF" w:rsidP="00073FBF">
            <w:pPr>
              <w:spacing w:line="360" w:lineRule="auto"/>
              <w:rPr>
                <w:color w:val="auto"/>
                <w:sz w:val="18"/>
                <w:szCs w:val="18"/>
              </w:rPr>
            </w:pPr>
            <w:r w:rsidRPr="00073FBF">
              <w:rPr>
                <w:color w:val="auto"/>
                <w:sz w:val="18"/>
                <w:szCs w:val="18"/>
              </w:rPr>
              <w:t xml:space="preserve">Note: December 2020 to April 2021 energy data for </w:t>
            </w:r>
            <w:proofErr w:type="spellStart"/>
            <w:r w:rsidRPr="00073FBF">
              <w:rPr>
                <w:color w:val="auto"/>
                <w:sz w:val="18"/>
                <w:szCs w:val="18"/>
              </w:rPr>
              <w:t>Stockdill</w:t>
            </w:r>
            <w:proofErr w:type="spellEnd"/>
            <w:r w:rsidRPr="00073FBF">
              <w:rPr>
                <w:color w:val="auto"/>
                <w:sz w:val="18"/>
                <w:szCs w:val="18"/>
              </w:rPr>
              <w:t xml:space="preserve"> BSP is an estimate as actual metering data for this period is unavailable.</w:t>
            </w:r>
          </w:p>
          <w:p w14:paraId="5D4C37D3" w14:textId="77777777" w:rsidR="00073FBF" w:rsidRPr="00073FBF" w:rsidRDefault="00073FBF" w:rsidP="00073FBF">
            <w:pPr>
              <w:spacing w:line="360" w:lineRule="auto"/>
              <w:rPr>
                <w:color w:val="auto"/>
                <w:sz w:val="18"/>
                <w:szCs w:val="18"/>
              </w:rPr>
            </w:pPr>
            <w:r w:rsidRPr="00073FBF">
              <w:rPr>
                <w:color w:val="auto"/>
                <w:sz w:val="18"/>
                <w:szCs w:val="18"/>
              </w:rPr>
              <w:t>Calculation of Transmission Losses - Caveats</w:t>
            </w:r>
          </w:p>
          <w:p w14:paraId="50067E81" w14:textId="77777777" w:rsidR="00073FBF" w:rsidRPr="00073FBF" w:rsidRDefault="00073FBF" w:rsidP="0019343C">
            <w:pPr>
              <w:pStyle w:val="ListParagraph"/>
              <w:numPr>
                <w:ilvl w:val="0"/>
                <w:numId w:val="20"/>
              </w:numPr>
              <w:spacing w:line="360" w:lineRule="auto"/>
              <w:rPr>
                <w:color w:val="auto"/>
                <w:sz w:val="18"/>
                <w:szCs w:val="18"/>
              </w:rPr>
            </w:pPr>
            <w:r w:rsidRPr="00073FBF">
              <w:rPr>
                <w:color w:val="auto"/>
                <w:sz w:val="18"/>
                <w:szCs w:val="18"/>
              </w:rPr>
              <w:t xml:space="preserve">The data used to calculate transmission losses comes from TransGrid's TUOS application. The data in the TUOS system is provided by MDAs - Metering Data Agents. They collect data from </w:t>
            </w:r>
            <w:r w:rsidRPr="00073FBF">
              <w:rPr>
                <w:color w:val="auto"/>
                <w:sz w:val="18"/>
                <w:szCs w:val="18"/>
              </w:rPr>
              <w:lastRenderedPageBreak/>
              <w:t xml:space="preserve">the revenue meters on the grid. Although much care is taken to check the quality of the data and collection processes, sometimes the data is updated due to refinements/adjustments by MDAs. When such adjustments </w:t>
            </w:r>
            <w:proofErr w:type="gramStart"/>
            <w:r w:rsidRPr="00073FBF">
              <w:rPr>
                <w:color w:val="auto"/>
                <w:sz w:val="18"/>
                <w:szCs w:val="18"/>
              </w:rPr>
              <w:t>occur</w:t>
            </w:r>
            <w:proofErr w:type="gramEnd"/>
            <w:r w:rsidRPr="00073FBF">
              <w:rPr>
                <w:color w:val="auto"/>
                <w:sz w:val="18"/>
                <w:szCs w:val="18"/>
              </w:rPr>
              <w:t xml:space="preserve"> new data is provided and placed in the TUOS system.</w:t>
            </w:r>
          </w:p>
          <w:p w14:paraId="24300770" w14:textId="77777777" w:rsidR="00073FBF" w:rsidRPr="00073FBF" w:rsidRDefault="00073FBF" w:rsidP="0019343C">
            <w:pPr>
              <w:pStyle w:val="ListParagraph"/>
              <w:numPr>
                <w:ilvl w:val="0"/>
                <w:numId w:val="20"/>
              </w:numPr>
              <w:spacing w:line="360" w:lineRule="auto"/>
              <w:rPr>
                <w:color w:val="auto"/>
                <w:sz w:val="18"/>
                <w:szCs w:val="18"/>
              </w:rPr>
            </w:pPr>
            <w:r w:rsidRPr="00073FBF">
              <w:rPr>
                <w:color w:val="auto"/>
                <w:sz w:val="18"/>
                <w:szCs w:val="18"/>
              </w:rPr>
              <w:t xml:space="preserve">The TUOS system is dynamic. NMIs associated with connection points in TUOS change over time. Sometimes old NMIs are retired and new NMIs added. Although a great deal of care is taken to map NMIs to appropriate </w:t>
            </w:r>
            <w:r w:rsidRPr="00073FBF">
              <w:rPr>
                <w:color w:val="auto"/>
                <w:sz w:val="18"/>
                <w:szCs w:val="18"/>
              </w:rPr>
              <w:lastRenderedPageBreak/>
              <w:t>connection points, sometimes changes can happen with a time lag.</w:t>
            </w:r>
          </w:p>
          <w:p w14:paraId="619A0EBB" w14:textId="77777777" w:rsidR="00073FBF" w:rsidRPr="00073FBF" w:rsidRDefault="00073FBF" w:rsidP="0019343C">
            <w:pPr>
              <w:pStyle w:val="ListParagraph"/>
              <w:numPr>
                <w:ilvl w:val="0"/>
                <w:numId w:val="20"/>
              </w:numPr>
              <w:spacing w:line="360" w:lineRule="auto"/>
              <w:rPr>
                <w:color w:val="auto"/>
                <w:sz w:val="18"/>
                <w:szCs w:val="18"/>
              </w:rPr>
            </w:pPr>
            <w:r w:rsidRPr="00073FBF">
              <w:rPr>
                <w:color w:val="auto"/>
                <w:sz w:val="18"/>
                <w:szCs w:val="18"/>
              </w:rPr>
              <w:t>Load data for new BSPs need to be estimated as data may be unavailable due to metering/procedural problems at the time of commissioning of the new BSPs.</w:t>
            </w:r>
          </w:p>
          <w:p w14:paraId="6E33FADE" w14:textId="77777777" w:rsidR="00073FBF" w:rsidRPr="00073FBF" w:rsidRDefault="00073FBF" w:rsidP="0019343C">
            <w:pPr>
              <w:pStyle w:val="ListParagraph"/>
              <w:numPr>
                <w:ilvl w:val="0"/>
                <w:numId w:val="20"/>
              </w:numPr>
              <w:spacing w:line="360" w:lineRule="auto"/>
              <w:rPr>
                <w:color w:val="auto"/>
                <w:sz w:val="18"/>
                <w:szCs w:val="18"/>
              </w:rPr>
            </w:pPr>
            <w:r w:rsidRPr="00073FBF">
              <w:rPr>
                <w:color w:val="auto"/>
                <w:sz w:val="18"/>
                <w:szCs w:val="18"/>
              </w:rPr>
              <w:t xml:space="preserve">Variation in loss figures </w:t>
            </w:r>
            <w:proofErr w:type="gramStart"/>
            <w:r w:rsidRPr="00073FBF">
              <w:rPr>
                <w:color w:val="auto"/>
                <w:sz w:val="18"/>
                <w:szCs w:val="18"/>
              </w:rPr>
              <w:t>are</w:t>
            </w:r>
            <w:proofErr w:type="gramEnd"/>
            <w:r w:rsidRPr="00073FBF">
              <w:rPr>
                <w:color w:val="auto"/>
                <w:sz w:val="18"/>
                <w:szCs w:val="18"/>
              </w:rPr>
              <w:t xml:space="preserve"> due to inaccuracies associated with measurements at our meters. As per the accuracy requirements of meters from Chapter 7 of the National Electricity Rules (Section S7.4.3) very optimistically (assuming that all of the metering used is the best </w:t>
            </w:r>
            <w:proofErr w:type="gramStart"/>
            <w:r w:rsidRPr="00073FBF">
              <w:rPr>
                <w:color w:val="auto"/>
                <w:sz w:val="18"/>
                <w:szCs w:val="18"/>
              </w:rPr>
              <w:t>i.e.</w:t>
            </w:r>
            <w:proofErr w:type="gramEnd"/>
            <w:r w:rsidRPr="00073FBF">
              <w:rPr>
                <w:color w:val="auto"/>
                <w:sz w:val="18"/>
                <w:szCs w:val="18"/>
              </w:rPr>
              <w:t xml:space="preserve"> </w:t>
            </w:r>
            <w:r w:rsidRPr="00073FBF">
              <w:rPr>
                <w:color w:val="auto"/>
                <w:sz w:val="18"/>
                <w:szCs w:val="18"/>
              </w:rPr>
              <w:lastRenderedPageBreak/>
              <w:t>Type 1), the smallest maximum allowable overall error for energy measurement is ±0.5% at full load; some meters will be Type 2 with an accuracy of ±1.0%, Type 3 with an accuracy of ±1.5% and so on. A small change in energy throughput due to metering errors can result in a change in % loss number calculated.</w:t>
            </w:r>
          </w:p>
          <w:p w14:paraId="5B2BF5CE" w14:textId="77777777" w:rsidR="00073FBF" w:rsidRPr="00073FBF" w:rsidRDefault="00073FBF" w:rsidP="0019343C">
            <w:pPr>
              <w:pStyle w:val="ListParagraph"/>
              <w:numPr>
                <w:ilvl w:val="0"/>
                <w:numId w:val="20"/>
              </w:numPr>
              <w:spacing w:line="360" w:lineRule="auto"/>
              <w:rPr>
                <w:color w:val="auto"/>
                <w:sz w:val="18"/>
                <w:szCs w:val="18"/>
              </w:rPr>
            </w:pPr>
            <w:r w:rsidRPr="00073FBF">
              <w:rPr>
                <w:color w:val="auto"/>
                <w:sz w:val="18"/>
                <w:szCs w:val="18"/>
              </w:rPr>
              <w:t xml:space="preserve">NSW's power system is changing, as coal-fired generators </w:t>
            </w:r>
            <w:proofErr w:type="gramStart"/>
            <w:r w:rsidRPr="00073FBF">
              <w:rPr>
                <w:color w:val="auto"/>
                <w:sz w:val="18"/>
                <w:szCs w:val="18"/>
              </w:rPr>
              <w:t>exit</w:t>
            </w:r>
            <w:proofErr w:type="gramEnd"/>
            <w:r w:rsidRPr="00073FBF">
              <w:rPr>
                <w:color w:val="auto"/>
                <w:sz w:val="18"/>
                <w:szCs w:val="18"/>
              </w:rPr>
              <w:t xml:space="preserve"> and new wind and solar generators connect throughout the grid. New renewable generation is being built at dispersed locations throughout NSW away from where the current </w:t>
            </w:r>
            <w:r w:rsidRPr="00073FBF">
              <w:rPr>
                <w:color w:val="auto"/>
                <w:sz w:val="18"/>
                <w:szCs w:val="18"/>
              </w:rPr>
              <w:lastRenderedPageBreak/>
              <w:t>fleet of coal-fired generators exist. Hence, in future the amount of electrical energy lost in transportation will depend on the type and location of these new generators.</w:t>
            </w:r>
          </w:p>
          <w:p w14:paraId="4081D40D" w14:textId="77777777" w:rsidR="00073FBF" w:rsidRPr="00073FBF" w:rsidRDefault="00073FBF" w:rsidP="00073FBF">
            <w:pPr>
              <w:spacing w:line="360" w:lineRule="auto"/>
              <w:rPr>
                <w:color w:val="auto"/>
                <w:sz w:val="18"/>
                <w:szCs w:val="18"/>
              </w:rPr>
            </w:pPr>
            <w:r w:rsidRPr="00073FBF">
              <w:rPr>
                <w:color w:val="auto"/>
                <w:sz w:val="18"/>
                <w:szCs w:val="18"/>
              </w:rPr>
              <w:t>The amount of electrical energy lost depends on:</w:t>
            </w:r>
          </w:p>
          <w:p w14:paraId="4FB0C5FF" w14:textId="77777777" w:rsidR="00073FBF" w:rsidRPr="00073FBF" w:rsidRDefault="00073FBF" w:rsidP="0019343C">
            <w:pPr>
              <w:pStyle w:val="ListParagraph"/>
              <w:numPr>
                <w:ilvl w:val="0"/>
                <w:numId w:val="21"/>
              </w:numPr>
              <w:spacing w:line="360" w:lineRule="auto"/>
              <w:rPr>
                <w:color w:val="auto"/>
                <w:sz w:val="18"/>
                <w:szCs w:val="18"/>
              </w:rPr>
            </w:pPr>
            <w:r w:rsidRPr="00073FBF">
              <w:rPr>
                <w:color w:val="auto"/>
                <w:sz w:val="18"/>
                <w:szCs w:val="18"/>
              </w:rPr>
              <w:t>the distance of the generator from customers - more energy is lost the further it travels,</w:t>
            </w:r>
          </w:p>
          <w:p w14:paraId="4BA8A838" w14:textId="77777777" w:rsidR="00073FBF" w:rsidRPr="00073FBF" w:rsidRDefault="00073FBF" w:rsidP="0019343C">
            <w:pPr>
              <w:pStyle w:val="ListParagraph"/>
              <w:numPr>
                <w:ilvl w:val="0"/>
                <w:numId w:val="21"/>
              </w:numPr>
              <w:spacing w:line="360" w:lineRule="auto"/>
              <w:rPr>
                <w:color w:val="auto"/>
                <w:sz w:val="18"/>
                <w:szCs w:val="18"/>
              </w:rPr>
            </w:pPr>
            <w:r w:rsidRPr="00073FBF">
              <w:rPr>
                <w:color w:val="auto"/>
                <w:sz w:val="18"/>
                <w:szCs w:val="18"/>
              </w:rPr>
              <w:t>the voltage and resistance of the transmission lines - the "quality" of the line,</w:t>
            </w:r>
          </w:p>
          <w:p w14:paraId="204A4B5B" w14:textId="77777777" w:rsidR="00073FBF" w:rsidRPr="00073FBF" w:rsidRDefault="00073FBF" w:rsidP="0019343C">
            <w:pPr>
              <w:pStyle w:val="ListParagraph"/>
              <w:numPr>
                <w:ilvl w:val="0"/>
                <w:numId w:val="21"/>
              </w:numPr>
              <w:spacing w:line="360" w:lineRule="auto"/>
              <w:rPr>
                <w:color w:val="auto"/>
                <w:sz w:val="18"/>
                <w:szCs w:val="18"/>
              </w:rPr>
            </w:pPr>
            <w:r w:rsidRPr="00073FBF">
              <w:rPr>
                <w:color w:val="auto"/>
                <w:sz w:val="18"/>
                <w:szCs w:val="18"/>
              </w:rPr>
              <w:t xml:space="preserve">how much power is flowing through the line - a more heavily loaded </w:t>
            </w:r>
            <w:r w:rsidRPr="00073FBF">
              <w:rPr>
                <w:color w:val="auto"/>
                <w:sz w:val="18"/>
                <w:szCs w:val="18"/>
              </w:rPr>
              <w:lastRenderedPageBreak/>
              <w:t>line means more heat and more losses.</w:t>
            </w:r>
          </w:p>
          <w:p w14:paraId="5D39A1D2" w14:textId="77777777" w:rsidR="00073FBF" w:rsidRPr="00073FBF" w:rsidRDefault="00073FBF" w:rsidP="00073FBF">
            <w:pPr>
              <w:spacing w:line="360" w:lineRule="auto"/>
              <w:rPr>
                <w:color w:val="auto"/>
                <w:sz w:val="18"/>
                <w:szCs w:val="18"/>
              </w:rPr>
            </w:pPr>
            <w:r w:rsidRPr="00073FBF">
              <w:rPr>
                <w:color w:val="auto"/>
                <w:sz w:val="18"/>
                <w:szCs w:val="18"/>
              </w:rPr>
              <w:t>Changing nature of the power system means that % losses in future may be subject to variations (might differ from the figures reported in historical years)</w:t>
            </w:r>
          </w:p>
          <w:p w14:paraId="73AD15A5" w14:textId="0701E53C" w:rsidR="00073FBF" w:rsidRPr="00073FBF" w:rsidRDefault="00073FBF" w:rsidP="00073FBF">
            <w:pPr>
              <w:spacing w:line="360" w:lineRule="auto"/>
              <w:rPr>
                <w:color w:val="auto"/>
                <w:sz w:val="18"/>
                <w:szCs w:val="18"/>
              </w:rPr>
            </w:pPr>
            <w:r w:rsidRPr="00073FBF">
              <w:rPr>
                <w:color w:val="auto"/>
                <w:sz w:val="18"/>
                <w:szCs w:val="18"/>
              </w:rPr>
              <w:t>Refer to: https://www.aemc.gov.au/energy-system/electricity/electricity-system/transmission-loss-factors</w:t>
            </w:r>
          </w:p>
        </w:tc>
        <w:tc>
          <w:tcPr>
            <w:tcW w:w="764" w:type="pct"/>
            <w:tcBorders>
              <w:top w:val="nil"/>
              <w:left w:val="nil"/>
              <w:bottom w:val="single" w:sz="4" w:space="0" w:color="auto"/>
              <w:right w:val="single" w:sz="4" w:space="0" w:color="auto"/>
            </w:tcBorders>
            <w:shd w:val="clear" w:color="auto" w:fill="EBF1DE"/>
            <w:vAlign w:val="center"/>
            <w:hideMark/>
          </w:tcPr>
          <w:p w14:paraId="52245A3E" w14:textId="6DEE9087" w:rsidR="00073FBF" w:rsidRPr="00073FBF" w:rsidRDefault="00073FBF" w:rsidP="00073FBF">
            <w:pPr>
              <w:spacing w:line="360" w:lineRule="auto"/>
              <w:rPr>
                <w:color w:val="auto"/>
                <w:sz w:val="18"/>
                <w:szCs w:val="18"/>
              </w:rPr>
            </w:pPr>
            <w:r w:rsidRPr="00073FBF">
              <w:rPr>
                <w:color w:val="auto"/>
                <w:sz w:val="18"/>
                <w:szCs w:val="18"/>
              </w:rPr>
              <w:lastRenderedPageBreak/>
              <w:t>Rounded to two significant figures</w:t>
            </w:r>
          </w:p>
        </w:tc>
      </w:tr>
    </w:tbl>
    <w:p w14:paraId="7634BC6F" w14:textId="1D32B655" w:rsidR="00073FBF" w:rsidRDefault="00073FBF" w:rsidP="003C06C4"/>
    <w:p w14:paraId="3D899240" w14:textId="77777777" w:rsidR="00073FBF" w:rsidRDefault="00073FBF">
      <w:r>
        <w:br w:type="page"/>
      </w:r>
    </w:p>
    <w:p w14:paraId="38CBD4CF" w14:textId="77777777" w:rsidR="00BE467B" w:rsidRPr="00D30A58" w:rsidRDefault="00BE467B" w:rsidP="0019343C">
      <w:pPr>
        <w:pStyle w:val="Heading3"/>
        <w:numPr>
          <w:ilvl w:val="2"/>
          <w:numId w:val="12"/>
        </w:numPr>
        <w:spacing w:after="240"/>
      </w:pPr>
      <w:bookmarkStart w:id="22" w:name="_Toc84499732"/>
      <w:r>
        <w:lastRenderedPageBreak/>
        <w:t>Worksheet 3.7 Operating Environment Factors</w:t>
      </w:r>
      <w:bookmarkEnd w:id="22"/>
    </w:p>
    <w:tbl>
      <w:tblPr>
        <w:tblW w:w="5596" w:type="pct"/>
        <w:tblInd w:w="-572" w:type="dxa"/>
        <w:tblLook w:val="04A0" w:firstRow="1" w:lastRow="0" w:firstColumn="1" w:lastColumn="0" w:noHBand="0" w:noVBand="1"/>
      </w:tblPr>
      <w:tblGrid>
        <w:gridCol w:w="2704"/>
        <w:gridCol w:w="2209"/>
        <w:gridCol w:w="2058"/>
        <w:gridCol w:w="2134"/>
        <w:gridCol w:w="2771"/>
        <w:gridCol w:w="3149"/>
      </w:tblGrid>
      <w:tr w:rsidR="000040F6" w:rsidRPr="00B21581" w14:paraId="3166C8FD" w14:textId="77777777" w:rsidTr="008670D7">
        <w:trPr>
          <w:trHeight w:val="480"/>
          <w:tblHeader/>
        </w:trPr>
        <w:tc>
          <w:tcPr>
            <w:tcW w:w="1634"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04842312" w14:textId="77777777" w:rsidR="000040F6" w:rsidRPr="007713F8" w:rsidRDefault="000040F6"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685" w:type="pct"/>
            <w:tcBorders>
              <w:top w:val="single" w:sz="4" w:space="0" w:color="auto"/>
              <w:left w:val="nil"/>
              <w:bottom w:val="single" w:sz="4" w:space="0" w:color="auto"/>
              <w:right w:val="single" w:sz="4" w:space="0" w:color="auto"/>
            </w:tcBorders>
            <w:shd w:val="clear" w:color="000000" w:fill="47A843" w:themeFill="accent1"/>
            <w:vAlign w:val="center"/>
            <w:hideMark/>
          </w:tcPr>
          <w:p w14:paraId="5C422541" w14:textId="77777777" w:rsidR="000040F6" w:rsidRPr="007713F8" w:rsidRDefault="000040F6" w:rsidP="00E609CD">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681"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09C25E5" w14:textId="77777777" w:rsidR="000040F6" w:rsidRPr="007713F8" w:rsidRDefault="000040F6" w:rsidP="00E609CD">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A5058B" w:rsidRPr="00B21581" w14:paraId="45537C14" w14:textId="77777777" w:rsidTr="008670D7">
        <w:trPr>
          <w:trHeight w:val="960"/>
          <w:tblHeader/>
        </w:trPr>
        <w:tc>
          <w:tcPr>
            <w:tcW w:w="900"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4F39630F"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735"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679A056C"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685"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ACEEB4F"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710"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F25FED5"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922"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FADEFA5"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1049"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ECF649C" w14:textId="77777777" w:rsidR="000040F6" w:rsidRPr="007713F8" w:rsidRDefault="000040F6" w:rsidP="00E609CD">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0040F6" w:rsidRPr="00B21581" w14:paraId="5FB967A0"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2ECBE914" w14:textId="35BAC144" w:rsidR="000040F6" w:rsidRPr="00B21581" w:rsidRDefault="000040F6" w:rsidP="008670D7">
            <w:pPr>
              <w:spacing w:before="100" w:beforeAutospacing="1" w:after="100" w:afterAutospacing="1"/>
              <w:rPr>
                <w:rFonts w:ascii="Arial" w:hAnsi="Arial" w:cs="Arial"/>
                <w:b/>
                <w:bCs/>
                <w:color w:val="FFFFFF"/>
                <w:sz w:val="22"/>
                <w:szCs w:val="22"/>
              </w:rPr>
            </w:pPr>
            <w:r w:rsidRPr="001E7278">
              <w:rPr>
                <w:rFonts w:ascii="Arial" w:hAnsi="Arial" w:cs="Arial"/>
                <w:b/>
                <w:bCs/>
                <w:color w:val="FFFFFF"/>
                <w:sz w:val="22"/>
                <w:szCs w:val="22"/>
              </w:rPr>
              <w:t xml:space="preserve">3.7.1 - </w:t>
            </w:r>
            <w:r w:rsidRPr="008670D7">
              <w:rPr>
                <w:b/>
                <w:bCs/>
                <w:color w:val="FFFFFF"/>
                <w:sz w:val="22"/>
                <w:szCs w:val="22"/>
              </w:rPr>
              <w:t>TERRAIN</w:t>
            </w:r>
            <w:r w:rsidRPr="001E7278">
              <w:rPr>
                <w:rFonts w:ascii="Arial" w:hAnsi="Arial" w:cs="Arial"/>
                <w:b/>
                <w:bCs/>
                <w:color w:val="FFFFFF"/>
                <w:sz w:val="22"/>
                <w:szCs w:val="22"/>
              </w:rPr>
              <w:t xml:space="preserve"> FACTORS</w:t>
            </w:r>
          </w:p>
        </w:tc>
      </w:tr>
      <w:tr w:rsidR="000040F6" w:rsidRPr="00B21581" w14:paraId="0DC0CBAD" w14:textId="77777777" w:rsidTr="00525AE5">
        <w:trPr>
          <w:trHeight w:val="1649"/>
        </w:trPr>
        <w:tc>
          <w:tcPr>
            <w:tcW w:w="900" w:type="pct"/>
            <w:tcBorders>
              <w:top w:val="nil"/>
              <w:left w:val="single" w:sz="4" w:space="0" w:color="auto"/>
              <w:bottom w:val="single" w:sz="4" w:space="0" w:color="auto"/>
              <w:right w:val="single" w:sz="4" w:space="0" w:color="auto"/>
            </w:tcBorders>
            <w:shd w:val="clear" w:color="auto" w:fill="EBF1DE"/>
            <w:vAlign w:val="center"/>
          </w:tcPr>
          <w:p w14:paraId="533367E0" w14:textId="50559E58" w:rsidR="000040F6" w:rsidRPr="00D95155" w:rsidRDefault="000040F6" w:rsidP="000040F6">
            <w:pPr>
              <w:spacing w:line="360" w:lineRule="auto"/>
              <w:rPr>
                <w:rFonts w:cstheme="minorHAnsi"/>
                <w:color w:val="auto"/>
                <w:sz w:val="18"/>
                <w:szCs w:val="18"/>
              </w:rPr>
            </w:pPr>
            <w:r w:rsidRPr="00FD1477">
              <w:rPr>
                <w:rFonts w:ascii="Arial" w:hAnsi="Arial" w:cs="Arial"/>
                <w:color w:val="auto"/>
                <w:sz w:val="18"/>
                <w:szCs w:val="18"/>
              </w:rPr>
              <w:t>TEF0101</w:t>
            </w:r>
            <w:r w:rsidRPr="00FD1477">
              <w:rPr>
                <w:rFonts w:ascii="Arial" w:hAnsi="Arial" w:cs="Arial"/>
                <w:color w:val="auto"/>
                <w:sz w:val="18"/>
                <w:szCs w:val="18"/>
              </w:rPr>
              <w:br/>
              <w:t>Total number of maintenance spans</w:t>
            </w:r>
          </w:p>
        </w:tc>
        <w:tc>
          <w:tcPr>
            <w:tcW w:w="735" w:type="pct"/>
            <w:tcBorders>
              <w:top w:val="nil"/>
              <w:left w:val="nil"/>
              <w:bottom w:val="single" w:sz="4" w:space="0" w:color="auto"/>
              <w:right w:val="single" w:sz="4" w:space="0" w:color="auto"/>
            </w:tcBorders>
            <w:shd w:val="clear" w:color="auto" w:fill="EBF1DE"/>
            <w:vAlign w:val="center"/>
          </w:tcPr>
          <w:p w14:paraId="5542A6B1" w14:textId="355341DB"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Where the contractor has claimed and been paid for maintenance work in a span it is counted as a maintenance span.</w:t>
            </w:r>
          </w:p>
        </w:tc>
        <w:tc>
          <w:tcPr>
            <w:tcW w:w="685" w:type="pct"/>
            <w:tcBorders>
              <w:top w:val="nil"/>
              <w:left w:val="nil"/>
              <w:bottom w:val="single" w:sz="4" w:space="0" w:color="auto"/>
              <w:right w:val="single" w:sz="4" w:space="0" w:color="auto"/>
            </w:tcBorders>
            <w:shd w:val="clear" w:color="auto" w:fill="EBF1DE"/>
            <w:vAlign w:val="center"/>
          </w:tcPr>
          <w:p w14:paraId="154DEFCB" w14:textId="77777777"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The data is sourced from the vegetation maintenance contractors who prepare an invoice input spreadsheet as part of their invoices submitted for vegetation maintenance.</w:t>
            </w:r>
          </w:p>
          <w:p w14:paraId="4572EAD2" w14:textId="4A1689A2"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Logs from work completed by internal staff where vegetation maintenance occurred on the spans were also added to the list of maintenance spans.</w:t>
            </w:r>
          </w:p>
        </w:tc>
        <w:tc>
          <w:tcPr>
            <w:tcW w:w="710" w:type="pct"/>
            <w:tcBorders>
              <w:top w:val="nil"/>
              <w:left w:val="nil"/>
              <w:bottom w:val="single" w:sz="4" w:space="0" w:color="auto"/>
              <w:right w:val="single" w:sz="4" w:space="0" w:color="auto"/>
            </w:tcBorders>
            <w:shd w:val="clear" w:color="auto" w:fill="EBF1DE"/>
            <w:vAlign w:val="center"/>
          </w:tcPr>
          <w:p w14:paraId="64A74B96" w14:textId="046F7E0A" w:rsidR="000040F6" w:rsidRPr="000040F6" w:rsidRDefault="000040F6" w:rsidP="000040F6">
            <w:pPr>
              <w:rPr>
                <w:rFonts w:ascii="Arial" w:hAnsi="Arial" w:cs="Arial"/>
                <w:color w:val="auto"/>
                <w:sz w:val="18"/>
                <w:szCs w:val="18"/>
              </w:rPr>
            </w:pPr>
            <w:r w:rsidRPr="000040F6">
              <w:rPr>
                <w:rFonts w:ascii="Arial" w:hAnsi="Arial" w:cs="Arial"/>
                <w:color w:val="auto"/>
                <w:sz w:val="18"/>
                <w:szCs w:val="18"/>
              </w:rPr>
              <w:t>No</w:t>
            </w:r>
          </w:p>
        </w:tc>
        <w:tc>
          <w:tcPr>
            <w:tcW w:w="922" w:type="pct"/>
            <w:tcBorders>
              <w:top w:val="nil"/>
              <w:left w:val="nil"/>
              <w:bottom w:val="single" w:sz="4" w:space="0" w:color="auto"/>
              <w:right w:val="single" w:sz="4" w:space="0" w:color="auto"/>
            </w:tcBorders>
            <w:shd w:val="clear" w:color="auto" w:fill="EBF1DE"/>
            <w:vAlign w:val="center"/>
          </w:tcPr>
          <w:p w14:paraId="56281231" w14:textId="77777777"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A count of spans where payment has been claimed by the contractors.</w:t>
            </w:r>
          </w:p>
          <w:p w14:paraId="5A4EBD49" w14:textId="77777777"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The data is calculated from invoices where the vegetation maintenance contractors have claimed against contract rates for work carried out on each span. Refer to TEF0103 for details of the scoping and invoicing process.</w:t>
            </w:r>
          </w:p>
          <w:p w14:paraId="19C09168" w14:textId="77777777"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t>Where TransGrid staff have trimmed, lopped or sprayed a tree or trees during a line inspection and this information has been recorded it will also be included as a maintenance span.</w:t>
            </w:r>
          </w:p>
          <w:p w14:paraId="45A94BE2" w14:textId="0B970E3D" w:rsidR="000040F6" w:rsidRPr="000040F6" w:rsidRDefault="000040F6" w:rsidP="000040F6">
            <w:pPr>
              <w:spacing w:line="360" w:lineRule="auto"/>
              <w:rPr>
                <w:rFonts w:ascii="Arial" w:hAnsi="Arial" w:cs="Arial"/>
                <w:color w:val="auto"/>
                <w:sz w:val="18"/>
                <w:szCs w:val="18"/>
              </w:rPr>
            </w:pPr>
            <w:r w:rsidRPr="000040F6">
              <w:rPr>
                <w:rFonts w:ascii="Arial" w:hAnsi="Arial" w:cs="Arial"/>
                <w:color w:val="auto"/>
                <w:sz w:val="18"/>
                <w:szCs w:val="18"/>
              </w:rPr>
              <w:lastRenderedPageBreak/>
              <w:t>The data was checked to ensure a span was not counted twice if it was noted on multiple invoices of internal works schedule.</w:t>
            </w:r>
          </w:p>
        </w:tc>
        <w:tc>
          <w:tcPr>
            <w:tcW w:w="1049" w:type="pct"/>
            <w:tcBorders>
              <w:top w:val="nil"/>
              <w:left w:val="nil"/>
              <w:bottom w:val="single" w:sz="4" w:space="0" w:color="auto"/>
              <w:right w:val="single" w:sz="4" w:space="0" w:color="auto"/>
            </w:tcBorders>
            <w:shd w:val="clear" w:color="auto" w:fill="EBF1DE"/>
            <w:vAlign w:val="center"/>
          </w:tcPr>
          <w:p w14:paraId="0AD0F7D8" w14:textId="406CFDB5" w:rsidR="000040F6" w:rsidRPr="000040F6" w:rsidRDefault="000040F6" w:rsidP="000040F6">
            <w:pPr>
              <w:rPr>
                <w:rFonts w:ascii="Arial" w:hAnsi="Arial" w:cs="Arial"/>
                <w:color w:val="auto"/>
                <w:sz w:val="18"/>
                <w:szCs w:val="18"/>
              </w:rPr>
            </w:pPr>
            <w:r w:rsidRPr="000040F6">
              <w:rPr>
                <w:rFonts w:ascii="Arial" w:hAnsi="Arial" w:cs="Arial"/>
                <w:color w:val="auto"/>
                <w:sz w:val="18"/>
                <w:szCs w:val="18"/>
              </w:rPr>
              <w:lastRenderedPageBreak/>
              <w:t>N/A</w:t>
            </w:r>
          </w:p>
        </w:tc>
      </w:tr>
      <w:tr w:rsidR="00175F26" w:rsidRPr="00B21581" w14:paraId="391B5874" w14:textId="77777777" w:rsidTr="00525AE5">
        <w:trPr>
          <w:trHeight w:val="767"/>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27621D35" w14:textId="34C60D4B"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t>TEF0102</w:t>
            </w:r>
            <w:r>
              <w:rPr>
                <w:rFonts w:ascii="Arial" w:hAnsi="Arial" w:cs="Arial"/>
                <w:color w:val="auto"/>
                <w:sz w:val="18"/>
                <w:szCs w:val="18"/>
              </w:rPr>
              <w:t xml:space="preserve"> </w:t>
            </w:r>
            <w:r w:rsidRPr="00A3567D">
              <w:rPr>
                <w:rFonts w:ascii="Arial" w:hAnsi="Arial" w:cs="Arial"/>
                <w:color w:val="auto"/>
                <w:sz w:val="18"/>
                <w:szCs w:val="18"/>
              </w:rPr>
              <w:t>Average vegetation maintenance span cycle [(0's)]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7A073F7C" w14:textId="4EF5A53C"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The straight average of the vegetation maintenance period for each transmission line for the appropriate year weighted on span count basis.</w:t>
            </w:r>
          </w:p>
        </w:tc>
        <w:tc>
          <w:tcPr>
            <w:tcW w:w="685" w:type="pct"/>
            <w:tcBorders>
              <w:top w:val="single" w:sz="4" w:space="0" w:color="auto"/>
              <w:left w:val="nil"/>
              <w:bottom w:val="single" w:sz="4" w:space="0" w:color="auto"/>
              <w:right w:val="single" w:sz="4" w:space="0" w:color="auto"/>
            </w:tcBorders>
            <w:shd w:val="clear" w:color="auto" w:fill="EBF1DE"/>
            <w:vAlign w:val="center"/>
          </w:tcPr>
          <w:p w14:paraId="240A0E43"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The Easements and Access Tracks Maintenance Plan contains the maintenance frequency </w:t>
            </w:r>
            <w:proofErr w:type="spellStart"/>
            <w:proofErr w:type="gramStart"/>
            <w:r w:rsidRPr="00175F26">
              <w:rPr>
                <w:rFonts w:ascii="Arial" w:hAnsi="Arial" w:cs="Arial"/>
                <w:color w:val="auto"/>
                <w:sz w:val="18"/>
                <w:szCs w:val="18"/>
              </w:rPr>
              <w:t>tables.PowerB</w:t>
            </w:r>
            <w:proofErr w:type="spellEnd"/>
            <w:proofErr w:type="gramEnd"/>
            <w:r w:rsidRPr="00175F26">
              <w:rPr>
                <w:rFonts w:ascii="Arial" w:hAnsi="Arial" w:cs="Arial"/>
                <w:color w:val="auto"/>
                <w:sz w:val="18"/>
                <w:szCs w:val="18"/>
              </w:rPr>
              <w:t xml:space="preserve"> report provides the number of spans for each line section noted in the Maintenance Plan.</w:t>
            </w:r>
          </w:p>
          <w:p w14:paraId="031B71F6" w14:textId="30D1D816"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Power BI Report notes the number of structures (and spans ahead) by "plant number"</w:t>
            </w:r>
          </w:p>
        </w:tc>
        <w:tc>
          <w:tcPr>
            <w:tcW w:w="710" w:type="pct"/>
            <w:tcBorders>
              <w:top w:val="single" w:sz="4" w:space="0" w:color="auto"/>
              <w:left w:val="nil"/>
              <w:bottom w:val="single" w:sz="4" w:space="0" w:color="auto"/>
              <w:right w:val="single" w:sz="4" w:space="0" w:color="auto"/>
            </w:tcBorders>
            <w:shd w:val="clear" w:color="auto" w:fill="EBF1DE"/>
            <w:vAlign w:val="center"/>
          </w:tcPr>
          <w:p w14:paraId="4EEF8BDC" w14:textId="3F91BCBD"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Yes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6D5582E" w14:textId="5C510719"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The vegetation maintenance cycle in years (noted on a </w:t>
            </w:r>
            <w:proofErr w:type="gramStart"/>
            <w:r w:rsidRPr="00175F26">
              <w:rPr>
                <w:rFonts w:ascii="Arial" w:hAnsi="Arial" w:cs="Arial"/>
                <w:color w:val="auto"/>
                <w:sz w:val="18"/>
                <w:szCs w:val="18"/>
              </w:rPr>
              <w:t>line by line</w:t>
            </w:r>
            <w:proofErr w:type="gramEnd"/>
            <w:r w:rsidRPr="00175F26">
              <w:rPr>
                <w:rFonts w:ascii="Arial" w:hAnsi="Arial" w:cs="Arial"/>
                <w:color w:val="auto"/>
                <w:sz w:val="18"/>
                <w:szCs w:val="18"/>
              </w:rPr>
              <w:t xml:space="preserve"> basis) was taken from the Maintenance Plan and a weighted average (number of spans based) was calculated. Manual adjustments of span quantity were required where plant number was listed multiple times in the maintenance plan as the maintenance was not always the same over the entire line length. The total number of spans per plant number aligned.</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51A4C4B6" w14:textId="7236F0DD"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N/A</w:t>
            </w:r>
          </w:p>
        </w:tc>
      </w:tr>
      <w:tr w:rsidR="00175F26" w:rsidRPr="00B21581" w14:paraId="23CAF552"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474332E4" w14:textId="692A2D62"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lastRenderedPageBreak/>
              <w:t>TEF0103</w:t>
            </w:r>
            <w:r w:rsidRPr="00FD1477">
              <w:rPr>
                <w:rFonts w:ascii="Arial" w:hAnsi="Arial" w:cs="Arial"/>
                <w:color w:val="auto"/>
                <w:sz w:val="18"/>
                <w:szCs w:val="18"/>
              </w:rPr>
              <w:br/>
              <w:t>Average number of trees per maintenance span (0's)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7804255F" w14:textId="7BBEE5D2"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Total number of trees (&gt;3m in height that could grow to the extent where clearances are encroached) maintained (lopped, removed, slashed, mulched, etc.) divided by the total number of maintenance spans.</w:t>
            </w:r>
          </w:p>
        </w:tc>
        <w:tc>
          <w:tcPr>
            <w:tcW w:w="685" w:type="pct"/>
            <w:tcBorders>
              <w:top w:val="single" w:sz="4" w:space="0" w:color="auto"/>
              <w:left w:val="nil"/>
              <w:bottom w:val="single" w:sz="4" w:space="0" w:color="auto"/>
              <w:right w:val="single" w:sz="4" w:space="0" w:color="auto"/>
            </w:tcBorders>
            <w:shd w:val="clear" w:color="auto" w:fill="EBF1DE"/>
            <w:vAlign w:val="center"/>
          </w:tcPr>
          <w:p w14:paraId="04B4336D"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Determined during scoping stage of works. If this information was not available early on before the process </w:t>
            </w:r>
            <w:proofErr w:type="gramStart"/>
            <w:r w:rsidRPr="00175F26">
              <w:rPr>
                <w:rFonts w:ascii="Arial" w:hAnsi="Arial" w:cs="Arial"/>
                <w:color w:val="auto"/>
                <w:sz w:val="18"/>
                <w:szCs w:val="18"/>
              </w:rPr>
              <w:t>improvement</w:t>
            </w:r>
            <w:proofErr w:type="gramEnd"/>
            <w:r w:rsidRPr="00175F26">
              <w:rPr>
                <w:rFonts w:ascii="Arial" w:hAnsi="Arial" w:cs="Arial"/>
                <w:color w:val="auto"/>
                <w:sz w:val="18"/>
                <w:szCs w:val="18"/>
              </w:rPr>
              <w:t xml:space="preserve"> then the number of trees can generally be calculated using the contractor invoices, as the tree cutting rates are based upon hectare rates and hourly rates. These calculations are detailed in CA RIN 2.7.</w:t>
            </w:r>
          </w:p>
          <w:p w14:paraId="10257D6B"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The data is sourced from the vegetation maintenance contractors who prepare an invoice input spreadsheet as part of their invoices </w:t>
            </w:r>
            <w:r w:rsidRPr="00175F26">
              <w:rPr>
                <w:rFonts w:ascii="Arial" w:hAnsi="Arial" w:cs="Arial"/>
                <w:color w:val="auto"/>
                <w:sz w:val="18"/>
                <w:szCs w:val="18"/>
              </w:rPr>
              <w:lastRenderedPageBreak/>
              <w:t>submitted for vegetation maintenance.</w:t>
            </w:r>
          </w:p>
          <w:p w14:paraId="09493AC8"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Where TransGrid staff have removed trees or lopped during a line inspection and this information has been recorded it has been included in the tree counts.</w:t>
            </w:r>
          </w:p>
          <w:p w14:paraId="521AB7D4" w14:textId="5960B404"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 </w:t>
            </w:r>
          </w:p>
        </w:tc>
        <w:tc>
          <w:tcPr>
            <w:tcW w:w="710" w:type="pct"/>
            <w:tcBorders>
              <w:top w:val="single" w:sz="4" w:space="0" w:color="auto"/>
              <w:left w:val="nil"/>
              <w:bottom w:val="single" w:sz="4" w:space="0" w:color="auto"/>
              <w:right w:val="single" w:sz="4" w:space="0" w:color="auto"/>
            </w:tcBorders>
            <w:shd w:val="clear" w:color="auto" w:fill="EBF1DE"/>
            <w:vAlign w:val="center"/>
          </w:tcPr>
          <w:p w14:paraId="660B25D7" w14:textId="4D651854"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Yes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B436363"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The nature of vegetation maintenance makes providing actual tree counts not practical. Dense vegetation maintained by mulching / slashing can remove tens of thousands of trees per span.</w:t>
            </w:r>
          </w:p>
          <w:p w14:paraId="33487DE5"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Easements works are scoped between the TransGrid Easement Officer and the contractor. When scoping vegetation maintenance work an attempt is made to gauge the number of trees being removed, pruned and/or mulched or sprayed by selecting an indicative square metre area that best represents the average vegetation cover within the span and then simply counting the number of trees within the selected area. This number of trees is then </w:t>
            </w:r>
            <w:r w:rsidRPr="00175F26">
              <w:rPr>
                <w:rFonts w:ascii="Arial" w:hAnsi="Arial" w:cs="Arial"/>
                <w:color w:val="auto"/>
                <w:sz w:val="18"/>
                <w:szCs w:val="18"/>
              </w:rPr>
              <w:lastRenderedPageBreak/>
              <w:t xml:space="preserve">multiplied by the total number of square metres being maintained to obtain the total number of trees to be maintained in the span. Often, with a small number of trees being removed or pruned, the individual trees will be counted. This is recorded on a </w:t>
            </w:r>
            <w:proofErr w:type="gramStart"/>
            <w:r w:rsidRPr="00175F26">
              <w:rPr>
                <w:rFonts w:ascii="Arial" w:hAnsi="Arial" w:cs="Arial"/>
                <w:color w:val="auto"/>
                <w:sz w:val="18"/>
                <w:szCs w:val="18"/>
              </w:rPr>
              <w:t>span by span</w:t>
            </w:r>
            <w:proofErr w:type="gramEnd"/>
            <w:r w:rsidRPr="00175F26">
              <w:rPr>
                <w:rFonts w:ascii="Arial" w:hAnsi="Arial" w:cs="Arial"/>
                <w:color w:val="auto"/>
                <w:sz w:val="18"/>
                <w:szCs w:val="18"/>
              </w:rPr>
              <w:t xml:space="preserve"> basis and issued to the contractor as a work plan.</w:t>
            </w:r>
          </w:p>
          <w:p w14:paraId="7F12851E"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This method was introduced in FY16. Refer to 2016FY RIN for details on how the validity was tested. The method was not retested for later RIN submissions. Before invoices are submitted the TransGrid Easement Officer will inspect the work and sign off the work plan as completed to their satisfaction. This will allow the contractor to submit their invoice. This invoice input </w:t>
            </w:r>
            <w:r w:rsidRPr="00175F26">
              <w:rPr>
                <w:rFonts w:ascii="Arial" w:hAnsi="Arial" w:cs="Arial"/>
                <w:color w:val="auto"/>
                <w:sz w:val="18"/>
                <w:szCs w:val="18"/>
              </w:rPr>
              <w:lastRenderedPageBreak/>
              <w:t>spreadsheet includes the agreed tree count.</w:t>
            </w:r>
          </w:p>
          <w:p w14:paraId="54B7A38A" w14:textId="0489C251"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The invoices are submitted along with the signed off work plan to Accounts Payable and a central contract coordinator. When the invoice is loaded by Accounts Payable a notification will be sent to the Easement Officer for endorsement. The claim will be checked for consistency with the work plan and endorsed if appropriate. It will then go to the Easement Team Leader for approval.</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2409B755" w14:textId="2778E74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N/A</w:t>
            </w:r>
          </w:p>
        </w:tc>
      </w:tr>
      <w:tr w:rsidR="00175F26" w:rsidRPr="00B21581" w14:paraId="27DB67A5"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3C322288" w14:textId="61ADA200"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lastRenderedPageBreak/>
              <w:t>TEF0104</w:t>
            </w:r>
            <w:r w:rsidRPr="00FD1477">
              <w:rPr>
                <w:rFonts w:ascii="Arial" w:hAnsi="Arial" w:cs="Arial"/>
                <w:color w:val="auto"/>
                <w:sz w:val="18"/>
                <w:szCs w:val="18"/>
              </w:rPr>
              <w:br/>
              <w:t>Average number of defects per vegetation maintenance span.</w:t>
            </w:r>
          </w:p>
        </w:tc>
        <w:tc>
          <w:tcPr>
            <w:tcW w:w="735" w:type="pct"/>
            <w:tcBorders>
              <w:top w:val="single" w:sz="4" w:space="0" w:color="auto"/>
              <w:left w:val="nil"/>
              <w:bottom w:val="single" w:sz="4" w:space="0" w:color="auto"/>
              <w:right w:val="single" w:sz="4" w:space="0" w:color="auto"/>
            </w:tcBorders>
            <w:shd w:val="clear" w:color="auto" w:fill="EBF1DE"/>
            <w:vAlign w:val="center"/>
          </w:tcPr>
          <w:p w14:paraId="6A6389C7" w14:textId="747297D4"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A defect tree is a tree that is identified as being within the clearance requirements of "Maintenance Plan - Easements and Access </w:t>
            </w:r>
            <w:r w:rsidRPr="00175F26">
              <w:rPr>
                <w:rFonts w:ascii="Arial" w:hAnsi="Arial" w:cs="Arial"/>
                <w:color w:val="auto"/>
                <w:sz w:val="18"/>
                <w:szCs w:val="18"/>
              </w:rPr>
              <w:lastRenderedPageBreak/>
              <w:t>Tracks" at the time of LiDAR scan.</w:t>
            </w:r>
          </w:p>
        </w:tc>
        <w:tc>
          <w:tcPr>
            <w:tcW w:w="685" w:type="pct"/>
            <w:tcBorders>
              <w:top w:val="single" w:sz="4" w:space="0" w:color="auto"/>
              <w:left w:val="nil"/>
              <w:bottom w:val="single" w:sz="4" w:space="0" w:color="auto"/>
              <w:right w:val="single" w:sz="4" w:space="0" w:color="auto"/>
            </w:tcBorders>
            <w:shd w:val="clear" w:color="auto" w:fill="EBF1DE"/>
            <w:vAlign w:val="center"/>
          </w:tcPr>
          <w:p w14:paraId="07A99759" w14:textId="4ED3E40F"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The results from TransGrid's Routine LiDAR scanning of the network for vegetation infringements.</w:t>
            </w:r>
          </w:p>
        </w:tc>
        <w:tc>
          <w:tcPr>
            <w:tcW w:w="710" w:type="pct"/>
            <w:tcBorders>
              <w:top w:val="single" w:sz="4" w:space="0" w:color="auto"/>
              <w:left w:val="nil"/>
              <w:bottom w:val="single" w:sz="4" w:space="0" w:color="auto"/>
              <w:right w:val="single" w:sz="4" w:space="0" w:color="auto"/>
            </w:tcBorders>
            <w:shd w:val="clear" w:color="auto" w:fill="EBF1DE"/>
            <w:vAlign w:val="center"/>
          </w:tcPr>
          <w:p w14:paraId="101FF512" w14:textId="1BAE908F"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Yes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165D5687"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Defect trees are identified by LiDAR using a spatial analysis. Multiple LiDAR shots are likely to be reported as within clearance requirements of "Maintenance Plan - Easements and Access Tracks", as the point density of </w:t>
            </w:r>
            <w:r w:rsidRPr="00175F26">
              <w:rPr>
                <w:rFonts w:ascii="Arial" w:hAnsi="Arial" w:cs="Arial"/>
                <w:color w:val="auto"/>
                <w:sz w:val="18"/>
                <w:szCs w:val="18"/>
              </w:rPr>
              <w:lastRenderedPageBreak/>
              <w:t>the LiDAR is greater than the size of each tree. Analysis is made to calculate the quantity of defect trees, which may not match actuals onsite, hence the "estimated" description of this variable.</w:t>
            </w:r>
          </w:p>
          <w:p w14:paraId="15CD3750"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Defect vegetation points were counted as one tree if they were within a 1m radius of each other. Total defect trees per maintenance span were then totalled.</w:t>
            </w:r>
          </w:p>
          <w:p w14:paraId="35096ECF" w14:textId="7CCFA95D"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A defect tree is counted if the identified tree was in a span where maintenance was carried out in the applicable year.</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56831F78"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 xml:space="preserve">Defect vegetation is in contravention to the requirements of "Maintenance Plan - Easements and Access Tracks" where maintenance work is expected to </w:t>
            </w:r>
            <w:proofErr w:type="gramStart"/>
            <w:r w:rsidRPr="00175F26">
              <w:rPr>
                <w:rFonts w:ascii="Arial" w:hAnsi="Arial" w:cs="Arial"/>
                <w:color w:val="auto"/>
                <w:sz w:val="18"/>
                <w:szCs w:val="18"/>
              </w:rPr>
              <w:t>take into account</w:t>
            </w:r>
            <w:proofErr w:type="gramEnd"/>
            <w:r w:rsidRPr="00175F26">
              <w:rPr>
                <w:rFonts w:ascii="Arial" w:hAnsi="Arial" w:cs="Arial"/>
                <w:color w:val="auto"/>
                <w:sz w:val="18"/>
                <w:szCs w:val="18"/>
              </w:rPr>
              <w:t xml:space="preserve"> regrowth prior to the next maintenance cycle such that </w:t>
            </w:r>
            <w:r w:rsidRPr="00175F26">
              <w:rPr>
                <w:rFonts w:ascii="Arial" w:hAnsi="Arial" w:cs="Arial"/>
                <w:color w:val="auto"/>
                <w:sz w:val="18"/>
                <w:szCs w:val="18"/>
              </w:rPr>
              <w:lastRenderedPageBreak/>
              <w:t>vegetation never encroaches on safe clearances to conductors</w:t>
            </w:r>
          </w:p>
          <w:p w14:paraId="45ECC8AD" w14:textId="7F5B2F48"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The routine used to group these into tree counts assumes a suitable radius of each point.</w:t>
            </w:r>
          </w:p>
        </w:tc>
      </w:tr>
      <w:tr w:rsidR="00175F26" w:rsidRPr="00B21581" w14:paraId="399F6FE7"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4E571312" w14:textId="4A4A1C8A"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lastRenderedPageBreak/>
              <w:t>TEF0105</w:t>
            </w:r>
            <w:r w:rsidRPr="00FD1477">
              <w:rPr>
                <w:rFonts w:ascii="Arial" w:hAnsi="Arial" w:cs="Arial"/>
                <w:color w:val="auto"/>
                <w:sz w:val="18"/>
                <w:szCs w:val="18"/>
              </w:rPr>
              <w:br/>
              <w:t>Tropical Proportion</w:t>
            </w:r>
            <w:r w:rsidRPr="00FD1477">
              <w:rPr>
                <w:rFonts w:ascii="Arial" w:hAnsi="Arial" w:cs="Arial"/>
                <w:color w:val="auto"/>
                <w:sz w:val="18"/>
                <w:szCs w:val="18"/>
              </w:rPr>
              <w:br/>
              <w:t>Number of spans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7D83801D" w14:textId="55AAE444"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Vegetation Maintenance Spans within the Bureau of Meteorology "Warm Humid Summer" zone</w:t>
            </w:r>
          </w:p>
        </w:tc>
        <w:tc>
          <w:tcPr>
            <w:tcW w:w="685" w:type="pct"/>
            <w:tcBorders>
              <w:top w:val="single" w:sz="4" w:space="0" w:color="auto"/>
              <w:left w:val="nil"/>
              <w:bottom w:val="single" w:sz="4" w:space="0" w:color="auto"/>
              <w:right w:val="single" w:sz="4" w:space="0" w:color="auto"/>
            </w:tcBorders>
            <w:shd w:val="clear" w:color="auto" w:fill="EBF1DE"/>
            <w:vAlign w:val="center"/>
          </w:tcPr>
          <w:p w14:paraId="38D6CBED" w14:textId="68A83EB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Climate Zone Map</w:t>
            </w:r>
          </w:p>
        </w:tc>
        <w:tc>
          <w:tcPr>
            <w:tcW w:w="710" w:type="pct"/>
            <w:tcBorders>
              <w:top w:val="single" w:sz="4" w:space="0" w:color="auto"/>
              <w:left w:val="nil"/>
              <w:bottom w:val="single" w:sz="4" w:space="0" w:color="auto"/>
              <w:right w:val="single" w:sz="4" w:space="0" w:color="auto"/>
            </w:tcBorders>
            <w:shd w:val="clear" w:color="auto" w:fill="EBF1DE"/>
            <w:vAlign w:val="center"/>
          </w:tcPr>
          <w:p w14:paraId="235A1273" w14:textId="1BAEC168"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No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18286F7" w14:textId="67643DF5"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Climate zone digital map utilised to run query in GIS (TSS) based on spans within class "Warm Humid Summer</w:t>
            </w:r>
            <w:proofErr w:type="gramStart"/>
            <w:r w:rsidRPr="00175F26">
              <w:rPr>
                <w:rFonts w:ascii="Arial" w:hAnsi="Arial" w:cs="Arial"/>
                <w:color w:val="auto"/>
                <w:sz w:val="18"/>
                <w:szCs w:val="18"/>
              </w:rPr>
              <w:t xml:space="preserve">", </w:t>
            </w:r>
            <w:r w:rsidRPr="00175F26">
              <w:rPr>
                <w:rFonts w:ascii="Arial" w:hAnsi="Arial" w:cs="Arial"/>
                <w:color w:val="auto"/>
                <w:sz w:val="18"/>
                <w:szCs w:val="18"/>
              </w:rPr>
              <w:lastRenderedPageBreak/>
              <w:t>and</w:t>
            </w:r>
            <w:proofErr w:type="gramEnd"/>
            <w:r w:rsidRPr="00175F26">
              <w:rPr>
                <w:rFonts w:ascii="Arial" w:hAnsi="Arial" w:cs="Arial"/>
                <w:color w:val="auto"/>
                <w:sz w:val="18"/>
                <w:szCs w:val="18"/>
              </w:rPr>
              <w:t xml:space="preserve"> compare this list against maintenance spans only.</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17808C9F" w14:textId="0ACC93D1"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N/A</w:t>
            </w:r>
          </w:p>
        </w:tc>
      </w:tr>
      <w:tr w:rsidR="00175F26" w:rsidRPr="00B21581" w14:paraId="347C4C91"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3494B6FA" w14:textId="0FBD5C2C"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t>TEF0106</w:t>
            </w:r>
            <w:r w:rsidRPr="00FD1477">
              <w:rPr>
                <w:rFonts w:ascii="Arial" w:hAnsi="Arial" w:cs="Arial"/>
                <w:color w:val="auto"/>
                <w:sz w:val="18"/>
                <w:szCs w:val="18"/>
              </w:rPr>
              <w:br/>
              <w:t>Standard vehicle access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0CB00C65"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An area with no Standard Vehicle Access would not be accessible by a </w:t>
            </w:r>
            <w:proofErr w:type="gramStart"/>
            <w:r w:rsidRPr="00175F26">
              <w:rPr>
                <w:rFonts w:ascii="Arial" w:hAnsi="Arial" w:cs="Arial"/>
                <w:color w:val="auto"/>
                <w:sz w:val="18"/>
                <w:szCs w:val="18"/>
              </w:rPr>
              <w:t>two wheel</w:t>
            </w:r>
            <w:proofErr w:type="gramEnd"/>
            <w:r w:rsidRPr="00175F26">
              <w:rPr>
                <w:rFonts w:ascii="Arial" w:hAnsi="Arial" w:cs="Arial"/>
                <w:color w:val="auto"/>
                <w:sz w:val="18"/>
                <w:szCs w:val="18"/>
              </w:rPr>
              <w:t xml:space="preserve"> drive vehicle</w:t>
            </w:r>
          </w:p>
          <w:p w14:paraId="483C684A" w14:textId="58D83696"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Value provided is length of network which is accessible by 2WD vehicle.</w:t>
            </w:r>
          </w:p>
        </w:tc>
        <w:tc>
          <w:tcPr>
            <w:tcW w:w="685" w:type="pct"/>
            <w:tcBorders>
              <w:top w:val="single" w:sz="4" w:space="0" w:color="auto"/>
              <w:left w:val="nil"/>
              <w:bottom w:val="single" w:sz="4" w:space="0" w:color="auto"/>
              <w:right w:val="single" w:sz="4" w:space="0" w:color="auto"/>
            </w:tcBorders>
            <w:shd w:val="clear" w:color="auto" w:fill="EBF1DE"/>
            <w:vAlign w:val="center"/>
          </w:tcPr>
          <w:p w14:paraId="63ED172F"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Ellipse report on electronically recorded mains inspections carried out from 2009 to 2014. TSS report on electronically recorded mains inspections carried out from 2001 to 2010.</w:t>
            </w:r>
          </w:p>
          <w:p w14:paraId="199F4A68"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Route line length figure provided in other areas of the RIN.</w:t>
            </w:r>
          </w:p>
          <w:p w14:paraId="0EF63394"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Details of all access tracks are currently being loaded into TSS. </w:t>
            </w:r>
            <w:r w:rsidRPr="00175F26">
              <w:rPr>
                <w:rFonts w:ascii="Arial" w:hAnsi="Arial" w:cs="Arial"/>
                <w:color w:val="auto"/>
                <w:sz w:val="18"/>
                <w:szCs w:val="18"/>
              </w:rPr>
              <w:lastRenderedPageBreak/>
              <w:t>Condition rating will be added progressively.</w:t>
            </w:r>
          </w:p>
          <w:p w14:paraId="5079C60F" w14:textId="1625664C"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"Works in progress" easements after fire patrol work orders report</w:t>
            </w:r>
          </w:p>
        </w:tc>
        <w:tc>
          <w:tcPr>
            <w:tcW w:w="710" w:type="pct"/>
            <w:tcBorders>
              <w:top w:val="single" w:sz="4" w:space="0" w:color="auto"/>
              <w:left w:val="nil"/>
              <w:bottom w:val="single" w:sz="4" w:space="0" w:color="auto"/>
              <w:right w:val="single" w:sz="4" w:space="0" w:color="auto"/>
            </w:tcBorders>
            <w:shd w:val="clear" w:color="auto" w:fill="EBF1DE"/>
            <w:vAlign w:val="center"/>
          </w:tcPr>
          <w:p w14:paraId="6AB00BDB" w14:textId="20446A66"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Yes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C397BBA"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It is considered appropriate to continue to use this proportion, as it is not generally going to change year to year. However, the 2019/20 bushfires impacted on access </w:t>
            </w:r>
            <w:proofErr w:type="gramStart"/>
            <w:r w:rsidRPr="00175F26">
              <w:rPr>
                <w:rFonts w:ascii="Arial" w:hAnsi="Arial" w:cs="Arial"/>
                <w:color w:val="auto"/>
                <w:sz w:val="18"/>
                <w:szCs w:val="18"/>
              </w:rPr>
              <w:t>tracks</w:t>
            </w:r>
            <w:proofErr w:type="gramEnd"/>
            <w:r w:rsidRPr="00175F26">
              <w:rPr>
                <w:rFonts w:ascii="Arial" w:hAnsi="Arial" w:cs="Arial"/>
                <w:color w:val="auto"/>
                <w:sz w:val="18"/>
                <w:szCs w:val="18"/>
              </w:rPr>
              <w:t xml:space="preserve"> so an adjustment was required to be made. It was assumed that if the easement and access track after fire response work order was still "in progress" on July 1</w:t>
            </w:r>
            <w:proofErr w:type="gramStart"/>
            <w:r w:rsidRPr="00175F26">
              <w:rPr>
                <w:rFonts w:ascii="Arial" w:hAnsi="Arial" w:cs="Arial"/>
                <w:color w:val="auto"/>
                <w:sz w:val="18"/>
                <w:szCs w:val="18"/>
              </w:rPr>
              <w:t xml:space="preserve"> 2020</w:t>
            </w:r>
            <w:proofErr w:type="gramEnd"/>
            <w:r w:rsidRPr="00175F26">
              <w:rPr>
                <w:rFonts w:ascii="Arial" w:hAnsi="Arial" w:cs="Arial"/>
                <w:color w:val="auto"/>
                <w:sz w:val="18"/>
                <w:szCs w:val="18"/>
              </w:rPr>
              <w:t xml:space="preserve"> that access was not available for the spans covered under that work order. This resulted in the route length this percentage was applied to being reduced by 334 km.</w:t>
            </w:r>
          </w:p>
          <w:p w14:paraId="144C32EA"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The new proportion was multiplied with the published line route length for 2020 and rounded to the nearest 100km.</w:t>
            </w:r>
          </w:p>
          <w:p w14:paraId="7EC3CBAA" w14:textId="4A49F228"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Route line length = 11,262 km Std vehicle access = (11,262 - 334) * 80.9% = 8,841km ~ 8,800 km</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34F09CE0" w14:textId="77777777"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lastRenderedPageBreak/>
              <w:t>The proportion of accessible structures is not generally going to change year to year. The same proportion is allocated each year to the actual route length of the system and rounded to the nearest 100km.</w:t>
            </w:r>
          </w:p>
          <w:p w14:paraId="3869234F" w14:textId="0DBF1DF6"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What is considered accessible by 2WD on any given day could easily change if it rained overnight. A gentle slope when wet on a grassed paddock will stop most 2WD vehicles.</w:t>
            </w:r>
          </w:p>
        </w:tc>
      </w:tr>
      <w:tr w:rsidR="00175F26" w:rsidRPr="00B21581" w14:paraId="5D0D1568"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1F92195D" w14:textId="5FD6CE88"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t>TEF0107 – Altitude</w:t>
            </w:r>
          </w:p>
        </w:tc>
        <w:tc>
          <w:tcPr>
            <w:tcW w:w="735" w:type="pct"/>
            <w:tcBorders>
              <w:top w:val="single" w:sz="4" w:space="0" w:color="auto"/>
              <w:left w:val="nil"/>
              <w:bottom w:val="single" w:sz="4" w:space="0" w:color="auto"/>
              <w:right w:val="single" w:sz="4" w:space="0" w:color="auto"/>
            </w:tcBorders>
            <w:shd w:val="clear" w:color="auto" w:fill="EBF1DE"/>
            <w:vAlign w:val="center"/>
          </w:tcPr>
          <w:p w14:paraId="42E3D196" w14:textId="211B6830"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Length of line with structures above 600m.</w:t>
            </w:r>
          </w:p>
        </w:tc>
        <w:tc>
          <w:tcPr>
            <w:tcW w:w="685" w:type="pct"/>
            <w:tcBorders>
              <w:top w:val="single" w:sz="4" w:space="0" w:color="auto"/>
              <w:left w:val="nil"/>
              <w:bottom w:val="single" w:sz="4" w:space="0" w:color="auto"/>
              <w:right w:val="single" w:sz="4" w:space="0" w:color="auto"/>
            </w:tcBorders>
            <w:shd w:val="clear" w:color="auto" w:fill="EBF1DE"/>
            <w:vAlign w:val="center"/>
          </w:tcPr>
          <w:p w14:paraId="38EC484D" w14:textId="3C3D08C0"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TransGrid Spatial System (TSS) 25m grid spot height data.</w:t>
            </w:r>
          </w:p>
        </w:tc>
        <w:tc>
          <w:tcPr>
            <w:tcW w:w="710" w:type="pct"/>
            <w:tcBorders>
              <w:top w:val="single" w:sz="4" w:space="0" w:color="auto"/>
              <w:left w:val="nil"/>
              <w:bottom w:val="single" w:sz="4" w:space="0" w:color="auto"/>
              <w:right w:val="single" w:sz="4" w:space="0" w:color="auto"/>
            </w:tcBorders>
            <w:shd w:val="clear" w:color="auto" w:fill="EBF1DE"/>
            <w:vAlign w:val="center"/>
          </w:tcPr>
          <w:p w14:paraId="5B9E7F86" w14:textId="7ACC10B9"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No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6A8F1171" w14:textId="02AEDDA1"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 xml:space="preserve">The structure location referenced against spot heights within 30m to determine if elevation above 600m. If the structure was </w:t>
            </w:r>
            <w:proofErr w:type="gramStart"/>
            <w:r w:rsidRPr="00175F26">
              <w:rPr>
                <w:rFonts w:ascii="Arial" w:hAnsi="Arial" w:cs="Arial"/>
                <w:color w:val="auto"/>
                <w:sz w:val="18"/>
                <w:szCs w:val="18"/>
              </w:rPr>
              <w:t>above</w:t>
            </w:r>
            <w:proofErr w:type="gramEnd"/>
            <w:r w:rsidRPr="00175F26">
              <w:rPr>
                <w:rFonts w:ascii="Arial" w:hAnsi="Arial" w:cs="Arial"/>
                <w:color w:val="auto"/>
                <w:sz w:val="18"/>
                <w:szCs w:val="18"/>
              </w:rPr>
              <w:t xml:space="preserve"> then attached spans included for length calc. Excluded spans were removed so only prescribed spans were counted.</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0D9D0D1F" w14:textId="03BB568A"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N/A</w:t>
            </w:r>
          </w:p>
        </w:tc>
      </w:tr>
      <w:tr w:rsidR="00175F26" w:rsidRPr="00B21581" w14:paraId="05FEEE05" w14:textId="77777777" w:rsidTr="00525AE5">
        <w:trPr>
          <w:trHeight w:val="1649"/>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59FB2AFE" w14:textId="326AE0DE" w:rsidR="00175F26" w:rsidRPr="00175F26" w:rsidRDefault="00175F26" w:rsidP="00175F26">
            <w:pPr>
              <w:spacing w:line="360" w:lineRule="auto"/>
              <w:rPr>
                <w:rFonts w:ascii="Arial" w:hAnsi="Arial" w:cs="Arial"/>
                <w:color w:val="auto"/>
                <w:sz w:val="18"/>
                <w:szCs w:val="18"/>
              </w:rPr>
            </w:pPr>
            <w:r w:rsidRPr="00FD1477">
              <w:rPr>
                <w:rFonts w:ascii="Arial" w:hAnsi="Arial" w:cs="Arial"/>
                <w:color w:val="auto"/>
                <w:sz w:val="18"/>
                <w:szCs w:val="18"/>
              </w:rPr>
              <w:lastRenderedPageBreak/>
              <w:t>TEF0108 - Bushfire Risk</w:t>
            </w:r>
            <w:r w:rsidRPr="00FD1477">
              <w:rPr>
                <w:rFonts w:ascii="Arial" w:hAnsi="Arial" w:cs="Arial"/>
                <w:color w:val="auto"/>
                <w:sz w:val="18"/>
                <w:szCs w:val="18"/>
              </w:rPr>
              <w:br/>
            </w:r>
            <w:r w:rsidRPr="00FD1477">
              <w:rPr>
                <w:rFonts w:ascii="Arial" w:hAnsi="Arial" w:cs="Arial"/>
                <w:color w:val="auto"/>
                <w:sz w:val="18"/>
                <w:szCs w:val="18"/>
              </w:rPr>
              <w:br/>
              <w:t>Number of spans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13AD47EA" w14:textId="541FC25D"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Maintenance spans within RFS classification of Category 1, 2 or buffer</w:t>
            </w:r>
          </w:p>
        </w:tc>
        <w:tc>
          <w:tcPr>
            <w:tcW w:w="685" w:type="pct"/>
            <w:tcBorders>
              <w:top w:val="single" w:sz="4" w:space="0" w:color="auto"/>
              <w:left w:val="nil"/>
              <w:bottom w:val="single" w:sz="4" w:space="0" w:color="auto"/>
              <w:right w:val="single" w:sz="4" w:space="0" w:color="auto"/>
            </w:tcBorders>
            <w:shd w:val="clear" w:color="auto" w:fill="EBF1DE"/>
            <w:vAlign w:val="center"/>
          </w:tcPr>
          <w:p w14:paraId="79AC9639" w14:textId="295274A5"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TransGrid Spatial System (TSS) NSW RFS Bush Fire Prone Lands (BFPL)</w:t>
            </w:r>
          </w:p>
        </w:tc>
        <w:tc>
          <w:tcPr>
            <w:tcW w:w="710" w:type="pct"/>
            <w:tcBorders>
              <w:top w:val="single" w:sz="4" w:space="0" w:color="auto"/>
              <w:left w:val="nil"/>
              <w:bottom w:val="single" w:sz="4" w:space="0" w:color="auto"/>
              <w:right w:val="single" w:sz="4" w:space="0" w:color="auto"/>
            </w:tcBorders>
            <w:shd w:val="clear" w:color="auto" w:fill="EBF1DE"/>
            <w:vAlign w:val="center"/>
          </w:tcPr>
          <w:p w14:paraId="6D0C0E14" w14:textId="67F051BE"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No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284FB66" w14:textId="1393FF0B" w:rsidR="00175F26" w:rsidRPr="00175F26" w:rsidRDefault="00175F26" w:rsidP="00175F26">
            <w:pPr>
              <w:spacing w:line="360" w:lineRule="auto"/>
              <w:rPr>
                <w:rFonts w:ascii="Arial" w:hAnsi="Arial" w:cs="Arial"/>
                <w:color w:val="auto"/>
                <w:sz w:val="18"/>
                <w:szCs w:val="18"/>
              </w:rPr>
            </w:pPr>
            <w:r w:rsidRPr="00175F26">
              <w:rPr>
                <w:rFonts w:ascii="Arial" w:hAnsi="Arial" w:cs="Arial"/>
                <w:color w:val="auto"/>
                <w:sz w:val="18"/>
                <w:szCs w:val="18"/>
              </w:rPr>
              <w:t>Digital map of BFPL used to run query against spans in either Category 1, 2or buffer lands, and allocate this list against maintenance spans only</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42AD1B59" w14:textId="7690E224" w:rsidR="00175F26" w:rsidRPr="00175F26" w:rsidRDefault="00175F26" w:rsidP="00175F26">
            <w:pPr>
              <w:rPr>
                <w:rFonts w:ascii="Arial" w:hAnsi="Arial" w:cs="Arial"/>
                <w:color w:val="auto"/>
                <w:sz w:val="18"/>
                <w:szCs w:val="18"/>
              </w:rPr>
            </w:pPr>
            <w:r w:rsidRPr="00175F26">
              <w:rPr>
                <w:rFonts w:ascii="Arial" w:hAnsi="Arial" w:cs="Arial"/>
                <w:color w:val="auto"/>
                <w:sz w:val="18"/>
                <w:szCs w:val="18"/>
              </w:rPr>
              <w:t>RFS web site documents all category 1, 2 and buffer lands as bush fire prone lands.</w:t>
            </w:r>
          </w:p>
        </w:tc>
      </w:tr>
      <w:tr w:rsidR="00175F26" w:rsidRPr="00B21581" w14:paraId="496518BD" w14:textId="77777777" w:rsidTr="00525AE5">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385253C9" w14:textId="57F3D575" w:rsidR="00175F26" w:rsidRPr="00B21581" w:rsidRDefault="00175F26" w:rsidP="008670D7">
            <w:pPr>
              <w:spacing w:before="100" w:beforeAutospacing="1" w:after="100" w:afterAutospacing="1"/>
              <w:rPr>
                <w:rFonts w:ascii="Arial" w:hAnsi="Arial" w:cs="Arial"/>
                <w:b/>
                <w:bCs/>
                <w:color w:val="FFFFFF"/>
                <w:sz w:val="22"/>
                <w:szCs w:val="22"/>
              </w:rPr>
            </w:pPr>
            <w:r w:rsidRPr="0025128D">
              <w:rPr>
                <w:rFonts w:ascii="Arial" w:hAnsi="Arial" w:cs="Arial"/>
                <w:b/>
                <w:bCs/>
                <w:color w:val="FFFFFF"/>
                <w:sz w:val="22"/>
                <w:szCs w:val="22"/>
              </w:rPr>
              <w:t>3.7.2 NETWORK CHARACTERISTICS</w:t>
            </w:r>
          </w:p>
        </w:tc>
      </w:tr>
      <w:tr w:rsidR="00BC3064" w:rsidRPr="00B21581" w14:paraId="2BD6C343" w14:textId="77777777" w:rsidTr="00525AE5">
        <w:trPr>
          <w:trHeight w:val="657"/>
        </w:trPr>
        <w:tc>
          <w:tcPr>
            <w:tcW w:w="900" w:type="pct"/>
            <w:tcBorders>
              <w:top w:val="nil"/>
              <w:left w:val="single" w:sz="4" w:space="0" w:color="auto"/>
              <w:bottom w:val="single" w:sz="4" w:space="0" w:color="auto"/>
              <w:right w:val="single" w:sz="4" w:space="0" w:color="auto"/>
            </w:tcBorders>
            <w:shd w:val="clear" w:color="auto" w:fill="EBF1DE"/>
            <w:vAlign w:val="center"/>
            <w:hideMark/>
          </w:tcPr>
          <w:p w14:paraId="43C2B0FF" w14:textId="54FE0732" w:rsidR="00BC3064" w:rsidRPr="00BC3064" w:rsidRDefault="00BC3064" w:rsidP="00BC3064">
            <w:pPr>
              <w:spacing w:line="360" w:lineRule="auto"/>
              <w:rPr>
                <w:rFonts w:ascii="Arial" w:hAnsi="Arial" w:cs="Arial"/>
                <w:color w:val="auto"/>
                <w:sz w:val="18"/>
                <w:szCs w:val="18"/>
              </w:rPr>
            </w:pPr>
            <w:r w:rsidRPr="00FD1477">
              <w:rPr>
                <w:rFonts w:ascii="Arial" w:hAnsi="Arial" w:cs="Arial"/>
                <w:color w:val="auto"/>
                <w:sz w:val="18"/>
                <w:szCs w:val="18"/>
              </w:rPr>
              <w:t>TEF0201 - Route Line Length</w:t>
            </w:r>
          </w:p>
        </w:tc>
        <w:tc>
          <w:tcPr>
            <w:tcW w:w="735" w:type="pct"/>
            <w:tcBorders>
              <w:top w:val="nil"/>
              <w:left w:val="nil"/>
              <w:bottom w:val="single" w:sz="4" w:space="0" w:color="auto"/>
              <w:right w:val="single" w:sz="4" w:space="0" w:color="auto"/>
            </w:tcBorders>
            <w:shd w:val="clear" w:color="auto" w:fill="EBF1DE"/>
            <w:vAlign w:val="center"/>
            <w:hideMark/>
          </w:tcPr>
          <w:p w14:paraId="7EA81320"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The length of line routes.</w:t>
            </w:r>
          </w:p>
          <w:p w14:paraId="132DCE85" w14:textId="10F29B9A"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Where a line is a double circuit line or split phase, that section of the route is only counted once.</w:t>
            </w:r>
          </w:p>
        </w:tc>
        <w:tc>
          <w:tcPr>
            <w:tcW w:w="685" w:type="pct"/>
            <w:tcBorders>
              <w:top w:val="nil"/>
              <w:left w:val="nil"/>
              <w:bottom w:val="single" w:sz="4" w:space="0" w:color="auto"/>
              <w:right w:val="single" w:sz="4" w:space="0" w:color="auto"/>
            </w:tcBorders>
            <w:shd w:val="clear" w:color="auto" w:fill="EBF1DE"/>
            <w:vAlign w:val="center"/>
            <w:hideMark/>
          </w:tcPr>
          <w:p w14:paraId="59541F17"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Overhead route length: </w:t>
            </w:r>
            <w:proofErr w:type="spellStart"/>
            <w:r w:rsidRPr="00BC3064">
              <w:rPr>
                <w:rFonts w:ascii="Arial" w:hAnsi="Arial" w:cs="Arial"/>
                <w:color w:val="auto"/>
                <w:sz w:val="18"/>
                <w:szCs w:val="18"/>
              </w:rPr>
              <w:t>PowerBI</w:t>
            </w:r>
            <w:proofErr w:type="spellEnd"/>
            <w:r w:rsidRPr="00BC3064">
              <w:rPr>
                <w:rFonts w:ascii="Arial" w:hAnsi="Arial" w:cs="Arial"/>
                <w:color w:val="auto"/>
                <w:sz w:val="18"/>
                <w:szCs w:val="18"/>
              </w:rPr>
              <w:t xml:space="preserve"> Report. </w:t>
            </w:r>
            <w:proofErr w:type="spellStart"/>
            <w:r w:rsidRPr="00BC3064">
              <w:rPr>
                <w:rFonts w:ascii="Arial" w:hAnsi="Arial" w:cs="Arial"/>
                <w:color w:val="auto"/>
                <w:sz w:val="18"/>
                <w:szCs w:val="18"/>
              </w:rPr>
              <w:t>PowerBI</w:t>
            </w:r>
            <w:proofErr w:type="spellEnd"/>
            <w:r w:rsidRPr="00BC3064">
              <w:rPr>
                <w:rFonts w:ascii="Arial" w:hAnsi="Arial" w:cs="Arial"/>
                <w:color w:val="auto"/>
                <w:sz w:val="18"/>
                <w:szCs w:val="18"/>
              </w:rPr>
              <w:t xml:space="preserve"> gets its length details from TSS.</w:t>
            </w:r>
          </w:p>
          <w:p w14:paraId="4E38AE9A" w14:textId="0B39A4C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Underground route length: TSS, Electrical </w:t>
            </w:r>
            <w:proofErr w:type="spellStart"/>
            <w:r w:rsidRPr="00BC3064">
              <w:rPr>
                <w:rFonts w:ascii="Arial" w:hAnsi="Arial" w:cs="Arial"/>
                <w:color w:val="auto"/>
                <w:sz w:val="18"/>
                <w:szCs w:val="18"/>
              </w:rPr>
              <w:t>databook</w:t>
            </w:r>
            <w:proofErr w:type="spellEnd"/>
            <w:r w:rsidRPr="00BC3064">
              <w:rPr>
                <w:rFonts w:ascii="Arial" w:hAnsi="Arial" w:cs="Arial"/>
                <w:color w:val="auto"/>
                <w:sz w:val="18"/>
                <w:szCs w:val="18"/>
              </w:rPr>
              <w:t>, project records</w:t>
            </w:r>
          </w:p>
        </w:tc>
        <w:tc>
          <w:tcPr>
            <w:tcW w:w="710" w:type="pct"/>
            <w:tcBorders>
              <w:top w:val="nil"/>
              <w:left w:val="nil"/>
              <w:bottom w:val="single" w:sz="4" w:space="0" w:color="auto"/>
              <w:right w:val="single" w:sz="4" w:space="0" w:color="auto"/>
            </w:tcBorders>
            <w:shd w:val="clear" w:color="auto" w:fill="EBF1DE"/>
            <w:vAlign w:val="center"/>
            <w:hideMark/>
          </w:tcPr>
          <w:p w14:paraId="6F8F25BB" w14:textId="044305A6"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No</w:t>
            </w:r>
          </w:p>
        </w:tc>
        <w:tc>
          <w:tcPr>
            <w:tcW w:w="922" w:type="pct"/>
            <w:tcBorders>
              <w:top w:val="nil"/>
              <w:left w:val="nil"/>
              <w:bottom w:val="single" w:sz="4" w:space="0" w:color="auto"/>
              <w:right w:val="single" w:sz="4" w:space="0" w:color="auto"/>
            </w:tcBorders>
            <w:shd w:val="clear" w:color="auto" w:fill="EBF1DE"/>
            <w:vAlign w:val="center"/>
            <w:hideMark/>
          </w:tcPr>
          <w:p w14:paraId="17219ECB"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The </w:t>
            </w:r>
            <w:proofErr w:type="spellStart"/>
            <w:r w:rsidRPr="00BC3064">
              <w:rPr>
                <w:rFonts w:ascii="Arial" w:hAnsi="Arial" w:cs="Arial"/>
                <w:color w:val="auto"/>
                <w:sz w:val="18"/>
                <w:szCs w:val="18"/>
              </w:rPr>
              <w:t>PowerBI</w:t>
            </w:r>
            <w:proofErr w:type="spellEnd"/>
            <w:r w:rsidRPr="00BC3064">
              <w:rPr>
                <w:rFonts w:ascii="Arial" w:hAnsi="Arial" w:cs="Arial"/>
                <w:color w:val="auto"/>
                <w:sz w:val="18"/>
                <w:szCs w:val="18"/>
              </w:rPr>
              <w:t xml:space="preserve"> report obtains the spans lengths from TSS. Route length was averaged from the two spans attached to dual circuit structures and added to single circuit spans</w:t>
            </w:r>
          </w:p>
          <w:p w14:paraId="7DF62EAB" w14:textId="7FD58358"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Non-prescribed spans have been excluded.</w:t>
            </w:r>
          </w:p>
        </w:tc>
        <w:tc>
          <w:tcPr>
            <w:tcW w:w="1049" w:type="pct"/>
            <w:tcBorders>
              <w:top w:val="nil"/>
              <w:left w:val="nil"/>
              <w:bottom w:val="single" w:sz="4" w:space="0" w:color="auto"/>
              <w:right w:val="single" w:sz="4" w:space="0" w:color="auto"/>
            </w:tcBorders>
            <w:shd w:val="clear" w:color="auto" w:fill="EBF1DE"/>
            <w:vAlign w:val="center"/>
            <w:hideMark/>
          </w:tcPr>
          <w:p w14:paraId="68695460" w14:textId="157BE470" w:rsidR="00BC3064" w:rsidRPr="00D95155"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Route line length includes overhead lines and underground cables.</w:t>
            </w:r>
          </w:p>
        </w:tc>
      </w:tr>
      <w:tr w:rsidR="00BC3064" w:rsidRPr="00B21581" w14:paraId="7FF8D81F" w14:textId="77777777" w:rsidTr="00525AE5">
        <w:trPr>
          <w:trHeight w:val="960"/>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hideMark/>
          </w:tcPr>
          <w:p w14:paraId="52E59E11" w14:textId="2FC15DBB" w:rsidR="00BC3064" w:rsidRPr="00BC3064" w:rsidRDefault="00BC3064" w:rsidP="00BC3064">
            <w:pPr>
              <w:spacing w:line="360" w:lineRule="auto"/>
              <w:rPr>
                <w:rFonts w:ascii="Arial" w:hAnsi="Arial" w:cs="Arial"/>
                <w:color w:val="auto"/>
                <w:sz w:val="18"/>
                <w:szCs w:val="18"/>
              </w:rPr>
            </w:pPr>
            <w:r w:rsidRPr="00DD00B7">
              <w:rPr>
                <w:rFonts w:ascii="Arial" w:hAnsi="Arial" w:cs="Arial"/>
                <w:color w:val="auto"/>
                <w:sz w:val="18"/>
                <w:szCs w:val="18"/>
              </w:rPr>
              <w:t>TEF0202 Variability of dispatch</w:t>
            </w:r>
          </w:p>
        </w:tc>
        <w:tc>
          <w:tcPr>
            <w:tcW w:w="735" w:type="pct"/>
            <w:tcBorders>
              <w:top w:val="single" w:sz="4" w:space="0" w:color="auto"/>
              <w:left w:val="nil"/>
              <w:bottom w:val="single" w:sz="4" w:space="0" w:color="auto"/>
              <w:right w:val="single" w:sz="4" w:space="0" w:color="auto"/>
            </w:tcBorders>
            <w:shd w:val="clear" w:color="auto" w:fill="EBF1DE"/>
            <w:vAlign w:val="center"/>
            <w:hideMark/>
          </w:tcPr>
          <w:p w14:paraId="6D3581D7" w14:textId="72BB901B"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AER definition refers to nonthermal generators. Thermal generators have been taken to be generators using steam turbines. Using this definition, non-thermal </w:t>
            </w:r>
            <w:r w:rsidRPr="00BC3064">
              <w:rPr>
                <w:rFonts w:ascii="Arial" w:hAnsi="Arial" w:cs="Arial"/>
                <w:color w:val="auto"/>
                <w:sz w:val="18"/>
                <w:szCs w:val="18"/>
              </w:rPr>
              <w:lastRenderedPageBreak/>
              <w:t>generators are wind turbines, hydro generators and open cycle gas turbines.</w:t>
            </w:r>
          </w:p>
        </w:tc>
        <w:tc>
          <w:tcPr>
            <w:tcW w:w="685" w:type="pct"/>
            <w:tcBorders>
              <w:top w:val="single" w:sz="4" w:space="0" w:color="auto"/>
              <w:left w:val="nil"/>
              <w:bottom w:val="single" w:sz="4" w:space="0" w:color="auto"/>
              <w:right w:val="single" w:sz="4" w:space="0" w:color="auto"/>
            </w:tcBorders>
            <w:shd w:val="clear" w:color="auto" w:fill="EBF1DE"/>
            <w:vAlign w:val="center"/>
            <w:hideMark/>
          </w:tcPr>
          <w:p w14:paraId="5490ACCD" w14:textId="74B7C68F"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TransGrid's TUOS billing system</w:t>
            </w:r>
          </w:p>
        </w:tc>
        <w:tc>
          <w:tcPr>
            <w:tcW w:w="710" w:type="pct"/>
            <w:tcBorders>
              <w:top w:val="single" w:sz="4" w:space="0" w:color="auto"/>
              <w:left w:val="nil"/>
              <w:bottom w:val="single" w:sz="4" w:space="0" w:color="auto"/>
              <w:right w:val="single" w:sz="4" w:space="0" w:color="auto"/>
            </w:tcBorders>
            <w:shd w:val="clear" w:color="auto" w:fill="EBF1DE"/>
            <w:vAlign w:val="center"/>
            <w:hideMark/>
          </w:tcPr>
          <w:p w14:paraId="4D42229E" w14:textId="1FA027A3" w:rsidR="00BC3064" w:rsidRPr="00D95155" w:rsidRDefault="00BC3064" w:rsidP="00BC3064">
            <w:pPr>
              <w:rPr>
                <w:rFonts w:ascii="Arial" w:hAnsi="Arial" w:cs="Arial"/>
                <w:color w:val="auto"/>
                <w:sz w:val="18"/>
                <w:szCs w:val="18"/>
              </w:rPr>
            </w:pPr>
            <w:r w:rsidRPr="00BC3064">
              <w:rPr>
                <w:rFonts w:ascii="Arial" w:hAnsi="Arial" w:cs="Arial"/>
                <w:color w:val="auto"/>
                <w:sz w:val="18"/>
                <w:szCs w:val="18"/>
              </w:rPr>
              <w:t>Yes</w:t>
            </w:r>
          </w:p>
        </w:tc>
        <w:tc>
          <w:tcPr>
            <w:tcW w:w="922" w:type="pct"/>
            <w:tcBorders>
              <w:top w:val="single" w:sz="4" w:space="0" w:color="auto"/>
              <w:left w:val="nil"/>
              <w:bottom w:val="single" w:sz="4" w:space="0" w:color="auto"/>
              <w:right w:val="single" w:sz="4" w:space="0" w:color="auto"/>
            </w:tcBorders>
            <w:shd w:val="clear" w:color="auto" w:fill="EBF1DE"/>
            <w:vAlign w:val="center"/>
            <w:hideMark/>
          </w:tcPr>
          <w:p w14:paraId="27631AA7"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Uses data calculated for Energy In as part of calculations for TQS03. This is total Energy Input into TransGrid network.</w:t>
            </w:r>
          </w:p>
          <w:p w14:paraId="20023DE7"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Percentage is taken of 'nonthermal' generation to total Energy Input.</w:t>
            </w:r>
          </w:p>
          <w:p w14:paraId="3B69285B" w14:textId="110D9A77" w:rsidR="00BC3064" w:rsidRPr="00D95155" w:rsidRDefault="00BC3064" w:rsidP="00BC3064">
            <w:pPr>
              <w:rPr>
                <w:rFonts w:ascii="Arial" w:hAnsi="Arial" w:cs="Arial"/>
                <w:color w:val="auto"/>
                <w:sz w:val="18"/>
                <w:szCs w:val="18"/>
              </w:rPr>
            </w:pPr>
            <w:r w:rsidRPr="00BC3064">
              <w:rPr>
                <w:rFonts w:ascii="Arial" w:hAnsi="Arial" w:cs="Arial"/>
                <w:color w:val="auto"/>
                <w:sz w:val="18"/>
                <w:szCs w:val="18"/>
              </w:rPr>
              <w:t xml:space="preserve"> </w:t>
            </w:r>
          </w:p>
        </w:tc>
        <w:tc>
          <w:tcPr>
            <w:tcW w:w="1049" w:type="pct"/>
            <w:tcBorders>
              <w:top w:val="single" w:sz="4" w:space="0" w:color="auto"/>
              <w:left w:val="nil"/>
              <w:bottom w:val="single" w:sz="4" w:space="0" w:color="auto"/>
              <w:right w:val="single" w:sz="4" w:space="0" w:color="auto"/>
            </w:tcBorders>
            <w:shd w:val="clear" w:color="auto" w:fill="EBF1DE"/>
            <w:vAlign w:val="center"/>
            <w:hideMark/>
          </w:tcPr>
          <w:p w14:paraId="54DA4061"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 xml:space="preserve">The definition refers to non-thermal generators. Thermal generators have been taken to be generators using steam turbines. Using that definition, the non-thermal generators are wind turbines, hydro </w:t>
            </w:r>
            <w:r w:rsidRPr="00BC3064">
              <w:rPr>
                <w:rFonts w:ascii="Arial" w:hAnsi="Arial" w:cs="Arial"/>
                <w:color w:val="auto"/>
                <w:sz w:val="18"/>
                <w:szCs w:val="18"/>
              </w:rPr>
              <w:lastRenderedPageBreak/>
              <w:t>generators and open cycle gas turbines.</w:t>
            </w:r>
          </w:p>
          <w:p w14:paraId="4C3DF550" w14:textId="53E49E5B" w:rsidR="00BC3064" w:rsidRPr="00D95155"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Energy supplied to TransGrid's network from embedded generators has been included in the calculations.</w:t>
            </w:r>
          </w:p>
        </w:tc>
      </w:tr>
      <w:tr w:rsidR="00BC3064" w:rsidRPr="00B21581" w14:paraId="30755B3E" w14:textId="77777777" w:rsidTr="00525AE5">
        <w:trPr>
          <w:trHeight w:val="960"/>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01631E5E" w14:textId="213A213B" w:rsidR="00BC3064" w:rsidRPr="00DD00B7" w:rsidRDefault="00BC3064" w:rsidP="00BC3064">
            <w:pPr>
              <w:spacing w:line="360" w:lineRule="auto"/>
              <w:rPr>
                <w:rFonts w:ascii="Arial" w:hAnsi="Arial" w:cs="Arial"/>
                <w:color w:val="auto"/>
                <w:sz w:val="18"/>
                <w:szCs w:val="18"/>
              </w:rPr>
            </w:pPr>
            <w:r w:rsidRPr="00FD1477">
              <w:rPr>
                <w:rFonts w:ascii="Arial" w:hAnsi="Arial" w:cs="Arial"/>
                <w:color w:val="auto"/>
                <w:sz w:val="18"/>
                <w:szCs w:val="18"/>
              </w:rPr>
              <w:lastRenderedPageBreak/>
              <w:t>TEF0203 Concentrated load distance</w:t>
            </w:r>
          </w:p>
        </w:tc>
        <w:tc>
          <w:tcPr>
            <w:tcW w:w="735" w:type="pct"/>
            <w:tcBorders>
              <w:top w:val="single" w:sz="4" w:space="0" w:color="auto"/>
              <w:left w:val="nil"/>
              <w:bottom w:val="single" w:sz="4" w:space="0" w:color="auto"/>
              <w:right w:val="single" w:sz="4" w:space="0" w:color="auto"/>
            </w:tcBorders>
            <w:shd w:val="clear" w:color="auto" w:fill="EBF1DE"/>
            <w:vAlign w:val="center"/>
          </w:tcPr>
          <w:p w14:paraId="0541EC47"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AER definition refers to individual nodes with 30% capacity of generation/load.</w:t>
            </w:r>
          </w:p>
          <w:p w14:paraId="4D120927"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For a transmission network the size of TransGrid's, it would not be prudent to configure the network such that there is 30% or more of generation/load at risk for a major event at a single location.</w:t>
            </w:r>
          </w:p>
          <w:p w14:paraId="5290AD27" w14:textId="47F60132" w:rsidR="00BC3064" w:rsidRPr="00241B71"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To satisfy criteria of 30% or more generation/load, </w:t>
            </w:r>
            <w:r w:rsidRPr="00BC3064">
              <w:rPr>
                <w:rFonts w:ascii="Arial" w:hAnsi="Arial" w:cs="Arial"/>
                <w:color w:val="auto"/>
                <w:sz w:val="18"/>
                <w:szCs w:val="18"/>
              </w:rPr>
              <w:lastRenderedPageBreak/>
              <w:t>groups of nodes are considered, allowing a concentrated load distance to be derived.</w:t>
            </w:r>
          </w:p>
        </w:tc>
        <w:tc>
          <w:tcPr>
            <w:tcW w:w="685" w:type="pct"/>
            <w:tcBorders>
              <w:top w:val="single" w:sz="4" w:space="0" w:color="auto"/>
              <w:left w:val="nil"/>
              <w:bottom w:val="single" w:sz="4" w:space="0" w:color="auto"/>
              <w:right w:val="single" w:sz="4" w:space="0" w:color="auto"/>
            </w:tcBorders>
            <w:shd w:val="clear" w:color="auto" w:fill="EBF1DE"/>
            <w:vAlign w:val="center"/>
          </w:tcPr>
          <w:p w14:paraId="134F8312" w14:textId="57363893" w:rsidR="00BC3064" w:rsidRPr="00A3567D"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Data from that used to calculate TEF0201</w:t>
            </w:r>
          </w:p>
        </w:tc>
        <w:tc>
          <w:tcPr>
            <w:tcW w:w="710" w:type="pct"/>
            <w:tcBorders>
              <w:top w:val="single" w:sz="4" w:space="0" w:color="auto"/>
              <w:left w:val="nil"/>
              <w:bottom w:val="single" w:sz="4" w:space="0" w:color="auto"/>
              <w:right w:val="single" w:sz="4" w:space="0" w:color="auto"/>
            </w:tcBorders>
            <w:shd w:val="clear" w:color="auto" w:fill="EBF1DE"/>
            <w:vAlign w:val="center"/>
          </w:tcPr>
          <w:p w14:paraId="6C63F692" w14:textId="6D372F83" w:rsidR="00BC3064" w:rsidRDefault="00BC3064" w:rsidP="00BC3064">
            <w:pPr>
              <w:rPr>
                <w:rFonts w:ascii="Arial" w:hAnsi="Arial" w:cs="Arial"/>
                <w:color w:val="auto"/>
                <w:sz w:val="18"/>
                <w:szCs w:val="18"/>
              </w:rPr>
            </w:pPr>
            <w:r w:rsidRPr="00BC3064">
              <w:rPr>
                <w:rFonts w:ascii="Arial" w:hAnsi="Arial" w:cs="Arial"/>
                <w:color w:val="auto"/>
                <w:sz w:val="18"/>
                <w:szCs w:val="18"/>
              </w:rPr>
              <w:t>Yes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A99DC98"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The definition of this parameter mentions nodes which have at least 30% of generation capacity or load connected to them. For a transmission network transporting the magnitude of load that TransGrid's network does, it would not be prudent to configure it in a way which places 30% or more of generation or load at risk for a major event at a single location. Consequently, no individual nodes within TransGrid's network meet the criteria.</w:t>
            </w:r>
          </w:p>
          <w:p w14:paraId="51F71F3F" w14:textId="63DBD9D6" w:rsidR="00BC3064" w:rsidRPr="00A3567D"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However, if groups of nodes in relatively close geographical proximity are considered, rather than single nodes, it is possible to derive a concentrated load distance. In this case the most widely separated groups of nodes are those in the southern/south western part of the state (including generation connected at Gullen Range, Capital, Uranquinty Murray, Upper Tumut &amp; Lower Tumut including new solar and wind generators in this region which have recently been energised) and in the Sydney basin (loads connected at Beaconsfield West, Haymarket, Holroyd, Ingleburn, Liverpool, Macarthur, Regentville, Rookwood Road, Sydney East, Sydney North, Sydney South, Sydney West and Vineyard).</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40731CF8"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lastRenderedPageBreak/>
              <w:t xml:space="preserve">Groups of nodes in close geographical location </w:t>
            </w:r>
            <w:proofErr w:type="gramStart"/>
            <w:r w:rsidRPr="00BC3064">
              <w:rPr>
                <w:rFonts w:ascii="Arial" w:hAnsi="Arial" w:cs="Arial"/>
                <w:color w:val="auto"/>
                <w:sz w:val="18"/>
                <w:szCs w:val="18"/>
              </w:rPr>
              <w:t>are considered to be</w:t>
            </w:r>
            <w:proofErr w:type="gramEnd"/>
            <w:r w:rsidRPr="00BC3064">
              <w:rPr>
                <w:rFonts w:ascii="Arial" w:hAnsi="Arial" w:cs="Arial"/>
                <w:color w:val="auto"/>
                <w:sz w:val="18"/>
                <w:szCs w:val="18"/>
              </w:rPr>
              <w:t xml:space="preserve"> 30% of generation or load. The most widely separated groups are those in the Snowy Mountains/ South/</w:t>
            </w:r>
            <w:proofErr w:type="gramStart"/>
            <w:r w:rsidRPr="00BC3064">
              <w:rPr>
                <w:rFonts w:ascii="Arial" w:hAnsi="Arial" w:cs="Arial"/>
                <w:color w:val="auto"/>
                <w:sz w:val="18"/>
                <w:szCs w:val="18"/>
              </w:rPr>
              <w:t>South West</w:t>
            </w:r>
            <w:proofErr w:type="gramEnd"/>
            <w:r w:rsidRPr="00BC3064">
              <w:rPr>
                <w:rFonts w:ascii="Arial" w:hAnsi="Arial" w:cs="Arial"/>
                <w:color w:val="auto"/>
                <w:sz w:val="18"/>
                <w:szCs w:val="18"/>
              </w:rPr>
              <w:t xml:space="preserve"> area and in the Sydney basin.</w:t>
            </w:r>
          </w:p>
          <w:p w14:paraId="1B2B3D59"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The average of the route line lengths between the closest nodes in the two areas and the two nodes furthest apart.</w:t>
            </w:r>
          </w:p>
          <w:p w14:paraId="1076966C" w14:textId="64DD3E58" w:rsidR="00BC3064" w:rsidRPr="00A3567D"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 xml:space="preserve"> </w:t>
            </w:r>
          </w:p>
        </w:tc>
      </w:tr>
      <w:tr w:rsidR="00BC3064" w:rsidRPr="00B21581" w14:paraId="10AFE844" w14:textId="77777777" w:rsidTr="00525AE5">
        <w:trPr>
          <w:trHeight w:val="960"/>
        </w:trPr>
        <w:tc>
          <w:tcPr>
            <w:tcW w:w="900" w:type="pct"/>
            <w:tcBorders>
              <w:top w:val="single" w:sz="4" w:space="0" w:color="auto"/>
              <w:left w:val="single" w:sz="4" w:space="0" w:color="auto"/>
              <w:bottom w:val="single" w:sz="4" w:space="0" w:color="auto"/>
              <w:right w:val="single" w:sz="4" w:space="0" w:color="auto"/>
            </w:tcBorders>
            <w:shd w:val="clear" w:color="auto" w:fill="EBF1DE"/>
            <w:vAlign w:val="center"/>
          </w:tcPr>
          <w:p w14:paraId="3A747577" w14:textId="476E41E8" w:rsidR="00BC3064" w:rsidRPr="00FD1477" w:rsidRDefault="00BC3064" w:rsidP="00BC3064">
            <w:pPr>
              <w:spacing w:line="360" w:lineRule="auto"/>
              <w:rPr>
                <w:rFonts w:ascii="Arial" w:hAnsi="Arial" w:cs="Arial"/>
                <w:color w:val="auto"/>
                <w:sz w:val="18"/>
                <w:szCs w:val="18"/>
              </w:rPr>
            </w:pPr>
            <w:r w:rsidRPr="00FD1477">
              <w:rPr>
                <w:rFonts w:ascii="Arial" w:hAnsi="Arial" w:cs="Arial"/>
                <w:color w:val="auto"/>
                <w:sz w:val="18"/>
                <w:szCs w:val="18"/>
              </w:rPr>
              <w:lastRenderedPageBreak/>
              <w:t>TEF0204 Total number of spans</w:t>
            </w:r>
          </w:p>
        </w:tc>
        <w:tc>
          <w:tcPr>
            <w:tcW w:w="735" w:type="pct"/>
            <w:tcBorders>
              <w:top w:val="single" w:sz="4" w:space="0" w:color="auto"/>
              <w:left w:val="nil"/>
              <w:bottom w:val="single" w:sz="4" w:space="0" w:color="auto"/>
              <w:right w:val="single" w:sz="4" w:space="0" w:color="auto"/>
            </w:tcBorders>
            <w:shd w:val="clear" w:color="auto" w:fill="EBF1DE"/>
            <w:vAlign w:val="center"/>
          </w:tcPr>
          <w:p w14:paraId="20CB2462" w14:textId="7E737C7D" w:rsidR="00BC3064" w:rsidRPr="00241B71"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The total number of spans on the network</w:t>
            </w:r>
          </w:p>
        </w:tc>
        <w:tc>
          <w:tcPr>
            <w:tcW w:w="685" w:type="pct"/>
            <w:tcBorders>
              <w:top w:val="single" w:sz="4" w:space="0" w:color="auto"/>
              <w:left w:val="nil"/>
              <w:bottom w:val="single" w:sz="4" w:space="0" w:color="auto"/>
              <w:right w:val="single" w:sz="4" w:space="0" w:color="auto"/>
            </w:tcBorders>
            <w:shd w:val="clear" w:color="auto" w:fill="EBF1DE"/>
            <w:vAlign w:val="center"/>
          </w:tcPr>
          <w:p w14:paraId="2C3F8863" w14:textId="374D0A52" w:rsidR="00BC3064" w:rsidRPr="00A3567D" w:rsidRDefault="00BC3064" w:rsidP="00BC3064">
            <w:pPr>
              <w:spacing w:line="360" w:lineRule="auto"/>
              <w:rPr>
                <w:rFonts w:ascii="Arial" w:hAnsi="Arial" w:cs="Arial"/>
                <w:color w:val="auto"/>
                <w:sz w:val="18"/>
                <w:szCs w:val="18"/>
              </w:rPr>
            </w:pPr>
            <w:proofErr w:type="spellStart"/>
            <w:r w:rsidRPr="00BC3064">
              <w:rPr>
                <w:rFonts w:ascii="Arial" w:hAnsi="Arial" w:cs="Arial"/>
                <w:color w:val="auto"/>
                <w:sz w:val="18"/>
                <w:szCs w:val="18"/>
              </w:rPr>
              <w:t>PowerBI</w:t>
            </w:r>
            <w:proofErr w:type="spellEnd"/>
            <w:r w:rsidRPr="00BC3064">
              <w:rPr>
                <w:rFonts w:ascii="Arial" w:hAnsi="Arial" w:cs="Arial"/>
                <w:color w:val="auto"/>
                <w:sz w:val="18"/>
                <w:szCs w:val="18"/>
              </w:rPr>
              <w:t xml:space="preserve"> Report.</w:t>
            </w:r>
          </w:p>
        </w:tc>
        <w:tc>
          <w:tcPr>
            <w:tcW w:w="710" w:type="pct"/>
            <w:tcBorders>
              <w:top w:val="single" w:sz="4" w:space="0" w:color="auto"/>
              <w:left w:val="nil"/>
              <w:bottom w:val="single" w:sz="4" w:space="0" w:color="auto"/>
              <w:right w:val="single" w:sz="4" w:space="0" w:color="auto"/>
            </w:tcBorders>
            <w:shd w:val="clear" w:color="auto" w:fill="EBF1DE"/>
            <w:vAlign w:val="center"/>
          </w:tcPr>
          <w:p w14:paraId="1C600E11" w14:textId="7162D721" w:rsidR="00BC3064" w:rsidRPr="00A3567D" w:rsidRDefault="00BC3064" w:rsidP="00BC3064">
            <w:pPr>
              <w:rPr>
                <w:rFonts w:ascii="Arial" w:hAnsi="Arial" w:cs="Arial"/>
                <w:color w:val="auto"/>
                <w:sz w:val="18"/>
                <w:szCs w:val="18"/>
              </w:rPr>
            </w:pPr>
            <w:r w:rsidRPr="00BC3064">
              <w:rPr>
                <w:rFonts w:ascii="Arial" w:hAnsi="Arial" w:cs="Arial"/>
                <w:color w:val="auto"/>
                <w:sz w:val="18"/>
                <w:szCs w:val="18"/>
              </w:rPr>
              <w:t>No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2D802C2" w14:textId="77777777" w:rsidR="00BC3064" w:rsidRPr="00BC3064"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A total count of all spans used to calculate route line length</w:t>
            </w:r>
          </w:p>
          <w:p w14:paraId="2C085C52" w14:textId="4C39A81D" w:rsidR="00BC3064" w:rsidRPr="00A3567D"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Non-prescribed spans have been excluded.</w:t>
            </w:r>
          </w:p>
        </w:tc>
        <w:tc>
          <w:tcPr>
            <w:tcW w:w="1049" w:type="pct"/>
            <w:tcBorders>
              <w:top w:val="single" w:sz="4" w:space="0" w:color="auto"/>
              <w:left w:val="nil"/>
              <w:bottom w:val="single" w:sz="4" w:space="0" w:color="auto"/>
              <w:right w:val="single" w:sz="4" w:space="0" w:color="auto"/>
            </w:tcBorders>
            <w:shd w:val="clear" w:color="auto" w:fill="EBF1DE"/>
            <w:vAlign w:val="center"/>
          </w:tcPr>
          <w:p w14:paraId="57CA8DD4" w14:textId="09145BB4" w:rsidR="00BC3064" w:rsidRPr="00A3567D" w:rsidRDefault="00BC3064" w:rsidP="00BC3064">
            <w:pPr>
              <w:spacing w:line="360" w:lineRule="auto"/>
              <w:rPr>
                <w:rFonts w:ascii="Arial" w:hAnsi="Arial" w:cs="Arial"/>
                <w:color w:val="auto"/>
                <w:sz w:val="18"/>
                <w:szCs w:val="18"/>
              </w:rPr>
            </w:pPr>
            <w:r w:rsidRPr="00BC3064">
              <w:rPr>
                <w:rFonts w:ascii="Arial" w:hAnsi="Arial" w:cs="Arial"/>
                <w:color w:val="auto"/>
                <w:sz w:val="18"/>
                <w:szCs w:val="18"/>
              </w:rPr>
              <w:t>N/A</w:t>
            </w:r>
          </w:p>
        </w:tc>
      </w:tr>
    </w:tbl>
    <w:p w14:paraId="5783E6DD" w14:textId="77777777" w:rsidR="0096322A" w:rsidRDefault="0096322A" w:rsidP="00D30A58"/>
    <w:sectPr w:rsidR="0096322A" w:rsidSect="00A5058B">
      <w:pgSz w:w="16838" w:h="11906" w:orient="landscape"/>
      <w:pgMar w:top="964" w:right="1985"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B0E7" w14:textId="77777777" w:rsidR="008B7F2D" w:rsidRDefault="008B7F2D" w:rsidP="005C306E">
      <w:pPr>
        <w:spacing w:before="0" w:after="0" w:line="240" w:lineRule="auto"/>
      </w:pPr>
      <w:r>
        <w:separator/>
      </w:r>
    </w:p>
  </w:endnote>
  <w:endnote w:type="continuationSeparator" w:id="0">
    <w:p w14:paraId="73075EB9" w14:textId="77777777" w:rsidR="008B7F2D" w:rsidRDefault="008B7F2D" w:rsidP="005C3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4099F" w14:textId="77777777" w:rsidR="008B7F2D" w:rsidRDefault="008B7F2D" w:rsidP="005C306E">
      <w:pPr>
        <w:spacing w:before="0" w:after="0" w:line="240" w:lineRule="auto"/>
      </w:pPr>
      <w:r>
        <w:separator/>
      </w:r>
    </w:p>
  </w:footnote>
  <w:footnote w:type="continuationSeparator" w:id="0">
    <w:p w14:paraId="7CF75E9E" w14:textId="77777777" w:rsidR="008B7F2D" w:rsidRDefault="008B7F2D" w:rsidP="005C306E">
      <w:pPr>
        <w:spacing w:before="0" w:after="0" w:line="240" w:lineRule="auto"/>
      </w:pPr>
      <w:r>
        <w:continuationSeparator/>
      </w:r>
    </w:p>
  </w:footnote>
  <w:footnote w:id="1">
    <w:p w14:paraId="0BB66EDF" w14:textId="77777777" w:rsidR="002F0CF1" w:rsidRDefault="002F0CF1" w:rsidP="002F0CF1">
      <w:pPr>
        <w:rPr>
          <w:rFonts w:cs="Arial"/>
        </w:rPr>
      </w:pPr>
      <w:r>
        <w:rPr>
          <w:rStyle w:val="FootnoteReference"/>
        </w:rPr>
        <w:footnoteRef/>
      </w:r>
      <w:r>
        <w:t xml:space="preserve"> ‘</w:t>
      </w:r>
      <w:r>
        <w:rPr>
          <w:sz w:val="16"/>
          <w:szCs w:val="16"/>
        </w:rPr>
        <w:t xml:space="preserve">Information presented in response to the Notice whose presentation is not Materially dependent on information recorded in the NSP's historical accounting records or other records used in the normal course of business, and whose presentation for the purposes of the Notice is contingent on judgments and assumptions for which there are valid alternatives, which could lead to a Materially different presentation in the response to the Notice.’, </w:t>
      </w:r>
      <w:r>
        <w:rPr>
          <w:b/>
          <w:sz w:val="16"/>
          <w:szCs w:val="16"/>
        </w:rPr>
        <w:t>page 34, ”Economic benchmarking RIN For transmission network service providers, Instructions and Definitions”.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96F"/>
    <w:multiLevelType w:val="multilevel"/>
    <w:tmpl w:val="C3A04E58"/>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36A780B"/>
    <w:multiLevelType w:val="multilevel"/>
    <w:tmpl w:val="3E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279C9"/>
    <w:multiLevelType w:val="multilevel"/>
    <w:tmpl w:val="AB1E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8486B"/>
    <w:multiLevelType w:val="multilevel"/>
    <w:tmpl w:val="557CE42A"/>
    <w:styleLink w:val="AlphaLists"/>
    <w:lvl w:ilvl="0">
      <w:start w:val="1"/>
      <w:numFmt w:val="lowerLetter"/>
      <w:pStyle w:val="AlphaList"/>
      <w:lvlText w:val="(%1)"/>
      <w:lvlJc w:val="left"/>
      <w:pPr>
        <w:ind w:left="360" w:hanging="360"/>
      </w:pPr>
      <w:rPr>
        <w:rFonts w:hint="default"/>
      </w:rPr>
    </w:lvl>
    <w:lvl w:ilvl="1">
      <w:start w:val="1"/>
      <w:numFmt w:val="lowerRoman"/>
      <w:pStyle w:val="AlphaList2"/>
      <w:lvlText w:val="(%2)"/>
      <w:lvlJc w:val="left"/>
      <w:pPr>
        <w:ind w:left="720" w:hanging="360"/>
      </w:pPr>
      <w:rPr>
        <w:rFonts w:hint="default"/>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94408A2"/>
    <w:multiLevelType w:val="hybridMultilevel"/>
    <w:tmpl w:val="E292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CC9084C"/>
    <w:multiLevelType w:val="hybridMultilevel"/>
    <w:tmpl w:val="E02E026A"/>
    <w:lvl w:ilvl="0" w:tplc="2C7CF4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E73F1"/>
    <w:multiLevelType w:val="hybridMultilevel"/>
    <w:tmpl w:val="8066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A5733"/>
    <w:multiLevelType w:val="multilevel"/>
    <w:tmpl w:val="0CA8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1B22B15"/>
    <w:multiLevelType w:val="hybridMultilevel"/>
    <w:tmpl w:val="21725E4A"/>
    <w:lvl w:ilvl="0" w:tplc="061A5FD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8402741"/>
    <w:multiLevelType w:val="hybridMultilevel"/>
    <w:tmpl w:val="076654B6"/>
    <w:lvl w:ilvl="0" w:tplc="3D10E0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A41282"/>
    <w:multiLevelType w:val="multilevel"/>
    <w:tmpl w:val="07FE127E"/>
    <w:styleLink w:val="BulletList"/>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Arial" w:hAnsi="Arial" w:hint="default"/>
      </w:rPr>
    </w:lvl>
    <w:lvl w:ilvl="2">
      <w:start w:val="1"/>
      <w:numFmt w:val="bullet"/>
      <w:pStyle w:val="ListBullet3"/>
      <w:lvlText w:val="&gt;"/>
      <w:lvlJc w:val="left"/>
      <w:pPr>
        <w:tabs>
          <w:tab w:val="num" w:pos="720"/>
        </w:tabs>
        <w:ind w:left="1077" w:hanging="357"/>
      </w:pPr>
      <w:rPr>
        <w:rFonts w:ascii="Arial" w:hAnsi="Arial" w:hint="default"/>
      </w:rPr>
    </w:lvl>
    <w:lvl w:ilvl="3">
      <w:start w:val="1"/>
      <w:numFmt w:val="bullet"/>
      <w:pStyle w:val="ListBullet4"/>
      <w:lvlText w:val="○"/>
      <w:lvlJc w:val="left"/>
      <w:pPr>
        <w:tabs>
          <w:tab w:val="num" w:pos="1440"/>
        </w:tabs>
        <w:ind w:left="1440" w:hanging="363"/>
      </w:pPr>
      <w:rPr>
        <w:rFonts w:ascii="Arial" w:hAnsi="Arial" w:hint="default"/>
      </w:rPr>
    </w:lvl>
    <w:lvl w:ilvl="4">
      <w:start w:val="1"/>
      <w:numFmt w:val="bullet"/>
      <w:pStyle w:val="ListBullet5"/>
      <w:lvlText w:val="-"/>
      <w:lvlJc w:val="left"/>
      <w:pPr>
        <w:tabs>
          <w:tab w:val="num" w:pos="1797"/>
        </w:tabs>
        <w:ind w:left="1797" w:hanging="357"/>
      </w:pPr>
      <w:rPr>
        <w:rFonts w:ascii="Arial" w:hAnsi="Arial" w:hint="default"/>
      </w:rPr>
    </w:lvl>
    <w:lvl w:ilvl="5">
      <w:start w:val="1"/>
      <w:numFmt w:val="bullet"/>
      <w:pStyle w:val="TableBullet1"/>
      <w:lvlText w:val=""/>
      <w:lvlJc w:val="left"/>
      <w:pPr>
        <w:tabs>
          <w:tab w:val="num" w:pos="284"/>
        </w:tabs>
        <w:ind w:left="284" w:hanging="284"/>
      </w:pPr>
      <w:rPr>
        <w:rFonts w:ascii="Symbol" w:hAnsi="Symbol" w:hint="default"/>
      </w:rPr>
    </w:lvl>
    <w:lvl w:ilvl="6">
      <w:start w:val="1"/>
      <w:numFmt w:val="bullet"/>
      <w:pStyle w:val="TableBullet2"/>
      <w:lvlText w:val="-"/>
      <w:lvlJc w:val="left"/>
      <w:pPr>
        <w:tabs>
          <w:tab w:val="num" w:pos="567"/>
        </w:tabs>
        <w:ind w:left="567" w:hanging="283"/>
      </w:pPr>
      <w:rPr>
        <w:rFonts w:ascii="Arial" w:hAnsi="Arial" w:hint="default"/>
      </w:rPr>
    </w:lvl>
    <w:lvl w:ilvl="7">
      <w:start w:val="1"/>
      <w:numFmt w:val="bullet"/>
      <w:pStyle w:val="TableBullet3"/>
      <w:lvlText w:val="&gt;"/>
      <w:lvlJc w:val="left"/>
      <w:pPr>
        <w:tabs>
          <w:tab w:val="num" w:pos="851"/>
        </w:tabs>
        <w:ind w:left="851" w:hanging="284"/>
      </w:pPr>
      <w:rPr>
        <w:rFonts w:ascii="Arial" w:hAnsi="Arial" w:hint="default"/>
      </w:rPr>
    </w:lvl>
    <w:lvl w:ilvl="8">
      <w:start w:val="1"/>
      <w:numFmt w:val="none"/>
      <w:suff w:val="nothing"/>
      <w:lvlText w:val=""/>
      <w:lvlJc w:val="left"/>
      <w:pPr>
        <w:ind w:left="0" w:firstLine="0"/>
      </w:pPr>
      <w:rPr>
        <w:rFonts w:hint="default"/>
      </w:rPr>
    </w:lvl>
  </w:abstractNum>
  <w:abstractNum w:abstractNumId="14" w15:restartNumberingAfterBreak="0">
    <w:nsid w:val="448C74CE"/>
    <w:multiLevelType w:val="hybridMultilevel"/>
    <w:tmpl w:val="C2FC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5B463FB"/>
    <w:multiLevelType w:val="multilevel"/>
    <w:tmpl w:val="9A6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23CFF"/>
    <w:multiLevelType w:val="hybridMultilevel"/>
    <w:tmpl w:val="73064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1586C"/>
    <w:multiLevelType w:val="hybridMultilevel"/>
    <w:tmpl w:val="E2EC0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E30755"/>
    <w:multiLevelType w:val="hybridMultilevel"/>
    <w:tmpl w:val="CFF6B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B97740"/>
    <w:multiLevelType w:val="hybridMultilevel"/>
    <w:tmpl w:val="6700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0"/>
  </w:num>
  <w:num w:numId="4">
    <w:abstractNumId w:val="6"/>
  </w:num>
  <w:num w:numId="5">
    <w:abstractNumId w:val="15"/>
  </w:num>
  <w:num w:numId="6">
    <w:abstractNumId w:val="4"/>
  </w:num>
  <w:num w:numId="7">
    <w:abstractNumId w:val="19"/>
  </w:num>
  <w:num w:numId="8">
    <w:abstractNumId w:val="12"/>
  </w:num>
  <w:num w:numId="9">
    <w:abstractNumId w:val="11"/>
  </w:num>
  <w:num w:numId="10">
    <w:abstractNumId w:val="18"/>
  </w:num>
  <w:num w:numId="11">
    <w:abstractNumId w:val="7"/>
  </w:num>
  <w:num w:numId="12">
    <w:abstractNumId w:val="0"/>
  </w:num>
  <w:num w:numId="13">
    <w:abstractNumId w:val="8"/>
  </w:num>
  <w:num w:numId="14">
    <w:abstractNumId w:val="20"/>
  </w:num>
  <w:num w:numId="15">
    <w:abstractNumId w:val="9"/>
  </w:num>
  <w:num w:numId="16">
    <w:abstractNumId w:val="16"/>
  </w:num>
  <w:num w:numId="17">
    <w:abstractNumId w:val="17"/>
  </w:num>
  <w:num w:numId="18">
    <w:abstractNumId w:val="2"/>
  </w:num>
  <w:num w:numId="19">
    <w:abstractNumId w:val="3"/>
  </w:num>
  <w:num w:numId="20">
    <w:abstractNumId w:val="14"/>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22A"/>
    <w:rsid w:val="000010E8"/>
    <w:rsid w:val="000040F6"/>
    <w:rsid w:val="00005E46"/>
    <w:rsid w:val="000120C6"/>
    <w:rsid w:val="00025AAE"/>
    <w:rsid w:val="00073FBF"/>
    <w:rsid w:val="00077789"/>
    <w:rsid w:val="00090147"/>
    <w:rsid w:val="000A5456"/>
    <w:rsid w:val="000C126B"/>
    <w:rsid w:val="000C5E9D"/>
    <w:rsid w:val="000D1335"/>
    <w:rsid w:val="000E5BD7"/>
    <w:rsid w:val="0010435C"/>
    <w:rsid w:val="00136220"/>
    <w:rsid w:val="00157FDA"/>
    <w:rsid w:val="00166496"/>
    <w:rsid w:val="0017152C"/>
    <w:rsid w:val="00175F26"/>
    <w:rsid w:val="00184FEB"/>
    <w:rsid w:val="0019343C"/>
    <w:rsid w:val="00194217"/>
    <w:rsid w:val="001A31B7"/>
    <w:rsid w:val="001A5C71"/>
    <w:rsid w:val="001A5DBD"/>
    <w:rsid w:val="001A7943"/>
    <w:rsid w:val="001E74C9"/>
    <w:rsid w:val="001F2B28"/>
    <w:rsid w:val="001F67F4"/>
    <w:rsid w:val="00215545"/>
    <w:rsid w:val="00231516"/>
    <w:rsid w:val="00253F78"/>
    <w:rsid w:val="00265F1C"/>
    <w:rsid w:val="00267190"/>
    <w:rsid w:val="002705D6"/>
    <w:rsid w:val="002904B0"/>
    <w:rsid w:val="0029347C"/>
    <w:rsid w:val="00293546"/>
    <w:rsid w:val="00296B5B"/>
    <w:rsid w:val="002B7B47"/>
    <w:rsid w:val="002B7ECE"/>
    <w:rsid w:val="002C5F22"/>
    <w:rsid w:val="002D3BAC"/>
    <w:rsid w:val="002D7DF6"/>
    <w:rsid w:val="002E2F21"/>
    <w:rsid w:val="002F0CF1"/>
    <w:rsid w:val="002F210C"/>
    <w:rsid w:val="002F4F0D"/>
    <w:rsid w:val="0031324F"/>
    <w:rsid w:val="00320829"/>
    <w:rsid w:val="00335064"/>
    <w:rsid w:val="0036769B"/>
    <w:rsid w:val="00371B2F"/>
    <w:rsid w:val="003A573B"/>
    <w:rsid w:val="003A7071"/>
    <w:rsid w:val="003B5358"/>
    <w:rsid w:val="003C06C4"/>
    <w:rsid w:val="003C46F5"/>
    <w:rsid w:val="003C535D"/>
    <w:rsid w:val="003C6217"/>
    <w:rsid w:val="003E0F92"/>
    <w:rsid w:val="003E29AA"/>
    <w:rsid w:val="003F06CD"/>
    <w:rsid w:val="004064D3"/>
    <w:rsid w:val="00407889"/>
    <w:rsid w:val="004227AF"/>
    <w:rsid w:val="004306CF"/>
    <w:rsid w:val="0044746A"/>
    <w:rsid w:val="00452611"/>
    <w:rsid w:val="004655AD"/>
    <w:rsid w:val="0049119E"/>
    <w:rsid w:val="00493791"/>
    <w:rsid w:val="004B70BA"/>
    <w:rsid w:val="004D1559"/>
    <w:rsid w:val="004D1AC6"/>
    <w:rsid w:val="004D4F13"/>
    <w:rsid w:val="004E30D1"/>
    <w:rsid w:val="004E36C6"/>
    <w:rsid w:val="004F52CC"/>
    <w:rsid w:val="005120EA"/>
    <w:rsid w:val="00512BCB"/>
    <w:rsid w:val="005209F0"/>
    <w:rsid w:val="00521011"/>
    <w:rsid w:val="00525AE5"/>
    <w:rsid w:val="005267EA"/>
    <w:rsid w:val="00533113"/>
    <w:rsid w:val="00547AD5"/>
    <w:rsid w:val="0055739B"/>
    <w:rsid w:val="00566A5F"/>
    <w:rsid w:val="005701FB"/>
    <w:rsid w:val="005761C3"/>
    <w:rsid w:val="005767E8"/>
    <w:rsid w:val="00595A34"/>
    <w:rsid w:val="005C306E"/>
    <w:rsid w:val="005C577F"/>
    <w:rsid w:val="0060365A"/>
    <w:rsid w:val="00611904"/>
    <w:rsid w:val="00613E04"/>
    <w:rsid w:val="00627461"/>
    <w:rsid w:val="00631935"/>
    <w:rsid w:val="006324C3"/>
    <w:rsid w:val="006375E8"/>
    <w:rsid w:val="006450E7"/>
    <w:rsid w:val="006938F9"/>
    <w:rsid w:val="00693990"/>
    <w:rsid w:val="006B2CD7"/>
    <w:rsid w:val="006B7875"/>
    <w:rsid w:val="006C0183"/>
    <w:rsid w:val="006C6FBA"/>
    <w:rsid w:val="006E1979"/>
    <w:rsid w:val="006F79D1"/>
    <w:rsid w:val="007329DD"/>
    <w:rsid w:val="007427D6"/>
    <w:rsid w:val="007644E3"/>
    <w:rsid w:val="007713F8"/>
    <w:rsid w:val="007803CE"/>
    <w:rsid w:val="00787EF5"/>
    <w:rsid w:val="007D0835"/>
    <w:rsid w:val="007D2685"/>
    <w:rsid w:val="008051E2"/>
    <w:rsid w:val="00806573"/>
    <w:rsid w:val="00862BCD"/>
    <w:rsid w:val="008670D7"/>
    <w:rsid w:val="008715C0"/>
    <w:rsid w:val="00871D7B"/>
    <w:rsid w:val="00882576"/>
    <w:rsid w:val="00883C6C"/>
    <w:rsid w:val="008A1E72"/>
    <w:rsid w:val="008B2ADB"/>
    <w:rsid w:val="008B7F2D"/>
    <w:rsid w:val="008C4F3C"/>
    <w:rsid w:val="008E77DF"/>
    <w:rsid w:val="00900136"/>
    <w:rsid w:val="00910B23"/>
    <w:rsid w:val="009212C4"/>
    <w:rsid w:val="00960ECB"/>
    <w:rsid w:val="0096322A"/>
    <w:rsid w:val="009748FB"/>
    <w:rsid w:val="00983A41"/>
    <w:rsid w:val="0098669A"/>
    <w:rsid w:val="00990E11"/>
    <w:rsid w:val="00995676"/>
    <w:rsid w:val="00A07D07"/>
    <w:rsid w:val="00A14E52"/>
    <w:rsid w:val="00A3015A"/>
    <w:rsid w:val="00A37890"/>
    <w:rsid w:val="00A5058B"/>
    <w:rsid w:val="00A8129D"/>
    <w:rsid w:val="00A87A9F"/>
    <w:rsid w:val="00AC2AFE"/>
    <w:rsid w:val="00AC50FD"/>
    <w:rsid w:val="00AC599B"/>
    <w:rsid w:val="00AD1A62"/>
    <w:rsid w:val="00AD4BDF"/>
    <w:rsid w:val="00AE0EDE"/>
    <w:rsid w:val="00AE5451"/>
    <w:rsid w:val="00AE7F35"/>
    <w:rsid w:val="00AF7EAA"/>
    <w:rsid w:val="00B150D7"/>
    <w:rsid w:val="00B22193"/>
    <w:rsid w:val="00B34F02"/>
    <w:rsid w:val="00B41C80"/>
    <w:rsid w:val="00B51AA8"/>
    <w:rsid w:val="00B51F9B"/>
    <w:rsid w:val="00B668D3"/>
    <w:rsid w:val="00B76801"/>
    <w:rsid w:val="00B87C98"/>
    <w:rsid w:val="00BB038E"/>
    <w:rsid w:val="00BB2733"/>
    <w:rsid w:val="00BB400C"/>
    <w:rsid w:val="00BB50BA"/>
    <w:rsid w:val="00BC0AF6"/>
    <w:rsid w:val="00BC3064"/>
    <w:rsid w:val="00BE467B"/>
    <w:rsid w:val="00BE750F"/>
    <w:rsid w:val="00BF4202"/>
    <w:rsid w:val="00C0212B"/>
    <w:rsid w:val="00C051E7"/>
    <w:rsid w:val="00C06216"/>
    <w:rsid w:val="00C212D9"/>
    <w:rsid w:val="00C25C60"/>
    <w:rsid w:val="00C25CE7"/>
    <w:rsid w:val="00C31DFE"/>
    <w:rsid w:val="00C50586"/>
    <w:rsid w:val="00C506E0"/>
    <w:rsid w:val="00C50D67"/>
    <w:rsid w:val="00C64876"/>
    <w:rsid w:val="00C7043D"/>
    <w:rsid w:val="00C742C7"/>
    <w:rsid w:val="00C80A9F"/>
    <w:rsid w:val="00CA2A01"/>
    <w:rsid w:val="00CB27DF"/>
    <w:rsid w:val="00CB556B"/>
    <w:rsid w:val="00CB6D75"/>
    <w:rsid w:val="00CC5C2D"/>
    <w:rsid w:val="00D30A58"/>
    <w:rsid w:val="00D53062"/>
    <w:rsid w:val="00D61E7D"/>
    <w:rsid w:val="00D72B33"/>
    <w:rsid w:val="00D917A0"/>
    <w:rsid w:val="00D91B11"/>
    <w:rsid w:val="00D93B1C"/>
    <w:rsid w:val="00DC218C"/>
    <w:rsid w:val="00DC2D29"/>
    <w:rsid w:val="00DC3DEE"/>
    <w:rsid w:val="00DC5D8D"/>
    <w:rsid w:val="00DD477A"/>
    <w:rsid w:val="00E10A7F"/>
    <w:rsid w:val="00E114A5"/>
    <w:rsid w:val="00E26608"/>
    <w:rsid w:val="00E27354"/>
    <w:rsid w:val="00E30372"/>
    <w:rsid w:val="00E3057C"/>
    <w:rsid w:val="00E43CDD"/>
    <w:rsid w:val="00E44082"/>
    <w:rsid w:val="00E65CB9"/>
    <w:rsid w:val="00E702CE"/>
    <w:rsid w:val="00EA5C0C"/>
    <w:rsid w:val="00EC40C0"/>
    <w:rsid w:val="00EE0A14"/>
    <w:rsid w:val="00EE3885"/>
    <w:rsid w:val="00EF66AD"/>
    <w:rsid w:val="00EF7B40"/>
    <w:rsid w:val="00F05C1C"/>
    <w:rsid w:val="00F15273"/>
    <w:rsid w:val="00F30097"/>
    <w:rsid w:val="00F4773D"/>
    <w:rsid w:val="00F63128"/>
    <w:rsid w:val="00F6496D"/>
    <w:rsid w:val="00F66A99"/>
    <w:rsid w:val="00FA18C7"/>
    <w:rsid w:val="00FA4481"/>
    <w:rsid w:val="00FB2E85"/>
    <w:rsid w:val="00FC6185"/>
    <w:rsid w:val="00FD35D0"/>
    <w:rsid w:val="00FD5315"/>
    <w:rsid w:val="00FE2B46"/>
    <w:rsid w:val="00FF2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2C65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locked="0" w:semiHidden="1" w:uiPriority="9" w:unhideWhenUsed="1" w:qFormat="1"/>
    <w:lsdException w:name="heading 7" w:locked="0" w:semiHidden="1" w:uiPriority="6" w:unhideWhenUsed="1" w:qFormat="1"/>
    <w:lsdException w:name="heading 8" w:locked="0" w:semiHidden="1" w:uiPriority="6" w:unhideWhenUsed="1" w:qFormat="1"/>
    <w:lsdException w:name="heading 9" w:locked="0" w:semiHidden="1" w:uiPriority="6"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 w:qFormat="1"/>
    <w:lsdException w:name="List Number" w:locked="0" w:uiPriority="3"/>
    <w:lsdException w:name="List 2" w:locked="0" w:semiHidden="1"/>
    <w:lsdException w:name="List 3" w:locked="0" w:semiHidden="1"/>
    <w:lsdException w:name="List 4" w:locked="0" w:semiHidden="1"/>
    <w:lsdException w:name="List 5" w:locked="0" w:semiHidden="1"/>
    <w:lsdException w:name="List Bullet 2" w:locked="0" w:uiPriority="1" w:qFormat="1"/>
    <w:lsdException w:name="List Bullet 3" w:locked="0" w:uiPriority="1" w:qFormat="1"/>
    <w:lsdException w:name="List Bullet 4" w:locked="0" w:uiPriority="3"/>
    <w:lsdException w:name="List Bullet 5" w:locked="0" w:uiPriority="3"/>
    <w:lsdException w:name="List Number 2" w:locked="0" w:uiPriority="3"/>
    <w:lsdException w:name="List Number 3" w:locked="0" w:uiPriority="3"/>
    <w:lsdException w:name="List Number 4" w:locked="0" w:uiPriority="3"/>
    <w:lsdException w:name="List Number 5" w:locked="0" w:uiPriority="3"/>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0"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12"/>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324C3"/>
  </w:style>
  <w:style w:type="paragraph" w:styleId="Heading1">
    <w:name w:val="heading 1"/>
    <w:basedOn w:val="Normal"/>
    <w:next w:val="Normal"/>
    <w:link w:val="Heading1Char"/>
    <w:uiPriority w:val="2"/>
    <w:qFormat/>
    <w:rsid w:val="006324C3"/>
    <w:pPr>
      <w:keepNext/>
      <w:keepLines/>
      <w:numPr>
        <w:numId w:val="2"/>
      </w:numPr>
      <w:pBdr>
        <w:bottom w:val="single" w:sz="4" w:space="6" w:color="auto"/>
      </w:pBdr>
      <w:spacing w:before="360" w:after="120" w:line="240" w:lineRule="auto"/>
      <w:outlineLvl w:val="0"/>
    </w:pPr>
    <w:rPr>
      <w:rFonts w:asciiTheme="majorHAnsi" w:eastAsiaTheme="majorEastAsia" w:hAnsiTheme="majorHAnsi" w:cstheme="majorBidi"/>
      <w:sz w:val="30"/>
      <w:szCs w:val="32"/>
    </w:rPr>
  </w:style>
  <w:style w:type="paragraph" w:styleId="Heading2">
    <w:name w:val="heading 2"/>
    <w:basedOn w:val="Normal"/>
    <w:next w:val="Normal"/>
    <w:link w:val="Heading2Char"/>
    <w:uiPriority w:val="2"/>
    <w:qFormat/>
    <w:rsid w:val="00D91B11"/>
    <w:pPr>
      <w:keepNext/>
      <w:keepLines/>
      <w:numPr>
        <w:ilvl w:val="1"/>
        <w:numId w:val="2"/>
      </w:numPr>
      <w:spacing w:before="360" w:after="180" w:line="240" w:lineRule="auto"/>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C742C7"/>
    <w:pPr>
      <w:keepNext/>
      <w:keepLines/>
      <w:numPr>
        <w:ilvl w:val="2"/>
        <w:numId w:val="2"/>
      </w:numPr>
      <w:spacing w:before="240" w:after="60" w:line="240" w:lineRule="auto"/>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C742C7"/>
    <w:pPr>
      <w:keepNext/>
      <w:keepLines/>
      <w:numPr>
        <w:ilvl w:val="3"/>
        <w:numId w:val="2"/>
      </w:numPr>
      <w:spacing w:before="240" w:after="6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C742C7"/>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C742C7"/>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C742C7"/>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6324C3"/>
    <w:pPr>
      <w:keepNext/>
      <w:keepLines/>
      <w:pageBreakBefore/>
      <w:numPr>
        <w:numId w:val="4"/>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6324C3"/>
    <w:pPr>
      <w:keepNext/>
      <w:keepLines/>
      <w:numPr>
        <w:ilvl w:val="1"/>
        <w:numId w:val="4"/>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before="0" w:after="0"/>
    </w:pPr>
  </w:style>
  <w:style w:type="character" w:customStyle="1" w:styleId="Heading1Char">
    <w:name w:val="Heading 1 Char"/>
    <w:basedOn w:val="DefaultParagraphFont"/>
    <w:link w:val="Heading1"/>
    <w:uiPriority w:val="2"/>
    <w:rsid w:val="006324C3"/>
    <w:rPr>
      <w:rFonts w:asciiTheme="majorHAnsi" w:eastAsiaTheme="majorEastAsia" w:hAnsiTheme="majorHAnsi" w:cstheme="majorBidi"/>
      <w:sz w:val="30"/>
      <w:szCs w:val="32"/>
    </w:rPr>
  </w:style>
  <w:style w:type="character" w:customStyle="1" w:styleId="Heading2Char">
    <w:name w:val="Heading 2 Char"/>
    <w:basedOn w:val="DefaultParagraphFont"/>
    <w:link w:val="Heading2"/>
    <w:uiPriority w:val="2"/>
    <w:rsid w:val="00D91B11"/>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C742C7"/>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C742C7"/>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C742C7"/>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6324C3"/>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6324C3"/>
    <w:rPr>
      <w:rFonts w:asciiTheme="majorHAnsi" w:eastAsiaTheme="majorEastAsia" w:hAnsiTheme="majorHAnsi" w:cstheme="majorBidi"/>
      <w:b/>
      <w:iCs/>
      <w:sz w:val="24"/>
    </w:rPr>
  </w:style>
  <w:style w:type="paragraph" w:styleId="ListBullet">
    <w:name w:val="List Bullet"/>
    <w:basedOn w:val="Normal"/>
    <w:uiPriority w:val="7"/>
    <w:qFormat/>
    <w:rsid w:val="006324C3"/>
    <w:pPr>
      <w:numPr>
        <w:numId w:val="1"/>
      </w:numPr>
      <w:spacing w:after="120"/>
      <w:ind w:left="357" w:hanging="357"/>
      <w:contextualSpacing/>
    </w:pPr>
  </w:style>
  <w:style w:type="numbering" w:customStyle="1" w:styleId="BulletList">
    <w:name w:val="Bullet List"/>
    <w:uiPriority w:val="99"/>
    <w:rsid w:val="00AF7EAA"/>
    <w:pPr>
      <w:numPr>
        <w:numId w:val="1"/>
      </w:numPr>
    </w:pPr>
  </w:style>
  <w:style w:type="paragraph" w:styleId="ListParagraph">
    <w:name w:val="List Paragraph"/>
    <w:basedOn w:val="Normal"/>
    <w:uiPriority w:val="34"/>
    <w:qFormat/>
    <w:rsid w:val="002D7DF6"/>
    <w:pPr>
      <w:ind w:left="357"/>
      <w:contextualSpacing/>
    </w:pPr>
  </w:style>
  <w:style w:type="paragraph" w:styleId="ListBullet2">
    <w:name w:val="List Bullet 2"/>
    <w:basedOn w:val="Normal"/>
    <w:uiPriority w:val="7"/>
    <w:qFormat/>
    <w:rsid w:val="006324C3"/>
    <w:pPr>
      <w:numPr>
        <w:ilvl w:val="1"/>
        <w:numId w:val="1"/>
      </w:numPr>
      <w:spacing w:after="120"/>
      <w:contextualSpacing/>
    </w:pPr>
  </w:style>
  <w:style w:type="paragraph" w:styleId="ListBullet3">
    <w:name w:val="List Bullet 3"/>
    <w:basedOn w:val="Normal"/>
    <w:uiPriority w:val="7"/>
    <w:qFormat/>
    <w:rsid w:val="006324C3"/>
    <w:pPr>
      <w:numPr>
        <w:ilvl w:val="2"/>
        <w:numId w:val="1"/>
      </w:numPr>
      <w:spacing w:after="120"/>
      <w:contextualSpacing/>
    </w:pPr>
  </w:style>
  <w:style w:type="paragraph" w:styleId="ListBullet4">
    <w:name w:val="List Bullet 4"/>
    <w:basedOn w:val="Normal"/>
    <w:uiPriority w:val="7"/>
    <w:rsid w:val="006324C3"/>
    <w:pPr>
      <w:numPr>
        <w:ilvl w:val="3"/>
        <w:numId w:val="1"/>
      </w:numPr>
      <w:spacing w:after="120"/>
      <w:contextualSpacing/>
    </w:pPr>
  </w:style>
  <w:style w:type="paragraph" w:styleId="FootnoteText">
    <w:name w:val="footnote text"/>
    <w:basedOn w:val="Normal"/>
    <w:link w:val="FootnoteTextChar"/>
    <w:uiPriority w:val="99"/>
    <w:rsid w:val="005C306E"/>
    <w:pPr>
      <w:tabs>
        <w:tab w:val="left" w:pos="227"/>
      </w:tabs>
      <w:spacing w:before="0" w:after="0" w:line="240" w:lineRule="auto"/>
      <w:ind w:left="227" w:hanging="227"/>
    </w:pPr>
    <w:rPr>
      <w:sz w:val="18"/>
      <w:szCs w:val="20"/>
    </w:rPr>
  </w:style>
  <w:style w:type="paragraph" w:styleId="ListBullet5">
    <w:name w:val="List Bullet 5"/>
    <w:basedOn w:val="Normal"/>
    <w:uiPriority w:val="7"/>
    <w:rsid w:val="006324C3"/>
    <w:pPr>
      <w:numPr>
        <w:ilvl w:val="4"/>
        <w:numId w:val="1"/>
      </w:numPr>
      <w:spacing w:after="120"/>
      <w:contextualSpacing/>
    </w:pPr>
  </w:style>
  <w:style w:type="numbering" w:styleId="111111">
    <w:name w:val="Outline List 2"/>
    <w:basedOn w:val="NoList"/>
    <w:uiPriority w:val="99"/>
    <w:semiHidden/>
    <w:unhideWhenUsed/>
    <w:rsid w:val="00C742C7"/>
    <w:pPr>
      <w:numPr>
        <w:numId w:val="2"/>
      </w:numPr>
    </w:pPr>
  </w:style>
  <w:style w:type="numbering" w:styleId="1ai">
    <w:name w:val="Outline List 1"/>
    <w:basedOn w:val="NoList"/>
    <w:uiPriority w:val="99"/>
    <w:semiHidden/>
    <w:unhideWhenUsed/>
    <w:rsid w:val="00BF4202"/>
    <w:pPr>
      <w:numPr>
        <w:numId w:val="3"/>
      </w:numPr>
    </w:pPr>
  </w:style>
  <w:style w:type="paragraph" w:styleId="ListNumber">
    <w:name w:val="List Number"/>
    <w:basedOn w:val="Normal"/>
    <w:uiPriority w:val="7"/>
    <w:rsid w:val="006324C3"/>
    <w:pPr>
      <w:numPr>
        <w:numId w:val="3"/>
      </w:numPr>
      <w:spacing w:after="120"/>
      <w:ind w:left="357" w:hanging="357"/>
      <w:contextualSpacing/>
    </w:pPr>
  </w:style>
  <w:style w:type="paragraph" w:styleId="ListNumber2">
    <w:name w:val="List Number 2"/>
    <w:basedOn w:val="Normal"/>
    <w:uiPriority w:val="7"/>
    <w:rsid w:val="006324C3"/>
    <w:pPr>
      <w:numPr>
        <w:ilvl w:val="1"/>
        <w:numId w:val="3"/>
      </w:numPr>
      <w:spacing w:after="120"/>
      <w:ind w:left="714" w:hanging="357"/>
      <w:contextualSpacing/>
    </w:pPr>
  </w:style>
  <w:style w:type="paragraph" w:styleId="ListNumber3">
    <w:name w:val="List Number 3"/>
    <w:basedOn w:val="Normal"/>
    <w:uiPriority w:val="7"/>
    <w:rsid w:val="006324C3"/>
    <w:pPr>
      <w:numPr>
        <w:ilvl w:val="2"/>
        <w:numId w:val="3"/>
      </w:numPr>
      <w:spacing w:after="120"/>
      <w:ind w:left="1077" w:hanging="357"/>
      <w:contextualSpacing/>
    </w:pPr>
  </w:style>
  <w:style w:type="paragraph" w:styleId="ListNumber4">
    <w:name w:val="List Number 4"/>
    <w:basedOn w:val="Normal"/>
    <w:uiPriority w:val="7"/>
    <w:rsid w:val="006324C3"/>
    <w:pPr>
      <w:numPr>
        <w:ilvl w:val="3"/>
        <w:numId w:val="3"/>
      </w:numPr>
      <w:spacing w:after="120"/>
      <w:ind w:left="1434" w:hanging="357"/>
      <w:contextualSpacing/>
    </w:pPr>
  </w:style>
  <w:style w:type="paragraph" w:styleId="ListNumber5">
    <w:name w:val="List Number 5"/>
    <w:basedOn w:val="Normal"/>
    <w:uiPriority w:val="7"/>
    <w:rsid w:val="006324C3"/>
    <w:pPr>
      <w:numPr>
        <w:ilvl w:val="4"/>
        <w:numId w:val="3"/>
      </w:numPr>
      <w:spacing w:after="120"/>
      <w:ind w:left="1797" w:hanging="357"/>
      <w:contextualSpacing/>
    </w:pPr>
  </w:style>
  <w:style w:type="character" w:customStyle="1" w:styleId="FootnoteTextChar">
    <w:name w:val="Footnote Text Char"/>
    <w:basedOn w:val="DefaultParagraphFont"/>
    <w:link w:val="FootnoteText"/>
    <w:uiPriority w:val="44"/>
    <w:rsid w:val="005C306E"/>
    <w:rPr>
      <w:sz w:val="18"/>
      <w:szCs w:val="20"/>
    </w:rPr>
  </w:style>
  <w:style w:type="character" w:styleId="FootnoteReference">
    <w:name w:val="footnote reference"/>
    <w:basedOn w:val="DefaultParagraphFont"/>
    <w:uiPriority w:val="99"/>
    <w:rsid w:val="005C306E"/>
    <w:rPr>
      <w:vertAlign w:val="superscript"/>
    </w:rPr>
  </w:style>
  <w:style w:type="paragraph" w:styleId="Caption">
    <w:name w:val="caption"/>
    <w:basedOn w:val="Normal"/>
    <w:next w:val="Normal"/>
    <w:uiPriority w:val="20"/>
    <w:qFormat/>
    <w:rsid w:val="006324C3"/>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2D7DF6"/>
    <w:pPr>
      <w:spacing w:before="60" w:line="240" w:lineRule="auto"/>
    </w:pPr>
    <w:rPr>
      <w:sz w:val="18"/>
    </w:rPr>
  </w:style>
  <w:style w:type="character" w:customStyle="1" w:styleId="NoteHeadingChar">
    <w:name w:val="Note Heading Char"/>
    <w:basedOn w:val="DefaultParagraphFont"/>
    <w:link w:val="NoteHeading"/>
    <w:uiPriority w:val="20"/>
    <w:semiHidden/>
    <w:rsid w:val="00F30097"/>
    <w:rPr>
      <w:sz w:val="18"/>
    </w:rPr>
  </w:style>
  <w:style w:type="paragraph" w:styleId="IntenseQuote">
    <w:name w:val="Intense Quote"/>
    <w:basedOn w:val="Normal"/>
    <w:next w:val="Normal"/>
    <w:link w:val="IntenseQuoteChar"/>
    <w:uiPriority w:val="30"/>
    <w:semiHidden/>
    <w:qFormat/>
    <w:locked/>
    <w:rsid w:val="005C306E"/>
    <w:pPr>
      <w:spacing w:before="240"/>
    </w:pPr>
    <w:rPr>
      <w:b/>
      <w:iCs/>
      <w:color w:val="47A843" w:themeColor="accent1"/>
      <w:sz w:val="26"/>
    </w:rPr>
  </w:style>
  <w:style w:type="character" w:customStyle="1" w:styleId="IntenseQuoteChar">
    <w:name w:val="Intense Quote Char"/>
    <w:basedOn w:val="DefaultParagraphFont"/>
    <w:link w:val="IntenseQuote"/>
    <w:uiPriority w:val="30"/>
    <w:semiHidden/>
    <w:rsid w:val="005761C3"/>
    <w:rPr>
      <w:b/>
      <w:iCs/>
      <w:color w:val="47A843" w:themeColor="accent1"/>
      <w:sz w:val="26"/>
    </w:rPr>
  </w:style>
  <w:style w:type="paragraph" w:styleId="Salutation">
    <w:name w:val="Salutation"/>
    <w:basedOn w:val="Normal"/>
    <w:next w:val="Normal"/>
    <w:link w:val="SalutationChar"/>
    <w:uiPriority w:val="34"/>
    <w:semiHidden/>
    <w:rsid w:val="005C306E"/>
    <w:pPr>
      <w:spacing w:before="0" w:after="0"/>
    </w:pPr>
    <w:rPr>
      <w:b/>
    </w:rPr>
  </w:style>
  <w:style w:type="character" w:customStyle="1" w:styleId="SalutationChar">
    <w:name w:val="Salutation Char"/>
    <w:basedOn w:val="DefaultParagraphFont"/>
    <w:link w:val="Salutation"/>
    <w:uiPriority w:val="34"/>
    <w:semiHidden/>
    <w:rsid w:val="002B7B47"/>
    <w:rPr>
      <w:b/>
    </w:rPr>
  </w:style>
  <w:style w:type="paragraph" w:styleId="Signature">
    <w:name w:val="Signature"/>
    <w:basedOn w:val="Normal"/>
    <w:link w:val="SignatureChar"/>
    <w:uiPriority w:val="34"/>
    <w:semiHidden/>
    <w:rsid w:val="00990E11"/>
    <w:pPr>
      <w:spacing w:before="1080" w:after="0" w:line="240" w:lineRule="auto"/>
      <w:contextualSpacing/>
    </w:pPr>
  </w:style>
  <w:style w:type="character" w:customStyle="1" w:styleId="SignatureChar">
    <w:name w:val="Signature Char"/>
    <w:basedOn w:val="DefaultParagraphFont"/>
    <w:link w:val="Signature"/>
    <w:uiPriority w:val="34"/>
    <w:semiHidden/>
    <w:rsid w:val="002B7B47"/>
  </w:style>
  <w:style w:type="paragraph" w:styleId="Date">
    <w:name w:val="Date"/>
    <w:basedOn w:val="Normal"/>
    <w:next w:val="Normal"/>
    <w:link w:val="DateChar"/>
    <w:uiPriority w:val="34"/>
    <w:semiHidden/>
    <w:rsid w:val="00595A34"/>
    <w:pPr>
      <w:spacing w:before="0" w:after="360"/>
    </w:pPr>
  </w:style>
  <w:style w:type="character" w:customStyle="1" w:styleId="DateChar">
    <w:name w:val="Date Char"/>
    <w:basedOn w:val="DefaultParagraphFont"/>
    <w:link w:val="Date"/>
    <w:uiPriority w:val="34"/>
    <w:semiHidden/>
    <w:rsid w:val="002B7B47"/>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1F67F4"/>
    <w:pPr>
      <w:spacing w:before="1680" w:after="180" w:line="240" w:lineRule="auto"/>
      <w:contextualSpacing/>
    </w:pPr>
    <w:rPr>
      <w:rFonts w:asciiTheme="majorHAnsi" w:eastAsiaTheme="majorEastAsia" w:hAnsiTheme="majorHAnsi" w:cstheme="majorBidi"/>
      <w:b/>
      <w:color w:val="auto"/>
      <w:kern w:val="28"/>
      <w:sz w:val="40"/>
      <w:szCs w:val="56"/>
    </w:rPr>
  </w:style>
  <w:style w:type="character" w:customStyle="1" w:styleId="TitleChar">
    <w:name w:val="Title Char"/>
    <w:basedOn w:val="DefaultParagraphFont"/>
    <w:link w:val="Title"/>
    <w:uiPriority w:val="38"/>
    <w:rsid w:val="001F67F4"/>
    <w:rPr>
      <w:rFonts w:asciiTheme="majorHAnsi" w:eastAsiaTheme="majorEastAsia" w:hAnsiTheme="majorHAnsi" w:cstheme="majorBidi"/>
      <w:b/>
      <w:color w:val="auto"/>
      <w:kern w:val="28"/>
      <w:sz w:val="40"/>
      <w:szCs w:val="56"/>
    </w:rPr>
  </w:style>
  <w:style w:type="paragraph" w:styleId="Subtitle">
    <w:name w:val="Subtitle"/>
    <w:basedOn w:val="Title"/>
    <w:next w:val="Normal"/>
    <w:link w:val="SubtitleChar"/>
    <w:uiPriority w:val="38"/>
    <w:rsid w:val="00136220"/>
    <w:pPr>
      <w:numPr>
        <w:ilvl w:val="1"/>
      </w:numPr>
      <w:spacing w:before="120" w:after="120"/>
    </w:pPr>
    <w:rPr>
      <w:rFonts w:asciiTheme="minorHAnsi" w:eastAsiaTheme="minorEastAsia" w:hAnsiTheme="minorHAnsi"/>
      <w:b w:val="0"/>
      <w:color w:val="000000" w:themeColor="text1"/>
      <w:kern w:val="0"/>
      <w:sz w:val="24"/>
      <w:szCs w:val="22"/>
    </w:rPr>
  </w:style>
  <w:style w:type="character" w:customStyle="1" w:styleId="SubtitleChar">
    <w:name w:val="Subtitle Char"/>
    <w:basedOn w:val="DefaultParagraphFont"/>
    <w:link w:val="Subtitle"/>
    <w:uiPriority w:val="38"/>
    <w:rsid w:val="00136220"/>
    <w:rPr>
      <w:rFonts w:eastAsiaTheme="minorEastAsia" w:cstheme="majorBidi"/>
      <w:sz w:val="24"/>
      <w:szCs w:val="22"/>
    </w:rPr>
  </w:style>
  <w:style w:type="table" w:styleId="TableGrid">
    <w:name w:val="Table Grid"/>
    <w:basedOn w:val="TableNormal"/>
    <w:uiPriority w:val="59"/>
    <w:rsid w:val="00AE5451"/>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2D7DF6"/>
    <w:rPr>
      <w:noProof w:val="0"/>
      <w:color w:val="FF0000"/>
      <w:sz w:val="18"/>
      <w:lang w:val="en-AU"/>
    </w:rPr>
  </w:style>
  <w:style w:type="table" w:customStyle="1" w:styleId="TableHidden">
    <w:name w:val="Table Hidden"/>
    <w:basedOn w:val="TableNormal"/>
    <w:uiPriority w:val="99"/>
    <w:rsid w:val="002D7DF6"/>
    <w:tblPr>
      <w:tblCellMar>
        <w:left w:w="0" w:type="dxa"/>
        <w:right w:w="0" w:type="dxa"/>
      </w:tblCellMar>
    </w:tblPr>
  </w:style>
  <w:style w:type="numbering" w:customStyle="1" w:styleId="AppendixList">
    <w:name w:val="Appendix List"/>
    <w:uiPriority w:val="99"/>
    <w:rsid w:val="006C6FBA"/>
    <w:pPr>
      <w:numPr>
        <w:numId w:val="4"/>
      </w:numPr>
    </w:pPr>
  </w:style>
  <w:style w:type="paragraph" w:styleId="Quote">
    <w:name w:val="Quote"/>
    <w:basedOn w:val="Normal"/>
    <w:next w:val="Normal"/>
    <w:link w:val="QuoteChar"/>
    <w:uiPriority w:val="29"/>
    <w:qFormat/>
    <w:rsid w:val="001F67F4"/>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1F67F4"/>
    <w:rPr>
      <w:iCs/>
      <w:color w:val="7F7F7F" w:themeColor="text1" w:themeTint="80"/>
      <w:sz w:val="36"/>
    </w:rPr>
  </w:style>
  <w:style w:type="table" w:customStyle="1" w:styleId="TablewithOptions">
    <w:name w:val="Table with Options"/>
    <w:basedOn w:val="TableGrid"/>
    <w:uiPriority w:val="99"/>
    <w:rsid w:val="00E10A7F"/>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AF7EAA"/>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6324C3"/>
    <w:pPr>
      <w:tabs>
        <w:tab w:val="right" w:leader="dot" w:pos="9979"/>
      </w:tabs>
      <w:spacing w:before="300" w:after="120"/>
    </w:pPr>
    <w:rPr>
      <w:b/>
    </w:rPr>
  </w:style>
  <w:style w:type="paragraph" w:styleId="TOC2">
    <w:name w:val="toc 2"/>
    <w:basedOn w:val="Normal"/>
    <w:next w:val="Normal"/>
    <w:autoRedefine/>
    <w:uiPriority w:val="39"/>
    <w:rsid w:val="000E5BD7"/>
    <w:pPr>
      <w:tabs>
        <w:tab w:val="right" w:leader="dot" w:pos="9979"/>
      </w:tabs>
      <w:spacing w:before="60" w:after="60"/>
      <w:ind w:left="221"/>
    </w:pPr>
  </w:style>
  <w:style w:type="character" w:styleId="Hyperlink">
    <w:name w:val="Hyperlink"/>
    <w:basedOn w:val="DefaultParagraphFont"/>
    <w:uiPriority w:val="99"/>
    <w:unhideWhenUsed/>
    <w:rsid w:val="005209F0"/>
    <w:rPr>
      <w:color w:val="0066BE" w:themeColor="hyperlink"/>
      <w:u w:val="single"/>
    </w:rPr>
  </w:style>
  <w:style w:type="paragraph" w:styleId="Header">
    <w:name w:val="header"/>
    <w:basedOn w:val="Normal"/>
    <w:link w:val="HeaderChar"/>
    <w:uiPriority w:val="44"/>
    <w:rsid w:val="00C212D9"/>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C212D9"/>
  </w:style>
  <w:style w:type="paragraph" w:styleId="Footer">
    <w:name w:val="footer"/>
    <w:basedOn w:val="Normal"/>
    <w:link w:val="FooterChar"/>
    <w:uiPriority w:val="99"/>
    <w:rsid w:val="000E5BD7"/>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0E5BD7"/>
    <w:rPr>
      <w:sz w:val="16"/>
    </w:rPr>
  </w:style>
  <w:style w:type="paragraph" w:styleId="BodyText">
    <w:name w:val="Body Text"/>
    <w:basedOn w:val="Normal"/>
    <w:link w:val="BodyTextChar"/>
    <w:unhideWhenUsed/>
    <w:qFormat/>
    <w:locked/>
    <w:rsid w:val="00C212D9"/>
    <w:rPr>
      <w:rFonts w:ascii="Arial" w:hAnsi="Arial"/>
      <w:color w:val="262626" w:themeColor="text1" w:themeTint="D9"/>
    </w:rPr>
  </w:style>
  <w:style w:type="character" w:customStyle="1" w:styleId="BodyTextChar">
    <w:name w:val="Body Text Char"/>
    <w:basedOn w:val="DefaultParagraphFont"/>
    <w:link w:val="BodyText"/>
    <w:rsid w:val="00C212D9"/>
    <w:rPr>
      <w:rFonts w:ascii="Arial" w:hAnsi="Arial"/>
      <w:color w:val="262626" w:themeColor="text1" w:themeTint="D9"/>
      <w:sz w:val="21"/>
    </w:rPr>
  </w:style>
  <w:style w:type="numbering" w:styleId="ArticleSection">
    <w:name w:val="Outline List 3"/>
    <w:basedOn w:val="NoList"/>
    <w:uiPriority w:val="99"/>
    <w:semiHidden/>
    <w:unhideWhenUsed/>
    <w:locked/>
    <w:rsid w:val="00D30A58"/>
    <w:pPr>
      <w:numPr>
        <w:numId w:val="5"/>
      </w:numPr>
    </w:pPr>
  </w:style>
  <w:style w:type="paragraph" w:styleId="Closing">
    <w:name w:val="Closing"/>
    <w:basedOn w:val="Normal"/>
    <w:link w:val="ClosingChar"/>
    <w:uiPriority w:val="99"/>
    <w:semiHidden/>
    <w:locked/>
    <w:rsid w:val="00D30A58"/>
    <w:pPr>
      <w:spacing w:before="0" w:after="0" w:line="240" w:lineRule="auto"/>
      <w:ind w:left="4252"/>
    </w:pPr>
  </w:style>
  <w:style w:type="paragraph" w:styleId="BalloonText">
    <w:name w:val="Balloon Text"/>
    <w:basedOn w:val="Normal"/>
    <w:link w:val="BalloonTextChar"/>
    <w:uiPriority w:val="99"/>
    <w:semiHidden/>
    <w:locked/>
    <w:rsid w:val="00D30A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A58"/>
    <w:rPr>
      <w:rFonts w:ascii="Segoe UI" w:hAnsi="Segoe UI" w:cs="Segoe UI"/>
      <w:sz w:val="18"/>
      <w:szCs w:val="18"/>
    </w:rPr>
  </w:style>
  <w:style w:type="character" w:styleId="PageNumber">
    <w:name w:val="page number"/>
    <w:basedOn w:val="DefaultParagraphFont"/>
    <w:uiPriority w:val="99"/>
    <w:semiHidden/>
    <w:locked/>
    <w:rsid w:val="00D30A58"/>
  </w:style>
  <w:style w:type="paragraph" w:styleId="Bibliography">
    <w:name w:val="Bibliography"/>
    <w:basedOn w:val="Normal"/>
    <w:next w:val="Normal"/>
    <w:uiPriority w:val="37"/>
    <w:semiHidden/>
    <w:locked/>
    <w:rsid w:val="00D30A58"/>
  </w:style>
  <w:style w:type="paragraph" w:styleId="BlockText">
    <w:name w:val="Block Text"/>
    <w:basedOn w:val="Normal"/>
    <w:uiPriority w:val="99"/>
    <w:semiHidden/>
    <w:locked/>
    <w:rsid w:val="00D30A58"/>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D30A58"/>
    <w:pPr>
      <w:spacing w:line="480" w:lineRule="auto"/>
    </w:pPr>
  </w:style>
  <w:style w:type="character" w:customStyle="1" w:styleId="BodyText2Char">
    <w:name w:val="Body Text 2 Char"/>
    <w:basedOn w:val="DefaultParagraphFont"/>
    <w:link w:val="BodyText2"/>
    <w:uiPriority w:val="99"/>
    <w:semiHidden/>
    <w:rsid w:val="00D30A58"/>
  </w:style>
  <w:style w:type="table" w:styleId="TableClassic1">
    <w:name w:val="Table Classic 1"/>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D30A5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martHyperlink1">
    <w:name w:val="Smart Hyperlink1"/>
    <w:basedOn w:val="DefaultParagraphFont"/>
    <w:uiPriority w:val="99"/>
    <w:semiHidden/>
    <w:locked/>
    <w:rsid w:val="00D30A58"/>
    <w:rPr>
      <w:u w:val="dotted"/>
    </w:rPr>
  </w:style>
  <w:style w:type="character" w:styleId="HTMLAcronym">
    <w:name w:val="HTML Acronym"/>
    <w:basedOn w:val="DefaultParagraphFont"/>
    <w:uiPriority w:val="99"/>
    <w:semiHidden/>
    <w:locked/>
    <w:rsid w:val="00D30A58"/>
  </w:style>
  <w:style w:type="paragraph" w:styleId="HTMLAddress">
    <w:name w:val="HTML Address"/>
    <w:basedOn w:val="Normal"/>
    <w:link w:val="HTMLAddressChar"/>
    <w:uiPriority w:val="99"/>
    <w:semiHidden/>
    <w:locked/>
    <w:rsid w:val="00D30A58"/>
    <w:pPr>
      <w:spacing w:before="0" w:after="0" w:line="240" w:lineRule="auto"/>
    </w:pPr>
    <w:rPr>
      <w:i/>
      <w:iCs/>
    </w:rPr>
  </w:style>
  <w:style w:type="character" w:customStyle="1" w:styleId="HTMLAddressChar">
    <w:name w:val="HTML Address Char"/>
    <w:basedOn w:val="DefaultParagraphFont"/>
    <w:link w:val="HTMLAddress"/>
    <w:uiPriority w:val="99"/>
    <w:semiHidden/>
    <w:rsid w:val="00D30A58"/>
    <w:rPr>
      <w:i/>
      <w:iCs/>
    </w:rPr>
  </w:style>
  <w:style w:type="character" w:styleId="HTMLCite">
    <w:name w:val="HTML Cite"/>
    <w:basedOn w:val="DefaultParagraphFont"/>
    <w:uiPriority w:val="99"/>
    <w:semiHidden/>
    <w:locked/>
    <w:rsid w:val="00D30A58"/>
    <w:rPr>
      <w:i/>
      <w:iCs/>
    </w:rPr>
  </w:style>
  <w:style w:type="character" w:styleId="Strong">
    <w:name w:val="Strong"/>
    <w:basedOn w:val="DefaultParagraphFont"/>
    <w:uiPriority w:val="22"/>
    <w:qFormat/>
    <w:rsid w:val="00D30A58"/>
    <w:rPr>
      <w:b/>
      <w:bCs/>
    </w:rPr>
  </w:style>
  <w:style w:type="paragraph" w:styleId="ListContinue">
    <w:name w:val="List Continue"/>
    <w:basedOn w:val="Normal"/>
    <w:uiPriority w:val="17"/>
    <w:semiHidden/>
    <w:rsid w:val="00D30A58"/>
    <w:pPr>
      <w:ind w:left="283"/>
      <w:contextualSpacing/>
    </w:pPr>
  </w:style>
  <w:style w:type="paragraph" w:styleId="ListContinue2">
    <w:name w:val="List Continue 2"/>
    <w:basedOn w:val="Normal"/>
    <w:uiPriority w:val="17"/>
    <w:semiHidden/>
    <w:rsid w:val="00D30A58"/>
    <w:pPr>
      <w:ind w:left="566"/>
      <w:contextualSpacing/>
    </w:pPr>
  </w:style>
  <w:style w:type="character" w:customStyle="1" w:styleId="ClosingChar">
    <w:name w:val="Closing Char"/>
    <w:basedOn w:val="DefaultParagraphFont"/>
    <w:link w:val="Closing"/>
    <w:uiPriority w:val="99"/>
    <w:semiHidden/>
    <w:rsid w:val="00D30A58"/>
  </w:style>
  <w:style w:type="paragraph" w:styleId="BodyText3">
    <w:name w:val="Body Text 3"/>
    <w:basedOn w:val="Normal"/>
    <w:link w:val="BodyText3Char"/>
    <w:uiPriority w:val="99"/>
    <w:semiHidden/>
    <w:locked/>
    <w:rsid w:val="00D30A58"/>
    <w:rPr>
      <w:sz w:val="16"/>
      <w:szCs w:val="16"/>
    </w:rPr>
  </w:style>
  <w:style w:type="character" w:customStyle="1" w:styleId="BodyText3Char">
    <w:name w:val="Body Text 3 Char"/>
    <w:basedOn w:val="DefaultParagraphFont"/>
    <w:link w:val="BodyText3"/>
    <w:uiPriority w:val="99"/>
    <w:semiHidden/>
    <w:rsid w:val="00D30A58"/>
    <w:rPr>
      <w:sz w:val="16"/>
      <w:szCs w:val="16"/>
    </w:rPr>
  </w:style>
  <w:style w:type="paragraph" w:styleId="BodyTextFirstIndent">
    <w:name w:val="Body Text First Indent"/>
    <w:basedOn w:val="BodyText"/>
    <w:link w:val="BodyTextFirstIndentChar"/>
    <w:uiPriority w:val="99"/>
    <w:semiHidden/>
    <w:locked/>
    <w:rsid w:val="00D30A58"/>
    <w:pPr>
      <w:ind w:firstLine="360"/>
    </w:pPr>
    <w:rPr>
      <w:rFonts w:asciiTheme="minorHAnsi" w:hAnsiTheme="minorHAnsi"/>
      <w:color w:val="000000" w:themeColor="text1"/>
      <w:sz w:val="22"/>
    </w:rPr>
  </w:style>
  <w:style w:type="character" w:customStyle="1" w:styleId="BodyTextFirstIndentChar">
    <w:name w:val="Body Text First Indent Char"/>
    <w:basedOn w:val="BodyTextChar"/>
    <w:link w:val="BodyTextFirstIndent"/>
    <w:uiPriority w:val="99"/>
    <w:semiHidden/>
    <w:rsid w:val="00D30A58"/>
    <w:rPr>
      <w:rFonts w:ascii="Arial" w:hAnsi="Arial"/>
      <w:color w:val="262626" w:themeColor="text1" w:themeTint="D9"/>
      <w:sz w:val="21"/>
    </w:rPr>
  </w:style>
  <w:style w:type="paragraph" w:styleId="BodyTextIndent">
    <w:name w:val="Body Text Indent"/>
    <w:basedOn w:val="Normal"/>
    <w:link w:val="BodyTextIndentChar"/>
    <w:uiPriority w:val="99"/>
    <w:semiHidden/>
    <w:locked/>
    <w:rsid w:val="00D30A58"/>
    <w:pPr>
      <w:ind w:left="283"/>
    </w:pPr>
  </w:style>
  <w:style w:type="character" w:customStyle="1" w:styleId="BodyTextIndentChar">
    <w:name w:val="Body Text Indent Char"/>
    <w:basedOn w:val="DefaultParagraphFont"/>
    <w:link w:val="BodyTextIndent"/>
    <w:uiPriority w:val="99"/>
    <w:semiHidden/>
    <w:rsid w:val="00D30A58"/>
  </w:style>
  <w:style w:type="paragraph" w:styleId="BodyTextFirstIndent2">
    <w:name w:val="Body Text First Indent 2"/>
    <w:basedOn w:val="BodyTextIndent"/>
    <w:link w:val="BodyTextFirstIndent2Char"/>
    <w:uiPriority w:val="99"/>
    <w:semiHidden/>
    <w:locked/>
    <w:rsid w:val="00D30A58"/>
    <w:pPr>
      <w:ind w:left="360" w:firstLine="360"/>
    </w:pPr>
  </w:style>
  <w:style w:type="character" w:customStyle="1" w:styleId="BodyTextFirstIndent2Char">
    <w:name w:val="Body Text First Indent 2 Char"/>
    <w:basedOn w:val="BodyTextIndentChar"/>
    <w:link w:val="BodyTextFirstIndent2"/>
    <w:uiPriority w:val="99"/>
    <w:semiHidden/>
    <w:rsid w:val="00D30A58"/>
  </w:style>
  <w:style w:type="paragraph" w:styleId="BodyTextIndent2">
    <w:name w:val="Body Text Indent 2"/>
    <w:basedOn w:val="Normal"/>
    <w:link w:val="BodyTextIndent2Char"/>
    <w:uiPriority w:val="99"/>
    <w:semiHidden/>
    <w:locked/>
    <w:rsid w:val="00D30A58"/>
    <w:pPr>
      <w:spacing w:line="480" w:lineRule="auto"/>
      <w:ind w:left="283"/>
    </w:pPr>
  </w:style>
  <w:style w:type="character" w:customStyle="1" w:styleId="BodyTextIndent2Char">
    <w:name w:val="Body Text Indent 2 Char"/>
    <w:basedOn w:val="DefaultParagraphFont"/>
    <w:link w:val="BodyTextIndent2"/>
    <w:uiPriority w:val="99"/>
    <w:semiHidden/>
    <w:rsid w:val="00D30A58"/>
  </w:style>
  <w:style w:type="paragraph" w:styleId="BodyTextIndent3">
    <w:name w:val="Body Text Indent 3"/>
    <w:basedOn w:val="Normal"/>
    <w:link w:val="BodyTextIndent3Char"/>
    <w:uiPriority w:val="99"/>
    <w:semiHidden/>
    <w:locked/>
    <w:rsid w:val="00D30A58"/>
    <w:pPr>
      <w:ind w:left="283"/>
    </w:pPr>
    <w:rPr>
      <w:sz w:val="16"/>
      <w:szCs w:val="16"/>
    </w:rPr>
  </w:style>
  <w:style w:type="character" w:customStyle="1" w:styleId="BodyTextIndent3Char">
    <w:name w:val="Body Text Indent 3 Char"/>
    <w:basedOn w:val="DefaultParagraphFont"/>
    <w:link w:val="BodyTextIndent3"/>
    <w:uiPriority w:val="99"/>
    <w:semiHidden/>
    <w:rsid w:val="00D30A58"/>
    <w:rPr>
      <w:sz w:val="16"/>
      <w:szCs w:val="16"/>
    </w:rPr>
  </w:style>
  <w:style w:type="character" w:styleId="BookTitle">
    <w:name w:val="Book Title"/>
    <w:basedOn w:val="DefaultParagraphFont"/>
    <w:uiPriority w:val="33"/>
    <w:semiHidden/>
    <w:qFormat/>
    <w:locked/>
    <w:rsid w:val="00D30A58"/>
    <w:rPr>
      <w:b/>
      <w:bCs/>
      <w:i/>
      <w:iCs/>
      <w:spacing w:val="5"/>
    </w:rPr>
  </w:style>
  <w:style w:type="table" w:styleId="ColorfulGrid">
    <w:name w:val="Colorful Grid"/>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D30A58"/>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D30A58"/>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D30A58"/>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D30A58"/>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D30A58"/>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D30A58"/>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D30A58"/>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D30A58"/>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D30A58"/>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D30A58"/>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D30A58"/>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D30A58"/>
    <w:rPr>
      <w:sz w:val="16"/>
      <w:szCs w:val="16"/>
    </w:rPr>
  </w:style>
  <w:style w:type="paragraph" w:styleId="CommentText">
    <w:name w:val="annotation text"/>
    <w:basedOn w:val="Normal"/>
    <w:link w:val="CommentTextChar"/>
    <w:uiPriority w:val="99"/>
    <w:semiHidden/>
    <w:locked/>
    <w:rsid w:val="00D30A58"/>
    <w:pPr>
      <w:spacing w:line="240" w:lineRule="auto"/>
    </w:pPr>
    <w:rPr>
      <w:sz w:val="20"/>
      <w:szCs w:val="20"/>
    </w:rPr>
  </w:style>
  <w:style w:type="character" w:customStyle="1" w:styleId="CommentTextChar">
    <w:name w:val="Comment Text Char"/>
    <w:basedOn w:val="DefaultParagraphFont"/>
    <w:link w:val="CommentText"/>
    <w:uiPriority w:val="99"/>
    <w:semiHidden/>
    <w:rsid w:val="00D30A58"/>
    <w:rPr>
      <w:sz w:val="20"/>
      <w:szCs w:val="20"/>
    </w:rPr>
  </w:style>
  <w:style w:type="paragraph" w:styleId="CommentSubject">
    <w:name w:val="annotation subject"/>
    <w:basedOn w:val="CommentText"/>
    <w:next w:val="CommentText"/>
    <w:link w:val="CommentSubjectChar"/>
    <w:uiPriority w:val="99"/>
    <w:semiHidden/>
    <w:locked/>
    <w:rsid w:val="00D30A58"/>
    <w:rPr>
      <w:b/>
      <w:bCs/>
    </w:rPr>
  </w:style>
  <w:style w:type="character" w:customStyle="1" w:styleId="CommentSubjectChar">
    <w:name w:val="Comment Subject Char"/>
    <w:basedOn w:val="CommentTextChar"/>
    <w:link w:val="CommentSubject"/>
    <w:uiPriority w:val="99"/>
    <w:semiHidden/>
    <w:rsid w:val="00D30A58"/>
    <w:rPr>
      <w:b/>
      <w:bCs/>
      <w:sz w:val="20"/>
      <w:szCs w:val="20"/>
    </w:rPr>
  </w:style>
  <w:style w:type="table" w:styleId="DarkList">
    <w:name w:val="Dark List"/>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D30A5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30A58"/>
    <w:rPr>
      <w:rFonts w:ascii="Segoe UI" w:hAnsi="Segoe UI" w:cs="Segoe UI"/>
      <w:sz w:val="16"/>
      <w:szCs w:val="16"/>
    </w:rPr>
  </w:style>
  <w:style w:type="paragraph" w:styleId="E-mailSignature">
    <w:name w:val="E-mail Signature"/>
    <w:basedOn w:val="Normal"/>
    <w:link w:val="E-mailSignatureChar"/>
    <w:uiPriority w:val="99"/>
    <w:semiHidden/>
    <w:locked/>
    <w:rsid w:val="00D30A58"/>
    <w:pPr>
      <w:spacing w:before="0" w:after="0" w:line="240" w:lineRule="auto"/>
    </w:pPr>
  </w:style>
  <w:style w:type="character" w:customStyle="1" w:styleId="E-mailSignatureChar">
    <w:name w:val="E-mail Signature Char"/>
    <w:basedOn w:val="DefaultParagraphFont"/>
    <w:link w:val="E-mailSignature"/>
    <w:uiPriority w:val="99"/>
    <w:semiHidden/>
    <w:rsid w:val="00D30A58"/>
  </w:style>
  <w:style w:type="character" w:styleId="Emphasis">
    <w:name w:val="Emphasis"/>
    <w:basedOn w:val="DefaultParagraphFont"/>
    <w:uiPriority w:val="20"/>
    <w:semiHidden/>
    <w:qFormat/>
    <w:locked/>
    <w:rsid w:val="00D30A58"/>
    <w:rPr>
      <w:i/>
      <w:iCs/>
    </w:rPr>
  </w:style>
  <w:style w:type="character" w:styleId="EndnoteReference">
    <w:name w:val="endnote reference"/>
    <w:basedOn w:val="DefaultParagraphFont"/>
    <w:uiPriority w:val="99"/>
    <w:semiHidden/>
    <w:locked/>
    <w:rsid w:val="00D30A58"/>
    <w:rPr>
      <w:vertAlign w:val="superscript"/>
    </w:rPr>
  </w:style>
  <w:style w:type="paragraph" w:styleId="EndnoteText">
    <w:name w:val="endnote text"/>
    <w:basedOn w:val="Normal"/>
    <w:link w:val="EndnoteTextChar"/>
    <w:uiPriority w:val="99"/>
    <w:semiHidden/>
    <w:locked/>
    <w:rsid w:val="00D30A5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30A58"/>
    <w:rPr>
      <w:sz w:val="20"/>
      <w:szCs w:val="20"/>
    </w:rPr>
  </w:style>
  <w:style w:type="paragraph" w:styleId="EnvelopeReturn">
    <w:name w:val="envelope return"/>
    <w:basedOn w:val="Normal"/>
    <w:uiPriority w:val="99"/>
    <w:semiHidden/>
    <w:rsid w:val="00D30A58"/>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30A58"/>
    <w:rPr>
      <w:color w:val="4D3097" w:themeColor="followedHyperlink"/>
      <w:u w:val="single"/>
    </w:rPr>
  </w:style>
  <w:style w:type="table" w:styleId="GridTable1Light">
    <w:name w:val="Grid Table 1 Light"/>
    <w:basedOn w:val="TableNormal"/>
    <w:uiPriority w:val="46"/>
    <w:locked/>
    <w:rsid w:val="00D3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30A58"/>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30A58"/>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30A58"/>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30A58"/>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30A58"/>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30A58"/>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30A5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30A58"/>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D30A58"/>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D30A58"/>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D30A58"/>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D30A58"/>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D30A58"/>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customStyle="1" w:styleId="Hashtag1">
    <w:name w:val="Hashtag1"/>
    <w:basedOn w:val="DefaultParagraphFont"/>
    <w:uiPriority w:val="99"/>
    <w:semiHidden/>
    <w:locked/>
    <w:rsid w:val="00D30A58"/>
    <w:rPr>
      <w:color w:val="2B579A"/>
      <w:shd w:val="clear" w:color="auto" w:fill="E1DFDD"/>
    </w:rPr>
  </w:style>
  <w:style w:type="character" w:styleId="HTMLCode">
    <w:name w:val="HTML Code"/>
    <w:basedOn w:val="DefaultParagraphFont"/>
    <w:uiPriority w:val="99"/>
    <w:semiHidden/>
    <w:locked/>
    <w:rsid w:val="00D30A58"/>
    <w:rPr>
      <w:rFonts w:ascii="Consolas" w:hAnsi="Consolas"/>
      <w:sz w:val="20"/>
      <w:szCs w:val="20"/>
    </w:rPr>
  </w:style>
  <w:style w:type="character" w:styleId="HTMLDefinition">
    <w:name w:val="HTML Definition"/>
    <w:basedOn w:val="DefaultParagraphFont"/>
    <w:uiPriority w:val="99"/>
    <w:semiHidden/>
    <w:locked/>
    <w:rsid w:val="00D30A58"/>
    <w:rPr>
      <w:i/>
      <w:iCs/>
    </w:rPr>
  </w:style>
  <w:style w:type="character" w:styleId="HTMLKeyboard">
    <w:name w:val="HTML Keyboard"/>
    <w:basedOn w:val="DefaultParagraphFont"/>
    <w:uiPriority w:val="99"/>
    <w:semiHidden/>
    <w:locked/>
    <w:rsid w:val="00D30A58"/>
    <w:rPr>
      <w:rFonts w:ascii="Consolas" w:hAnsi="Consolas"/>
      <w:sz w:val="20"/>
      <w:szCs w:val="20"/>
    </w:rPr>
  </w:style>
  <w:style w:type="paragraph" w:styleId="HTMLPreformatted">
    <w:name w:val="HTML Preformatted"/>
    <w:basedOn w:val="Normal"/>
    <w:link w:val="HTMLPreformattedChar"/>
    <w:uiPriority w:val="99"/>
    <w:semiHidden/>
    <w:locked/>
    <w:rsid w:val="00D30A5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0A58"/>
    <w:rPr>
      <w:rFonts w:ascii="Consolas" w:hAnsi="Consolas"/>
      <w:sz w:val="20"/>
      <w:szCs w:val="20"/>
    </w:rPr>
  </w:style>
  <w:style w:type="character" w:styleId="HTMLSample">
    <w:name w:val="HTML Sample"/>
    <w:basedOn w:val="DefaultParagraphFont"/>
    <w:uiPriority w:val="99"/>
    <w:semiHidden/>
    <w:locked/>
    <w:rsid w:val="00D30A58"/>
    <w:rPr>
      <w:rFonts w:ascii="Consolas" w:hAnsi="Consolas"/>
      <w:sz w:val="24"/>
      <w:szCs w:val="24"/>
    </w:rPr>
  </w:style>
  <w:style w:type="character" w:styleId="HTMLTypewriter">
    <w:name w:val="HTML Typewriter"/>
    <w:basedOn w:val="DefaultParagraphFont"/>
    <w:uiPriority w:val="99"/>
    <w:semiHidden/>
    <w:locked/>
    <w:rsid w:val="00D30A58"/>
    <w:rPr>
      <w:rFonts w:ascii="Consolas" w:hAnsi="Consolas"/>
      <w:sz w:val="20"/>
      <w:szCs w:val="20"/>
    </w:rPr>
  </w:style>
  <w:style w:type="character" w:styleId="HTMLVariable">
    <w:name w:val="HTML Variable"/>
    <w:basedOn w:val="DefaultParagraphFont"/>
    <w:uiPriority w:val="99"/>
    <w:semiHidden/>
    <w:locked/>
    <w:rsid w:val="00D30A58"/>
    <w:rPr>
      <w:i/>
      <w:iCs/>
    </w:rPr>
  </w:style>
  <w:style w:type="paragraph" w:styleId="Index1">
    <w:name w:val="index 1"/>
    <w:basedOn w:val="Normal"/>
    <w:next w:val="Normal"/>
    <w:autoRedefine/>
    <w:uiPriority w:val="99"/>
    <w:semiHidden/>
    <w:locked/>
    <w:rsid w:val="00D30A58"/>
    <w:pPr>
      <w:spacing w:before="0" w:after="0" w:line="240" w:lineRule="auto"/>
      <w:ind w:left="220" w:hanging="220"/>
    </w:pPr>
  </w:style>
  <w:style w:type="paragraph" w:styleId="Index2">
    <w:name w:val="index 2"/>
    <w:basedOn w:val="Normal"/>
    <w:next w:val="Normal"/>
    <w:autoRedefine/>
    <w:uiPriority w:val="99"/>
    <w:semiHidden/>
    <w:locked/>
    <w:rsid w:val="00D30A58"/>
    <w:pPr>
      <w:spacing w:before="0" w:after="0" w:line="240" w:lineRule="auto"/>
      <w:ind w:left="440" w:hanging="220"/>
    </w:pPr>
  </w:style>
  <w:style w:type="paragraph" w:styleId="Index3">
    <w:name w:val="index 3"/>
    <w:basedOn w:val="Normal"/>
    <w:next w:val="Normal"/>
    <w:autoRedefine/>
    <w:uiPriority w:val="99"/>
    <w:semiHidden/>
    <w:locked/>
    <w:rsid w:val="00D30A58"/>
    <w:pPr>
      <w:spacing w:before="0" w:after="0" w:line="240" w:lineRule="auto"/>
      <w:ind w:left="660" w:hanging="220"/>
    </w:pPr>
  </w:style>
  <w:style w:type="paragraph" w:styleId="Index4">
    <w:name w:val="index 4"/>
    <w:basedOn w:val="Normal"/>
    <w:next w:val="Normal"/>
    <w:autoRedefine/>
    <w:uiPriority w:val="99"/>
    <w:semiHidden/>
    <w:locked/>
    <w:rsid w:val="00D30A58"/>
    <w:pPr>
      <w:spacing w:before="0" w:after="0" w:line="240" w:lineRule="auto"/>
      <w:ind w:left="880" w:hanging="220"/>
    </w:pPr>
  </w:style>
  <w:style w:type="paragraph" w:styleId="Index5">
    <w:name w:val="index 5"/>
    <w:basedOn w:val="Normal"/>
    <w:next w:val="Normal"/>
    <w:autoRedefine/>
    <w:uiPriority w:val="99"/>
    <w:semiHidden/>
    <w:locked/>
    <w:rsid w:val="00D30A58"/>
    <w:pPr>
      <w:spacing w:before="0" w:after="0" w:line="240" w:lineRule="auto"/>
      <w:ind w:left="1100" w:hanging="220"/>
    </w:pPr>
  </w:style>
  <w:style w:type="paragraph" w:styleId="Index6">
    <w:name w:val="index 6"/>
    <w:basedOn w:val="Normal"/>
    <w:next w:val="Normal"/>
    <w:autoRedefine/>
    <w:uiPriority w:val="99"/>
    <w:semiHidden/>
    <w:locked/>
    <w:rsid w:val="00D30A58"/>
    <w:pPr>
      <w:spacing w:before="0" w:after="0" w:line="240" w:lineRule="auto"/>
      <w:ind w:left="1320" w:hanging="220"/>
    </w:pPr>
  </w:style>
  <w:style w:type="paragraph" w:styleId="Index7">
    <w:name w:val="index 7"/>
    <w:basedOn w:val="Normal"/>
    <w:next w:val="Normal"/>
    <w:autoRedefine/>
    <w:uiPriority w:val="99"/>
    <w:semiHidden/>
    <w:locked/>
    <w:rsid w:val="00D30A58"/>
    <w:pPr>
      <w:spacing w:before="0" w:after="0" w:line="240" w:lineRule="auto"/>
      <w:ind w:left="1540" w:hanging="220"/>
    </w:pPr>
  </w:style>
  <w:style w:type="paragraph" w:styleId="Index8">
    <w:name w:val="index 8"/>
    <w:basedOn w:val="Normal"/>
    <w:next w:val="Normal"/>
    <w:autoRedefine/>
    <w:uiPriority w:val="99"/>
    <w:semiHidden/>
    <w:locked/>
    <w:rsid w:val="00D30A58"/>
    <w:pPr>
      <w:spacing w:before="0" w:after="0" w:line="240" w:lineRule="auto"/>
      <w:ind w:left="1760" w:hanging="220"/>
    </w:pPr>
  </w:style>
  <w:style w:type="paragraph" w:styleId="Index9">
    <w:name w:val="index 9"/>
    <w:basedOn w:val="Normal"/>
    <w:next w:val="Normal"/>
    <w:autoRedefine/>
    <w:uiPriority w:val="99"/>
    <w:semiHidden/>
    <w:locked/>
    <w:rsid w:val="00D30A58"/>
    <w:pPr>
      <w:spacing w:before="0" w:after="0" w:line="240" w:lineRule="auto"/>
      <w:ind w:left="1980" w:hanging="220"/>
    </w:pPr>
  </w:style>
  <w:style w:type="paragraph" w:styleId="IndexHeading">
    <w:name w:val="index heading"/>
    <w:basedOn w:val="Normal"/>
    <w:next w:val="Index1"/>
    <w:uiPriority w:val="99"/>
    <w:semiHidden/>
    <w:locked/>
    <w:rsid w:val="00D30A58"/>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D30A58"/>
    <w:rPr>
      <w:i/>
      <w:iCs/>
      <w:color w:val="47A843" w:themeColor="accent1"/>
    </w:rPr>
  </w:style>
  <w:style w:type="character" w:styleId="IntenseReference">
    <w:name w:val="Intense Reference"/>
    <w:basedOn w:val="DefaultParagraphFont"/>
    <w:uiPriority w:val="32"/>
    <w:semiHidden/>
    <w:qFormat/>
    <w:locked/>
    <w:rsid w:val="00D30A58"/>
    <w:rPr>
      <w:b/>
      <w:bCs/>
      <w:smallCaps/>
      <w:color w:val="47A843" w:themeColor="accent1"/>
      <w:spacing w:val="5"/>
    </w:rPr>
  </w:style>
  <w:style w:type="table" w:styleId="LightGrid">
    <w:name w:val="Light Grid"/>
    <w:basedOn w:val="TableNormal"/>
    <w:uiPriority w:val="62"/>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D30A5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D30A58"/>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D30A58"/>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D30A58"/>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D30A58"/>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D30A58"/>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D30A58"/>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D30A58"/>
  </w:style>
  <w:style w:type="paragraph" w:styleId="List">
    <w:name w:val="List"/>
    <w:basedOn w:val="Normal"/>
    <w:uiPriority w:val="99"/>
    <w:semiHidden/>
    <w:rsid w:val="00D30A58"/>
    <w:pPr>
      <w:ind w:left="283" w:hanging="283"/>
      <w:contextualSpacing/>
    </w:pPr>
  </w:style>
  <w:style w:type="paragraph" w:styleId="List2">
    <w:name w:val="List 2"/>
    <w:basedOn w:val="Normal"/>
    <w:uiPriority w:val="99"/>
    <w:semiHidden/>
    <w:rsid w:val="00D30A58"/>
    <w:pPr>
      <w:ind w:left="566" w:hanging="283"/>
      <w:contextualSpacing/>
    </w:pPr>
  </w:style>
  <w:style w:type="paragraph" w:styleId="List3">
    <w:name w:val="List 3"/>
    <w:basedOn w:val="Normal"/>
    <w:uiPriority w:val="99"/>
    <w:semiHidden/>
    <w:rsid w:val="00D30A58"/>
    <w:pPr>
      <w:ind w:left="849" w:hanging="283"/>
      <w:contextualSpacing/>
    </w:pPr>
  </w:style>
  <w:style w:type="paragraph" w:styleId="List4">
    <w:name w:val="List 4"/>
    <w:basedOn w:val="Normal"/>
    <w:uiPriority w:val="99"/>
    <w:semiHidden/>
    <w:rsid w:val="00D30A58"/>
    <w:pPr>
      <w:ind w:left="1132" w:hanging="283"/>
      <w:contextualSpacing/>
    </w:pPr>
  </w:style>
  <w:style w:type="paragraph" w:styleId="List5">
    <w:name w:val="List 5"/>
    <w:basedOn w:val="Normal"/>
    <w:uiPriority w:val="99"/>
    <w:semiHidden/>
    <w:rsid w:val="00D30A58"/>
    <w:pPr>
      <w:ind w:left="1415" w:hanging="283"/>
      <w:contextualSpacing/>
    </w:pPr>
  </w:style>
  <w:style w:type="paragraph" w:styleId="ListContinue3">
    <w:name w:val="List Continue 3"/>
    <w:basedOn w:val="Normal"/>
    <w:uiPriority w:val="17"/>
    <w:semiHidden/>
    <w:rsid w:val="00D30A58"/>
    <w:pPr>
      <w:ind w:left="849"/>
      <w:contextualSpacing/>
    </w:pPr>
  </w:style>
  <w:style w:type="paragraph" w:styleId="ListContinue4">
    <w:name w:val="List Continue 4"/>
    <w:basedOn w:val="Normal"/>
    <w:uiPriority w:val="17"/>
    <w:semiHidden/>
    <w:rsid w:val="00D30A58"/>
    <w:pPr>
      <w:ind w:left="1132"/>
      <w:contextualSpacing/>
    </w:pPr>
  </w:style>
  <w:style w:type="paragraph" w:styleId="ListContinue5">
    <w:name w:val="List Continue 5"/>
    <w:basedOn w:val="Normal"/>
    <w:uiPriority w:val="17"/>
    <w:semiHidden/>
    <w:rsid w:val="00D30A58"/>
    <w:pPr>
      <w:ind w:left="1415"/>
      <w:contextualSpacing/>
    </w:pPr>
  </w:style>
  <w:style w:type="table" w:styleId="ListTable1Light">
    <w:name w:val="List Table 1 Light"/>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D30A5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30A58"/>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D30A58"/>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D30A58"/>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D30A58"/>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D30A58"/>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D30A58"/>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D30A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30A58"/>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D30A58"/>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D30A58"/>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D30A58"/>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D30A58"/>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D30A58"/>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30A5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30A58"/>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30A58"/>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30A58"/>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30A58"/>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30A58"/>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30A58"/>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D30A5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30A58"/>
    <w:rPr>
      <w:rFonts w:ascii="Consolas" w:hAnsi="Consolas"/>
      <w:sz w:val="20"/>
      <w:szCs w:val="20"/>
    </w:rPr>
  </w:style>
  <w:style w:type="table" w:styleId="MediumGrid1">
    <w:name w:val="Medium Grid 1"/>
    <w:basedOn w:val="TableNormal"/>
    <w:uiPriority w:val="67"/>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D30A58"/>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D30A58"/>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D30A58"/>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D30A58"/>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D30A58"/>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D30A58"/>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D30A58"/>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locked/>
    <w:rsid w:val="00D30A58"/>
    <w:rPr>
      <w:color w:val="2B579A"/>
      <w:shd w:val="clear" w:color="auto" w:fill="E1DFDD"/>
    </w:rPr>
  </w:style>
  <w:style w:type="paragraph" w:styleId="MessageHeader">
    <w:name w:val="Message Header"/>
    <w:basedOn w:val="Normal"/>
    <w:link w:val="MessageHeaderChar"/>
    <w:uiPriority w:val="99"/>
    <w:semiHidden/>
    <w:locked/>
    <w:rsid w:val="00D30A5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30A5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locked/>
    <w:rsid w:val="00D30A58"/>
    <w:rPr>
      <w:rFonts w:ascii="Times New Roman" w:hAnsi="Times New Roman" w:cs="Times New Roman"/>
      <w:sz w:val="24"/>
      <w:szCs w:val="24"/>
    </w:rPr>
  </w:style>
  <w:style w:type="paragraph" w:styleId="NormalIndent">
    <w:name w:val="Normal Indent"/>
    <w:basedOn w:val="Normal"/>
    <w:uiPriority w:val="99"/>
    <w:semiHidden/>
    <w:locked/>
    <w:rsid w:val="00D30A58"/>
    <w:pPr>
      <w:ind w:left="720"/>
    </w:pPr>
  </w:style>
  <w:style w:type="table" w:styleId="PlainTable1">
    <w:name w:val="Plain Table 1"/>
    <w:basedOn w:val="TableNormal"/>
    <w:uiPriority w:val="41"/>
    <w:locked/>
    <w:rsid w:val="00D30A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30A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D30A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30A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D30A58"/>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D30A58"/>
    <w:rPr>
      <w:rFonts w:ascii="Consolas" w:hAnsi="Consolas"/>
      <w:sz w:val="21"/>
      <w:szCs w:val="21"/>
    </w:rPr>
  </w:style>
  <w:style w:type="character" w:customStyle="1" w:styleId="SmartLink1">
    <w:name w:val="SmartLink1"/>
    <w:basedOn w:val="DefaultParagraphFont"/>
    <w:uiPriority w:val="99"/>
    <w:semiHidden/>
    <w:locked/>
    <w:rsid w:val="00D30A58"/>
    <w:rPr>
      <w:color w:val="0000FF"/>
      <w:u w:val="single"/>
      <w:shd w:val="clear" w:color="auto" w:fill="F3F2F1"/>
    </w:rPr>
  </w:style>
  <w:style w:type="character" w:styleId="SubtleEmphasis">
    <w:name w:val="Subtle Emphasis"/>
    <w:basedOn w:val="DefaultParagraphFont"/>
    <w:uiPriority w:val="19"/>
    <w:semiHidden/>
    <w:qFormat/>
    <w:locked/>
    <w:rsid w:val="00D30A58"/>
    <w:rPr>
      <w:i/>
      <w:iCs/>
      <w:color w:val="404040" w:themeColor="text1" w:themeTint="BF"/>
    </w:rPr>
  </w:style>
  <w:style w:type="character" w:styleId="SubtleReference">
    <w:name w:val="Subtle Reference"/>
    <w:basedOn w:val="DefaultParagraphFont"/>
    <w:uiPriority w:val="31"/>
    <w:semiHidden/>
    <w:qFormat/>
    <w:locked/>
    <w:rsid w:val="00D30A58"/>
    <w:rPr>
      <w:smallCaps/>
      <w:color w:val="5A5A5A" w:themeColor="text1" w:themeTint="A5"/>
    </w:rPr>
  </w:style>
  <w:style w:type="table" w:styleId="Table3Deffects1">
    <w:name w:val="Table 3D effects 1"/>
    <w:basedOn w:val="TableNormal"/>
    <w:uiPriority w:val="99"/>
    <w:semiHidden/>
    <w:unhideWhenUsed/>
    <w:locked/>
    <w:rsid w:val="00D30A5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30A5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30A5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30A5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30A5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30A5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30A5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30A5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30A5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30A5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30A5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30A5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30A5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30A5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30A5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30A5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30A5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30A5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30A5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30A5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30A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30A5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30A5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30A5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30A5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30A5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30A5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30A58"/>
    <w:pPr>
      <w:spacing w:after="0"/>
      <w:ind w:left="220" w:hanging="220"/>
    </w:pPr>
  </w:style>
  <w:style w:type="paragraph" w:styleId="TableofFigures">
    <w:name w:val="table of figures"/>
    <w:basedOn w:val="Normal"/>
    <w:next w:val="Normal"/>
    <w:uiPriority w:val="99"/>
    <w:rsid w:val="00D30A58"/>
    <w:pPr>
      <w:spacing w:after="0"/>
    </w:pPr>
  </w:style>
  <w:style w:type="table" w:styleId="TableProfessional">
    <w:name w:val="Table Professional"/>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30A5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30A5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30A5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30A5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30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D30A5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30A5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30A58"/>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0E5BD7"/>
    <w:pPr>
      <w:tabs>
        <w:tab w:val="right" w:leader="dot" w:pos="9979"/>
      </w:tabs>
      <w:spacing w:before="60" w:after="60"/>
      <w:ind w:left="442"/>
    </w:pPr>
  </w:style>
  <w:style w:type="paragraph" w:styleId="TOC4">
    <w:name w:val="toc 4"/>
    <w:basedOn w:val="Normal"/>
    <w:next w:val="Normal"/>
    <w:autoRedefine/>
    <w:uiPriority w:val="39"/>
    <w:semiHidden/>
    <w:rsid w:val="00D30A58"/>
    <w:pPr>
      <w:spacing w:after="100"/>
      <w:ind w:left="660"/>
    </w:pPr>
  </w:style>
  <w:style w:type="paragraph" w:styleId="TOC5">
    <w:name w:val="toc 5"/>
    <w:basedOn w:val="Normal"/>
    <w:next w:val="Normal"/>
    <w:autoRedefine/>
    <w:uiPriority w:val="39"/>
    <w:semiHidden/>
    <w:rsid w:val="00D30A58"/>
    <w:pPr>
      <w:spacing w:after="100"/>
      <w:ind w:left="880"/>
    </w:pPr>
  </w:style>
  <w:style w:type="paragraph" w:styleId="TOC6">
    <w:name w:val="toc 6"/>
    <w:basedOn w:val="Normal"/>
    <w:next w:val="Normal"/>
    <w:autoRedefine/>
    <w:uiPriority w:val="39"/>
    <w:semiHidden/>
    <w:rsid w:val="00D30A58"/>
    <w:pPr>
      <w:spacing w:after="100"/>
      <w:ind w:left="1100"/>
    </w:pPr>
  </w:style>
  <w:style w:type="paragraph" w:styleId="TOC7">
    <w:name w:val="toc 7"/>
    <w:basedOn w:val="Normal"/>
    <w:next w:val="Normal"/>
    <w:autoRedefine/>
    <w:uiPriority w:val="39"/>
    <w:semiHidden/>
    <w:rsid w:val="00D30A58"/>
    <w:pPr>
      <w:spacing w:after="100"/>
      <w:ind w:left="1320"/>
    </w:pPr>
  </w:style>
  <w:style w:type="paragraph" w:styleId="TOC8">
    <w:name w:val="toc 8"/>
    <w:basedOn w:val="Normal"/>
    <w:next w:val="Normal"/>
    <w:autoRedefine/>
    <w:uiPriority w:val="39"/>
    <w:semiHidden/>
    <w:rsid w:val="00D30A58"/>
    <w:pPr>
      <w:spacing w:after="100"/>
      <w:ind w:left="1540"/>
    </w:pPr>
  </w:style>
  <w:style w:type="paragraph" w:styleId="TOC9">
    <w:name w:val="toc 9"/>
    <w:basedOn w:val="Normal"/>
    <w:next w:val="Normal"/>
    <w:autoRedefine/>
    <w:uiPriority w:val="39"/>
    <w:semiHidden/>
    <w:rsid w:val="00D30A58"/>
    <w:pPr>
      <w:spacing w:after="100"/>
      <w:ind w:left="1760"/>
    </w:pPr>
  </w:style>
  <w:style w:type="character" w:customStyle="1" w:styleId="UnresolvedMention1">
    <w:name w:val="Unresolved Mention1"/>
    <w:basedOn w:val="DefaultParagraphFont"/>
    <w:uiPriority w:val="99"/>
    <w:semiHidden/>
    <w:locked/>
    <w:rsid w:val="00D30A58"/>
    <w:rPr>
      <w:color w:val="605E5C"/>
      <w:shd w:val="clear" w:color="auto" w:fill="E1DFDD"/>
    </w:rPr>
  </w:style>
  <w:style w:type="paragraph" w:customStyle="1" w:styleId="Heading1NoNumbers">
    <w:name w:val="Heading 1 No Numbers"/>
    <w:basedOn w:val="Heading1"/>
    <w:next w:val="Normal"/>
    <w:uiPriority w:val="4"/>
    <w:qFormat/>
    <w:rsid w:val="006324C3"/>
    <w:pPr>
      <w:numPr>
        <w:numId w:val="0"/>
      </w:numPr>
    </w:pPr>
  </w:style>
  <w:style w:type="paragraph" w:customStyle="1" w:styleId="Heading2NoNumbers">
    <w:name w:val="Heading 2 No Numbers"/>
    <w:basedOn w:val="Heading2"/>
    <w:uiPriority w:val="4"/>
    <w:qFormat/>
    <w:rsid w:val="00D30A58"/>
    <w:pPr>
      <w:numPr>
        <w:ilvl w:val="0"/>
        <w:numId w:val="0"/>
      </w:numPr>
    </w:pPr>
  </w:style>
  <w:style w:type="paragraph" w:customStyle="1" w:styleId="Heading3NoNumbers">
    <w:name w:val="Heading 3 No Numbers"/>
    <w:basedOn w:val="Heading3"/>
    <w:uiPriority w:val="4"/>
    <w:qFormat/>
    <w:rsid w:val="00D30A58"/>
    <w:pPr>
      <w:numPr>
        <w:ilvl w:val="0"/>
        <w:numId w:val="0"/>
      </w:numPr>
    </w:pPr>
  </w:style>
  <w:style w:type="paragraph" w:customStyle="1" w:styleId="Heading4NoNumbers">
    <w:name w:val="Heading 4 No Numbers"/>
    <w:basedOn w:val="Heading4"/>
    <w:uiPriority w:val="4"/>
    <w:qFormat/>
    <w:rsid w:val="00D30A58"/>
    <w:pPr>
      <w:numPr>
        <w:ilvl w:val="0"/>
        <w:numId w:val="0"/>
      </w:numPr>
    </w:pPr>
  </w:style>
  <w:style w:type="paragraph" w:customStyle="1" w:styleId="CalloutHeadingRight">
    <w:name w:val="Call out Heading Right"/>
    <w:basedOn w:val="Normal"/>
    <w:uiPriority w:val="9"/>
    <w:qFormat/>
    <w:rsid w:val="00FF20AA"/>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31324F"/>
    <w:pPr>
      <w:framePr w:wrap="around"/>
      <w:spacing w:before="360"/>
    </w:pPr>
    <w:rPr>
      <w:i/>
      <w:sz w:val="24"/>
    </w:rPr>
  </w:style>
  <w:style w:type="paragraph" w:customStyle="1" w:styleId="CallOutHeadingLeft">
    <w:name w:val="Call Out Heading Left"/>
    <w:basedOn w:val="CalloutHeadingRight"/>
    <w:uiPriority w:val="9"/>
    <w:qFormat/>
    <w:rsid w:val="00FF20AA"/>
    <w:pPr>
      <w:framePr w:wrap="around" w:xAlign="left" w:y="1288"/>
      <w:ind w:left="539" w:right="604"/>
    </w:pPr>
  </w:style>
  <w:style w:type="paragraph" w:customStyle="1" w:styleId="CallOutBodyLeft">
    <w:name w:val="Call Out Body Left"/>
    <w:basedOn w:val="CallOutHeadingLeft"/>
    <w:uiPriority w:val="9"/>
    <w:qFormat/>
    <w:rsid w:val="0031324F"/>
    <w:pPr>
      <w:framePr w:wrap="around"/>
    </w:pPr>
    <w:rPr>
      <w:i/>
      <w:sz w:val="24"/>
    </w:rPr>
  </w:style>
  <w:style w:type="table" w:customStyle="1" w:styleId="TablewithBandedRows">
    <w:name w:val="Table with Banded Rows"/>
    <w:basedOn w:val="TableNormal"/>
    <w:uiPriority w:val="99"/>
    <w:rsid w:val="00077789"/>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paragraph" w:customStyle="1" w:styleId="TableChartHeading">
    <w:name w:val="Table/Chart Heading"/>
    <w:basedOn w:val="Normal"/>
    <w:uiPriority w:val="11"/>
    <w:qFormat/>
    <w:rsid w:val="006324C3"/>
    <w:pPr>
      <w:spacing w:before="480" w:after="120"/>
    </w:pPr>
    <w:rPr>
      <w:sz w:val="26"/>
    </w:rPr>
  </w:style>
  <w:style w:type="paragraph" w:customStyle="1" w:styleId="AlphaList">
    <w:name w:val="Alpha List"/>
    <w:basedOn w:val="Normal"/>
    <w:uiPriority w:val="8"/>
    <w:qFormat/>
    <w:rsid w:val="006324C3"/>
    <w:pPr>
      <w:numPr>
        <w:numId w:val="6"/>
      </w:numPr>
      <w:spacing w:after="120"/>
      <w:ind w:left="357" w:hanging="357"/>
    </w:pPr>
  </w:style>
  <w:style w:type="paragraph" w:customStyle="1" w:styleId="AlphaList2">
    <w:name w:val="Alpha List 2"/>
    <w:basedOn w:val="AlphaList"/>
    <w:uiPriority w:val="8"/>
    <w:qFormat/>
    <w:rsid w:val="0010435C"/>
    <w:pPr>
      <w:numPr>
        <w:ilvl w:val="1"/>
      </w:numPr>
    </w:pPr>
  </w:style>
  <w:style w:type="paragraph" w:customStyle="1" w:styleId="AlphaList3">
    <w:name w:val="Alpha List 3"/>
    <w:basedOn w:val="AlphaList2"/>
    <w:uiPriority w:val="8"/>
    <w:qFormat/>
    <w:rsid w:val="0010435C"/>
    <w:pPr>
      <w:numPr>
        <w:ilvl w:val="2"/>
      </w:numPr>
    </w:pPr>
  </w:style>
  <w:style w:type="paragraph" w:customStyle="1" w:styleId="TableBullet1">
    <w:name w:val="Table Bullet 1"/>
    <w:basedOn w:val="ListBullet"/>
    <w:uiPriority w:val="7"/>
    <w:qFormat/>
    <w:rsid w:val="00C7043D"/>
    <w:pPr>
      <w:numPr>
        <w:ilvl w:val="5"/>
      </w:numPr>
      <w:spacing w:before="60" w:after="60"/>
      <w:contextualSpacing w:val="0"/>
    </w:pPr>
  </w:style>
  <w:style w:type="numbering" w:customStyle="1" w:styleId="AlphaLists">
    <w:name w:val="Alpha Lists"/>
    <w:basedOn w:val="NoList"/>
    <w:uiPriority w:val="99"/>
    <w:rsid w:val="0010435C"/>
    <w:pPr>
      <w:numPr>
        <w:numId w:val="6"/>
      </w:numPr>
    </w:pPr>
  </w:style>
  <w:style w:type="paragraph" w:customStyle="1" w:styleId="TableBullet2">
    <w:name w:val="Table Bullet 2"/>
    <w:basedOn w:val="TableBullet1"/>
    <w:uiPriority w:val="7"/>
    <w:qFormat/>
    <w:rsid w:val="00D91B11"/>
    <w:pPr>
      <w:numPr>
        <w:ilvl w:val="6"/>
      </w:numPr>
      <w:ind w:left="568" w:hanging="284"/>
    </w:pPr>
  </w:style>
  <w:style w:type="paragraph" w:customStyle="1" w:styleId="ImageCallOutRight">
    <w:name w:val="Image Call Out Right"/>
    <w:basedOn w:val="CalloutHeadingRigh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C7043D"/>
    <w:pPr>
      <w:numPr>
        <w:ilvl w:val="7"/>
      </w:numPr>
      <w:spacing w:before="60" w:after="60"/>
      <w:contextualSpacing w:val="0"/>
    </w:pPr>
  </w:style>
  <w:style w:type="paragraph" w:customStyle="1" w:styleId="Address">
    <w:name w:val="Address"/>
    <w:basedOn w:val="Normal"/>
    <w:uiPriority w:val="34"/>
    <w:semiHidden/>
    <w:rsid w:val="00595A34"/>
    <w:pPr>
      <w:spacing w:before="0" w:after="600"/>
      <w:contextualSpacing/>
    </w:pPr>
  </w:style>
  <w:style w:type="paragraph" w:customStyle="1" w:styleId="Dear">
    <w:name w:val="Dear"/>
    <w:basedOn w:val="Normal"/>
    <w:uiPriority w:val="34"/>
    <w:semiHidden/>
    <w:rsid w:val="00595A34"/>
    <w:pPr>
      <w:spacing w:before="240"/>
    </w:pPr>
  </w:style>
  <w:style w:type="paragraph" w:customStyle="1" w:styleId="Subject">
    <w:name w:val="Subject"/>
    <w:basedOn w:val="Dear"/>
    <w:uiPriority w:val="34"/>
    <w:semiHidden/>
    <w:rsid w:val="004064D3"/>
    <w:pPr>
      <w:spacing w:after="120"/>
    </w:pPr>
    <w:rPr>
      <w:b/>
    </w:rPr>
  </w:style>
  <w:style w:type="paragraph" w:customStyle="1" w:styleId="BoldHeading">
    <w:name w:val="Bold Heading"/>
    <w:basedOn w:val="Normal"/>
    <w:uiPriority w:val="99"/>
    <w:rsid w:val="006375E8"/>
    <w:rPr>
      <w:b/>
    </w:rPr>
  </w:style>
  <w:style w:type="paragraph" w:customStyle="1" w:styleId="LetterheadAddress">
    <w:name w:val="Letterhead Address"/>
    <w:basedOn w:val="Normal"/>
    <w:uiPriority w:val="34"/>
    <w:semiHidden/>
    <w:rsid w:val="004064D3"/>
    <w:pPr>
      <w:framePr w:wrap="around" w:vAnchor="page" w:hAnchor="text" w:y="795"/>
    </w:pPr>
    <w:rPr>
      <w:sz w:val="17"/>
    </w:rPr>
  </w:style>
  <w:style w:type="paragraph" w:customStyle="1" w:styleId="SecurityClassification">
    <w:name w:val="Security Classification"/>
    <w:basedOn w:val="Normal"/>
    <w:uiPriority w:val="99"/>
    <w:semiHidden/>
    <w:qFormat/>
    <w:rsid w:val="00BB400C"/>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B76801"/>
    <w:pPr>
      <w:framePr w:w="4536" w:wrap="around" w:hAnchor="page" w:xAlign="center" w:y="13382"/>
      <w:jc w:val="center"/>
    </w:pPr>
    <w:rPr>
      <w:b/>
      <w:caps/>
    </w:rPr>
  </w:style>
  <w:style w:type="table" w:customStyle="1" w:styleId="TablewithFirstColumn">
    <w:name w:val="Table with First Column"/>
    <w:basedOn w:val="TableGrid"/>
    <w:uiPriority w:val="99"/>
    <w:rsid w:val="00077789"/>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AE5451"/>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077789"/>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077789"/>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paragraph" w:customStyle="1" w:styleId="TableTextSmall">
    <w:name w:val="Table Text Small"/>
    <w:basedOn w:val="Normal"/>
    <w:uiPriority w:val="99"/>
    <w:rsid w:val="002F0CF1"/>
    <w:pPr>
      <w:kinsoku w:val="0"/>
      <w:overflowPunct w:val="0"/>
      <w:autoSpaceDE w:val="0"/>
      <w:autoSpaceDN w:val="0"/>
      <w:adjustRightInd w:val="0"/>
      <w:snapToGrid w:val="0"/>
      <w:spacing w:after="120" w:line="240" w:lineRule="auto"/>
    </w:pPr>
    <w:rPr>
      <w:rFonts w:ascii="Arial" w:eastAsia="Times New Roman" w:hAnsi="Arial" w:cs="Arial"/>
      <w:color w:val="auto"/>
      <w:sz w:val="18"/>
      <w:szCs w:val="18"/>
    </w:rPr>
  </w:style>
  <w:style w:type="paragraph" w:customStyle="1" w:styleId="TableColumnHeadingSmall">
    <w:name w:val="Table Column Heading Small"/>
    <w:basedOn w:val="TableTextSmall"/>
    <w:next w:val="TableTextSmall"/>
    <w:uiPriority w:val="99"/>
    <w:rsid w:val="002F0CF1"/>
    <w:pPr>
      <w:keepNext/>
      <w:keepLines/>
    </w:pPr>
    <w:rPr>
      <w:szCs w:val="16"/>
    </w:rPr>
  </w:style>
  <w:style w:type="table" w:customStyle="1" w:styleId="TransGridTableWtihRowBands">
    <w:name w:val="TransGrid Table Wtih Row Bands"/>
    <w:basedOn w:val="TableNormal"/>
    <w:uiPriority w:val="99"/>
    <w:rsid w:val="00CC5C2D"/>
    <w:pPr>
      <w:spacing w:before="80" w:after="80"/>
    </w:pPr>
    <w:rPr>
      <w:rFonts w:eastAsia="Times New Roman" w:cs="Times New Roman"/>
      <w:lang w:eastAsia="en-AU"/>
    </w:rPr>
    <w:tblPr>
      <w:tblStyleRowBandSize w:val="1"/>
      <w:tblStyleColBandSize w:val="1"/>
      <w:tblBorders>
        <w:bottom w:val="single" w:sz="4" w:space="0" w:color="BFBFBF" w:themeColor="text2"/>
        <w:insideH w:val="single" w:sz="4" w:space="0" w:color="BFBFBF" w:themeColor="text2"/>
      </w:tblBorders>
    </w:tblPr>
    <w:tcPr>
      <w:shd w:val="clear" w:color="auto" w:fill="auto"/>
    </w:tcPr>
    <w:tblStylePr w:type="firstRow">
      <w:rPr>
        <w:b/>
        <w:color w:val="FFFFFF" w:themeColor="background1"/>
      </w:rPr>
      <w:tblPr/>
      <w:tcPr>
        <w:tcBorders>
          <w:top w:val="nil"/>
          <w:left w:val="nil"/>
          <w:bottom w:val="single" w:sz="4" w:space="0" w:color="FFFFFF" w:themeColor="background1"/>
          <w:right w:val="nil"/>
          <w:insideH w:val="nil"/>
          <w:insideV w:val="nil"/>
          <w:tl2br w:val="nil"/>
          <w:tr2bl w:val="nil"/>
        </w:tcBorders>
        <w:shd w:val="clear" w:color="auto" w:fill="BFBFBF" w:themeFill="text2"/>
      </w:tcPr>
    </w:tblStylePr>
    <w:tblStylePr w:type="lastRow">
      <w:rPr>
        <w:i/>
      </w:rPr>
    </w:tblStylePr>
    <w:tblStylePr w:type="firstCol">
      <w:rPr>
        <w:b/>
        <w:color w:val="000000" w:themeColor="text1"/>
      </w:rPr>
      <w:tblPr/>
      <w:tcPr>
        <w:shd w:val="clear" w:color="auto" w:fill="0066BE" w:themeFill="background2"/>
      </w:tcPr>
    </w:tblStylePr>
    <w:tblStylePr w:type="band2Horz">
      <w:tblPr/>
      <w:tcPr>
        <w:shd w:val="clear" w:color="auto" w:fill="F2F2F2" w:themeFill="background1" w:themeFillShade="F2"/>
      </w:tcPr>
    </w:tblStylePr>
    <w:tblStylePr w:type="nwCell">
      <w:rPr>
        <w:b/>
      </w:rPr>
    </w:tblStylePr>
  </w:style>
  <w:style w:type="character" w:customStyle="1" w:styleId="scayt-misspell-word">
    <w:name w:val="scayt-misspell-word"/>
    <w:basedOn w:val="DefaultParagraphFont"/>
    <w:rsid w:val="00B22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1644">
      <w:bodyDiv w:val="1"/>
      <w:marLeft w:val="0"/>
      <w:marRight w:val="0"/>
      <w:marTop w:val="0"/>
      <w:marBottom w:val="0"/>
      <w:divBdr>
        <w:top w:val="none" w:sz="0" w:space="0" w:color="auto"/>
        <w:left w:val="none" w:sz="0" w:space="0" w:color="auto"/>
        <w:bottom w:val="none" w:sz="0" w:space="0" w:color="auto"/>
        <w:right w:val="none" w:sz="0" w:space="0" w:color="auto"/>
      </w:divBdr>
    </w:div>
    <w:div w:id="54397516">
      <w:bodyDiv w:val="1"/>
      <w:marLeft w:val="0"/>
      <w:marRight w:val="0"/>
      <w:marTop w:val="0"/>
      <w:marBottom w:val="0"/>
      <w:divBdr>
        <w:top w:val="none" w:sz="0" w:space="0" w:color="auto"/>
        <w:left w:val="none" w:sz="0" w:space="0" w:color="auto"/>
        <w:bottom w:val="none" w:sz="0" w:space="0" w:color="auto"/>
        <w:right w:val="none" w:sz="0" w:space="0" w:color="auto"/>
      </w:divBdr>
    </w:div>
    <w:div w:id="129637106">
      <w:bodyDiv w:val="1"/>
      <w:marLeft w:val="0"/>
      <w:marRight w:val="0"/>
      <w:marTop w:val="0"/>
      <w:marBottom w:val="0"/>
      <w:divBdr>
        <w:top w:val="none" w:sz="0" w:space="0" w:color="auto"/>
        <w:left w:val="none" w:sz="0" w:space="0" w:color="auto"/>
        <w:bottom w:val="none" w:sz="0" w:space="0" w:color="auto"/>
        <w:right w:val="none" w:sz="0" w:space="0" w:color="auto"/>
      </w:divBdr>
    </w:div>
    <w:div w:id="162822996">
      <w:bodyDiv w:val="1"/>
      <w:marLeft w:val="0"/>
      <w:marRight w:val="0"/>
      <w:marTop w:val="0"/>
      <w:marBottom w:val="0"/>
      <w:divBdr>
        <w:top w:val="none" w:sz="0" w:space="0" w:color="auto"/>
        <w:left w:val="none" w:sz="0" w:space="0" w:color="auto"/>
        <w:bottom w:val="none" w:sz="0" w:space="0" w:color="auto"/>
        <w:right w:val="none" w:sz="0" w:space="0" w:color="auto"/>
      </w:divBdr>
    </w:div>
    <w:div w:id="175923532">
      <w:bodyDiv w:val="1"/>
      <w:marLeft w:val="0"/>
      <w:marRight w:val="0"/>
      <w:marTop w:val="0"/>
      <w:marBottom w:val="0"/>
      <w:divBdr>
        <w:top w:val="none" w:sz="0" w:space="0" w:color="auto"/>
        <w:left w:val="none" w:sz="0" w:space="0" w:color="auto"/>
        <w:bottom w:val="none" w:sz="0" w:space="0" w:color="auto"/>
        <w:right w:val="none" w:sz="0" w:space="0" w:color="auto"/>
      </w:divBdr>
    </w:div>
    <w:div w:id="220529122">
      <w:bodyDiv w:val="1"/>
      <w:marLeft w:val="0"/>
      <w:marRight w:val="0"/>
      <w:marTop w:val="0"/>
      <w:marBottom w:val="0"/>
      <w:divBdr>
        <w:top w:val="none" w:sz="0" w:space="0" w:color="auto"/>
        <w:left w:val="none" w:sz="0" w:space="0" w:color="auto"/>
        <w:bottom w:val="none" w:sz="0" w:space="0" w:color="auto"/>
        <w:right w:val="none" w:sz="0" w:space="0" w:color="auto"/>
      </w:divBdr>
    </w:div>
    <w:div w:id="321661099">
      <w:bodyDiv w:val="1"/>
      <w:marLeft w:val="0"/>
      <w:marRight w:val="0"/>
      <w:marTop w:val="0"/>
      <w:marBottom w:val="0"/>
      <w:divBdr>
        <w:top w:val="none" w:sz="0" w:space="0" w:color="auto"/>
        <w:left w:val="none" w:sz="0" w:space="0" w:color="auto"/>
        <w:bottom w:val="none" w:sz="0" w:space="0" w:color="auto"/>
        <w:right w:val="none" w:sz="0" w:space="0" w:color="auto"/>
      </w:divBdr>
    </w:div>
    <w:div w:id="355162127">
      <w:bodyDiv w:val="1"/>
      <w:marLeft w:val="0"/>
      <w:marRight w:val="0"/>
      <w:marTop w:val="0"/>
      <w:marBottom w:val="0"/>
      <w:divBdr>
        <w:top w:val="none" w:sz="0" w:space="0" w:color="auto"/>
        <w:left w:val="none" w:sz="0" w:space="0" w:color="auto"/>
        <w:bottom w:val="none" w:sz="0" w:space="0" w:color="auto"/>
        <w:right w:val="none" w:sz="0" w:space="0" w:color="auto"/>
      </w:divBdr>
    </w:div>
    <w:div w:id="374354019">
      <w:bodyDiv w:val="1"/>
      <w:marLeft w:val="0"/>
      <w:marRight w:val="0"/>
      <w:marTop w:val="0"/>
      <w:marBottom w:val="0"/>
      <w:divBdr>
        <w:top w:val="none" w:sz="0" w:space="0" w:color="auto"/>
        <w:left w:val="none" w:sz="0" w:space="0" w:color="auto"/>
        <w:bottom w:val="none" w:sz="0" w:space="0" w:color="auto"/>
        <w:right w:val="none" w:sz="0" w:space="0" w:color="auto"/>
      </w:divBdr>
    </w:div>
    <w:div w:id="384840584">
      <w:bodyDiv w:val="1"/>
      <w:marLeft w:val="0"/>
      <w:marRight w:val="0"/>
      <w:marTop w:val="0"/>
      <w:marBottom w:val="0"/>
      <w:divBdr>
        <w:top w:val="none" w:sz="0" w:space="0" w:color="auto"/>
        <w:left w:val="none" w:sz="0" w:space="0" w:color="auto"/>
        <w:bottom w:val="none" w:sz="0" w:space="0" w:color="auto"/>
        <w:right w:val="none" w:sz="0" w:space="0" w:color="auto"/>
      </w:divBdr>
    </w:div>
    <w:div w:id="427190448">
      <w:bodyDiv w:val="1"/>
      <w:marLeft w:val="0"/>
      <w:marRight w:val="0"/>
      <w:marTop w:val="0"/>
      <w:marBottom w:val="0"/>
      <w:divBdr>
        <w:top w:val="none" w:sz="0" w:space="0" w:color="auto"/>
        <w:left w:val="none" w:sz="0" w:space="0" w:color="auto"/>
        <w:bottom w:val="none" w:sz="0" w:space="0" w:color="auto"/>
        <w:right w:val="none" w:sz="0" w:space="0" w:color="auto"/>
      </w:divBdr>
    </w:div>
    <w:div w:id="504395321">
      <w:bodyDiv w:val="1"/>
      <w:marLeft w:val="0"/>
      <w:marRight w:val="0"/>
      <w:marTop w:val="0"/>
      <w:marBottom w:val="0"/>
      <w:divBdr>
        <w:top w:val="none" w:sz="0" w:space="0" w:color="auto"/>
        <w:left w:val="none" w:sz="0" w:space="0" w:color="auto"/>
        <w:bottom w:val="none" w:sz="0" w:space="0" w:color="auto"/>
        <w:right w:val="none" w:sz="0" w:space="0" w:color="auto"/>
      </w:divBdr>
    </w:div>
    <w:div w:id="599947524">
      <w:bodyDiv w:val="1"/>
      <w:marLeft w:val="0"/>
      <w:marRight w:val="0"/>
      <w:marTop w:val="0"/>
      <w:marBottom w:val="0"/>
      <w:divBdr>
        <w:top w:val="none" w:sz="0" w:space="0" w:color="auto"/>
        <w:left w:val="none" w:sz="0" w:space="0" w:color="auto"/>
        <w:bottom w:val="none" w:sz="0" w:space="0" w:color="auto"/>
        <w:right w:val="none" w:sz="0" w:space="0" w:color="auto"/>
      </w:divBdr>
    </w:div>
    <w:div w:id="761292638">
      <w:bodyDiv w:val="1"/>
      <w:marLeft w:val="0"/>
      <w:marRight w:val="0"/>
      <w:marTop w:val="0"/>
      <w:marBottom w:val="0"/>
      <w:divBdr>
        <w:top w:val="none" w:sz="0" w:space="0" w:color="auto"/>
        <w:left w:val="none" w:sz="0" w:space="0" w:color="auto"/>
        <w:bottom w:val="none" w:sz="0" w:space="0" w:color="auto"/>
        <w:right w:val="none" w:sz="0" w:space="0" w:color="auto"/>
      </w:divBdr>
    </w:div>
    <w:div w:id="764034161">
      <w:bodyDiv w:val="1"/>
      <w:marLeft w:val="0"/>
      <w:marRight w:val="0"/>
      <w:marTop w:val="0"/>
      <w:marBottom w:val="0"/>
      <w:divBdr>
        <w:top w:val="none" w:sz="0" w:space="0" w:color="auto"/>
        <w:left w:val="none" w:sz="0" w:space="0" w:color="auto"/>
        <w:bottom w:val="none" w:sz="0" w:space="0" w:color="auto"/>
        <w:right w:val="none" w:sz="0" w:space="0" w:color="auto"/>
      </w:divBdr>
    </w:div>
    <w:div w:id="766653383">
      <w:bodyDiv w:val="1"/>
      <w:marLeft w:val="0"/>
      <w:marRight w:val="0"/>
      <w:marTop w:val="0"/>
      <w:marBottom w:val="0"/>
      <w:divBdr>
        <w:top w:val="none" w:sz="0" w:space="0" w:color="auto"/>
        <w:left w:val="none" w:sz="0" w:space="0" w:color="auto"/>
        <w:bottom w:val="none" w:sz="0" w:space="0" w:color="auto"/>
        <w:right w:val="none" w:sz="0" w:space="0" w:color="auto"/>
      </w:divBdr>
    </w:div>
    <w:div w:id="918101875">
      <w:bodyDiv w:val="1"/>
      <w:marLeft w:val="0"/>
      <w:marRight w:val="0"/>
      <w:marTop w:val="0"/>
      <w:marBottom w:val="0"/>
      <w:divBdr>
        <w:top w:val="none" w:sz="0" w:space="0" w:color="auto"/>
        <w:left w:val="none" w:sz="0" w:space="0" w:color="auto"/>
        <w:bottom w:val="none" w:sz="0" w:space="0" w:color="auto"/>
        <w:right w:val="none" w:sz="0" w:space="0" w:color="auto"/>
      </w:divBdr>
    </w:div>
    <w:div w:id="1133256449">
      <w:bodyDiv w:val="1"/>
      <w:marLeft w:val="0"/>
      <w:marRight w:val="0"/>
      <w:marTop w:val="0"/>
      <w:marBottom w:val="0"/>
      <w:divBdr>
        <w:top w:val="none" w:sz="0" w:space="0" w:color="auto"/>
        <w:left w:val="none" w:sz="0" w:space="0" w:color="auto"/>
        <w:bottom w:val="none" w:sz="0" w:space="0" w:color="auto"/>
        <w:right w:val="none" w:sz="0" w:space="0" w:color="auto"/>
      </w:divBdr>
    </w:div>
    <w:div w:id="1194031907">
      <w:bodyDiv w:val="1"/>
      <w:marLeft w:val="0"/>
      <w:marRight w:val="0"/>
      <w:marTop w:val="0"/>
      <w:marBottom w:val="0"/>
      <w:divBdr>
        <w:top w:val="none" w:sz="0" w:space="0" w:color="auto"/>
        <w:left w:val="none" w:sz="0" w:space="0" w:color="auto"/>
        <w:bottom w:val="none" w:sz="0" w:space="0" w:color="auto"/>
        <w:right w:val="none" w:sz="0" w:space="0" w:color="auto"/>
      </w:divBdr>
    </w:div>
    <w:div w:id="1220049024">
      <w:bodyDiv w:val="1"/>
      <w:marLeft w:val="0"/>
      <w:marRight w:val="0"/>
      <w:marTop w:val="0"/>
      <w:marBottom w:val="0"/>
      <w:divBdr>
        <w:top w:val="none" w:sz="0" w:space="0" w:color="auto"/>
        <w:left w:val="none" w:sz="0" w:space="0" w:color="auto"/>
        <w:bottom w:val="none" w:sz="0" w:space="0" w:color="auto"/>
        <w:right w:val="none" w:sz="0" w:space="0" w:color="auto"/>
      </w:divBdr>
    </w:div>
    <w:div w:id="1294410643">
      <w:bodyDiv w:val="1"/>
      <w:marLeft w:val="0"/>
      <w:marRight w:val="0"/>
      <w:marTop w:val="0"/>
      <w:marBottom w:val="0"/>
      <w:divBdr>
        <w:top w:val="none" w:sz="0" w:space="0" w:color="auto"/>
        <w:left w:val="none" w:sz="0" w:space="0" w:color="auto"/>
        <w:bottom w:val="none" w:sz="0" w:space="0" w:color="auto"/>
        <w:right w:val="none" w:sz="0" w:space="0" w:color="auto"/>
      </w:divBdr>
    </w:div>
    <w:div w:id="1300837137">
      <w:bodyDiv w:val="1"/>
      <w:marLeft w:val="0"/>
      <w:marRight w:val="0"/>
      <w:marTop w:val="0"/>
      <w:marBottom w:val="0"/>
      <w:divBdr>
        <w:top w:val="none" w:sz="0" w:space="0" w:color="auto"/>
        <w:left w:val="none" w:sz="0" w:space="0" w:color="auto"/>
        <w:bottom w:val="none" w:sz="0" w:space="0" w:color="auto"/>
        <w:right w:val="none" w:sz="0" w:space="0" w:color="auto"/>
      </w:divBdr>
    </w:div>
    <w:div w:id="1309893139">
      <w:bodyDiv w:val="1"/>
      <w:marLeft w:val="0"/>
      <w:marRight w:val="0"/>
      <w:marTop w:val="0"/>
      <w:marBottom w:val="0"/>
      <w:divBdr>
        <w:top w:val="none" w:sz="0" w:space="0" w:color="auto"/>
        <w:left w:val="none" w:sz="0" w:space="0" w:color="auto"/>
        <w:bottom w:val="none" w:sz="0" w:space="0" w:color="auto"/>
        <w:right w:val="none" w:sz="0" w:space="0" w:color="auto"/>
      </w:divBdr>
    </w:div>
    <w:div w:id="1320891246">
      <w:bodyDiv w:val="1"/>
      <w:marLeft w:val="0"/>
      <w:marRight w:val="0"/>
      <w:marTop w:val="0"/>
      <w:marBottom w:val="0"/>
      <w:divBdr>
        <w:top w:val="none" w:sz="0" w:space="0" w:color="auto"/>
        <w:left w:val="none" w:sz="0" w:space="0" w:color="auto"/>
        <w:bottom w:val="none" w:sz="0" w:space="0" w:color="auto"/>
        <w:right w:val="none" w:sz="0" w:space="0" w:color="auto"/>
      </w:divBdr>
    </w:div>
    <w:div w:id="1332216475">
      <w:bodyDiv w:val="1"/>
      <w:marLeft w:val="0"/>
      <w:marRight w:val="0"/>
      <w:marTop w:val="0"/>
      <w:marBottom w:val="0"/>
      <w:divBdr>
        <w:top w:val="none" w:sz="0" w:space="0" w:color="auto"/>
        <w:left w:val="none" w:sz="0" w:space="0" w:color="auto"/>
        <w:bottom w:val="none" w:sz="0" w:space="0" w:color="auto"/>
        <w:right w:val="none" w:sz="0" w:space="0" w:color="auto"/>
      </w:divBdr>
    </w:div>
    <w:div w:id="1426994360">
      <w:bodyDiv w:val="1"/>
      <w:marLeft w:val="0"/>
      <w:marRight w:val="0"/>
      <w:marTop w:val="0"/>
      <w:marBottom w:val="0"/>
      <w:divBdr>
        <w:top w:val="none" w:sz="0" w:space="0" w:color="auto"/>
        <w:left w:val="none" w:sz="0" w:space="0" w:color="auto"/>
        <w:bottom w:val="none" w:sz="0" w:space="0" w:color="auto"/>
        <w:right w:val="none" w:sz="0" w:space="0" w:color="auto"/>
      </w:divBdr>
    </w:div>
    <w:div w:id="1500585297">
      <w:bodyDiv w:val="1"/>
      <w:marLeft w:val="0"/>
      <w:marRight w:val="0"/>
      <w:marTop w:val="0"/>
      <w:marBottom w:val="0"/>
      <w:divBdr>
        <w:top w:val="none" w:sz="0" w:space="0" w:color="auto"/>
        <w:left w:val="none" w:sz="0" w:space="0" w:color="auto"/>
        <w:bottom w:val="none" w:sz="0" w:space="0" w:color="auto"/>
        <w:right w:val="none" w:sz="0" w:space="0" w:color="auto"/>
      </w:divBdr>
    </w:div>
    <w:div w:id="1502115954">
      <w:bodyDiv w:val="1"/>
      <w:marLeft w:val="0"/>
      <w:marRight w:val="0"/>
      <w:marTop w:val="0"/>
      <w:marBottom w:val="0"/>
      <w:divBdr>
        <w:top w:val="none" w:sz="0" w:space="0" w:color="auto"/>
        <w:left w:val="none" w:sz="0" w:space="0" w:color="auto"/>
        <w:bottom w:val="none" w:sz="0" w:space="0" w:color="auto"/>
        <w:right w:val="none" w:sz="0" w:space="0" w:color="auto"/>
      </w:divBdr>
    </w:div>
    <w:div w:id="1560093070">
      <w:bodyDiv w:val="1"/>
      <w:marLeft w:val="0"/>
      <w:marRight w:val="0"/>
      <w:marTop w:val="0"/>
      <w:marBottom w:val="0"/>
      <w:divBdr>
        <w:top w:val="none" w:sz="0" w:space="0" w:color="auto"/>
        <w:left w:val="none" w:sz="0" w:space="0" w:color="auto"/>
        <w:bottom w:val="none" w:sz="0" w:space="0" w:color="auto"/>
        <w:right w:val="none" w:sz="0" w:space="0" w:color="auto"/>
      </w:divBdr>
    </w:div>
    <w:div w:id="1589850273">
      <w:bodyDiv w:val="1"/>
      <w:marLeft w:val="0"/>
      <w:marRight w:val="0"/>
      <w:marTop w:val="0"/>
      <w:marBottom w:val="0"/>
      <w:divBdr>
        <w:top w:val="none" w:sz="0" w:space="0" w:color="auto"/>
        <w:left w:val="none" w:sz="0" w:space="0" w:color="auto"/>
        <w:bottom w:val="none" w:sz="0" w:space="0" w:color="auto"/>
        <w:right w:val="none" w:sz="0" w:space="0" w:color="auto"/>
      </w:divBdr>
    </w:div>
    <w:div w:id="1643390499">
      <w:bodyDiv w:val="1"/>
      <w:marLeft w:val="0"/>
      <w:marRight w:val="0"/>
      <w:marTop w:val="0"/>
      <w:marBottom w:val="0"/>
      <w:divBdr>
        <w:top w:val="none" w:sz="0" w:space="0" w:color="auto"/>
        <w:left w:val="none" w:sz="0" w:space="0" w:color="auto"/>
        <w:bottom w:val="none" w:sz="0" w:space="0" w:color="auto"/>
        <w:right w:val="none" w:sz="0" w:space="0" w:color="auto"/>
      </w:divBdr>
    </w:div>
    <w:div w:id="1679504236">
      <w:bodyDiv w:val="1"/>
      <w:marLeft w:val="0"/>
      <w:marRight w:val="0"/>
      <w:marTop w:val="0"/>
      <w:marBottom w:val="0"/>
      <w:divBdr>
        <w:top w:val="none" w:sz="0" w:space="0" w:color="auto"/>
        <w:left w:val="none" w:sz="0" w:space="0" w:color="auto"/>
        <w:bottom w:val="none" w:sz="0" w:space="0" w:color="auto"/>
        <w:right w:val="none" w:sz="0" w:space="0" w:color="auto"/>
      </w:divBdr>
    </w:div>
    <w:div w:id="170736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93C54-C5C0-4589-A3C5-AD32E39A6E37}" type="doc">
      <dgm:prSet loTypeId="urn:microsoft.com/office/officeart/2005/8/layout/chevron1" loCatId="process" qsTypeId="urn:microsoft.com/office/officeart/2005/8/quickstyle/simple1" qsCatId="simple" csTypeId="urn:microsoft.com/office/officeart/2005/8/colors/accent1_2" csCatId="accent1" phldr="1"/>
      <dgm:spPr/>
    </dgm:pt>
    <dgm:pt modelId="{7B3D9423-4E58-485B-B314-25C089EF6C7B}">
      <dgm:prSet phldrT="[Text]" custT="1"/>
      <dgm:spPr/>
      <dgm:t>
        <a:bodyPr/>
        <a:lstStyle/>
        <a:p>
          <a:r>
            <a:rPr lang="en-AU" sz="800" b="1"/>
            <a:t>Assign Responsibility by Worksheet</a:t>
          </a:r>
        </a:p>
      </dgm:t>
    </dgm:pt>
    <dgm:pt modelId="{F2522E27-E7C6-4487-80E2-25047C2169C7}" type="parTrans" cxnId="{A1224C5A-D6B0-4B70-88AB-FEDCE36D77DA}">
      <dgm:prSet/>
      <dgm:spPr/>
      <dgm:t>
        <a:bodyPr/>
        <a:lstStyle/>
        <a:p>
          <a:endParaRPr lang="en-AU" sz="900"/>
        </a:p>
      </dgm:t>
    </dgm:pt>
    <dgm:pt modelId="{9B10BC0D-9484-406F-9F50-1BECD041AD44}" type="sibTrans" cxnId="{A1224C5A-D6B0-4B70-88AB-FEDCE36D77DA}">
      <dgm:prSet/>
      <dgm:spPr/>
      <dgm:t>
        <a:bodyPr/>
        <a:lstStyle/>
        <a:p>
          <a:endParaRPr lang="en-AU" sz="900"/>
        </a:p>
      </dgm:t>
    </dgm:pt>
    <dgm:pt modelId="{57D1AE0A-7980-496D-97F8-412A7A7F141E}">
      <dgm:prSet phldrT="[Text]" custT="1"/>
      <dgm:spPr/>
      <dgm:t>
        <a:bodyPr/>
        <a:lstStyle/>
        <a:p>
          <a:r>
            <a:rPr lang="en-AU" sz="800" b="1"/>
            <a:t>Prepare </a:t>
          </a:r>
          <a:r>
            <a:rPr lang="en-AU" sz="800" b="1" baseline="0"/>
            <a:t>Response</a:t>
          </a:r>
        </a:p>
      </dgm:t>
    </dgm:pt>
    <dgm:pt modelId="{03FF113F-6742-4C78-8A63-4E3599B49D77}" type="parTrans" cxnId="{0C80BDCD-0BB9-4CE5-943A-C840C3A205BD}">
      <dgm:prSet/>
      <dgm:spPr/>
      <dgm:t>
        <a:bodyPr/>
        <a:lstStyle/>
        <a:p>
          <a:endParaRPr lang="en-AU" sz="900"/>
        </a:p>
      </dgm:t>
    </dgm:pt>
    <dgm:pt modelId="{5427B131-D1CD-43FF-B969-54B2FE9CB9A8}" type="sibTrans" cxnId="{0C80BDCD-0BB9-4CE5-943A-C840C3A205BD}">
      <dgm:prSet/>
      <dgm:spPr/>
      <dgm:t>
        <a:bodyPr/>
        <a:lstStyle/>
        <a:p>
          <a:endParaRPr lang="en-AU" sz="900"/>
        </a:p>
      </dgm:t>
    </dgm:pt>
    <dgm:pt modelId="{8E52679D-77D5-497C-ADB2-FE3BBA4EDB25}">
      <dgm:prSet phldrT="[Text]" custT="1"/>
      <dgm:spPr/>
      <dgm:t>
        <a:bodyPr/>
        <a:lstStyle/>
        <a:p>
          <a:r>
            <a:rPr lang="en-AU" sz="800" b="1"/>
            <a:t>Review and Approvals</a:t>
          </a:r>
        </a:p>
      </dgm:t>
    </dgm:pt>
    <dgm:pt modelId="{6B4F3C60-6050-4B70-8661-8BA504C38BEE}" type="parTrans" cxnId="{FE7C79F7-9254-4DCA-811F-8FB98DE14290}">
      <dgm:prSet/>
      <dgm:spPr/>
      <dgm:t>
        <a:bodyPr/>
        <a:lstStyle/>
        <a:p>
          <a:endParaRPr lang="en-AU" sz="900"/>
        </a:p>
      </dgm:t>
    </dgm:pt>
    <dgm:pt modelId="{52BCC172-2100-468B-9955-1E1B912E7DC9}" type="sibTrans" cxnId="{FE7C79F7-9254-4DCA-811F-8FB98DE14290}">
      <dgm:prSet/>
      <dgm:spPr/>
      <dgm:t>
        <a:bodyPr/>
        <a:lstStyle/>
        <a:p>
          <a:endParaRPr lang="en-AU" sz="900"/>
        </a:p>
      </dgm:t>
    </dgm:pt>
    <dgm:pt modelId="{B570BF04-E4F1-4BF6-ACC4-32E89E80E7E8}">
      <dgm:prSet phldrT="[Text]" custT="1"/>
      <dgm:spPr/>
      <dgm:t>
        <a:bodyPr/>
        <a:lstStyle/>
        <a:p>
          <a:r>
            <a:rPr lang="en-AU" sz="800" b="1"/>
            <a:t>Determine  Approach</a:t>
          </a:r>
        </a:p>
      </dgm:t>
    </dgm:pt>
    <dgm:pt modelId="{B1E21E36-5E3A-4B4D-85AD-83C424B738E8}" type="parTrans" cxnId="{B6D3AE86-FF54-48D5-8433-423D46691126}">
      <dgm:prSet/>
      <dgm:spPr/>
      <dgm:t>
        <a:bodyPr/>
        <a:lstStyle/>
        <a:p>
          <a:endParaRPr lang="en-US" sz="900"/>
        </a:p>
      </dgm:t>
    </dgm:pt>
    <dgm:pt modelId="{466AA098-EEDE-46ED-9EE5-808C8467340A}" type="sibTrans" cxnId="{B6D3AE86-FF54-48D5-8433-423D46691126}">
      <dgm:prSet/>
      <dgm:spPr/>
      <dgm:t>
        <a:bodyPr/>
        <a:lstStyle/>
        <a:p>
          <a:endParaRPr lang="en-US" sz="900"/>
        </a:p>
      </dgm:t>
    </dgm:pt>
    <dgm:pt modelId="{5C0E5ED7-9356-4C6F-9F99-BFD18DA2B8E6}">
      <dgm:prSet phldrT="[Text]" custT="1"/>
      <dgm:spPr/>
      <dgm:t>
        <a:bodyPr/>
        <a:lstStyle/>
        <a:p>
          <a:r>
            <a:rPr lang="en-AU" sz="900"/>
            <a:t>Is actual data available?</a:t>
          </a:r>
        </a:p>
      </dgm:t>
    </dgm:pt>
    <dgm:pt modelId="{4FD8E7DE-8F77-499A-A4B6-D5DAF59DA4FC}" type="parTrans" cxnId="{6F1708A2-1EA6-4424-ADE8-9712C9E24D5B}">
      <dgm:prSet/>
      <dgm:spPr/>
      <dgm:t>
        <a:bodyPr/>
        <a:lstStyle/>
        <a:p>
          <a:endParaRPr lang="en-US" sz="900"/>
        </a:p>
      </dgm:t>
    </dgm:pt>
    <dgm:pt modelId="{3225F312-0F86-4853-8B19-E9BC55D465AD}" type="sibTrans" cxnId="{6F1708A2-1EA6-4424-ADE8-9712C9E24D5B}">
      <dgm:prSet/>
      <dgm:spPr/>
      <dgm:t>
        <a:bodyPr/>
        <a:lstStyle/>
        <a:p>
          <a:endParaRPr lang="en-US" sz="900"/>
        </a:p>
      </dgm:t>
    </dgm:pt>
    <dgm:pt modelId="{F88F4CBB-CD23-484A-B710-78BF1C55AD25}">
      <dgm:prSet phldrT="[Text]" custT="1"/>
      <dgm:spPr/>
      <dgm:t>
        <a:bodyPr/>
        <a:lstStyle/>
        <a:p>
          <a:r>
            <a:rPr lang="en-AU" sz="900"/>
            <a:t>If not, how can an estimate be made?</a:t>
          </a:r>
        </a:p>
      </dgm:t>
    </dgm:pt>
    <dgm:pt modelId="{37A20BD2-28FB-49D2-A1AC-969EA1BFA89F}" type="parTrans" cxnId="{CCB542B3-AE91-40AF-95B0-CC3417929153}">
      <dgm:prSet/>
      <dgm:spPr/>
      <dgm:t>
        <a:bodyPr/>
        <a:lstStyle/>
        <a:p>
          <a:endParaRPr lang="en-US" sz="900"/>
        </a:p>
      </dgm:t>
    </dgm:pt>
    <dgm:pt modelId="{F075886C-D4EE-4C59-AF04-887EF376B227}" type="sibTrans" cxnId="{CCB542B3-AE91-40AF-95B0-CC3417929153}">
      <dgm:prSet/>
      <dgm:spPr/>
      <dgm:t>
        <a:bodyPr/>
        <a:lstStyle/>
        <a:p>
          <a:endParaRPr lang="en-US" sz="900"/>
        </a:p>
      </dgm:t>
    </dgm:pt>
    <dgm:pt modelId="{1349D686-1DC1-4F03-95B4-BA0BC6E0DDF5}">
      <dgm:prSet phldrT="[Text]" custT="1"/>
      <dgm:spPr/>
      <dgm:t>
        <a:bodyPr/>
        <a:lstStyle/>
        <a:p>
          <a:r>
            <a:rPr lang="en-AU" sz="900"/>
            <a:t>Why does the estimation approach represent the 'best estimate' that TransGrid can provide?</a:t>
          </a:r>
        </a:p>
      </dgm:t>
    </dgm:pt>
    <dgm:pt modelId="{F564C604-27CE-4E7C-B5FA-CD44CFA3E302}" type="parTrans" cxnId="{EAEB5BB0-53C1-4E82-AC79-78F69881FBB4}">
      <dgm:prSet/>
      <dgm:spPr/>
      <dgm:t>
        <a:bodyPr/>
        <a:lstStyle/>
        <a:p>
          <a:endParaRPr lang="en-US" sz="900"/>
        </a:p>
      </dgm:t>
    </dgm:pt>
    <dgm:pt modelId="{8816DC74-6487-42EA-8DFE-D3951D948E66}" type="sibTrans" cxnId="{EAEB5BB0-53C1-4E82-AC79-78F69881FBB4}">
      <dgm:prSet/>
      <dgm:spPr/>
      <dgm:t>
        <a:bodyPr/>
        <a:lstStyle/>
        <a:p>
          <a:endParaRPr lang="en-US" sz="900"/>
        </a:p>
      </dgm:t>
    </dgm:pt>
    <dgm:pt modelId="{BA42E639-AD73-459C-9094-A1D3821267C1}">
      <dgm:prSet phldrT="[Text]" custT="1"/>
      <dgm:spPr/>
      <dgm:t>
        <a:bodyPr/>
        <a:lstStyle/>
        <a:p>
          <a:r>
            <a:rPr lang="en-AU" sz="900"/>
            <a:t>Document data sources</a:t>
          </a:r>
        </a:p>
      </dgm:t>
    </dgm:pt>
    <dgm:pt modelId="{BD7BF546-BB35-40A4-A2BA-5890B10E820B}" type="parTrans" cxnId="{4FD20634-0161-424B-9905-B3DED839DFAA}">
      <dgm:prSet/>
      <dgm:spPr/>
      <dgm:t>
        <a:bodyPr/>
        <a:lstStyle/>
        <a:p>
          <a:endParaRPr lang="en-US" sz="900"/>
        </a:p>
      </dgm:t>
    </dgm:pt>
    <dgm:pt modelId="{6CC709DF-DE84-440F-B906-5E55167566C4}" type="sibTrans" cxnId="{4FD20634-0161-424B-9905-B3DED839DFAA}">
      <dgm:prSet/>
      <dgm:spPr/>
      <dgm:t>
        <a:bodyPr/>
        <a:lstStyle/>
        <a:p>
          <a:endParaRPr lang="en-US" sz="900"/>
        </a:p>
      </dgm:t>
    </dgm:pt>
    <dgm:pt modelId="{CF29E3CB-69FB-496F-8770-71CE6D6E7CA1}">
      <dgm:prSet phldrT="[Text]" custT="1"/>
      <dgm:spPr/>
      <dgm:t>
        <a:bodyPr/>
        <a:lstStyle/>
        <a:p>
          <a:r>
            <a:rPr lang="en-AU" sz="900"/>
            <a:t>Prepare Basis of Preparation</a:t>
          </a:r>
        </a:p>
      </dgm:t>
    </dgm:pt>
    <dgm:pt modelId="{01467174-6C17-4A43-A18A-D49628EF8850}" type="parTrans" cxnId="{10EF5D86-EED5-4291-A97B-E70503D82B7F}">
      <dgm:prSet/>
      <dgm:spPr/>
      <dgm:t>
        <a:bodyPr/>
        <a:lstStyle/>
        <a:p>
          <a:endParaRPr lang="en-US" sz="900"/>
        </a:p>
      </dgm:t>
    </dgm:pt>
    <dgm:pt modelId="{D46DDF91-9D20-4B31-8202-36E2BF4EDDC5}" type="sibTrans" cxnId="{10EF5D86-EED5-4291-A97B-E70503D82B7F}">
      <dgm:prSet/>
      <dgm:spPr/>
      <dgm:t>
        <a:bodyPr/>
        <a:lstStyle/>
        <a:p>
          <a:endParaRPr lang="en-US" sz="900"/>
        </a:p>
      </dgm:t>
    </dgm:pt>
    <dgm:pt modelId="{6A202A99-9C81-468B-998B-702B66526421}">
      <dgm:prSet phldrT="[Text]" custT="1"/>
      <dgm:spPr/>
      <dgm:t>
        <a:bodyPr/>
        <a:lstStyle/>
        <a:p>
          <a:r>
            <a:rPr lang="en-AU" sz="900"/>
            <a:t>Address confidentiality issues</a:t>
          </a:r>
        </a:p>
      </dgm:t>
    </dgm:pt>
    <dgm:pt modelId="{6A9FB937-4A3E-4FD0-9314-6D23CCAC5847}" type="parTrans" cxnId="{5D70AFBD-C722-4AC6-B8B5-163E260B6425}">
      <dgm:prSet/>
      <dgm:spPr/>
      <dgm:t>
        <a:bodyPr/>
        <a:lstStyle/>
        <a:p>
          <a:endParaRPr lang="en-US" sz="900"/>
        </a:p>
      </dgm:t>
    </dgm:pt>
    <dgm:pt modelId="{7CC67FD9-FFBB-4B83-809D-9992AD880994}" type="sibTrans" cxnId="{5D70AFBD-C722-4AC6-B8B5-163E260B6425}">
      <dgm:prSet/>
      <dgm:spPr/>
      <dgm:t>
        <a:bodyPr/>
        <a:lstStyle/>
        <a:p>
          <a:endParaRPr lang="en-US" sz="900"/>
        </a:p>
      </dgm:t>
    </dgm:pt>
    <dgm:pt modelId="{486E854C-985E-4847-AFBF-264251218C77}">
      <dgm:prSet phldrT="[Text]" custT="1"/>
      <dgm:spPr/>
      <dgm:t>
        <a:bodyPr/>
        <a:lstStyle/>
        <a:p>
          <a:r>
            <a:rPr lang="en-AU" sz="900"/>
            <a:t>RIN Templates</a:t>
          </a:r>
        </a:p>
      </dgm:t>
    </dgm:pt>
    <dgm:pt modelId="{7645FA31-6BE6-4E15-8B91-AF9CAF30AAE9}" type="parTrans" cxnId="{E62522AB-0B81-409E-A178-3AD641118A72}">
      <dgm:prSet/>
      <dgm:spPr/>
      <dgm:t>
        <a:bodyPr/>
        <a:lstStyle/>
        <a:p>
          <a:endParaRPr lang="en-US" sz="900"/>
        </a:p>
      </dgm:t>
    </dgm:pt>
    <dgm:pt modelId="{F12BA5F8-2C8E-41C6-B676-4740862C7E69}" type="sibTrans" cxnId="{E62522AB-0B81-409E-A178-3AD641118A72}">
      <dgm:prSet/>
      <dgm:spPr/>
      <dgm:t>
        <a:bodyPr/>
        <a:lstStyle/>
        <a:p>
          <a:endParaRPr lang="en-US" sz="900"/>
        </a:p>
      </dgm:t>
    </dgm:pt>
    <dgm:pt modelId="{A38FCA9C-F162-4DF7-A194-393984E88AB1}">
      <dgm:prSet phldrT="[Text]" custT="1"/>
      <dgm:spPr/>
      <dgm:t>
        <a:bodyPr/>
        <a:lstStyle/>
        <a:p>
          <a:r>
            <a:rPr lang="en-AU" sz="900"/>
            <a:t>RIN Obligations</a:t>
          </a:r>
        </a:p>
      </dgm:t>
    </dgm:pt>
    <dgm:pt modelId="{F01743FB-39CF-4037-9BD0-A45B43A82EEC}" type="parTrans" cxnId="{DCF7CB77-2FC6-4A74-A807-5F045CADF2DD}">
      <dgm:prSet/>
      <dgm:spPr/>
      <dgm:t>
        <a:bodyPr/>
        <a:lstStyle/>
        <a:p>
          <a:endParaRPr lang="en-US" sz="900"/>
        </a:p>
      </dgm:t>
    </dgm:pt>
    <dgm:pt modelId="{A370B6AD-7297-4EFD-B39C-81DA425C8DFD}" type="sibTrans" cxnId="{DCF7CB77-2FC6-4A74-A807-5F045CADF2DD}">
      <dgm:prSet/>
      <dgm:spPr/>
      <dgm:t>
        <a:bodyPr/>
        <a:lstStyle/>
        <a:p>
          <a:endParaRPr lang="en-US" sz="900"/>
        </a:p>
      </dgm:t>
    </dgm:pt>
    <dgm:pt modelId="{A4A0DCE5-6144-480E-991F-75CD5638979B}">
      <dgm:prSet phldrT="[Text]" custT="1"/>
      <dgm:spPr/>
      <dgm:t>
        <a:bodyPr/>
        <a:lstStyle/>
        <a:p>
          <a:r>
            <a:rPr lang="en-AU" sz="900"/>
            <a:t>Executive Review and Approval</a:t>
          </a:r>
        </a:p>
      </dgm:t>
    </dgm:pt>
    <dgm:pt modelId="{B765D106-148E-4167-8BC2-BADB85896913}" type="parTrans" cxnId="{C2DCCC97-3CE1-4905-AA5F-37404273B56A}">
      <dgm:prSet/>
      <dgm:spPr/>
      <dgm:t>
        <a:bodyPr/>
        <a:lstStyle/>
        <a:p>
          <a:endParaRPr lang="en-US" sz="900"/>
        </a:p>
      </dgm:t>
    </dgm:pt>
    <dgm:pt modelId="{1CA72253-DD17-45E8-9181-1F8E2727D752}" type="sibTrans" cxnId="{C2DCCC97-3CE1-4905-AA5F-37404273B56A}">
      <dgm:prSet/>
      <dgm:spPr/>
      <dgm:t>
        <a:bodyPr/>
        <a:lstStyle/>
        <a:p>
          <a:endParaRPr lang="en-US" sz="900"/>
        </a:p>
      </dgm:t>
    </dgm:pt>
    <dgm:pt modelId="{C8B51D0D-A13F-4D94-8E2D-1F05C65926EC}">
      <dgm:prSet phldrT="[Text]" custT="1"/>
      <dgm:spPr/>
      <dgm:t>
        <a:bodyPr/>
        <a:lstStyle/>
        <a:p>
          <a:r>
            <a:rPr lang="en-AU" sz="800" b="1"/>
            <a:t>Submission to AER</a:t>
          </a:r>
        </a:p>
      </dgm:t>
    </dgm:pt>
    <dgm:pt modelId="{B74147E5-93DD-4E65-8C95-E8BAFBA33055}" type="parTrans" cxnId="{89EDAAD0-1D52-4DCA-A839-3155D8A68DDB}">
      <dgm:prSet/>
      <dgm:spPr/>
      <dgm:t>
        <a:bodyPr/>
        <a:lstStyle/>
        <a:p>
          <a:endParaRPr lang="en-US" sz="900"/>
        </a:p>
      </dgm:t>
    </dgm:pt>
    <dgm:pt modelId="{ED5AD9BD-F91C-44CB-8B78-B5862DEE1D21}" type="sibTrans" cxnId="{89EDAAD0-1D52-4DCA-A839-3155D8A68DDB}">
      <dgm:prSet/>
      <dgm:spPr/>
      <dgm:t>
        <a:bodyPr/>
        <a:lstStyle/>
        <a:p>
          <a:endParaRPr lang="en-US" sz="900"/>
        </a:p>
      </dgm:t>
    </dgm:pt>
    <dgm:pt modelId="{1C61D07E-560F-4B54-9F1F-CF9F53964C1A}">
      <dgm:prSet phldrT="[Text]" custT="1"/>
      <dgm:spPr/>
      <dgm:t>
        <a:bodyPr/>
        <a:lstStyle/>
        <a:p>
          <a:r>
            <a:rPr lang="en-AU" sz="900" i="0"/>
            <a:t>Audited RIN Response 29 October 2021</a:t>
          </a:r>
        </a:p>
      </dgm:t>
    </dgm:pt>
    <dgm:pt modelId="{0A562722-093E-459F-B70F-C6337BEBA9E7}" type="parTrans" cxnId="{01C51DC6-9D66-49BD-B915-35A84D4D78F8}">
      <dgm:prSet/>
      <dgm:spPr/>
      <dgm:t>
        <a:bodyPr/>
        <a:lstStyle/>
        <a:p>
          <a:endParaRPr lang="en-US" sz="900"/>
        </a:p>
      </dgm:t>
    </dgm:pt>
    <dgm:pt modelId="{C28CB18F-D752-46B0-9D65-2ECBEDE1D564}" type="sibTrans" cxnId="{01C51DC6-9D66-49BD-B915-35A84D4D78F8}">
      <dgm:prSet/>
      <dgm:spPr/>
      <dgm:t>
        <a:bodyPr/>
        <a:lstStyle/>
        <a:p>
          <a:endParaRPr lang="en-US" sz="900"/>
        </a:p>
      </dgm:t>
    </dgm:pt>
    <dgm:pt modelId="{5443AEEC-2004-4AC8-9421-3812236F00F4}">
      <dgm:prSet phldrT="[Text]" custT="1"/>
      <dgm:spPr/>
      <dgm:t>
        <a:bodyPr/>
        <a:lstStyle/>
        <a:p>
          <a:r>
            <a:rPr lang="en-AU" sz="900" i="0"/>
            <a:t>Audit Report</a:t>
          </a:r>
        </a:p>
      </dgm:t>
    </dgm:pt>
    <dgm:pt modelId="{71074F30-9195-49A1-B6D0-DC461D67B206}" type="parTrans" cxnId="{2A57E996-4A30-4237-A7D3-9403B8319501}">
      <dgm:prSet/>
      <dgm:spPr/>
      <dgm:t>
        <a:bodyPr/>
        <a:lstStyle/>
        <a:p>
          <a:endParaRPr lang="en-US" sz="900"/>
        </a:p>
      </dgm:t>
    </dgm:pt>
    <dgm:pt modelId="{7B49578F-31B4-4B40-AA30-37565E454E0A}" type="sibTrans" cxnId="{2A57E996-4A30-4237-A7D3-9403B8319501}">
      <dgm:prSet/>
      <dgm:spPr/>
      <dgm:t>
        <a:bodyPr/>
        <a:lstStyle/>
        <a:p>
          <a:endParaRPr lang="en-US" sz="900"/>
        </a:p>
      </dgm:t>
    </dgm:pt>
    <dgm:pt modelId="{B5F02B7B-E4DA-4B8B-90D7-AF82702C4C0C}">
      <dgm:prSet phldrT="[Text]" custT="1"/>
      <dgm:spPr/>
      <dgm:t>
        <a:bodyPr/>
        <a:lstStyle/>
        <a:p>
          <a:r>
            <a:rPr lang="en-AU" sz="900" i="0"/>
            <a:t>Statutory Declaration</a:t>
          </a:r>
        </a:p>
      </dgm:t>
    </dgm:pt>
    <dgm:pt modelId="{B5396FB4-CDAB-40A8-9991-98065217D7EC}" type="parTrans" cxnId="{088CD386-94B7-47D3-BB7F-26329D27F40B}">
      <dgm:prSet/>
      <dgm:spPr/>
      <dgm:t>
        <a:bodyPr/>
        <a:lstStyle/>
        <a:p>
          <a:endParaRPr lang="en-US" sz="900"/>
        </a:p>
      </dgm:t>
    </dgm:pt>
    <dgm:pt modelId="{67323443-D7BB-4B41-AD14-D821DA337A3C}" type="sibTrans" cxnId="{088CD386-94B7-47D3-BB7F-26329D27F40B}">
      <dgm:prSet/>
      <dgm:spPr/>
      <dgm:t>
        <a:bodyPr/>
        <a:lstStyle/>
        <a:p>
          <a:endParaRPr lang="en-US" sz="900"/>
        </a:p>
      </dgm:t>
    </dgm:pt>
    <dgm:pt modelId="{13697CA4-5360-4145-88E9-ACC8A2E68253}">
      <dgm:prSet phldrT="[Text]" custT="1"/>
      <dgm:spPr/>
      <dgm:t>
        <a:bodyPr/>
        <a:lstStyle/>
        <a:p>
          <a:r>
            <a:rPr lang="en-AU" sz="900"/>
            <a:t>What supporting information is required to satisfy an external audit?</a:t>
          </a:r>
        </a:p>
      </dgm:t>
    </dgm:pt>
    <dgm:pt modelId="{E014C690-094F-41AC-BF7A-C646182086F2}" type="parTrans" cxnId="{054B48FF-A2FE-4EC9-A192-864294BD3CE7}">
      <dgm:prSet/>
      <dgm:spPr/>
      <dgm:t>
        <a:bodyPr/>
        <a:lstStyle/>
        <a:p>
          <a:endParaRPr lang="en-US" sz="900"/>
        </a:p>
      </dgm:t>
    </dgm:pt>
    <dgm:pt modelId="{70209C91-EF1B-4D17-B36E-8E9D248CACA3}" type="sibTrans" cxnId="{054B48FF-A2FE-4EC9-A192-864294BD3CE7}">
      <dgm:prSet/>
      <dgm:spPr/>
      <dgm:t>
        <a:bodyPr/>
        <a:lstStyle/>
        <a:p>
          <a:endParaRPr lang="en-US" sz="900"/>
        </a:p>
      </dgm:t>
    </dgm:pt>
    <dgm:pt modelId="{B2807901-1FE9-4304-B7E6-CB26C8F2817E}">
      <dgm:prSet phldrT="[Text]" custT="1"/>
      <dgm:spPr/>
      <dgm:t>
        <a:bodyPr/>
        <a:lstStyle/>
        <a:p>
          <a:r>
            <a:rPr lang="en-AU" sz="900"/>
            <a:t>Compile Supporting Documents</a:t>
          </a:r>
        </a:p>
      </dgm:t>
    </dgm:pt>
    <dgm:pt modelId="{698EC470-E955-4BE7-954B-70A23C69A081}" type="parTrans" cxnId="{D99294CE-A0FC-476C-9238-5D2B87264110}">
      <dgm:prSet/>
      <dgm:spPr/>
      <dgm:t>
        <a:bodyPr/>
        <a:lstStyle/>
        <a:p>
          <a:endParaRPr lang="en-US" sz="900"/>
        </a:p>
      </dgm:t>
    </dgm:pt>
    <dgm:pt modelId="{07D60EF7-032C-42E7-B47A-41B7DB74FBF8}" type="sibTrans" cxnId="{D99294CE-A0FC-476C-9238-5D2B87264110}">
      <dgm:prSet/>
      <dgm:spPr/>
      <dgm:t>
        <a:bodyPr/>
        <a:lstStyle/>
        <a:p>
          <a:endParaRPr lang="en-US" sz="900"/>
        </a:p>
      </dgm:t>
    </dgm:pt>
    <dgm:pt modelId="{27E61AF7-0137-45BC-AB82-BE6416DA7CC0}" type="pres">
      <dgm:prSet presAssocID="{A2193C54-C5C0-4589-A3C5-AD32E39A6E37}" presName="Name0" presStyleCnt="0">
        <dgm:presLayoutVars>
          <dgm:dir/>
          <dgm:animLvl val="lvl"/>
          <dgm:resizeHandles val="exact"/>
        </dgm:presLayoutVars>
      </dgm:prSet>
      <dgm:spPr/>
    </dgm:pt>
    <dgm:pt modelId="{A097642E-AD94-4D65-84C3-97E1884633EE}" type="pres">
      <dgm:prSet presAssocID="{7B3D9423-4E58-485B-B314-25C089EF6C7B}" presName="composite" presStyleCnt="0"/>
      <dgm:spPr/>
    </dgm:pt>
    <dgm:pt modelId="{B4908510-65C5-4370-A811-E35EB8ECB54F}" type="pres">
      <dgm:prSet presAssocID="{7B3D9423-4E58-485B-B314-25C089EF6C7B}" presName="parTx" presStyleLbl="node1" presStyleIdx="0" presStyleCnt="5">
        <dgm:presLayoutVars>
          <dgm:chMax val="0"/>
          <dgm:chPref val="0"/>
          <dgm:bulletEnabled val="1"/>
        </dgm:presLayoutVars>
      </dgm:prSet>
      <dgm:spPr/>
    </dgm:pt>
    <dgm:pt modelId="{1C3BB513-D38B-4F13-AECF-3B62867D8265}" type="pres">
      <dgm:prSet presAssocID="{7B3D9423-4E58-485B-B314-25C089EF6C7B}" presName="desTx" presStyleLbl="revTx" presStyleIdx="0" presStyleCnt="4">
        <dgm:presLayoutVars>
          <dgm:bulletEnabled val="1"/>
        </dgm:presLayoutVars>
      </dgm:prSet>
      <dgm:spPr/>
    </dgm:pt>
    <dgm:pt modelId="{53797B4B-DEE8-4636-8494-EAC89B403B12}" type="pres">
      <dgm:prSet presAssocID="{9B10BC0D-9484-406F-9F50-1BECD041AD44}" presName="space" presStyleCnt="0"/>
      <dgm:spPr/>
    </dgm:pt>
    <dgm:pt modelId="{74F06996-B05E-47C1-894D-2AD3CA04D7DC}" type="pres">
      <dgm:prSet presAssocID="{B570BF04-E4F1-4BF6-ACC4-32E89E80E7E8}" presName="composite" presStyleCnt="0"/>
      <dgm:spPr/>
    </dgm:pt>
    <dgm:pt modelId="{46BD221E-FBD1-4456-BB05-88C588B16B6E}" type="pres">
      <dgm:prSet presAssocID="{B570BF04-E4F1-4BF6-ACC4-32E89E80E7E8}" presName="parTx" presStyleLbl="node1" presStyleIdx="1" presStyleCnt="5" custLinFactNeighborX="2960" custLinFactNeighborY="-2070">
        <dgm:presLayoutVars>
          <dgm:chMax val="0"/>
          <dgm:chPref val="0"/>
          <dgm:bulletEnabled val="1"/>
        </dgm:presLayoutVars>
      </dgm:prSet>
      <dgm:spPr/>
    </dgm:pt>
    <dgm:pt modelId="{95D7983D-FA49-4213-9E04-2F3A34073AA3}" type="pres">
      <dgm:prSet presAssocID="{B570BF04-E4F1-4BF6-ACC4-32E89E80E7E8}" presName="desTx" presStyleLbl="revTx" presStyleIdx="0" presStyleCnt="4">
        <dgm:presLayoutVars>
          <dgm:bulletEnabled val="1"/>
        </dgm:presLayoutVars>
      </dgm:prSet>
      <dgm:spPr/>
    </dgm:pt>
    <dgm:pt modelId="{D51B8E17-18BF-4D73-A59E-CD0E6EC20A21}" type="pres">
      <dgm:prSet presAssocID="{466AA098-EEDE-46ED-9EE5-808C8467340A}" presName="space" presStyleCnt="0"/>
      <dgm:spPr/>
    </dgm:pt>
    <dgm:pt modelId="{B2DFBAB4-DA05-4B9B-9E48-1AD4CFBC60FA}" type="pres">
      <dgm:prSet presAssocID="{57D1AE0A-7980-496D-97F8-412A7A7F141E}" presName="composite" presStyleCnt="0"/>
      <dgm:spPr/>
    </dgm:pt>
    <dgm:pt modelId="{3C934614-357B-4B09-93DA-07804526E0A0}" type="pres">
      <dgm:prSet presAssocID="{57D1AE0A-7980-496D-97F8-412A7A7F141E}" presName="parTx" presStyleLbl="node1" presStyleIdx="2" presStyleCnt="5">
        <dgm:presLayoutVars>
          <dgm:chMax val="0"/>
          <dgm:chPref val="0"/>
          <dgm:bulletEnabled val="1"/>
        </dgm:presLayoutVars>
      </dgm:prSet>
      <dgm:spPr/>
    </dgm:pt>
    <dgm:pt modelId="{EE9E17FA-0608-4C07-9FE9-A8B1245398E5}" type="pres">
      <dgm:prSet presAssocID="{57D1AE0A-7980-496D-97F8-412A7A7F141E}" presName="desTx" presStyleLbl="revTx" presStyleIdx="1" presStyleCnt="4">
        <dgm:presLayoutVars>
          <dgm:bulletEnabled val="1"/>
        </dgm:presLayoutVars>
      </dgm:prSet>
      <dgm:spPr/>
    </dgm:pt>
    <dgm:pt modelId="{C4145297-48CE-45D1-B7BE-3F8FD5665036}" type="pres">
      <dgm:prSet presAssocID="{5427B131-D1CD-43FF-B969-54B2FE9CB9A8}" presName="space" presStyleCnt="0"/>
      <dgm:spPr/>
    </dgm:pt>
    <dgm:pt modelId="{C95455CF-5BD9-4ADF-A0BA-72241F952AF7}" type="pres">
      <dgm:prSet presAssocID="{8E52679D-77D5-497C-ADB2-FE3BBA4EDB25}" presName="composite" presStyleCnt="0"/>
      <dgm:spPr/>
    </dgm:pt>
    <dgm:pt modelId="{665B52D9-68D6-44D1-BBE8-FB98A79F214A}" type="pres">
      <dgm:prSet presAssocID="{8E52679D-77D5-497C-ADB2-FE3BBA4EDB25}" presName="parTx" presStyleLbl="node1" presStyleIdx="3" presStyleCnt="5">
        <dgm:presLayoutVars>
          <dgm:chMax val="0"/>
          <dgm:chPref val="0"/>
          <dgm:bulletEnabled val="1"/>
        </dgm:presLayoutVars>
      </dgm:prSet>
      <dgm:spPr/>
    </dgm:pt>
    <dgm:pt modelId="{1376CF8E-331A-4461-8A9F-87DD0F2E142E}" type="pres">
      <dgm:prSet presAssocID="{8E52679D-77D5-497C-ADB2-FE3BBA4EDB25}" presName="desTx" presStyleLbl="revTx" presStyleIdx="2" presStyleCnt="4">
        <dgm:presLayoutVars>
          <dgm:bulletEnabled val="1"/>
        </dgm:presLayoutVars>
      </dgm:prSet>
      <dgm:spPr/>
    </dgm:pt>
    <dgm:pt modelId="{83F4CF38-70C9-43EE-9E2F-B4E4F9A14430}" type="pres">
      <dgm:prSet presAssocID="{52BCC172-2100-468B-9955-1E1B912E7DC9}" presName="space" presStyleCnt="0"/>
      <dgm:spPr/>
    </dgm:pt>
    <dgm:pt modelId="{435B552B-F7D1-4CA8-9BEB-71A2BD89A5B0}" type="pres">
      <dgm:prSet presAssocID="{C8B51D0D-A13F-4D94-8E2D-1F05C65926EC}" presName="composite" presStyleCnt="0"/>
      <dgm:spPr/>
    </dgm:pt>
    <dgm:pt modelId="{AD831214-3353-4D21-A42C-C1F299596057}" type="pres">
      <dgm:prSet presAssocID="{C8B51D0D-A13F-4D94-8E2D-1F05C65926EC}" presName="parTx" presStyleLbl="node1" presStyleIdx="4" presStyleCnt="5">
        <dgm:presLayoutVars>
          <dgm:chMax val="0"/>
          <dgm:chPref val="0"/>
          <dgm:bulletEnabled val="1"/>
        </dgm:presLayoutVars>
      </dgm:prSet>
      <dgm:spPr/>
    </dgm:pt>
    <dgm:pt modelId="{49446BEC-73E9-491E-84DF-879E41115480}" type="pres">
      <dgm:prSet presAssocID="{C8B51D0D-A13F-4D94-8E2D-1F05C65926EC}" presName="desTx" presStyleLbl="revTx" presStyleIdx="3" presStyleCnt="4">
        <dgm:presLayoutVars>
          <dgm:bulletEnabled val="1"/>
        </dgm:presLayoutVars>
      </dgm:prSet>
      <dgm:spPr/>
    </dgm:pt>
  </dgm:ptLst>
  <dgm:cxnLst>
    <dgm:cxn modelId="{E72B231F-D869-47D8-B364-94A3F7E5B70E}" type="presOf" srcId="{A2193C54-C5C0-4589-A3C5-AD32E39A6E37}" destId="{27E61AF7-0137-45BC-AB82-BE6416DA7CC0}" srcOrd="0" destOrd="0" presId="urn:microsoft.com/office/officeart/2005/8/layout/chevron1"/>
    <dgm:cxn modelId="{6F932321-CC8E-46A4-8267-9D08C36C15F8}" type="presOf" srcId="{13697CA4-5360-4145-88E9-ACC8A2E68253}" destId="{95D7983D-FA49-4213-9E04-2F3A34073AA3}" srcOrd="0" destOrd="3" presId="urn:microsoft.com/office/officeart/2005/8/layout/chevron1"/>
    <dgm:cxn modelId="{0061CD25-BACA-4BD0-B1BE-AB5061619064}" type="presOf" srcId="{A4A0DCE5-6144-480E-991F-75CD5638979B}" destId="{1376CF8E-331A-4461-8A9F-87DD0F2E142E}" srcOrd="0" destOrd="2" presId="urn:microsoft.com/office/officeart/2005/8/layout/chevron1"/>
    <dgm:cxn modelId="{57F02F2A-CB6E-4D68-AA66-8AE75E5BD1DF}" type="presOf" srcId="{5C0E5ED7-9356-4C6F-9F99-BFD18DA2B8E6}" destId="{95D7983D-FA49-4213-9E04-2F3A34073AA3}" srcOrd="0" destOrd="0" presId="urn:microsoft.com/office/officeart/2005/8/layout/chevron1"/>
    <dgm:cxn modelId="{4FD20634-0161-424B-9905-B3DED839DFAA}" srcId="{57D1AE0A-7980-496D-97F8-412A7A7F141E}" destId="{BA42E639-AD73-459C-9094-A1D3821267C1}" srcOrd="0" destOrd="0" parTransId="{BD7BF546-BB35-40A4-A2BA-5890B10E820B}" sibTransId="{6CC709DF-DE84-440F-B906-5E55167566C4}"/>
    <dgm:cxn modelId="{CD76EC35-EB69-417A-9593-3B3958CBFBDA}" type="presOf" srcId="{A38FCA9C-F162-4DF7-A194-393984E88AB1}" destId="{1376CF8E-331A-4461-8A9F-87DD0F2E142E}" srcOrd="0" destOrd="1" presId="urn:microsoft.com/office/officeart/2005/8/layout/chevron1"/>
    <dgm:cxn modelId="{7568D53F-E8FD-4BF0-B2A4-3091E9F0E98A}" type="presOf" srcId="{C8B51D0D-A13F-4D94-8E2D-1F05C65926EC}" destId="{AD831214-3353-4D21-A42C-C1F299596057}" srcOrd="0" destOrd="0" presId="urn:microsoft.com/office/officeart/2005/8/layout/chevron1"/>
    <dgm:cxn modelId="{739AF841-4E22-4B3C-A595-E281A3940918}" type="presOf" srcId="{B5F02B7B-E4DA-4B8B-90D7-AF82702C4C0C}" destId="{1376CF8E-331A-4461-8A9F-87DD0F2E142E}" srcOrd="0" destOrd="4" presId="urn:microsoft.com/office/officeart/2005/8/layout/chevron1"/>
    <dgm:cxn modelId="{0553CF63-9D75-4710-8C62-F8ED4E8DCC08}" type="presOf" srcId="{486E854C-985E-4847-AFBF-264251218C77}" destId="{1376CF8E-331A-4461-8A9F-87DD0F2E142E}" srcOrd="0" destOrd="0" presId="urn:microsoft.com/office/officeart/2005/8/layout/chevron1"/>
    <dgm:cxn modelId="{28BB2847-8231-47A7-8119-85519A8B1ECE}" type="presOf" srcId="{F88F4CBB-CD23-484A-B710-78BF1C55AD25}" destId="{95D7983D-FA49-4213-9E04-2F3A34073AA3}" srcOrd="0" destOrd="1" presId="urn:microsoft.com/office/officeart/2005/8/layout/chevron1"/>
    <dgm:cxn modelId="{A4876276-9C5E-468D-BA3B-548F73DB8B06}" type="presOf" srcId="{B2807901-1FE9-4304-B7E6-CB26C8F2817E}" destId="{EE9E17FA-0608-4C07-9FE9-A8B1245398E5}" srcOrd="0" destOrd="2" presId="urn:microsoft.com/office/officeart/2005/8/layout/chevron1"/>
    <dgm:cxn modelId="{DCF7CB77-2FC6-4A74-A807-5F045CADF2DD}" srcId="{8E52679D-77D5-497C-ADB2-FE3BBA4EDB25}" destId="{A38FCA9C-F162-4DF7-A194-393984E88AB1}" srcOrd="1" destOrd="0" parTransId="{F01743FB-39CF-4037-9BD0-A45B43A82EEC}" sibTransId="{A370B6AD-7297-4EFD-B39C-81DA425C8DFD}"/>
    <dgm:cxn modelId="{98A80C7A-74B2-4B5D-9C52-96648B8C7C6A}" type="presOf" srcId="{5443AEEC-2004-4AC8-9421-3812236F00F4}" destId="{1376CF8E-331A-4461-8A9F-87DD0F2E142E}" srcOrd="0" destOrd="3" presId="urn:microsoft.com/office/officeart/2005/8/layout/chevron1"/>
    <dgm:cxn modelId="{A1224C5A-D6B0-4B70-88AB-FEDCE36D77DA}" srcId="{A2193C54-C5C0-4589-A3C5-AD32E39A6E37}" destId="{7B3D9423-4E58-485B-B314-25C089EF6C7B}" srcOrd="0" destOrd="0" parTransId="{F2522E27-E7C6-4487-80E2-25047C2169C7}" sibTransId="{9B10BC0D-9484-406F-9F50-1BECD041AD44}"/>
    <dgm:cxn modelId="{10EF5D86-EED5-4291-A97B-E70503D82B7F}" srcId="{57D1AE0A-7980-496D-97F8-412A7A7F141E}" destId="{CF29E3CB-69FB-496F-8770-71CE6D6E7CA1}" srcOrd="1" destOrd="0" parTransId="{01467174-6C17-4A43-A18A-D49628EF8850}" sibTransId="{D46DDF91-9D20-4B31-8202-36E2BF4EDDC5}"/>
    <dgm:cxn modelId="{6E858086-A120-4F72-959A-A48EFBE0D964}" type="presOf" srcId="{BA42E639-AD73-459C-9094-A1D3821267C1}" destId="{EE9E17FA-0608-4C07-9FE9-A8B1245398E5}" srcOrd="0" destOrd="0" presId="urn:microsoft.com/office/officeart/2005/8/layout/chevron1"/>
    <dgm:cxn modelId="{B6D3AE86-FF54-48D5-8433-423D46691126}" srcId="{A2193C54-C5C0-4589-A3C5-AD32E39A6E37}" destId="{B570BF04-E4F1-4BF6-ACC4-32E89E80E7E8}" srcOrd="1" destOrd="0" parTransId="{B1E21E36-5E3A-4B4D-85AD-83C424B738E8}" sibTransId="{466AA098-EEDE-46ED-9EE5-808C8467340A}"/>
    <dgm:cxn modelId="{088CD386-94B7-47D3-BB7F-26329D27F40B}" srcId="{8E52679D-77D5-497C-ADB2-FE3BBA4EDB25}" destId="{B5F02B7B-E4DA-4B8B-90D7-AF82702C4C0C}" srcOrd="4" destOrd="0" parTransId="{B5396FB4-CDAB-40A8-9991-98065217D7EC}" sibTransId="{67323443-D7BB-4B41-AD14-D821DA337A3C}"/>
    <dgm:cxn modelId="{2A57E996-4A30-4237-A7D3-9403B8319501}" srcId="{8E52679D-77D5-497C-ADB2-FE3BBA4EDB25}" destId="{5443AEEC-2004-4AC8-9421-3812236F00F4}" srcOrd="3" destOrd="0" parTransId="{71074F30-9195-49A1-B6D0-DC461D67B206}" sibTransId="{7B49578F-31B4-4B40-AA30-37565E454E0A}"/>
    <dgm:cxn modelId="{C2DCCC97-3CE1-4905-AA5F-37404273B56A}" srcId="{8E52679D-77D5-497C-ADB2-FE3BBA4EDB25}" destId="{A4A0DCE5-6144-480E-991F-75CD5638979B}" srcOrd="2" destOrd="0" parTransId="{B765D106-148E-4167-8BC2-BADB85896913}" sibTransId="{1CA72253-DD17-45E8-9181-1F8E2727D752}"/>
    <dgm:cxn modelId="{F683AA99-DD89-4A58-9C23-83258F63348F}" type="presOf" srcId="{8E52679D-77D5-497C-ADB2-FE3BBA4EDB25}" destId="{665B52D9-68D6-44D1-BBE8-FB98A79F214A}" srcOrd="0" destOrd="0" presId="urn:microsoft.com/office/officeart/2005/8/layout/chevron1"/>
    <dgm:cxn modelId="{6F1708A2-1EA6-4424-ADE8-9712C9E24D5B}" srcId="{B570BF04-E4F1-4BF6-ACC4-32E89E80E7E8}" destId="{5C0E5ED7-9356-4C6F-9F99-BFD18DA2B8E6}" srcOrd="0" destOrd="0" parTransId="{4FD8E7DE-8F77-499A-A4B6-D5DAF59DA4FC}" sibTransId="{3225F312-0F86-4853-8B19-E9BC55D465AD}"/>
    <dgm:cxn modelId="{E62522AB-0B81-409E-A178-3AD641118A72}" srcId="{8E52679D-77D5-497C-ADB2-FE3BBA4EDB25}" destId="{486E854C-985E-4847-AFBF-264251218C77}" srcOrd="0" destOrd="0" parTransId="{7645FA31-6BE6-4E15-8B91-AF9CAF30AAE9}" sibTransId="{F12BA5F8-2C8E-41C6-B676-4740862C7E69}"/>
    <dgm:cxn modelId="{EAEB5BB0-53C1-4E82-AC79-78F69881FBB4}" srcId="{B570BF04-E4F1-4BF6-ACC4-32E89E80E7E8}" destId="{1349D686-1DC1-4F03-95B4-BA0BC6E0DDF5}" srcOrd="2" destOrd="0" parTransId="{F564C604-27CE-4E7C-B5FA-CD44CFA3E302}" sibTransId="{8816DC74-6487-42EA-8DFE-D3951D948E66}"/>
    <dgm:cxn modelId="{308181B1-55F6-4625-A068-D907911EB5D1}" type="presOf" srcId="{CF29E3CB-69FB-496F-8770-71CE6D6E7CA1}" destId="{EE9E17FA-0608-4C07-9FE9-A8B1245398E5}" srcOrd="0" destOrd="1" presId="urn:microsoft.com/office/officeart/2005/8/layout/chevron1"/>
    <dgm:cxn modelId="{CCB542B3-AE91-40AF-95B0-CC3417929153}" srcId="{B570BF04-E4F1-4BF6-ACC4-32E89E80E7E8}" destId="{F88F4CBB-CD23-484A-B710-78BF1C55AD25}" srcOrd="1" destOrd="0" parTransId="{37A20BD2-28FB-49D2-A1AC-969EA1BFA89F}" sibTransId="{F075886C-D4EE-4C59-AF04-887EF376B227}"/>
    <dgm:cxn modelId="{081FC6B8-90D8-4656-8A9B-E085499AC520}" type="presOf" srcId="{1C61D07E-560F-4B54-9F1F-CF9F53964C1A}" destId="{49446BEC-73E9-491E-84DF-879E41115480}" srcOrd="0" destOrd="0" presId="urn:microsoft.com/office/officeart/2005/8/layout/chevron1"/>
    <dgm:cxn modelId="{5D70AFBD-C722-4AC6-B8B5-163E260B6425}" srcId="{57D1AE0A-7980-496D-97F8-412A7A7F141E}" destId="{6A202A99-9C81-468B-998B-702B66526421}" srcOrd="3" destOrd="0" parTransId="{6A9FB937-4A3E-4FD0-9314-6D23CCAC5847}" sibTransId="{7CC67FD9-FFBB-4B83-809D-9992AD880994}"/>
    <dgm:cxn modelId="{F3514EC0-42E7-4142-AB92-8BBE27673FE4}" type="presOf" srcId="{57D1AE0A-7980-496D-97F8-412A7A7F141E}" destId="{3C934614-357B-4B09-93DA-07804526E0A0}" srcOrd="0" destOrd="0" presId="urn:microsoft.com/office/officeart/2005/8/layout/chevron1"/>
    <dgm:cxn modelId="{01C51DC6-9D66-49BD-B915-35A84D4D78F8}" srcId="{C8B51D0D-A13F-4D94-8E2D-1F05C65926EC}" destId="{1C61D07E-560F-4B54-9F1F-CF9F53964C1A}" srcOrd="0" destOrd="0" parTransId="{0A562722-093E-459F-B70F-C6337BEBA9E7}" sibTransId="{C28CB18F-D752-46B0-9D65-2ECBEDE1D564}"/>
    <dgm:cxn modelId="{0C80BDCD-0BB9-4CE5-943A-C840C3A205BD}" srcId="{A2193C54-C5C0-4589-A3C5-AD32E39A6E37}" destId="{57D1AE0A-7980-496D-97F8-412A7A7F141E}" srcOrd="2" destOrd="0" parTransId="{03FF113F-6742-4C78-8A63-4E3599B49D77}" sibTransId="{5427B131-D1CD-43FF-B969-54B2FE9CB9A8}"/>
    <dgm:cxn modelId="{D99294CE-A0FC-476C-9238-5D2B87264110}" srcId="{57D1AE0A-7980-496D-97F8-412A7A7F141E}" destId="{B2807901-1FE9-4304-B7E6-CB26C8F2817E}" srcOrd="2" destOrd="0" parTransId="{698EC470-E955-4BE7-954B-70A23C69A081}" sibTransId="{07D60EF7-032C-42E7-B47A-41B7DB74FBF8}"/>
    <dgm:cxn modelId="{89EDAAD0-1D52-4DCA-A839-3155D8A68DDB}" srcId="{A2193C54-C5C0-4589-A3C5-AD32E39A6E37}" destId="{C8B51D0D-A13F-4D94-8E2D-1F05C65926EC}" srcOrd="4" destOrd="0" parTransId="{B74147E5-93DD-4E65-8C95-E8BAFBA33055}" sibTransId="{ED5AD9BD-F91C-44CB-8B78-B5862DEE1D21}"/>
    <dgm:cxn modelId="{A84B6FE6-311D-4890-9292-7E5E41F55515}" type="presOf" srcId="{1349D686-1DC1-4F03-95B4-BA0BC6E0DDF5}" destId="{95D7983D-FA49-4213-9E04-2F3A34073AA3}" srcOrd="0" destOrd="2" presId="urn:microsoft.com/office/officeart/2005/8/layout/chevron1"/>
    <dgm:cxn modelId="{C35E93E8-1958-4A1B-BE2D-958F42B9BDCE}" type="presOf" srcId="{B570BF04-E4F1-4BF6-ACC4-32E89E80E7E8}" destId="{46BD221E-FBD1-4456-BB05-88C588B16B6E}" srcOrd="0" destOrd="0" presId="urn:microsoft.com/office/officeart/2005/8/layout/chevron1"/>
    <dgm:cxn modelId="{FE7C79F7-9254-4DCA-811F-8FB98DE14290}" srcId="{A2193C54-C5C0-4589-A3C5-AD32E39A6E37}" destId="{8E52679D-77D5-497C-ADB2-FE3BBA4EDB25}" srcOrd="3" destOrd="0" parTransId="{6B4F3C60-6050-4B70-8661-8BA504C38BEE}" sibTransId="{52BCC172-2100-468B-9955-1E1B912E7DC9}"/>
    <dgm:cxn modelId="{06230EF8-8A29-4936-B1A1-AF26089C78BA}" type="presOf" srcId="{7B3D9423-4E58-485B-B314-25C089EF6C7B}" destId="{B4908510-65C5-4370-A811-E35EB8ECB54F}" srcOrd="0" destOrd="0" presId="urn:microsoft.com/office/officeart/2005/8/layout/chevron1"/>
    <dgm:cxn modelId="{D3E314FD-BD79-4CF7-96DF-DDA7A10FEA04}" type="presOf" srcId="{6A202A99-9C81-468B-998B-702B66526421}" destId="{EE9E17FA-0608-4C07-9FE9-A8B1245398E5}" srcOrd="0" destOrd="3" presId="urn:microsoft.com/office/officeart/2005/8/layout/chevron1"/>
    <dgm:cxn modelId="{054B48FF-A2FE-4EC9-A192-864294BD3CE7}" srcId="{B570BF04-E4F1-4BF6-ACC4-32E89E80E7E8}" destId="{13697CA4-5360-4145-88E9-ACC8A2E68253}" srcOrd="3" destOrd="0" parTransId="{E014C690-094F-41AC-BF7A-C646182086F2}" sibTransId="{70209C91-EF1B-4D17-B36E-8E9D248CACA3}"/>
    <dgm:cxn modelId="{BEE0A856-06C2-4C74-A69B-BE1549078104}" type="presParOf" srcId="{27E61AF7-0137-45BC-AB82-BE6416DA7CC0}" destId="{A097642E-AD94-4D65-84C3-97E1884633EE}" srcOrd="0" destOrd="0" presId="urn:microsoft.com/office/officeart/2005/8/layout/chevron1"/>
    <dgm:cxn modelId="{FFAE3EC5-6ED2-4EE5-BBA7-45B4E1B714E4}" type="presParOf" srcId="{A097642E-AD94-4D65-84C3-97E1884633EE}" destId="{B4908510-65C5-4370-A811-E35EB8ECB54F}" srcOrd="0" destOrd="0" presId="urn:microsoft.com/office/officeart/2005/8/layout/chevron1"/>
    <dgm:cxn modelId="{755962E4-FEE4-4AC5-BB64-B837A445D438}" type="presParOf" srcId="{A097642E-AD94-4D65-84C3-97E1884633EE}" destId="{1C3BB513-D38B-4F13-AECF-3B62867D8265}" srcOrd="1" destOrd="0" presId="urn:microsoft.com/office/officeart/2005/8/layout/chevron1"/>
    <dgm:cxn modelId="{C2DBC299-DC2C-418A-BEF9-CDCA88C5C40D}" type="presParOf" srcId="{27E61AF7-0137-45BC-AB82-BE6416DA7CC0}" destId="{53797B4B-DEE8-4636-8494-EAC89B403B12}" srcOrd="1" destOrd="0" presId="urn:microsoft.com/office/officeart/2005/8/layout/chevron1"/>
    <dgm:cxn modelId="{0650E95D-6FBC-4F8A-94C2-E73813CA8425}" type="presParOf" srcId="{27E61AF7-0137-45BC-AB82-BE6416DA7CC0}" destId="{74F06996-B05E-47C1-894D-2AD3CA04D7DC}" srcOrd="2" destOrd="0" presId="urn:microsoft.com/office/officeart/2005/8/layout/chevron1"/>
    <dgm:cxn modelId="{093203F9-4014-4B19-AF4A-42BCA1E7CE78}" type="presParOf" srcId="{74F06996-B05E-47C1-894D-2AD3CA04D7DC}" destId="{46BD221E-FBD1-4456-BB05-88C588B16B6E}" srcOrd="0" destOrd="0" presId="urn:microsoft.com/office/officeart/2005/8/layout/chevron1"/>
    <dgm:cxn modelId="{8EDBAD9A-8203-4CDC-83C6-0849D6100CB6}" type="presParOf" srcId="{74F06996-B05E-47C1-894D-2AD3CA04D7DC}" destId="{95D7983D-FA49-4213-9E04-2F3A34073AA3}" srcOrd="1" destOrd="0" presId="urn:microsoft.com/office/officeart/2005/8/layout/chevron1"/>
    <dgm:cxn modelId="{78E1AF95-EA23-44A4-9462-7CCBC5E60CE9}" type="presParOf" srcId="{27E61AF7-0137-45BC-AB82-BE6416DA7CC0}" destId="{D51B8E17-18BF-4D73-A59E-CD0E6EC20A21}" srcOrd="3" destOrd="0" presId="urn:microsoft.com/office/officeart/2005/8/layout/chevron1"/>
    <dgm:cxn modelId="{C00502AC-A096-402D-8772-2F8237EB3742}" type="presParOf" srcId="{27E61AF7-0137-45BC-AB82-BE6416DA7CC0}" destId="{B2DFBAB4-DA05-4B9B-9E48-1AD4CFBC60FA}" srcOrd="4" destOrd="0" presId="urn:microsoft.com/office/officeart/2005/8/layout/chevron1"/>
    <dgm:cxn modelId="{3EDA4E2D-9D35-452F-A379-A63A62866AC9}" type="presParOf" srcId="{B2DFBAB4-DA05-4B9B-9E48-1AD4CFBC60FA}" destId="{3C934614-357B-4B09-93DA-07804526E0A0}" srcOrd="0" destOrd="0" presId="urn:microsoft.com/office/officeart/2005/8/layout/chevron1"/>
    <dgm:cxn modelId="{D180142F-F66B-45F7-83F9-44A06AF65B30}" type="presParOf" srcId="{B2DFBAB4-DA05-4B9B-9E48-1AD4CFBC60FA}" destId="{EE9E17FA-0608-4C07-9FE9-A8B1245398E5}" srcOrd="1" destOrd="0" presId="urn:microsoft.com/office/officeart/2005/8/layout/chevron1"/>
    <dgm:cxn modelId="{BE8B720E-BFE4-4067-BB6D-560ADE9263D6}" type="presParOf" srcId="{27E61AF7-0137-45BC-AB82-BE6416DA7CC0}" destId="{C4145297-48CE-45D1-B7BE-3F8FD5665036}" srcOrd="5" destOrd="0" presId="urn:microsoft.com/office/officeart/2005/8/layout/chevron1"/>
    <dgm:cxn modelId="{0E6DDCC7-4D5D-49B4-A118-6944E0EB9404}" type="presParOf" srcId="{27E61AF7-0137-45BC-AB82-BE6416DA7CC0}" destId="{C95455CF-5BD9-4ADF-A0BA-72241F952AF7}" srcOrd="6" destOrd="0" presId="urn:microsoft.com/office/officeart/2005/8/layout/chevron1"/>
    <dgm:cxn modelId="{A3A26A65-7C18-4857-A6C5-CE40B9F99F50}" type="presParOf" srcId="{C95455CF-5BD9-4ADF-A0BA-72241F952AF7}" destId="{665B52D9-68D6-44D1-BBE8-FB98A79F214A}" srcOrd="0" destOrd="0" presId="urn:microsoft.com/office/officeart/2005/8/layout/chevron1"/>
    <dgm:cxn modelId="{048A42CE-96CA-4026-AA1F-B68838E75973}" type="presParOf" srcId="{C95455CF-5BD9-4ADF-A0BA-72241F952AF7}" destId="{1376CF8E-331A-4461-8A9F-87DD0F2E142E}" srcOrd="1" destOrd="0" presId="urn:microsoft.com/office/officeart/2005/8/layout/chevron1"/>
    <dgm:cxn modelId="{423CE49B-CAD5-47F7-A27E-447C7A813477}" type="presParOf" srcId="{27E61AF7-0137-45BC-AB82-BE6416DA7CC0}" destId="{83F4CF38-70C9-43EE-9E2F-B4E4F9A14430}" srcOrd="7" destOrd="0" presId="urn:microsoft.com/office/officeart/2005/8/layout/chevron1"/>
    <dgm:cxn modelId="{172B1469-BF15-4386-8DFA-8917FCA552D1}" type="presParOf" srcId="{27E61AF7-0137-45BC-AB82-BE6416DA7CC0}" destId="{435B552B-F7D1-4CA8-9BEB-71A2BD89A5B0}" srcOrd="8" destOrd="0" presId="urn:microsoft.com/office/officeart/2005/8/layout/chevron1"/>
    <dgm:cxn modelId="{CC0189AA-413B-4B27-8001-5321EB5149F2}" type="presParOf" srcId="{435B552B-F7D1-4CA8-9BEB-71A2BD89A5B0}" destId="{AD831214-3353-4D21-A42C-C1F299596057}" srcOrd="0" destOrd="0" presId="urn:microsoft.com/office/officeart/2005/8/layout/chevron1"/>
    <dgm:cxn modelId="{AC51600B-E086-4C3E-AB11-2F368D6B6C10}" type="presParOf" srcId="{435B552B-F7D1-4CA8-9BEB-71A2BD89A5B0}" destId="{49446BEC-73E9-491E-84DF-879E41115480}" srcOrd="1"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08510-65C5-4370-A811-E35EB8ECB54F}">
      <dsp:nvSpPr>
        <dsp:cNvPr id="0" name=""/>
        <dsp:cNvSpPr/>
      </dsp:nvSpPr>
      <dsp:spPr>
        <a:xfrm>
          <a:off x="3288"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Assign Responsibility by Worksheet</a:t>
          </a:r>
        </a:p>
      </dsp:txBody>
      <dsp:txXfrm>
        <a:off x="276091" y="95940"/>
        <a:ext cx="818409" cy="545605"/>
      </dsp:txXfrm>
    </dsp:sp>
    <dsp:sp modelId="{46BD221E-FBD1-4456-BB05-88C588B16B6E}">
      <dsp:nvSpPr>
        <dsp:cNvPr id="0" name=""/>
        <dsp:cNvSpPr/>
      </dsp:nvSpPr>
      <dsp:spPr>
        <a:xfrm>
          <a:off x="1191678" y="84646"/>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Determine  Approach</a:t>
          </a:r>
        </a:p>
      </dsp:txBody>
      <dsp:txXfrm>
        <a:off x="1464481" y="84646"/>
        <a:ext cx="818409" cy="545605"/>
      </dsp:txXfrm>
    </dsp:sp>
    <dsp:sp modelId="{95D7983D-FA49-4213-9E04-2F3A34073AA3}">
      <dsp:nvSpPr>
        <dsp:cNvPr id="0" name=""/>
        <dsp:cNvSpPr/>
      </dsp:nvSpPr>
      <dsp:spPr>
        <a:xfrm>
          <a:off x="1151303"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Is actual data available?</a:t>
          </a:r>
        </a:p>
        <a:p>
          <a:pPr marL="57150" lvl="1" indent="-57150" algn="l" defTabSz="400050">
            <a:lnSpc>
              <a:spcPct val="90000"/>
            </a:lnSpc>
            <a:spcBef>
              <a:spcPct val="0"/>
            </a:spcBef>
            <a:spcAft>
              <a:spcPct val="15000"/>
            </a:spcAft>
            <a:buChar char="•"/>
          </a:pPr>
          <a:r>
            <a:rPr lang="en-AU" sz="900" kern="1200"/>
            <a:t>If not, how can an estimate be made?</a:t>
          </a:r>
        </a:p>
        <a:p>
          <a:pPr marL="57150" lvl="1" indent="-57150" algn="l" defTabSz="400050">
            <a:lnSpc>
              <a:spcPct val="90000"/>
            </a:lnSpc>
            <a:spcBef>
              <a:spcPct val="0"/>
            </a:spcBef>
            <a:spcAft>
              <a:spcPct val="15000"/>
            </a:spcAft>
            <a:buChar char="•"/>
          </a:pPr>
          <a:r>
            <a:rPr lang="en-AU" sz="900" kern="1200"/>
            <a:t>Why does the estimation approach represent the 'best estimate' that TransGrid can provide?</a:t>
          </a:r>
        </a:p>
        <a:p>
          <a:pPr marL="57150" lvl="1" indent="-57150" algn="l" defTabSz="400050">
            <a:lnSpc>
              <a:spcPct val="90000"/>
            </a:lnSpc>
            <a:spcBef>
              <a:spcPct val="0"/>
            </a:spcBef>
            <a:spcAft>
              <a:spcPct val="15000"/>
            </a:spcAft>
            <a:buChar char="•"/>
          </a:pPr>
          <a:r>
            <a:rPr lang="en-AU" sz="900" kern="1200"/>
            <a:t>What supporting information is required to satisfy an external audit?</a:t>
          </a:r>
        </a:p>
      </dsp:txBody>
      <dsp:txXfrm>
        <a:off x="1151303" y="709746"/>
        <a:ext cx="1091211" cy="1718437"/>
      </dsp:txXfrm>
    </dsp:sp>
    <dsp:sp modelId="{3C934614-357B-4B09-93DA-07804526E0A0}">
      <dsp:nvSpPr>
        <dsp:cNvPr id="0" name=""/>
        <dsp:cNvSpPr/>
      </dsp:nvSpPr>
      <dsp:spPr>
        <a:xfrm>
          <a:off x="2299317"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Prepare </a:t>
          </a:r>
          <a:r>
            <a:rPr lang="en-AU" sz="800" b="1" kern="1200" baseline="0"/>
            <a:t>Response</a:t>
          </a:r>
        </a:p>
      </dsp:txBody>
      <dsp:txXfrm>
        <a:off x="2572120" y="95940"/>
        <a:ext cx="818409" cy="545605"/>
      </dsp:txXfrm>
    </dsp:sp>
    <dsp:sp modelId="{EE9E17FA-0608-4C07-9FE9-A8B1245398E5}">
      <dsp:nvSpPr>
        <dsp:cNvPr id="0" name=""/>
        <dsp:cNvSpPr/>
      </dsp:nvSpPr>
      <dsp:spPr>
        <a:xfrm>
          <a:off x="2299317"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Document data sources</a:t>
          </a:r>
        </a:p>
        <a:p>
          <a:pPr marL="57150" lvl="1" indent="-57150" algn="l" defTabSz="400050">
            <a:lnSpc>
              <a:spcPct val="90000"/>
            </a:lnSpc>
            <a:spcBef>
              <a:spcPct val="0"/>
            </a:spcBef>
            <a:spcAft>
              <a:spcPct val="15000"/>
            </a:spcAft>
            <a:buChar char="•"/>
          </a:pPr>
          <a:r>
            <a:rPr lang="en-AU" sz="900" kern="1200"/>
            <a:t>Prepare Basis of Preparation</a:t>
          </a:r>
        </a:p>
        <a:p>
          <a:pPr marL="57150" lvl="1" indent="-57150" algn="l" defTabSz="400050">
            <a:lnSpc>
              <a:spcPct val="90000"/>
            </a:lnSpc>
            <a:spcBef>
              <a:spcPct val="0"/>
            </a:spcBef>
            <a:spcAft>
              <a:spcPct val="15000"/>
            </a:spcAft>
            <a:buChar char="•"/>
          </a:pPr>
          <a:r>
            <a:rPr lang="en-AU" sz="900" kern="1200"/>
            <a:t>Compile Supporting Documents</a:t>
          </a:r>
        </a:p>
        <a:p>
          <a:pPr marL="57150" lvl="1" indent="-57150" algn="l" defTabSz="400050">
            <a:lnSpc>
              <a:spcPct val="90000"/>
            </a:lnSpc>
            <a:spcBef>
              <a:spcPct val="0"/>
            </a:spcBef>
            <a:spcAft>
              <a:spcPct val="15000"/>
            </a:spcAft>
            <a:buChar char="•"/>
          </a:pPr>
          <a:r>
            <a:rPr lang="en-AU" sz="900" kern="1200"/>
            <a:t>Address confidentiality issues</a:t>
          </a:r>
        </a:p>
      </dsp:txBody>
      <dsp:txXfrm>
        <a:off x="2299317" y="709746"/>
        <a:ext cx="1091211" cy="1718437"/>
      </dsp:txXfrm>
    </dsp:sp>
    <dsp:sp modelId="{665B52D9-68D6-44D1-BBE8-FB98A79F214A}">
      <dsp:nvSpPr>
        <dsp:cNvPr id="0" name=""/>
        <dsp:cNvSpPr/>
      </dsp:nvSpPr>
      <dsp:spPr>
        <a:xfrm>
          <a:off x="3447332"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Review and Approvals</a:t>
          </a:r>
        </a:p>
      </dsp:txBody>
      <dsp:txXfrm>
        <a:off x="3720135" y="95940"/>
        <a:ext cx="818409" cy="545605"/>
      </dsp:txXfrm>
    </dsp:sp>
    <dsp:sp modelId="{1376CF8E-331A-4461-8A9F-87DD0F2E142E}">
      <dsp:nvSpPr>
        <dsp:cNvPr id="0" name=""/>
        <dsp:cNvSpPr/>
      </dsp:nvSpPr>
      <dsp:spPr>
        <a:xfrm>
          <a:off x="3447332"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RIN Templates</a:t>
          </a:r>
        </a:p>
        <a:p>
          <a:pPr marL="57150" lvl="1" indent="-57150" algn="l" defTabSz="400050">
            <a:lnSpc>
              <a:spcPct val="90000"/>
            </a:lnSpc>
            <a:spcBef>
              <a:spcPct val="0"/>
            </a:spcBef>
            <a:spcAft>
              <a:spcPct val="15000"/>
            </a:spcAft>
            <a:buChar char="•"/>
          </a:pPr>
          <a:r>
            <a:rPr lang="en-AU" sz="900" kern="1200"/>
            <a:t>RIN Obligations</a:t>
          </a:r>
        </a:p>
        <a:p>
          <a:pPr marL="57150" lvl="1" indent="-57150" algn="l" defTabSz="400050">
            <a:lnSpc>
              <a:spcPct val="90000"/>
            </a:lnSpc>
            <a:spcBef>
              <a:spcPct val="0"/>
            </a:spcBef>
            <a:spcAft>
              <a:spcPct val="15000"/>
            </a:spcAft>
            <a:buChar char="•"/>
          </a:pPr>
          <a:r>
            <a:rPr lang="en-AU" sz="900" kern="1200"/>
            <a:t>Executive Review and Approval</a:t>
          </a:r>
        </a:p>
        <a:p>
          <a:pPr marL="57150" lvl="1" indent="-57150" algn="l" defTabSz="400050">
            <a:lnSpc>
              <a:spcPct val="90000"/>
            </a:lnSpc>
            <a:spcBef>
              <a:spcPct val="0"/>
            </a:spcBef>
            <a:spcAft>
              <a:spcPct val="15000"/>
            </a:spcAft>
            <a:buChar char="•"/>
          </a:pPr>
          <a:r>
            <a:rPr lang="en-AU" sz="900" i="0" kern="1200"/>
            <a:t>Audit Report</a:t>
          </a:r>
        </a:p>
        <a:p>
          <a:pPr marL="57150" lvl="1" indent="-57150" algn="l" defTabSz="400050">
            <a:lnSpc>
              <a:spcPct val="90000"/>
            </a:lnSpc>
            <a:spcBef>
              <a:spcPct val="0"/>
            </a:spcBef>
            <a:spcAft>
              <a:spcPct val="15000"/>
            </a:spcAft>
            <a:buChar char="•"/>
          </a:pPr>
          <a:r>
            <a:rPr lang="en-AU" sz="900" i="0" kern="1200"/>
            <a:t>Statutory Declaration</a:t>
          </a:r>
        </a:p>
      </dsp:txBody>
      <dsp:txXfrm>
        <a:off x="3447332" y="709746"/>
        <a:ext cx="1091211" cy="1718437"/>
      </dsp:txXfrm>
    </dsp:sp>
    <dsp:sp modelId="{AD831214-3353-4D21-A42C-C1F299596057}">
      <dsp:nvSpPr>
        <dsp:cNvPr id="0" name=""/>
        <dsp:cNvSpPr/>
      </dsp:nvSpPr>
      <dsp:spPr>
        <a:xfrm>
          <a:off x="4595346"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Submission to AER</a:t>
          </a:r>
        </a:p>
      </dsp:txBody>
      <dsp:txXfrm>
        <a:off x="4868149" y="95940"/>
        <a:ext cx="818409" cy="545605"/>
      </dsp:txXfrm>
    </dsp:sp>
    <dsp:sp modelId="{49446BEC-73E9-491E-84DF-879E41115480}">
      <dsp:nvSpPr>
        <dsp:cNvPr id="0" name=""/>
        <dsp:cNvSpPr/>
      </dsp:nvSpPr>
      <dsp:spPr>
        <a:xfrm>
          <a:off x="4595346"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i="0" kern="1200"/>
            <a:t>Audited RIN Response 29 October 2021</a:t>
          </a:r>
        </a:p>
      </dsp:txBody>
      <dsp:txXfrm>
        <a:off x="4595346" y="709746"/>
        <a:ext cx="1091211" cy="17184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F969A5-B857-44BB-BC5B-1EDC8D92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22307</Words>
  <Characters>127150</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2022-01-20T02:26:00Z</dcterms:created>
  <dcterms:modified xsi:type="dcterms:W3CDTF">2022-01-20T02:26:00Z</dcterms:modified>
</cp:coreProperties>
</file>