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0AF4" w:rsidRDefault="00752397" w:rsidP="00C7068C">
      <w:pPr>
        <w:rPr>
          <w:b/>
          <w:color w:val="076A92" w:themeColor="text1"/>
          <w:sz w:val="24"/>
          <w:szCs w:val="20"/>
        </w:rPr>
      </w:pPr>
      <w:r w:rsidRPr="00290C63">
        <w:rPr>
          <w:noProof/>
          <w:lang w:eastAsia="en-AU"/>
        </w:rPr>
        <w:drawing>
          <wp:anchor distT="0" distB="0" distL="114300" distR="114300" simplePos="0" relativeHeight="251685888" behindDoc="1" locked="0" layoutInCell="1" allowOverlap="1" wp14:anchorId="293834A5" wp14:editId="6C486F3C">
            <wp:simplePos x="0" y="0"/>
            <wp:positionH relativeFrom="column">
              <wp:posOffset>-1143635</wp:posOffset>
            </wp:positionH>
            <wp:positionV relativeFrom="paragraph">
              <wp:posOffset>-921385</wp:posOffset>
            </wp:positionV>
            <wp:extent cx="7796530" cy="10925175"/>
            <wp:effectExtent l="0" t="0" r="0" b="9525"/>
            <wp:wrapNone/>
            <wp:docPr id="36" name="Picture 36"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96530" cy="10925175"/>
                    </a:xfrm>
                    <a:prstGeom prst="rect">
                      <a:avLst/>
                    </a:prstGeom>
                    <a:noFill/>
                  </pic:spPr>
                </pic:pic>
              </a:graphicData>
            </a:graphic>
            <wp14:sizeRelH relativeFrom="page">
              <wp14:pctWidth>0</wp14:pctWidth>
            </wp14:sizeRelH>
            <wp14:sizeRelV relativeFrom="page">
              <wp14:pctHeight>0</wp14:pctHeight>
            </wp14:sizeRelV>
          </wp:anchor>
        </w:drawing>
      </w:r>
      <w:r w:rsidR="00E44938">
        <w:rPr>
          <w:b/>
          <w:color w:val="076A92" w:themeColor="text1"/>
          <w:sz w:val="24"/>
          <w:szCs w:val="20"/>
        </w:rPr>
        <w:tab/>
      </w:r>
    </w:p>
    <w:sdt>
      <w:sdtPr>
        <w:rPr>
          <w:rFonts w:eastAsiaTheme="majorEastAsia" w:cstheme="majorBidi"/>
          <w:b/>
          <w:bCs/>
          <w:color w:val="076A92" w:themeColor="text1"/>
          <w:sz w:val="24"/>
          <w:szCs w:val="20"/>
        </w:rPr>
        <w:id w:val="1099676627"/>
        <w:docPartObj>
          <w:docPartGallery w:val="Cover Pages"/>
          <w:docPartUnique/>
        </w:docPartObj>
      </w:sdtPr>
      <w:sdtEndPr>
        <w:rPr>
          <w:rFonts w:eastAsiaTheme="minorHAnsi" w:cstheme="minorBidi"/>
          <w:b w:val="0"/>
          <w:bCs w:val="0"/>
          <w:color w:val="auto"/>
          <w:sz w:val="22"/>
          <w:szCs w:val="22"/>
        </w:rPr>
      </w:sdtEndPr>
      <w:sdtContent>
        <w:p w:rsidR="00C7068C" w:rsidRDefault="00C7068C" w:rsidP="00C7068C">
          <w:r w:rsidRPr="004300F1">
            <w:t xml:space="preserve"> </w:t>
          </w:r>
        </w:p>
        <w:sdt>
          <w:sdtPr>
            <w:id w:val="-244801280"/>
            <w:docPartObj>
              <w:docPartGallery w:val="Cover Pages"/>
              <w:docPartUnique/>
            </w:docPartObj>
          </w:sdtPr>
          <w:sdtEndPr>
            <w:rPr>
              <w:rFonts w:eastAsiaTheme="majorEastAsia" w:cstheme="majorBidi"/>
              <w:b/>
              <w:noProof/>
              <w:sz w:val="72"/>
              <w:szCs w:val="72"/>
              <w:lang w:eastAsia="en-AU"/>
            </w:rPr>
          </w:sdtEndPr>
          <w:sdtContent>
            <w:p w:rsidR="00C7068C" w:rsidRPr="00DB723B" w:rsidRDefault="00C7068C" w:rsidP="00C7068C"/>
            <w:p w:rsidR="00C7068C" w:rsidRPr="00DB723B" w:rsidRDefault="00C7068C" w:rsidP="00C7068C"/>
            <w:p w:rsidR="00C7068C" w:rsidRPr="00DB723B" w:rsidRDefault="00C7068C" w:rsidP="00C7068C"/>
            <w:p w:rsidR="00C7068C" w:rsidRPr="00DB723B" w:rsidRDefault="00C7068C" w:rsidP="00C7068C"/>
            <w:p w:rsidR="00C7068C" w:rsidRPr="00DB723B" w:rsidRDefault="00C7068C" w:rsidP="00C7068C"/>
            <w:p w:rsidR="00C7068C" w:rsidRPr="00DB723B" w:rsidRDefault="00C7068C" w:rsidP="00C7068C"/>
            <w:p w:rsidR="00C7068C" w:rsidRPr="00DB723B" w:rsidRDefault="00C7068C" w:rsidP="00C7068C"/>
            <w:p w:rsidR="00C7068C" w:rsidRPr="00DB723B" w:rsidRDefault="00654F52" w:rsidP="00C7068C">
              <w:pPr>
                <w:pStyle w:val="ReportTitle"/>
              </w:pPr>
              <w:r>
                <w:t>S</w:t>
              </w:r>
              <w:r w:rsidR="00CD6876">
                <w:t>ignificant price variation report</w:t>
              </w:r>
            </w:p>
            <w:p w:rsidR="00C7068C" w:rsidRDefault="00C7068C" w:rsidP="00C7068C">
              <w:pPr>
                <w:pStyle w:val="ReportSubtitle"/>
              </w:pPr>
            </w:p>
            <w:p w:rsidR="00F46E8C" w:rsidRDefault="00F46E8C" w:rsidP="00C7068C">
              <w:pPr>
                <w:pStyle w:val="ReportSubtitle"/>
              </w:pPr>
              <w:r>
                <w:t>Victorian gas wholesale market</w:t>
              </w:r>
            </w:p>
            <w:p w:rsidR="00F46E8C" w:rsidRDefault="00F46E8C" w:rsidP="00C7068C">
              <w:pPr>
                <w:pStyle w:val="ReportSubtitle"/>
              </w:pPr>
            </w:p>
            <w:p w:rsidR="00C7068C" w:rsidRPr="00DB723B" w:rsidRDefault="00832408" w:rsidP="00C7068C">
              <w:pPr>
                <w:pStyle w:val="ReportSubtitle"/>
              </w:pPr>
              <w:r>
                <w:t>Longford facility outage</w:t>
              </w:r>
              <w:r w:rsidR="00C7068C">
                <w:t xml:space="preserve"> </w:t>
              </w:r>
              <w:r w:rsidR="008634F6">
                <w:br/>
              </w:r>
              <w:r w:rsidR="006531C4">
                <w:t xml:space="preserve">1 </w:t>
              </w:r>
              <w:r>
                <w:t>October</w:t>
              </w:r>
              <w:r w:rsidR="00303022">
                <w:t xml:space="preserve"> 2016</w:t>
              </w:r>
            </w:p>
            <w:p w:rsidR="00C7068C" w:rsidRDefault="00C7068C" w:rsidP="00C7068C">
              <w:pPr>
                <w:pStyle w:val="ReportDate"/>
              </w:pPr>
            </w:p>
            <w:p w:rsidR="00C7068C" w:rsidRDefault="00C7068C" w:rsidP="00C7068C">
              <w:pPr>
                <w:pStyle w:val="ReportDate"/>
              </w:pPr>
            </w:p>
            <w:p w:rsidR="00C7068C" w:rsidRPr="00300AF1" w:rsidRDefault="00327A0C" w:rsidP="00C7068C">
              <w:pPr>
                <w:pStyle w:val="ReportDate"/>
              </w:pPr>
              <w:r>
                <w:t>2</w:t>
              </w:r>
              <w:r w:rsidR="006624AF">
                <w:t>1</w:t>
              </w:r>
              <w:r w:rsidR="00832408">
                <w:t xml:space="preserve"> December</w:t>
              </w:r>
              <w:r w:rsidR="00752397" w:rsidRPr="00311DB0">
                <w:t xml:space="preserve"> </w:t>
              </w:r>
              <w:r w:rsidR="00C7068C" w:rsidRPr="00311DB0">
                <w:t>201</w:t>
              </w:r>
              <w:r w:rsidR="00CD6876" w:rsidRPr="00311DB0">
                <w:t>6</w:t>
              </w:r>
            </w:p>
            <w:p w:rsidR="00C7068C" w:rsidRPr="0015715D" w:rsidRDefault="00C7068C" w:rsidP="0015715D">
              <w:r w:rsidRPr="00DB723B">
                <w:br w:type="page"/>
              </w:r>
            </w:p>
          </w:sdtContent>
        </w:sdt>
        <w:p w:rsidR="00C7068C" w:rsidRDefault="0015715D" w:rsidP="00C7068C">
          <w:pPr>
            <w:spacing w:line="240" w:lineRule="auto"/>
          </w:pPr>
          <w:r>
            <w:lastRenderedPageBreak/>
            <w:t>© Commonwealth of Australia 201</w:t>
          </w:r>
          <w:r w:rsidR="00CD6876">
            <w:t>6</w:t>
          </w:r>
        </w:p>
        <w:p w:rsidR="00C7068C" w:rsidRDefault="00C7068C" w:rsidP="00C7068C">
          <w:pPr>
            <w:pStyle w:val="Copyright"/>
          </w:pPr>
          <w:r>
            <w:t>This work is copyright. In addition to any use permitted under the Copyright Act 1968, all material contained within this work is provided under a Creative Commons Attributions 3.0 Australia licence, with the exception of:</w:t>
          </w:r>
        </w:p>
        <w:p w:rsidR="00C7068C" w:rsidRDefault="00C7068C" w:rsidP="0090574A">
          <w:pPr>
            <w:pStyle w:val="StyleCopyrightBefore0pt"/>
            <w:numPr>
              <w:ilvl w:val="0"/>
              <w:numId w:val="22"/>
            </w:numPr>
          </w:pPr>
          <w:r>
            <w:t>the Commonwealth Coat of Arms</w:t>
          </w:r>
        </w:p>
        <w:p w:rsidR="00C7068C" w:rsidRDefault="00C7068C" w:rsidP="0090574A">
          <w:pPr>
            <w:pStyle w:val="StyleCopyrightBefore0pt"/>
            <w:numPr>
              <w:ilvl w:val="0"/>
              <w:numId w:val="22"/>
            </w:numPr>
          </w:pPr>
          <w:r>
            <w:t>the ACCC and AER logos</w:t>
          </w:r>
        </w:p>
        <w:p w:rsidR="00C7068C" w:rsidRPr="00B927D8" w:rsidRDefault="00C7068C" w:rsidP="0090574A">
          <w:pPr>
            <w:pStyle w:val="ListBullet"/>
            <w:numPr>
              <w:ilvl w:val="0"/>
              <w:numId w:val="22"/>
            </w:numPr>
            <w:rPr>
              <w:sz w:val="20"/>
              <w:szCs w:val="20"/>
            </w:rPr>
          </w:pPr>
          <w:r w:rsidRPr="007A4D1F">
            <w:rPr>
              <w:sz w:val="20"/>
              <w:szCs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C7068C" w:rsidRDefault="00C7068C" w:rsidP="00C7068C">
          <w:pPr>
            <w:pStyle w:val="Copyright"/>
            <w:jc w:val="left"/>
          </w:pPr>
          <w:r>
            <w:t xml:space="preserve">Requests and inquiries concerning reproduction and rights should be addressed to the </w:t>
          </w:r>
          <w:r>
            <w:br/>
            <w:t xml:space="preserve">Director, Corporate Communications, </w:t>
          </w:r>
          <w:r>
            <w:br/>
            <w:t xml:space="preserve">Australian Competition and Consumer Commission, </w:t>
          </w:r>
          <w:r>
            <w:br/>
            <w:t xml:space="preserve">GPO Box 4141, </w:t>
          </w:r>
          <w:r>
            <w:br/>
            <w:t xml:space="preserve">Canberra ACT 2601 </w:t>
          </w:r>
          <w:r>
            <w:br/>
            <w:t>or publishing.unit@accc.gov.au.</w:t>
          </w:r>
        </w:p>
        <w:p w:rsidR="00C7068C" w:rsidRDefault="00C7068C" w:rsidP="00C7068C">
          <w:pPr>
            <w:pStyle w:val="Copyright"/>
            <w:jc w:val="left"/>
          </w:pPr>
          <w:r>
            <w:t>Inquiries about this publication should be addressed to:</w:t>
          </w:r>
        </w:p>
        <w:p w:rsidR="00C7068C" w:rsidRDefault="00C7068C" w:rsidP="00C7068C">
          <w:pPr>
            <w:pStyle w:val="Copyright"/>
            <w:jc w:val="left"/>
          </w:pPr>
          <w:r>
            <w:t xml:space="preserve">Australian Energy </w:t>
          </w:r>
          <w:r w:rsidRPr="00F171E0">
            <w:t>Regulator</w:t>
          </w:r>
          <w:r>
            <w:br/>
            <w:t>GPO Box 520</w:t>
          </w:r>
          <w:r>
            <w:br/>
            <w:t>Melbourne</w:t>
          </w:r>
          <w:r w:rsidR="00D816CB">
            <w:t xml:space="preserve"> </w:t>
          </w:r>
          <w:r>
            <w:t>Vic</w:t>
          </w:r>
          <w:r w:rsidR="00D816CB">
            <w:t xml:space="preserve"> </w:t>
          </w:r>
          <w:r>
            <w:t>3001</w:t>
          </w:r>
        </w:p>
        <w:p w:rsidR="00C7068C" w:rsidRDefault="00C7068C" w:rsidP="00C7068C">
          <w:pPr>
            <w:pStyle w:val="Copyright"/>
            <w:jc w:val="left"/>
          </w:pPr>
          <w:r>
            <w:t>Tel: (03) 9290 1444</w:t>
          </w:r>
          <w:r>
            <w:br/>
            <w:t>Fax: (03) 9290 1457</w:t>
          </w:r>
        </w:p>
        <w:p w:rsidR="00C7068C" w:rsidRPr="00CC65AF" w:rsidRDefault="00C7068C" w:rsidP="00C7068C">
          <w:pPr>
            <w:pStyle w:val="Copyright"/>
            <w:jc w:val="left"/>
          </w:pPr>
          <w:r>
            <w:t xml:space="preserve">Email: </w:t>
          </w:r>
          <w:hyperlink r:id="rId11" w:history="1">
            <w:r w:rsidRPr="00D64888">
              <w:rPr>
                <w:rStyle w:val="Hyperlink"/>
              </w:rPr>
              <w:t>AERInquiry@aer.gov.au</w:t>
            </w:r>
          </w:hyperlink>
          <w:r>
            <w:rPr>
              <w:rStyle w:val="Hyperlink"/>
            </w:rPr>
            <w:br/>
          </w:r>
          <w:r w:rsidRPr="00CC65AF">
            <w:t>AER Referenc</w:t>
          </w:r>
          <w:r w:rsidRPr="0033044A">
            <w:t xml:space="preserve">e: </w:t>
          </w:r>
          <w:r w:rsidR="00751AFB">
            <w:t>61112</w:t>
          </w:r>
          <w:r w:rsidR="007976ED">
            <w:t>-</w:t>
          </w:r>
          <w:r w:rsidR="00FA2FA1">
            <w:rPr>
              <w:rFonts w:cs="Arial"/>
              <w:szCs w:val="18"/>
            </w:rPr>
            <w:t>D16/1</w:t>
          </w:r>
          <w:r w:rsidR="00C1032C">
            <w:rPr>
              <w:rFonts w:cs="Arial"/>
              <w:szCs w:val="18"/>
            </w:rPr>
            <w:t>59493</w:t>
          </w:r>
        </w:p>
        <w:p w:rsidR="00C7068C" w:rsidRDefault="00C7068C" w:rsidP="00C7068C"/>
        <w:p w:rsidR="00C7068C" w:rsidRPr="00C569B4" w:rsidRDefault="00C7068C" w:rsidP="00C7068C">
          <w:r w:rsidRPr="00C569B4">
            <w:t>Amendment Record</w:t>
          </w:r>
        </w:p>
        <w:tbl>
          <w:tblPr>
            <w:tblStyle w:val="AERTable-Text"/>
            <w:tblW w:w="0" w:type="auto"/>
            <w:tblLook w:val="04A0" w:firstRow="1" w:lastRow="0" w:firstColumn="1" w:lastColumn="0" w:noHBand="0" w:noVBand="1"/>
          </w:tblPr>
          <w:tblGrid>
            <w:gridCol w:w="2899"/>
            <w:gridCol w:w="2906"/>
            <w:gridCol w:w="2888"/>
          </w:tblGrid>
          <w:tr w:rsidR="00C7068C" w:rsidTr="00CC65AF">
            <w:trPr>
              <w:cnfStyle w:val="100000000000" w:firstRow="1" w:lastRow="0" w:firstColumn="0" w:lastColumn="0" w:oddVBand="0" w:evenVBand="0" w:oddHBand="0" w:evenHBand="0" w:firstRowFirstColumn="0" w:firstRowLastColumn="0" w:lastRowFirstColumn="0" w:lastRowLastColumn="0"/>
            </w:trPr>
            <w:tc>
              <w:tcPr>
                <w:tcW w:w="2899" w:type="dxa"/>
              </w:tcPr>
              <w:p w:rsidR="00C7068C" w:rsidRDefault="00C7068C" w:rsidP="009B028C">
                <w:r>
                  <w:t>Version</w:t>
                </w:r>
              </w:p>
            </w:tc>
            <w:tc>
              <w:tcPr>
                <w:tcW w:w="2906" w:type="dxa"/>
              </w:tcPr>
              <w:p w:rsidR="00C7068C" w:rsidRDefault="00C7068C" w:rsidP="009B028C">
                <w:r>
                  <w:t>Date</w:t>
                </w:r>
              </w:p>
            </w:tc>
            <w:tc>
              <w:tcPr>
                <w:tcW w:w="2888" w:type="dxa"/>
              </w:tcPr>
              <w:p w:rsidR="00C7068C" w:rsidRDefault="00C7068C" w:rsidP="009B028C">
                <w:r>
                  <w:t>Pages</w:t>
                </w:r>
              </w:p>
            </w:tc>
          </w:tr>
          <w:tr w:rsidR="00C7068C" w:rsidTr="00192970">
            <w:trPr>
              <w:cnfStyle w:val="000000100000" w:firstRow="0" w:lastRow="0" w:firstColumn="0" w:lastColumn="0" w:oddVBand="0" w:evenVBand="0" w:oddHBand="1" w:evenHBand="0" w:firstRowFirstColumn="0" w:firstRowLastColumn="0" w:lastRowFirstColumn="0" w:lastRowLastColumn="0"/>
              <w:trHeight w:val="624"/>
            </w:trPr>
            <w:tc>
              <w:tcPr>
                <w:tcW w:w="2899" w:type="dxa"/>
                <w:vAlign w:val="bottom"/>
              </w:tcPr>
              <w:p w:rsidR="00C7068C" w:rsidRPr="00C932EA" w:rsidRDefault="00147AD2" w:rsidP="00192970">
                <w:pPr>
                  <w:spacing w:before="0" w:after="200"/>
                  <w:jc w:val="left"/>
                </w:pPr>
                <w:r w:rsidRPr="00C932EA">
                  <w:t>1 version for publication</w:t>
                </w:r>
              </w:p>
            </w:tc>
            <w:tc>
              <w:tcPr>
                <w:tcW w:w="2906" w:type="dxa"/>
                <w:vAlign w:val="bottom"/>
              </w:tcPr>
              <w:p w:rsidR="00C7068C" w:rsidRPr="00C932EA" w:rsidRDefault="00C1032C" w:rsidP="00057D63">
                <w:pPr>
                  <w:spacing w:before="0" w:after="200"/>
                  <w:jc w:val="left"/>
                </w:pPr>
                <w:r w:rsidRPr="00C932EA">
                  <w:t>2</w:t>
                </w:r>
                <w:r w:rsidR="00057D63">
                  <w:t>1</w:t>
                </w:r>
                <w:r w:rsidRPr="00C932EA">
                  <w:t xml:space="preserve"> December 2016</w:t>
                </w:r>
              </w:p>
            </w:tc>
            <w:tc>
              <w:tcPr>
                <w:tcW w:w="2888" w:type="dxa"/>
                <w:vAlign w:val="bottom"/>
              </w:tcPr>
              <w:p w:rsidR="00C7068C" w:rsidRPr="00C932EA" w:rsidRDefault="00C1032C" w:rsidP="00192970">
                <w:pPr>
                  <w:spacing w:before="0" w:after="200"/>
                  <w:jc w:val="left"/>
                </w:pPr>
                <w:r w:rsidRPr="00C932EA">
                  <w:t>25</w:t>
                </w:r>
              </w:p>
            </w:tc>
          </w:tr>
        </w:tbl>
        <w:p w:rsidR="00C7068C" w:rsidRDefault="00C7068C" w:rsidP="00C7068C"/>
        <w:p w:rsidR="00C7068C" w:rsidRDefault="00C7068C" w:rsidP="00C7068C">
          <w:pPr>
            <w:spacing w:line="240" w:lineRule="auto"/>
          </w:pPr>
          <w:r>
            <w:br w:type="page"/>
          </w:r>
        </w:p>
        <w:p w:rsidR="00C7068C" w:rsidRDefault="00C7068C" w:rsidP="00C7068C">
          <w:pPr>
            <w:pStyle w:val="TOCHeading"/>
          </w:pPr>
          <w:r>
            <w:lastRenderedPageBreak/>
            <w:t>Contents</w:t>
          </w:r>
        </w:p>
        <w:bookmarkStart w:id="0" w:name="_Toc213047617"/>
        <w:p w:rsidR="003F29ED" w:rsidRDefault="006007DC">
          <w:pPr>
            <w:pStyle w:val="TOC1"/>
            <w:rPr>
              <w:rFonts w:asciiTheme="minorHAnsi" w:eastAsiaTheme="minorEastAsia" w:hAnsiTheme="minorHAnsi"/>
              <w:b w:val="0"/>
              <w:color w:val="auto"/>
              <w:sz w:val="22"/>
              <w:lang w:val="en-AU" w:eastAsia="en-AU"/>
            </w:rPr>
          </w:pPr>
          <w:r>
            <w:rPr>
              <w:b w:val="0"/>
            </w:rPr>
            <w:fldChar w:fldCharType="begin"/>
          </w:r>
          <w:r>
            <w:rPr>
              <w:b w:val="0"/>
            </w:rPr>
            <w:instrText xml:space="preserve"> TOC \o "1-3" \h \z \u </w:instrText>
          </w:r>
          <w:r>
            <w:rPr>
              <w:b w:val="0"/>
            </w:rPr>
            <w:fldChar w:fldCharType="separate"/>
          </w:r>
          <w:hyperlink w:anchor="_Toc470092443" w:history="1">
            <w:r w:rsidR="003F29ED" w:rsidRPr="005919E3">
              <w:rPr>
                <w:rStyle w:val="Hyperlink"/>
              </w:rPr>
              <w:t>Executive summary</w:t>
            </w:r>
            <w:r w:rsidR="003F29ED">
              <w:rPr>
                <w:webHidden/>
              </w:rPr>
              <w:tab/>
            </w:r>
            <w:r w:rsidR="003F29ED">
              <w:rPr>
                <w:webHidden/>
              </w:rPr>
              <w:fldChar w:fldCharType="begin"/>
            </w:r>
            <w:r w:rsidR="003F29ED">
              <w:rPr>
                <w:webHidden/>
              </w:rPr>
              <w:instrText xml:space="preserve"> PAGEREF _Toc470092443 \h </w:instrText>
            </w:r>
            <w:r w:rsidR="003F29ED">
              <w:rPr>
                <w:webHidden/>
              </w:rPr>
            </w:r>
            <w:r w:rsidR="003F29ED">
              <w:rPr>
                <w:webHidden/>
              </w:rPr>
              <w:fldChar w:fldCharType="separate"/>
            </w:r>
            <w:r w:rsidR="003F29ED">
              <w:rPr>
                <w:webHidden/>
              </w:rPr>
              <w:t>4</w:t>
            </w:r>
            <w:r w:rsidR="003F29ED">
              <w:rPr>
                <w:webHidden/>
              </w:rPr>
              <w:fldChar w:fldCharType="end"/>
            </w:r>
          </w:hyperlink>
        </w:p>
        <w:p w:rsidR="003F29ED" w:rsidRDefault="00490750">
          <w:pPr>
            <w:pStyle w:val="TOC1"/>
            <w:rPr>
              <w:rFonts w:asciiTheme="minorHAnsi" w:eastAsiaTheme="minorEastAsia" w:hAnsiTheme="minorHAnsi"/>
              <w:b w:val="0"/>
              <w:color w:val="auto"/>
              <w:sz w:val="22"/>
              <w:lang w:val="en-AU" w:eastAsia="en-AU"/>
            </w:rPr>
          </w:pPr>
          <w:hyperlink w:anchor="_Toc470092444" w:history="1">
            <w:r w:rsidR="003F29ED" w:rsidRPr="005919E3">
              <w:rPr>
                <w:rStyle w:val="Hyperlink"/>
              </w:rPr>
              <w:t>1</w:t>
            </w:r>
            <w:r w:rsidR="003F29ED">
              <w:rPr>
                <w:rFonts w:asciiTheme="minorHAnsi" w:eastAsiaTheme="minorEastAsia" w:hAnsiTheme="minorHAnsi"/>
                <w:b w:val="0"/>
                <w:color w:val="auto"/>
                <w:sz w:val="22"/>
                <w:lang w:val="en-AU" w:eastAsia="en-AU"/>
              </w:rPr>
              <w:tab/>
            </w:r>
            <w:r w:rsidR="003F29ED" w:rsidRPr="005919E3">
              <w:rPr>
                <w:rStyle w:val="Hyperlink"/>
              </w:rPr>
              <w:t>Background</w:t>
            </w:r>
            <w:r w:rsidR="003F29ED">
              <w:rPr>
                <w:webHidden/>
              </w:rPr>
              <w:tab/>
            </w:r>
            <w:r w:rsidR="003F29ED">
              <w:rPr>
                <w:webHidden/>
              </w:rPr>
              <w:fldChar w:fldCharType="begin"/>
            </w:r>
            <w:r w:rsidR="003F29ED">
              <w:rPr>
                <w:webHidden/>
              </w:rPr>
              <w:instrText xml:space="preserve"> PAGEREF _Toc470092444 \h </w:instrText>
            </w:r>
            <w:r w:rsidR="003F29ED">
              <w:rPr>
                <w:webHidden/>
              </w:rPr>
            </w:r>
            <w:r w:rsidR="003F29ED">
              <w:rPr>
                <w:webHidden/>
              </w:rPr>
              <w:fldChar w:fldCharType="separate"/>
            </w:r>
            <w:r w:rsidR="003F29ED">
              <w:rPr>
                <w:webHidden/>
              </w:rPr>
              <w:t>6</w:t>
            </w:r>
            <w:r w:rsidR="003F29ED">
              <w:rPr>
                <w:webHidden/>
              </w:rPr>
              <w:fldChar w:fldCharType="end"/>
            </w:r>
          </w:hyperlink>
        </w:p>
        <w:p w:rsidR="003F29ED" w:rsidRDefault="00490750">
          <w:pPr>
            <w:pStyle w:val="TOC2"/>
            <w:rPr>
              <w:rFonts w:asciiTheme="minorHAnsi" w:eastAsiaTheme="minorEastAsia" w:hAnsiTheme="minorHAnsi"/>
              <w:b w:val="0"/>
              <w:color w:val="auto"/>
              <w:sz w:val="22"/>
              <w:lang w:eastAsia="en-AU"/>
            </w:rPr>
          </w:pPr>
          <w:hyperlink w:anchor="_Toc470092445" w:history="1">
            <w:r w:rsidR="003F29ED" w:rsidRPr="005919E3">
              <w:rPr>
                <w:rStyle w:val="Hyperlink"/>
              </w:rPr>
              <w:t>1.1</w:t>
            </w:r>
            <w:r w:rsidR="003F29ED">
              <w:rPr>
                <w:rFonts w:asciiTheme="minorHAnsi" w:eastAsiaTheme="minorEastAsia" w:hAnsiTheme="minorHAnsi"/>
                <w:b w:val="0"/>
                <w:color w:val="auto"/>
                <w:sz w:val="22"/>
                <w:lang w:eastAsia="en-AU"/>
              </w:rPr>
              <w:tab/>
            </w:r>
            <w:r w:rsidR="003F29ED" w:rsidRPr="005919E3">
              <w:rPr>
                <w:rStyle w:val="Hyperlink"/>
              </w:rPr>
              <w:t>The Victorian gas market</w:t>
            </w:r>
            <w:r w:rsidR="003F29ED">
              <w:rPr>
                <w:webHidden/>
              </w:rPr>
              <w:tab/>
            </w:r>
            <w:r w:rsidR="003F29ED">
              <w:rPr>
                <w:webHidden/>
              </w:rPr>
              <w:fldChar w:fldCharType="begin"/>
            </w:r>
            <w:r w:rsidR="003F29ED">
              <w:rPr>
                <w:webHidden/>
              </w:rPr>
              <w:instrText xml:space="preserve"> PAGEREF _Toc470092445 \h </w:instrText>
            </w:r>
            <w:r w:rsidR="003F29ED">
              <w:rPr>
                <w:webHidden/>
              </w:rPr>
            </w:r>
            <w:r w:rsidR="003F29ED">
              <w:rPr>
                <w:webHidden/>
              </w:rPr>
              <w:fldChar w:fldCharType="separate"/>
            </w:r>
            <w:r w:rsidR="003F29ED">
              <w:rPr>
                <w:webHidden/>
              </w:rPr>
              <w:t>6</w:t>
            </w:r>
            <w:r w:rsidR="003F29ED">
              <w:rPr>
                <w:webHidden/>
              </w:rPr>
              <w:fldChar w:fldCharType="end"/>
            </w:r>
          </w:hyperlink>
        </w:p>
        <w:p w:rsidR="003F29ED" w:rsidRDefault="00490750">
          <w:pPr>
            <w:pStyle w:val="TOC2"/>
            <w:rPr>
              <w:rFonts w:asciiTheme="minorHAnsi" w:eastAsiaTheme="minorEastAsia" w:hAnsiTheme="minorHAnsi"/>
              <w:b w:val="0"/>
              <w:color w:val="auto"/>
              <w:sz w:val="22"/>
              <w:lang w:eastAsia="en-AU"/>
            </w:rPr>
          </w:pPr>
          <w:hyperlink w:anchor="_Toc470092446" w:history="1">
            <w:r w:rsidR="003F29ED" w:rsidRPr="005919E3">
              <w:rPr>
                <w:rStyle w:val="Hyperlink"/>
              </w:rPr>
              <w:t>1.2</w:t>
            </w:r>
            <w:r w:rsidR="003F29ED">
              <w:rPr>
                <w:rFonts w:asciiTheme="minorHAnsi" w:eastAsiaTheme="minorEastAsia" w:hAnsiTheme="minorHAnsi"/>
                <w:b w:val="0"/>
                <w:color w:val="auto"/>
                <w:sz w:val="22"/>
                <w:lang w:eastAsia="en-AU"/>
              </w:rPr>
              <w:tab/>
            </w:r>
            <w:r w:rsidR="003F29ED" w:rsidRPr="005919E3">
              <w:rPr>
                <w:rStyle w:val="Hyperlink"/>
              </w:rPr>
              <w:t>Roles and responsibilities of participants</w:t>
            </w:r>
            <w:r w:rsidR="003F29ED">
              <w:rPr>
                <w:webHidden/>
              </w:rPr>
              <w:tab/>
            </w:r>
            <w:r w:rsidR="003F29ED">
              <w:rPr>
                <w:webHidden/>
              </w:rPr>
              <w:fldChar w:fldCharType="begin"/>
            </w:r>
            <w:r w:rsidR="003F29ED">
              <w:rPr>
                <w:webHidden/>
              </w:rPr>
              <w:instrText xml:space="preserve"> PAGEREF _Toc470092446 \h </w:instrText>
            </w:r>
            <w:r w:rsidR="003F29ED">
              <w:rPr>
                <w:webHidden/>
              </w:rPr>
            </w:r>
            <w:r w:rsidR="003F29ED">
              <w:rPr>
                <w:webHidden/>
              </w:rPr>
              <w:fldChar w:fldCharType="separate"/>
            </w:r>
            <w:r w:rsidR="003F29ED">
              <w:rPr>
                <w:webHidden/>
              </w:rPr>
              <w:t>8</w:t>
            </w:r>
            <w:r w:rsidR="003F29ED">
              <w:rPr>
                <w:webHidden/>
              </w:rPr>
              <w:fldChar w:fldCharType="end"/>
            </w:r>
          </w:hyperlink>
        </w:p>
        <w:p w:rsidR="003F29ED" w:rsidRDefault="00490750">
          <w:pPr>
            <w:pStyle w:val="TOC2"/>
            <w:rPr>
              <w:rFonts w:asciiTheme="minorHAnsi" w:eastAsiaTheme="minorEastAsia" w:hAnsiTheme="minorHAnsi"/>
              <w:b w:val="0"/>
              <w:color w:val="auto"/>
              <w:sz w:val="22"/>
              <w:lang w:eastAsia="en-AU"/>
            </w:rPr>
          </w:pPr>
          <w:hyperlink w:anchor="_Toc470092447" w:history="1">
            <w:r w:rsidR="003F29ED" w:rsidRPr="005919E3">
              <w:rPr>
                <w:rStyle w:val="Hyperlink"/>
              </w:rPr>
              <w:t>1.3</w:t>
            </w:r>
            <w:r w:rsidR="003F29ED">
              <w:rPr>
                <w:rFonts w:asciiTheme="minorHAnsi" w:eastAsiaTheme="minorEastAsia" w:hAnsiTheme="minorHAnsi"/>
                <w:b w:val="0"/>
                <w:color w:val="auto"/>
                <w:sz w:val="22"/>
                <w:lang w:eastAsia="en-AU"/>
              </w:rPr>
              <w:tab/>
            </w:r>
            <w:r w:rsidR="003F29ED" w:rsidRPr="005919E3">
              <w:rPr>
                <w:rStyle w:val="Hyperlink"/>
              </w:rPr>
              <w:t>Bulletin Board</w:t>
            </w:r>
            <w:r w:rsidR="003F29ED">
              <w:rPr>
                <w:webHidden/>
              </w:rPr>
              <w:tab/>
            </w:r>
            <w:r w:rsidR="003F29ED">
              <w:rPr>
                <w:webHidden/>
              </w:rPr>
              <w:fldChar w:fldCharType="begin"/>
            </w:r>
            <w:r w:rsidR="003F29ED">
              <w:rPr>
                <w:webHidden/>
              </w:rPr>
              <w:instrText xml:space="preserve"> PAGEREF _Toc470092447 \h </w:instrText>
            </w:r>
            <w:r w:rsidR="003F29ED">
              <w:rPr>
                <w:webHidden/>
              </w:rPr>
            </w:r>
            <w:r w:rsidR="003F29ED">
              <w:rPr>
                <w:webHidden/>
              </w:rPr>
              <w:fldChar w:fldCharType="separate"/>
            </w:r>
            <w:r w:rsidR="003F29ED">
              <w:rPr>
                <w:webHidden/>
              </w:rPr>
              <w:t>9</w:t>
            </w:r>
            <w:r w:rsidR="003F29ED">
              <w:rPr>
                <w:webHidden/>
              </w:rPr>
              <w:fldChar w:fldCharType="end"/>
            </w:r>
          </w:hyperlink>
        </w:p>
        <w:p w:rsidR="003F29ED" w:rsidRDefault="00490750">
          <w:pPr>
            <w:pStyle w:val="TOC1"/>
            <w:rPr>
              <w:rFonts w:asciiTheme="minorHAnsi" w:eastAsiaTheme="minorEastAsia" w:hAnsiTheme="minorHAnsi"/>
              <w:b w:val="0"/>
              <w:color w:val="auto"/>
              <w:sz w:val="22"/>
              <w:lang w:val="en-AU" w:eastAsia="en-AU"/>
            </w:rPr>
          </w:pPr>
          <w:hyperlink w:anchor="_Toc470092448" w:history="1">
            <w:r w:rsidR="003F29ED" w:rsidRPr="005919E3">
              <w:rPr>
                <w:rStyle w:val="Hyperlink"/>
              </w:rPr>
              <w:t>2</w:t>
            </w:r>
            <w:r w:rsidR="003F29ED">
              <w:rPr>
                <w:rFonts w:asciiTheme="minorHAnsi" w:eastAsiaTheme="minorEastAsia" w:hAnsiTheme="minorHAnsi"/>
                <w:b w:val="0"/>
                <w:color w:val="auto"/>
                <w:sz w:val="22"/>
                <w:lang w:val="en-AU" w:eastAsia="en-AU"/>
              </w:rPr>
              <w:tab/>
            </w:r>
            <w:r w:rsidR="003F29ED" w:rsidRPr="005919E3">
              <w:rPr>
                <w:rStyle w:val="Hyperlink"/>
              </w:rPr>
              <w:t>Overview of the Longford outage</w:t>
            </w:r>
            <w:r w:rsidR="003F29ED">
              <w:rPr>
                <w:webHidden/>
              </w:rPr>
              <w:tab/>
            </w:r>
            <w:r w:rsidR="003F29ED">
              <w:rPr>
                <w:webHidden/>
              </w:rPr>
              <w:fldChar w:fldCharType="begin"/>
            </w:r>
            <w:r w:rsidR="003F29ED">
              <w:rPr>
                <w:webHidden/>
              </w:rPr>
              <w:instrText xml:space="preserve"> PAGEREF _Toc470092448 \h </w:instrText>
            </w:r>
            <w:r w:rsidR="003F29ED">
              <w:rPr>
                <w:webHidden/>
              </w:rPr>
            </w:r>
            <w:r w:rsidR="003F29ED">
              <w:rPr>
                <w:webHidden/>
              </w:rPr>
              <w:fldChar w:fldCharType="separate"/>
            </w:r>
            <w:r w:rsidR="003F29ED">
              <w:rPr>
                <w:webHidden/>
              </w:rPr>
              <w:t>10</w:t>
            </w:r>
            <w:r w:rsidR="003F29ED">
              <w:rPr>
                <w:webHidden/>
              </w:rPr>
              <w:fldChar w:fldCharType="end"/>
            </w:r>
          </w:hyperlink>
        </w:p>
        <w:p w:rsidR="003F29ED" w:rsidRDefault="00490750">
          <w:pPr>
            <w:pStyle w:val="TOC2"/>
            <w:rPr>
              <w:rFonts w:asciiTheme="minorHAnsi" w:eastAsiaTheme="minorEastAsia" w:hAnsiTheme="minorHAnsi"/>
              <w:b w:val="0"/>
              <w:color w:val="auto"/>
              <w:sz w:val="22"/>
              <w:lang w:eastAsia="en-AU"/>
            </w:rPr>
          </w:pPr>
          <w:hyperlink w:anchor="_Toc470092449" w:history="1">
            <w:r w:rsidR="003F29ED" w:rsidRPr="005919E3">
              <w:rPr>
                <w:rStyle w:val="Hyperlink"/>
              </w:rPr>
              <w:t>2.1</w:t>
            </w:r>
            <w:r w:rsidR="003F29ED">
              <w:rPr>
                <w:rFonts w:asciiTheme="minorHAnsi" w:eastAsiaTheme="minorEastAsia" w:hAnsiTheme="minorHAnsi"/>
                <w:b w:val="0"/>
                <w:color w:val="auto"/>
                <w:sz w:val="22"/>
                <w:lang w:eastAsia="en-AU"/>
              </w:rPr>
              <w:tab/>
            </w:r>
            <w:r w:rsidR="003F29ED" w:rsidRPr="005919E3">
              <w:rPr>
                <w:rStyle w:val="Hyperlink"/>
              </w:rPr>
              <w:t>Timeline of events</w:t>
            </w:r>
            <w:r w:rsidR="003F29ED">
              <w:rPr>
                <w:webHidden/>
              </w:rPr>
              <w:tab/>
            </w:r>
            <w:r w:rsidR="003F29ED">
              <w:rPr>
                <w:webHidden/>
              </w:rPr>
              <w:fldChar w:fldCharType="begin"/>
            </w:r>
            <w:r w:rsidR="003F29ED">
              <w:rPr>
                <w:webHidden/>
              </w:rPr>
              <w:instrText xml:space="preserve"> PAGEREF _Toc470092449 \h </w:instrText>
            </w:r>
            <w:r w:rsidR="003F29ED">
              <w:rPr>
                <w:webHidden/>
              </w:rPr>
            </w:r>
            <w:r w:rsidR="003F29ED">
              <w:rPr>
                <w:webHidden/>
              </w:rPr>
              <w:fldChar w:fldCharType="separate"/>
            </w:r>
            <w:r w:rsidR="003F29ED">
              <w:rPr>
                <w:webHidden/>
              </w:rPr>
              <w:t>10</w:t>
            </w:r>
            <w:r w:rsidR="003F29ED">
              <w:rPr>
                <w:webHidden/>
              </w:rPr>
              <w:fldChar w:fldCharType="end"/>
            </w:r>
          </w:hyperlink>
        </w:p>
        <w:p w:rsidR="003F29ED" w:rsidRDefault="00490750">
          <w:pPr>
            <w:pStyle w:val="TOC2"/>
            <w:rPr>
              <w:rFonts w:asciiTheme="minorHAnsi" w:eastAsiaTheme="minorEastAsia" w:hAnsiTheme="minorHAnsi"/>
              <w:b w:val="0"/>
              <w:color w:val="auto"/>
              <w:sz w:val="22"/>
              <w:lang w:eastAsia="en-AU"/>
            </w:rPr>
          </w:pPr>
          <w:hyperlink w:anchor="_Toc470092450" w:history="1">
            <w:r w:rsidR="003F29ED" w:rsidRPr="005919E3">
              <w:rPr>
                <w:rStyle w:val="Hyperlink"/>
              </w:rPr>
              <w:t>2.2</w:t>
            </w:r>
            <w:r w:rsidR="003F29ED">
              <w:rPr>
                <w:rFonts w:asciiTheme="minorHAnsi" w:eastAsiaTheme="minorEastAsia" w:hAnsiTheme="minorHAnsi"/>
                <w:b w:val="0"/>
                <w:color w:val="auto"/>
                <w:sz w:val="22"/>
                <w:lang w:eastAsia="en-AU"/>
              </w:rPr>
              <w:tab/>
            </w:r>
            <w:r w:rsidR="003F29ED" w:rsidRPr="005919E3">
              <w:rPr>
                <w:rStyle w:val="Hyperlink"/>
              </w:rPr>
              <w:t>Financial outcomes</w:t>
            </w:r>
            <w:r w:rsidR="003F29ED">
              <w:rPr>
                <w:webHidden/>
              </w:rPr>
              <w:tab/>
            </w:r>
            <w:r w:rsidR="003F29ED">
              <w:rPr>
                <w:webHidden/>
              </w:rPr>
              <w:fldChar w:fldCharType="begin"/>
            </w:r>
            <w:r w:rsidR="003F29ED">
              <w:rPr>
                <w:webHidden/>
              </w:rPr>
              <w:instrText xml:space="preserve"> PAGEREF _Toc470092450 \h </w:instrText>
            </w:r>
            <w:r w:rsidR="003F29ED">
              <w:rPr>
                <w:webHidden/>
              </w:rPr>
            </w:r>
            <w:r w:rsidR="003F29ED">
              <w:rPr>
                <w:webHidden/>
              </w:rPr>
              <w:fldChar w:fldCharType="separate"/>
            </w:r>
            <w:r w:rsidR="003F29ED">
              <w:rPr>
                <w:webHidden/>
              </w:rPr>
              <w:t>13</w:t>
            </w:r>
            <w:r w:rsidR="003F29ED">
              <w:rPr>
                <w:webHidden/>
              </w:rPr>
              <w:fldChar w:fldCharType="end"/>
            </w:r>
          </w:hyperlink>
        </w:p>
        <w:p w:rsidR="003F29ED" w:rsidRDefault="00490750">
          <w:pPr>
            <w:pStyle w:val="TOC3"/>
            <w:rPr>
              <w:rFonts w:asciiTheme="minorHAnsi" w:eastAsiaTheme="minorEastAsia" w:hAnsiTheme="minorHAnsi"/>
              <w:lang w:eastAsia="en-AU"/>
            </w:rPr>
          </w:pPr>
          <w:hyperlink w:anchor="_Toc470092451" w:history="1">
            <w:r w:rsidR="003F29ED" w:rsidRPr="005919E3">
              <w:rPr>
                <w:rStyle w:val="Hyperlink"/>
              </w:rPr>
              <w:t>Victorian gas prices</w:t>
            </w:r>
            <w:r w:rsidR="003F29ED">
              <w:rPr>
                <w:webHidden/>
              </w:rPr>
              <w:tab/>
            </w:r>
            <w:r w:rsidR="003F29ED">
              <w:rPr>
                <w:webHidden/>
              </w:rPr>
              <w:fldChar w:fldCharType="begin"/>
            </w:r>
            <w:r w:rsidR="003F29ED">
              <w:rPr>
                <w:webHidden/>
              </w:rPr>
              <w:instrText xml:space="preserve"> PAGEREF _Toc470092451 \h </w:instrText>
            </w:r>
            <w:r w:rsidR="003F29ED">
              <w:rPr>
                <w:webHidden/>
              </w:rPr>
            </w:r>
            <w:r w:rsidR="003F29ED">
              <w:rPr>
                <w:webHidden/>
              </w:rPr>
              <w:fldChar w:fldCharType="separate"/>
            </w:r>
            <w:r w:rsidR="003F29ED">
              <w:rPr>
                <w:webHidden/>
              </w:rPr>
              <w:t>13</w:t>
            </w:r>
            <w:r w:rsidR="003F29ED">
              <w:rPr>
                <w:webHidden/>
              </w:rPr>
              <w:fldChar w:fldCharType="end"/>
            </w:r>
          </w:hyperlink>
        </w:p>
        <w:p w:rsidR="003F29ED" w:rsidRDefault="00490750">
          <w:pPr>
            <w:pStyle w:val="TOC3"/>
            <w:rPr>
              <w:rFonts w:asciiTheme="minorHAnsi" w:eastAsiaTheme="minorEastAsia" w:hAnsiTheme="minorHAnsi"/>
              <w:lang w:eastAsia="en-AU"/>
            </w:rPr>
          </w:pPr>
          <w:hyperlink w:anchor="_Toc470092452" w:history="1">
            <w:r w:rsidR="003F29ED" w:rsidRPr="005919E3">
              <w:rPr>
                <w:rStyle w:val="Hyperlink"/>
              </w:rPr>
              <w:t>Imbalance and deviation payments</w:t>
            </w:r>
            <w:r w:rsidR="003F29ED">
              <w:rPr>
                <w:webHidden/>
              </w:rPr>
              <w:tab/>
            </w:r>
            <w:r w:rsidR="003F29ED">
              <w:rPr>
                <w:webHidden/>
              </w:rPr>
              <w:fldChar w:fldCharType="begin"/>
            </w:r>
            <w:r w:rsidR="003F29ED">
              <w:rPr>
                <w:webHidden/>
              </w:rPr>
              <w:instrText xml:space="preserve"> PAGEREF _Toc470092452 \h </w:instrText>
            </w:r>
            <w:r w:rsidR="003F29ED">
              <w:rPr>
                <w:webHidden/>
              </w:rPr>
            </w:r>
            <w:r w:rsidR="003F29ED">
              <w:rPr>
                <w:webHidden/>
              </w:rPr>
              <w:fldChar w:fldCharType="separate"/>
            </w:r>
            <w:r w:rsidR="003F29ED">
              <w:rPr>
                <w:webHidden/>
              </w:rPr>
              <w:t>14</w:t>
            </w:r>
            <w:r w:rsidR="003F29ED">
              <w:rPr>
                <w:webHidden/>
              </w:rPr>
              <w:fldChar w:fldCharType="end"/>
            </w:r>
          </w:hyperlink>
        </w:p>
        <w:p w:rsidR="003F29ED" w:rsidRDefault="00490750">
          <w:pPr>
            <w:pStyle w:val="TOC3"/>
            <w:rPr>
              <w:rFonts w:asciiTheme="minorHAnsi" w:eastAsiaTheme="minorEastAsia" w:hAnsiTheme="minorHAnsi"/>
              <w:lang w:eastAsia="en-AU"/>
            </w:rPr>
          </w:pPr>
          <w:hyperlink w:anchor="_Toc470092453" w:history="1">
            <w:r w:rsidR="003F29ED" w:rsidRPr="005919E3">
              <w:rPr>
                <w:rStyle w:val="Hyperlink"/>
              </w:rPr>
              <w:t>Ancillary and uplift payments</w:t>
            </w:r>
            <w:r w:rsidR="003F29ED">
              <w:rPr>
                <w:webHidden/>
              </w:rPr>
              <w:tab/>
            </w:r>
            <w:r w:rsidR="003F29ED">
              <w:rPr>
                <w:webHidden/>
              </w:rPr>
              <w:fldChar w:fldCharType="begin"/>
            </w:r>
            <w:r w:rsidR="003F29ED">
              <w:rPr>
                <w:webHidden/>
              </w:rPr>
              <w:instrText xml:space="preserve"> PAGEREF _Toc470092453 \h </w:instrText>
            </w:r>
            <w:r w:rsidR="003F29ED">
              <w:rPr>
                <w:webHidden/>
              </w:rPr>
            </w:r>
            <w:r w:rsidR="003F29ED">
              <w:rPr>
                <w:webHidden/>
              </w:rPr>
              <w:fldChar w:fldCharType="separate"/>
            </w:r>
            <w:r w:rsidR="003F29ED">
              <w:rPr>
                <w:webHidden/>
              </w:rPr>
              <w:t>14</w:t>
            </w:r>
            <w:r w:rsidR="003F29ED">
              <w:rPr>
                <w:webHidden/>
              </w:rPr>
              <w:fldChar w:fldCharType="end"/>
            </w:r>
          </w:hyperlink>
        </w:p>
        <w:p w:rsidR="003F29ED" w:rsidRDefault="00490750">
          <w:pPr>
            <w:pStyle w:val="TOC2"/>
            <w:rPr>
              <w:rFonts w:asciiTheme="minorHAnsi" w:eastAsiaTheme="minorEastAsia" w:hAnsiTheme="minorHAnsi"/>
              <w:b w:val="0"/>
              <w:color w:val="auto"/>
              <w:sz w:val="22"/>
              <w:lang w:eastAsia="en-AU"/>
            </w:rPr>
          </w:pPr>
          <w:hyperlink w:anchor="_Toc470092454" w:history="1">
            <w:r w:rsidR="003F29ED" w:rsidRPr="005919E3">
              <w:rPr>
                <w:rStyle w:val="Hyperlink"/>
              </w:rPr>
              <w:t>2.3</w:t>
            </w:r>
            <w:r w:rsidR="003F29ED">
              <w:rPr>
                <w:rFonts w:asciiTheme="minorHAnsi" w:eastAsiaTheme="minorEastAsia" w:hAnsiTheme="minorHAnsi"/>
                <w:b w:val="0"/>
                <w:color w:val="auto"/>
                <w:sz w:val="22"/>
                <w:lang w:eastAsia="en-AU"/>
              </w:rPr>
              <w:tab/>
            </w:r>
            <w:r w:rsidR="003F29ED" w:rsidRPr="005919E3">
              <w:rPr>
                <w:rStyle w:val="Hyperlink"/>
              </w:rPr>
              <w:t>Interactions between energy markets</w:t>
            </w:r>
            <w:r w:rsidR="003F29ED">
              <w:rPr>
                <w:webHidden/>
              </w:rPr>
              <w:tab/>
            </w:r>
            <w:r w:rsidR="003F29ED">
              <w:rPr>
                <w:webHidden/>
              </w:rPr>
              <w:fldChar w:fldCharType="begin"/>
            </w:r>
            <w:r w:rsidR="003F29ED">
              <w:rPr>
                <w:webHidden/>
              </w:rPr>
              <w:instrText xml:space="preserve"> PAGEREF _Toc470092454 \h </w:instrText>
            </w:r>
            <w:r w:rsidR="003F29ED">
              <w:rPr>
                <w:webHidden/>
              </w:rPr>
            </w:r>
            <w:r w:rsidR="003F29ED">
              <w:rPr>
                <w:webHidden/>
              </w:rPr>
              <w:fldChar w:fldCharType="separate"/>
            </w:r>
            <w:r w:rsidR="003F29ED">
              <w:rPr>
                <w:webHidden/>
              </w:rPr>
              <w:t>16</w:t>
            </w:r>
            <w:r w:rsidR="003F29ED">
              <w:rPr>
                <w:webHidden/>
              </w:rPr>
              <w:fldChar w:fldCharType="end"/>
            </w:r>
          </w:hyperlink>
        </w:p>
        <w:p w:rsidR="003F29ED" w:rsidRDefault="00490750">
          <w:pPr>
            <w:pStyle w:val="TOC3"/>
            <w:rPr>
              <w:rFonts w:asciiTheme="minorHAnsi" w:eastAsiaTheme="minorEastAsia" w:hAnsiTheme="minorHAnsi"/>
              <w:lang w:eastAsia="en-AU"/>
            </w:rPr>
          </w:pPr>
          <w:hyperlink w:anchor="_Toc470092455" w:history="1">
            <w:r w:rsidR="003F29ED" w:rsidRPr="005919E3">
              <w:rPr>
                <w:rStyle w:val="Hyperlink"/>
              </w:rPr>
              <w:t>Victoria</w:t>
            </w:r>
            <w:r w:rsidR="003F29ED">
              <w:rPr>
                <w:webHidden/>
              </w:rPr>
              <w:tab/>
            </w:r>
            <w:r w:rsidR="003F29ED">
              <w:rPr>
                <w:webHidden/>
              </w:rPr>
              <w:tab/>
            </w:r>
            <w:r w:rsidR="003F29ED">
              <w:rPr>
                <w:webHidden/>
              </w:rPr>
              <w:fldChar w:fldCharType="begin"/>
            </w:r>
            <w:r w:rsidR="003F29ED">
              <w:rPr>
                <w:webHidden/>
              </w:rPr>
              <w:instrText xml:space="preserve"> PAGEREF _Toc470092455 \h </w:instrText>
            </w:r>
            <w:r w:rsidR="003F29ED">
              <w:rPr>
                <w:webHidden/>
              </w:rPr>
            </w:r>
            <w:r w:rsidR="003F29ED">
              <w:rPr>
                <w:webHidden/>
              </w:rPr>
              <w:fldChar w:fldCharType="separate"/>
            </w:r>
            <w:r w:rsidR="003F29ED">
              <w:rPr>
                <w:webHidden/>
              </w:rPr>
              <w:t>16</w:t>
            </w:r>
            <w:r w:rsidR="003F29ED">
              <w:rPr>
                <w:webHidden/>
              </w:rPr>
              <w:fldChar w:fldCharType="end"/>
            </w:r>
          </w:hyperlink>
        </w:p>
        <w:p w:rsidR="003F29ED" w:rsidRDefault="00490750">
          <w:pPr>
            <w:pStyle w:val="TOC3"/>
            <w:rPr>
              <w:rFonts w:asciiTheme="minorHAnsi" w:eastAsiaTheme="minorEastAsia" w:hAnsiTheme="minorHAnsi"/>
              <w:lang w:eastAsia="en-AU"/>
            </w:rPr>
          </w:pPr>
          <w:hyperlink w:anchor="_Toc470092456" w:history="1">
            <w:r w:rsidR="003F29ED" w:rsidRPr="005919E3">
              <w:rPr>
                <w:rStyle w:val="Hyperlink"/>
              </w:rPr>
              <w:t>New South Wales</w:t>
            </w:r>
            <w:r w:rsidR="003F29ED">
              <w:rPr>
                <w:webHidden/>
              </w:rPr>
              <w:tab/>
            </w:r>
            <w:r w:rsidR="003F29ED">
              <w:rPr>
                <w:webHidden/>
              </w:rPr>
              <w:fldChar w:fldCharType="begin"/>
            </w:r>
            <w:r w:rsidR="003F29ED">
              <w:rPr>
                <w:webHidden/>
              </w:rPr>
              <w:instrText xml:space="preserve"> PAGEREF _Toc470092456 \h </w:instrText>
            </w:r>
            <w:r w:rsidR="003F29ED">
              <w:rPr>
                <w:webHidden/>
              </w:rPr>
            </w:r>
            <w:r w:rsidR="003F29ED">
              <w:rPr>
                <w:webHidden/>
              </w:rPr>
              <w:fldChar w:fldCharType="separate"/>
            </w:r>
            <w:r w:rsidR="003F29ED">
              <w:rPr>
                <w:webHidden/>
              </w:rPr>
              <w:t>16</w:t>
            </w:r>
            <w:r w:rsidR="003F29ED">
              <w:rPr>
                <w:webHidden/>
              </w:rPr>
              <w:fldChar w:fldCharType="end"/>
            </w:r>
          </w:hyperlink>
        </w:p>
        <w:p w:rsidR="003F29ED" w:rsidRDefault="00490750">
          <w:pPr>
            <w:pStyle w:val="TOC3"/>
            <w:rPr>
              <w:rFonts w:asciiTheme="minorHAnsi" w:eastAsiaTheme="minorEastAsia" w:hAnsiTheme="minorHAnsi"/>
              <w:lang w:eastAsia="en-AU"/>
            </w:rPr>
          </w:pPr>
          <w:hyperlink w:anchor="_Toc470092457" w:history="1">
            <w:r w:rsidR="003F29ED" w:rsidRPr="005919E3">
              <w:rPr>
                <w:rStyle w:val="Hyperlink"/>
              </w:rPr>
              <w:t>South Australia</w:t>
            </w:r>
            <w:r w:rsidR="003F29ED">
              <w:rPr>
                <w:webHidden/>
              </w:rPr>
              <w:tab/>
            </w:r>
            <w:r w:rsidR="003F29ED">
              <w:rPr>
                <w:webHidden/>
              </w:rPr>
              <w:fldChar w:fldCharType="begin"/>
            </w:r>
            <w:r w:rsidR="003F29ED">
              <w:rPr>
                <w:webHidden/>
              </w:rPr>
              <w:instrText xml:space="preserve"> PAGEREF _Toc470092457 \h </w:instrText>
            </w:r>
            <w:r w:rsidR="003F29ED">
              <w:rPr>
                <w:webHidden/>
              </w:rPr>
            </w:r>
            <w:r w:rsidR="003F29ED">
              <w:rPr>
                <w:webHidden/>
              </w:rPr>
              <w:fldChar w:fldCharType="separate"/>
            </w:r>
            <w:r w:rsidR="003F29ED">
              <w:rPr>
                <w:webHidden/>
              </w:rPr>
              <w:t>17</w:t>
            </w:r>
            <w:r w:rsidR="003F29ED">
              <w:rPr>
                <w:webHidden/>
              </w:rPr>
              <w:fldChar w:fldCharType="end"/>
            </w:r>
          </w:hyperlink>
        </w:p>
        <w:p w:rsidR="003F29ED" w:rsidRDefault="00490750">
          <w:pPr>
            <w:pStyle w:val="TOC1"/>
            <w:rPr>
              <w:rFonts w:asciiTheme="minorHAnsi" w:eastAsiaTheme="minorEastAsia" w:hAnsiTheme="minorHAnsi"/>
              <w:b w:val="0"/>
              <w:color w:val="auto"/>
              <w:sz w:val="22"/>
              <w:lang w:val="en-AU" w:eastAsia="en-AU"/>
            </w:rPr>
          </w:pPr>
          <w:hyperlink w:anchor="_Toc470092458" w:history="1">
            <w:r w:rsidR="003F29ED" w:rsidRPr="005919E3">
              <w:rPr>
                <w:rStyle w:val="Hyperlink"/>
              </w:rPr>
              <w:t>3</w:t>
            </w:r>
            <w:r w:rsidR="003F29ED">
              <w:rPr>
                <w:rFonts w:asciiTheme="minorHAnsi" w:eastAsiaTheme="minorEastAsia" w:hAnsiTheme="minorHAnsi"/>
                <w:b w:val="0"/>
                <w:color w:val="auto"/>
                <w:sz w:val="22"/>
                <w:lang w:val="en-AU" w:eastAsia="en-AU"/>
              </w:rPr>
              <w:tab/>
            </w:r>
            <w:r w:rsidR="003F29ED" w:rsidRPr="005919E3">
              <w:rPr>
                <w:rStyle w:val="Hyperlink"/>
              </w:rPr>
              <w:t>Findings and follow up actions</w:t>
            </w:r>
            <w:r w:rsidR="003F29ED">
              <w:rPr>
                <w:webHidden/>
              </w:rPr>
              <w:tab/>
            </w:r>
            <w:r w:rsidR="003F29ED">
              <w:rPr>
                <w:webHidden/>
              </w:rPr>
              <w:fldChar w:fldCharType="begin"/>
            </w:r>
            <w:r w:rsidR="003F29ED">
              <w:rPr>
                <w:webHidden/>
              </w:rPr>
              <w:instrText xml:space="preserve"> PAGEREF _Toc470092458 \h </w:instrText>
            </w:r>
            <w:r w:rsidR="003F29ED">
              <w:rPr>
                <w:webHidden/>
              </w:rPr>
            </w:r>
            <w:r w:rsidR="003F29ED">
              <w:rPr>
                <w:webHidden/>
              </w:rPr>
              <w:fldChar w:fldCharType="separate"/>
            </w:r>
            <w:r w:rsidR="003F29ED">
              <w:rPr>
                <w:webHidden/>
              </w:rPr>
              <w:t>18</w:t>
            </w:r>
            <w:r w:rsidR="003F29ED">
              <w:rPr>
                <w:webHidden/>
              </w:rPr>
              <w:fldChar w:fldCharType="end"/>
            </w:r>
          </w:hyperlink>
        </w:p>
        <w:p w:rsidR="003F29ED" w:rsidRDefault="00490750">
          <w:pPr>
            <w:pStyle w:val="TOC1"/>
            <w:rPr>
              <w:rFonts w:asciiTheme="minorHAnsi" w:eastAsiaTheme="minorEastAsia" w:hAnsiTheme="minorHAnsi"/>
              <w:b w:val="0"/>
              <w:color w:val="auto"/>
              <w:sz w:val="22"/>
              <w:lang w:val="en-AU" w:eastAsia="en-AU"/>
            </w:rPr>
          </w:pPr>
          <w:hyperlink w:anchor="_Toc470092459" w:history="1">
            <w:r w:rsidR="003F29ED" w:rsidRPr="005919E3">
              <w:rPr>
                <w:rStyle w:val="Hyperlink"/>
              </w:rPr>
              <w:t>Appendix A – AER SPV reporting thresholds</w:t>
            </w:r>
            <w:r w:rsidR="003F29ED">
              <w:rPr>
                <w:webHidden/>
              </w:rPr>
              <w:tab/>
            </w:r>
            <w:r w:rsidR="003F29ED">
              <w:rPr>
                <w:webHidden/>
              </w:rPr>
              <w:fldChar w:fldCharType="begin"/>
            </w:r>
            <w:r w:rsidR="003F29ED">
              <w:rPr>
                <w:webHidden/>
              </w:rPr>
              <w:instrText xml:space="preserve"> PAGEREF _Toc470092459 \h </w:instrText>
            </w:r>
            <w:r w:rsidR="003F29ED">
              <w:rPr>
                <w:webHidden/>
              </w:rPr>
            </w:r>
            <w:r w:rsidR="003F29ED">
              <w:rPr>
                <w:webHidden/>
              </w:rPr>
              <w:fldChar w:fldCharType="separate"/>
            </w:r>
            <w:r w:rsidR="003F29ED">
              <w:rPr>
                <w:webHidden/>
              </w:rPr>
              <w:t>22</w:t>
            </w:r>
            <w:r w:rsidR="003F29ED">
              <w:rPr>
                <w:webHidden/>
              </w:rPr>
              <w:fldChar w:fldCharType="end"/>
            </w:r>
          </w:hyperlink>
        </w:p>
        <w:p w:rsidR="003F29ED" w:rsidRDefault="00490750">
          <w:pPr>
            <w:pStyle w:val="TOC1"/>
            <w:rPr>
              <w:rFonts w:asciiTheme="minorHAnsi" w:eastAsiaTheme="minorEastAsia" w:hAnsiTheme="minorHAnsi"/>
              <w:b w:val="0"/>
              <w:color w:val="auto"/>
              <w:sz w:val="22"/>
              <w:lang w:val="en-AU" w:eastAsia="en-AU"/>
            </w:rPr>
          </w:pPr>
          <w:hyperlink w:anchor="_Toc470092460" w:history="1">
            <w:r w:rsidR="003F29ED" w:rsidRPr="005919E3">
              <w:rPr>
                <w:rStyle w:val="Hyperlink"/>
              </w:rPr>
              <w:t>Appendix B – Ancillary and uplift payments</w:t>
            </w:r>
            <w:r w:rsidR="003F29ED">
              <w:rPr>
                <w:webHidden/>
              </w:rPr>
              <w:tab/>
            </w:r>
            <w:r w:rsidR="003F29ED">
              <w:rPr>
                <w:webHidden/>
              </w:rPr>
              <w:fldChar w:fldCharType="begin"/>
            </w:r>
            <w:r w:rsidR="003F29ED">
              <w:rPr>
                <w:webHidden/>
              </w:rPr>
              <w:instrText xml:space="preserve"> PAGEREF _Toc470092460 \h </w:instrText>
            </w:r>
            <w:r w:rsidR="003F29ED">
              <w:rPr>
                <w:webHidden/>
              </w:rPr>
            </w:r>
            <w:r w:rsidR="003F29ED">
              <w:rPr>
                <w:webHidden/>
              </w:rPr>
              <w:fldChar w:fldCharType="separate"/>
            </w:r>
            <w:r w:rsidR="003F29ED">
              <w:rPr>
                <w:webHidden/>
              </w:rPr>
              <w:t>23</w:t>
            </w:r>
            <w:r w:rsidR="003F29ED">
              <w:rPr>
                <w:webHidden/>
              </w:rPr>
              <w:fldChar w:fldCharType="end"/>
            </w:r>
          </w:hyperlink>
        </w:p>
        <w:p w:rsidR="003F29ED" w:rsidRDefault="00490750">
          <w:pPr>
            <w:pStyle w:val="TOC1"/>
            <w:rPr>
              <w:rFonts w:asciiTheme="minorHAnsi" w:eastAsiaTheme="minorEastAsia" w:hAnsiTheme="minorHAnsi"/>
              <w:b w:val="0"/>
              <w:color w:val="auto"/>
              <w:sz w:val="22"/>
              <w:lang w:val="en-AU" w:eastAsia="en-AU"/>
            </w:rPr>
          </w:pPr>
          <w:hyperlink w:anchor="_Toc470092461" w:history="1">
            <w:r w:rsidR="003F29ED" w:rsidRPr="005919E3">
              <w:rPr>
                <w:rStyle w:val="Hyperlink"/>
              </w:rPr>
              <w:t>Appendix C – Consultation</w:t>
            </w:r>
            <w:r w:rsidR="003F29ED">
              <w:rPr>
                <w:webHidden/>
              </w:rPr>
              <w:tab/>
            </w:r>
            <w:r w:rsidR="003F29ED">
              <w:rPr>
                <w:webHidden/>
              </w:rPr>
              <w:fldChar w:fldCharType="begin"/>
            </w:r>
            <w:r w:rsidR="003F29ED">
              <w:rPr>
                <w:webHidden/>
              </w:rPr>
              <w:instrText xml:space="preserve"> PAGEREF _Toc470092461 \h </w:instrText>
            </w:r>
            <w:r w:rsidR="003F29ED">
              <w:rPr>
                <w:webHidden/>
              </w:rPr>
            </w:r>
            <w:r w:rsidR="003F29ED">
              <w:rPr>
                <w:webHidden/>
              </w:rPr>
              <w:fldChar w:fldCharType="separate"/>
            </w:r>
            <w:r w:rsidR="003F29ED">
              <w:rPr>
                <w:webHidden/>
              </w:rPr>
              <w:t>25</w:t>
            </w:r>
            <w:r w:rsidR="003F29ED">
              <w:rPr>
                <w:webHidden/>
              </w:rPr>
              <w:fldChar w:fldCharType="end"/>
            </w:r>
          </w:hyperlink>
        </w:p>
        <w:p w:rsidR="00C7068C" w:rsidRDefault="006007DC" w:rsidP="00C7068C">
          <w:pPr>
            <w:sectPr w:rsidR="00C7068C" w:rsidSect="00581454">
              <w:footerReference w:type="default" r:id="rId12"/>
              <w:pgSz w:w="11906" w:h="16838" w:code="9"/>
              <w:pgMar w:top="1440" w:right="1700" w:bottom="1582" w:left="1729" w:header="720" w:footer="1009" w:gutter="0"/>
              <w:pgNumType w:fmt="lowerRoman"/>
              <w:cols w:space="720"/>
              <w:docGrid w:linePitch="326"/>
            </w:sectPr>
          </w:pPr>
          <w:r>
            <w:rPr>
              <w:b/>
              <w:noProof/>
              <w:color w:val="70635A" w:themeColor="text2"/>
              <w:sz w:val="24"/>
              <w:lang w:val="en-US" w:eastAsia="ja-JP"/>
            </w:rPr>
            <w:fldChar w:fldCharType="end"/>
          </w:r>
          <w:bookmarkStart w:id="1" w:name="_GoBack"/>
          <w:bookmarkEnd w:id="1"/>
        </w:p>
        <w:p w:rsidR="00902006" w:rsidRDefault="00902006" w:rsidP="00902006">
          <w:pPr>
            <w:pStyle w:val="Heading1notnumber"/>
          </w:pPr>
          <w:bookmarkStart w:id="2" w:name="_Toc470092443"/>
          <w:bookmarkEnd w:id="0"/>
          <w:r>
            <w:lastRenderedPageBreak/>
            <w:t>Executive summary</w:t>
          </w:r>
          <w:bookmarkEnd w:id="2"/>
        </w:p>
        <w:p w:rsidR="00590724" w:rsidRDefault="00590724" w:rsidP="00590724">
          <w:r>
            <w:t>On Saturday 1 October 2016, there was an unplanned total shutdown of the</w:t>
          </w:r>
          <w:r w:rsidR="00DE155E">
            <w:t xml:space="preserve"> Esso operated </w:t>
          </w:r>
          <w:r>
            <w:t xml:space="preserve">Longford gas production facility in Victoria. The shutdown was caused by the failure of on-site electricity generators. The last time Longford experienced a complete </w:t>
          </w:r>
          <w:r w:rsidR="00207EB6">
            <w:t xml:space="preserve">electrical </w:t>
          </w:r>
          <w:r>
            <w:t>shutdown was in April 2004</w:t>
          </w:r>
          <w:r w:rsidR="00207EB6">
            <w:t>.</w:t>
          </w:r>
          <w:r w:rsidR="00DE155E">
            <w:rPr>
              <w:rStyle w:val="FootnoteReference"/>
            </w:rPr>
            <w:footnoteReference w:id="1"/>
          </w:r>
        </w:p>
        <w:p w:rsidR="00590724" w:rsidRDefault="00590724" w:rsidP="00590724">
          <w:r>
            <w:t>The majority of Victoria’s gas demand is supplied from Longford. Longford also supplies gas into New South Wales</w:t>
          </w:r>
          <w:r w:rsidR="001C4168">
            <w:t xml:space="preserve"> and Tasmania</w:t>
          </w:r>
          <w:r>
            <w:t xml:space="preserve">. Given the reliance on Longford as a supply source, the task of maintaining system security and supply following </w:t>
          </w:r>
          <w:r w:rsidR="00140FFC">
            <w:t xml:space="preserve">an </w:t>
          </w:r>
          <w:r>
            <w:t>outage cannot be understated.</w:t>
          </w:r>
        </w:p>
        <w:p w:rsidR="00590724" w:rsidRDefault="00447194" w:rsidP="00590724">
          <w:r>
            <w:t xml:space="preserve">The </w:t>
          </w:r>
          <w:r w:rsidR="00590724">
            <w:t>A</w:t>
          </w:r>
          <w:r>
            <w:t xml:space="preserve">ustralian </w:t>
          </w:r>
          <w:r w:rsidR="00590724">
            <w:t>E</w:t>
          </w:r>
          <w:r>
            <w:t xml:space="preserve">nergy </w:t>
          </w:r>
          <w:r w:rsidR="00590724">
            <w:t>M</w:t>
          </w:r>
          <w:r>
            <w:t xml:space="preserve">arket </w:t>
          </w:r>
          <w:r w:rsidR="00590724">
            <w:t>O</w:t>
          </w:r>
          <w:r>
            <w:t xml:space="preserve">perator </w:t>
          </w:r>
          <w:r w:rsidRPr="00DC2A33">
            <w:t>(</w:t>
          </w:r>
          <w:r w:rsidRPr="00E44938">
            <w:rPr>
              <w:b/>
            </w:rPr>
            <w:t>AEMO</w:t>
          </w:r>
          <w:r w:rsidRPr="00DC2A33">
            <w:t>)</w:t>
          </w:r>
          <w:r w:rsidR="00590724">
            <w:t xml:space="preserve"> maintained system security and supply despite high gas demand from South Australia’s electricity generators (following the recent black </w:t>
          </w:r>
          <w:r w:rsidR="00140FFC">
            <w:t xml:space="preserve">system </w:t>
          </w:r>
          <w:r w:rsidR="00590724">
            <w:t>event) and the risk of a contingency gas event in Sydney.</w:t>
          </w:r>
        </w:p>
        <w:p w:rsidR="00590724" w:rsidRDefault="00590724" w:rsidP="00590724">
          <w:r>
            <w:t>The Longford outage resulted in:</w:t>
          </w:r>
        </w:p>
        <w:p w:rsidR="00590724" w:rsidRDefault="00590724" w:rsidP="00590724">
          <w:pPr>
            <w:pStyle w:val="ListParagraph"/>
            <w:numPr>
              <w:ilvl w:val="0"/>
              <w:numId w:val="33"/>
            </w:numPr>
            <w:spacing w:line="240" w:lineRule="auto"/>
            <w:jc w:val="left"/>
          </w:pPr>
          <w:r>
            <w:t>Ancillary payments of approximately $3.1 million</w:t>
          </w:r>
        </w:p>
        <w:p w:rsidR="00590724" w:rsidRDefault="00590724" w:rsidP="00590724">
          <w:pPr>
            <w:pStyle w:val="ListParagraph"/>
            <w:numPr>
              <w:ilvl w:val="0"/>
              <w:numId w:val="33"/>
            </w:numPr>
            <w:spacing w:line="240" w:lineRule="auto"/>
            <w:jc w:val="left"/>
          </w:pPr>
          <w:r>
            <w:t>The 10 am gas price reaching $33.75/GJ</w:t>
          </w:r>
        </w:p>
        <w:p w:rsidR="00590724" w:rsidRDefault="00590724" w:rsidP="00590724">
          <w:pPr>
            <w:pStyle w:val="ListParagraph"/>
            <w:numPr>
              <w:ilvl w:val="0"/>
              <w:numId w:val="33"/>
            </w:numPr>
            <w:spacing w:line="240" w:lineRule="auto"/>
            <w:jc w:val="left"/>
          </w:pPr>
          <w:r>
            <w:t>A contingency gas event in Sydney (this was successfully managed without the need for contingency gas)</w:t>
          </w:r>
        </w:p>
        <w:p w:rsidR="00590724" w:rsidRDefault="00590724" w:rsidP="00590724">
          <w:r>
            <w:t>The high ancillary payments on the day triggered one of our significant price variation reporting thresholds.</w:t>
          </w:r>
          <w:r>
            <w:rPr>
              <w:rStyle w:val="FootnoteReference"/>
            </w:rPr>
            <w:footnoteReference w:id="2"/>
          </w:r>
          <w:r>
            <w:t xml:space="preserve"> This report has been prepared in accordance with this obligation.</w:t>
          </w:r>
        </w:p>
        <w:p w:rsidR="00590724" w:rsidRDefault="00590724" w:rsidP="00590724">
          <w:r>
            <w:t xml:space="preserve">This report provides a timeline of events on the day, details of the financial outcomes, and </w:t>
          </w:r>
          <w:r w:rsidR="001C4168">
            <w:t xml:space="preserve">interaction </w:t>
          </w:r>
          <w:r>
            <w:t xml:space="preserve">between other energy markets. </w:t>
          </w:r>
        </w:p>
        <w:p w:rsidR="00590724" w:rsidRDefault="00590724" w:rsidP="00E44938">
          <w:pPr>
            <w:pStyle w:val="Heading4notnumbered"/>
          </w:pPr>
          <w:r>
            <w:t>Follow up actions</w:t>
          </w:r>
        </w:p>
        <w:p w:rsidR="00590724" w:rsidRDefault="00590724" w:rsidP="00590724">
          <w:r>
            <w:t>While preparing this report, we identified a number of follow up actions:</w:t>
          </w:r>
        </w:p>
        <w:p w:rsidR="00057D63" w:rsidRDefault="00057D63" w:rsidP="00057D63">
          <w:pPr>
            <w:pStyle w:val="ListParagraph"/>
            <w:numPr>
              <w:ilvl w:val="0"/>
              <w:numId w:val="27"/>
            </w:numPr>
          </w:pPr>
          <w:r>
            <w:t>We intend to report to the AEMO Gas Wholesale Consultative Forum on:</w:t>
          </w:r>
        </w:p>
        <w:p w:rsidR="00057D63" w:rsidRDefault="00057D63" w:rsidP="00057D63">
          <w:pPr>
            <w:pStyle w:val="ListParagraph"/>
            <w:numPr>
              <w:ilvl w:val="1"/>
              <w:numId w:val="27"/>
            </w:numPr>
          </w:pPr>
          <w:r>
            <w:t>the merits of a standing default allocation of gas at Longford (pending market resolution) for the split of gas between NSW and Victoria in an emergency and</w:t>
          </w:r>
        </w:p>
        <w:p w:rsidR="00057D63" w:rsidRDefault="00057D63" w:rsidP="00057D63">
          <w:pPr>
            <w:pStyle w:val="ListParagraph"/>
            <w:numPr>
              <w:ilvl w:val="1"/>
              <w:numId w:val="27"/>
            </w:numPr>
          </w:pPr>
          <w:r>
            <w:t>the merits (and need) to decrease the timing differences of publication of information/data on the Market Information Bulletin Board (MIBB) and the same information via email/ sms</w:t>
          </w:r>
        </w:p>
        <w:p w:rsidR="00590724" w:rsidRDefault="00057D63" w:rsidP="00590724">
          <w:pPr>
            <w:pStyle w:val="ListParagraph"/>
            <w:numPr>
              <w:ilvl w:val="0"/>
              <w:numId w:val="27"/>
            </w:numPr>
          </w:pPr>
          <w:r>
            <w:t xml:space="preserve">We will explore further whether </w:t>
          </w:r>
          <w:r w:rsidRPr="00256B60">
            <w:t>intra-day facility updates</w:t>
          </w:r>
          <w:r>
            <w:t xml:space="preserve"> on the Bulletin Board</w:t>
          </w:r>
          <w:r w:rsidRPr="00256B60">
            <w:t xml:space="preserve"> </w:t>
          </w:r>
          <w:r>
            <w:t xml:space="preserve">(for material changes) </w:t>
          </w:r>
          <w:r w:rsidRPr="00256B60">
            <w:t>may have increased information available during this event</w:t>
          </w:r>
          <w:r>
            <w:t>.</w:t>
          </w:r>
          <w:r w:rsidRPr="00256B60">
            <w:t xml:space="preserve"> </w:t>
          </w:r>
          <w:r>
            <w:t>N</w:t>
          </w:r>
          <w:r w:rsidRPr="00256B60">
            <w:t>oting the recommended rule change (to require intra-day data) from th</w:t>
          </w:r>
          <w:r>
            <w:t xml:space="preserve">e AEMC’s 2016 Gas Market Review the AER will clarify in advance with industry </w:t>
          </w:r>
          <w:r>
            <w:lastRenderedPageBreak/>
            <w:t>what information (including duration and magnitude) is to be expected and in what time frame.</w:t>
          </w:r>
        </w:p>
        <w:p w:rsidR="00DE253C" w:rsidRPr="00DE253C" w:rsidRDefault="00DE253C" w:rsidP="00590724">
          <w:pPr>
            <w:pStyle w:val="ListParagraph"/>
            <w:numPr>
              <w:ilvl w:val="0"/>
              <w:numId w:val="27"/>
            </w:numPr>
          </w:pPr>
          <w:r w:rsidRPr="00DE253C">
            <w:rPr>
              <w:bCs/>
            </w:rPr>
            <w:t>We note AEMO may examine whether there is scope for improving the allocation of uplift payments, depending on industry feedback. We will monitor this work and participate where appropriate.</w:t>
          </w:r>
        </w:p>
        <w:p w:rsidR="00DE253C" w:rsidRPr="00DE253C" w:rsidRDefault="00DE253C" w:rsidP="00590724">
          <w:pPr>
            <w:pStyle w:val="ListParagraph"/>
            <w:numPr>
              <w:ilvl w:val="0"/>
              <w:numId w:val="27"/>
            </w:numPr>
          </w:pPr>
          <w:r>
            <w:t>We will report any instances of non-compliance on the gas day in our next Quarterly Compliance Reports.</w:t>
          </w:r>
        </w:p>
        <w:p w:rsidR="007B2D5C" w:rsidRDefault="00885955" w:rsidP="00EF1B43">
          <w:pPr>
            <w:pStyle w:val="Heading1"/>
          </w:pPr>
          <w:bookmarkStart w:id="3" w:name="_Toc470092444"/>
          <w:r>
            <w:lastRenderedPageBreak/>
            <w:t>Background</w:t>
          </w:r>
          <w:bookmarkEnd w:id="3"/>
        </w:p>
        <w:p w:rsidR="00F7123D" w:rsidRDefault="00F7123D" w:rsidP="00F7123D">
          <w:r>
            <w:t xml:space="preserve">This section explains Victoria’s gas market arrangements </w:t>
          </w:r>
          <w:r w:rsidR="00921A32">
            <w:t xml:space="preserve">and </w:t>
          </w:r>
          <w:r>
            <w:t xml:space="preserve">the roles and responsibilities of </w:t>
          </w:r>
          <w:r w:rsidR="00AF30DC">
            <w:t>participants</w:t>
          </w:r>
          <w:r>
            <w:t>.</w:t>
          </w:r>
        </w:p>
        <w:p w:rsidR="00F7123D" w:rsidRDefault="00F7123D" w:rsidP="00F7123D">
          <w:pPr>
            <w:pStyle w:val="Heading2"/>
            <w:numPr>
              <w:ilvl w:val="1"/>
              <w:numId w:val="24"/>
            </w:numPr>
          </w:pPr>
          <w:bookmarkStart w:id="4" w:name="_Toc468955315"/>
          <w:bookmarkStart w:id="5" w:name="_Toc470092445"/>
          <w:r>
            <w:t>The Victorian gas market</w:t>
          </w:r>
          <w:bookmarkEnd w:id="4"/>
          <w:bookmarkEnd w:id="5"/>
        </w:p>
        <w:p w:rsidR="00F7123D" w:rsidRDefault="00F7123D" w:rsidP="00F7123D">
          <w:r>
            <w:t>Victoria is a major gas supply and demand centre and plays an important part in Australia’s east coast gas market.</w:t>
          </w:r>
          <w:r>
            <w:rPr>
              <w:rStyle w:val="FootnoteReference"/>
            </w:rPr>
            <w:footnoteReference w:id="3"/>
          </w:r>
          <w:r>
            <w:t xml:space="preserve"> </w:t>
          </w:r>
        </w:p>
        <w:p w:rsidR="00F7123D" w:rsidRDefault="00F7123D" w:rsidP="00F7123D">
          <w:r>
            <w:t xml:space="preserve">There are three gas basins off the coast of Victoria, the largest of which is the Gippsland basin. The Gippsland basin supplied 27 per cent of Australia’s east coast gas market </w:t>
          </w:r>
          <w:r w:rsidR="00921A32">
            <w:t xml:space="preserve">needs </w:t>
          </w:r>
          <w:r>
            <w:t xml:space="preserve">in 2014–15. </w:t>
          </w:r>
        </w:p>
        <w:p w:rsidR="00F7123D" w:rsidRDefault="00F7123D" w:rsidP="00F7123D">
          <w:r>
            <w:t>A joint venture between Esso and BHP Billiton (</w:t>
          </w:r>
          <w:r>
            <w:rPr>
              <w:b/>
            </w:rPr>
            <w:t>the Longford gas plant</w:t>
          </w:r>
          <w:r>
            <w:t>) accounts for 96 per cent of the Gippsland basin’s production.</w:t>
          </w:r>
          <w:r>
            <w:rPr>
              <w:rStyle w:val="FootnoteReference"/>
            </w:rPr>
            <w:footnoteReference w:id="4"/>
          </w:r>
          <w:r>
            <w:t xml:space="preserve"> Longford has a total production capacity of 1,040 TJ/d.</w:t>
          </w:r>
          <w:r>
            <w:rPr>
              <w:rStyle w:val="FootnoteReference"/>
            </w:rPr>
            <w:footnoteReference w:id="5"/>
          </w:r>
        </w:p>
        <w:p w:rsidR="00F7123D" w:rsidRDefault="00F7123D" w:rsidP="00F7123D">
          <w:r>
            <w:t>Victoria’s gas demand, relative to neighbouring states, is particularly large. For example, on 13 July 2016, total demand across Victoria, and the trading markets in Sydney and Adelaide, exceeded 1.6 PJ.</w:t>
          </w:r>
          <w:r>
            <w:rPr>
              <w:rStyle w:val="FootnoteReference"/>
            </w:rPr>
            <w:footnoteReference w:id="6"/>
          </w:r>
          <w:r>
            <w:t xml:space="preserve"> Victoria’s contribution was around 1.2 PJ.</w:t>
          </w:r>
        </w:p>
        <w:p w:rsidR="00F7123D" w:rsidRDefault="00F7123D" w:rsidP="00F7123D">
          <w:r>
            <w:t>Almost all of the gas consumed in Victoria is transported through the declared transmission system (</w:t>
          </w:r>
          <w:r>
            <w:rPr>
              <w:b/>
            </w:rPr>
            <w:t>DTS</w:t>
          </w:r>
          <w:r>
            <w:t>).</w:t>
          </w:r>
          <w:r>
            <w:rPr>
              <w:rStyle w:val="FootnoteReference"/>
            </w:rPr>
            <w:footnoteReference w:id="7"/>
          </w:r>
          <w:r>
            <w:t xml:space="preserve"> </w:t>
          </w:r>
        </w:p>
        <w:p w:rsidR="00F7123D" w:rsidRDefault="00F7123D" w:rsidP="00F7123D">
          <w:r>
            <w:t xml:space="preserve">Gas can flow between the DTS and New South Wales </w:t>
          </w:r>
          <w:r w:rsidR="00B16F10">
            <w:t xml:space="preserve">via the “VicHub” to </w:t>
          </w:r>
          <w:r>
            <w:t>the Eastern Gas Pipeline (</w:t>
          </w:r>
          <w:r>
            <w:rPr>
              <w:b/>
            </w:rPr>
            <w:t>EGP</w:t>
          </w:r>
          <w:r>
            <w:t>)</w:t>
          </w:r>
          <w:r w:rsidR="00D0454A">
            <w:rPr>
              <w:rStyle w:val="FootnoteReference"/>
            </w:rPr>
            <w:footnoteReference w:id="8"/>
          </w:r>
          <w:r>
            <w:t xml:space="preserve"> or </w:t>
          </w:r>
          <w:r w:rsidR="00B16F10">
            <w:t xml:space="preserve">via the </w:t>
          </w:r>
          <w:r>
            <w:t>NSW – Victoria interconnect</w:t>
          </w:r>
          <w:r w:rsidR="00B16F10">
            <w:t xml:space="preserve"> to the Moomba Sydney Pipeline </w:t>
          </w:r>
          <w:r w:rsidR="00B16F10">
            <w:rPr>
              <w:b/>
            </w:rPr>
            <w:t>(MSP)</w:t>
          </w:r>
          <w:r>
            <w:t>. Gas can also flow between the DTS and South Australia using the SEA Gas Pipeline (</w:t>
          </w:r>
          <w:r>
            <w:rPr>
              <w:b/>
            </w:rPr>
            <w:t>SEA Gas</w:t>
          </w:r>
          <w:r>
            <w:t>)</w:t>
          </w:r>
          <w:r w:rsidR="001C4168">
            <w:t xml:space="preserve"> and from the Longford facility to Tasmania</w:t>
          </w:r>
          <w:r w:rsidR="00416A6C">
            <w:t xml:space="preserve"> via the Tasmanian gas pipeline (</w:t>
          </w:r>
          <w:r w:rsidR="00416A6C" w:rsidRPr="00DD0E74">
            <w:rPr>
              <w:b/>
            </w:rPr>
            <w:t>TGP</w:t>
          </w:r>
          <w:r w:rsidR="00416A6C">
            <w:t>)</w:t>
          </w:r>
          <w:r>
            <w:t>.</w:t>
          </w:r>
          <w:r w:rsidR="001C4168">
            <w:rPr>
              <w:rStyle w:val="FootnoteReference"/>
            </w:rPr>
            <w:footnoteReference w:id="9"/>
          </w:r>
          <w:r w:rsidR="001C4168">
            <w:t xml:space="preserve"> </w:t>
          </w:r>
        </w:p>
        <w:p w:rsidR="00F7123D" w:rsidRDefault="00F7123D" w:rsidP="00F7123D">
          <w:r>
            <w:t xml:space="preserve">These connection points are illustrated in </w:t>
          </w:r>
          <w:r>
            <w:fldChar w:fldCharType="begin"/>
          </w:r>
          <w:r>
            <w:instrText xml:space="preserve"> REF _Ref450555829 \h </w:instrText>
          </w:r>
          <w:r>
            <w:fldChar w:fldCharType="separate"/>
          </w:r>
          <w:r w:rsidR="00D350CD">
            <w:t>Figure </w:t>
          </w:r>
          <w:r w:rsidR="00D350CD">
            <w:rPr>
              <w:noProof/>
            </w:rPr>
            <w:t>1</w:t>
          </w:r>
          <w:r>
            <w:fldChar w:fldCharType="end"/>
          </w:r>
          <w:r>
            <w:t>. The figure also shows the wider network of transmission pipelines which support the transportation of gas across Australia’s east coast.</w:t>
          </w:r>
        </w:p>
        <w:p w:rsidR="00F7123D" w:rsidRDefault="00F7123D" w:rsidP="00F7123D">
          <w:r>
            <w:t>The Victorian declared wholesale gas market (</w:t>
          </w:r>
          <w:r>
            <w:rPr>
              <w:b/>
            </w:rPr>
            <w:t>DWGM</w:t>
          </w:r>
          <w:r>
            <w:t xml:space="preserve">) facilitates the scheduling of injections and withdrawals </w:t>
          </w:r>
          <w:r w:rsidR="00416A6C">
            <w:t xml:space="preserve">to transport gas </w:t>
          </w:r>
          <w:r>
            <w:t>across the DTS. The DWGM also allows market participants to buy and sell gas</w:t>
          </w:r>
          <w:r w:rsidR="00A3342C">
            <w:t xml:space="preserve"> daily</w:t>
          </w:r>
          <w:r w:rsidR="00416A6C">
            <w:t xml:space="preserve"> at a market price</w:t>
          </w:r>
          <w:r>
            <w:t>.</w:t>
          </w:r>
          <w:r w:rsidR="00A3342C">
            <w:rPr>
              <w:rStyle w:val="FootnoteReference"/>
            </w:rPr>
            <w:footnoteReference w:id="10"/>
          </w:r>
          <w:r>
            <w:t xml:space="preserve"> </w:t>
          </w:r>
        </w:p>
        <w:p w:rsidR="00F7123D" w:rsidRDefault="00F7123D" w:rsidP="00F7123D">
          <w:r>
            <w:lastRenderedPageBreak/>
            <w:t>The DWGM is operated by the Australian Energy Market Operator (</w:t>
          </w:r>
          <w:r>
            <w:rPr>
              <w:b/>
            </w:rPr>
            <w:t>AEMO</w:t>
          </w:r>
          <w:r>
            <w:t xml:space="preserve">) </w:t>
          </w:r>
          <w:r w:rsidR="00B16F10">
            <w:t xml:space="preserve">under Part 19 of the National Gas Rules </w:t>
          </w:r>
          <w:r w:rsidR="00B16F10" w:rsidRPr="00DC2A33">
            <w:t>(</w:t>
          </w:r>
          <w:r w:rsidR="00B16F10">
            <w:rPr>
              <w:b/>
            </w:rPr>
            <w:t>NGR</w:t>
          </w:r>
          <w:r w:rsidR="00B16F10" w:rsidRPr="00DC2A33">
            <w:t>)</w:t>
          </w:r>
          <w:r>
            <w:t>. AEMO takes into account injection and withdrawal bids submitted by participants when determining a gas day’s schedule.</w:t>
          </w:r>
          <w:r>
            <w:rPr>
              <w:rStyle w:val="FootnoteReference"/>
            </w:rPr>
            <w:footnoteReference w:id="11"/>
          </w:r>
        </w:p>
        <w:p w:rsidR="00F7123D" w:rsidRDefault="00F7123D" w:rsidP="00F7123D">
          <w:pPr>
            <w:pStyle w:val="Caption"/>
          </w:pPr>
          <w:bookmarkStart w:id="6" w:name="_Ref450555829"/>
          <w:bookmarkStart w:id="7" w:name="_Ref451263972"/>
          <w:r>
            <w:t>Figure </w:t>
          </w:r>
          <w:fldSimple w:instr=" SEQ Figure \* ARABIC ">
            <w:r w:rsidR="00D350CD">
              <w:rPr>
                <w:noProof/>
              </w:rPr>
              <w:t>1</w:t>
            </w:r>
          </w:fldSimple>
          <w:bookmarkEnd w:id="6"/>
          <w:r w:rsidR="000754DA">
            <w:t xml:space="preserve"> –</w:t>
          </w:r>
          <w:r>
            <w:t xml:space="preserve"> The </w:t>
          </w:r>
          <w:bookmarkEnd w:id="7"/>
          <w:r>
            <w:t>east coast gas markets</w:t>
          </w:r>
        </w:p>
        <w:p w:rsidR="00F7123D" w:rsidRDefault="00F7123D" w:rsidP="00F7123D"/>
        <w:p w:rsidR="00F7123D" w:rsidRDefault="00F7123D" w:rsidP="00F7123D">
          <w:r w:rsidRPr="00955A02">
            <w:rPr>
              <w:noProof/>
              <w:lang w:eastAsia="en-AU"/>
            </w:rPr>
            <w:drawing>
              <wp:inline distT="0" distB="0" distL="0" distR="0" wp14:anchorId="5B1D0C71" wp14:editId="047337B3">
                <wp:extent cx="4958080" cy="6451600"/>
                <wp:effectExtent l="0" t="0" r="0" b="6350"/>
                <wp:docPr id="24" name="Picture 24" descr="Figure 1 illustrates the location of gas markets across eastern Australia, including the main production points, gas supply hubs, major transmission pipelines, and gas basins." title="Figure 1 - The east coast gas mar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973122" cy="6471173"/>
                        </a:xfrm>
                        <a:prstGeom prst="rect">
                          <a:avLst/>
                        </a:prstGeom>
                      </pic:spPr>
                    </pic:pic>
                  </a:graphicData>
                </a:graphic>
              </wp:inline>
            </w:drawing>
          </w:r>
        </w:p>
        <w:p w:rsidR="00207EB6" w:rsidRDefault="00207EB6" w:rsidP="00F7123D"/>
        <w:p w:rsidR="00F7123D" w:rsidRDefault="00F7123D" w:rsidP="00F7123D">
          <w:pPr>
            <w:pStyle w:val="Heading2"/>
            <w:numPr>
              <w:ilvl w:val="1"/>
              <w:numId w:val="24"/>
            </w:numPr>
          </w:pPr>
          <w:bookmarkStart w:id="8" w:name="_Toc468955316"/>
          <w:bookmarkStart w:id="9" w:name="_Toc470092446"/>
          <w:r>
            <w:lastRenderedPageBreak/>
            <w:t>Roles and responsibilities</w:t>
          </w:r>
          <w:bookmarkEnd w:id="8"/>
          <w:r w:rsidR="00750C17">
            <w:t xml:space="preserve"> of participants</w:t>
          </w:r>
          <w:bookmarkEnd w:id="9"/>
        </w:p>
        <w:p w:rsidR="00E44938" w:rsidRDefault="00F7123D" w:rsidP="00F7123D">
          <w:r>
            <w:t xml:space="preserve">There are a number of different entities involved in the daily operation of the DWGM; market participants (such as retailers and producers), network operators, </w:t>
          </w:r>
          <w:r w:rsidR="00E44938">
            <w:t>and AEMO</w:t>
          </w:r>
          <w:r>
            <w:t>. Each has a different set of roles and responsibilities which are described below.</w:t>
          </w:r>
        </w:p>
        <w:p w:rsidR="00F7123D" w:rsidRDefault="00F7123D" w:rsidP="00AF30DC">
          <w:pPr>
            <w:pStyle w:val="Heading4notnumbered"/>
          </w:pPr>
          <w:bookmarkStart w:id="10" w:name="_Toc468955317"/>
          <w:bookmarkStart w:id="11" w:name="_Toc469500567"/>
          <w:bookmarkStart w:id="12" w:name="_Toc469500590"/>
          <w:bookmarkStart w:id="13" w:name="_Toc469500654"/>
          <w:bookmarkStart w:id="14" w:name="_Toc469500689"/>
          <w:bookmarkStart w:id="15" w:name="_Toc469500741"/>
          <w:bookmarkStart w:id="16" w:name="_Toc469585949"/>
          <w:r>
            <w:t>Market participants</w:t>
          </w:r>
          <w:bookmarkEnd w:id="10"/>
          <w:bookmarkEnd w:id="11"/>
          <w:bookmarkEnd w:id="12"/>
          <w:bookmarkEnd w:id="13"/>
          <w:bookmarkEnd w:id="14"/>
          <w:bookmarkEnd w:id="15"/>
          <w:bookmarkEnd w:id="16"/>
        </w:p>
        <w:p w:rsidR="00F7123D" w:rsidRDefault="00F7123D" w:rsidP="00F7123D">
          <w:r>
            <w:t xml:space="preserve">Market participants </w:t>
          </w:r>
          <w:r w:rsidR="00A3046C">
            <w:t>must be</w:t>
          </w:r>
          <w:r>
            <w:t xml:space="preserve"> registered to buy or sell gas in the DWGM.</w:t>
          </w:r>
          <w:r>
            <w:rPr>
              <w:rStyle w:val="FootnoteReference"/>
            </w:rPr>
            <w:footnoteReference w:id="12"/>
          </w:r>
        </w:p>
        <w:p w:rsidR="00F7123D" w:rsidRDefault="00F7123D" w:rsidP="00F7123D">
          <w:r>
            <w:t xml:space="preserve">The main categories of market participants are retailers, producers, storage providers, and customers connected directly to either the transmission or distribution network. </w:t>
          </w:r>
        </w:p>
        <w:p w:rsidR="00F7123D" w:rsidRDefault="00F7123D" w:rsidP="00F7123D">
          <w:r>
            <w:t>Each market participant who intends to inject gas into, or withdraw gas from, the DTS, must submit bids to AEMO.</w:t>
          </w:r>
          <w:r>
            <w:rPr>
              <w:rStyle w:val="FootnoteReference"/>
            </w:rPr>
            <w:footnoteReference w:id="13"/>
          </w:r>
          <w:r>
            <w:t xml:space="preserve"> </w:t>
          </w:r>
        </w:p>
        <w:p w:rsidR="00F7123D" w:rsidRDefault="00F7123D" w:rsidP="00F7123D">
          <w:r>
            <w:t>All bids and demand forecasts must be made in good faith and represent the market participants’ best estimates.</w:t>
          </w:r>
          <w:r>
            <w:rPr>
              <w:rStyle w:val="FootnoteReference"/>
            </w:rPr>
            <w:footnoteReference w:id="14"/>
          </w:r>
        </w:p>
        <w:p w:rsidR="00410BFF" w:rsidRDefault="00F7123D" w:rsidP="00F7123D">
          <w:r>
            <w:t>If a market participant knows or believes that it will not, or that it is unlikely to be able to comply in any material respect with the operating schedule it must immediately notify AEMO.</w:t>
          </w:r>
          <w:r>
            <w:rPr>
              <w:rStyle w:val="FootnoteReference"/>
            </w:rPr>
            <w:footnoteReference w:id="15"/>
          </w:r>
        </w:p>
        <w:p w:rsidR="00192970" w:rsidRDefault="00192970" w:rsidP="00AF30DC">
          <w:pPr>
            <w:pStyle w:val="Heading4notnumbered"/>
          </w:pPr>
          <w:bookmarkStart w:id="17" w:name="_Toc469500568"/>
          <w:bookmarkStart w:id="18" w:name="_Toc469500591"/>
          <w:bookmarkStart w:id="19" w:name="_Toc469500655"/>
          <w:bookmarkStart w:id="20" w:name="_Toc469500690"/>
          <w:bookmarkStart w:id="21" w:name="_Toc469500742"/>
          <w:bookmarkStart w:id="22" w:name="_Toc469585950"/>
          <w:r>
            <w:t>Network operators</w:t>
          </w:r>
          <w:bookmarkEnd w:id="17"/>
          <w:bookmarkEnd w:id="18"/>
          <w:bookmarkEnd w:id="19"/>
          <w:bookmarkEnd w:id="20"/>
          <w:bookmarkEnd w:id="21"/>
          <w:bookmarkEnd w:id="22"/>
        </w:p>
        <w:p w:rsidR="001136BF" w:rsidRPr="00920B0B" w:rsidRDefault="001136BF" w:rsidP="004C7AD7">
          <w:r>
            <w:t xml:space="preserve">The DTS is owned and maintained by </w:t>
          </w:r>
          <w:r w:rsidR="007E052C">
            <w:t xml:space="preserve">the </w:t>
          </w:r>
          <w:r>
            <w:t>APA Group (</w:t>
          </w:r>
          <w:r w:rsidR="00920B0B">
            <w:rPr>
              <w:b/>
            </w:rPr>
            <w:t>APA</w:t>
          </w:r>
          <w:r w:rsidR="00920B0B">
            <w:t xml:space="preserve">); however it is operated by AEMO under a market-based centrally co-ordinated carriage system under part 19 of </w:t>
          </w:r>
          <w:r w:rsidR="00AD30D4">
            <w:t>NGR</w:t>
          </w:r>
          <w:r w:rsidR="00920B0B">
            <w:t>.</w:t>
          </w:r>
          <w:r w:rsidR="00920B0B">
            <w:rPr>
              <w:rStyle w:val="FootnoteReference"/>
            </w:rPr>
            <w:footnoteReference w:id="16"/>
          </w:r>
        </w:p>
        <w:p w:rsidR="00192970" w:rsidRDefault="00611D13" w:rsidP="00192970">
          <w:r>
            <w:t>There are three distribution networks in Victoria owned by Australian Gas Networks (</w:t>
          </w:r>
          <w:r>
            <w:rPr>
              <w:b/>
            </w:rPr>
            <w:t>AGN</w:t>
          </w:r>
          <w:r>
            <w:t>), Multinet, and AusNet Services (</w:t>
          </w:r>
          <w:r>
            <w:rPr>
              <w:b/>
            </w:rPr>
            <w:t>AusNet</w:t>
          </w:r>
          <w:r>
            <w:t xml:space="preserve">).  </w:t>
          </w:r>
        </w:p>
        <w:p w:rsidR="00885955" w:rsidRDefault="00885955" w:rsidP="00AF30DC">
          <w:pPr>
            <w:pStyle w:val="Heading4notnumbered"/>
          </w:pPr>
          <w:bookmarkStart w:id="23" w:name="_Toc469500569"/>
          <w:bookmarkStart w:id="24" w:name="_Toc469500592"/>
          <w:bookmarkStart w:id="25" w:name="_Toc469500656"/>
          <w:bookmarkStart w:id="26" w:name="_Toc469500691"/>
          <w:bookmarkStart w:id="27" w:name="_Toc469500743"/>
          <w:bookmarkStart w:id="28" w:name="_Toc469585951"/>
          <w:r>
            <w:t>AEMO</w:t>
          </w:r>
          <w:bookmarkEnd w:id="23"/>
          <w:bookmarkEnd w:id="24"/>
          <w:bookmarkEnd w:id="25"/>
          <w:bookmarkEnd w:id="26"/>
          <w:bookmarkEnd w:id="27"/>
          <w:bookmarkEnd w:id="28"/>
        </w:p>
        <w:p w:rsidR="009E2063" w:rsidRPr="00132CF6" w:rsidRDefault="009E2063" w:rsidP="009E2063">
          <w:r w:rsidRPr="00132CF6">
            <w:t>AEMO is responsible for operating Australia’s largest gas and electricity markets and power systems. Relevant to this report, AEMO operates the</w:t>
          </w:r>
          <w:r w:rsidR="00CB4139" w:rsidRPr="002C7FF0">
            <w:t xml:space="preserve"> </w:t>
          </w:r>
          <w:r w:rsidR="00CB4139" w:rsidRPr="00E44938">
            <w:t>DWGM</w:t>
          </w:r>
          <w:r w:rsidR="00CB4139" w:rsidRPr="00132CF6">
            <w:t xml:space="preserve">, the </w:t>
          </w:r>
          <w:r w:rsidRPr="00132CF6">
            <w:t>short term trading market (</w:t>
          </w:r>
          <w:r w:rsidRPr="00132CF6">
            <w:rPr>
              <w:b/>
            </w:rPr>
            <w:t>STTM</w:t>
          </w:r>
          <w:r w:rsidRPr="00132CF6">
            <w:t xml:space="preserve">) hubs in Adelaide, Sydney, and Brisbane, and the </w:t>
          </w:r>
          <w:r w:rsidR="00CB4139" w:rsidRPr="002C7FF0">
            <w:t>National Electricity Market (</w:t>
          </w:r>
          <w:r w:rsidR="00CB4139" w:rsidRPr="002C7FF0">
            <w:rPr>
              <w:b/>
            </w:rPr>
            <w:t>NEM</w:t>
          </w:r>
          <w:r w:rsidR="00CB4139" w:rsidRPr="00132CF6">
            <w:t xml:space="preserve">). </w:t>
          </w:r>
        </w:p>
        <w:p w:rsidR="00AD30D4" w:rsidRDefault="00132CF6" w:rsidP="00E44938">
          <w:bookmarkStart w:id="29" w:name="_Toc469500570"/>
          <w:bookmarkStart w:id="30" w:name="_Toc469500593"/>
          <w:bookmarkStart w:id="31" w:name="_Toc469500657"/>
          <w:bookmarkStart w:id="32" w:name="_Toc469500692"/>
          <w:bookmarkStart w:id="33" w:name="_Toc469500744"/>
          <w:bookmarkStart w:id="34" w:name="_Toc469585952"/>
          <w:r w:rsidRPr="00132CF6">
            <w:t xml:space="preserve">In respect of the DWGM, AEMO operates the DTS to </w:t>
          </w:r>
          <w:r w:rsidR="007E052C">
            <w:t>ensure</w:t>
          </w:r>
          <w:r w:rsidR="007E052C" w:rsidRPr="00132CF6">
            <w:t xml:space="preserve"> </w:t>
          </w:r>
          <w:r w:rsidRPr="00132CF6">
            <w:t xml:space="preserve">sufficient gas </w:t>
          </w:r>
          <w:r w:rsidR="007E052C">
            <w:t xml:space="preserve">is </w:t>
          </w:r>
          <w:r w:rsidRPr="00132CF6">
            <w:t xml:space="preserve">available </w:t>
          </w:r>
          <w:r w:rsidR="007E052C">
            <w:t>to match</w:t>
          </w:r>
          <w:r w:rsidR="007E052C" w:rsidRPr="00132CF6">
            <w:t xml:space="preserve"> </w:t>
          </w:r>
          <w:r w:rsidRPr="00132CF6">
            <w:t>participants’ withdrawal requirements from the DTS.</w:t>
          </w:r>
          <w:r w:rsidRPr="00132CF6">
            <w:rPr>
              <w:rStyle w:val="FootnoteReference"/>
            </w:rPr>
            <w:footnoteReference w:id="17"/>
          </w:r>
          <w:r w:rsidRPr="00132CF6">
            <w:t xml:space="preserve"> Additionally, AEMO operates the market in Victoria and publishes a pricing schedule which establishes a market price for gas. </w:t>
          </w:r>
          <w:r w:rsidR="00A3342C">
            <w:t xml:space="preserve">Relevant to the DWGM, </w:t>
          </w:r>
          <w:r w:rsidRPr="00132CF6">
            <w:t xml:space="preserve">AEMO also publishes information about facilities’ operation on the </w:t>
          </w:r>
          <w:r w:rsidR="00A3342C">
            <w:t>Victorian Market Information Bulletin B</w:t>
          </w:r>
          <w:r w:rsidRPr="00132CF6">
            <w:t>oard</w:t>
          </w:r>
          <w:r w:rsidR="00A3342C">
            <w:t xml:space="preserve"> </w:t>
          </w:r>
          <w:r w:rsidR="00A3342C" w:rsidRPr="00DC2A33">
            <w:t>(</w:t>
          </w:r>
          <w:r w:rsidR="00A3342C">
            <w:rPr>
              <w:b/>
            </w:rPr>
            <w:t>MIBB</w:t>
          </w:r>
          <w:r w:rsidR="00A3342C" w:rsidRPr="00DC2A33">
            <w:t>)</w:t>
          </w:r>
          <w:r w:rsidRPr="00132CF6">
            <w:t>.</w:t>
          </w:r>
          <w:bookmarkEnd w:id="29"/>
          <w:bookmarkEnd w:id="30"/>
          <w:bookmarkEnd w:id="31"/>
          <w:bookmarkEnd w:id="32"/>
          <w:bookmarkEnd w:id="33"/>
          <w:bookmarkEnd w:id="34"/>
        </w:p>
        <w:p w:rsidR="00AD30D4" w:rsidRDefault="00AD30D4" w:rsidP="00AD30D4">
          <w:pPr>
            <w:pStyle w:val="Heading2"/>
            <w:numPr>
              <w:ilvl w:val="1"/>
              <w:numId w:val="24"/>
            </w:numPr>
          </w:pPr>
          <w:bookmarkStart w:id="35" w:name="_Toc470092447"/>
          <w:r>
            <w:lastRenderedPageBreak/>
            <w:t>Bulletin Board</w:t>
          </w:r>
          <w:bookmarkEnd w:id="35"/>
          <w:r>
            <w:t xml:space="preserve"> </w:t>
          </w:r>
        </w:p>
        <w:p w:rsidR="00A3046C" w:rsidRDefault="00FB1063" w:rsidP="00AF30DC">
          <w:pPr>
            <w:pStyle w:val="Heading4notnumbered"/>
            <w:rPr>
              <w:rFonts w:eastAsiaTheme="minorHAnsi" w:cstheme="minorBidi"/>
              <w:b w:val="0"/>
              <w:bCs w:val="0"/>
              <w:color w:val="auto"/>
              <w:sz w:val="22"/>
              <w:szCs w:val="22"/>
            </w:rPr>
          </w:pPr>
          <w:r>
            <w:rPr>
              <w:rFonts w:eastAsiaTheme="minorHAnsi" w:cstheme="minorBidi"/>
              <w:b w:val="0"/>
              <w:bCs w:val="0"/>
              <w:color w:val="auto"/>
              <w:sz w:val="22"/>
              <w:szCs w:val="22"/>
            </w:rPr>
            <w:t xml:space="preserve">AEMO </w:t>
          </w:r>
          <w:r w:rsidR="00A3342C">
            <w:rPr>
              <w:rFonts w:eastAsiaTheme="minorHAnsi" w:cstheme="minorBidi"/>
              <w:b w:val="0"/>
              <w:bCs w:val="0"/>
              <w:color w:val="auto"/>
              <w:sz w:val="22"/>
              <w:szCs w:val="22"/>
            </w:rPr>
            <w:t>in its role as Bulletin Board Operator also publishes information about</w:t>
          </w:r>
          <w:r>
            <w:rPr>
              <w:rFonts w:eastAsiaTheme="minorHAnsi" w:cstheme="minorBidi"/>
              <w:b w:val="0"/>
              <w:bCs w:val="0"/>
              <w:color w:val="auto"/>
              <w:sz w:val="22"/>
              <w:szCs w:val="22"/>
            </w:rPr>
            <w:t xml:space="preserve"> DWGM </w:t>
          </w:r>
          <w:r w:rsidR="00A3342C">
            <w:rPr>
              <w:rFonts w:eastAsiaTheme="minorHAnsi" w:cstheme="minorBidi"/>
              <w:b w:val="0"/>
              <w:bCs w:val="0"/>
              <w:color w:val="auto"/>
              <w:sz w:val="22"/>
              <w:szCs w:val="22"/>
            </w:rPr>
            <w:t xml:space="preserve">facilities </w:t>
          </w:r>
          <w:r>
            <w:rPr>
              <w:rFonts w:eastAsiaTheme="minorHAnsi" w:cstheme="minorBidi"/>
              <w:b w:val="0"/>
              <w:bCs w:val="0"/>
              <w:color w:val="auto"/>
              <w:sz w:val="22"/>
              <w:szCs w:val="22"/>
            </w:rPr>
            <w:t>via the “East Coast Gas Bulletin Board” (</w:t>
          </w:r>
          <w:r>
            <w:rPr>
              <w:rFonts w:eastAsiaTheme="minorHAnsi" w:cstheme="minorBidi"/>
              <w:bCs w:val="0"/>
              <w:color w:val="auto"/>
              <w:sz w:val="22"/>
              <w:szCs w:val="22"/>
            </w:rPr>
            <w:t>B</w:t>
          </w:r>
          <w:r w:rsidRPr="00B352CB">
            <w:rPr>
              <w:rFonts w:eastAsiaTheme="minorHAnsi" w:cstheme="minorBidi"/>
              <w:bCs w:val="0"/>
              <w:color w:val="auto"/>
              <w:sz w:val="22"/>
              <w:szCs w:val="22"/>
            </w:rPr>
            <w:t xml:space="preserve">ulletin </w:t>
          </w:r>
          <w:r>
            <w:rPr>
              <w:rFonts w:eastAsiaTheme="minorHAnsi" w:cstheme="minorBidi"/>
              <w:bCs w:val="0"/>
              <w:color w:val="auto"/>
              <w:sz w:val="22"/>
              <w:szCs w:val="22"/>
            </w:rPr>
            <w:t>B</w:t>
          </w:r>
          <w:r w:rsidRPr="00B352CB">
            <w:rPr>
              <w:rFonts w:eastAsiaTheme="minorHAnsi" w:cstheme="minorBidi"/>
              <w:bCs w:val="0"/>
              <w:color w:val="auto"/>
              <w:sz w:val="22"/>
              <w:szCs w:val="22"/>
            </w:rPr>
            <w:t>oard</w:t>
          </w:r>
          <w:r>
            <w:rPr>
              <w:rFonts w:eastAsiaTheme="minorHAnsi" w:cstheme="minorBidi"/>
              <w:b w:val="0"/>
              <w:bCs w:val="0"/>
              <w:color w:val="auto"/>
              <w:sz w:val="22"/>
              <w:szCs w:val="22"/>
            </w:rPr>
            <w:t>)</w:t>
          </w:r>
          <w:r w:rsidR="00207EB6">
            <w:rPr>
              <w:rFonts w:eastAsiaTheme="minorHAnsi" w:cstheme="minorBidi"/>
              <w:b w:val="0"/>
              <w:bCs w:val="0"/>
              <w:color w:val="auto"/>
              <w:sz w:val="22"/>
              <w:szCs w:val="22"/>
            </w:rPr>
            <w:t>.</w:t>
          </w:r>
          <w:r>
            <w:rPr>
              <w:rFonts w:eastAsiaTheme="minorHAnsi" w:cstheme="minorBidi"/>
              <w:b w:val="0"/>
              <w:bCs w:val="0"/>
              <w:color w:val="auto"/>
              <w:sz w:val="22"/>
              <w:szCs w:val="22"/>
            </w:rPr>
            <w:t xml:space="preserve"> The information provided </w:t>
          </w:r>
          <w:r w:rsidR="00A3342C">
            <w:rPr>
              <w:rFonts w:eastAsiaTheme="minorHAnsi" w:cstheme="minorBidi"/>
              <w:b w:val="0"/>
              <w:bCs w:val="0"/>
              <w:color w:val="auto"/>
              <w:sz w:val="22"/>
              <w:szCs w:val="22"/>
            </w:rPr>
            <w:t xml:space="preserve">on </w:t>
          </w:r>
          <w:r>
            <w:rPr>
              <w:rFonts w:eastAsiaTheme="minorHAnsi" w:cstheme="minorBidi"/>
              <w:b w:val="0"/>
              <w:bCs w:val="0"/>
              <w:color w:val="auto"/>
              <w:sz w:val="22"/>
              <w:szCs w:val="22"/>
            </w:rPr>
            <w:t>the Bulletin Board is publicly available</w:t>
          </w:r>
          <w:r w:rsidR="00796450">
            <w:rPr>
              <w:rFonts w:eastAsiaTheme="minorHAnsi" w:cstheme="minorBidi"/>
              <w:b w:val="0"/>
              <w:bCs w:val="0"/>
              <w:color w:val="auto"/>
              <w:sz w:val="22"/>
              <w:szCs w:val="22"/>
            </w:rPr>
            <w:t xml:space="preserve"> whereas </w:t>
          </w:r>
          <w:r w:rsidR="00B352CB">
            <w:rPr>
              <w:rFonts w:eastAsiaTheme="minorHAnsi" w:cstheme="minorBidi"/>
              <w:b w:val="0"/>
              <w:bCs w:val="0"/>
              <w:color w:val="auto"/>
              <w:sz w:val="22"/>
              <w:szCs w:val="22"/>
            </w:rPr>
            <w:t xml:space="preserve">certain parts of </w:t>
          </w:r>
          <w:r w:rsidR="00796450">
            <w:rPr>
              <w:rFonts w:eastAsiaTheme="minorHAnsi" w:cstheme="minorBidi"/>
              <w:b w:val="0"/>
              <w:bCs w:val="0"/>
              <w:color w:val="auto"/>
              <w:sz w:val="22"/>
              <w:szCs w:val="22"/>
            </w:rPr>
            <w:t>the MIBB</w:t>
          </w:r>
          <w:r>
            <w:rPr>
              <w:rFonts w:eastAsiaTheme="minorHAnsi" w:cstheme="minorBidi"/>
              <w:b w:val="0"/>
              <w:bCs w:val="0"/>
              <w:color w:val="auto"/>
              <w:sz w:val="22"/>
              <w:szCs w:val="22"/>
            </w:rPr>
            <w:t xml:space="preserve"> </w:t>
          </w:r>
          <w:r w:rsidR="00B352CB">
            <w:rPr>
              <w:rFonts w:eastAsiaTheme="minorHAnsi" w:cstheme="minorBidi"/>
              <w:b w:val="0"/>
              <w:bCs w:val="0"/>
              <w:color w:val="auto"/>
              <w:sz w:val="22"/>
              <w:szCs w:val="22"/>
            </w:rPr>
            <w:t xml:space="preserve">are </w:t>
          </w:r>
          <w:r w:rsidR="00BC43B4">
            <w:rPr>
              <w:rFonts w:eastAsiaTheme="minorHAnsi" w:cstheme="minorBidi"/>
              <w:b w:val="0"/>
              <w:bCs w:val="0"/>
              <w:color w:val="auto"/>
              <w:sz w:val="22"/>
              <w:szCs w:val="22"/>
            </w:rPr>
            <w:t xml:space="preserve">accessed via subscription. The MIBB provides a wider suite of </w:t>
          </w:r>
          <w:r w:rsidR="00B352CB">
            <w:rPr>
              <w:rFonts w:eastAsiaTheme="minorHAnsi" w:cstheme="minorBidi"/>
              <w:b w:val="0"/>
              <w:bCs w:val="0"/>
              <w:color w:val="auto"/>
              <w:sz w:val="22"/>
              <w:szCs w:val="22"/>
            </w:rPr>
            <w:t xml:space="preserve">Victorian market </w:t>
          </w:r>
          <w:r w:rsidR="00BC43B4">
            <w:rPr>
              <w:rFonts w:eastAsiaTheme="minorHAnsi" w:cstheme="minorBidi"/>
              <w:b w:val="0"/>
              <w:bCs w:val="0"/>
              <w:color w:val="auto"/>
              <w:sz w:val="22"/>
              <w:szCs w:val="22"/>
            </w:rPr>
            <w:t>information than the Bulletin Board</w:t>
          </w:r>
          <w:r w:rsidR="00B352CB">
            <w:rPr>
              <w:rFonts w:eastAsiaTheme="minorHAnsi" w:cstheme="minorBidi"/>
              <w:b w:val="0"/>
              <w:bCs w:val="0"/>
              <w:color w:val="auto"/>
              <w:sz w:val="22"/>
              <w:szCs w:val="22"/>
            </w:rPr>
            <w:t xml:space="preserve"> including information as to the impact of constraints on the DWGM and threats to system security in Victoria (as occurred on 1 October)</w:t>
          </w:r>
          <w:r w:rsidR="00BC43B4">
            <w:rPr>
              <w:rFonts w:eastAsiaTheme="minorHAnsi" w:cstheme="minorBidi"/>
              <w:b w:val="0"/>
              <w:bCs w:val="0"/>
              <w:color w:val="auto"/>
              <w:sz w:val="22"/>
              <w:szCs w:val="22"/>
            </w:rPr>
            <w:t>.</w:t>
          </w:r>
          <w:r w:rsidR="00796450">
            <w:rPr>
              <w:rFonts w:eastAsiaTheme="minorHAnsi" w:cstheme="minorBidi"/>
              <w:b w:val="0"/>
              <w:bCs w:val="0"/>
              <w:color w:val="auto"/>
              <w:sz w:val="22"/>
              <w:szCs w:val="22"/>
            </w:rPr>
            <w:t xml:space="preserve">  </w:t>
          </w:r>
        </w:p>
        <w:p w:rsidR="00AD30D4" w:rsidRPr="00E44938" w:rsidRDefault="007E0A53" w:rsidP="00AF30DC">
          <w:pPr>
            <w:pStyle w:val="Heading4notnumbered"/>
            <w:rPr>
              <w:rFonts w:eastAsiaTheme="minorHAnsi" w:cstheme="minorBidi"/>
              <w:b w:val="0"/>
              <w:bCs w:val="0"/>
              <w:color w:val="auto"/>
              <w:sz w:val="22"/>
              <w:szCs w:val="22"/>
            </w:rPr>
          </w:pPr>
          <w:r w:rsidRPr="00E44938">
            <w:rPr>
              <w:rFonts w:eastAsiaTheme="minorHAnsi" w:cstheme="minorBidi"/>
              <w:b w:val="0"/>
              <w:bCs w:val="0"/>
              <w:color w:val="auto"/>
              <w:sz w:val="22"/>
              <w:szCs w:val="22"/>
            </w:rPr>
            <w:t>Part 18 of the NGR sets out rules and obligations for the Bulletin Board</w:t>
          </w:r>
          <w:r w:rsidRPr="00E44938">
            <w:rPr>
              <w:rStyle w:val="FootnoteReference"/>
              <w:rFonts w:eastAsiaTheme="minorHAnsi" w:cstheme="minorBidi"/>
              <w:b w:val="0"/>
              <w:bCs w:val="0"/>
              <w:color w:val="auto"/>
              <w:szCs w:val="22"/>
            </w:rPr>
            <w:footnoteReference w:id="18"/>
          </w:r>
          <w:r w:rsidRPr="00E44938">
            <w:rPr>
              <w:b w:val="0"/>
            </w:rPr>
            <w:t xml:space="preserve"> </w:t>
          </w:r>
          <w:r w:rsidRPr="00E44938">
            <w:rPr>
              <w:rFonts w:eastAsiaTheme="minorHAnsi" w:cstheme="minorBidi"/>
              <w:b w:val="0"/>
              <w:bCs w:val="0"/>
              <w:color w:val="auto"/>
              <w:sz w:val="22"/>
              <w:szCs w:val="22"/>
            </w:rPr>
            <w:t>centred on provision of information on gas production and pipeline flows and capacity</w:t>
          </w:r>
          <w:r w:rsidR="007E052C">
            <w:rPr>
              <w:rFonts w:eastAsiaTheme="minorHAnsi" w:cstheme="minorBidi"/>
              <w:b w:val="0"/>
              <w:bCs w:val="0"/>
              <w:color w:val="auto"/>
              <w:sz w:val="22"/>
              <w:szCs w:val="22"/>
            </w:rPr>
            <w:t xml:space="preserve">. </w:t>
          </w:r>
          <w:r w:rsidR="00B352CB">
            <w:rPr>
              <w:rFonts w:eastAsiaTheme="minorHAnsi" w:cstheme="minorBidi"/>
              <w:b w:val="0"/>
              <w:bCs w:val="0"/>
              <w:color w:val="auto"/>
              <w:sz w:val="22"/>
              <w:szCs w:val="22"/>
            </w:rPr>
            <w:t xml:space="preserve"> </w:t>
          </w:r>
          <w:r w:rsidR="007E052C">
            <w:rPr>
              <w:rFonts w:eastAsiaTheme="minorHAnsi" w:cstheme="minorBidi"/>
              <w:b w:val="0"/>
              <w:bCs w:val="0"/>
              <w:color w:val="auto"/>
              <w:sz w:val="22"/>
              <w:szCs w:val="22"/>
            </w:rPr>
            <w:t>M</w:t>
          </w:r>
          <w:r w:rsidRPr="00E44938">
            <w:rPr>
              <w:rFonts w:eastAsiaTheme="minorHAnsi" w:cstheme="minorBidi"/>
              <w:b w:val="0"/>
              <w:bCs w:val="0"/>
              <w:color w:val="auto"/>
              <w:sz w:val="22"/>
              <w:szCs w:val="22"/>
            </w:rPr>
            <w:t>any of the participants in the DWGM are also obliged to report</w:t>
          </w:r>
          <w:r w:rsidR="007E052C">
            <w:rPr>
              <w:rFonts w:eastAsiaTheme="minorHAnsi" w:cstheme="minorBidi"/>
              <w:b w:val="0"/>
              <w:bCs w:val="0"/>
              <w:color w:val="auto"/>
              <w:sz w:val="22"/>
              <w:szCs w:val="22"/>
            </w:rPr>
            <w:t xml:space="preserve"> on the Bulletin Board</w:t>
          </w:r>
          <w:r w:rsidRPr="00E44938">
            <w:rPr>
              <w:rFonts w:eastAsiaTheme="minorHAnsi" w:cstheme="minorBidi"/>
              <w:b w:val="0"/>
              <w:bCs w:val="0"/>
              <w:color w:val="auto"/>
              <w:sz w:val="22"/>
              <w:szCs w:val="22"/>
            </w:rPr>
            <w:t>.</w:t>
          </w:r>
          <w:r w:rsidR="00B352CB">
            <w:rPr>
              <w:rFonts w:eastAsiaTheme="minorHAnsi" w:cstheme="minorBidi"/>
              <w:b w:val="0"/>
              <w:bCs w:val="0"/>
              <w:color w:val="auto"/>
              <w:sz w:val="22"/>
              <w:szCs w:val="22"/>
            </w:rPr>
            <w:t xml:space="preserve"> This includes the Esso operated Longford Production Facility which must provide information on its total production outlook for delivery to all </w:t>
          </w:r>
          <w:r w:rsidR="00DC2A33">
            <w:rPr>
              <w:rFonts w:eastAsiaTheme="minorHAnsi" w:cstheme="minorBidi"/>
              <w:b w:val="0"/>
              <w:bCs w:val="0"/>
              <w:color w:val="auto"/>
              <w:sz w:val="22"/>
              <w:szCs w:val="22"/>
            </w:rPr>
            <w:t>states (</w:t>
          </w:r>
          <w:r w:rsidR="00B352CB">
            <w:rPr>
              <w:rFonts w:eastAsiaTheme="minorHAnsi" w:cstheme="minorBidi"/>
              <w:b w:val="0"/>
              <w:bCs w:val="0"/>
              <w:color w:val="auto"/>
              <w:sz w:val="22"/>
              <w:szCs w:val="22"/>
            </w:rPr>
            <w:t>not just the DWGM).</w:t>
          </w:r>
        </w:p>
        <w:p w:rsidR="007E0A53" w:rsidRPr="00E44938" w:rsidRDefault="007E0A53" w:rsidP="00AF30DC">
          <w:pPr>
            <w:pStyle w:val="Heading4notnumbered"/>
            <w:rPr>
              <w:rFonts w:eastAsiaTheme="minorHAnsi" w:cstheme="minorBidi"/>
              <w:b w:val="0"/>
              <w:bCs w:val="0"/>
              <w:color w:val="auto"/>
              <w:sz w:val="22"/>
              <w:szCs w:val="22"/>
            </w:rPr>
          </w:pPr>
          <w:r w:rsidRPr="00E44938">
            <w:rPr>
              <w:rFonts w:eastAsiaTheme="minorHAnsi" w:cstheme="minorBidi"/>
              <w:b w:val="0"/>
              <w:bCs w:val="0"/>
              <w:color w:val="auto"/>
              <w:sz w:val="22"/>
              <w:szCs w:val="22"/>
            </w:rPr>
            <w:t>A number of rule changes expanding reporting requirements and the frequency of reporting have either recently commenced or are very likely to commence</w:t>
          </w:r>
          <w:r w:rsidR="007E052C" w:rsidRPr="007E052C">
            <w:rPr>
              <w:rFonts w:eastAsiaTheme="minorHAnsi" w:cstheme="minorBidi"/>
              <w:b w:val="0"/>
              <w:bCs w:val="0"/>
              <w:color w:val="auto"/>
              <w:sz w:val="22"/>
              <w:szCs w:val="22"/>
            </w:rPr>
            <w:t xml:space="preserve"> </w:t>
          </w:r>
          <w:r w:rsidR="007E052C" w:rsidRPr="00E44938">
            <w:rPr>
              <w:rFonts w:eastAsiaTheme="minorHAnsi" w:cstheme="minorBidi"/>
              <w:b w:val="0"/>
              <w:bCs w:val="0"/>
              <w:color w:val="auto"/>
              <w:sz w:val="22"/>
              <w:szCs w:val="22"/>
            </w:rPr>
            <w:t>soon</w:t>
          </w:r>
          <w:r w:rsidRPr="00E44938">
            <w:rPr>
              <w:rFonts w:eastAsiaTheme="minorHAnsi" w:cstheme="minorBidi"/>
              <w:b w:val="0"/>
              <w:bCs w:val="0"/>
              <w:color w:val="auto"/>
              <w:sz w:val="22"/>
              <w:szCs w:val="22"/>
            </w:rPr>
            <w:t>. Relevantly to this report, the AEMC’s Gas Market Review 2016</w:t>
          </w:r>
          <w:r w:rsidR="009F6CBC" w:rsidRPr="00E44938">
            <w:rPr>
              <w:rStyle w:val="FootnoteReference"/>
              <w:rFonts w:eastAsiaTheme="minorHAnsi" w:cstheme="minorBidi"/>
              <w:b w:val="0"/>
              <w:bCs w:val="0"/>
              <w:color w:val="auto"/>
              <w:szCs w:val="22"/>
            </w:rPr>
            <w:footnoteReference w:id="19"/>
          </w:r>
          <w:r w:rsidR="00A83D83">
            <w:rPr>
              <w:b w:val="0"/>
            </w:rPr>
            <w:t xml:space="preserve"> </w:t>
          </w:r>
          <w:r w:rsidRPr="00E44938">
            <w:rPr>
              <w:rFonts w:eastAsiaTheme="minorHAnsi" w:cstheme="minorBidi"/>
              <w:b w:val="0"/>
              <w:bCs w:val="0"/>
              <w:color w:val="auto"/>
              <w:sz w:val="22"/>
              <w:szCs w:val="22"/>
            </w:rPr>
            <w:t xml:space="preserve">recommended (recommendation F) there should be </w:t>
          </w:r>
          <w:r w:rsidR="007E052C">
            <w:rPr>
              <w:rFonts w:eastAsiaTheme="minorHAnsi" w:cstheme="minorBidi"/>
              <w:b w:val="0"/>
              <w:bCs w:val="0"/>
              <w:color w:val="auto"/>
              <w:sz w:val="22"/>
              <w:szCs w:val="22"/>
            </w:rPr>
            <w:t>i</w:t>
          </w:r>
          <w:r w:rsidRPr="00E44938">
            <w:rPr>
              <w:rFonts w:eastAsiaTheme="minorHAnsi" w:cstheme="minorBidi"/>
              <w:b w:val="0"/>
              <w:bCs w:val="0"/>
              <w:color w:val="auto"/>
              <w:sz w:val="22"/>
              <w:szCs w:val="22"/>
            </w:rPr>
            <w:t>mprovements in the frequency with which information is reported and alerted</w:t>
          </w:r>
          <w:r w:rsidR="00B352CB">
            <w:rPr>
              <w:rFonts w:eastAsiaTheme="minorHAnsi" w:cstheme="minorBidi"/>
              <w:b w:val="0"/>
              <w:bCs w:val="0"/>
              <w:color w:val="auto"/>
              <w:sz w:val="22"/>
              <w:szCs w:val="22"/>
            </w:rPr>
            <w:t xml:space="preserve"> on the Bulletin </w:t>
          </w:r>
          <w:r w:rsidR="00DC2A33">
            <w:rPr>
              <w:rFonts w:eastAsiaTheme="minorHAnsi" w:cstheme="minorBidi"/>
              <w:b w:val="0"/>
              <w:bCs w:val="0"/>
              <w:color w:val="auto"/>
              <w:sz w:val="22"/>
              <w:szCs w:val="22"/>
            </w:rPr>
            <w:t xml:space="preserve">Board </w:t>
          </w:r>
          <w:r w:rsidR="00DC2A33" w:rsidRPr="00E44938">
            <w:rPr>
              <w:rFonts w:eastAsiaTheme="minorHAnsi" w:cstheme="minorBidi"/>
              <w:b w:val="0"/>
              <w:bCs w:val="0"/>
              <w:color w:val="auto"/>
              <w:sz w:val="22"/>
              <w:szCs w:val="22"/>
            </w:rPr>
            <w:t>to</w:t>
          </w:r>
          <w:r w:rsidRPr="00E44938">
            <w:rPr>
              <w:rFonts w:eastAsiaTheme="minorHAnsi" w:cstheme="minorBidi"/>
              <w:b w:val="0"/>
              <w:bCs w:val="0"/>
              <w:color w:val="auto"/>
              <w:sz w:val="22"/>
              <w:szCs w:val="22"/>
            </w:rPr>
            <w:t xml:space="preserve"> </w:t>
          </w:r>
          <w:r w:rsidR="00B352CB">
            <w:rPr>
              <w:rFonts w:eastAsiaTheme="minorHAnsi" w:cstheme="minorBidi"/>
              <w:b w:val="0"/>
              <w:bCs w:val="0"/>
              <w:color w:val="auto"/>
              <w:sz w:val="22"/>
              <w:szCs w:val="22"/>
            </w:rPr>
            <w:t xml:space="preserve">include </w:t>
          </w:r>
          <w:r w:rsidRPr="00E44938">
            <w:rPr>
              <w:rFonts w:eastAsiaTheme="minorHAnsi" w:cstheme="minorBidi"/>
              <w:b w:val="0"/>
              <w:bCs w:val="0"/>
              <w:color w:val="auto"/>
              <w:sz w:val="22"/>
              <w:szCs w:val="22"/>
            </w:rPr>
            <w:t>material intra-day changes to a facility’s capacity or nominations</w:t>
          </w:r>
          <w:r w:rsidR="00B352CB">
            <w:rPr>
              <w:rFonts w:eastAsiaTheme="minorHAnsi" w:cstheme="minorBidi"/>
              <w:b w:val="0"/>
              <w:bCs w:val="0"/>
              <w:color w:val="auto"/>
              <w:sz w:val="22"/>
              <w:szCs w:val="22"/>
            </w:rPr>
            <w:t>. That is</w:t>
          </w:r>
          <w:r w:rsidR="00DC2A33">
            <w:rPr>
              <w:rFonts w:eastAsiaTheme="minorHAnsi" w:cstheme="minorBidi"/>
              <w:b w:val="0"/>
              <w:bCs w:val="0"/>
              <w:color w:val="auto"/>
              <w:sz w:val="22"/>
              <w:szCs w:val="22"/>
            </w:rPr>
            <w:t>, currently</w:t>
          </w:r>
          <w:r w:rsidRPr="00E44938">
            <w:rPr>
              <w:rFonts w:eastAsiaTheme="minorHAnsi" w:cstheme="minorBidi"/>
              <w:b w:val="0"/>
              <w:bCs w:val="0"/>
              <w:color w:val="auto"/>
              <w:sz w:val="22"/>
              <w:szCs w:val="22"/>
            </w:rPr>
            <w:t xml:space="preserve"> reporting of</w:t>
          </w:r>
          <w:r w:rsidR="00B352CB">
            <w:rPr>
              <w:rFonts w:eastAsiaTheme="minorHAnsi" w:cstheme="minorBidi"/>
              <w:b w:val="0"/>
              <w:bCs w:val="0"/>
              <w:color w:val="auto"/>
              <w:sz w:val="22"/>
              <w:szCs w:val="22"/>
            </w:rPr>
            <w:t xml:space="preserve"> </w:t>
          </w:r>
          <w:r w:rsidR="00DC2A33">
            <w:rPr>
              <w:rFonts w:eastAsiaTheme="minorHAnsi" w:cstheme="minorBidi"/>
              <w:b w:val="0"/>
              <w:bCs w:val="0"/>
              <w:color w:val="auto"/>
              <w:sz w:val="22"/>
              <w:szCs w:val="22"/>
            </w:rPr>
            <w:t xml:space="preserve">material </w:t>
          </w:r>
          <w:r w:rsidR="00DC2A33" w:rsidRPr="00E44938">
            <w:rPr>
              <w:rFonts w:eastAsiaTheme="minorHAnsi" w:cstheme="minorBidi"/>
              <w:b w:val="0"/>
              <w:bCs w:val="0"/>
              <w:color w:val="auto"/>
              <w:sz w:val="22"/>
              <w:szCs w:val="22"/>
            </w:rPr>
            <w:t>intra</w:t>
          </w:r>
          <w:r w:rsidRPr="00E44938">
            <w:rPr>
              <w:rFonts w:eastAsiaTheme="minorHAnsi" w:cstheme="minorBidi"/>
              <w:b w:val="0"/>
              <w:bCs w:val="0"/>
              <w:color w:val="auto"/>
              <w:sz w:val="22"/>
              <w:szCs w:val="22"/>
            </w:rPr>
            <w:t xml:space="preserve">-day capacity changes such as affected the Longford </w:t>
          </w:r>
          <w:r w:rsidR="009F6CBC" w:rsidRPr="00E44938">
            <w:rPr>
              <w:rFonts w:eastAsiaTheme="minorHAnsi" w:cstheme="minorBidi"/>
              <w:b w:val="0"/>
              <w:bCs w:val="0"/>
              <w:color w:val="auto"/>
              <w:sz w:val="22"/>
              <w:szCs w:val="22"/>
            </w:rPr>
            <w:t>Production Facility on 1</w:t>
          </w:r>
          <w:r w:rsidR="00EF23FC">
            <w:rPr>
              <w:rFonts w:eastAsiaTheme="minorHAnsi" w:cstheme="minorBidi"/>
              <w:b w:val="0"/>
              <w:bCs w:val="0"/>
              <w:color w:val="auto"/>
              <w:sz w:val="22"/>
              <w:szCs w:val="22"/>
            </w:rPr>
            <w:t> </w:t>
          </w:r>
          <w:r w:rsidR="009F6CBC" w:rsidRPr="00E44938">
            <w:rPr>
              <w:rFonts w:eastAsiaTheme="minorHAnsi" w:cstheme="minorBidi"/>
              <w:b w:val="0"/>
              <w:bCs w:val="0"/>
              <w:color w:val="auto"/>
              <w:sz w:val="22"/>
              <w:szCs w:val="22"/>
            </w:rPr>
            <w:t xml:space="preserve">October </w:t>
          </w:r>
          <w:r w:rsidRPr="00E44938">
            <w:rPr>
              <w:rFonts w:eastAsiaTheme="minorHAnsi" w:cstheme="minorBidi"/>
              <w:b w:val="0"/>
              <w:bCs w:val="0"/>
              <w:color w:val="auto"/>
              <w:sz w:val="22"/>
              <w:szCs w:val="22"/>
            </w:rPr>
            <w:t>is optional</w:t>
          </w:r>
          <w:r w:rsidR="007E052C">
            <w:rPr>
              <w:rFonts w:eastAsiaTheme="minorHAnsi" w:cstheme="minorBidi"/>
              <w:b w:val="0"/>
              <w:bCs w:val="0"/>
              <w:color w:val="auto"/>
              <w:sz w:val="22"/>
              <w:szCs w:val="22"/>
            </w:rPr>
            <w:t>.</w:t>
          </w:r>
          <w:r w:rsidRPr="00E44938">
            <w:rPr>
              <w:rFonts w:eastAsiaTheme="minorHAnsi" w:cstheme="minorBidi"/>
              <w:b w:val="0"/>
              <w:bCs w:val="0"/>
              <w:color w:val="auto"/>
              <w:sz w:val="22"/>
              <w:szCs w:val="22"/>
            </w:rPr>
            <w:t xml:space="preserve"> </w:t>
          </w:r>
        </w:p>
        <w:p w:rsidR="00D4394A" w:rsidRDefault="00D4394A" w:rsidP="00D4394A">
          <w:pPr>
            <w:pStyle w:val="Heading1"/>
            <w:numPr>
              <w:ilvl w:val="0"/>
              <w:numId w:val="24"/>
            </w:numPr>
            <w:spacing w:before="0"/>
            <w:ind w:left="431" w:hanging="431"/>
          </w:pPr>
          <w:bookmarkStart w:id="36" w:name="_Toc470092448"/>
          <w:r>
            <w:lastRenderedPageBreak/>
            <w:t xml:space="preserve">Overview of the </w:t>
          </w:r>
          <w:r w:rsidR="00A076BE">
            <w:t>Longford outage</w:t>
          </w:r>
          <w:bookmarkEnd w:id="36"/>
        </w:p>
        <w:p w:rsidR="00A076BE" w:rsidRDefault="00A076BE" w:rsidP="00233255">
          <w:r>
            <w:t>This section provides an overview of the events surrounding the Longford outage. A key source of information for this section was AEMO’s Intervention Report</w:t>
          </w:r>
          <w:r w:rsidR="00BC43B4">
            <w:t xml:space="preserve"> and information provided by Esso</w:t>
          </w:r>
          <w:r w:rsidR="00B352CB">
            <w:t xml:space="preserve"> as to the timing of its actions on the day</w:t>
          </w:r>
          <w:r>
            <w:t>.</w:t>
          </w:r>
          <w:r>
            <w:rPr>
              <w:rStyle w:val="FootnoteReference"/>
            </w:rPr>
            <w:footnoteReference w:id="20"/>
          </w:r>
        </w:p>
        <w:p w:rsidR="00A076BE" w:rsidRDefault="00600EDC" w:rsidP="00A076BE">
          <w:pPr>
            <w:pStyle w:val="Heading2"/>
          </w:pPr>
          <w:bookmarkStart w:id="37" w:name="_Toc470092449"/>
          <w:r>
            <w:t>Timeline of events</w:t>
          </w:r>
          <w:bookmarkEnd w:id="37"/>
        </w:p>
        <w:p w:rsidR="00901377" w:rsidRDefault="00FC3BEE" w:rsidP="00233255">
          <w:r>
            <w:t>I</w:t>
          </w:r>
          <w:r w:rsidR="00697D2E">
            <w:t xml:space="preserve">n </w:t>
          </w:r>
          <w:r w:rsidR="007E052C">
            <w:t xml:space="preserve">the </w:t>
          </w:r>
          <w:r>
            <w:t xml:space="preserve">early </w:t>
          </w:r>
          <w:r w:rsidR="007E052C">
            <w:t xml:space="preserve">morning of </w:t>
          </w:r>
          <w:r w:rsidR="00697D2E">
            <w:t xml:space="preserve">Saturday 1 October 2016, there was an unplanned total shutdown of the Longford gas production facility. The shutdown was caused by a failure of on-site </w:t>
          </w:r>
          <w:r w:rsidR="00901377">
            <w:t>electricity generation.</w:t>
          </w:r>
          <w:r w:rsidR="00061456">
            <w:t xml:space="preserve"> The last time Longford experienced a complete </w:t>
          </w:r>
          <w:r w:rsidR="00207EB6">
            <w:t xml:space="preserve">electrical </w:t>
          </w:r>
          <w:r w:rsidR="00061456">
            <w:t>shutdown was in April 2004.</w:t>
          </w:r>
          <w:r w:rsidR="00207EB6">
            <w:rPr>
              <w:rStyle w:val="FootnoteReference"/>
            </w:rPr>
            <w:footnoteReference w:id="21"/>
          </w:r>
          <w:r w:rsidR="00061456">
            <w:t xml:space="preserve"> </w:t>
          </w:r>
        </w:p>
        <w:p w:rsidR="0056435F" w:rsidRDefault="0056435F" w:rsidP="00233255">
          <w:r w:rsidRPr="00E44938">
            <w:t xml:space="preserve">Longford is powered by a number of </w:t>
          </w:r>
          <w:r w:rsidR="007E052C">
            <w:t xml:space="preserve">small </w:t>
          </w:r>
          <w:r w:rsidRPr="00E44938">
            <w:t xml:space="preserve">generators and a connection to </w:t>
          </w:r>
          <w:r w:rsidR="007E052C">
            <w:t>Ausnet Services’ electricity distribution network</w:t>
          </w:r>
          <w:r w:rsidRPr="00E44938">
            <w:t>.</w:t>
          </w:r>
          <w:r w:rsidRPr="00E44938">
            <w:rPr>
              <w:rStyle w:val="FootnoteReference"/>
            </w:rPr>
            <w:footnoteReference w:id="22"/>
          </w:r>
          <w:r w:rsidRPr="00E44938">
            <w:t xml:space="preserve"> On the day, two generators failed in quick succession. The connection to the grid was unable to supply the shortfall and </w:t>
          </w:r>
          <w:r w:rsidR="007E052C">
            <w:t xml:space="preserve">disconnected </w:t>
          </w:r>
          <w:r w:rsidRPr="00E44938">
            <w:t>as a safety mechanism</w:t>
          </w:r>
          <w:r w:rsidR="007E052C">
            <w:t>, shutting down all electrical supply to the Longford facility</w:t>
          </w:r>
          <w:r w:rsidRPr="00E44938">
            <w:t>.</w:t>
          </w:r>
          <w:r>
            <w:t xml:space="preserve"> </w:t>
          </w:r>
        </w:p>
        <w:p w:rsidR="001E3970" w:rsidRDefault="001E3970" w:rsidP="00233255">
          <w:r>
            <w:t xml:space="preserve">Longford supplies a significant amount of gas to the Victorian DTS.  </w:t>
          </w:r>
          <w:r w:rsidRPr="00B352CB">
            <w:fldChar w:fldCharType="begin"/>
          </w:r>
          <w:r w:rsidRPr="00B352CB">
            <w:instrText xml:space="preserve"> REF _Ref469487950 \h </w:instrText>
          </w:r>
          <w:r w:rsidR="00B352CB" w:rsidRPr="00B352CB">
            <w:instrText xml:space="preserve"> \* MERGEFORMAT </w:instrText>
          </w:r>
          <w:r w:rsidRPr="00B352CB">
            <w:fldChar w:fldCharType="separate"/>
          </w:r>
          <w:r w:rsidR="00D350CD" w:rsidRPr="00B352CB">
            <w:t xml:space="preserve">Figure </w:t>
          </w:r>
          <w:r w:rsidR="00D350CD" w:rsidRPr="00B352CB">
            <w:rPr>
              <w:noProof/>
            </w:rPr>
            <w:t>2</w:t>
          </w:r>
          <w:r w:rsidRPr="00B352CB">
            <w:fldChar w:fldCharType="end"/>
          </w:r>
          <w:r>
            <w:t xml:space="preserve"> below illustrates the reduction of Longfo</w:t>
          </w:r>
          <w:r w:rsidR="006531C4">
            <w:t xml:space="preserve">rd injections into the DTS, and </w:t>
          </w:r>
          <w:r>
            <w:t xml:space="preserve">the increase from other sources to help meet the supply shortfall.  It also shows Longford’s gradual ramp up to normal </w:t>
          </w:r>
          <w:r w:rsidR="00F67E15">
            <w:t>levels of supply</w:t>
          </w:r>
          <w:r w:rsidR="007E052C">
            <w:t xml:space="preserve"> from around 10</w:t>
          </w:r>
          <w:r w:rsidR="00BC43B4">
            <w:t xml:space="preserve"> </w:t>
          </w:r>
          <w:r w:rsidR="007E052C">
            <w:t>am</w:t>
          </w:r>
          <w:r>
            <w:t>.</w:t>
          </w:r>
        </w:p>
        <w:p w:rsidR="001E3970" w:rsidRDefault="001E3970" w:rsidP="001E3970">
          <w:pPr>
            <w:pStyle w:val="Caption"/>
          </w:pPr>
          <w:bookmarkStart w:id="38" w:name="_Ref469487950"/>
          <w:r>
            <w:t xml:space="preserve">Figure </w:t>
          </w:r>
          <w:fldSimple w:instr=" SEQ Figure \* ARABIC ">
            <w:r w:rsidR="00D350CD">
              <w:rPr>
                <w:noProof/>
              </w:rPr>
              <w:t>2</w:t>
            </w:r>
          </w:fldSimple>
          <w:bookmarkEnd w:id="38"/>
          <w:r>
            <w:t xml:space="preserve"> – Gas injections into the Victorian transmission network</w:t>
          </w:r>
        </w:p>
        <w:p w:rsidR="001E3970" w:rsidRDefault="00CA27BA" w:rsidP="001E3970">
          <w:r w:rsidRPr="00CA27BA">
            <w:rPr>
              <w:noProof/>
              <w:lang w:eastAsia="en-AU"/>
            </w:rPr>
            <w:drawing>
              <wp:inline distT="0" distB="0" distL="0" distR="0" wp14:anchorId="532C900A" wp14:editId="6F9EAA71">
                <wp:extent cx="5382895" cy="2277694"/>
                <wp:effectExtent l="0" t="0" r="0" b="8890"/>
                <wp:docPr id="7" name="Picture 7" descr="Figure 2 shows the metered injections sorted by facility for each hour across the gas days in Victoria around 1 October 2016 (from 6 am each day)." title="Figure 2 - Gas injections into the Victorian transmission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2895" cy="2277694"/>
                        </a:xfrm>
                        <a:prstGeom prst="rect">
                          <a:avLst/>
                        </a:prstGeom>
                        <a:noFill/>
                        <a:ln>
                          <a:noFill/>
                        </a:ln>
                      </pic:spPr>
                    </pic:pic>
                  </a:graphicData>
                </a:graphic>
              </wp:inline>
            </w:drawing>
          </w:r>
        </w:p>
        <w:p w:rsidR="003C6BE6" w:rsidRDefault="00C34023" w:rsidP="00233255">
          <w:r>
            <w:t xml:space="preserve">At 4.26 am, injections from Longford into the DTS ceased. </w:t>
          </w:r>
          <w:r w:rsidR="003C6BE6">
            <w:t>Limited injections resumed at around 4.52 am.</w:t>
          </w:r>
        </w:p>
        <w:p w:rsidR="003C6BE6" w:rsidRDefault="003C6BE6" w:rsidP="003C6BE6">
          <w:r>
            <w:t>At 5.30 am, AEMO modelled gas flows throughout the DTS. The model indicated there was no threat to system security or any potential pressure issues.</w:t>
          </w:r>
        </w:p>
        <w:p w:rsidR="00C34023" w:rsidRDefault="00C34023" w:rsidP="00233255">
          <w:r>
            <w:lastRenderedPageBreak/>
            <w:t>At 5.36 am, injections from Longford ceased again.</w:t>
          </w:r>
        </w:p>
        <w:p w:rsidR="00FF3F55" w:rsidRDefault="00FF3F55" w:rsidP="00233255">
          <w:r>
            <w:t xml:space="preserve">Over the next ten minutes or so, AEMO brought together available market data and spoke with Longford. </w:t>
          </w:r>
        </w:p>
        <w:p w:rsidR="00FF3F55" w:rsidRDefault="00FF3F55" w:rsidP="00233255">
          <w:r>
            <w:t>At 5.47 am, AEMO notified Longford</w:t>
          </w:r>
          <w:r w:rsidR="00DE155E">
            <w:rPr>
              <w:rStyle w:val="FootnoteReference"/>
            </w:rPr>
            <w:footnoteReference w:id="23"/>
          </w:r>
          <w:r>
            <w:t xml:space="preserve"> that it will implement a constraint on Longford’s total injections for the day of 514 TJ and constrain down its hourly injections to 0 TJ/h for the first three hours of the gas day (i.e. from 6 am to 9 am).</w:t>
          </w:r>
          <w:r w:rsidR="00E31B5D">
            <w:t xml:space="preserve"> Shortly after, AEMO notified the market of the Longford injection constraint using a system wide notice.</w:t>
          </w:r>
        </w:p>
        <w:p w:rsidR="000C3DAC" w:rsidRDefault="00FF3F55" w:rsidP="00233255">
          <w:r>
            <w:t xml:space="preserve">Over the next hour, AEMO spoke with </w:t>
          </w:r>
          <w:r w:rsidR="000C3DAC">
            <w:t>some of the distribution network</w:t>
          </w:r>
          <w:r w:rsidR="00207EB6">
            <w:t xml:space="preserve"> operators</w:t>
          </w:r>
          <w:r w:rsidR="000C3DAC">
            <w:t xml:space="preserve"> </w:t>
          </w:r>
          <w:r>
            <w:t xml:space="preserve">about minimum gas pressure requirements at particular parts of the network. </w:t>
          </w:r>
          <w:r w:rsidR="000C3DAC">
            <w:t xml:space="preserve">This enabled AEMO to better understand the risks of any loss of supply, and how to best manage the network to maintain system security. </w:t>
          </w:r>
        </w:p>
        <w:p w:rsidR="00DE155E" w:rsidRDefault="00B352CB" w:rsidP="00233255">
          <w:r>
            <w:t>Shortly after 6:30 am</w:t>
          </w:r>
          <w:r w:rsidR="00BC43B4">
            <w:t>,</w:t>
          </w:r>
          <w:r w:rsidR="00DE155E">
            <w:t xml:space="preserve"> Longford</w:t>
          </w:r>
          <w:r w:rsidR="00BC43B4">
            <w:t xml:space="preserve"> </w:t>
          </w:r>
          <w:r>
            <w:t xml:space="preserve">initiated </w:t>
          </w:r>
          <w:r w:rsidR="00BC43B4">
            <w:t>consult</w:t>
          </w:r>
          <w:r>
            <w:t xml:space="preserve">ation with its </w:t>
          </w:r>
          <w:r w:rsidR="00BC43B4">
            <w:t xml:space="preserve">customers </w:t>
          </w:r>
          <w:r w:rsidR="00DE155E">
            <w:t xml:space="preserve">on </w:t>
          </w:r>
          <w:r w:rsidR="00135270">
            <w:t xml:space="preserve">how much </w:t>
          </w:r>
          <w:r w:rsidR="00DE155E">
            <w:t xml:space="preserve">(scarce) </w:t>
          </w:r>
          <w:r w:rsidR="00135270">
            <w:t xml:space="preserve">gas would be </w:t>
          </w:r>
          <w:r w:rsidR="00207EB6">
            <w:t xml:space="preserve">available </w:t>
          </w:r>
          <w:r w:rsidR="00DE155E">
            <w:t>and</w:t>
          </w:r>
          <w:r w:rsidR="00135270">
            <w:t xml:space="preserve"> </w:t>
          </w:r>
          <w:r w:rsidR="00DE155E">
            <w:t xml:space="preserve">how </w:t>
          </w:r>
          <w:r w:rsidR="00207EB6">
            <w:t>it would</w:t>
          </w:r>
          <w:r w:rsidR="00DE155E">
            <w:t xml:space="preserve"> be allocated </w:t>
          </w:r>
          <w:r w:rsidR="00207EB6">
            <w:t xml:space="preserve">between </w:t>
          </w:r>
          <w:r>
            <w:t>Victoria</w:t>
          </w:r>
          <w:r w:rsidR="00DE155E">
            <w:t xml:space="preserve"> and other destinations (NSW/Tasmania)</w:t>
          </w:r>
          <w:r>
            <w:t xml:space="preserve">. </w:t>
          </w:r>
        </w:p>
        <w:p w:rsidR="00EC5C58" w:rsidRDefault="00330287" w:rsidP="00233255">
          <w:r>
            <w:t xml:space="preserve">At 7 am, Longford advised AEMO it would </w:t>
          </w:r>
          <w:r w:rsidR="000C3DAC">
            <w:t>provide</w:t>
          </w:r>
          <w:r>
            <w:t xml:space="preserve"> more accurate information</w:t>
          </w:r>
          <w:r w:rsidR="000C3DAC">
            <w:t xml:space="preserve"> about the outage</w:t>
          </w:r>
          <w:r>
            <w:t xml:space="preserve"> at 8.30 am. Longford noted it was unlikely to be </w:t>
          </w:r>
          <w:r w:rsidR="001E3970">
            <w:t xml:space="preserve">injecting at </w:t>
          </w:r>
          <w:r w:rsidR="00C34023">
            <w:t xml:space="preserve">full </w:t>
          </w:r>
          <w:r w:rsidR="001E3970">
            <w:t>capacity</w:t>
          </w:r>
          <w:r w:rsidR="00C34023">
            <w:t xml:space="preserve"> in three hours (i.e.</w:t>
          </w:r>
          <w:r w:rsidR="001E3970">
            <w:t xml:space="preserve"> at</w:t>
          </w:r>
          <w:r w:rsidR="000C3DAC">
            <w:t xml:space="preserve"> 10 am).</w:t>
          </w:r>
        </w:p>
        <w:p w:rsidR="00330287" w:rsidRDefault="00330287" w:rsidP="00233255">
          <w:r>
            <w:t>Using this information, at 7.</w:t>
          </w:r>
          <w:r w:rsidR="00733D66">
            <w:t>15</w:t>
          </w:r>
          <w:r>
            <w:t> am AEMO re-modelled the DTS. The model indicated there was potential for pressure issues at the Sale custody transfer meter at 2 pm.</w:t>
          </w:r>
        </w:p>
        <w:p w:rsidR="00901377" w:rsidRDefault="00901377" w:rsidP="00233255">
          <w:r>
            <w:t xml:space="preserve">At 8.27 am, AEMO re-modelled the DTS. At this stage AEMO had not yet received any updated constraint information from Longford. </w:t>
          </w:r>
          <w:r w:rsidR="00C34023">
            <w:t>The model indicated</w:t>
          </w:r>
          <w:r>
            <w:t xml:space="preserve"> the Sale custody transfer meter </w:t>
          </w:r>
          <w:r w:rsidR="00C34023">
            <w:t>would</w:t>
          </w:r>
          <w:r>
            <w:t xml:space="preserve"> breach contractual pressures betw</w:t>
          </w:r>
          <w:r w:rsidR="00C34023">
            <w:t>een 10 and 10.30 am. AEMO commenced preparations</w:t>
          </w:r>
          <w:r>
            <w:t xml:space="preserve"> for an ad-hoc schedule.</w:t>
          </w:r>
          <w:r w:rsidR="000C3DAC">
            <w:rPr>
              <w:rStyle w:val="FootnoteReference"/>
            </w:rPr>
            <w:footnoteReference w:id="24"/>
          </w:r>
        </w:p>
        <w:p w:rsidR="00901377" w:rsidRDefault="00901377" w:rsidP="00233255">
          <w:r>
            <w:t xml:space="preserve">At 8.32 am, Longford advised AEMO that its total capacity for the day would be 540 TJ and injections would start to ramp up </w:t>
          </w:r>
          <w:r w:rsidR="00FC3BEE">
            <w:t xml:space="preserve">from </w:t>
          </w:r>
          <w:r>
            <w:t>11 am.</w:t>
          </w:r>
          <w:r w:rsidR="00C34023">
            <w:rPr>
              <w:rStyle w:val="FootnoteReference"/>
            </w:rPr>
            <w:footnoteReference w:id="25"/>
          </w:r>
          <w:r>
            <w:t xml:space="preserve"> This quantity was to supply both the DTS and the EGP (which supplies Sydney). Longford noted it would provide the proportion of gas for each region once it had confirmed instructions from its shippers.</w:t>
          </w:r>
        </w:p>
        <w:p w:rsidR="00DC2A33" w:rsidRDefault="00DB7ACB" w:rsidP="00233255">
          <w:r>
            <w:t>At 8.37 am, Longford provided AEMO with</w:t>
          </w:r>
          <w:r w:rsidR="006624AF">
            <w:t xml:space="preserve"> an</w:t>
          </w:r>
          <w:r>
            <w:t xml:space="preserve"> estimate that 40 per cent of available capacity would be allocated to Victoria.</w:t>
          </w:r>
          <w:r>
            <w:rPr>
              <w:rStyle w:val="FootnoteReference"/>
            </w:rPr>
            <w:footnoteReference w:id="26"/>
          </w:r>
          <w:r>
            <w:t xml:space="preserve"> Longford noted </w:t>
          </w:r>
          <w:r w:rsidR="00DC2A33">
            <w:t xml:space="preserve">its estimate </w:t>
          </w:r>
          <w:r w:rsidR="00DC2A33" w:rsidRPr="00DC2A33">
            <w:t xml:space="preserve">took into account information obtained from several of </w:t>
          </w:r>
          <w:r w:rsidR="00DC2A33">
            <w:t>its</w:t>
          </w:r>
          <w:r w:rsidR="00DC2A33" w:rsidRPr="00DC2A33">
            <w:t xml:space="preserve"> customers.</w:t>
          </w:r>
          <w:r w:rsidR="00DC2A33">
            <w:rPr>
              <w:rStyle w:val="FootnoteReference"/>
            </w:rPr>
            <w:footnoteReference w:id="27"/>
          </w:r>
        </w:p>
        <w:p w:rsidR="00DC2A33" w:rsidRDefault="00901377" w:rsidP="00901377">
          <w:r>
            <w:t>At 8.40 am, AEMO declared a threat to system security. At 9.03 am, AEMO</w:t>
          </w:r>
          <w:r w:rsidR="00901858">
            <w:t xml:space="preserve"> intervened in the market by publishing</w:t>
          </w:r>
          <w:r>
            <w:t xml:space="preserve"> an ad hoc schedule for </w:t>
          </w:r>
          <w:r w:rsidR="00901858">
            <w:t xml:space="preserve">one hour period from </w:t>
          </w:r>
          <w:r>
            <w:t>9</w:t>
          </w:r>
          <w:r w:rsidR="00901858">
            <w:t xml:space="preserve"> am to </w:t>
          </w:r>
          <w:r w:rsidR="004D7FA9">
            <w:t xml:space="preserve">10 am. </w:t>
          </w:r>
        </w:p>
        <w:p w:rsidR="00901377" w:rsidRDefault="004D7FA9" w:rsidP="00901377">
          <w:r>
            <w:lastRenderedPageBreak/>
            <w:t>This ad hoc schedule acted</w:t>
          </w:r>
          <w:r w:rsidR="00901377">
            <w:t xml:space="preserve"> to revise the final hour of </w:t>
          </w:r>
          <w:r w:rsidR="00FC3BEE">
            <w:t xml:space="preserve">the </w:t>
          </w:r>
          <w:r w:rsidR="00901377">
            <w:t>previously published 6 am schedule.</w:t>
          </w:r>
          <w:r>
            <w:t xml:space="preserve"> It </w:t>
          </w:r>
          <w:r w:rsidR="006C527A">
            <w:t>incorporated the following</w:t>
          </w:r>
          <w:r>
            <w:t>:</w:t>
          </w:r>
        </w:p>
        <w:p w:rsidR="004D7FA9" w:rsidRDefault="006C527A" w:rsidP="00D140E5">
          <w:pPr>
            <w:pStyle w:val="ListParagraph"/>
            <w:numPr>
              <w:ilvl w:val="0"/>
              <w:numId w:val="27"/>
            </w:numPr>
          </w:pPr>
          <w:r>
            <w:t>A maximum daily constraint on Longford injections of 180,000 GJ</w:t>
          </w:r>
        </w:p>
        <w:p w:rsidR="004D7FA9" w:rsidRDefault="006C527A" w:rsidP="00D140E5">
          <w:pPr>
            <w:pStyle w:val="ListParagraph"/>
            <w:numPr>
              <w:ilvl w:val="0"/>
              <w:numId w:val="27"/>
            </w:numPr>
          </w:pPr>
          <w:r>
            <w:t>A constraint preventing net injections on Vichub for the day</w:t>
          </w:r>
        </w:p>
        <w:p w:rsidR="006C527A" w:rsidRDefault="006C527A" w:rsidP="00D140E5">
          <w:pPr>
            <w:pStyle w:val="ListParagraph"/>
            <w:numPr>
              <w:ilvl w:val="0"/>
              <w:numId w:val="27"/>
            </w:numPr>
          </w:pPr>
          <w:r>
            <w:t>A minimum hourly injection rate on Dandenong LNG of 5,500 GJ/hour</w:t>
          </w:r>
        </w:p>
        <w:p w:rsidR="00E44938" w:rsidRDefault="00326005" w:rsidP="004564F4">
          <w:r>
            <w:t xml:space="preserve">The change in daily quantities scheduled across impacted injection points in the DTS is set out in the Intervention Report, and is reproduced in </w:t>
          </w:r>
          <w:r>
            <w:fldChar w:fldCharType="begin"/>
          </w:r>
          <w:r>
            <w:instrText xml:space="preserve"> REF _Ref469579545 \h </w:instrText>
          </w:r>
          <w:r>
            <w:fldChar w:fldCharType="separate"/>
          </w:r>
          <w:r w:rsidR="00D350CD">
            <w:t xml:space="preserve">Table </w:t>
          </w:r>
          <w:r w:rsidR="00D350CD">
            <w:rPr>
              <w:noProof/>
            </w:rPr>
            <w:t>1</w:t>
          </w:r>
          <w:r>
            <w:fldChar w:fldCharType="end"/>
          </w:r>
          <w:r>
            <w:t>.</w:t>
          </w:r>
        </w:p>
        <w:p w:rsidR="00326005" w:rsidRDefault="00326005" w:rsidP="00326005">
          <w:pPr>
            <w:pStyle w:val="Caption"/>
          </w:pPr>
          <w:bookmarkStart w:id="39" w:name="_Ref469579545"/>
          <w:bookmarkStart w:id="40" w:name="_Ref469579540"/>
          <w:r>
            <w:t xml:space="preserve">Table </w:t>
          </w:r>
          <w:fldSimple w:instr=" SEQ Table \* ARABIC ">
            <w:r w:rsidR="00D350CD">
              <w:rPr>
                <w:noProof/>
              </w:rPr>
              <w:t>1</w:t>
            </w:r>
          </w:fldSimple>
          <w:bookmarkEnd w:id="39"/>
          <w:r>
            <w:t xml:space="preserve"> – </w:t>
          </w:r>
          <w:bookmarkEnd w:id="40"/>
          <w:r w:rsidR="00DE5454">
            <w:t>The change in injections at the ad hoc schedule</w:t>
          </w:r>
        </w:p>
        <w:tbl>
          <w:tblPr>
            <w:tblStyle w:val="AERTable-Text1"/>
            <w:tblW w:w="0" w:type="auto"/>
            <w:tblLook w:val="04A0" w:firstRow="1" w:lastRow="0" w:firstColumn="1" w:lastColumn="0" w:noHBand="0" w:noVBand="1"/>
          </w:tblPr>
          <w:tblGrid>
            <w:gridCol w:w="2173"/>
            <w:gridCol w:w="2173"/>
            <w:gridCol w:w="2173"/>
            <w:gridCol w:w="2174"/>
          </w:tblGrid>
          <w:tr w:rsidR="00326005" w:rsidTr="00326005">
            <w:trPr>
              <w:cnfStyle w:val="100000000000" w:firstRow="1" w:lastRow="0" w:firstColumn="0" w:lastColumn="0" w:oddVBand="0" w:evenVBand="0" w:oddHBand="0" w:evenHBand="0" w:firstRowFirstColumn="0" w:firstRowLastColumn="0" w:lastRowFirstColumn="0" w:lastRowLastColumn="0"/>
            </w:trPr>
            <w:tc>
              <w:tcPr>
                <w:tcW w:w="2173" w:type="dxa"/>
              </w:tcPr>
              <w:p w:rsidR="00326005" w:rsidRDefault="00326005" w:rsidP="004564F4">
                <w:r>
                  <w:t>Injection Point</w:t>
                </w:r>
              </w:p>
            </w:tc>
            <w:tc>
              <w:tcPr>
                <w:tcW w:w="2173" w:type="dxa"/>
              </w:tcPr>
              <w:p w:rsidR="00326005" w:rsidRDefault="00326005" w:rsidP="00326005">
                <w:pPr>
                  <w:jc w:val="right"/>
                </w:pPr>
                <w:r>
                  <w:t>6 am schedule quantity (GJ)</w:t>
                </w:r>
              </w:p>
            </w:tc>
            <w:tc>
              <w:tcPr>
                <w:tcW w:w="2173" w:type="dxa"/>
              </w:tcPr>
              <w:p w:rsidR="00326005" w:rsidRDefault="00326005" w:rsidP="00326005">
                <w:pPr>
                  <w:jc w:val="right"/>
                </w:pPr>
                <w:r>
                  <w:t>Ad hoc schedule quantity (GJ)</w:t>
                </w:r>
              </w:p>
            </w:tc>
            <w:tc>
              <w:tcPr>
                <w:tcW w:w="2174" w:type="dxa"/>
              </w:tcPr>
              <w:p w:rsidR="00326005" w:rsidRDefault="00326005" w:rsidP="00326005">
                <w:pPr>
                  <w:jc w:val="right"/>
                </w:pPr>
                <w:r>
                  <w:t>Difference (GJ)</w:t>
                </w:r>
              </w:p>
            </w:tc>
          </w:tr>
          <w:tr w:rsidR="00326005" w:rsidTr="00326005">
            <w:trPr>
              <w:cnfStyle w:val="000000100000" w:firstRow="0" w:lastRow="0" w:firstColumn="0" w:lastColumn="0" w:oddVBand="0" w:evenVBand="0" w:oddHBand="1" w:evenHBand="0" w:firstRowFirstColumn="0" w:firstRowLastColumn="0" w:lastRowFirstColumn="0" w:lastRowLastColumn="0"/>
            </w:trPr>
            <w:tc>
              <w:tcPr>
                <w:tcW w:w="2173" w:type="dxa"/>
              </w:tcPr>
              <w:p w:rsidR="00326005" w:rsidRPr="00326005" w:rsidRDefault="00326005" w:rsidP="004564F4">
                <w:pPr>
                  <w:rPr>
                    <w:szCs w:val="18"/>
                  </w:rPr>
                </w:pPr>
                <w:r w:rsidRPr="00326005">
                  <w:rPr>
                    <w:szCs w:val="18"/>
                  </w:rPr>
                  <w:t>Longford</w:t>
                </w:r>
              </w:p>
            </w:tc>
            <w:tc>
              <w:tcPr>
                <w:tcW w:w="2173" w:type="dxa"/>
              </w:tcPr>
              <w:p w:rsidR="00326005" w:rsidRPr="00326005" w:rsidRDefault="00326005" w:rsidP="00326005">
                <w:pPr>
                  <w:jc w:val="right"/>
                  <w:rPr>
                    <w:szCs w:val="18"/>
                  </w:rPr>
                </w:pPr>
                <w:r w:rsidRPr="00326005">
                  <w:rPr>
                    <w:szCs w:val="18"/>
                  </w:rPr>
                  <w:t>514,000</w:t>
                </w:r>
              </w:p>
            </w:tc>
            <w:tc>
              <w:tcPr>
                <w:tcW w:w="2173" w:type="dxa"/>
              </w:tcPr>
              <w:p w:rsidR="00326005" w:rsidRPr="00326005" w:rsidRDefault="00326005" w:rsidP="00326005">
                <w:pPr>
                  <w:jc w:val="right"/>
                  <w:rPr>
                    <w:szCs w:val="18"/>
                  </w:rPr>
                </w:pPr>
                <w:r w:rsidRPr="00326005">
                  <w:rPr>
                    <w:szCs w:val="18"/>
                  </w:rPr>
                  <w:t>180,000</w:t>
                </w:r>
              </w:p>
            </w:tc>
            <w:tc>
              <w:tcPr>
                <w:tcW w:w="2174" w:type="dxa"/>
              </w:tcPr>
              <w:p w:rsidR="00326005" w:rsidRPr="00326005" w:rsidRDefault="00326005" w:rsidP="00326005">
                <w:pPr>
                  <w:jc w:val="right"/>
                  <w:rPr>
                    <w:szCs w:val="18"/>
                  </w:rPr>
                </w:pPr>
                <w:r w:rsidRPr="00326005">
                  <w:rPr>
                    <w:szCs w:val="18"/>
                  </w:rPr>
                  <w:t>-334,000</w:t>
                </w:r>
              </w:p>
            </w:tc>
          </w:tr>
          <w:tr w:rsidR="00326005" w:rsidTr="00326005">
            <w:trPr>
              <w:cnfStyle w:val="000000010000" w:firstRow="0" w:lastRow="0" w:firstColumn="0" w:lastColumn="0" w:oddVBand="0" w:evenVBand="0" w:oddHBand="0" w:evenHBand="1" w:firstRowFirstColumn="0" w:firstRowLastColumn="0" w:lastRowFirstColumn="0" w:lastRowLastColumn="0"/>
            </w:trPr>
            <w:tc>
              <w:tcPr>
                <w:tcW w:w="2173" w:type="dxa"/>
              </w:tcPr>
              <w:p w:rsidR="00326005" w:rsidRPr="00326005" w:rsidRDefault="00326005" w:rsidP="004564F4">
                <w:pPr>
                  <w:rPr>
                    <w:sz w:val="18"/>
                    <w:szCs w:val="18"/>
                  </w:rPr>
                </w:pPr>
                <w:r w:rsidRPr="00326005">
                  <w:rPr>
                    <w:sz w:val="18"/>
                    <w:szCs w:val="18"/>
                  </w:rPr>
                  <w:t>Dandenong LNG</w:t>
                </w:r>
              </w:p>
            </w:tc>
            <w:tc>
              <w:tcPr>
                <w:tcW w:w="2173" w:type="dxa"/>
              </w:tcPr>
              <w:p w:rsidR="00326005" w:rsidRPr="00326005" w:rsidRDefault="00326005" w:rsidP="00326005">
                <w:pPr>
                  <w:jc w:val="right"/>
                  <w:rPr>
                    <w:sz w:val="18"/>
                    <w:szCs w:val="18"/>
                  </w:rPr>
                </w:pPr>
                <w:r w:rsidRPr="00326005">
                  <w:rPr>
                    <w:sz w:val="18"/>
                    <w:szCs w:val="18"/>
                  </w:rPr>
                  <w:t>1,751</w:t>
                </w:r>
              </w:p>
            </w:tc>
            <w:tc>
              <w:tcPr>
                <w:tcW w:w="2173" w:type="dxa"/>
              </w:tcPr>
              <w:p w:rsidR="00326005" w:rsidRPr="00326005" w:rsidRDefault="00326005" w:rsidP="00326005">
                <w:pPr>
                  <w:jc w:val="right"/>
                  <w:rPr>
                    <w:sz w:val="18"/>
                    <w:szCs w:val="18"/>
                  </w:rPr>
                </w:pPr>
                <w:r w:rsidRPr="00326005">
                  <w:rPr>
                    <w:sz w:val="18"/>
                    <w:szCs w:val="18"/>
                  </w:rPr>
                  <w:t>115,719</w:t>
                </w:r>
              </w:p>
            </w:tc>
            <w:tc>
              <w:tcPr>
                <w:tcW w:w="2174" w:type="dxa"/>
              </w:tcPr>
              <w:p w:rsidR="00326005" w:rsidRPr="00326005" w:rsidRDefault="00326005" w:rsidP="00326005">
                <w:pPr>
                  <w:jc w:val="right"/>
                  <w:rPr>
                    <w:sz w:val="18"/>
                    <w:szCs w:val="18"/>
                  </w:rPr>
                </w:pPr>
                <w:r w:rsidRPr="00326005">
                  <w:rPr>
                    <w:sz w:val="18"/>
                    <w:szCs w:val="18"/>
                  </w:rPr>
                  <w:t>113,968</w:t>
                </w:r>
              </w:p>
            </w:tc>
          </w:tr>
          <w:tr w:rsidR="00326005" w:rsidTr="00326005">
            <w:trPr>
              <w:cnfStyle w:val="000000100000" w:firstRow="0" w:lastRow="0" w:firstColumn="0" w:lastColumn="0" w:oddVBand="0" w:evenVBand="0" w:oddHBand="1" w:evenHBand="0" w:firstRowFirstColumn="0" w:firstRowLastColumn="0" w:lastRowFirstColumn="0" w:lastRowLastColumn="0"/>
            </w:trPr>
            <w:tc>
              <w:tcPr>
                <w:tcW w:w="2173" w:type="dxa"/>
              </w:tcPr>
              <w:p w:rsidR="00326005" w:rsidRPr="00326005" w:rsidRDefault="00326005" w:rsidP="004564F4">
                <w:pPr>
                  <w:rPr>
                    <w:szCs w:val="18"/>
                  </w:rPr>
                </w:pPr>
                <w:r w:rsidRPr="00326005">
                  <w:rPr>
                    <w:szCs w:val="18"/>
                  </w:rPr>
                  <w:t>Culcairn</w:t>
                </w:r>
              </w:p>
            </w:tc>
            <w:tc>
              <w:tcPr>
                <w:tcW w:w="2173" w:type="dxa"/>
              </w:tcPr>
              <w:p w:rsidR="00326005" w:rsidRPr="00326005" w:rsidRDefault="00326005" w:rsidP="00326005">
                <w:pPr>
                  <w:jc w:val="right"/>
                  <w:rPr>
                    <w:szCs w:val="18"/>
                  </w:rPr>
                </w:pPr>
                <w:r w:rsidRPr="00326005">
                  <w:rPr>
                    <w:szCs w:val="18"/>
                  </w:rPr>
                  <w:t>13,027</w:t>
                </w:r>
              </w:p>
            </w:tc>
            <w:tc>
              <w:tcPr>
                <w:tcW w:w="2173" w:type="dxa"/>
              </w:tcPr>
              <w:p w:rsidR="00326005" w:rsidRPr="00326005" w:rsidRDefault="00326005" w:rsidP="00326005">
                <w:pPr>
                  <w:jc w:val="right"/>
                  <w:rPr>
                    <w:szCs w:val="18"/>
                  </w:rPr>
                </w:pPr>
                <w:r w:rsidRPr="00326005">
                  <w:rPr>
                    <w:szCs w:val="18"/>
                  </w:rPr>
                  <w:t>86,235</w:t>
                </w:r>
              </w:p>
            </w:tc>
            <w:tc>
              <w:tcPr>
                <w:tcW w:w="2174" w:type="dxa"/>
              </w:tcPr>
              <w:p w:rsidR="00326005" w:rsidRPr="00326005" w:rsidRDefault="00326005" w:rsidP="00326005">
                <w:pPr>
                  <w:jc w:val="right"/>
                  <w:rPr>
                    <w:szCs w:val="18"/>
                  </w:rPr>
                </w:pPr>
                <w:r w:rsidRPr="00326005">
                  <w:rPr>
                    <w:szCs w:val="18"/>
                  </w:rPr>
                  <w:t>73,208</w:t>
                </w:r>
              </w:p>
            </w:tc>
          </w:tr>
          <w:tr w:rsidR="00326005" w:rsidTr="00326005">
            <w:trPr>
              <w:cnfStyle w:val="000000010000" w:firstRow="0" w:lastRow="0" w:firstColumn="0" w:lastColumn="0" w:oddVBand="0" w:evenVBand="0" w:oddHBand="0" w:evenHBand="1" w:firstRowFirstColumn="0" w:firstRowLastColumn="0" w:lastRowFirstColumn="0" w:lastRowLastColumn="0"/>
            </w:trPr>
            <w:tc>
              <w:tcPr>
                <w:tcW w:w="2173" w:type="dxa"/>
              </w:tcPr>
              <w:p w:rsidR="00326005" w:rsidRPr="00326005" w:rsidRDefault="00326005" w:rsidP="004564F4">
                <w:pPr>
                  <w:rPr>
                    <w:sz w:val="18"/>
                    <w:szCs w:val="18"/>
                  </w:rPr>
                </w:pPr>
                <w:r w:rsidRPr="00326005">
                  <w:rPr>
                    <w:sz w:val="18"/>
                    <w:szCs w:val="18"/>
                  </w:rPr>
                  <w:t>Iona storage</w:t>
                </w:r>
              </w:p>
            </w:tc>
            <w:tc>
              <w:tcPr>
                <w:tcW w:w="2173" w:type="dxa"/>
              </w:tcPr>
              <w:p w:rsidR="00326005" w:rsidRPr="00326005" w:rsidRDefault="00326005" w:rsidP="00326005">
                <w:pPr>
                  <w:jc w:val="right"/>
                  <w:rPr>
                    <w:sz w:val="18"/>
                    <w:szCs w:val="18"/>
                  </w:rPr>
                </w:pPr>
                <w:r w:rsidRPr="00326005">
                  <w:rPr>
                    <w:sz w:val="18"/>
                    <w:szCs w:val="18"/>
                  </w:rPr>
                  <w:t>30,898</w:t>
                </w:r>
              </w:p>
            </w:tc>
            <w:tc>
              <w:tcPr>
                <w:tcW w:w="2173" w:type="dxa"/>
              </w:tcPr>
              <w:p w:rsidR="00326005" w:rsidRPr="00326005" w:rsidRDefault="00326005" w:rsidP="00326005">
                <w:pPr>
                  <w:jc w:val="right"/>
                  <w:rPr>
                    <w:sz w:val="18"/>
                    <w:szCs w:val="18"/>
                  </w:rPr>
                </w:pPr>
                <w:r w:rsidRPr="00326005">
                  <w:rPr>
                    <w:sz w:val="18"/>
                    <w:szCs w:val="18"/>
                  </w:rPr>
                  <w:t>178,271</w:t>
                </w:r>
              </w:p>
            </w:tc>
            <w:tc>
              <w:tcPr>
                <w:tcW w:w="2174" w:type="dxa"/>
              </w:tcPr>
              <w:p w:rsidR="00326005" w:rsidRPr="00326005" w:rsidRDefault="00326005" w:rsidP="00326005">
                <w:pPr>
                  <w:jc w:val="right"/>
                  <w:rPr>
                    <w:sz w:val="18"/>
                    <w:szCs w:val="18"/>
                  </w:rPr>
                </w:pPr>
                <w:r w:rsidRPr="00326005">
                  <w:rPr>
                    <w:sz w:val="18"/>
                    <w:szCs w:val="18"/>
                  </w:rPr>
                  <w:t>147,373</w:t>
                </w:r>
              </w:p>
            </w:tc>
          </w:tr>
          <w:tr w:rsidR="00326005" w:rsidTr="00326005">
            <w:trPr>
              <w:cnfStyle w:val="000000100000" w:firstRow="0" w:lastRow="0" w:firstColumn="0" w:lastColumn="0" w:oddVBand="0" w:evenVBand="0" w:oddHBand="1" w:evenHBand="0" w:firstRowFirstColumn="0" w:firstRowLastColumn="0" w:lastRowFirstColumn="0" w:lastRowLastColumn="0"/>
            </w:trPr>
            <w:tc>
              <w:tcPr>
                <w:tcW w:w="2173" w:type="dxa"/>
              </w:tcPr>
              <w:p w:rsidR="00326005" w:rsidRPr="00326005" w:rsidRDefault="00326005" w:rsidP="004564F4">
                <w:pPr>
                  <w:rPr>
                    <w:szCs w:val="18"/>
                  </w:rPr>
                </w:pPr>
                <w:r w:rsidRPr="00326005">
                  <w:rPr>
                    <w:szCs w:val="18"/>
                  </w:rPr>
                  <w:t>VicHub</w:t>
                </w:r>
              </w:p>
            </w:tc>
            <w:tc>
              <w:tcPr>
                <w:tcW w:w="2173" w:type="dxa"/>
              </w:tcPr>
              <w:p w:rsidR="00326005" w:rsidRPr="00326005" w:rsidRDefault="00326005" w:rsidP="00326005">
                <w:pPr>
                  <w:jc w:val="right"/>
                  <w:rPr>
                    <w:szCs w:val="18"/>
                  </w:rPr>
                </w:pPr>
                <w:r w:rsidRPr="00326005">
                  <w:rPr>
                    <w:szCs w:val="18"/>
                  </w:rPr>
                  <w:t>33,000</w:t>
                </w:r>
              </w:p>
            </w:tc>
            <w:tc>
              <w:tcPr>
                <w:tcW w:w="2173" w:type="dxa"/>
              </w:tcPr>
              <w:p w:rsidR="00326005" w:rsidRPr="00326005" w:rsidRDefault="00326005" w:rsidP="00326005">
                <w:pPr>
                  <w:jc w:val="right"/>
                  <w:rPr>
                    <w:szCs w:val="18"/>
                  </w:rPr>
                </w:pPr>
                <w:r w:rsidRPr="00326005">
                  <w:rPr>
                    <w:szCs w:val="18"/>
                  </w:rPr>
                  <w:t>7,029</w:t>
                </w:r>
              </w:p>
            </w:tc>
            <w:tc>
              <w:tcPr>
                <w:tcW w:w="2174" w:type="dxa"/>
              </w:tcPr>
              <w:p w:rsidR="00326005" w:rsidRPr="00326005" w:rsidRDefault="00326005" w:rsidP="00326005">
                <w:pPr>
                  <w:jc w:val="right"/>
                  <w:rPr>
                    <w:szCs w:val="18"/>
                  </w:rPr>
                </w:pPr>
                <w:r w:rsidRPr="00326005">
                  <w:rPr>
                    <w:szCs w:val="18"/>
                  </w:rPr>
                  <w:t>-25,971</w:t>
                </w:r>
              </w:p>
            </w:tc>
          </w:tr>
          <w:tr w:rsidR="00326005" w:rsidTr="00326005">
            <w:trPr>
              <w:cnfStyle w:val="000000010000" w:firstRow="0" w:lastRow="0" w:firstColumn="0" w:lastColumn="0" w:oddVBand="0" w:evenVBand="0" w:oddHBand="0" w:evenHBand="1" w:firstRowFirstColumn="0" w:firstRowLastColumn="0" w:lastRowFirstColumn="0" w:lastRowLastColumn="0"/>
            </w:trPr>
            <w:tc>
              <w:tcPr>
                <w:tcW w:w="2173" w:type="dxa"/>
              </w:tcPr>
              <w:p w:rsidR="00326005" w:rsidRPr="00326005" w:rsidRDefault="00326005" w:rsidP="004564F4">
                <w:pPr>
                  <w:rPr>
                    <w:sz w:val="18"/>
                    <w:szCs w:val="18"/>
                  </w:rPr>
                </w:pPr>
                <w:r w:rsidRPr="00326005">
                  <w:rPr>
                    <w:sz w:val="18"/>
                    <w:szCs w:val="18"/>
                  </w:rPr>
                  <w:t>SEA Gas</w:t>
                </w:r>
              </w:p>
            </w:tc>
            <w:tc>
              <w:tcPr>
                <w:tcW w:w="2173" w:type="dxa"/>
              </w:tcPr>
              <w:p w:rsidR="00326005" w:rsidRPr="00326005" w:rsidRDefault="00326005" w:rsidP="00326005">
                <w:pPr>
                  <w:jc w:val="right"/>
                  <w:rPr>
                    <w:sz w:val="18"/>
                    <w:szCs w:val="18"/>
                  </w:rPr>
                </w:pPr>
                <w:r w:rsidRPr="00326005">
                  <w:rPr>
                    <w:sz w:val="18"/>
                    <w:szCs w:val="18"/>
                  </w:rPr>
                  <w:t>28,001</w:t>
                </w:r>
              </w:p>
            </w:tc>
            <w:tc>
              <w:tcPr>
                <w:tcW w:w="2173" w:type="dxa"/>
              </w:tcPr>
              <w:p w:rsidR="00326005" w:rsidRPr="00326005" w:rsidRDefault="00326005" w:rsidP="00326005">
                <w:pPr>
                  <w:jc w:val="right"/>
                  <w:rPr>
                    <w:sz w:val="18"/>
                    <w:szCs w:val="18"/>
                  </w:rPr>
                </w:pPr>
                <w:r w:rsidRPr="00326005">
                  <w:rPr>
                    <w:sz w:val="18"/>
                    <w:szCs w:val="18"/>
                  </w:rPr>
                  <w:t>37,001</w:t>
                </w:r>
              </w:p>
            </w:tc>
            <w:tc>
              <w:tcPr>
                <w:tcW w:w="2174" w:type="dxa"/>
              </w:tcPr>
              <w:p w:rsidR="00326005" w:rsidRPr="00326005" w:rsidRDefault="00326005" w:rsidP="00326005">
                <w:pPr>
                  <w:jc w:val="right"/>
                  <w:rPr>
                    <w:sz w:val="18"/>
                    <w:szCs w:val="18"/>
                  </w:rPr>
                </w:pPr>
                <w:r w:rsidRPr="00326005">
                  <w:rPr>
                    <w:sz w:val="18"/>
                    <w:szCs w:val="18"/>
                  </w:rPr>
                  <w:t>9,000</w:t>
                </w:r>
              </w:p>
            </w:tc>
          </w:tr>
        </w:tbl>
        <w:p w:rsidR="004564F4" w:rsidRPr="00E44938" w:rsidRDefault="00E44938" w:rsidP="004564F4">
          <w:r>
            <w:br/>
          </w:r>
          <w:r w:rsidR="00901858">
            <w:t>The ad hoc schedule instructed participants to inject gas mostly from the Dandenong LNG and Iona storage facilities</w:t>
          </w:r>
          <w:r w:rsidR="00901858" w:rsidRPr="00E44938">
            <w:t xml:space="preserve">. The out of merit injections from storage facilities commenced as early as 6 am but were escalated at 9 am around the time AEMO had announced a threat to system security. </w:t>
          </w:r>
          <w:r w:rsidR="004564F4" w:rsidRPr="00E44938">
            <w:t>The ad-hoc schedule nominations of gas injections from storage facilities replaced the original 6 am scheduled injections from the Longford plant that were expected to begin at 9 am. The ad-hoc schedule was used to calculate financial settlements for the entire 6–10 am trading schedule.</w:t>
          </w:r>
        </w:p>
        <w:p w:rsidR="006C527A" w:rsidRDefault="004564F4" w:rsidP="004564F4">
          <w:r w:rsidRPr="00E44938">
            <w:t>At 9.54 am, AEMO approved the 10 am schedule</w:t>
          </w:r>
          <w:r w:rsidR="00DE155E">
            <w:t xml:space="preserve"> which incorporated information from Esso as to the customer allocation ‘split’ between principally NSW and Victoria. </w:t>
          </w:r>
          <w:r w:rsidRPr="00E44938">
            <w:t>The 10 am schedule</w:t>
          </w:r>
          <w:r w:rsidR="006C527A" w:rsidRPr="00E44938">
            <w:t xml:space="preserve"> incorporated:</w:t>
          </w:r>
        </w:p>
        <w:p w:rsidR="006C527A" w:rsidRDefault="006C527A" w:rsidP="00D140E5">
          <w:pPr>
            <w:pStyle w:val="ListParagraph"/>
            <w:numPr>
              <w:ilvl w:val="0"/>
              <w:numId w:val="27"/>
            </w:numPr>
          </w:pPr>
          <w:r>
            <w:t xml:space="preserve">Longford’s maximum daily injections increased from 180,000 GJ to 220,000 GJ </w:t>
          </w:r>
        </w:p>
        <w:p w:rsidR="006C527A" w:rsidRDefault="00A81051" w:rsidP="00D140E5">
          <w:pPr>
            <w:pStyle w:val="ListParagraph"/>
            <w:numPr>
              <w:ilvl w:val="0"/>
              <w:numId w:val="27"/>
            </w:numPr>
          </w:pPr>
          <w:r>
            <w:t xml:space="preserve">Dandenong LNG’s minimum hourly injection rate </w:t>
          </w:r>
          <w:r w:rsidR="006C527A">
            <w:t>increase</w:t>
          </w:r>
          <w:r>
            <w:t xml:space="preserve">d from 5,500 GJ to 8,000 GJ from </w:t>
          </w:r>
          <w:r w:rsidR="006C527A">
            <w:t>10 am to 2 pm (unconstrained for the rest of the day).</w:t>
          </w:r>
        </w:p>
        <w:p w:rsidR="00326005" w:rsidRDefault="00326005" w:rsidP="00326005">
          <w:r>
            <w:t xml:space="preserve">The change in daily quantities scheduled across impacted injection points in the DTS resulting from the 10 am schedule is set out in the Intervention Report, and is reproduced below in </w:t>
          </w:r>
          <w:r w:rsidR="00D93AA4">
            <w:fldChar w:fldCharType="begin"/>
          </w:r>
          <w:r w:rsidR="00D93AA4">
            <w:instrText xml:space="preserve"> REF _Ref470098197 \h </w:instrText>
          </w:r>
          <w:r w:rsidR="00D93AA4">
            <w:fldChar w:fldCharType="separate"/>
          </w:r>
          <w:r w:rsidR="00D93AA4">
            <w:t xml:space="preserve">Table </w:t>
          </w:r>
          <w:r w:rsidR="00D93AA4">
            <w:rPr>
              <w:noProof/>
            </w:rPr>
            <w:t>2</w:t>
          </w:r>
          <w:r w:rsidR="00D93AA4">
            <w:fldChar w:fldCharType="end"/>
          </w:r>
          <w:r w:rsidR="00FC3BEE">
            <w:t xml:space="preserve"> </w:t>
          </w:r>
          <w:r>
            <w:t>below.</w:t>
          </w:r>
        </w:p>
        <w:p w:rsidR="00326005" w:rsidRDefault="00326005" w:rsidP="00326005">
          <w:pPr>
            <w:pStyle w:val="Caption"/>
          </w:pPr>
          <w:bookmarkStart w:id="41" w:name="_Ref470098197"/>
          <w:r>
            <w:lastRenderedPageBreak/>
            <w:t xml:space="preserve">Table </w:t>
          </w:r>
          <w:fldSimple w:instr=" SEQ Table \* ARABIC ">
            <w:r w:rsidR="00D350CD">
              <w:rPr>
                <w:noProof/>
              </w:rPr>
              <w:t>2</w:t>
            </w:r>
          </w:fldSimple>
          <w:bookmarkEnd w:id="41"/>
          <w:r>
            <w:t xml:space="preserve"> – </w:t>
          </w:r>
          <w:r w:rsidR="00DE5454">
            <w:t>The change in injections at the 10 am schedule</w:t>
          </w:r>
        </w:p>
        <w:tbl>
          <w:tblPr>
            <w:tblStyle w:val="AERTable-Text1"/>
            <w:tblW w:w="0" w:type="auto"/>
            <w:tblLook w:val="04A0" w:firstRow="1" w:lastRow="0" w:firstColumn="1" w:lastColumn="0" w:noHBand="0" w:noVBand="1"/>
          </w:tblPr>
          <w:tblGrid>
            <w:gridCol w:w="2173"/>
            <w:gridCol w:w="2173"/>
            <w:gridCol w:w="2173"/>
            <w:gridCol w:w="2174"/>
          </w:tblGrid>
          <w:tr w:rsidR="00326005" w:rsidTr="00326005">
            <w:trPr>
              <w:cnfStyle w:val="100000000000" w:firstRow="1" w:lastRow="0" w:firstColumn="0" w:lastColumn="0" w:oddVBand="0" w:evenVBand="0" w:oddHBand="0" w:evenHBand="0" w:firstRowFirstColumn="0" w:firstRowLastColumn="0" w:lastRowFirstColumn="0" w:lastRowLastColumn="0"/>
            </w:trPr>
            <w:tc>
              <w:tcPr>
                <w:tcW w:w="2173" w:type="dxa"/>
              </w:tcPr>
              <w:p w:rsidR="00326005" w:rsidRDefault="00326005" w:rsidP="00326005">
                <w:r>
                  <w:t>Injection Point</w:t>
                </w:r>
              </w:p>
            </w:tc>
            <w:tc>
              <w:tcPr>
                <w:tcW w:w="2173" w:type="dxa"/>
              </w:tcPr>
              <w:p w:rsidR="00326005" w:rsidRDefault="00326005" w:rsidP="00326005">
                <w:pPr>
                  <w:jc w:val="right"/>
                </w:pPr>
                <w:r>
                  <w:t>6 am schedule quantity (GJ)</w:t>
                </w:r>
              </w:p>
            </w:tc>
            <w:tc>
              <w:tcPr>
                <w:tcW w:w="2173" w:type="dxa"/>
              </w:tcPr>
              <w:p w:rsidR="00326005" w:rsidRDefault="00326005" w:rsidP="00326005">
                <w:pPr>
                  <w:jc w:val="right"/>
                </w:pPr>
                <w:r>
                  <w:t>Ad hoc schedule quantity (GJ)</w:t>
                </w:r>
              </w:p>
            </w:tc>
            <w:tc>
              <w:tcPr>
                <w:tcW w:w="2174" w:type="dxa"/>
              </w:tcPr>
              <w:p w:rsidR="00326005" w:rsidRDefault="00326005" w:rsidP="00326005">
                <w:pPr>
                  <w:jc w:val="right"/>
                </w:pPr>
                <w:r>
                  <w:t>Difference (GJ)</w:t>
                </w:r>
              </w:p>
            </w:tc>
          </w:tr>
          <w:tr w:rsidR="0089225D" w:rsidTr="00326005">
            <w:trPr>
              <w:cnfStyle w:val="000000100000" w:firstRow="0" w:lastRow="0" w:firstColumn="0" w:lastColumn="0" w:oddVBand="0" w:evenVBand="0" w:oddHBand="1" w:evenHBand="0" w:firstRowFirstColumn="0" w:firstRowLastColumn="0" w:lastRowFirstColumn="0" w:lastRowLastColumn="0"/>
            </w:trPr>
            <w:tc>
              <w:tcPr>
                <w:tcW w:w="2173" w:type="dxa"/>
              </w:tcPr>
              <w:p w:rsidR="0089225D" w:rsidRPr="00326005" w:rsidRDefault="0089225D" w:rsidP="00326005">
                <w:pPr>
                  <w:rPr>
                    <w:szCs w:val="18"/>
                  </w:rPr>
                </w:pPr>
                <w:r w:rsidRPr="00326005">
                  <w:rPr>
                    <w:szCs w:val="18"/>
                  </w:rPr>
                  <w:t>Longford</w:t>
                </w:r>
              </w:p>
            </w:tc>
            <w:tc>
              <w:tcPr>
                <w:tcW w:w="2173" w:type="dxa"/>
              </w:tcPr>
              <w:p w:rsidR="0089225D" w:rsidRPr="00326005" w:rsidRDefault="0089225D" w:rsidP="00C74B6A">
                <w:pPr>
                  <w:jc w:val="right"/>
                  <w:rPr>
                    <w:szCs w:val="18"/>
                  </w:rPr>
                </w:pPr>
                <w:r w:rsidRPr="00326005">
                  <w:rPr>
                    <w:szCs w:val="18"/>
                  </w:rPr>
                  <w:t>180,000</w:t>
                </w:r>
              </w:p>
            </w:tc>
            <w:tc>
              <w:tcPr>
                <w:tcW w:w="2173" w:type="dxa"/>
              </w:tcPr>
              <w:p w:rsidR="0089225D" w:rsidRPr="00326005" w:rsidRDefault="0089225D" w:rsidP="00326005">
                <w:pPr>
                  <w:jc w:val="right"/>
                  <w:rPr>
                    <w:szCs w:val="18"/>
                  </w:rPr>
                </w:pPr>
                <w:r>
                  <w:rPr>
                    <w:szCs w:val="18"/>
                  </w:rPr>
                  <w:t>220,000</w:t>
                </w:r>
              </w:p>
            </w:tc>
            <w:tc>
              <w:tcPr>
                <w:tcW w:w="2174" w:type="dxa"/>
              </w:tcPr>
              <w:p w:rsidR="0089225D" w:rsidRPr="00326005" w:rsidRDefault="0089225D" w:rsidP="00326005">
                <w:pPr>
                  <w:jc w:val="right"/>
                  <w:rPr>
                    <w:szCs w:val="18"/>
                  </w:rPr>
                </w:pPr>
                <w:r>
                  <w:rPr>
                    <w:szCs w:val="18"/>
                  </w:rPr>
                  <w:t>40,000</w:t>
                </w:r>
              </w:p>
            </w:tc>
          </w:tr>
          <w:tr w:rsidR="0089225D" w:rsidTr="00326005">
            <w:trPr>
              <w:cnfStyle w:val="000000010000" w:firstRow="0" w:lastRow="0" w:firstColumn="0" w:lastColumn="0" w:oddVBand="0" w:evenVBand="0" w:oddHBand="0" w:evenHBand="1" w:firstRowFirstColumn="0" w:firstRowLastColumn="0" w:lastRowFirstColumn="0" w:lastRowLastColumn="0"/>
            </w:trPr>
            <w:tc>
              <w:tcPr>
                <w:tcW w:w="2173" w:type="dxa"/>
              </w:tcPr>
              <w:p w:rsidR="0089225D" w:rsidRPr="00326005" w:rsidRDefault="0089225D" w:rsidP="00326005">
                <w:pPr>
                  <w:rPr>
                    <w:sz w:val="18"/>
                    <w:szCs w:val="18"/>
                  </w:rPr>
                </w:pPr>
                <w:r w:rsidRPr="00326005">
                  <w:rPr>
                    <w:sz w:val="18"/>
                    <w:szCs w:val="18"/>
                  </w:rPr>
                  <w:t>Dandenong LNG</w:t>
                </w:r>
              </w:p>
            </w:tc>
            <w:tc>
              <w:tcPr>
                <w:tcW w:w="2173" w:type="dxa"/>
              </w:tcPr>
              <w:p w:rsidR="0089225D" w:rsidRPr="00326005" w:rsidRDefault="0089225D" w:rsidP="00C74B6A">
                <w:pPr>
                  <w:jc w:val="right"/>
                  <w:rPr>
                    <w:sz w:val="18"/>
                    <w:szCs w:val="18"/>
                  </w:rPr>
                </w:pPr>
                <w:r w:rsidRPr="00326005">
                  <w:rPr>
                    <w:sz w:val="18"/>
                    <w:szCs w:val="18"/>
                  </w:rPr>
                  <w:t>115,719</w:t>
                </w:r>
              </w:p>
            </w:tc>
            <w:tc>
              <w:tcPr>
                <w:tcW w:w="2173" w:type="dxa"/>
              </w:tcPr>
              <w:p w:rsidR="0089225D" w:rsidRPr="00326005" w:rsidRDefault="0089225D" w:rsidP="00326005">
                <w:pPr>
                  <w:jc w:val="right"/>
                  <w:rPr>
                    <w:sz w:val="18"/>
                    <w:szCs w:val="18"/>
                  </w:rPr>
                </w:pPr>
                <w:r>
                  <w:rPr>
                    <w:sz w:val="18"/>
                    <w:szCs w:val="18"/>
                  </w:rPr>
                  <w:t>75,287</w:t>
                </w:r>
              </w:p>
            </w:tc>
            <w:tc>
              <w:tcPr>
                <w:tcW w:w="2174" w:type="dxa"/>
              </w:tcPr>
              <w:p w:rsidR="0089225D" w:rsidRPr="00326005" w:rsidRDefault="0089225D" w:rsidP="00326005">
                <w:pPr>
                  <w:jc w:val="right"/>
                  <w:rPr>
                    <w:sz w:val="18"/>
                    <w:szCs w:val="18"/>
                  </w:rPr>
                </w:pPr>
                <w:r>
                  <w:rPr>
                    <w:sz w:val="18"/>
                    <w:szCs w:val="18"/>
                  </w:rPr>
                  <w:t>-40,432</w:t>
                </w:r>
              </w:p>
            </w:tc>
          </w:tr>
          <w:tr w:rsidR="0089225D" w:rsidTr="00326005">
            <w:trPr>
              <w:cnfStyle w:val="000000100000" w:firstRow="0" w:lastRow="0" w:firstColumn="0" w:lastColumn="0" w:oddVBand="0" w:evenVBand="0" w:oddHBand="1" w:evenHBand="0" w:firstRowFirstColumn="0" w:firstRowLastColumn="0" w:lastRowFirstColumn="0" w:lastRowLastColumn="0"/>
            </w:trPr>
            <w:tc>
              <w:tcPr>
                <w:tcW w:w="2173" w:type="dxa"/>
              </w:tcPr>
              <w:p w:rsidR="0089225D" w:rsidRPr="00326005" w:rsidRDefault="0089225D" w:rsidP="00326005">
                <w:pPr>
                  <w:rPr>
                    <w:szCs w:val="18"/>
                  </w:rPr>
                </w:pPr>
                <w:r w:rsidRPr="00326005">
                  <w:rPr>
                    <w:szCs w:val="18"/>
                  </w:rPr>
                  <w:t>Culcairn</w:t>
                </w:r>
              </w:p>
            </w:tc>
            <w:tc>
              <w:tcPr>
                <w:tcW w:w="2173" w:type="dxa"/>
              </w:tcPr>
              <w:p w:rsidR="0089225D" w:rsidRPr="00326005" w:rsidRDefault="0089225D" w:rsidP="00C74B6A">
                <w:pPr>
                  <w:jc w:val="right"/>
                  <w:rPr>
                    <w:szCs w:val="18"/>
                  </w:rPr>
                </w:pPr>
                <w:r w:rsidRPr="00326005">
                  <w:rPr>
                    <w:szCs w:val="18"/>
                  </w:rPr>
                  <w:t>86,235</w:t>
                </w:r>
              </w:p>
            </w:tc>
            <w:tc>
              <w:tcPr>
                <w:tcW w:w="2173" w:type="dxa"/>
              </w:tcPr>
              <w:p w:rsidR="0089225D" w:rsidRPr="00326005" w:rsidRDefault="0089225D" w:rsidP="00326005">
                <w:pPr>
                  <w:jc w:val="right"/>
                  <w:rPr>
                    <w:szCs w:val="18"/>
                  </w:rPr>
                </w:pPr>
                <w:r>
                  <w:rPr>
                    <w:szCs w:val="18"/>
                  </w:rPr>
                  <w:t>56,011</w:t>
                </w:r>
              </w:p>
            </w:tc>
            <w:tc>
              <w:tcPr>
                <w:tcW w:w="2174" w:type="dxa"/>
              </w:tcPr>
              <w:p w:rsidR="0089225D" w:rsidRPr="00326005" w:rsidRDefault="0089225D" w:rsidP="00326005">
                <w:pPr>
                  <w:jc w:val="right"/>
                  <w:rPr>
                    <w:szCs w:val="18"/>
                  </w:rPr>
                </w:pPr>
                <w:r>
                  <w:rPr>
                    <w:szCs w:val="18"/>
                  </w:rPr>
                  <w:t>-30,224</w:t>
                </w:r>
              </w:p>
            </w:tc>
          </w:tr>
          <w:tr w:rsidR="0089225D" w:rsidTr="00326005">
            <w:trPr>
              <w:cnfStyle w:val="000000010000" w:firstRow="0" w:lastRow="0" w:firstColumn="0" w:lastColumn="0" w:oddVBand="0" w:evenVBand="0" w:oddHBand="0" w:evenHBand="1" w:firstRowFirstColumn="0" w:firstRowLastColumn="0" w:lastRowFirstColumn="0" w:lastRowLastColumn="0"/>
            </w:trPr>
            <w:tc>
              <w:tcPr>
                <w:tcW w:w="2173" w:type="dxa"/>
              </w:tcPr>
              <w:p w:rsidR="0089225D" w:rsidRPr="00326005" w:rsidRDefault="0089225D" w:rsidP="00326005">
                <w:pPr>
                  <w:rPr>
                    <w:sz w:val="18"/>
                    <w:szCs w:val="18"/>
                  </w:rPr>
                </w:pPr>
                <w:r w:rsidRPr="00326005">
                  <w:rPr>
                    <w:sz w:val="18"/>
                    <w:szCs w:val="18"/>
                  </w:rPr>
                  <w:t>Iona storage</w:t>
                </w:r>
              </w:p>
            </w:tc>
            <w:tc>
              <w:tcPr>
                <w:tcW w:w="2173" w:type="dxa"/>
              </w:tcPr>
              <w:p w:rsidR="0089225D" w:rsidRPr="00326005" w:rsidRDefault="0089225D" w:rsidP="00C74B6A">
                <w:pPr>
                  <w:jc w:val="right"/>
                  <w:rPr>
                    <w:sz w:val="18"/>
                    <w:szCs w:val="18"/>
                  </w:rPr>
                </w:pPr>
                <w:r w:rsidRPr="00326005">
                  <w:rPr>
                    <w:sz w:val="18"/>
                    <w:szCs w:val="18"/>
                  </w:rPr>
                  <w:t>178,271</w:t>
                </w:r>
              </w:p>
            </w:tc>
            <w:tc>
              <w:tcPr>
                <w:tcW w:w="2173" w:type="dxa"/>
              </w:tcPr>
              <w:p w:rsidR="0089225D" w:rsidRPr="00326005" w:rsidRDefault="0089225D" w:rsidP="00326005">
                <w:pPr>
                  <w:jc w:val="right"/>
                  <w:rPr>
                    <w:sz w:val="18"/>
                    <w:szCs w:val="18"/>
                  </w:rPr>
                </w:pPr>
                <w:r>
                  <w:rPr>
                    <w:sz w:val="18"/>
                    <w:szCs w:val="18"/>
                  </w:rPr>
                  <w:t>203,271</w:t>
                </w:r>
              </w:p>
            </w:tc>
            <w:tc>
              <w:tcPr>
                <w:tcW w:w="2174" w:type="dxa"/>
              </w:tcPr>
              <w:p w:rsidR="0089225D" w:rsidRPr="00326005" w:rsidRDefault="0089225D" w:rsidP="00326005">
                <w:pPr>
                  <w:jc w:val="right"/>
                  <w:rPr>
                    <w:sz w:val="18"/>
                    <w:szCs w:val="18"/>
                  </w:rPr>
                </w:pPr>
                <w:r>
                  <w:rPr>
                    <w:sz w:val="18"/>
                    <w:szCs w:val="18"/>
                  </w:rPr>
                  <w:t>25,000</w:t>
                </w:r>
              </w:p>
            </w:tc>
          </w:tr>
          <w:tr w:rsidR="0089225D" w:rsidTr="00326005">
            <w:trPr>
              <w:cnfStyle w:val="000000100000" w:firstRow="0" w:lastRow="0" w:firstColumn="0" w:lastColumn="0" w:oddVBand="0" w:evenVBand="0" w:oddHBand="1" w:evenHBand="0" w:firstRowFirstColumn="0" w:firstRowLastColumn="0" w:lastRowFirstColumn="0" w:lastRowLastColumn="0"/>
            </w:trPr>
            <w:tc>
              <w:tcPr>
                <w:tcW w:w="2173" w:type="dxa"/>
              </w:tcPr>
              <w:p w:rsidR="0089225D" w:rsidRPr="00326005" w:rsidRDefault="0089225D" w:rsidP="00326005">
                <w:pPr>
                  <w:rPr>
                    <w:szCs w:val="18"/>
                  </w:rPr>
                </w:pPr>
                <w:r w:rsidRPr="00326005">
                  <w:rPr>
                    <w:szCs w:val="18"/>
                  </w:rPr>
                  <w:t>VicHub</w:t>
                </w:r>
              </w:p>
            </w:tc>
            <w:tc>
              <w:tcPr>
                <w:tcW w:w="2173" w:type="dxa"/>
              </w:tcPr>
              <w:p w:rsidR="0089225D" w:rsidRPr="00326005" w:rsidRDefault="0089225D" w:rsidP="00C74B6A">
                <w:pPr>
                  <w:jc w:val="right"/>
                  <w:rPr>
                    <w:szCs w:val="18"/>
                  </w:rPr>
                </w:pPr>
                <w:r w:rsidRPr="00326005">
                  <w:rPr>
                    <w:szCs w:val="18"/>
                  </w:rPr>
                  <w:t>7,029</w:t>
                </w:r>
              </w:p>
            </w:tc>
            <w:tc>
              <w:tcPr>
                <w:tcW w:w="2173" w:type="dxa"/>
              </w:tcPr>
              <w:p w:rsidR="0089225D" w:rsidRPr="00326005" w:rsidRDefault="0089225D" w:rsidP="00326005">
                <w:pPr>
                  <w:jc w:val="right"/>
                  <w:rPr>
                    <w:szCs w:val="18"/>
                  </w:rPr>
                </w:pPr>
                <w:r>
                  <w:rPr>
                    <w:szCs w:val="18"/>
                  </w:rPr>
                  <w:t>5,129</w:t>
                </w:r>
              </w:p>
            </w:tc>
            <w:tc>
              <w:tcPr>
                <w:tcW w:w="2174" w:type="dxa"/>
              </w:tcPr>
              <w:p w:rsidR="0089225D" w:rsidRPr="00326005" w:rsidRDefault="0089225D" w:rsidP="00326005">
                <w:pPr>
                  <w:jc w:val="right"/>
                  <w:rPr>
                    <w:szCs w:val="18"/>
                  </w:rPr>
                </w:pPr>
                <w:r>
                  <w:rPr>
                    <w:szCs w:val="18"/>
                  </w:rPr>
                  <w:t>-1,900</w:t>
                </w:r>
              </w:p>
            </w:tc>
          </w:tr>
          <w:tr w:rsidR="0089225D" w:rsidTr="00326005">
            <w:trPr>
              <w:cnfStyle w:val="000000010000" w:firstRow="0" w:lastRow="0" w:firstColumn="0" w:lastColumn="0" w:oddVBand="0" w:evenVBand="0" w:oddHBand="0" w:evenHBand="1" w:firstRowFirstColumn="0" w:firstRowLastColumn="0" w:lastRowFirstColumn="0" w:lastRowLastColumn="0"/>
            </w:trPr>
            <w:tc>
              <w:tcPr>
                <w:tcW w:w="2173" w:type="dxa"/>
              </w:tcPr>
              <w:p w:rsidR="0089225D" w:rsidRPr="00326005" w:rsidRDefault="0089225D" w:rsidP="00326005">
                <w:pPr>
                  <w:rPr>
                    <w:sz w:val="18"/>
                    <w:szCs w:val="18"/>
                  </w:rPr>
                </w:pPr>
                <w:r w:rsidRPr="00326005">
                  <w:rPr>
                    <w:sz w:val="18"/>
                    <w:szCs w:val="18"/>
                  </w:rPr>
                  <w:t>SEA Gas</w:t>
                </w:r>
              </w:p>
            </w:tc>
            <w:tc>
              <w:tcPr>
                <w:tcW w:w="2173" w:type="dxa"/>
              </w:tcPr>
              <w:p w:rsidR="0089225D" w:rsidRPr="00326005" w:rsidRDefault="0089225D" w:rsidP="00C74B6A">
                <w:pPr>
                  <w:jc w:val="right"/>
                  <w:rPr>
                    <w:sz w:val="18"/>
                    <w:szCs w:val="18"/>
                  </w:rPr>
                </w:pPr>
                <w:r w:rsidRPr="00326005">
                  <w:rPr>
                    <w:sz w:val="18"/>
                    <w:szCs w:val="18"/>
                  </w:rPr>
                  <w:t>37,001</w:t>
                </w:r>
              </w:p>
            </w:tc>
            <w:tc>
              <w:tcPr>
                <w:tcW w:w="2173" w:type="dxa"/>
              </w:tcPr>
              <w:p w:rsidR="0089225D" w:rsidRPr="00326005" w:rsidRDefault="0089225D" w:rsidP="00326005">
                <w:pPr>
                  <w:jc w:val="right"/>
                  <w:rPr>
                    <w:sz w:val="18"/>
                    <w:szCs w:val="18"/>
                  </w:rPr>
                </w:pPr>
                <w:r>
                  <w:rPr>
                    <w:sz w:val="18"/>
                    <w:szCs w:val="18"/>
                  </w:rPr>
                  <w:t>29,001</w:t>
                </w:r>
              </w:p>
            </w:tc>
            <w:tc>
              <w:tcPr>
                <w:tcW w:w="2174" w:type="dxa"/>
              </w:tcPr>
              <w:p w:rsidR="0089225D" w:rsidRPr="00326005" w:rsidRDefault="0089225D" w:rsidP="00326005">
                <w:pPr>
                  <w:jc w:val="right"/>
                  <w:rPr>
                    <w:sz w:val="18"/>
                    <w:szCs w:val="18"/>
                  </w:rPr>
                </w:pPr>
                <w:r>
                  <w:rPr>
                    <w:sz w:val="18"/>
                    <w:szCs w:val="18"/>
                  </w:rPr>
                  <w:t>-8,000</w:t>
                </w:r>
              </w:p>
            </w:tc>
          </w:tr>
        </w:tbl>
        <w:p w:rsidR="0069086D" w:rsidRDefault="00A076BE" w:rsidP="0069086D">
          <w:pPr>
            <w:pStyle w:val="Heading2"/>
          </w:pPr>
          <w:bookmarkStart w:id="42" w:name="_Toc470092450"/>
          <w:r>
            <w:t>F</w:t>
          </w:r>
          <w:r w:rsidR="00600EDC">
            <w:t>inancial outcomes</w:t>
          </w:r>
          <w:bookmarkEnd w:id="42"/>
        </w:p>
        <w:p w:rsidR="00A81051" w:rsidRDefault="00622DD4" w:rsidP="00D75197">
          <w:r>
            <w:t>This section addresses</w:t>
          </w:r>
          <w:r w:rsidR="00A81051">
            <w:t xml:space="preserve"> the impact of the Longford outage on gas prices, and ancillary/uplift payments and imbalance/deviation payments.</w:t>
          </w:r>
        </w:p>
        <w:p w:rsidR="00FE6D96" w:rsidRDefault="00A81051" w:rsidP="00E31B5D">
          <w:pPr>
            <w:pStyle w:val="Heading3notnumbered"/>
          </w:pPr>
          <w:bookmarkStart w:id="43" w:name="_Toc470092451"/>
          <w:r>
            <w:t>Victorian gas prices</w:t>
          </w:r>
          <w:bookmarkEnd w:id="43"/>
        </w:p>
        <w:p w:rsidR="009B05C8" w:rsidRDefault="009B05C8" w:rsidP="00FE6D96">
          <w:r w:rsidRPr="009B05C8">
            <w:fldChar w:fldCharType="begin"/>
          </w:r>
          <w:r w:rsidRPr="009B05C8">
            <w:instrText xml:space="preserve"> REF _Ref469660749 \h </w:instrText>
          </w:r>
          <w:r>
            <w:instrText xml:space="preserve"> \* MERGEFORMAT </w:instrText>
          </w:r>
          <w:r w:rsidRPr="009B05C8">
            <w:fldChar w:fldCharType="separate"/>
          </w:r>
          <w:r w:rsidR="00D350CD">
            <w:t xml:space="preserve">Table </w:t>
          </w:r>
          <w:r w:rsidR="00D350CD">
            <w:rPr>
              <w:noProof/>
            </w:rPr>
            <w:t>3</w:t>
          </w:r>
          <w:r w:rsidRPr="009B05C8">
            <w:fldChar w:fldCharType="end"/>
          </w:r>
          <w:r w:rsidRPr="009B05C8">
            <w:t xml:space="preserve"> </w:t>
          </w:r>
          <w:r>
            <w:t xml:space="preserve">below </w:t>
          </w:r>
          <w:r w:rsidR="00D93AA4">
            <w:t>shows</w:t>
          </w:r>
          <w:r>
            <w:t xml:space="preserve"> </w:t>
          </w:r>
          <w:r w:rsidR="00D93AA4">
            <w:t xml:space="preserve">the </w:t>
          </w:r>
          <w:r>
            <w:t xml:space="preserve">gas prices across the day and the weighted average imbalance price. </w:t>
          </w:r>
        </w:p>
        <w:p w:rsidR="00FE6D96" w:rsidRDefault="00FE6D96" w:rsidP="00FE6D96">
          <w:pPr>
            <w:pStyle w:val="Caption"/>
          </w:pPr>
          <w:bookmarkStart w:id="44" w:name="_Ref469660749"/>
          <w:r>
            <w:t xml:space="preserve">Table </w:t>
          </w:r>
          <w:fldSimple w:instr=" SEQ Table \* ARABIC ">
            <w:r w:rsidR="00D350CD">
              <w:rPr>
                <w:noProof/>
              </w:rPr>
              <w:t>3</w:t>
            </w:r>
          </w:fldSimple>
          <w:bookmarkEnd w:id="44"/>
          <w:r>
            <w:t xml:space="preserve"> – Prices across the gas day</w:t>
          </w:r>
        </w:p>
        <w:tbl>
          <w:tblPr>
            <w:tblStyle w:val="AERTable-Text1"/>
            <w:tblW w:w="0" w:type="auto"/>
            <w:tblLook w:val="04A0" w:firstRow="1" w:lastRow="0" w:firstColumn="1" w:lastColumn="0" w:noHBand="0" w:noVBand="1"/>
          </w:tblPr>
          <w:tblGrid>
            <w:gridCol w:w="1206"/>
            <w:gridCol w:w="1255"/>
            <w:gridCol w:w="1306"/>
            <w:gridCol w:w="1260"/>
            <w:gridCol w:w="1260"/>
            <w:gridCol w:w="1211"/>
            <w:gridCol w:w="1195"/>
          </w:tblGrid>
          <w:tr w:rsidR="00FE6D96" w:rsidTr="00FE6D96">
            <w:trPr>
              <w:cnfStyle w:val="100000000000" w:firstRow="1" w:lastRow="0" w:firstColumn="0" w:lastColumn="0" w:oddVBand="0" w:evenVBand="0" w:oddHBand="0" w:evenHBand="0" w:firstRowFirstColumn="0" w:firstRowLastColumn="0" w:lastRowFirstColumn="0" w:lastRowLastColumn="0"/>
            </w:trPr>
            <w:tc>
              <w:tcPr>
                <w:tcW w:w="1206" w:type="dxa"/>
              </w:tcPr>
              <w:p w:rsidR="00FE6D96" w:rsidRDefault="00FE6D96" w:rsidP="00A81051"/>
            </w:tc>
            <w:tc>
              <w:tcPr>
                <w:tcW w:w="1255" w:type="dxa"/>
              </w:tcPr>
              <w:p w:rsidR="00FE6D96" w:rsidRDefault="00FE6D96" w:rsidP="00A81051">
                <w:r>
                  <w:t>6 am</w:t>
                </w:r>
              </w:p>
            </w:tc>
            <w:tc>
              <w:tcPr>
                <w:tcW w:w="1306" w:type="dxa"/>
              </w:tcPr>
              <w:p w:rsidR="00FE6D96" w:rsidRDefault="00FE6D96" w:rsidP="00A81051">
                <w:r>
                  <w:t>10 am</w:t>
                </w:r>
              </w:p>
            </w:tc>
            <w:tc>
              <w:tcPr>
                <w:tcW w:w="1260" w:type="dxa"/>
              </w:tcPr>
              <w:p w:rsidR="00FE6D96" w:rsidRDefault="00FE6D96" w:rsidP="00A81051">
                <w:r>
                  <w:t>2 pm</w:t>
                </w:r>
              </w:p>
            </w:tc>
            <w:tc>
              <w:tcPr>
                <w:tcW w:w="1260" w:type="dxa"/>
              </w:tcPr>
              <w:p w:rsidR="00FE6D96" w:rsidRDefault="00FE6D96" w:rsidP="00A81051">
                <w:r>
                  <w:t>6 pm</w:t>
                </w:r>
              </w:p>
            </w:tc>
            <w:tc>
              <w:tcPr>
                <w:tcW w:w="1211" w:type="dxa"/>
              </w:tcPr>
              <w:p w:rsidR="00FE6D96" w:rsidRDefault="00FE6D96" w:rsidP="00A81051">
                <w:r>
                  <w:t>10 pm</w:t>
                </w:r>
              </w:p>
            </w:tc>
            <w:tc>
              <w:tcPr>
                <w:tcW w:w="1195" w:type="dxa"/>
              </w:tcPr>
              <w:p w:rsidR="00FE6D96" w:rsidRDefault="00FE6D96" w:rsidP="00A81051">
                <w:r>
                  <w:t>Imbalance price (weighted average)</w:t>
                </w:r>
              </w:p>
            </w:tc>
          </w:tr>
          <w:tr w:rsidR="00FE6D96" w:rsidTr="00FE6D96">
            <w:trPr>
              <w:cnfStyle w:val="000000100000" w:firstRow="0" w:lastRow="0" w:firstColumn="0" w:lastColumn="0" w:oddVBand="0" w:evenVBand="0" w:oddHBand="1" w:evenHBand="0" w:firstRowFirstColumn="0" w:firstRowLastColumn="0" w:lastRowFirstColumn="0" w:lastRowLastColumn="0"/>
            </w:trPr>
            <w:tc>
              <w:tcPr>
                <w:tcW w:w="1206" w:type="dxa"/>
              </w:tcPr>
              <w:p w:rsidR="00FE6D96" w:rsidRDefault="00FE6D96" w:rsidP="00A81051">
                <w:r>
                  <w:t>Price ($/GJ)</w:t>
                </w:r>
              </w:p>
            </w:tc>
            <w:tc>
              <w:tcPr>
                <w:tcW w:w="1255" w:type="dxa"/>
              </w:tcPr>
              <w:p w:rsidR="00FE6D96" w:rsidRPr="00D927FD" w:rsidRDefault="00FE6D96" w:rsidP="0023087C">
                <w:r>
                  <w:t>10.88</w:t>
                </w:r>
              </w:p>
            </w:tc>
            <w:tc>
              <w:tcPr>
                <w:tcW w:w="1306" w:type="dxa"/>
              </w:tcPr>
              <w:p w:rsidR="00FE6D96" w:rsidRPr="00D927FD" w:rsidRDefault="00FE6D96" w:rsidP="0023087C">
                <w:r w:rsidRPr="00D927FD">
                  <w:t>33.75</w:t>
                </w:r>
              </w:p>
            </w:tc>
            <w:tc>
              <w:tcPr>
                <w:tcW w:w="1260" w:type="dxa"/>
              </w:tcPr>
              <w:p w:rsidR="00FE6D96" w:rsidRPr="00D927FD" w:rsidRDefault="00FE6D96" w:rsidP="0023087C">
                <w:r>
                  <w:t>12.06</w:t>
                </w:r>
              </w:p>
            </w:tc>
            <w:tc>
              <w:tcPr>
                <w:tcW w:w="1260" w:type="dxa"/>
              </w:tcPr>
              <w:p w:rsidR="00FE6D96" w:rsidRPr="00D927FD" w:rsidRDefault="00FE6D96" w:rsidP="0023087C">
                <w:r w:rsidRPr="00D927FD">
                  <w:t>9.99</w:t>
                </w:r>
              </w:p>
            </w:tc>
            <w:tc>
              <w:tcPr>
                <w:tcW w:w="1211" w:type="dxa"/>
              </w:tcPr>
              <w:p w:rsidR="00FE6D96" w:rsidRDefault="00FE6D96" w:rsidP="0023087C">
                <w:r>
                  <w:t>12.29</w:t>
                </w:r>
              </w:p>
            </w:tc>
            <w:tc>
              <w:tcPr>
                <w:tcW w:w="1195" w:type="dxa"/>
              </w:tcPr>
              <w:p w:rsidR="00FE6D96" w:rsidRDefault="00FE6D96" w:rsidP="00A81051">
                <w:r>
                  <w:t>13.64</w:t>
                </w:r>
              </w:p>
            </w:tc>
          </w:tr>
        </w:tbl>
        <w:p w:rsidR="006036AA" w:rsidRDefault="00622DD4" w:rsidP="00A81051">
          <w:r>
            <w:br/>
          </w:r>
          <w:r w:rsidR="006036AA">
            <w:t>The gas price at the beginning of the day (6 am) was $10.88/GJ. The price was determined using participants’ bids to inject and withdraw gas</w:t>
          </w:r>
          <w:r w:rsidR="00326EEF">
            <w:t xml:space="preserve"> which had a submission cut-off time of 5 am. At this stage participants were not aware of the issues at Longford. </w:t>
          </w:r>
        </w:p>
        <w:p w:rsidR="00620F21" w:rsidRDefault="00D63152" w:rsidP="00A81051">
          <w:r>
            <w:t xml:space="preserve">The 10 am price of $33.75/GJ was largely driven by the Longford outage. </w:t>
          </w:r>
          <w:r w:rsidR="00620F21">
            <w:t xml:space="preserve">With Longford unable to provide gas, other supply sources needed to supply the shortfall. This resulted in higher priced gas being scheduled. </w:t>
          </w:r>
        </w:p>
        <w:p w:rsidR="00620F21" w:rsidRDefault="00620F21" w:rsidP="00A81051">
          <w:r>
            <w:t>We have considered whether participants rebid supply into higher prices at this time. Analysis indicates that this was not the case. In fact, for the 10 am schedule, there was more gas available at lower prices compared to the 6 am schedule</w:t>
          </w:r>
          <w:r w:rsidR="00300470">
            <w:t xml:space="preserve"> (however significant quantities were to be supplied from Longford which could not be scheduled)</w:t>
          </w:r>
          <w:r>
            <w:t>. Demand was also lower, which helped mitigate further price rises.</w:t>
          </w:r>
          <w:r w:rsidR="00132CF6">
            <w:t xml:space="preserve"> </w:t>
          </w:r>
          <w:r w:rsidR="00132CF6" w:rsidRPr="00E44938">
            <w:t xml:space="preserve">Price rises were also </w:t>
          </w:r>
          <w:r w:rsidR="00132CF6" w:rsidRPr="00E44938">
            <w:lastRenderedPageBreak/>
            <w:t>mitigated as</w:t>
          </w:r>
          <w:r w:rsidR="00132CF6" w:rsidRPr="00132CF6">
            <w:t xml:space="preserve"> </w:t>
          </w:r>
          <w:r w:rsidR="00132CF6" w:rsidRPr="00E44938">
            <w:t>participants’ forecast demand in aggregate was less than their actual demand on the day.</w:t>
          </w:r>
          <w:r w:rsidR="00132CF6">
            <w:rPr>
              <w:rStyle w:val="FootnoteReference"/>
            </w:rPr>
            <w:footnoteReference w:id="28"/>
          </w:r>
          <w:r w:rsidR="00132CF6">
            <w:t xml:space="preserve"> </w:t>
          </w:r>
        </w:p>
        <w:p w:rsidR="00A81051" w:rsidRDefault="00620F21" w:rsidP="00A81051">
          <w:r>
            <w:t xml:space="preserve">From the 2 pm schedule onwards, gas prices returned to </w:t>
          </w:r>
          <w:r w:rsidR="00E31B5D">
            <w:t xml:space="preserve">‘normal’ levels. This was driven by more gas being offered into the market at lower prices (particularly from SEA Gas and Iona) and further reductions in demand. </w:t>
          </w:r>
        </w:p>
        <w:p w:rsidR="00E21041" w:rsidRDefault="00E21041" w:rsidP="00E21041">
          <w:pPr>
            <w:pStyle w:val="Heading3notnumbered"/>
          </w:pPr>
          <w:bookmarkStart w:id="45" w:name="_Toc470092452"/>
          <w:r>
            <w:t>Imbalance and deviation payments</w:t>
          </w:r>
          <w:bookmarkEnd w:id="45"/>
        </w:p>
        <w:p w:rsidR="00E21041" w:rsidRDefault="00E21041" w:rsidP="00E21041">
          <w:r>
            <w:t xml:space="preserve">Imbalance payments are calculated at each schedule throughout the gas day and are designed to account for </w:t>
          </w:r>
          <w:r w:rsidR="00FC3BEE">
            <w:t xml:space="preserve">circumstances </w:t>
          </w:r>
          <w:r>
            <w:t>when a market participant’s scheduled injections and withdrawals are out of balance (i.e. the participant is a net injector or a net withdrawer).</w:t>
          </w:r>
          <w:r w:rsidR="0052704E">
            <w:t xml:space="preserve"> Deviation payments are designed to account for when a market participant deviates from AEMO’s schedule.</w:t>
          </w:r>
          <w:r w:rsidR="0052704E">
            <w:rPr>
              <w:rStyle w:val="FootnoteReference"/>
            </w:rPr>
            <w:footnoteReference w:id="29"/>
          </w:r>
        </w:p>
        <w:p w:rsidR="000E5B1E" w:rsidRDefault="0052704E" w:rsidP="002F7406">
          <w:r>
            <w:t>AEMO’s ad hoc schedule</w:t>
          </w:r>
          <w:r w:rsidR="001C6B85">
            <w:t xml:space="preserve"> would have influenced the imbalances and deviations of market participants.</w:t>
          </w:r>
        </w:p>
        <w:p w:rsidR="00300470" w:rsidRDefault="000E5B1E" w:rsidP="002F7406">
          <w:r>
            <w:t xml:space="preserve">We note, however, that the ad hoc schedule was </w:t>
          </w:r>
          <w:r w:rsidR="00300470">
            <w:t>governed by the</w:t>
          </w:r>
          <w:r>
            <w:t xml:space="preserve"> bids submitted by participants. </w:t>
          </w:r>
          <w:r w:rsidR="00300470">
            <w:t>We understand the ad hoc schedule did not instruct participants to do anything beyond what was contemplated in these bids.</w:t>
          </w:r>
          <w:r w:rsidR="00300470">
            <w:rPr>
              <w:rStyle w:val="FootnoteReference"/>
            </w:rPr>
            <w:footnoteReference w:id="30"/>
          </w:r>
        </w:p>
        <w:p w:rsidR="000E5B1E" w:rsidRDefault="00D634B1" w:rsidP="002F7406">
          <w:r w:rsidRPr="00E44938">
            <w:t xml:space="preserve">We are </w:t>
          </w:r>
          <w:r w:rsidR="00FC3BEE">
            <w:t>satisfied</w:t>
          </w:r>
          <w:r w:rsidRPr="00E44938">
            <w:t xml:space="preserve"> that AEMO prepared and published the ad hoc schedule in accordance with its obligations.</w:t>
          </w:r>
          <w:r>
            <w:t xml:space="preserve">  </w:t>
          </w:r>
        </w:p>
        <w:p w:rsidR="0052704E" w:rsidRDefault="00040D80" w:rsidP="002F7406">
          <w:r>
            <w:t xml:space="preserve">The gas price for the 10 am schedule was $33.75/GJ. This price is used to calculate deviation payments for the 6 am schedule, and imbalance payments for the 10 am schedule. </w:t>
          </w:r>
        </w:p>
        <w:p w:rsidR="00E21041" w:rsidRDefault="00E21041" w:rsidP="00E21041">
          <w:r w:rsidRPr="00E20E2C">
            <w:t xml:space="preserve">In its </w:t>
          </w:r>
          <w:r>
            <w:t>Intervention R</w:t>
          </w:r>
          <w:r w:rsidRPr="00E20E2C">
            <w:t xml:space="preserve">eport, AEMO notes that without the ad-hoc schedule, participants scheduled to inject gas from Longford would have been required to pay a large amount of deviation payments calculated at </w:t>
          </w:r>
          <w:r w:rsidR="00C72B8E">
            <w:t>the 10 am price of $33.75</w:t>
          </w:r>
          <w:r w:rsidR="00135270">
            <w:t>/GJ</w:t>
          </w:r>
          <w:r w:rsidR="00C72B8E">
            <w:t>.</w:t>
          </w:r>
        </w:p>
        <w:p w:rsidR="00E21041" w:rsidRDefault="00C72B8E" w:rsidP="00C72B8E">
          <w:r>
            <w:t xml:space="preserve">The report also notes these </w:t>
          </w:r>
          <w:r w:rsidR="00E21041" w:rsidRPr="00E20E2C">
            <w:t>deviation payments would have funded a substantial portion of the outstanding linepack account and some of the total uplift payments (via surprise uplift) for the day.</w:t>
          </w:r>
          <w:r w:rsidR="00E21041" w:rsidRPr="00E20E2C">
            <w:rPr>
              <w:rStyle w:val="FootnoteReference"/>
            </w:rPr>
            <w:footnoteReference w:id="31"/>
          </w:r>
        </w:p>
        <w:p w:rsidR="00A81051" w:rsidRDefault="00A81051" w:rsidP="00600EDC">
          <w:pPr>
            <w:pStyle w:val="Heading3notnumbered"/>
          </w:pPr>
          <w:bookmarkStart w:id="46" w:name="_Toc470092453"/>
          <w:r>
            <w:t>A</w:t>
          </w:r>
          <w:r w:rsidR="00563711">
            <w:t xml:space="preserve">ncillary and </w:t>
          </w:r>
          <w:r>
            <w:t>uplift payments</w:t>
          </w:r>
          <w:bookmarkEnd w:id="46"/>
        </w:p>
        <w:p w:rsidR="00C67C40" w:rsidRDefault="00C67C40" w:rsidP="00D75197">
          <w:r>
            <w:t xml:space="preserve">Ancillary payments are made to market participants when they are given </w:t>
          </w:r>
          <w:r w:rsidRPr="00C91EF4">
            <w:t>a scheduling instruction</w:t>
          </w:r>
          <w:r>
            <w:t xml:space="preserve"> by AEMO</w:t>
          </w:r>
          <w:r w:rsidRPr="00C91EF4">
            <w:t xml:space="preserve"> to inject or withdraw more gas than t</w:t>
          </w:r>
          <w:r>
            <w:t>hey were</w:t>
          </w:r>
          <w:r w:rsidRPr="00C91EF4">
            <w:t xml:space="preserve"> </w:t>
          </w:r>
          <w:r w:rsidR="00C72B8E">
            <w:t xml:space="preserve">originally </w:t>
          </w:r>
          <w:r w:rsidRPr="00C91EF4">
            <w:t>scheduled</w:t>
          </w:r>
          <w:r>
            <w:t>. Ancillary payments are funded by uplift payments. Appendix B explains the different kinds of uplift payments and other related information.</w:t>
          </w:r>
        </w:p>
        <w:p w:rsidR="00300470" w:rsidRPr="00300470" w:rsidRDefault="00C72B8E" w:rsidP="00C72B8E">
          <w:r w:rsidRPr="00300470">
            <w:lastRenderedPageBreak/>
            <w:t>The Longford outage did not result in any retail or industrial customer curtailment</w:t>
          </w:r>
          <w:r w:rsidR="000D677E" w:rsidRPr="00300470">
            <w:t xml:space="preserve"> directed by AEMO</w:t>
          </w:r>
          <w:r w:rsidRPr="00300470">
            <w:t>.</w:t>
          </w:r>
          <w:r w:rsidR="000D677E" w:rsidRPr="00300470">
            <w:t xml:space="preserve"> </w:t>
          </w:r>
          <w:r w:rsidR="00FC3BEE">
            <w:t>There was, however,</w:t>
          </w:r>
          <w:r w:rsidR="00300470" w:rsidRPr="00300470">
            <w:t xml:space="preserve"> some limited instances of market participants asking </w:t>
          </w:r>
          <w:r w:rsidR="00300470">
            <w:t xml:space="preserve">their </w:t>
          </w:r>
          <w:r w:rsidR="00300470" w:rsidRPr="00300470">
            <w:t>customers to curtail load to reduce market exposure on the day as could be expected on a</w:t>
          </w:r>
          <w:r w:rsidR="00300470">
            <w:t>ny</w:t>
          </w:r>
          <w:r w:rsidR="00300470" w:rsidRPr="00300470">
            <w:t xml:space="preserve"> higher price day.</w:t>
          </w:r>
        </w:p>
        <w:p w:rsidR="00C72B8E" w:rsidRDefault="00C72B8E" w:rsidP="00D75197">
          <w:r w:rsidRPr="00E44938">
            <w:t>Ancillary payments were generated across the market as gas was scheduled out of merit order including from Dandenong LNG.</w:t>
          </w:r>
        </w:p>
        <w:p w:rsidR="00D75197" w:rsidRDefault="00282390" w:rsidP="00D75197">
          <w:r>
            <w:t xml:space="preserve">Total ancillary payments across the market for the gas day </w:t>
          </w:r>
          <w:r w:rsidR="00A81051">
            <w:t>totalled</w:t>
          </w:r>
          <w:r>
            <w:t xml:space="preserve"> $3,103,145.43.</w:t>
          </w:r>
          <w:r w:rsidR="00D75197">
            <w:rPr>
              <w:rStyle w:val="FootnoteReference"/>
            </w:rPr>
            <w:footnoteReference w:id="32"/>
          </w:r>
          <w:r w:rsidR="00D75197">
            <w:t xml:space="preserve"> </w:t>
          </w:r>
          <w:r w:rsidR="00D30787">
            <w:t>The allocation of this amount</w:t>
          </w:r>
          <w:r w:rsidR="00D75197">
            <w:t xml:space="preserve"> between uplift payment types is outlined in </w:t>
          </w:r>
          <w:r w:rsidR="00CB552D">
            <w:fldChar w:fldCharType="begin"/>
          </w:r>
          <w:r w:rsidR="00CB552D">
            <w:instrText xml:space="preserve"> REF _Ref469579765 \h </w:instrText>
          </w:r>
          <w:r w:rsidR="00CB552D">
            <w:fldChar w:fldCharType="separate"/>
          </w:r>
          <w:r w:rsidR="00CB552D">
            <w:t xml:space="preserve">Table </w:t>
          </w:r>
          <w:r w:rsidR="00CB552D">
            <w:rPr>
              <w:noProof/>
            </w:rPr>
            <w:t>4</w:t>
          </w:r>
          <w:r w:rsidR="00CB552D">
            <w:fldChar w:fldCharType="end"/>
          </w:r>
          <w:r w:rsidR="00D75197">
            <w:t xml:space="preserve"> below.</w:t>
          </w:r>
          <w:r w:rsidR="00D75197">
            <w:rPr>
              <w:rStyle w:val="FootnoteReference"/>
            </w:rPr>
            <w:footnoteReference w:id="33"/>
          </w:r>
        </w:p>
        <w:p w:rsidR="00D75197" w:rsidRDefault="00D75197" w:rsidP="00D75197">
          <w:pPr>
            <w:pStyle w:val="Caption"/>
          </w:pPr>
          <w:bookmarkStart w:id="47" w:name="_Ref469579765"/>
          <w:r>
            <w:t xml:space="preserve">Table </w:t>
          </w:r>
          <w:fldSimple w:instr=" SEQ Table \* ARABIC ">
            <w:r w:rsidR="00D350CD">
              <w:rPr>
                <w:noProof/>
              </w:rPr>
              <w:t>4</w:t>
            </w:r>
          </w:fldSimple>
          <w:bookmarkEnd w:id="47"/>
          <w:r w:rsidR="00683D85">
            <w:t xml:space="preserve"> – </w:t>
          </w:r>
          <w:r>
            <w:t>Allocation of ancillary payments</w:t>
          </w:r>
        </w:p>
        <w:tbl>
          <w:tblPr>
            <w:tblStyle w:val="AERTable-Text"/>
            <w:tblW w:w="0" w:type="auto"/>
            <w:tblLook w:val="04A0" w:firstRow="1" w:lastRow="0" w:firstColumn="1" w:lastColumn="0" w:noHBand="0" w:noVBand="1"/>
          </w:tblPr>
          <w:tblGrid>
            <w:gridCol w:w="2897"/>
            <w:gridCol w:w="2898"/>
            <w:gridCol w:w="2898"/>
          </w:tblGrid>
          <w:tr w:rsidR="00D75197" w:rsidTr="00563711">
            <w:trPr>
              <w:cnfStyle w:val="100000000000" w:firstRow="1" w:lastRow="0" w:firstColumn="0" w:lastColumn="0" w:oddVBand="0" w:evenVBand="0" w:oddHBand="0" w:evenHBand="0" w:firstRowFirstColumn="0" w:firstRowLastColumn="0" w:lastRowFirstColumn="0" w:lastRowLastColumn="0"/>
            </w:trPr>
            <w:tc>
              <w:tcPr>
                <w:tcW w:w="2897" w:type="dxa"/>
              </w:tcPr>
              <w:p w:rsidR="00D75197" w:rsidRDefault="00D75197" w:rsidP="00563711">
                <w:r>
                  <w:t>Uplift Type</w:t>
                </w:r>
              </w:p>
            </w:tc>
            <w:tc>
              <w:tcPr>
                <w:tcW w:w="2898" w:type="dxa"/>
              </w:tcPr>
              <w:p w:rsidR="00D75197" w:rsidRDefault="00D75197" w:rsidP="00563711">
                <w:r>
                  <w:t>Provisional Amount</w:t>
                </w:r>
              </w:p>
            </w:tc>
            <w:tc>
              <w:tcPr>
                <w:tcW w:w="2898" w:type="dxa"/>
              </w:tcPr>
              <w:p w:rsidR="00D75197" w:rsidRDefault="00D75197" w:rsidP="00563711">
                <w:r>
                  <w:t>Percentage of total</w:t>
                </w:r>
              </w:p>
            </w:tc>
          </w:tr>
          <w:tr w:rsidR="00D75197" w:rsidTr="00563711">
            <w:trPr>
              <w:cnfStyle w:val="000000100000" w:firstRow="0" w:lastRow="0" w:firstColumn="0" w:lastColumn="0" w:oddVBand="0" w:evenVBand="0" w:oddHBand="1" w:evenHBand="0" w:firstRowFirstColumn="0" w:firstRowLastColumn="0" w:lastRowFirstColumn="0" w:lastRowLastColumn="0"/>
              <w:trHeight w:val="113"/>
            </w:trPr>
            <w:tc>
              <w:tcPr>
                <w:tcW w:w="2897" w:type="dxa"/>
              </w:tcPr>
              <w:p w:rsidR="00D75197" w:rsidRPr="00C67C40" w:rsidRDefault="00D75197" w:rsidP="00563711">
                <w:pPr>
                  <w:jc w:val="left"/>
                </w:pPr>
                <w:r w:rsidRPr="00C67C40">
                  <w:t>Congestion Uplift</w:t>
                </w:r>
              </w:p>
            </w:tc>
            <w:tc>
              <w:tcPr>
                <w:tcW w:w="2898" w:type="dxa"/>
              </w:tcPr>
              <w:p w:rsidR="00D75197" w:rsidRPr="00C67C40" w:rsidRDefault="00D75197" w:rsidP="00563711">
                <w:pPr>
                  <w:jc w:val="left"/>
                </w:pPr>
                <w:r w:rsidRPr="00C67C40">
                  <w:t>$2,796,749.80</w:t>
                </w:r>
              </w:p>
            </w:tc>
            <w:tc>
              <w:tcPr>
                <w:tcW w:w="2898" w:type="dxa"/>
              </w:tcPr>
              <w:p w:rsidR="00D75197" w:rsidRPr="00C67C40" w:rsidRDefault="00D75197" w:rsidP="00563711">
                <w:pPr>
                  <w:jc w:val="left"/>
                </w:pPr>
                <w:r w:rsidRPr="00C67C40">
                  <w:t>90.1%</w:t>
                </w:r>
              </w:p>
            </w:tc>
          </w:tr>
          <w:tr w:rsidR="00D75197" w:rsidTr="00563711">
            <w:trPr>
              <w:cnfStyle w:val="000000010000" w:firstRow="0" w:lastRow="0" w:firstColumn="0" w:lastColumn="0" w:oddVBand="0" w:evenVBand="0" w:oddHBand="0" w:evenHBand="1" w:firstRowFirstColumn="0" w:firstRowLastColumn="0" w:lastRowFirstColumn="0" w:lastRowLastColumn="0"/>
              <w:trHeight w:val="113"/>
            </w:trPr>
            <w:tc>
              <w:tcPr>
                <w:tcW w:w="2897" w:type="dxa"/>
              </w:tcPr>
              <w:p w:rsidR="00D75197" w:rsidRPr="00C67C40" w:rsidRDefault="00D75197" w:rsidP="00563711">
                <w:pPr>
                  <w:jc w:val="left"/>
                  <w:rPr>
                    <w:sz w:val="18"/>
                  </w:rPr>
                </w:pPr>
                <w:r w:rsidRPr="00C67C40">
                  <w:rPr>
                    <w:sz w:val="18"/>
                  </w:rPr>
                  <w:t>Surprise Uplift</w:t>
                </w:r>
              </w:p>
            </w:tc>
            <w:tc>
              <w:tcPr>
                <w:tcW w:w="2898" w:type="dxa"/>
              </w:tcPr>
              <w:p w:rsidR="00D75197" w:rsidRPr="00C67C40" w:rsidRDefault="00D75197" w:rsidP="00563711">
                <w:pPr>
                  <w:jc w:val="left"/>
                  <w:rPr>
                    <w:sz w:val="18"/>
                  </w:rPr>
                </w:pPr>
                <w:r w:rsidRPr="00C67C40">
                  <w:rPr>
                    <w:sz w:val="18"/>
                  </w:rPr>
                  <w:t>$13,832.52</w:t>
                </w:r>
              </w:p>
            </w:tc>
            <w:tc>
              <w:tcPr>
                <w:tcW w:w="2898" w:type="dxa"/>
              </w:tcPr>
              <w:p w:rsidR="00D75197" w:rsidRPr="00C67C40" w:rsidRDefault="00D75197" w:rsidP="00563711">
                <w:pPr>
                  <w:jc w:val="left"/>
                  <w:rPr>
                    <w:sz w:val="18"/>
                  </w:rPr>
                </w:pPr>
                <w:r w:rsidRPr="00C67C40">
                  <w:rPr>
                    <w:sz w:val="18"/>
                  </w:rPr>
                  <w:t>0.4%</w:t>
                </w:r>
              </w:p>
            </w:tc>
          </w:tr>
          <w:tr w:rsidR="00D75197" w:rsidTr="00563711">
            <w:trPr>
              <w:cnfStyle w:val="000000100000" w:firstRow="0" w:lastRow="0" w:firstColumn="0" w:lastColumn="0" w:oddVBand="0" w:evenVBand="0" w:oddHBand="1" w:evenHBand="0" w:firstRowFirstColumn="0" w:firstRowLastColumn="0" w:lastRowFirstColumn="0" w:lastRowLastColumn="0"/>
              <w:trHeight w:val="113"/>
            </w:trPr>
            <w:tc>
              <w:tcPr>
                <w:tcW w:w="2897" w:type="dxa"/>
              </w:tcPr>
              <w:p w:rsidR="00D75197" w:rsidRPr="00C67C40" w:rsidRDefault="00D75197" w:rsidP="00563711">
                <w:pPr>
                  <w:jc w:val="left"/>
                </w:pPr>
                <w:r w:rsidRPr="00C67C40">
                  <w:t>Common Uplift</w:t>
                </w:r>
              </w:p>
            </w:tc>
            <w:tc>
              <w:tcPr>
                <w:tcW w:w="2898" w:type="dxa"/>
              </w:tcPr>
              <w:p w:rsidR="00D75197" w:rsidRPr="00C67C40" w:rsidRDefault="00D75197" w:rsidP="00563711">
                <w:pPr>
                  <w:jc w:val="left"/>
                </w:pPr>
                <w:r w:rsidRPr="00C67C40">
                  <w:t>$292,563.10</w:t>
                </w:r>
              </w:p>
            </w:tc>
            <w:tc>
              <w:tcPr>
                <w:tcW w:w="2898" w:type="dxa"/>
              </w:tcPr>
              <w:p w:rsidR="00D75197" w:rsidRPr="00C67C40" w:rsidRDefault="00D75197" w:rsidP="00563711">
                <w:pPr>
                  <w:jc w:val="left"/>
                </w:pPr>
                <w:r w:rsidRPr="00C67C40">
                  <w:t>9.4%</w:t>
                </w:r>
              </w:p>
            </w:tc>
          </w:tr>
          <w:tr w:rsidR="00D75197" w:rsidTr="00563711">
            <w:trPr>
              <w:cnfStyle w:val="000000010000" w:firstRow="0" w:lastRow="0" w:firstColumn="0" w:lastColumn="0" w:oddVBand="0" w:evenVBand="0" w:oddHBand="0" w:evenHBand="1" w:firstRowFirstColumn="0" w:firstRowLastColumn="0" w:lastRowFirstColumn="0" w:lastRowLastColumn="0"/>
              <w:trHeight w:val="113"/>
            </w:trPr>
            <w:tc>
              <w:tcPr>
                <w:tcW w:w="2897" w:type="dxa"/>
              </w:tcPr>
              <w:p w:rsidR="00D75197" w:rsidRPr="00C67C40" w:rsidRDefault="00D75197" w:rsidP="00563711">
                <w:pPr>
                  <w:jc w:val="left"/>
                  <w:rPr>
                    <w:b/>
                    <w:sz w:val="18"/>
                    <w:szCs w:val="18"/>
                  </w:rPr>
                </w:pPr>
                <w:r w:rsidRPr="00C67C40">
                  <w:rPr>
                    <w:b/>
                    <w:sz w:val="18"/>
                    <w:szCs w:val="18"/>
                  </w:rPr>
                  <w:t>Total Uplift</w:t>
                </w:r>
              </w:p>
            </w:tc>
            <w:tc>
              <w:tcPr>
                <w:tcW w:w="2898" w:type="dxa"/>
              </w:tcPr>
              <w:p w:rsidR="00D75197" w:rsidRPr="00C67C40" w:rsidRDefault="00D75197" w:rsidP="00563711">
                <w:pPr>
                  <w:jc w:val="left"/>
                  <w:rPr>
                    <w:b/>
                    <w:sz w:val="18"/>
                    <w:szCs w:val="18"/>
                  </w:rPr>
                </w:pPr>
                <w:r w:rsidRPr="00C67C40">
                  <w:rPr>
                    <w:b/>
                    <w:sz w:val="18"/>
                    <w:szCs w:val="18"/>
                  </w:rPr>
                  <w:t>$3,103,145.42</w:t>
                </w:r>
              </w:p>
            </w:tc>
            <w:tc>
              <w:tcPr>
                <w:tcW w:w="2898" w:type="dxa"/>
              </w:tcPr>
              <w:p w:rsidR="00D75197" w:rsidRPr="00C67C40" w:rsidRDefault="00D75197" w:rsidP="00563711">
                <w:pPr>
                  <w:jc w:val="left"/>
                  <w:rPr>
                    <w:b/>
                    <w:sz w:val="18"/>
                    <w:szCs w:val="18"/>
                  </w:rPr>
                </w:pPr>
                <w:r w:rsidRPr="00C67C40">
                  <w:rPr>
                    <w:b/>
                    <w:sz w:val="18"/>
                    <w:szCs w:val="18"/>
                  </w:rPr>
                  <w:t>100%</w:t>
                </w:r>
              </w:p>
            </w:tc>
          </w:tr>
        </w:tbl>
        <w:p w:rsidR="00D75197" w:rsidRDefault="00D75197" w:rsidP="00D75197">
          <w:pPr>
            <w:pStyle w:val="Source"/>
          </w:pPr>
          <w:r>
            <w:t>Source: AEMO</w:t>
          </w:r>
          <w:r>
            <w:rPr>
              <w:rStyle w:val="FootnoteReference"/>
            </w:rPr>
            <w:footnoteReference w:id="34"/>
          </w:r>
        </w:p>
        <w:p w:rsidR="00C67C40" w:rsidRDefault="00A81051" w:rsidP="004D7FA9">
          <w:r>
            <w:t xml:space="preserve">AEMO’s </w:t>
          </w:r>
          <w:r w:rsidR="006531C4">
            <w:t>Intervention Report</w:t>
          </w:r>
          <w:r>
            <w:t xml:space="preserve"> notes the majority of uplift payments</w:t>
          </w:r>
          <w:r w:rsidR="00C67C40">
            <w:t xml:space="preserve"> (i.e. congestion uplift)</w:t>
          </w:r>
          <w:r>
            <w:t xml:space="preserve"> generated on the day will be att</w:t>
          </w:r>
          <w:r w:rsidR="00C67C40">
            <w:t>ributed to participants who had</w:t>
          </w:r>
          <w:r>
            <w:t xml:space="preserve"> withdrawals for scheduling intervals that exceed</w:t>
          </w:r>
          <w:r w:rsidR="00C67C40">
            <w:t>ed</w:t>
          </w:r>
          <w:r>
            <w:t xml:space="preserve"> their authorised maximum</w:t>
          </w:r>
          <w:r w:rsidR="00C67C40">
            <w:t xml:space="preserve"> interval quantity nominations.</w:t>
          </w:r>
          <w:r w:rsidR="008532B2">
            <w:t xml:space="preserve"> The Intervention Report notes this is in accordance with the methodology set out in AEMO’s Wholesale Market Uplift Payments Procedures.</w:t>
          </w:r>
          <w:r w:rsidR="008532B2">
            <w:rPr>
              <w:rStyle w:val="FootnoteReference"/>
            </w:rPr>
            <w:footnoteReference w:id="35"/>
          </w:r>
        </w:p>
        <w:p w:rsidR="00C72B8E" w:rsidRDefault="00F72615" w:rsidP="004D7FA9">
          <w:r>
            <w:t>In making the procedures, the NGR requires AEMO to allocate uplift payments so far as practicable to the cause. Some</w:t>
          </w:r>
          <w:r w:rsidR="008532B2">
            <w:t xml:space="preserve"> participants </w:t>
          </w:r>
          <w:r>
            <w:t>have raised concerns</w:t>
          </w:r>
          <w:r w:rsidR="008532B2">
            <w:t xml:space="preserve"> </w:t>
          </w:r>
          <w:r>
            <w:t>this</w:t>
          </w:r>
          <w:r w:rsidR="008532B2">
            <w:t xml:space="preserve"> settlement outcome </w:t>
          </w:r>
          <w:r>
            <w:t xml:space="preserve">may </w:t>
          </w:r>
          <w:r w:rsidR="008532B2">
            <w:t xml:space="preserve">not adequately </w:t>
          </w:r>
          <w:r>
            <w:t xml:space="preserve">allocate ‘costs to cause’. </w:t>
          </w:r>
          <w:r w:rsidR="00294143">
            <w:t>Other participants said they found it difficult to determine the impact of ancillary and uplift payments generated.</w:t>
          </w:r>
        </w:p>
        <w:p w:rsidR="00887CD9" w:rsidRDefault="00FC3BEE" w:rsidP="00F74721">
          <w:r>
            <w:t>It appears p</w:t>
          </w:r>
          <w:r w:rsidR="00887CD9" w:rsidRPr="00887CD9">
            <w:t>articipants did not understand the calculation of the congestion uplift charge which represented 90 per cent of ancillary charges for the day. Without completely understanding the allocation methodology of uplift payments, participants questioned the equity of congestion uplift payments which they consider unfairly penalises those participants without AMDQ credits.</w:t>
          </w:r>
        </w:p>
        <w:p w:rsidR="00294143" w:rsidRDefault="00F72615" w:rsidP="00F74721">
          <w:r>
            <w:lastRenderedPageBreak/>
            <w:t xml:space="preserve">We note, however, </w:t>
          </w:r>
          <w:r w:rsidR="00C72B8E">
            <w:t>t</w:t>
          </w:r>
          <w:r w:rsidR="00294143">
            <w:t>hese</w:t>
          </w:r>
          <w:r w:rsidR="00C72B8E">
            <w:t xml:space="preserve"> concern</w:t>
          </w:r>
          <w:r w:rsidR="00294143">
            <w:t>s</w:t>
          </w:r>
          <w:r w:rsidR="00C72B8E">
            <w:t xml:space="preserve"> relates to the</w:t>
          </w:r>
          <w:r>
            <w:t xml:space="preserve"> methodology </w:t>
          </w:r>
          <w:r w:rsidR="00C72B8E">
            <w:t xml:space="preserve">set out in the procedures. It </w:t>
          </w:r>
          <w:r w:rsidR="00737B44">
            <w:t>is not suggesting AEMO incorrectly applied</w:t>
          </w:r>
          <w:r>
            <w:t xml:space="preserve"> the methodology</w:t>
          </w:r>
          <w:r w:rsidR="00737B44">
            <w:t>.</w:t>
          </w:r>
        </w:p>
        <w:p w:rsidR="000955FC" w:rsidRDefault="00F72615" w:rsidP="00F74721">
          <w:r>
            <w:t xml:space="preserve">AEMO has </w:t>
          </w:r>
          <w:r w:rsidR="00887CD9">
            <w:t>noted it will</w:t>
          </w:r>
          <w:r>
            <w:t xml:space="preserve"> </w:t>
          </w:r>
          <w:r w:rsidR="009476C9">
            <w:t>explor</w:t>
          </w:r>
          <w:r w:rsidR="00887CD9">
            <w:t>e</w:t>
          </w:r>
          <w:r>
            <w:t xml:space="preserve"> </w:t>
          </w:r>
          <w:r w:rsidR="009476C9">
            <w:t>this issue further and has invited participants to provide their comments and suggestions</w:t>
          </w:r>
          <w:r w:rsidR="00C72B8E">
            <w:t xml:space="preserve"> in the New Year.</w:t>
          </w:r>
        </w:p>
        <w:p w:rsidR="005F670E" w:rsidRDefault="00DD0E74" w:rsidP="005F670E">
          <w:pPr>
            <w:pStyle w:val="Heading2"/>
          </w:pPr>
          <w:bookmarkStart w:id="48" w:name="_Toc470092454"/>
          <w:r>
            <w:t>Interactions</w:t>
          </w:r>
          <w:r w:rsidR="00750C17">
            <w:t xml:space="preserve"> between </w:t>
          </w:r>
          <w:r w:rsidR="00CC6B71">
            <w:t>energy markets</w:t>
          </w:r>
          <w:bookmarkEnd w:id="48"/>
        </w:p>
        <w:p w:rsidR="009669FA" w:rsidRDefault="0023087C" w:rsidP="00915364">
          <w:r>
            <w:t>T</w:t>
          </w:r>
          <w:r w:rsidR="004E65EA">
            <w:t xml:space="preserve">he movement of limited gas supply across markets in different states </w:t>
          </w:r>
          <w:r>
            <w:t>has become</w:t>
          </w:r>
          <w:r w:rsidR="004E65EA">
            <w:t xml:space="preserve"> increasingly important</w:t>
          </w:r>
          <w:r>
            <w:t xml:space="preserve"> to satisfy the sharp increase in gas demand on the east coast</w:t>
          </w:r>
          <w:r w:rsidR="004E65EA">
            <w:t>.</w:t>
          </w:r>
          <w:r w:rsidR="0000325E">
            <w:t xml:space="preserve"> </w:t>
          </w:r>
          <w:r w:rsidR="004E65EA">
            <w:t>As the ACCC gas inquiry noted</w:t>
          </w:r>
          <w:r w:rsidR="009669FA">
            <w:t>, the traditional flow of gas supply from the Cooper basin in South Australia is changing:</w:t>
          </w:r>
        </w:p>
        <w:p w:rsidR="00E20E2C" w:rsidRDefault="009669FA" w:rsidP="00742AA9">
          <w:pPr>
            <w:pStyle w:val="Quotes"/>
          </w:pPr>
          <w:r>
            <w:t>“…</w:t>
          </w:r>
          <w:r w:rsidR="0023087C">
            <w:t>g</w:t>
          </w:r>
          <w:r w:rsidRPr="00742AA9">
            <w:t>as from the Cooper Basin was historically an important source of supply for the South Australian market via the Moomba to Adelaide Pipeline System (MAPs), and for the New South Wales market via the Moomba to Sydney Pipeline (MSP). Redirection of gas from the Cooper Basin to Queensland has reduced diversity of supply available in the southern states, adversely affecting the competitive dynamics in those states</w:t>
          </w:r>
          <w:r>
            <w:t>…”</w:t>
          </w:r>
          <w:r>
            <w:rPr>
              <w:rStyle w:val="FootnoteReference"/>
            </w:rPr>
            <w:footnoteReference w:id="36"/>
          </w:r>
          <w:r w:rsidR="004E65EA" w:rsidRPr="009669FA">
            <w:t xml:space="preserve"> </w:t>
          </w:r>
        </w:p>
        <w:p w:rsidR="009669FA" w:rsidRPr="00742AA9" w:rsidRDefault="0023087C" w:rsidP="00E44938">
          <w:pPr>
            <w:pStyle w:val="Quotes"/>
            <w:ind w:left="0" w:right="-28"/>
            <w:rPr>
              <w:rFonts w:eastAsiaTheme="minorHAnsi" w:cstheme="minorBidi"/>
              <w:sz w:val="22"/>
              <w:szCs w:val="22"/>
              <w:lang w:eastAsia="en-US"/>
            </w:rPr>
          </w:pPr>
          <w:r w:rsidRPr="00742AA9">
            <w:rPr>
              <w:rFonts w:eastAsiaTheme="minorHAnsi" w:cstheme="minorBidi"/>
              <w:sz w:val="22"/>
              <w:szCs w:val="22"/>
              <w:lang w:eastAsia="en-US"/>
            </w:rPr>
            <w:t>The current market environment</w:t>
          </w:r>
          <w:r w:rsidR="009669FA" w:rsidRPr="00742AA9">
            <w:rPr>
              <w:rFonts w:eastAsiaTheme="minorHAnsi" w:cstheme="minorBidi"/>
              <w:sz w:val="22"/>
              <w:szCs w:val="22"/>
              <w:lang w:eastAsia="en-US"/>
            </w:rPr>
            <w:t xml:space="preserve"> leaves </w:t>
          </w:r>
          <w:r w:rsidR="001D0229" w:rsidRPr="00742AA9">
            <w:rPr>
              <w:rFonts w:eastAsiaTheme="minorHAnsi" w:cstheme="minorBidi"/>
              <w:sz w:val="22"/>
              <w:szCs w:val="22"/>
              <w:lang w:eastAsia="en-US"/>
            </w:rPr>
            <w:t xml:space="preserve">the </w:t>
          </w:r>
          <w:r w:rsidRPr="00742AA9">
            <w:rPr>
              <w:rFonts w:eastAsiaTheme="minorHAnsi" w:cstheme="minorBidi"/>
              <w:sz w:val="22"/>
              <w:szCs w:val="22"/>
              <w:lang w:eastAsia="en-US"/>
            </w:rPr>
            <w:t>market forces of</w:t>
          </w:r>
          <w:r w:rsidR="001D0229" w:rsidRPr="00742AA9">
            <w:rPr>
              <w:rFonts w:eastAsiaTheme="minorHAnsi" w:cstheme="minorBidi"/>
              <w:sz w:val="22"/>
              <w:szCs w:val="22"/>
              <w:lang w:eastAsia="en-US"/>
            </w:rPr>
            <w:t xml:space="preserve"> gas supply and demand finely balanced on the east coast. When a large shock to a major gas supply occurs at one point on the east coast, this can have effects on pricing and gas supply across multiple markets. The inter-linkages between the gas markets in Victoria, South Australia and New South Wales </w:t>
          </w:r>
          <w:r w:rsidRPr="00742AA9">
            <w:rPr>
              <w:rFonts w:eastAsiaTheme="minorHAnsi" w:cstheme="minorBidi"/>
              <w:sz w:val="22"/>
              <w:szCs w:val="22"/>
              <w:lang w:eastAsia="en-US"/>
            </w:rPr>
            <w:t xml:space="preserve">on the 1 October 2016 </w:t>
          </w:r>
          <w:r w:rsidR="001D0229" w:rsidRPr="00742AA9">
            <w:rPr>
              <w:rFonts w:eastAsiaTheme="minorHAnsi" w:cstheme="minorBidi"/>
              <w:sz w:val="22"/>
              <w:szCs w:val="22"/>
              <w:lang w:eastAsia="en-US"/>
            </w:rPr>
            <w:t>are summarised below.</w:t>
          </w:r>
        </w:p>
        <w:p w:rsidR="001B2F26" w:rsidRDefault="00C8664E" w:rsidP="00E44938">
          <w:pPr>
            <w:pStyle w:val="Heading3notnumbered"/>
          </w:pPr>
          <w:bookmarkStart w:id="49" w:name="_Toc470092455"/>
          <w:r>
            <w:t>Victoria</w:t>
          </w:r>
          <w:bookmarkEnd w:id="49"/>
        </w:p>
        <w:p w:rsidR="001B2F26" w:rsidRPr="00E44938" w:rsidRDefault="001B2F26" w:rsidP="001B2F26">
          <w:pPr>
            <w:rPr>
              <w:i/>
            </w:rPr>
          </w:pPr>
          <w:r>
            <w:rPr>
              <w:i/>
            </w:rPr>
            <w:t>NSW – Vic Interconnect</w:t>
          </w:r>
        </w:p>
        <w:p w:rsidR="001B2F26" w:rsidRDefault="001B2F26" w:rsidP="001B2F26">
          <w:r>
            <w:t xml:space="preserve">On 1 October, </w:t>
          </w:r>
          <w:r w:rsidR="00E44938">
            <w:t>injections of gas from NSW into Victoria were</w:t>
          </w:r>
          <w:r>
            <w:t xml:space="preserve"> limited due to a constraint (unplanned outage) on the injection point at Culcairn which lasted from 6AM–10PM. </w:t>
          </w:r>
        </w:p>
        <w:p w:rsidR="001B2F26" w:rsidRPr="00E44938" w:rsidRDefault="001B2F26" w:rsidP="001B2F26">
          <w:pPr>
            <w:rPr>
              <w:i/>
            </w:rPr>
          </w:pPr>
          <w:r w:rsidRPr="00E44938">
            <w:rPr>
              <w:i/>
            </w:rPr>
            <w:t xml:space="preserve">Vic – Hub </w:t>
          </w:r>
        </w:p>
        <w:p w:rsidR="00C8664E" w:rsidRPr="000754DA" w:rsidRDefault="001B2F26" w:rsidP="00E44938">
          <w:pPr>
            <w:rPr>
              <w:color w:val="1F497D"/>
              <w:sz w:val="20"/>
            </w:rPr>
          </w:pPr>
          <w:r w:rsidRPr="000754DA">
            <w:rPr>
              <w:szCs w:val="23"/>
            </w:rPr>
            <w:t>AEMO also applied a directional flow point constraint (DFPC) on VicHub into the DTS at the time of its ad hoc schedule (which ran from 9</w:t>
          </w:r>
          <w:r w:rsidR="00E44938" w:rsidRPr="000754DA">
            <w:rPr>
              <w:szCs w:val="23"/>
            </w:rPr>
            <w:t> am</w:t>
          </w:r>
          <w:r w:rsidRPr="000754DA">
            <w:rPr>
              <w:szCs w:val="23"/>
            </w:rPr>
            <w:t xml:space="preserve"> to 10 am). The DFPC constrained flows to 0 TJ, and remained in place for the rest of the day. The AER understands AEMO applied the constraint because it was uncertain based on information it acquired at the time as to how much (if any) gas could flow through VicHub. Related to the application of this constraint</w:t>
          </w:r>
          <w:r w:rsidR="009978CD" w:rsidRPr="000754DA">
            <w:rPr>
              <w:szCs w:val="23"/>
            </w:rPr>
            <w:t>,</w:t>
          </w:r>
          <w:r w:rsidRPr="000754DA">
            <w:rPr>
              <w:szCs w:val="23"/>
            </w:rPr>
            <w:t xml:space="preserve"> on </w:t>
          </w:r>
          <w:r w:rsidR="00135270" w:rsidRPr="000754DA">
            <w:rPr>
              <w:szCs w:val="23"/>
            </w:rPr>
            <w:t xml:space="preserve">13 </w:t>
          </w:r>
          <w:r w:rsidRPr="000754DA">
            <w:rPr>
              <w:szCs w:val="23"/>
            </w:rPr>
            <w:t xml:space="preserve">December AEMO notified that in accordance with rule 218(1)(a) of the NGR, AEMO has, on request from a Market Participant, commenced an investigation into whether an </w:t>
          </w:r>
          <w:r w:rsidRPr="000754DA">
            <w:rPr>
              <w:i/>
              <w:iCs/>
              <w:szCs w:val="23"/>
            </w:rPr>
            <w:t xml:space="preserve">unintended scheduling result </w:t>
          </w:r>
          <w:r w:rsidRPr="000754DA">
            <w:rPr>
              <w:szCs w:val="23"/>
            </w:rPr>
            <w:t>occurred.</w:t>
          </w:r>
        </w:p>
        <w:p w:rsidR="00E20E2C" w:rsidRDefault="00750C17" w:rsidP="00600EDC">
          <w:pPr>
            <w:pStyle w:val="Heading3notnumbered"/>
          </w:pPr>
          <w:bookmarkStart w:id="50" w:name="_Toc470092456"/>
          <w:r>
            <w:t>New South Wales</w:t>
          </w:r>
          <w:bookmarkEnd w:id="50"/>
        </w:p>
        <w:p w:rsidR="00915364" w:rsidRDefault="00915364" w:rsidP="00915364">
          <w:r>
            <w:t>A Contingency Gas Trigger event occurred for the Sydney STTM on 1 October</w:t>
          </w:r>
          <w:r w:rsidR="00CA27BA">
            <w:t xml:space="preserve"> related to the Longford plant shut down</w:t>
          </w:r>
          <w:r>
            <w:t xml:space="preserve">. The Longford gas plant shut down </w:t>
          </w:r>
          <w:r w:rsidR="00C74B6A">
            <w:t>raised concerns of a potential</w:t>
          </w:r>
          <w:r>
            <w:t xml:space="preserve"> supply shortfall in the Sydney hub (Longford supplies Sydney via the Eastern Gas Pipeline)</w:t>
          </w:r>
          <w:r w:rsidR="00C74B6A">
            <w:t>.</w:t>
          </w:r>
          <w:r>
            <w:t xml:space="preserve"> </w:t>
          </w:r>
          <w:r w:rsidR="00C74B6A">
            <w:t xml:space="preserve">AEMO has noted that without knowing what would be injected </w:t>
          </w:r>
          <w:r w:rsidR="00C74B6A">
            <w:lastRenderedPageBreak/>
            <w:t>into the EGP, Jemena was uncertain what it could deliver to the Sydney hub.</w:t>
          </w:r>
          <w:r w:rsidR="00121189">
            <w:rPr>
              <w:rStyle w:val="FootnoteReference"/>
            </w:rPr>
            <w:footnoteReference w:id="37"/>
          </w:r>
          <w:r w:rsidR="00C74B6A">
            <w:t xml:space="preserve"> The contingency trigger event </w:t>
          </w:r>
          <w:r>
            <w:t>was resolved following industry conferences in part through participants’ renominations on to the Moomba Sydney Pipeline and balancing gas (MOS). As a result</w:t>
          </w:r>
          <w:r w:rsidR="00C74B6A">
            <w:t xml:space="preserve"> of participants</w:t>
          </w:r>
          <w:r w:rsidR="00E44938">
            <w:t>’</w:t>
          </w:r>
          <w:r w:rsidR="00C74B6A">
            <w:t xml:space="preserve"> renominations</w:t>
          </w:r>
          <w:r>
            <w:t xml:space="preserve"> and Longford</w:t>
          </w:r>
          <w:r w:rsidR="00C74B6A">
            <w:t>’s</w:t>
          </w:r>
          <w:r>
            <w:t xml:space="preserve"> </w:t>
          </w:r>
          <w:r w:rsidR="00C74B6A">
            <w:t>increased production</w:t>
          </w:r>
          <w:r>
            <w:t xml:space="preserve"> volumes later in the day, contingency gas was not required.</w:t>
          </w:r>
          <w:r w:rsidR="00C74B6A">
            <w:t xml:space="preserve"> This trigger event highlights the importance of Longford as a supplier not just to the Victorian wholesale market but also the Sydney STTM. </w:t>
          </w:r>
        </w:p>
        <w:p w:rsidR="00E20E2C" w:rsidRDefault="00E20E2C" w:rsidP="00600EDC">
          <w:pPr>
            <w:pStyle w:val="Heading3notnumbered"/>
          </w:pPr>
          <w:bookmarkStart w:id="51" w:name="_Toc470092457"/>
          <w:r>
            <w:t>South Australia</w:t>
          </w:r>
          <w:bookmarkEnd w:id="51"/>
        </w:p>
        <w:p w:rsidR="00915364" w:rsidRDefault="00132CF6" w:rsidP="00915364">
          <w:r>
            <w:t>As a consequence of the black system event in South Australia on 28 September, the electricity market in that region was suspended through until 11 October. AEMO restricted the output of a number of wind generators, due to performance concerns.</w:t>
          </w:r>
          <w:r w:rsidR="001D0229">
            <w:rPr>
              <w:rStyle w:val="FootnoteReference"/>
            </w:rPr>
            <w:footnoteReference w:id="38"/>
          </w:r>
          <w:r w:rsidR="00027C33">
            <w:t xml:space="preserve"> </w:t>
          </w:r>
          <w:r>
            <w:t>As a result, gas supplies in Adelaide on 1 October were being allocated to fuel higher output from gas powered electricity generators. Consequently, there was limited gas supply available to be diverted from the SEA Gas pipeline into Victoria via the DTS. The output of gas generation over the course of the electricity market suspension in South Australia is depicted in</w:t>
          </w:r>
          <w:r w:rsidR="00915364">
            <w:t xml:space="preserve"> </w:t>
          </w:r>
          <w:r w:rsidR="00CC6B71">
            <w:fldChar w:fldCharType="begin"/>
          </w:r>
          <w:r w:rsidR="00CC6B71">
            <w:instrText xml:space="preserve"> REF _Ref469500142 \h </w:instrText>
          </w:r>
          <w:r w:rsidR="00CC6B71">
            <w:fldChar w:fldCharType="separate"/>
          </w:r>
          <w:r w:rsidR="00D350CD">
            <w:t xml:space="preserve">Figure </w:t>
          </w:r>
          <w:r w:rsidR="00D350CD">
            <w:rPr>
              <w:noProof/>
            </w:rPr>
            <w:t>3</w:t>
          </w:r>
          <w:r w:rsidR="00CC6B71">
            <w:fldChar w:fldCharType="end"/>
          </w:r>
          <w:r w:rsidR="00CC6B71">
            <w:t xml:space="preserve"> </w:t>
          </w:r>
          <w:r>
            <w:t>below highlighting that 1 October was a high demand gas day (the green portion) despite being a weekend.</w:t>
          </w:r>
          <w:r w:rsidR="00915364">
            <w:t xml:space="preserve"> </w:t>
          </w:r>
        </w:p>
        <w:p w:rsidR="00915364" w:rsidRDefault="00915364" w:rsidP="00915364">
          <w:pPr>
            <w:pStyle w:val="Caption"/>
          </w:pPr>
          <w:bookmarkStart w:id="52" w:name="_Ref469500142"/>
          <w:r>
            <w:t xml:space="preserve">Figure </w:t>
          </w:r>
          <w:fldSimple w:instr=" SEQ Figure \* ARABIC ">
            <w:r w:rsidR="00D350CD">
              <w:rPr>
                <w:noProof/>
              </w:rPr>
              <w:t>3</w:t>
            </w:r>
          </w:fldSimple>
          <w:bookmarkEnd w:id="52"/>
          <w:r w:rsidR="00CC6B71">
            <w:t xml:space="preserve"> – </w:t>
          </w:r>
          <w:r>
            <w:t>SA electricity generation by fuel type</w:t>
          </w:r>
        </w:p>
        <w:p w:rsidR="00C55FDC" w:rsidRDefault="00132CF6" w:rsidP="00915364">
          <w:r w:rsidRPr="00FF5B4C">
            <w:rPr>
              <w:noProof/>
              <w:lang w:eastAsia="en-AU"/>
            </w:rPr>
            <w:drawing>
              <wp:inline distT="0" distB="0" distL="0" distR="0" wp14:anchorId="34FDB6F3" wp14:editId="04605289">
                <wp:extent cx="5382895" cy="2119165"/>
                <wp:effectExtent l="0" t="0" r="8255" b="0"/>
                <wp:docPr id="2" name="Picture 2" descr="Figure 3 shows the energy output (GW per half hour spot interval) of South Australia based generators by fuel type for 1 October and surrounding gas days (from 6 am AEST). The chart timeframe covers the period of the South Australian electricity system power outage incident, which resulted in the suspension of the SA region of the National Electricity Market." title="Figure 3 - South Australia based electricity generation by fuel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2895" cy="2119165"/>
                        </a:xfrm>
                        <a:prstGeom prst="rect">
                          <a:avLst/>
                        </a:prstGeom>
                        <a:noFill/>
                        <a:ln>
                          <a:noFill/>
                        </a:ln>
                      </pic:spPr>
                    </pic:pic>
                  </a:graphicData>
                </a:graphic>
              </wp:inline>
            </w:drawing>
          </w:r>
        </w:p>
      </w:sdtContent>
    </w:sdt>
    <w:p w:rsidR="00FF5B4C" w:rsidRDefault="00FF5B4C" w:rsidP="00915364"/>
    <w:p w:rsidR="00FF5B4C" w:rsidRDefault="00FF5B4C" w:rsidP="00915364"/>
    <w:p w:rsidR="00FF5B4C" w:rsidRDefault="00FF5B4C" w:rsidP="00915364"/>
    <w:p w:rsidR="00755536" w:rsidRDefault="00866E8B" w:rsidP="00755536">
      <w:pPr>
        <w:pStyle w:val="Heading1"/>
      </w:pPr>
      <w:bookmarkStart w:id="53" w:name="_Toc470092458"/>
      <w:r>
        <w:lastRenderedPageBreak/>
        <w:t>Findings and follow up actions</w:t>
      </w:r>
      <w:bookmarkEnd w:id="53"/>
    </w:p>
    <w:p w:rsidR="00CC1E91" w:rsidRDefault="00866E8B" w:rsidP="001448A7">
      <w:r>
        <w:t>We have made a number of findings and follow up actions which are set out below.</w:t>
      </w:r>
    </w:p>
    <w:p w:rsidR="0005029C" w:rsidRDefault="0005029C" w:rsidP="0005029C">
      <w:pPr>
        <w:pStyle w:val="Heading4notnumbered"/>
      </w:pPr>
      <w:r>
        <w:t>AEMO’s decision to declare a threat to system security and issue an ad</w:t>
      </w:r>
      <w:r w:rsidR="000754DA">
        <w:t> </w:t>
      </w:r>
      <w:r>
        <w:t>hoc schedule</w:t>
      </w:r>
    </w:p>
    <w:p w:rsidR="0005029C" w:rsidRPr="0005029C" w:rsidRDefault="0005029C" w:rsidP="001448A7">
      <w:pPr>
        <w:rPr>
          <w:bCs/>
        </w:rPr>
      </w:pPr>
      <w:r w:rsidRPr="0005029C">
        <w:rPr>
          <w:bCs/>
        </w:rPr>
        <w:t>We consider AEMO acted appropriately in declaring a threat to system security. AEMO acted under difficult time constraints to address the reduction in pressures of the Victorian transmission system and avoid customer curtailment with the best information available.</w:t>
      </w:r>
    </w:p>
    <w:p w:rsidR="0005029C" w:rsidRPr="0005029C" w:rsidRDefault="0005029C" w:rsidP="001448A7">
      <w:pPr>
        <w:rPr>
          <w:bCs/>
        </w:rPr>
      </w:pPr>
      <w:r w:rsidRPr="0005029C">
        <w:rPr>
          <w:bCs/>
        </w:rPr>
        <w:t>We consider AEMO acted appropriately in issuing an ad hoc schedule. We acknowledge the ad hoc schedule was necessary to reduce the likelihood of a loss of customer supply and that AEMO considered there was insufficient time to wait for either a market response or to schedule out of merit order gas at the 10 am schedule.</w:t>
      </w:r>
    </w:p>
    <w:p w:rsidR="00CB552D" w:rsidRDefault="0005029C" w:rsidP="001448A7">
      <w:pPr>
        <w:rPr>
          <w:bCs/>
        </w:rPr>
      </w:pPr>
      <w:r w:rsidRPr="0005029C">
        <w:rPr>
          <w:bCs/>
        </w:rPr>
        <w:t>These decisions appear to be consistent with AEMO’s obligations under rules 342 and 343 of the NGR.</w:t>
      </w:r>
    </w:p>
    <w:p w:rsidR="00A579AF" w:rsidRPr="005C4D80" w:rsidRDefault="00A579AF" w:rsidP="00A579AF">
      <w:pPr>
        <w:pStyle w:val="Heading4notnumbered"/>
      </w:pPr>
      <w:r>
        <w:t>Provision of information to AEMO</w:t>
      </w:r>
    </w:p>
    <w:p w:rsidR="00A579AF" w:rsidRPr="00A579AF" w:rsidRDefault="00A579AF" w:rsidP="001448A7">
      <w:pPr>
        <w:rPr>
          <w:bCs/>
        </w:rPr>
      </w:pPr>
      <w:r w:rsidRPr="00A579AF">
        <w:rPr>
          <w:bCs/>
        </w:rPr>
        <w:t>In preparing the ad hoc schedule, AEMO was reliant on information from a number of facility operators.</w:t>
      </w:r>
    </w:p>
    <w:p w:rsidR="00A579AF" w:rsidRPr="00A579AF" w:rsidRDefault="00A579AF" w:rsidP="001448A7">
      <w:pPr>
        <w:rPr>
          <w:bCs/>
        </w:rPr>
      </w:pPr>
      <w:r w:rsidRPr="00A579AF">
        <w:rPr>
          <w:bCs/>
        </w:rPr>
        <w:t>In particular, Esso was required to provide to AEMO its shippers instructions on how Longford’s gas was to be allocated between Melbourne and Sydney (and Tasmania).</w:t>
      </w:r>
    </w:p>
    <w:p w:rsidR="00A579AF" w:rsidRPr="00A579AF" w:rsidRDefault="00A579AF" w:rsidP="001448A7">
      <w:pPr>
        <w:rPr>
          <w:bCs/>
        </w:rPr>
      </w:pPr>
      <w:r w:rsidRPr="00A579AF">
        <w:rPr>
          <w:bCs/>
        </w:rPr>
        <w:t>To do this, Esso needed to assess and investigate the causes of the shutdown in order to develop an accurate forecast for AEMO and its customers.</w:t>
      </w:r>
    </w:p>
    <w:p w:rsidR="00A579AF" w:rsidRPr="00A579AF" w:rsidRDefault="00A579AF" w:rsidP="001448A7">
      <w:pPr>
        <w:rPr>
          <w:bCs/>
        </w:rPr>
      </w:pPr>
      <w:r w:rsidRPr="00A579AF">
        <w:rPr>
          <w:bCs/>
        </w:rPr>
        <w:t>Following this assessment, Esso consulted with its customers in order to provide gas allocation information to AEMO. This commenced around 6.35 am.</w:t>
      </w:r>
    </w:p>
    <w:p w:rsidR="00A579AF" w:rsidRPr="00A579AF" w:rsidRDefault="00A579AF" w:rsidP="001448A7">
      <w:pPr>
        <w:rPr>
          <w:bCs/>
        </w:rPr>
      </w:pPr>
      <w:r w:rsidRPr="00A579AF">
        <w:rPr>
          <w:bCs/>
        </w:rPr>
        <w:t>At around 8.37 am, Esso provided an indicative range to AEMO for the development of the ad hoc schedule. This estimate took into account information obtained from several of Esso’s customers. About two hours later, Esso finished receiving allocation instructions from any remaining customers.</w:t>
      </w:r>
    </w:p>
    <w:p w:rsidR="00A579AF" w:rsidRPr="00A579AF" w:rsidRDefault="00A579AF" w:rsidP="001448A7">
      <w:pPr>
        <w:rPr>
          <w:bCs/>
        </w:rPr>
      </w:pPr>
      <w:r w:rsidRPr="00A579AF">
        <w:rPr>
          <w:bCs/>
        </w:rPr>
        <w:t>It is unclear whether market outcomes would have changed materially had Esso provided AEMO ‘confirmed’ allocations earlier. However we note management of emergencies often requires decisions to be made with limited time and that any delays should be minimised as much as possible.</w:t>
      </w:r>
    </w:p>
    <w:p w:rsidR="00A579AF" w:rsidRDefault="00A579AF" w:rsidP="001448A7">
      <w:r>
        <w:t>AEMO has since raised the possibility of having a default standing arrangement for the allocation of gas to be used in emergency situations. While this could result in quicker system wide management, it may impact the ability for market based responses. This potential trade off should be explored when considering any changes.</w:t>
      </w:r>
    </w:p>
    <w:p w:rsidR="00A579AF" w:rsidRDefault="00A579AF" w:rsidP="001448A7">
      <w:r>
        <w:t>The AER will table the issue of the merits of a default allocation arrangement at the next AEMO Gas Wholesale Consultative Forum for broader industry comment.</w:t>
      </w:r>
    </w:p>
    <w:p w:rsidR="00A579AF" w:rsidRDefault="00A579AF" w:rsidP="00A579AF">
      <w:pPr>
        <w:pStyle w:val="Heading4notnumbered"/>
      </w:pPr>
      <w:r>
        <w:lastRenderedPageBreak/>
        <w:t>AEMO’s access to information to help manage the DTS</w:t>
      </w:r>
    </w:p>
    <w:p w:rsidR="00A579AF" w:rsidRPr="00A579AF" w:rsidRDefault="00A579AF" w:rsidP="001448A7">
      <w:pPr>
        <w:rPr>
          <w:bCs/>
        </w:rPr>
      </w:pPr>
      <w:r w:rsidRPr="00A579AF">
        <w:rPr>
          <w:bCs/>
        </w:rPr>
        <w:t>In its Intervention Report, AEMO notes it needs to be informed in a timely manner of any new information that impacts a facility’s ability to inject or withdraw gas into the DTS.</w:t>
      </w:r>
      <w:r w:rsidR="00A80B0D">
        <w:rPr>
          <w:bCs/>
        </w:rPr>
        <w:t xml:space="preserve"> </w:t>
      </w:r>
      <w:r w:rsidRPr="00A579AF">
        <w:rPr>
          <w:bCs/>
        </w:rPr>
        <w:t>AEMO notes it had limited additional information to assess the period that Longford was likely to be unavailable and the likely ramp rate to assess the impact on gas supply to customers at Sale.</w:t>
      </w:r>
    </w:p>
    <w:p w:rsidR="00A579AF" w:rsidRPr="00A579AF" w:rsidRDefault="00A579AF" w:rsidP="001448A7">
      <w:pPr>
        <w:rPr>
          <w:bCs/>
        </w:rPr>
      </w:pPr>
      <w:r w:rsidRPr="00A579AF">
        <w:rPr>
          <w:bCs/>
        </w:rPr>
        <w:t>The report suggests broadening rule 219 to allow for this additional information to be requested and provided, and notes the issue will be addressed at the Gas Wholesale Consultative Forum.</w:t>
      </w:r>
    </w:p>
    <w:p w:rsidR="00A579AF" w:rsidRDefault="00A579AF" w:rsidP="001448A7">
      <w:r w:rsidRPr="006A6523">
        <w:t>Esso has noted that due to the complex and dynamic nature of a facility restart, significant uncertainty in any ramp profile exists and resources are dedicated to safe and effective restart to achieve the best market outcomes.</w:t>
      </w:r>
    </w:p>
    <w:p w:rsidR="00A579AF" w:rsidRDefault="00A579AF" w:rsidP="001448A7">
      <w:r w:rsidRPr="00DE155E">
        <w:t>We consider it is essential for AEMO to have access to good information in order for it to fully assess a threat to system security and determine an appropriate course of action.</w:t>
      </w:r>
    </w:p>
    <w:p w:rsidR="00A579AF" w:rsidRDefault="00A579AF" w:rsidP="001448A7">
      <w:pPr>
        <w:rPr>
          <w:bCs/>
        </w:rPr>
      </w:pPr>
      <w:r w:rsidRPr="00DE155E">
        <w:t>For this reason, we are willing to explore AEMO’s suggestion of broadening rule 219. However we note it may be an appropriate first step to consider of other existing obligations that may help achieve the same aim, such as rule 341(2) of the NGR and section 91BC of the NGL.</w:t>
      </w:r>
    </w:p>
    <w:p w:rsidR="005C4D80" w:rsidRPr="005C4D80" w:rsidRDefault="005C4D80" w:rsidP="005C4D80">
      <w:pPr>
        <w:pStyle w:val="Heading4notnumbered"/>
      </w:pPr>
      <w:r>
        <w:t xml:space="preserve">AEMO’s </w:t>
      </w:r>
      <w:r w:rsidR="00694767">
        <w:t>publication of information</w:t>
      </w:r>
    </w:p>
    <w:p w:rsidR="00694767" w:rsidRDefault="005C4D80" w:rsidP="00DE7310">
      <w:r>
        <w:t>We have</w:t>
      </w:r>
      <w:r w:rsidR="00DE7310">
        <w:t xml:space="preserve"> spoken with a number of participants </w:t>
      </w:r>
      <w:r w:rsidR="009978CD">
        <w:t>regarding the events of 1</w:t>
      </w:r>
      <w:r w:rsidR="00135270">
        <w:t xml:space="preserve"> </w:t>
      </w:r>
      <w:r w:rsidR="009978CD">
        <w:t xml:space="preserve">October. Most agree </w:t>
      </w:r>
      <w:r w:rsidR="00DE7310">
        <w:t xml:space="preserve">that communication on the day was executed well by AEMO. </w:t>
      </w:r>
    </w:p>
    <w:p w:rsidR="00D140E5" w:rsidRDefault="00D140E5" w:rsidP="00DE7310">
      <w:r>
        <w:t xml:space="preserve">AEMO publishes key information for the Victorian Gas Market on the </w:t>
      </w:r>
      <w:r w:rsidR="00DE155E">
        <w:t xml:space="preserve">Market Information Bulletin Board </w:t>
      </w:r>
      <w:r w:rsidR="00DE155E" w:rsidRPr="00C1097E">
        <w:t>(</w:t>
      </w:r>
      <w:r w:rsidR="00DE155E">
        <w:rPr>
          <w:b/>
        </w:rPr>
        <w:t>MIBB</w:t>
      </w:r>
      <w:r w:rsidR="00DE155E" w:rsidRPr="00C1097E">
        <w:t>)</w:t>
      </w:r>
      <w:r w:rsidR="00DE155E">
        <w:t xml:space="preserve"> </w:t>
      </w:r>
      <w:r>
        <w:t xml:space="preserve">and did so on the day promptly in response to information provided by many participants including Esso. </w:t>
      </w:r>
    </w:p>
    <w:p w:rsidR="00293828" w:rsidRDefault="00DE7310" w:rsidP="00DE7310">
      <w:r>
        <w:t xml:space="preserve">Many participants used information from the </w:t>
      </w:r>
      <w:r w:rsidR="00DE155E">
        <w:t>MIBB</w:t>
      </w:r>
      <w:r w:rsidR="00A25E7B">
        <w:t xml:space="preserve">. </w:t>
      </w:r>
    </w:p>
    <w:p w:rsidR="00293828" w:rsidRDefault="00293828" w:rsidP="00DE7310">
      <w:r>
        <w:t xml:space="preserve">In accordance with AEMO’s procedures, it uses the MIBB to post constraint information and other information such as declarations of threats to system security and ad hoc schedules.  </w:t>
      </w:r>
    </w:p>
    <w:p w:rsidR="00DE7310" w:rsidRDefault="00DE7310" w:rsidP="00DE7310">
      <w:r>
        <w:t xml:space="preserve">Some participants raised issues which highlight that there is a delay between market notices appearing on the MIBB and notifications being sent via email and SMS text messages. </w:t>
      </w:r>
      <w:r w:rsidR="00A25E7B">
        <w:t xml:space="preserve">AEMO has noted this has been raised previously and there would be market costs </w:t>
      </w:r>
      <w:r w:rsidR="00293828">
        <w:t>in ensuring</w:t>
      </w:r>
      <w:r w:rsidR="00A25E7B">
        <w:t xml:space="preserve"> </w:t>
      </w:r>
      <w:r w:rsidR="00293828">
        <w:t>the immediate notification by email and SMS</w:t>
      </w:r>
      <w:r w:rsidR="00A25E7B">
        <w:t>.</w:t>
      </w:r>
    </w:p>
    <w:p w:rsidR="00A25E7B" w:rsidRDefault="00A25E7B" w:rsidP="00A25E7B">
      <w:r>
        <w:t>The AER will raise the issue of communication of market wide notices through the various channels for broader industry comment.</w:t>
      </w:r>
    </w:p>
    <w:p w:rsidR="00293828" w:rsidRPr="00293828" w:rsidRDefault="00C1097E" w:rsidP="00293828">
      <w:pPr>
        <w:pStyle w:val="Heading4notnumbered"/>
      </w:pPr>
      <w:r>
        <w:t>AEMO-</w:t>
      </w:r>
      <w:r w:rsidR="00293828">
        <w:t>led industry conferences</w:t>
      </w:r>
    </w:p>
    <w:p w:rsidR="00293828" w:rsidRDefault="006F2FC2" w:rsidP="006F2FC2">
      <w:r>
        <w:t xml:space="preserve">AEMO and participants have noted that a number of industry conferences were held throughout 1 October to deal with </w:t>
      </w:r>
      <w:r w:rsidR="00293828">
        <w:t>electricity supply issues for South Australia</w:t>
      </w:r>
      <w:r>
        <w:t xml:space="preserve">, </w:t>
      </w:r>
      <w:r>
        <w:lastRenderedPageBreak/>
        <w:t xml:space="preserve">management of the Victorian </w:t>
      </w:r>
      <w:r w:rsidR="009978CD">
        <w:t xml:space="preserve">gas </w:t>
      </w:r>
      <w:r>
        <w:t>market and also a contin</w:t>
      </w:r>
      <w:r w:rsidR="00293828">
        <w:t>gency gas assessment conference</w:t>
      </w:r>
      <w:r>
        <w:t xml:space="preserve"> under Part 20 of the NGR for the Sydney STTM on 1 October. </w:t>
      </w:r>
    </w:p>
    <w:p w:rsidR="006F2FC2" w:rsidRDefault="00293828" w:rsidP="006F2FC2">
      <w:r>
        <w:t>We consider</w:t>
      </w:r>
      <w:r w:rsidR="006F2FC2">
        <w:t xml:space="preserve"> that AEMO acted appropriately to convene a contingency gas assessment conference for the Sydney STTM.</w:t>
      </w:r>
    </w:p>
    <w:p w:rsidR="00DE7310" w:rsidRDefault="006F2FC2" w:rsidP="00DE7310">
      <w:pPr>
        <w:pStyle w:val="Heading4notnumbered"/>
      </w:pPr>
      <w:r>
        <w:t>Use of the Bulletin Board</w:t>
      </w:r>
    </w:p>
    <w:p w:rsidR="006A4511" w:rsidRDefault="006A4511" w:rsidP="00DE7310">
      <w:pPr>
        <w:rPr>
          <w:i/>
        </w:rPr>
      </w:pPr>
      <w:r>
        <w:rPr>
          <w:i/>
        </w:rPr>
        <w:t>B</w:t>
      </w:r>
      <w:r w:rsidR="000E22C2">
        <w:rPr>
          <w:i/>
        </w:rPr>
        <w:t>ulletin Board (Part 18</w:t>
      </w:r>
      <w:r>
        <w:rPr>
          <w:i/>
        </w:rPr>
        <w:t xml:space="preserve"> of the NGR)</w:t>
      </w:r>
    </w:p>
    <w:p w:rsidR="006A4511" w:rsidRPr="000E22C2" w:rsidRDefault="000E22C2" w:rsidP="00DE7310">
      <w:r>
        <w:t xml:space="preserve">Gas Producers and Pipeline Operators have obligations to publish information on the East Coast Gas Bulletin Board which are </w:t>
      </w:r>
      <w:r>
        <w:rPr>
          <w:b/>
        </w:rPr>
        <w:t xml:space="preserve">in addition </w:t>
      </w:r>
      <w:r>
        <w:t>to requirements to provide information to AEMO for the purpose of operating the Gas Mar</w:t>
      </w:r>
      <w:r w:rsidR="008572C9">
        <w:t>kets under P</w:t>
      </w:r>
      <w:r>
        <w:t>art 19 and 20 of the NGR.</w:t>
      </w:r>
    </w:p>
    <w:p w:rsidR="000E22C2" w:rsidRDefault="000E22C2" w:rsidP="00DE7310">
      <w:r>
        <w:t xml:space="preserve">A number of participants noted that the primary (information reporting) requirement in an emergency is for a facility operator to provide </w:t>
      </w:r>
      <w:r w:rsidR="00CC1E91">
        <w:t>AEMO</w:t>
      </w:r>
      <w:r>
        <w:t xml:space="preserve"> with information to manage the event across the system. </w:t>
      </w:r>
      <w:r w:rsidR="008572C9">
        <w:t>T</w:t>
      </w:r>
      <w:r>
        <w:t xml:space="preserve">his happened </w:t>
      </w:r>
      <w:r w:rsidR="009978CD">
        <w:t xml:space="preserve">in accordance with </w:t>
      </w:r>
      <w:r>
        <w:t>part 19 of the NGR</w:t>
      </w:r>
      <w:r w:rsidR="008572C9">
        <w:t xml:space="preserve"> through information being provided to AEMO and being disseminated to the market</w:t>
      </w:r>
      <w:r>
        <w:t>.</w:t>
      </w:r>
      <w:r w:rsidR="008572C9">
        <w:t xml:space="preserve"> The same participants have raised concerns that requirements to provide updated information through the Bulletin Board may cause delays and confusion in the management of an event.</w:t>
      </w:r>
    </w:p>
    <w:p w:rsidR="00CC1E91" w:rsidRDefault="000E22C2" w:rsidP="00DE7310">
      <w:r>
        <w:t xml:space="preserve">Other participants have commented that the provision of further information as </w:t>
      </w:r>
      <w:r w:rsidR="008572C9">
        <w:t xml:space="preserve">soon as practicably available </w:t>
      </w:r>
      <w:r>
        <w:t>from Esso on the Bu</w:t>
      </w:r>
      <w:r w:rsidR="008572C9">
        <w:t>lletin Board would have been valuable to them to assess the market conditions.</w:t>
      </w:r>
      <w:r w:rsidR="00135270">
        <w:t xml:space="preserve"> This information would</w:t>
      </w:r>
      <w:r w:rsidR="00BE1AE4">
        <w:t>,</w:t>
      </w:r>
      <w:r w:rsidR="00135270">
        <w:t xml:space="preserve"> </w:t>
      </w:r>
      <w:r w:rsidR="00BE1AE4">
        <w:t>for example, communicate the duration and magnitude of any facility outage</w:t>
      </w:r>
      <w:r w:rsidR="00801EB4">
        <w:t>.</w:t>
      </w:r>
      <w:r w:rsidR="00135270">
        <w:t xml:space="preserve"> </w:t>
      </w:r>
      <w:r w:rsidR="008572C9">
        <w:t xml:space="preserve">The </w:t>
      </w:r>
      <w:r w:rsidR="009978CD">
        <w:t>provision of this additional information is</w:t>
      </w:r>
      <w:r w:rsidR="008572C9">
        <w:t xml:space="preserve"> consistent with Bulletin Board changes recommended by the AEMC</w:t>
      </w:r>
      <w:r w:rsidR="009978CD">
        <w:t>, and currently under development</w:t>
      </w:r>
      <w:r w:rsidR="008572C9">
        <w:t xml:space="preserve">. </w:t>
      </w:r>
    </w:p>
    <w:p w:rsidR="00CC1E91" w:rsidRDefault="00CC1E91" w:rsidP="00DE7310">
      <w:r>
        <w:t>We consider it is likely participants would have valued early notification about Longford’s capacity on the day.</w:t>
      </w:r>
    </w:p>
    <w:p w:rsidR="00CC1E91" w:rsidRDefault="00CC1E91" w:rsidP="00DE7310">
      <w:r>
        <w:t xml:space="preserve">However, this is not to suggest that Esso did not provide critical information to AEMO in accordance with its obligations under the NGR. </w:t>
      </w:r>
    </w:p>
    <w:p w:rsidR="00A25E7B" w:rsidRDefault="00CC1E91" w:rsidP="00DE7310">
      <w:r>
        <w:t>We consider</w:t>
      </w:r>
      <w:r w:rsidR="00DE7310">
        <w:t xml:space="preserve"> that a timely posting of facility’s operational </w:t>
      </w:r>
      <w:r w:rsidR="00A25E7B">
        <w:t>status</w:t>
      </w:r>
      <w:r w:rsidR="008572C9">
        <w:t xml:space="preserve"> on </w:t>
      </w:r>
      <w:r w:rsidR="00DE7310">
        <w:t xml:space="preserve">the </w:t>
      </w:r>
      <w:r w:rsidR="00A25E7B">
        <w:t xml:space="preserve">public </w:t>
      </w:r>
      <w:r w:rsidR="00DE7310">
        <w:t xml:space="preserve">bulletin board </w:t>
      </w:r>
      <w:r w:rsidR="008572C9">
        <w:t xml:space="preserve">would </w:t>
      </w:r>
      <w:r w:rsidR="00DE7310">
        <w:t xml:space="preserve">improve transparency </w:t>
      </w:r>
      <w:r w:rsidR="008572C9">
        <w:t xml:space="preserve">overall </w:t>
      </w:r>
      <w:r w:rsidR="00DE7310">
        <w:t>and</w:t>
      </w:r>
      <w:r w:rsidR="008572C9">
        <w:t xml:space="preserve"> would be consistent with reducing </w:t>
      </w:r>
      <w:r w:rsidR="00A25E7B">
        <w:t xml:space="preserve">any </w:t>
      </w:r>
      <w:r w:rsidR="008572C9">
        <w:t xml:space="preserve">perceptions </w:t>
      </w:r>
      <w:r w:rsidR="00A25E7B">
        <w:t xml:space="preserve">or actual issues </w:t>
      </w:r>
      <w:r>
        <w:t>with information asymmetry.</w:t>
      </w:r>
    </w:p>
    <w:p w:rsidR="00DE7310" w:rsidRDefault="00A25E7B" w:rsidP="00DE7310">
      <w:r>
        <w:t>The AER will discuss further with AEMC and A</w:t>
      </w:r>
      <w:r w:rsidR="00462130">
        <w:t>EMO</w:t>
      </w:r>
      <w:r>
        <w:t xml:space="preserve"> the implementation of this rule change with regard to how bulletin board information is provided simultaneously with information to market operators.</w:t>
      </w:r>
    </w:p>
    <w:p w:rsidR="00C1328C" w:rsidRPr="00CC1E91" w:rsidRDefault="00C1328C" w:rsidP="00C1328C">
      <w:pPr>
        <w:pStyle w:val="Heading4notnumbered"/>
        <w:rPr>
          <w:rFonts w:eastAsiaTheme="minorHAnsi"/>
        </w:rPr>
      </w:pPr>
      <w:r>
        <w:rPr>
          <w:rFonts w:eastAsiaTheme="minorHAnsi"/>
        </w:rPr>
        <w:t>The allocation of uplift payments</w:t>
      </w:r>
    </w:p>
    <w:p w:rsidR="00C1328C" w:rsidRDefault="00C1328C" w:rsidP="00C1328C">
      <w:r>
        <w:t>As noted above, some participants raised concerns that the settlement outcome on the day may not adequately allocate ‘costs to cause’.</w:t>
      </w:r>
      <w:r w:rsidRPr="00C1328C">
        <w:t xml:space="preserve"> </w:t>
      </w:r>
      <w:r>
        <w:t>Other participants said they found it difficult to determine the impact of ancillary and uplift payments generated.</w:t>
      </w:r>
    </w:p>
    <w:p w:rsidR="00C1328C" w:rsidRDefault="00C1328C" w:rsidP="00DE7310">
      <w:r>
        <w:lastRenderedPageBreak/>
        <w:t>AEMO has committed to exploring this issue further and has invited participants to provide their comments and suggestions. We will monitor this work and participate where appropriate.</w:t>
      </w:r>
    </w:p>
    <w:p w:rsidR="00DE7310" w:rsidRPr="00CC1E91" w:rsidRDefault="00CC1E91" w:rsidP="00CC1E91">
      <w:pPr>
        <w:pStyle w:val="Heading4notnumbered"/>
        <w:rPr>
          <w:rFonts w:eastAsiaTheme="minorHAnsi"/>
        </w:rPr>
      </w:pPr>
      <w:r>
        <w:rPr>
          <w:rFonts w:eastAsiaTheme="minorHAnsi"/>
        </w:rPr>
        <w:t>Follow up actions</w:t>
      </w:r>
    </w:p>
    <w:p w:rsidR="00294ED3" w:rsidRDefault="009978CD">
      <w:r>
        <w:t xml:space="preserve">In preparing </w:t>
      </w:r>
      <w:r w:rsidR="00C1097E">
        <w:t xml:space="preserve">this report, a number of issues </w:t>
      </w:r>
      <w:r>
        <w:t xml:space="preserve">were identified that warrant further action. </w:t>
      </w:r>
      <w:r w:rsidR="00294ED3">
        <w:t>In summary:</w:t>
      </w:r>
    </w:p>
    <w:p w:rsidR="00E44938" w:rsidRDefault="00E44938" w:rsidP="00E44938">
      <w:pPr>
        <w:pStyle w:val="ListParagraph"/>
        <w:numPr>
          <w:ilvl w:val="0"/>
          <w:numId w:val="27"/>
        </w:numPr>
      </w:pPr>
      <w:r>
        <w:t xml:space="preserve">We intend to </w:t>
      </w:r>
      <w:r w:rsidR="009978CD">
        <w:t>explore with</w:t>
      </w:r>
      <w:r>
        <w:t xml:space="preserve"> the AEMO Gas Wholesale Consultative Forum:</w:t>
      </w:r>
    </w:p>
    <w:p w:rsidR="00E44938" w:rsidRDefault="00E44938" w:rsidP="00E44938">
      <w:pPr>
        <w:pStyle w:val="ListParagraph"/>
        <w:numPr>
          <w:ilvl w:val="1"/>
          <w:numId w:val="27"/>
        </w:numPr>
      </w:pPr>
      <w:r>
        <w:t xml:space="preserve">the merits of a standing default allocation of gas at Longford (pending market resolution) for the split of gas between NSW and Victoria in an emergency and </w:t>
      </w:r>
    </w:p>
    <w:p w:rsidR="00A579AF" w:rsidRDefault="00E44938" w:rsidP="00E44938">
      <w:pPr>
        <w:pStyle w:val="ListParagraph"/>
        <w:numPr>
          <w:ilvl w:val="1"/>
          <w:numId w:val="27"/>
        </w:numPr>
      </w:pPr>
      <w:r>
        <w:t>the merits (and need) to decrease the timing differences of publication of information/data on the MIBB and the same information via email/sms</w:t>
      </w:r>
    </w:p>
    <w:p w:rsidR="00E44938" w:rsidRPr="00A579AF" w:rsidRDefault="00A579AF" w:rsidP="00A579AF">
      <w:pPr>
        <w:pStyle w:val="ListParagraph"/>
        <w:numPr>
          <w:ilvl w:val="0"/>
          <w:numId w:val="27"/>
        </w:numPr>
      </w:pPr>
      <w:r w:rsidRPr="00A579AF">
        <w:rPr>
          <w:bCs/>
        </w:rPr>
        <w:t>We will also explore whether intra-day facility updates on the Bulletin Board (for material changes) may have increased information available during this event. Noting the recommended rule change (to require intra-day data) from the AEMC’s 2016 Gas Market Review the AER will clarify in advance with industry what information (including duration and magnitude) is to be expected and in what time frame.</w:t>
      </w:r>
    </w:p>
    <w:p w:rsidR="00A579AF" w:rsidRPr="00A579AF" w:rsidRDefault="00A579AF" w:rsidP="00A579AF">
      <w:pPr>
        <w:pStyle w:val="ListParagraph"/>
        <w:numPr>
          <w:ilvl w:val="0"/>
          <w:numId w:val="27"/>
        </w:numPr>
      </w:pPr>
      <w:r w:rsidRPr="00A579AF">
        <w:rPr>
          <w:bCs/>
        </w:rPr>
        <w:t>We note AEMO will examine whether there is scope for improving the allocation of uplift payments, depending on industry feedback. We will monitor this work and participate where appropriate.</w:t>
      </w:r>
    </w:p>
    <w:p w:rsidR="00A579AF" w:rsidRPr="00476AE6" w:rsidRDefault="00A579AF" w:rsidP="00A579AF">
      <w:pPr>
        <w:pStyle w:val="ListParagraph"/>
        <w:numPr>
          <w:ilvl w:val="0"/>
          <w:numId w:val="27"/>
        </w:numPr>
      </w:pPr>
      <w:r>
        <w:t>We will report on any instances of non-compliance on the gas day in our next Quarterly Compliance Reports.</w:t>
      </w:r>
    </w:p>
    <w:p w:rsidR="004D7D5B" w:rsidRDefault="009925A8">
      <w:pPr>
        <w:pStyle w:val="Heading1notnumber"/>
      </w:pPr>
      <w:bookmarkStart w:id="54" w:name="_Toc470092459"/>
      <w:r>
        <w:lastRenderedPageBreak/>
        <w:t>A</w:t>
      </w:r>
      <w:r w:rsidR="004D7D5B" w:rsidRPr="004D7D5B">
        <w:t>ppendix A – AER SPV reporting thresholds</w:t>
      </w:r>
      <w:bookmarkEnd w:id="54"/>
    </w:p>
    <w:p w:rsidR="004D7D5B" w:rsidRDefault="004D7D5B" w:rsidP="004D7D5B">
      <w:r>
        <w:t xml:space="preserve">The Significant Price Variation Reporting thresholds are set out below. </w:t>
      </w:r>
    </w:p>
    <w:p w:rsidR="004D7D5B" w:rsidRDefault="004D7D5B" w:rsidP="004D7D5B">
      <w:r>
        <w:t xml:space="preserve">The two reporting thresholds set out in the </w:t>
      </w:r>
      <w:hyperlink r:id="rId16" w:history="1">
        <w:r w:rsidRPr="00010935">
          <w:rPr>
            <w:rStyle w:val="Hyperlink"/>
          </w:rPr>
          <w:t>Victorian SPV guideline</w:t>
        </w:r>
      </w:hyperlink>
      <w:r>
        <w:t xml:space="preserve"> are when:</w:t>
      </w:r>
    </w:p>
    <w:p w:rsidR="004D7D5B" w:rsidRDefault="004D7D5B" w:rsidP="004D7D5B">
      <w:pPr>
        <w:pStyle w:val="ListBullet"/>
      </w:pPr>
      <w:r>
        <w:t>the trade weighted market price published by AEMO on a gas day is more than three times the average price for the previous 30 days and the trade weighted market price is equal to or greater than $15/GJ</w:t>
      </w:r>
    </w:p>
    <w:p w:rsidR="004D7D5B" w:rsidRDefault="004D7D5B" w:rsidP="004D7D5B">
      <w:pPr>
        <w:pStyle w:val="ListBullet"/>
      </w:pPr>
      <w:r>
        <w:t>the ancillary payment amount published by AEMO on a gas day is an amount payable or receivable which exceeds $250 000.</w:t>
      </w:r>
    </w:p>
    <w:p w:rsidR="00571703" w:rsidRDefault="00FA49FF" w:rsidP="00FA49FF">
      <w:pPr>
        <w:pStyle w:val="Heading1notnumber"/>
      </w:pPr>
      <w:bookmarkStart w:id="55" w:name="_Toc470092460"/>
      <w:r>
        <w:lastRenderedPageBreak/>
        <w:t>Appendix B</w:t>
      </w:r>
      <w:r w:rsidR="00E8365E">
        <w:t xml:space="preserve"> – </w:t>
      </w:r>
      <w:r w:rsidR="004D7FA9">
        <w:t>Ancillary and u</w:t>
      </w:r>
      <w:r w:rsidR="00571703">
        <w:t>plift payments</w:t>
      </w:r>
      <w:bookmarkEnd w:id="55"/>
    </w:p>
    <w:p w:rsidR="00571703" w:rsidRDefault="00571703" w:rsidP="00571703">
      <w:r>
        <w:t xml:space="preserve">Rule 239 of the NGR provides that any market participant </w:t>
      </w:r>
      <w:r w:rsidRPr="00C91EF4">
        <w:t>who is given a scheduling instruction</w:t>
      </w:r>
      <w:r>
        <w:t xml:space="preserve"> by AEMO</w:t>
      </w:r>
      <w:r w:rsidRPr="00C91EF4">
        <w:t xml:space="preserve"> to inject or withdraw more gas than t</w:t>
      </w:r>
      <w:r>
        <w:t>hey were</w:t>
      </w:r>
      <w:r w:rsidRPr="00C91EF4">
        <w:t xml:space="preserve"> scheduled is entitled to receive an ancillary payment</w:t>
      </w:r>
      <w:r>
        <w:t>.</w:t>
      </w:r>
      <w:r>
        <w:rPr>
          <w:rStyle w:val="FootnoteReference"/>
        </w:rPr>
        <w:footnoteReference w:id="39"/>
      </w:r>
      <w:r>
        <w:t xml:space="preserve"> </w:t>
      </w:r>
    </w:p>
    <w:p w:rsidR="00571703" w:rsidRDefault="00571703" w:rsidP="00571703">
      <w:r>
        <w:t xml:space="preserve">Ancillary payments are funded by uplift payments. AEMO has published the </w:t>
      </w:r>
      <w:hyperlink r:id="rId17" w:history="1">
        <w:r w:rsidRPr="00211B57">
          <w:rPr>
            <w:rStyle w:val="Hyperlink"/>
          </w:rPr>
          <w:t>Wholesale Market Uplift Payment Procedures</w:t>
        </w:r>
      </w:hyperlink>
      <w:r>
        <w:t xml:space="preserve"> which set out, amongst other things, how ancillary payments are allocated between uplift payments.</w:t>
      </w:r>
    </w:p>
    <w:p w:rsidR="00571703" w:rsidRDefault="00571703" w:rsidP="00571703">
      <w:r>
        <w:t xml:space="preserve">Rule 240 (2)(a) of the NGR requires AEMO, when making the procedures, to apply the principle of allocating uplift payments so far as practicable to the cause.  </w:t>
      </w:r>
    </w:p>
    <w:p w:rsidR="00571703" w:rsidRDefault="00571703" w:rsidP="00571703">
      <w:pPr>
        <w:rPr>
          <w:b/>
        </w:rPr>
      </w:pPr>
      <w:r>
        <w:t>The procedures note uplift payments are ‘therefore allocated to those Registered Participants whose actions generated the relevant ancillary payments’. The procedures also explain the three kinds of uplift payments; congestion, surprise, and common.</w:t>
      </w:r>
    </w:p>
    <w:p w:rsidR="00571703" w:rsidRDefault="00571703" w:rsidP="00571703">
      <w:r w:rsidRPr="00571703">
        <w:rPr>
          <w:b/>
        </w:rPr>
        <w:t>Congestion uplift payments</w:t>
      </w:r>
      <w:r>
        <w:t xml:space="preserve"> will be to a market participant </w:t>
      </w:r>
      <w:r w:rsidRPr="00683D85">
        <w:t>where the total wi</w:t>
      </w:r>
      <w:r>
        <w:t>thdrawals of gas by that market p</w:t>
      </w:r>
      <w:r w:rsidRPr="00683D85">
        <w:t>articipant in a scheduling interval exceed its</w:t>
      </w:r>
      <w:r>
        <w:t xml:space="preserve"> authorised maximum interval quantity</w:t>
      </w:r>
      <w:r w:rsidRPr="00683D85">
        <w:t xml:space="preserve"> </w:t>
      </w:r>
      <w:r>
        <w:t>(</w:t>
      </w:r>
      <w:r w:rsidRPr="00683D85">
        <w:rPr>
          <w:b/>
        </w:rPr>
        <w:t>AMIQ</w:t>
      </w:r>
      <w:r>
        <w:t>)</w:t>
      </w:r>
      <w:r w:rsidRPr="00683D85">
        <w:t xml:space="preserve"> in that scheduling interval</w:t>
      </w:r>
      <w:r>
        <w:t>.</w:t>
      </w:r>
      <w:r>
        <w:rPr>
          <w:rStyle w:val="FootnoteReference"/>
        </w:rPr>
        <w:footnoteReference w:id="40"/>
      </w:r>
    </w:p>
    <w:p w:rsidR="00571703" w:rsidRDefault="00571703" w:rsidP="00571703">
      <w:r w:rsidRPr="00571703">
        <w:rPr>
          <w:b/>
        </w:rPr>
        <w:t>Surprise uplift payments</w:t>
      </w:r>
      <w:r w:rsidRPr="00571703">
        <w:t xml:space="preserve"> will be allocated to any </w:t>
      </w:r>
      <w:r>
        <w:t>m</w:t>
      </w:r>
      <w:r w:rsidRPr="00571703">
        <w:t xml:space="preserve">arket </w:t>
      </w:r>
      <w:r>
        <w:t>p</w:t>
      </w:r>
      <w:r w:rsidRPr="00571703">
        <w:t xml:space="preserve">articipant which does not inject or withdraw gas in a gas day in accordance with that </w:t>
      </w:r>
      <w:r>
        <w:t>m</w:t>
      </w:r>
      <w:r w:rsidRPr="00571703">
        <w:t xml:space="preserve">arket </w:t>
      </w:r>
      <w:r>
        <w:t>p</w:t>
      </w:r>
      <w:r w:rsidRPr="00571703">
        <w:t>articipant's operating scheduled injections or operating scheduled withdrawals (as applicable) in the previous schedule or its demand forecasts or operating scheduled controllable withdrawals increase or decrease between the previous and the current schedules.</w:t>
      </w:r>
    </w:p>
    <w:p w:rsidR="00571703" w:rsidRDefault="00571703" w:rsidP="00571703">
      <w:r w:rsidRPr="00571703">
        <w:t xml:space="preserve">If the aggregate amount of uplift payments allocated by AEMO as congestion uplift payments and surprise uplift payments in respect of a gas day do not fully fund the total ancillary payments payable in respect of that gas day, the unfunded portion of such ancillary payments is allocated by AEMO as </w:t>
      </w:r>
      <w:r w:rsidRPr="00571703">
        <w:rPr>
          <w:b/>
        </w:rPr>
        <w:t>common uplift payments</w:t>
      </w:r>
      <w:r w:rsidRPr="00571703">
        <w:t>.</w:t>
      </w:r>
    </w:p>
    <w:p w:rsidR="00571703" w:rsidRDefault="00571703" w:rsidP="00571703">
      <w:r w:rsidRPr="00571703">
        <w:rPr>
          <w:b/>
        </w:rPr>
        <w:t>Common uplift payments</w:t>
      </w:r>
      <w:r>
        <w:t xml:space="preserve"> arise in the following circumstances:</w:t>
      </w:r>
    </w:p>
    <w:p w:rsidR="00571703" w:rsidRDefault="00571703" w:rsidP="00D140E5">
      <w:pPr>
        <w:pStyle w:val="ListParagraph"/>
        <w:numPr>
          <w:ilvl w:val="0"/>
          <w:numId w:val="29"/>
        </w:numPr>
      </w:pPr>
      <w:r>
        <w:t xml:space="preserve">where AEMO overrides the total demand forecasts from all Market Participants by increasing the demand forecasts for scheduling, but the actual uncontrollable demand is less. As a result, the additional withdrawals cannot be attributed to specific Market Participants’ forecasting errors and must therefore be categorised by AEMO as common uplift payments to be shared by all Market Participants; </w:t>
      </w:r>
    </w:p>
    <w:p w:rsidR="00571703" w:rsidRDefault="00571703" w:rsidP="00D140E5">
      <w:pPr>
        <w:pStyle w:val="ListParagraph"/>
        <w:numPr>
          <w:ilvl w:val="0"/>
          <w:numId w:val="29"/>
        </w:numPr>
      </w:pPr>
      <w:r>
        <w:t xml:space="preserve">where the terms and conditions of the service envelope agreement of the relevant declared transmission system service provider limits the amount of uplift payments that would otherwise be payable by that declared transmission system service provider as a result of failing to meet its agreed capacity requirements; </w:t>
      </w:r>
    </w:p>
    <w:p w:rsidR="00571703" w:rsidRDefault="00571703" w:rsidP="00D140E5">
      <w:pPr>
        <w:pStyle w:val="ListParagraph"/>
        <w:numPr>
          <w:ilvl w:val="0"/>
          <w:numId w:val="29"/>
        </w:numPr>
      </w:pPr>
      <w:r>
        <w:lastRenderedPageBreak/>
        <w:t>or where uplift payments are payable but there is no basis for categorising these uplift payments as surprise or congestion uplift payments.</w:t>
      </w:r>
    </w:p>
    <w:p w:rsidR="00E8365E" w:rsidRDefault="00E8365E" w:rsidP="00571703"/>
    <w:p w:rsidR="00455469" w:rsidRDefault="00455469" w:rsidP="00571703"/>
    <w:p w:rsidR="00455469" w:rsidRDefault="00455469" w:rsidP="00571703"/>
    <w:p w:rsidR="00455469" w:rsidRDefault="00455469" w:rsidP="00571703">
      <w:pPr>
        <w:sectPr w:rsidR="00455469" w:rsidSect="007315D9">
          <w:footerReference w:type="even" r:id="rId18"/>
          <w:footerReference w:type="default" r:id="rId19"/>
          <w:footerReference w:type="first" r:id="rId20"/>
          <w:pgSz w:w="11906" w:h="16838" w:code="9"/>
          <w:pgMar w:top="1134" w:right="1700" w:bottom="1560" w:left="1729" w:header="720" w:footer="1009" w:gutter="0"/>
          <w:cols w:space="720"/>
          <w:docGrid w:linePitch="326"/>
        </w:sectPr>
      </w:pPr>
    </w:p>
    <w:p w:rsidR="00455469" w:rsidRDefault="00455469" w:rsidP="00455469">
      <w:pPr>
        <w:pStyle w:val="Heading1notnumber"/>
      </w:pPr>
      <w:bookmarkStart w:id="56" w:name="_Toc470092461"/>
      <w:r>
        <w:lastRenderedPageBreak/>
        <w:t>Appendix C – Consultation</w:t>
      </w:r>
      <w:bookmarkEnd w:id="56"/>
    </w:p>
    <w:p w:rsidR="00455469" w:rsidRDefault="00455469" w:rsidP="00571703">
      <w:r>
        <w:t>Parties consulted with in preparing this report:</w:t>
      </w:r>
    </w:p>
    <w:p w:rsidR="00455469" w:rsidRDefault="00455469" w:rsidP="00571703">
      <w:r>
        <w:t>AEMO</w:t>
      </w:r>
    </w:p>
    <w:p w:rsidR="00455469" w:rsidRDefault="00455469" w:rsidP="00571703">
      <w:r>
        <w:t>AGL</w:t>
      </w:r>
    </w:p>
    <w:p w:rsidR="00D50E79" w:rsidRDefault="00D50E79" w:rsidP="00571703">
      <w:r>
        <w:t>AGN (APA)</w:t>
      </w:r>
    </w:p>
    <w:p w:rsidR="00455469" w:rsidRDefault="00455469" w:rsidP="00571703">
      <w:r>
        <w:t>Australian Paper</w:t>
      </w:r>
    </w:p>
    <w:p w:rsidR="00455469" w:rsidRDefault="00455469" w:rsidP="00571703">
      <w:r>
        <w:t>Energy Australia</w:t>
      </w:r>
    </w:p>
    <w:p w:rsidR="00455469" w:rsidRDefault="00455469" w:rsidP="00571703">
      <w:r>
        <w:t>Engie</w:t>
      </w:r>
    </w:p>
    <w:p w:rsidR="00455469" w:rsidRDefault="00455469" w:rsidP="00571703">
      <w:r>
        <w:t>ERM</w:t>
      </w:r>
    </w:p>
    <w:p w:rsidR="00455469" w:rsidRDefault="00455469" w:rsidP="00571703">
      <w:r>
        <w:t>Esso</w:t>
      </w:r>
    </w:p>
    <w:p w:rsidR="00455469" w:rsidRPr="00DE155E" w:rsidRDefault="00455469" w:rsidP="00571703">
      <w:r w:rsidRPr="00DE155E">
        <w:t>Jemena</w:t>
      </w:r>
    </w:p>
    <w:p w:rsidR="00455469" w:rsidRDefault="00455469" w:rsidP="00571703">
      <w:r>
        <w:t>Momentum</w:t>
      </w:r>
    </w:p>
    <w:p w:rsidR="00455469" w:rsidRDefault="00455469" w:rsidP="00571703">
      <w:r>
        <w:t>Shell (QGC)</w:t>
      </w:r>
    </w:p>
    <w:p w:rsidR="00455469" w:rsidRPr="00571703" w:rsidRDefault="00C1097E" w:rsidP="00571703">
      <w:r>
        <w:t>Victorian Department</w:t>
      </w:r>
    </w:p>
    <w:sectPr w:rsidR="00455469" w:rsidRPr="00571703" w:rsidSect="007315D9">
      <w:pgSz w:w="11906" w:h="16838" w:code="9"/>
      <w:pgMar w:top="1134" w:right="1700" w:bottom="1560" w:left="1729" w:header="720" w:footer="10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7D63" w:rsidRDefault="00057D63">
      <w:pPr>
        <w:spacing w:before="0" w:line="240" w:lineRule="auto"/>
      </w:pPr>
      <w:r>
        <w:separator/>
      </w:r>
    </w:p>
  </w:endnote>
  <w:endnote w:type="continuationSeparator" w:id="0">
    <w:p w:rsidR="00057D63" w:rsidRDefault="00057D6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D63" w:rsidRPr="007A4D1F" w:rsidRDefault="00057D63" w:rsidP="003610D1">
    <w:pPr>
      <w:tabs>
        <w:tab w:val="left" w:pos="1623"/>
        <w:tab w:val="center" w:pos="4513"/>
        <w:tab w:val="right" w:pos="9026"/>
      </w:tabs>
      <w:spacing w:after="120"/>
      <w:rPr>
        <w:rFonts w:eastAsia="Arial" w:cs="Times New Roman"/>
        <w:color w:val="076A92" w:themeColor="text1"/>
        <w:sz w:val="18"/>
      </w:rPr>
    </w:pPr>
    <w:r>
      <w:rPr>
        <w:rFonts w:eastAsia="Arial" w:cs="Times New Roman"/>
        <w:color w:val="076A92" w:themeColor="text1"/>
        <w:sz w:val="18"/>
      </w:rPr>
      <w:fldChar w:fldCharType="begin"/>
    </w:r>
    <w:r>
      <w:rPr>
        <w:rFonts w:eastAsia="Arial" w:cs="Times New Roman"/>
        <w:color w:val="076A92" w:themeColor="text1"/>
        <w:sz w:val="18"/>
      </w:rPr>
      <w:instrText xml:space="preserve"> STYLEREF  "Report Title"  \* MERGEFORMAT </w:instrText>
    </w:r>
    <w:r>
      <w:rPr>
        <w:rFonts w:eastAsia="Arial" w:cs="Times New Roman"/>
        <w:color w:val="076A92" w:themeColor="text1"/>
        <w:sz w:val="18"/>
      </w:rPr>
      <w:fldChar w:fldCharType="separate"/>
    </w:r>
    <w:r w:rsidR="00490750" w:rsidRPr="00490750">
      <w:rPr>
        <w:rFonts w:eastAsia="Arial" w:cs="Times New Roman"/>
        <w:b/>
        <w:bCs/>
        <w:noProof/>
        <w:color w:val="076A92" w:themeColor="text1"/>
        <w:sz w:val="18"/>
        <w:lang w:val="en-US"/>
      </w:rPr>
      <w:t>Significant price variation report</w:t>
    </w:r>
    <w:r>
      <w:rPr>
        <w:rFonts w:eastAsia="Arial" w:cs="Times New Roman"/>
        <w:color w:val="076A92" w:themeColor="text1"/>
        <w:sz w:val="18"/>
      </w:rPr>
      <w:fldChar w:fldCharType="end"/>
    </w:r>
    <w:r>
      <w:rPr>
        <w:rFonts w:eastAsia="Arial" w:cs="Times New Roman"/>
        <w:color w:val="076A92" w:themeColor="text1"/>
        <w:sz w:val="18"/>
      </w:rPr>
      <w:t xml:space="preserve"> Victorian Gas Market Longford Facility Outage 1 October  2016</w:t>
    </w:r>
    <w:r>
      <w:rPr>
        <w:rFonts w:eastAsia="Arial" w:cs="Times New Roman"/>
        <w:color w:val="076A92" w:themeColor="text1"/>
        <w:sz w:val="18"/>
      </w:rPr>
      <w:tab/>
    </w:r>
    <w:r w:rsidRPr="007A4D1F">
      <w:rPr>
        <w:rFonts w:eastAsia="Arial" w:cs="Times New Roman"/>
        <w:color w:val="076A92" w:themeColor="text1"/>
        <w:sz w:val="18"/>
      </w:rPr>
      <w:fldChar w:fldCharType="begin"/>
    </w:r>
    <w:r w:rsidRPr="007A4D1F">
      <w:rPr>
        <w:rFonts w:eastAsia="Arial" w:cs="Times New Roman"/>
        <w:color w:val="076A92" w:themeColor="text1"/>
        <w:sz w:val="18"/>
      </w:rPr>
      <w:instrText xml:space="preserve"> PAGE   \* MERGEFORMAT </w:instrText>
    </w:r>
    <w:r w:rsidRPr="007A4D1F">
      <w:rPr>
        <w:rFonts w:eastAsia="Arial" w:cs="Times New Roman"/>
        <w:color w:val="076A92" w:themeColor="text1"/>
        <w:sz w:val="18"/>
      </w:rPr>
      <w:fldChar w:fldCharType="separate"/>
    </w:r>
    <w:r w:rsidR="00490750">
      <w:rPr>
        <w:rFonts w:eastAsia="Arial" w:cs="Times New Roman"/>
        <w:noProof/>
        <w:color w:val="076A92" w:themeColor="text1"/>
        <w:sz w:val="18"/>
      </w:rPr>
      <w:t>iii</w:t>
    </w:r>
    <w:r w:rsidRPr="007A4D1F">
      <w:rPr>
        <w:rFonts w:eastAsia="Arial" w:cs="Times New Roman"/>
        <w:noProof/>
        <w:color w:val="076A92" w:themeColor="text1"/>
        <w:sz w:val="18"/>
      </w:rPr>
      <w:fldChar w:fldCharType="end"/>
    </w:r>
    <w:r w:rsidRPr="007A4D1F">
      <w:rPr>
        <w:rFonts w:eastAsia="Arial" w:cs="Times New Roman"/>
        <w:color w:val="076A92" w:themeColor="text1"/>
        <w:sz w:val="18"/>
      </w:rPr>
      <w:tab/>
    </w:r>
  </w:p>
  <w:p w:rsidR="00057D63" w:rsidRDefault="00057D63" w:rsidP="003610D1">
    <w:pPr>
      <w:pStyle w:val="Footer"/>
      <w:tabs>
        <w:tab w:val="clear" w:pos="4513"/>
        <w:tab w:val="clear" w:pos="9026"/>
        <w:tab w:val="left" w:pos="85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D63" w:rsidRPr="00A91A9E" w:rsidRDefault="00057D63" w:rsidP="003610D1">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057D63" w:rsidRDefault="00057D63"/>
  <w:p w:rsidR="00057D63" w:rsidRDefault="00057D6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D63" w:rsidRDefault="00057D63" w:rsidP="003610D1">
    <w:pPr>
      <w:pStyle w:val="Footer"/>
      <w:tabs>
        <w:tab w:val="clear" w:pos="9026"/>
        <w:tab w:val="right" w:pos="8505"/>
      </w:tabs>
    </w:pPr>
    <w:r>
      <w:rPr>
        <w:rFonts w:eastAsia="Arial" w:cs="Times New Roman"/>
      </w:rPr>
      <w:fldChar w:fldCharType="begin"/>
    </w:r>
    <w:r>
      <w:rPr>
        <w:rFonts w:eastAsia="Arial" w:cs="Times New Roman"/>
      </w:rPr>
      <w:instrText xml:space="preserve"> STYLEREF  "Report Title"  \* MERGEFORMAT </w:instrText>
    </w:r>
    <w:r>
      <w:rPr>
        <w:rFonts w:eastAsia="Arial" w:cs="Times New Roman"/>
      </w:rPr>
      <w:fldChar w:fldCharType="separate"/>
    </w:r>
    <w:r w:rsidR="00490750" w:rsidRPr="00490750">
      <w:rPr>
        <w:rFonts w:eastAsia="Arial" w:cs="Times New Roman"/>
        <w:b/>
        <w:bCs/>
        <w:noProof/>
        <w:lang w:val="en-US"/>
      </w:rPr>
      <w:t>Significant price variation report</w:t>
    </w:r>
    <w:r>
      <w:rPr>
        <w:rFonts w:eastAsia="Arial" w:cs="Times New Roman"/>
      </w:rPr>
      <w:fldChar w:fldCharType="end"/>
    </w:r>
    <w:r>
      <w:rPr>
        <w:rFonts w:eastAsia="Arial" w:cs="Times New Roman"/>
      </w:rPr>
      <w:t xml:space="preserve"> Victorian Gas Market Longford Facility Outage 1 October 2016</w:t>
    </w:r>
    <w:r>
      <w:tab/>
    </w:r>
    <w:r>
      <w:tab/>
    </w:r>
    <w:r>
      <w:fldChar w:fldCharType="begin"/>
    </w:r>
    <w:r>
      <w:instrText xml:space="preserve"> PAGE   \* MERGEFORMAT </w:instrText>
    </w:r>
    <w:r>
      <w:fldChar w:fldCharType="separate"/>
    </w:r>
    <w:r w:rsidR="00490750">
      <w:rPr>
        <w:noProof/>
      </w:rPr>
      <w:t>6</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D63" w:rsidRDefault="00177CDB" w:rsidP="003610D1">
    <w:pPr>
      <w:pStyle w:val="Footer"/>
      <w:tabs>
        <w:tab w:val="clear" w:pos="9026"/>
        <w:tab w:val="right" w:pos="8505"/>
      </w:tabs>
    </w:pPr>
    <w:fldSimple w:instr=" STYLEREF  &quot;Report Title&quot;  \* MERGEFORMAT ">
      <w:r w:rsidR="00057D63">
        <w:rPr>
          <w:noProof/>
        </w:rPr>
        <w:t>Significant price variation report</w:t>
      </w:r>
    </w:fldSimple>
    <w:r w:rsidR="00057D63">
      <w:tab/>
    </w:r>
    <w:r w:rsidR="00057D63">
      <w:tab/>
    </w:r>
    <w:r w:rsidR="00057D63">
      <w:fldChar w:fldCharType="begin"/>
    </w:r>
    <w:r w:rsidR="00057D63">
      <w:instrText xml:space="preserve"> PAGE   \* MERGEFORMAT </w:instrText>
    </w:r>
    <w:r w:rsidR="00057D63">
      <w:fldChar w:fldCharType="separate"/>
    </w:r>
    <w:r w:rsidR="00057D63">
      <w:rPr>
        <w:noProof/>
      </w:rPr>
      <w:t>1</w:t>
    </w:r>
    <w:r w:rsidR="00057D63">
      <w:fldChar w:fldCharType="end"/>
    </w:r>
  </w:p>
  <w:p w:rsidR="00057D63" w:rsidRDefault="00057D63">
    <w:pPr>
      <w:pStyle w:val="Footer"/>
    </w:pPr>
  </w:p>
  <w:p w:rsidR="00057D63" w:rsidRDefault="00057D63"/>
  <w:p w:rsidR="00057D63" w:rsidRDefault="00057D6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7D63" w:rsidRDefault="00057D63">
      <w:pPr>
        <w:spacing w:before="0" w:line="240" w:lineRule="auto"/>
      </w:pPr>
      <w:r>
        <w:separator/>
      </w:r>
    </w:p>
  </w:footnote>
  <w:footnote w:type="continuationSeparator" w:id="0">
    <w:p w:rsidR="00057D63" w:rsidRDefault="00057D63">
      <w:pPr>
        <w:spacing w:before="0" w:line="240" w:lineRule="auto"/>
      </w:pPr>
      <w:r>
        <w:continuationSeparator/>
      </w:r>
    </w:p>
  </w:footnote>
  <w:footnote w:id="1">
    <w:p w:rsidR="00057D63" w:rsidRDefault="00057D63">
      <w:pPr>
        <w:pStyle w:val="FootnoteText"/>
      </w:pPr>
      <w:r>
        <w:rPr>
          <w:rStyle w:val="FootnoteReference"/>
        </w:rPr>
        <w:footnoteRef/>
      </w:r>
      <w:r>
        <w:t xml:space="preserve"> </w:t>
      </w:r>
      <w:r>
        <w:tab/>
        <w:t>Esso noted the 2004 electrical shutdown had a different root cause to the 1 October 2016 event</w:t>
      </w:r>
    </w:p>
  </w:footnote>
  <w:footnote w:id="2">
    <w:p w:rsidR="00057D63" w:rsidRDefault="00057D63" w:rsidP="00590724">
      <w:pPr>
        <w:pStyle w:val="FootnoteText"/>
      </w:pPr>
      <w:r>
        <w:rPr>
          <w:rStyle w:val="FootnoteReference"/>
        </w:rPr>
        <w:footnoteRef/>
      </w:r>
      <w:r>
        <w:t xml:space="preserve"> </w:t>
      </w:r>
      <w:r>
        <w:tab/>
        <w:t>The obligation is set out in the National Gas Rules. Rule</w:t>
      </w:r>
      <w:r w:rsidRPr="00D57BF1">
        <w:t xml:space="preserve"> 355(1)(b)</w:t>
      </w:r>
      <w:r>
        <w:t xml:space="preserve"> relates to SPVs in the Victorian market. </w:t>
      </w:r>
      <w:r w:rsidRPr="006022E2">
        <w:t xml:space="preserve">These thresholds are noted </w:t>
      </w:r>
      <w:r>
        <w:t>in</w:t>
      </w:r>
      <w:r w:rsidRPr="006022E2">
        <w:t xml:space="preserve"> Appendix A.</w:t>
      </w:r>
    </w:p>
  </w:footnote>
  <w:footnote w:id="3">
    <w:p w:rsidR="00057D63" w:rsidRDefault="00057D63" w:rsidP="00F7123D">
      <w:pPr>
        <w:pStyle w:val="FootnoteText"/>
      </w:pPr>
      <w:r>
        <w:rPr>
          <w:rStyle w:val="FootnoteReference"/>
        </w:rPr>
        <w:footnoteRef/>
      </w:r>
      <w:r>
        <w:t xml:space="preserve"> </w:t>
      </w:r>
      <w:r>
        <w:tab/>
        <w:t xml:space="preserve">The east coast gas market contains around 39 per cent of Australia’s gas reserves, mainly located in Queensland and Victoria - AER’s </w:t>
      </w:r>
      <w:r>
        <w:rPr>
          <w:i/>
        </w:rPr>
        <w:t>State of the Energy Market 2015</w:t>
      </w:r>
      <w:r>
        <w:t>, page 90</w:t>
      </w:r>
    </w:p>
  </w:footnote>
  <w:footnote w:id="4">
    <w:p w:rsidR="00057D63" w:rsidRPr="00123403" w:rsidRDefault="00057D63" w:rsidP="00F7123D">
      <w:pPr>
        <w:pStyle w:val="FootnoteText"/>
      </w:pPr>
      <w:r>
        <w:rPr>
          <w:rStyle w:val="FootnoteReference"/>
        </w:rPr>
        <w:footnoteRef/>
      </w:r>
      <w:r>
        <w:t xml:space="preserve"> </w:t>
      </w:r>
      <w:r>
        <w:tab/>
        <w:t xml:space="preserve">AER’s </w:t>
      </w:r>
      <w:r>
        <w:rPr>
          <w:i/>
        </w:rPr>
        <w:t>State of the Energy Market 2015</w:t>
      </w:r>
      <w:r>
        <w:t>, page 90</w:t>
      </w:r>
    </w:p>
  </w:footnote>
  <w:footnote w:id="5">
    <w:p w:rsidR="00057D63" w:rsidRPr="00D065B3" w:rsidRDefault="00057D63" w:rsidP="00F7123D">
      <w:pPr>
        <w:pStyle w:val="FootnoteText"/>
      </w:pPr>
      <w:r>
        <w:rPr>
          <w:rStyle w:val="FootnoteReference"/>
        </w:rPr>
        <w:footnoteRef/>
      </w:r>
      <w:r>
        <w:t xml:space="preserve"> </w:t>
      </w:r>
      <w:r>
        <w:tab/>
        <w:t xml:space="preserve">AEMO’s </w:t>
      </w:r>
      <w:r>
        <w:rPr>
          <w:i/>
        </w:rPr>
        <w:t>Update Victorian Gas Planning Report February 2016</w:t>
      </w:r>
      <w:r>
        <w:t>, page 2</w:t>
      </w:r>
    </w:p>
  </w:footnote>
  <w:footnote w:id="6">
    <w:p w:rsidR="00057D63" w:rsidRPr="00D065B3" w:rsidRDefault="00057D63" w:rsidP="00F7123D">
      <w:pPr>
        <w:pStyle w:val="FootnoteText"/>
      </w:pPr>
      <w:r>
        <w:rPr>
          <w:rStyle w:val="FootnoteReference"/>
        </w:rPr>
        <w:footnoteRef/>
      </w:r>
      <w:r>
        <w:t xml:space="preserve"> </w:t>
      </w:r>
      <w:r>
        <w:tab/>
        <w:t xml:space="preserve">AER’s </w:t>
      </w:r>
      <w:r>
        <w:rPr>
          <w:i/>
        </w:rPr>
        <w:t>Significant price variation report East Coast Gas Market July &amp; August 2016</w:t>
      </w:r>
      <w:r>
        <w:t>, page 11</w:t>
      </w:r>
    </w:p>
  </w:footnote>
  <w:footnote w:id="7">
    <w:p w:rsidR="00057D63" w:rsidRDefault="00057D63" w:rsidP="00F7123D">
      <w:pPr>
        <w:pStyle w:val="FootnoteText"/>
      </w:pPr>
      <w:r>
        <w:rPr>
          <w:rStyle w:val="FootnoteReference"/>
        </w:rPr>
        <w:footnoteRef/>
      </w:r>
      <w:r>
        <w:t xml:space="preserve"> </w:t>
      </w:r>
      <w:r>
        <w:tab/>
      </w:r>
      <w:hyperlink r:id="rId1" w:history="1">
        <w:r w:rsidRPr="00734613">
          <w:rPr>
            <w:rStyle w:val="Hyperlink"/>
            <w:sz w:val="16"/>
          </w:rPr>
          <w:t>https://www.apa.com.au/our-services/gas-transmission/east-coast-grid/victorian-transmission-system/</w:t>
        </w:r>
      </w:hyperlink>
      <w:r>
        <w:t xml:space="preserve"> </w:t>
      </w:r>
    </w:p>
  </w:footnote>
  <w:footnote w:id="8">
    <w:p w:rsidR="00057D63" w:rsidRDefault="00057D63">
      <w:pPr>
        <w:pStyle w:val="FootnoteText"/>
      </w:pPr>
      <w:r>
        <w:rPr>
          <w:rStyle w:val="FootnoteReference"/>
        </w:rPr>
        <w:footnoteRef/>
      </w:r>
      <w:r>
        <w:t xml:space="preserve"> </w:t>
      </w:r>
      <w:r>
        <w:tab/>
        <w:t>The VicHub is not shown on the map on the next page, it is located adjacent to Longford and provides interconnections between  the Victorian Transmission System, Eastern Gas Pipeline and Tasmanian Gas Pipeline</w:t>
      </w:r>
    </w:p>
  </w:footnote>
  <w:footnote w:id="9">
    <w:p w:rsidR="00057D63" w:rsidRDefault="00057D63">
      <w:pPr>
        <w:pStyle w:val="FootnoteText"/>
      </w:pPr>
      <w:r>
        <w:rPr>
          <w:rStyle w:val="FootnoteReference"/>
        </w:rPr>
        <w:footnoteRef/>
      </w:r>
      <w:r>
        <w:t xml:space="preserve"> </w:t>
      </w:r>
      <w:r>
        <w:tab/>
        <w:t>At the time of writing this report, a connection from the Tasmanian Gas Pipeline (TGP) and the DTS which could allow gas to flow back into Victoria from the TGP had not yet been commissioned.</w:t>
      </w:r>
    </w:p>
  </w:footnote>
  <w:footnote w:id="10">
    <w:p w:rsidR="00057D63" w:rsidRDefault="00057D63">
      <w:pPr>
        <w:pStyle w:val="FootnoteText"/>
      </w:pPr>
      <w:r>
        <w:rPr>
          <w:rStyle w:val="FootnoteReference"/>
        </w:rPr>
        <w:footnoteRef/>
      </w:r>
      <w:r>
        <w:t xml:space="preserve"> </w:t>
      </w:r>
      <w:r>
        <w:tab/>
        <w:t>Retailer market participants to varying degrees are exposed to the market price: if they have as much gas scheduled for injection as withdrawal, they are largely unexposed; if they have a strong withdrawal position then they are more exposed to buy gas at higher market prices such as occurred on 1 October.</w:t>
      </w:r>
    </w:p>
  </w:footnote>
  <w:footnote w:id="11">
    <w:p w:rsidR="00057D63" w:rsidRDefault="00057D63" w:rsidP="00F7123D">
      <w:pPr>
        <w:pStyle w:val="FootnoteText"/>
      </w:pPr>
      <w:r>
        <w:rPr>
          <w:rStyle w:val="FootnoteReference"/>
        </w:rPr>
        <w:footnoteRef/>
      </w:r>
      <w:r>
        <w:t xml:space="preserve"> </w:t>
      </w:r>
      <w:r>
        <w:tab/>
        <w:t>The operation of the DWGM doesn’t follow calendar days; instead a gas day is a 24 hour period beginning at 6 am. Following initial bidding at the beginning of the gas day (6 am), the bids may be revised at 10 am, 2, 6 and 10 pm.</w:t>
      </w:r>
    </w:p>
  </w:footnote>
  <w:footnote w:id="12">
    <w:p w:rsidR="00057D63" w:rsidRPr="001136BF" w:rsidRDefault="00057D63" w:rsidP="00F7123D">
      <w:pPr>
        <w:pStyle w:val="FootnoteText"/>
      </w:pPr>
      <w:r>
        <w:rPr>
          <w:rStyle w:val="FootnoteReference"/>
        </w:rPr>
        <w:footnoteRef/>
      </w:r>
      <w:r>
        <w:t xml:space="preserve"> </w:t>
      </w:r>
      <w:r>
        <w:tab/>
        <w:t xml:space="preserve">AEMO’s gas market registration document </w:t>
      </w:r>
      <w:r>
        <w:rPr>
          <w:i/>
        </w:rPr>
        <w:t>Participant Categories in the Gas Markets</w:t>
      </w:r>
      <w:r>
        <w:t>, page 2</w:t>
      </w:r>
    </w:p>
  </w:footnote>
  <w:footnote w:id="13">
    <w:p w:rsidR="00057D63" w:rsidRDefault="00057D63" w:rsidP="00F7123D">
      <w:pPr>
        <w:pStyle w:val="FootnoteText"/>
      </w:pPr>
      <w:r>
        <w:rPr>
          <w:rStyle w:val="FootnoteReference"/>
        </w:rPr>
        <w:footnoteRef/>
      </w:r>
      <w:r>
        <w:t xml:space="preserve"> </w:t>
      </w:r>
      <w:r>
        <w:tab/>
        <w:t>Rule 207 (1) and (2) of the NGR</w:t>
      </w:r>
    </w:p>
  </w:footnote>
  <w:footnote w:id="14">
    <w:p w:rsidR="00057D63" w:rsidRDefault="00057D63" w:rsidP="00F7123D">
      <w:pPr>
        <w:pStyle w:val="FootnoteText"/>
      </w:pPr>
      <w:r>
        <w:rPr>
          <w:rStyle w:val="FootnoteReference"/>
        </w:rPr>
        <w:footnoteRef/>
      </w:r>
      <w:r>
        <w:t xml:space="preserve"> </w:t>
      </w:r>
      <w:r>
        <w:tab/>
        <w:t>Rule 213 (2) (a), (b), (c)</w:t>
      </w:r>
    </w:p>
  </w:footnote>
  <w:footnote w:id="15">
    <w:p w:rsidR="00057D63" w:rsidRDefault="00057D63" w:rsidP="00F7123D">
      <w:pPr>
        <w:pStyle w:val="FootnoteText"/>
      </w:pPr>
      <w:r>
        <w:rPr>
          <w:rStyle w:val="FootnoteReference"/>
        </w:rPr>
        <w:footnoteRef/>
      </w:r>
      <w:r>
        <w:t xml:space="preserve"> </w:t>
      </w:r>
      <w:r>
        <w:tab/>
        <w:t>Rule 213 (4)</w:t>
      </w:r>
    </w:p>
  </w:footnote>
  <w:footnote w:id="16">
    <w:p w:rsidR="00057D63" w:rsidRDefault="00057D63">
      <w:pPr>
        <w:pStyle w:val="FootnoteText"/>
      </w:pPr>
      <w:r>
        <w:rPr>
          <w:rStyle w:val="FootnoteReference"/>
        </w:rPr>
        <w:footnoteRef/>
      </w:r>
      <w:r>
        <w:t xml:space="preserve"> </w:t>
      </w:r>
      <w:r>
        <w:tab/>
      </w:r>
      <w:hyperlink r:id="rId2" w:history="1">
        <w:r w:rsidR="00EF23FC" w:rsidRPr="00734613">
          <w:rPr>
            <w:rStyle w:val="Hyperlink"/>
            <w:sz w:val="16"/>
          </w:rPr>
          <w:t>https://www.apa.com.au/our-services/gas-transmission/east-coast-grid/victorian-transmission-system/</w:t>
        </w:r>
      </w:hyperlink>
      <w:r w:rsidR="00EF23FC">
        <w:t xml:space="preserve"> </w:t>
      </w:r>
    </w:p>
  </w:footnote>
  <w:footnote w:id="17">
    <w:p w:rsidR="00057D63" w:rsidRDefault="00057D63" w:rsidP="00132CF6">
      <w:pPr>
        <w:pStyle w:val="FootnoteText"/>
      </w:pPr>
      <w:r>
        <w:rPr>
          <w:rStyle w:val="FootnoteReference"/>
        </w:rPr>
        <w:footnoteRef/>
      </w:r>
      <w:r>
        <w:t xml:space="preserve"> </w:t>
      </w:r>
      <w:r>
        <w:tab/>
        <w:t>Rule 206</w:t>
      </w:r>
    </w:p>
  </w:footnote>
  <w:footnote w:id="18">
    <w:p w:rsidR="00057D63" w:rsidRDefault="00057D63">
      <w:pPr>
        <w:pStyle w:val="FootnoteText"/>
      </w:pPr>
      <w:r>
        <w:rPr>
          <w:rStyle w:val="FootnoteReference"/>
        </w:rPr>
        <w:footnoteRef/>
      </w:r>
      <w:r>
        <w:t xml:space="preserve"> </w:t>
      </w:r>
      <w:r>
        <w:tab/>
        <w:t>Part 18 of the NGR, Natural Gas Services Bulletin Board</w:t>
      </w:r>
    </w:p>
  </w:footnote>
  <w:footnote w:id="19">
    <w:p w:rsidR="00057D63" w:rsidRDefault="00057D63">
      <w:pPr>
        <w:pStyle w:val="FootnoteText"/>
      </w:pPr>
      <w:r>
        <w:rPr>
          <w:rStyle w:val="FootnoteReference"/>
        </w:rPr>
        <w:footnoteRef/>
      </w:r>
      <w:r>
        <w:t xml:space="preserve">  </w:t>
      </w:r>
      <w:r w:rsidR="00EF23FC">
        <w:tab/>
      </w:r>
      <w:hyperlink r:id="rId3" w:history="1">
        <w:r w:rsidRPr="00A31D9E">
          <w:rPr>
            <w:rStyle w:val="Hyperlink"/>
            <w:sz w:val="16"/>
          </w:rPr>
          <w:t>www.aemc.gov.au</w:t>
        </w:r>
      </w:hyperlink>
      <w:r>
        <w:t xml:space="preserve">; </w:t>
      </w:r>
      <w:r w:rsidRPr="00E44938">
        <w:t>AEMC 2016, East Coast Wholesale Gas Market and Pipeline Frameworks Review, Stage 2 final report: information provision, 23 May 2016</w:t>
      </w:r>
    </w:p>
  </w:footnote>
  <w:footnote w:id="20">
    <w:p w:rsidR="00057D63" w:rsidRDefault="00057D63" w:rsidP="00A076BE">
      <w:pPr>
        <w:pStyle w:val="FootnoteText"/>
      </w:pPr>
      <w:r>
        <w:rPr>
          <w:rStyle w:val="FootnoteReference"/>
        </w:rPr>
        <w:footnoteRef/>
      </w:r>
      <w:r>
        <w:t xml:space="preserve"> </w:t>
      </w:r>
      <w:r>
        <w:tab/>
        <w:t xml:space="preserve">AEMO’s report is available here: </w:t>
      </w:r>
      <w:hyperlink r:id="rId4" w:history="1">
        <w:r w:rsidRPr="00322DC4">
          <w:rPr>
            <w:rStyle w:val="Hyperlink"/>
            <w:sz w:val="16"/>
          </w:rPr>
          <w:t>https://www.aemo.com.au/Gas/Declared-Wholesale-Gas-Market-DWGM/Market-notices</w:t>
        </w:r>
      </w:hyperlink>
      <w:r>
        <w:t xml:space="preserve"> </w:t>
      </w:r>
    </w:p>
  </w:footnote>
  <w:footnote w:id="21">
    <w:p w:rsidR="00057D63" w:rsidRDefault="00057D63">
      <w:pPr>
        <w:pStyle w:val="FootnoteText"/>
      </w:pPr>
      <w:r>
        <w:rPr>
          <w:rStyle w:val="FootnoteReference"/>
        </w:rPr>
        <w:footnoteRef/>
      </w:r>
      <w:r>
        <w:t xml:space="preserve"> </w:t>
      </w:r>
      <w:r>
        <w:tab/>
        <w:t>This shutdown had a different root cause to the 1 October 2016 event</w:t>
      </w:r>
    </w:p>
  </w:footnote>
  <w:footnote w:id="22">
    <w:p w:rsidR="00057D63" w:rsidRDefault="00057D63">
      <w:pPr>
        <w:pStyle w:val="FootnoteText"/>
      </w:pPr>
      <w:r>
        <w:rPr>
          <w:rStyle w:val="FootnoteReference"/>
        </w:rPr>
        <w:footnoteRef/>
      </w:r>
      <w:r>
        <w:t xml:space="preserve"> </w:t>
      </w:r>
      <w:r>
        <w:tab/>
        <w:t xml:space="preserve">These generators are non-scheduled and are registered with AEMO under the National Electricity Rules. </w:t>
      </w:r>
    </w:p>
  </w:footnote>
  <w:footnote w:id="23">
    <w:p w:rsidR="00057D63" w:rsidRDefault="00057D63">
      <w:pPr>
        <w:pStyle w:val="FootnoteText"/>
      </w:pPr>
      <w:r>
        <w:rPr>
          <w:rStyle w:val="FootnoteReference"/>
        </w:rPr>
        <w:footnoteRef/>
      </w:r>
      <w:r>
        <w:t xml:space="preserve"> </w:t>
      </w:r>
      <w:r>
        <w:tab/>
        <w:t>AEMO refers to Longford in its report, information about Longford production facility comes from the operator, Esso</w:t>
      </w:r>
    </w:p>
  </w:footnote>
  <w:footnote w:id="24">
    <w:p w:rsidR="00057D63" w:rsidRDefault="00057D63">
      <w:pPr>
        <w:pStyle w:val="FootnoteText"/>
      </w:pPr>
      <w:r>
        <w:rPr>
          <w:rStyle w:val="FootnoteReference"/>
        </w:rPr>
        <w:footnoteRef/>
      </w:r>
      <w:r>
        <w:t xml:space="preserve"> </w:t>
      </w:r>
      <w:r>
        <w:tab/>
        <w:t xml:space="preserve">In Victoria, the first schedule for a gas day is the four hour period from 6 am to 10 am. The ad hoc schedule was required to revise the final hour of this schedule (i.e. from 9 am to 10 am). </w:t>
      </w:r>
    </w:p>
  </w:footnote>
  <w:footnote w:id="25">
    <w:p w:rsidR="00057D63" w:rsidRDefault="00057D63">
      <w:pPr>
        <w:pStyle w:val="FootnoteText"/>
      </w:pPr>
      <w:r>
        <w:rPr>
          <w:rStyle w:val="FootnoteReference"/>
        </w:rPr>
        <w:footnoteRef/>
      </w:r>
      <w:r>
        <w:t xml:space="preserve"> </w:t>
      </w:r>
      <w:r>
        <w:tab/>
        <w:t>This quantity is around 5 per cent higher than previously forecast. At around 6 am, Longford advised AEMO its forecast of total capacity for the day was around 515 TJ.</w:t>
      </w:r>
    </w:p>
  </w:footnote>
  <w:footnote w:id="26">
    <w:p w:rsidR="00057D63" w:rsidRDefault="00057D63">
      <w:pPr>
        <w:pStyle w:val="FootnoteText"/>
      </w:pPr>
      <w:r>
        <w:rPr>
          <w:rStyle w:val="FootnoteReference"/>
        </w:rPr>
        <w:footnoteRef/>
      </w:r>
      <w:r>
        <w:t xml:space="preserve"> </w:t>
      </w:r>
      <w:r>
        <w:tab/>
        <w:t>This results in a revised maximum daily capacity of 220 TJ based on a 12 hour ramp up from 11 am.</w:t>
      </w:r>
    </w:p>
  </w:footnote>
  <w:footnote w:id="27">
    <w:p w:rsidR="00057D63" w:rsidRDefault="00057D63" w:rsidP="00DC2A33">
      <w:pPr>
        <w:pStyle w:val="FootnoteText"/>
      </w:pPr>
      <w:r>
        <w:rPr>
          <w:rStyle w:val="FootnoteReference"/>
        </w:rPr>
        <w:footnoteRef/>
      </w:r>
      <w:r>
        <w:t xml:space="preserve"> </w:t>
      </w:r>
      <w:r>
        <w:tab/>
      </w:r>
      <w:r w:rsidRPr="00DC2A33">
        <w:t>Esso finished receiving allocation instructions from remaining customers</w:t>
      </w:r>
      <w:r>
        <w:t xml:space="preserve"> about two hours later.</w:t>
      </w:r>
    </w:p>
  </w:footnote>
  <w:footnote w:id="28">
    <w:p w:rsidR="00057D63" w:rsidRDefault="00057D63">
      <w:pPr>
        <w:pStyle w:val="FootnoteText"/>
      </w:pPr>
      <w:r>
        <w:rPr>
          <w:rStyle w:val="FootnoteReference"/>
        </w:rPr>
        <w:footnoteRef/>
      </w:r>
      <w:r>
        <w:t xml:space="preserve"> </w:t>
      </w:r>
      <w:r>
        <w:tab/>
        <w:t>AER is following up with participants to investigate reasons for the under-forecasting of gas demand on the day of 1 October 2016.</w:t>
      </w:r>
    </w:p>
  </w:footnote>
  <w:footnote w:id="29">
    <w:p w:rsidR="00057D63" w:rsidRDefault="00057D63" w:rsidP="0052704E">
      <w:pPr>
        <w:pStyle w:val="FootnoteText"/>
      </w:pPr>
      <w:r>
        <w:rPr>
          <w:rStyle w:val="FootnoteReference"/>
        </w:rPr>
        <w:footnoteRef/>
      </w:r>
      <w:r>
        <w:t xml:space="preserve"> </w:t>
      </w:r>
      <w:r>
        <w:tab/>
        <w:t>Rule 235 of the NGR explains imbalance and deviation payments in more detail.</w:t>
      </w:r>
    </w:p>
  </w:footnote>
  <w:footnote w:id="30">
    <w:p w:rsidR="00057D63" w:rsidRDefault="00057D63">
      <w:pPr>
        <w:pStyle w:val="FootnoteText"/>
      </w:pPr>
      <w:r>
        <w:rPr>
          <w:rStyle w:val="FootnoteReference"/>
        </w:rPr>
        <w:footnoteRef/>
      </w:r>
      <w:r>
        <w:t xml:space="preserve"> </w:t>
      </w:r>
      <w:r>
        <w:tab/>
        <w:t>We note the NGR requires participants to submit bids (and demand forecasts) to AEMO in good faith and for the bids to represent the participants’ best estimates (rule 213 (2) (a), (b), (c). Participants also immediately notify AEMO if they have concerns about their ability to comply with an operating schedule (rule 213 (4)).</w:t>
      </w:r>
    </w:p>
  </w:footnote>
  <w:footnote w:id="31">
    <w:p w:rsidR="00057D63" w:rsidRDefault="00057D63" w:rsidP="00E21041">
      <w:pPr>
        <w:pStyle w:val="FootnoteText"/>
      </w:pPr>
      <w:r>
        <w:rPr>
          <w:rStyle w:val="FootnoteReference"/>
        </w:rPr>
        <w:footnoteRef/>
      </w:r>
      <w:r>
        <w:t xml:space="preserve"> </w:t>
      </w:r>
      <w:r>
        <w:tab/>
        <w:t xml:space="preserve">AEMO, </w:t>
      </w:r>
      <w:r w:rsidRPr="0089561B">
        <w:rPr>
          <w:i/>
        </w:rPr>
        <w:t>DWGM Event – Intervention – 1 October 2016</w:t>
      </w:r>
      <w:r>
        <w:t>, 14 October 2016, p. 7.</w:t>
      </w:r>
    </w:p>
  </w:footnote>
  <w:footnote w:id="32">
    <w:p w:rsidR="00057D63" w:rsidRDefault="00057D63">
      <w:pPr>
        <w:pStyle w:val="FootnoteText"/>
      </w:pPr>
      <w:r>
        <w:rPr>
          <w:rStyle w:val="FootnoteReference"/>
        </w:rPr>
        <w:footnoteRef/>
      </w:r>
      <w:r>
        <w:t xml:space="preserve"> </w:t>
      </w:r>
      <w:r>
        <w:tab/>
        <w:t xml:space="preserve">At the time of the ad hoc schedule, ancillary payments totalled $3,934,329.95. The ancillary payment clawback mechanism resulted in the total payments reducing due to lower priced gas being available for the 10 am schedule. This is explained in more detail in AEMO’s Intervention Report on page 5. </w:t>
      </w:r>
    </w:p>
  </w:footnote>
  <w:footnote w:id="33">
    <w:p w:rsidR="00057D63" w:rsidRDefault="00057D63">
      <w:pPr>
        <w:pStyle w:val="FootnoteText"/>
      </w:pPr>
      <w:r>
        <w:rPr>
          <w:rStyle w:val="FootnoteReference"/>
        </w:rPr>
        <w:footnoteRef/>
      </w:r>
      <w:r>
        <w:t xml:space="preserve"> </w:t>
      </w:r>
      <w:r>
        <w:tab/>
        <w:t xml:space="preserve">The procedures are available here: </w:t>
      </w:r>
      <w:hyperlink r:id="rId5" w:history="1">
        <w:r w:rsidRPr="00FE46C0">
          <w:rPr>
            <w:rStyle w:val="Hyperlink"/>
            <w:sz w:val="16"/>
          </w:rPr>
          <w:t>http://www.aemo.com.au/Gas/Declared-Wholesale-Gas-Market-DWGM/Policies-and-procedures</w:t>
        </w:r>
      </w:hyperlink>
      <w:r>
        <w:t xml:space="preserve"> </w:t>
      </w:r>
    </w:p>
  </w:footnote>
  <w:footnote w:id="34">
    <w:p w:rsidR="00057D63" w:rsidRDefault="00057D63" w:rsidP="00D75197">
      <w:pPr>
        <w:pStyle w:val="FootnoteText"/>
      </w:pPr>
      <w:r>
        <w:rPr>
          <w:rStyle w:val="FootnoteReference"/>
        </w:rPr>
        <w:footnoteRef/>
      </w:r>
      <w:r>
        <w:t xml:space="preserve"> </w:t>
      </w:r>
      <w:r>
        <w:tab/>
        <w:t xml:space="preserve">AEMO, </w:t>
      </w:r>
      <w:r w:rsidRPr="0089561B">
        <w:rPr>
          <w:i/>
        </w:rPr>
        <w:t>DWGM Event – Intervention – 1 October 2016</w:t>
      </w:r>
      <w:r>
        <w:t>, 14 October 2016, p. 6.</w:t>
      </w:r>
    </w:p>
  </w:footnote>
  <w:footnote w:id="35">
    <w:p w:rsidR="00057D63" w:rsidRDefault="00057D63">
      <w:pPr>
        <w:pStyle w:val="FootnoteText"/>
      </w:pPr>
      <w:r>
        <w:rPr>
          <w:rStyle w:val="FootnoteReference"/>
        </w:rPr>
        <w:footnoteRef/>
      </w:r>
      <w:r>
        <w:t xml:space="preserve"> </w:t>
      </w:r>
      <w:r>
        <w:tab/>
        <w:t xml:space="preserve">Available here: </w:t>
      </w:r>
      <w:hyperlink r:id="rId6" w:history="1">
        <w:r w:rsidRPr="00BD6CB5">
          <w:rPr>
            <w:rStyle w:val="Hyperlink"/>
            <w:sz w:val="16"/>
          </w:rPr>
          <w:t>http://www.aemo.com.au/Gas/Declared-Wholesale-Gas-Market-DWGM/Policies-and-procedures</w:t>
        </w:r>
      </w:hyperlink>
      <w:r>
        <w:t xml:space="preserve"> </w:t>
      </w:r>
    </w:p>
  </w:footnote>
  <w:footnote w:id="36">
    <w:p w:rsidR="00057D63" w:rsidRDefault="00057D63">
      <w:pPr>
        <w:pStyle w:val="FootnoteText"/>
      </w:pPr>
      <w:r>
        <w:rPr>
          <w:rStyle w:val="FootnoteReference"/>
        </w:rPr>
        <w:footnoteRef/>
      </w:r>
      <w:r>
        <w:t xml:space="preserve"> </w:t>
      </w:r>
      <w:r>
        <w:tab/>
        <w:t xml:space="preserve">ACCC, Inquiry into the east coast gas market, April 2016, p. 29. </w:t>
      </w:r>
    </w:p>
  </w:footnote>
  <w:footnote w:id="37">
    <w:p w:rsidR="00057D63" w:rsidRDefault="00057D63">
      <w:pPr>
        <w:pStyle w:val="FootnoteText"/>
      </w:pPr>
      <w:r>
        <w:rPr>
          <w:rStyle w:val="FootnoteReference"/>
        </w:rPr>
        <w:footnoteRef/>
      </w:r>
      <w:r>
        <w:t xml:space="preserve"> </w:t>
      </w:r>
      <w:r>
        <w:tab/>
        <w:t>AEMO, STTM event: Contingency gas trigger – Gas day 1 October 2016, 11 November 2016, p. 9.</w:t>
      </w:r>
    </w:p>
  </w:footnote>
  <w:footnote w:id="38">
    <w:p w:rsidR="00057D63" w:rsidRDefault="00057D63">
      <w:pPr>
        <w:pStyle w:val="FootnoteText"/>
      </w:pPr>
      <w:r>
        <w:rPr>
          <w:rStyle w:val="FootnoteReference"/>
        </w:rPr>
        <w:footnoteRef/>
      </w:r>
      <w:r>
        <w:t xml:space="preserve"> </w:t>
      </w:r>
      <w:r>
        <w:tab/>
        <w:t>AEMO, Black system South Australia third preliminary report, 28 September 2016, December 2016, pp. 5–7.</w:t>
      </w:r>
    </w:p>
  </w:footnote>
  <w:footnote w:id="39">
    <w:p w:rsidR="00057D63" w:rsidRDefault="00057D63" w:rsidP="00571703">
      <w:pPr>
        <w:pStyle w:val="FootnoteText"/>
      </w:pPr>
      <w:r>
        <w:rPr>
          <w:rStyle w:val="FootnoteReference"/>
        </w:rPr>
        <w:footnoteRef/>
      </w:r>
      <w:r>
        <w:t xml:space="preserve"> </w:t>
      </w:r>
      <w:r>
        <w:tab/>
        <w:t>This rule is subject to sub rules 4, 5, and 6.</w:t>
      </w:r>
    </w:p>
  </w:footnote>
  <w:footnote w:id="40">
    <w:p w:rsidR="00057D63" w:rsidRDefault="00057D63" w:rsidP="00571703">
      <w:pPr>
        <w:pStyle w:val="FootnoteText"/>
      </w:pPr>
      <w:r>
        <w:rPr>
          <w:rStyle w:val="FootnoteReference"/>
        </w:rPr>
        <w:footnoteRef/>
      </w:r>
      <w:r>
        <w:t xml:space="preserve"> </w:t>
      </w:r>
      <w:r>
        <w:tab/>
        <w:t>The procedures also set out when congestion uplift can be allocated to a declared transmission system service provider. See page 6 of the procedures.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3BE4FB3"/>
    <w:multiLevelType w:val="hybridMultilevel"/>
    <w:tmpl w:val="D74ADE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041F530A"/>
    <w:multiLevelType w:val="multilevel"/>
    <w:tmpl w:val="DED07EA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8234"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0AD41087"/>
    <w:multiLevelType w:val="hybridMultilevel"/>
    <w:tmpl w:val="FA4A825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3">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06F2C43"/>
    <w:multiLevelType w:val="hybridMultilevel"/>
    <w:tmpl w:val="94C831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6">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1CF519CE"/>
    <w:multiLevelType w:val="multilevel"/>
    <w:tmpl w:val="FDC07CAE"/>
    <w:lvl w:ilvl="0">
      <w:start w:val="1"/>
      <w:numFmt w:val="decimal"/>
      <w:lvlText w:val="%1."/>
      <w:lvlJc w:val="left"/>
      <w:pPr>
        <w:ind w:left="360" w:hanging="360"/>
      </w:pPr>
    </w:lvl>
    <w:lvl w:ilvl="1">
      <w:start w:val="1"/>
      <w:numFmt w:val="decimal"/>
      <w:pStyle w:val="Numberedparagraph1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6AE2D4F"/>
    <w:multiLevelType w:val="hybridMultilevel"/>
    <w:tmpl w:val="DC8443A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6C71223"/>
    <w:multiLevelType w:val="hybridMultilevel"/>
    <w:tmpl w:val="EAB48A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56F125CC"/>
    <w:multiLevelType w:val="hybridMultilevel"/>
    <w:tmpl w:val="7F14AE80"/>
    <w:lvl w:ilvl="0" w:tplc="1FCE885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6">
    <w:nsid w:val="5BDE1C66"/>
    <w:multiLevelType w:val="hybridMultilevel"/>
    <w:tmpl w:val="606A3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5A82800"/>
    <w:multiLevelType w:val="hybridMultilevel"/>
    <w:tmpl w:val="66E24464"/>
    <w:lvl w:ilvl="0" w:tplc="0C090001">
      <w:start w:val="1"/>
      <w:numFmt w:val="bullet"/>
      <w:lvlText w:val=""/>
      <w:lvlJc w:val="left"/>
      <w:pPr>
        <w:ind w:left="907" w:hanging="360"/>
      </w:pPr>
      <w:rPr>
        <w:rFonts w:ascii="Symbol" w:hAnsi="Symbol" w:hint="default"/>
      </w:rPr>
    </w:lvl>
    <w:lvl w:ilvl="1" w:tplc="0C090003">
      <w:start w:val="1"/>
      <w:numFmt w:val="bullet"/>
      <w:lvlText w:val="o"/>
      <w:lvlJc w:val="left"/>
      <w:pPr>
        <w:ind w:left="1627" w:hanging="360"/>
      </w:pPr>
      <w:rPr>
        <w:rFonts w:ascii="Courier New" w:hAnsi="Courier New" w:cs="Courier New" w:hint="default"/>
      </w:rPr>
    </w:lvl>
    <w:lvl w:ilvl="2" w:tplc="0C090005" w:tentative="1">
      <w:start w:val="1"/>
      <w:numFmt w:val="bullet"/>
      <w:lvlText w:val=""/>
      <w:lvlJc w:val="left"/>
      <w:pPr>
        <w:ind w:left="2347" w:hanging="360"/>
      </w:pPr>
      <w:rPr>
        <w:rFonts w:ascii="Wingdings" w:hAnsi="Wingdings" w:hint="default"/>
      </w:rPr>
    </w:lvl>
    <w:lvl w:ilvl="3" w:tplc="0C090001" w:tentative="1">
      <w:start w:val="1"/>
      <w:numFmt w:val="bullet"/>
      <w:lvlText w:val=""/>
      <w:lvlJc w:val="left"/>
      <w:pPr>
        <w:ind w:left="3067" w:hanging="360"/>
      </w:pPr>
      <w:rPr>
        <w:rFonts w:ascii="Symbol" w:hAnsi="Symbol" w:hint="default"/>
      </w:rPr>
    </w:lvl>
    <w:lvl w:ilvl="4" w:tplc="0C090003" w:tentative="1">
      <w:start w:val="1"/>
      <w:numFmt w:val="bullet"/>
      <w:lvlText w:val="o"/>
      <w:lvlJc w:val="left"/>
      <w:pPr>
        <w:ind w:left="3787" w:hanging="360"/>
      </w:pPr>
      <w:rPr>
        <w:rFonts w:ascii="Courier New" w:hAnsi="Courier New" w:cs="Courier New" w:hint="default"/>
      </w:rPr>
    </w:lvl>
    <w:lvl w:ilvl="5" w:tplc="0C090005" w:tentative="1">
      <w:start w:val="1"/>
      <w:numFmt w:val="bullet"/>
      <w:lvlText w:val=""/>
      <w:lvlJc w:val="left"/>
      <w:pPr>
        <w:ind w:left="4507" w:hanging="360"/>
      </w:pPr>
      <w:rPr>
        <w:rFonts w:ascii="Wingdings" w:hAnsi="Wingdings" w:hint="default"/>
      </w:rPr>
    </w:lvl>
    <w:lvl w:ilvl="6" w:tplc="0C090001" w:tentative="1">
      <w:start w:val="1"/>
      <w:numFmt w:val="bullet"/>
      <w:lvlText w:val=""/>
      <w:lvlJc w:val="left"/>
      <w:pPr>
        <w:ind w:left="5227" w:hanging="360"/>
      </w:pPr>
      <w:rPr>
        <w:rFonts w:ascii="Symbol" w:hAnsi="Symbol" w:hint="default"/>
      </w:rPr>
    </w:lvl>
    <w:lvl w:ilvl="7" w:tplc="0C090003" w:tentative="1">
      <w:start w:val="1"/>
      <w:numFmt w:val="bullet"/>
      <w:lvlText w:val="o"/>
      <w:lvlJc w:val="left"/>
      <w:pPr>
        <w:ind w:left="5947" w:hanging="360"/>
      </w:pPr>
      <w:rPr>
        <w:rFonts w:ascii="Courier New" w:hAnsi="Courier New" w:cs="Courier New" w:hint="default"/>
      </w:rPr>
    </w:lvl>
    <w:lvl w:ilvl="8" w:tplc="0C090005" w:tentative="1">
      <w:start w:val="1"/>
      <w:numFmt w:val="bullet"/>
      <w:lvlText w:val=""/>
      <w:lvlJc w:val="left"/>
      <w:pPr>
        <w:ind w:left="6667" w:hanging="360"/>
      </w:pPr>
      <w:rPr>
        <w:rFonts w:ascii="Wingdings" w:hAnsi="Wingdings" w:hint="default"/>
      </w:rPr>
    </w:lvl>
  </w:abstractNum>
  <w:abstractNum w:abstractNumId="28">
    <w:nsid w:val="6726588A"/>
    <w:multiLevelType w:val="hybridMultilevel"/>
    <w:tmpl w:val="CC927964"/>
    <w:lvl w:ilvl="0" w:tplc="0C09000F">
      <w:start w:val="1"/>
      <w:numFmt w:val="bullet"/>
      <w:pStyle w:val="Bulletpoint2"/>
      <w:lvlText w:val="o"/>
      <w:lvlJc w:val="left"/>
      <w:pPr>
        <w:ind w:left="-279" w:hanging="360"/>
      </w:pPr>
      <w:rPr>
        <w:rFonts w:ascii="Courier New" w:hAnsi="Courier New" w:cs="Courier New" w:hint="default"/>
      </w:rPr>
    </w:lvl>
    <w:lvl w:ilvl="1" w:tplc="0C090019" w:tentative="1">
      <w:start w:val="1"/>
      <w:numFmt w:val="bullet"/>
      <w:lvlText w:val="o"/>
      <w:lvlJc w:val="left"/>
      <w:pPr>
        <w:ind w:left="441" w:hanging="360"/>
      </w:pPr>
      <w:rPr>
        <w:rFonts w:ascii="Courier New" w:hAnsi="Courier New" w:cs="Courier New" w:hint="default"/>
      </w:rPr>
    </w:lvl>
    <w:lvl w:ilvl="2" w:tplc="0C09001B" w:tentative="1">
      <w:start w:val="1"/>
      <w:numFmt w:val="bullet"/>
      <w:lvlText w:val=""/>
      <w:lvlJc w:val="left"/>
      <w:pPr>
        <w:ind w:left="1161" w:hanging="360"/>
      </w:pPr>
      <w:rPr>
        <w:rFonts w:ascii="Wingdings" w:hAnsi="Wingdings" w:hint="default"/>
      </w:rPr>
    </w:lvl>
    <w:lvl w:ilvl="3" w:tplc="0C09000F" w:tentative="1">
      <w:start w:val="1"/>
      <w:numFmt w:val="bullet"/>
      <w:lvlText w:val=""/>
      <w:lvlJc w:val="left"/>
      <w:pPr>
        <w:ind w:left="1881" w:hanging="360"/>
      </w:pPr>
      <w:rPr>
        <w:rFonts w:ascii="Symbol" w:hAnsi="Symbol" w:hint="default"/>
      </w:rPr>
    </w:lvl>
    <w:lvl w:ilvl="4" w:tplc="0C090019" w:tentative="1">
      <w:start w:val="1"/>
      <w:numFmt w:val="bullet"/>
      <w:lvlText w:val="o"/>
      <w:lvlJc w:val="left"/>
      <w:pPr>
        <w:ind w:left="2601" w:hanging="360"/>
      </w:pPr>
      <w:rPr>
        <w:rFonts w:ascii="Courier New" w:hAnsi="Courier New" w:cs="Courier New" w:hint="default"/>
      </w:rPr>
    </w:lvl>
    <w:lvl w:ilvl="5" w:tplc="0C09001B" w:tentative="1">
      <w:start w:val="1"/>
      <w:numFmt w:val="bullet"/>
      <w:lvlText w:val=""/>
      <w:lvlJc w:val="left"/>
      <w:pPr>
        <w:ind w:left="3321" w:hanging="360"/>
      </w:pPr>
      <w:rPr>
        <w:rFonts w:ascii="Wingdings" w:hAnsi="Wingdings" w:hint="default"/>
      </w:rPr>
    </w:lvl>
    <w:lvl w:ilvl="6" w:tplc="0C09000F" w:tentative="1">
      <w:start w:val="1"/>
      <w:numFmt w:val="bullet"/>
      <w:lvlText w:val=""/>
      <w:lvlJc w:val="left"/>
      <w:pPr>
        <w:ind w:left="4041" w:hanging="360"/>
      </w:pPr>
      <w:rPr>
        <w:rFonts w:ascii="Symbol" w:hAnsi="Symbol" w:hint="default"/>
      </w:rPr>
    </w:lvl>
    <w:lvl w:ilvl="7" w:tplc="0C090019" w:tentative="1">
      <w:start w:val="1"/>
      <w:numFmt w:val="bullet"/>
      <w:lvlText w:val="o"/>
      <w:lvlJc w:val="left"/>
      <w:pPr>
        <w:ind w:left="4761" w:hanging="360"/>
      </w:pPr>
      <w:rPr>
        <w:rFonts w:ascii="Courier New" w:hAnsi="Courier New" w:cs="Courier New" w:hint="default"/>
      </w:rPr>
    </w:lvl>
    <w:lvl w:ilvl="8" w:tplc="0C09001B" w:tentative="1">
      <w:start w:val="1"/>
      <w:numFmt w:val="bullet"/>
      <w:lvlText w:val=""/>
      <w:lvlJc w:val="left"/>
      <w:pPr>
        <w:ind w:left="5481" w:hanging="360"/>
      </w:pPr>
      <w:rPr>
        <w:rFonts w:ascii="Wingdings" w:hAnsi="Wingdings" w:hint="default"/>
      </w:rPr>
    </w:lvl>
  </w:abstractNum>
  <w:abstractNum w:abstractNumId="29">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98F2484"/>
    <w:multiLevelType w:val="hybridMultilevel"/>
    <w:tmpl w:val="04824B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5"/>
  </w:num>
  <w:num w:numId="2">
    <w:abstractNumId w:val="31"/>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8"/>
  </w:num>
  <w:num w:numId="13">
    <w:abstractNumId w:val="20"/>
  </w:num>
  <w:num w:numId="14">
    <w:abstractNumId w:val="13"/>
  </w:num>
  <w:num w:numId="15">
    <w:abstractNumId w:val="17"/>
  </w:num>
  <w:num w:numId="16">
    <w:abstractNumId w:val="22"/>
  </w:num>
  <w:num w:numId="17">
    <w:abstractNumId w:val="12"/>
  </w:num>
  <w:num w:numId="18">
    <w:abstractNumId w:val="19"/>
  </w:num>
  <w:num w:numId="19">
    <w:abstractNumId w:val="23"/>
  </w:num>
  <w:num w:numId="20">
    <w:abstractNumId w:val="29"/>
  </w:num>
  <w:num w:numId="21">
    <w:abstractNumId w:val="25"/>
  </w:num>
  <w:num w:numId="22">
    <w:abstractNumId w:val="9"/>
  </w:num>
  <w:num w:numId="23">
    <w:abstractNumId w:val="16"/>
  </w:num>
  <w:num w:numId="24">
    <w:abstractNumId w:val="10"/>
  </w:num>
  <w:num w:numId="25">
    <w:abstractNumId w:val="10"/>
  </w:num>
  <w:num w:numId="26">
    <w:abstractNumId w:val="27"/>
  </w:num>
  <w:num w:numId="27">
    <w:abstractNumId w:val="30"/>
  </w:num>
  <w:num w:numId="28">
    <w:abstractNumId w:val="26"/>
  </w:num>
  <w:num w:numId="29">
    <w:abstractNumId w:val="11"/>
  </w:num>
  <w:num w:numId="30">
    <w:abstractNumId w:val="14"/>
  </w:num>
  <w:num w:numId="31">
    <w:abstractNumId w:val="21"/>
  </w:num>
  <w:num w:numId="32">
    <w:abstractNumId w:val="18"/>
  </w:num>
  <w:num w:numId="33">
    <w:abstractNumId w:val="2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removePersonalInformation/>
  <w:removeDateAndTime/>
  <w:defaultTabStop w:val="720"/>
  <w:characterSpacingControl w:val="doNotCompress"/>
  <w:hdrShapeDefaults>
    <o:shapedefaults v:ext="edit" spidmax="524289">
      <o:colormru v:ext="edit" colors="#4bf75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9700\D16 159493  Significant price variation report - Longford outage 1 October 2016.DOCX"/>
  </w:docVars>
  <w:rsids>
    <w:rsidRoot w:val="003610D1"/>
    <w:rsid w:val="00001779"/>
    <w:rsid w:val="000018C4"/>
    <w:rsid w:val="000018E6"/>
    <w:rsid w:val="00001FB6"/>
    <w:rsid w:val="00002750"/>
    <w:rsid w:val="000028FB"/>
    <w:rsid w:val="0000325E"/>
    <w:rsid w:val="00004BE2"/>
    <w:rsid w:val="00006537"/>
    <w:rsid w:val="00007EC7"/>
    <w:rsid w:val="00010920"/>
    <w:rsid w:val="00010935"/>
    <w:rsid w:val="00010B1A"/>
    <w:rsid w:val="0001186D"/>
    <w:rsid w:val="00011933"/>
    <w:rsid w:val="00011B93"/>
    <w:rsid w:val="000131A5"/>
    <w:rsid w:val="00013CDB"/>
    <w:rsid w:val="00013D02"/>
    <w:rsid w:val="00013FD9"/>
    <w:rsid w:val="0001433F"/>
    <w:rsid w:val="00016666"/>
    <w:rsid w:val="000175F5"/>
    <w:rsid w:val="00017BF7"/>
    <w:rsid w:val="0002079F"/>
    <w:rsid w:val="000208CC"/>
    <w:rsid w:val="00021644"/>
    <w:rsid w:val="000221E2"/>
    <w:rsid w:val="0002263E"/>
    <w:rsid w:val="00022D75"/>
    <w:rsid w:val="00024297"/>
    <w:rsid w:val="00024726"/>
    <w:rsid w:val="000248F1"/>
    <w:rsid w:val="00027C33"/>
    <w:rsid w:val="00027FCE"/>
    <w:rsid w:val="000305BF"/>
    <w:rsid w:val="00030632"/>
    <w:rsid w:val="00031D46"/>
    <w:rsid w:val="00032426"/>
    <w:rsid w:val="000332F2"/>
    <w:rsid w:val="00033D07"/>
    <w:rsid w:val="000342CE"/>
    <w:rsid w:val="000354F5"/>
    <w:rsid w:val="000365DE"/>
    <w:rsid w:val="00037142"/>
    <w:rsid w:val="00040D80"/>
    <w:rsid w:val="00041065"/>
    <w:rsid w:val="000420DC"/>
    <w:rsid w:val="00043A64"/>
    <w:rsid w:val="00043BD3"/>
    <w:rsid w:val="00043F8E"/>
    <w:rsid w:val="000442A8"/>
    <w:rsid w:val="00044AA4"/>
    <w:rsid w:val="0004626C"/>
    <w:rsid w:val="000463C3"/>
    <w:rsid w:val="00047668"/>
    <w:rsid w:val="0004766E"/>
    <w:rsid w:val="00047881"/>
    <w:rsid w:val="0005029C"/>
    <w:rsid w:val="000508E0"/>
    <w:rsid w:val="00050C1C"/>
    <w:rsid w:val="0005162D"/>
    <w:rsid w:val="00051AA5"/>
    <w:rsid w:val="000545DD"/>
    <w:rsid w:val="0005494B"/>
    <w:rsid w:val="00055385"/>
    <w:rsid w:val="000554BB"/>
    <w:rsid w:val="000570C9"/>
    <w:rsid w:val="00057D63"/>
    <w:rsid w:val="00060440"/>
    <w:rsid w:val="000606EB"/>
    <w:rsid w:val="00060D1F"/>
    <w:rsid w:val="00061314"/>
    <w:rsid w:val="00061456"/>
    <w:rsid w:val="00061A48"/>
    <w:rsid w:val="000625FD"/>
    <w:rsid w:val="00062951"/>
    <w:rsid w:val="00062FFB"/>
    <w:rsid w:val="000635D7"/>
    <w:rsid w:val="0006378A"/>
    <w:rsid w:val="00063A97"/>
    <w:rsid w:val="000648CC"/>
    <w:rsid w:val="00064EC8"/>
    <w:rsid w:val="0006532E"/>
    <w:rsid w:val="0006553A"/>
    <w:rsid w:val="00066AAB"/>
    <w:rsid w:val="00066D30"/>
    <w:rsid w:val="0006788A"/>
    <w:rsid w:val="00067B49"/>
    <w:rsid w:val="0007086D"/>
    <w:rsid w:val="000708CF"/>
    <w:rsid w:val="00071AF3"/>
    <w:rsid w:val="0007263E"/>
    <w:rsid w:val="00073C34"/>
    <w:rsid w:val="000754DA"/>
    <w:rsid w:val="000760CB"/>
    <w:rsid w:val="000801EF"/>
    <w:rsid w:val="00080965"/>
    <w:rsid w:val="00080981"/>
    <w:rsid w:val="00080C63"/>
    <w:rsid w:val="00081DF0"/>
    <w:rsid w:val="00082075"/>
    <w:rsid w:val="00082934"/>
    <w:rsid w:val="00082F76"/>
    <w:rsid w:val="00083611"/>
    <w:rsid w:val="00083FB8"/>
    <w:rsid w:val="000844CC"/>
    <w:rsid w:val="00084EC0"/>
    <w:rsid w:val="000851EA"/>
    <w:rsid w:val="00085C6B"/>
    <w:rsid w:val="00085EF2"/>
    <w:rsid w:val="000872A0"/>
    <w:rsid w:val="00090DE0"/>
    <w:rsid w:val="00090E9D"/>
    <w:rsid w:val="00091C2D"/>
    <w:rsid w:val="00092C07"/>
    <w:rsid w:val="00094459"/>
    <w:rsid w:val="000955FC"/>
    <w:rsid w:val="0009562F"/>
    <w:rsid w:val="000958D9"/>
    <w:rsid w:val="00096EFD"/>
    <w:rsid w:val="00097E52"/>
    <w:rsid w:val="000A002A"/>
    <w:rsid w:val="000A282B"/>
    <w:rsid w:val="000A434F"/>
    <w:rsid w:val="000A5A40"/>
    <w:rsid w:val="000A5BD1"/>
    <w:rsid w:val="000A6DEE"/>
    <w:rsid w:val="000B06FD"/>
    <w:rsid w:val="000B1671"/>
    <w:rsid w:val="000B2C10"/>
    <w:rsid w:val="000B42D8"/>
    <w:rsid w:val="000B4D64"/>
    <w:rsid w:val="000B527E"/>
    <w:rsid w:val="000B5557"/>
    <w:rsid w:val="000B590C"/>
    <w:rsid w:val="000B5C64"/>
    <w:rsid w:val="000C027D"/>
    <w:rsid w:val="000C0941"/>
    <w:rsid w:val="000C0E4B"/>
    <w:rsid w:val="000C0F97"/>
    <w:rsid w:val="000C1000"/>
    <w:rsid w:val="000C190D"/>
    <w:rsid w:val="000C2B33"/>
    <w:rsid w:val="000C30EF"/>
    <w:rsid w:val="000C3347"/>
    <w:rsid w:val="000C3DAC"/>
    <w:rsid w:val="000C461D"/>
    <w:rsid w:val="000C55AE"/>
    <w:rsid w:val="000C6AD3"/>
    <w:rsid w:val="000C6BC6"/>
    <w:rsid w:val="000C6CDD"/>
    <w:rsid w:val="000D0554"/>
    <w:rsid w:val="000D0FD5"/>
    <w:rsid w:val="000D107C"/>
    <w:rsid w:val="000D31DC"/>
    <w:rsid w:val="000D3815"/>
    <w:rsid w:val="000D3E04"/>
    <w:rsid w:val="000D446F"/>
    <w:rsid w:val="000D4BE2"/>
    <w:rsid w:val="000D557D"/>
    <w:rsid w:val="000D677E"/>
    <w:rsid w:val="000E0460"/>
    <w:rsid w:val="000E07AB"/>
    <w:rsid w:val="000E2251"/>
    <w:rsid w:val="000E22C2"/>
    <w:rsid w:val="000E2989"/>
    <w:rsid w:val="000E298E"/>
    <w:rsid w:val="000E2F78"/>
    <w:rsid w:val="000E32A2"/>
    <w:rsid w:val="000E3FA1"/>
    <w:rsid w:val="000E5B1E"/>
    <w:rsid w:val="000E68C8"/>
    <w:rsid w:val="000E7278"/>
    <w:rsid w:val="000E72CD"/>
    <w:rsid w:val="000E77F2"/>
    <w:rsid w:val="000E7C66"/>
    <w:rsid w:val="000E7C94"/>
    <w:rsid w:val="000F0132"/>
    <w:rsid w:val="000F0BA0"/>
    <w:rsid w:val="000F15E7"/>
    <w:rsid w:val="000F1EC5"/>
    <w:rsid w:val="000F218F"/>
    <w:rsid w:val="000F297D"/>
    <w:rsid w:val="000F2E53"/>
    <w:rsid w:val="000F4279"/>
    <w:rsid w:val="000F4333"/>
    <w:rsid w:val="000F4D76"/>
    <w:rsid w:val="000F56A6"/>
    <w:rsid w:val="000F5D51"/>
    <w:rsid w:val="000F60B8"/>
    <w:rsid w:val="000F720B"/>
    <w:rsid w:val="000F761B"/>
    <w:rsid w:val="00101623"/>
    <w:rsid w:val="00101A55"/>
    <w:rsid w:val="0010261D"/>
    <w:rsid w:val="00102E51"/>
    <w:rsid w:val="00103088"/>
    <w:rsid w:val="001036A1"/>
    <w:rsid w:val="0010381E"/>
    <w:rsid w:val="00103C36"/>
    <w:rsid w:val="00103D3D"/>
    <w:rsid w:val="001040BE"/>
    <w:rsid w:val="001060D2"/>
    <w:rsid w:val="001065BC"/>
    <w:rsid w:val="00106F58"/>
    <w:rsid w:val="001070C8"/>
    <w:rsid w:val="00107D12"/>
    <w:rsid w:val="00110A91"/>
    <w:rsid w:val="00111FF2"/>
    <w:rsid w:val="00112012"/>
    <w:rsid w:val="001135AB"/>
    <w:rsid w:val="001136BF"/>
    <w:rsid w:val="00113CC5"/>
    <w:rsid w:val="0011409E"/>
    <w:rsid w:val="001143C4"/>
    <w:rsid w:val="00114564"/>
    <w:rsid w:val="0011518C"/>
    <w:rsid w:val="001159DC"/>
    <w:rsid w:val="0011645F"/>
    <w:rsid w:val="00116D63"/>
    <w:rsid w:val="0011728A"/>
    <w:rsid w:val="0011741C"/>
    <w:rsid w:val="0012004B"/>
    <w:rsid w:val="0012020B"/>
    <w:rsid w:val="00120A30"/>
    <w:rsid w:val="00121189"/>
    <w:rsid w:val="00121D1A"/>
    <w:rsid w:val="00121FB1"/>
    <w:rsid w:val="00122806"/>
    <w:rsid w:val="00122B4E"/>
    <w:rsid w:val="00123403"/>
    <w:rsid w:val="001234FF"/>
    <w:rsid w:val="001251A8"/>
    <w:rsid w:val="00126A4F"/>
    <w:rsid w:val="001279C5"/>
    <w:rsid w:val="00132608"/>
    <w:rsid w:val="001329D4"/>
    <w:rsid w:val="00132B65"/>
    <w:rsid w:val="00132CF6"/>
    <w:rsid w:val="00133B9A"/>
    <w:rsid w:val="00134063"/>
    <w:rsid w:val="00134C27"/>
    <w:rsid w:val="00135270"/>
    <w:rsid w:val="00135FF7"/>
    <w:rsid w:val="001363FE"/>
    <w:rsid w:val="00136AAB"/>
    <w:rsid w:val="00136AF6"/>
    <w:rsid w:val="00137954"/>
    <w:rsid w:val="00140C95"/>
    <w:rsid w:val="00140FFC"/>
    <w:rsid w:val="001418DB"/>
    <w:rsid w:val="00141D53"/>
    <w:rsid w:val="0014299B"/>
    <w:rsid w:val="00142F97"/>
    <w:rsid w:val="001442F0"/>
    <w:rsid w:val="001444AF"/>
    <w:rsid w:val="00144712"/>
    <w:rsid w:val="00144763"/>
    <w:rsid w:val="001448A7"/>
    <w:rsid w:val="0014513D"/>
    <w:rsid w:val="001454C2"/>
    <w:rsid w:val="00145A16"/>
    <w:rsid w:val="00145B08"/>
    <w:rsid w:val="00146D5D"/>
    <w:rsid w:val="00146E94"/>
    <w:rsid w:val="00147796"/>
    <w:rsid w:val="001478ED"/>
    <w:rsid w:val="0014793F"/>
    <w:rsid w:val="00147AD2"/>
    <w:rsid w:val="00147F0E"/>
    <w:rsid w:val="00151193"/>
    <w:rsid w:val="001516C7"/>
    <w:rsid w:val="00151CC0"/>
    <w:rsid w:val="00153F66"/>
    <w:rsid w:val="00154DA7"/>
    <w:rsid w:val="00155614"/>
    <w:rsid w:val="00155CFA"/>
    <w:rsid w:val="0015715D"/>
    <w:rsid w:val="001571AB"/>
    <w:rsid w:val="001578CD"/>
    <w:rsid w:val="00157982"/>
    <w:rsid w:val="00157B32"/>
    <w:rsid w:val="001613A8"/>
    <w:rsid w:val="00161921"/>
    <w:rsid w:val="00161AD4"/>
    <w:rsid w:val="0016213A"/>
    <w:rsid w:val="001640AB"/>
    <w:rsid w:val="0016468E"/>
    <w:rsid w:val="001651C0"/>
    <w:rsid w:val="001653F0"/>
    <w:rsid w:val="00165EF5"/>
    <w:rsid w:val="00166022"/>
    <w:rsid w:val="00166763"/>
    <w:rsid w:val="00170045"/>
    <w:rsid w:val="00170BB8"/>
    <w:rsid w:val="00170CAA"/>
    <w:rsid w:val="00171580"/>
    <w:rsid w:val="001716FC"/>
    <w:rsid w:val="001737FF"/>
    <w:rsid w:val="00173F30"/>
    <w:rsid w:val="00174796"/>
    <w:rsid w:val="00175815"/>
    <w:rsid w:val="00175D96"/>
    <w:rsid w:val="00176941"/>
    <w:rsid w:val="001773C2"/>
    <w:rsid w:val="00177CDB"/>
    <w:rsid w:val="001820ED"/>
    <w:rsid w:val="001823A8"/>
    <w:rsid w:val="00183714"/>
    <w:rsid w:val="0018389C"/>
    <w:rsid w:val="00183F9A"/>
    <w:rsid w:val="001841B5"/>
    <w:rsid w:val="00184DEC"/>
    <w:rsid w:val="00185629"/>
    <w:rsid w:val="00186C3C"/>
    <w:rsid w:val="00187BD9"/>
    <w:rsid w:val="0019021C"/>
    <w:rsid w:val="00190BEC"/>
    <w:rsid w:val="0019191C"/>
    <w:rsid w:val="0019265C"/>
    <w:rsid w:val="00192970"/>
    <w:rsid w:val="00192B8F"/>
    <w:rsid w:val="0019352B"/>
    <w:rsid w:val="001943A5"/>
    <w:rsid w:val="00194640"/>
    <w:rsid w:val="00194E60"/>
    <w:rsid w:val="00194E7C"/>
    <w:rsid w:val="0019621B"/>
    <w:rsid w:val="00197254"/>
    <w:rsid w:val="00197545"/>
    <w:rsid w:val="001A0BD1"/>
    <w:rsid w:val="001A1B52"/>
    <w:rsid w:val="001A1CA9"/>
    <w:rsid w:val="001A2BF5"/>
    <w:rsid w:val="001A2CD9"/>
    <w:rsid w:val="001A34CC"/>
    <w:rsid w:val="001A34F5"/>
    <w:rsid w:val="001A4D36"/>
    <w:rsid w:val="001A4F02"/>
    <w:rsid w:val="001A6982"/>
    <w:rsid w:val="001B044D"/>
    <w:rsid w:val="001B0767"/>
    <w:rsid w:val="001B0A95"/>
    <w:rsid w:val="001B1048"/>
    <w:rsid w:val="001B24F2"/>
    <w:rsid w:val="001B26A5"/>
    <w:rsid w:val="001B2DD5"/>
    <w:rsid w:val="001B2F26"/>
    <w:rsid w:val="001B311E"/>
    <w:rsid w:val="001B34AB"/>
    <w:rsid w:val="001B3907"/>
    <w:rsid w:val="001B3A02"/>
    <w:rsid w:val="001B3A22"/>
    <w:rsid w:val="001B3F3A"/>
    <w:rsid w:val="001B70FC"/>
    <w:rsid w:val="001B7252"/>
    <w:rsid w:val="001C10F8"/>
    <w:rsid w:val="001C1E43"/>
    <w:rsid w:val="001C24E9"/>
    <w:rsid w:val="001C28FD"/>
    <w:rsid w:val="001C2CEA"/>
    <w:rsid w:val="001C4168"/>
    <w:rsid w:val="001C4856"/>
    <w:rsid w:val="001C558F"/>
    <w:rsid w:val="001C5A6F"/>
    <w:rsid w:val="001C5C5C"/>
    <w:rsid w:val="001C6B85"/>
    <w:rsid w:val="001C6D91"/>
    <w:rsid w:val="001C7779"/>
    <w:rsid w:val="001D0229"/>
    <w:rsid w:val="001D0365"/>
    <w:rsid w:val="001D0520"/>
    <w:rsid w:val="001D287B"/>
    <w:rsid w:val="001D3866"/>
    <w:rsid w:val="001D3EE7"/>
    <w:rsid w:val="001D4864"/>
    <w:rsid w:val="001D4960"/>
    <w:rsid w:val="001D4C98"/>
    <w:rsid w:val="001D59E8"/>
    <w:rsid w:val="001D75E1"/>
    <w:rsid w:val="001E0460"/>
    <w:rsid w:val="001E0F54"/>
    <w:rsid w:val="001E1806"/>
    <w:rsid w:val="001E190B"/>
    <w:rsid w:val="001E1B07"/>
    <w:rsid w:val="001E1DEB"/>
    <w:rsid w:val="001E2051"/>
    <w:rsid w:val="001E34C6"/>
    <w:rsid w:val="001E3970"/>
    <w:rsid w:val="001E414F"/>
    <w:rsid w:val="001E41B4"/>
    <w:rsid w:val="001E45D4"/>
    <w:rsid w:val="001E50C3"/>
    <w:rsid w:val="001E50FC"/>
    <w:rsid w:val="001E58CE"/>
    <w:rsid w:val="001E5BF5"/>
    <w:rsid w:val="001E65A9"/>
    <w:rsid w:val="001E75EC"/>
    <w:rsid w:val="001E78DB"/>
    <w:rsid w:val="001E7A45"/>
    <w:rsid w:val="001E7E6E"/>
    <w:rsid w:val="001F02A3"/>
    <w:rsid w:val="001F0D21"/>
    <w:rsid w:val="001F0D4F"/>
    <w:rsid w:val="001F20E4"/>
    <w:rsid w:val="001F3290"/>
    <w:rsid w:val="001F33E6"/>
    <w:rsid w:val="001F34E0"/>
    <w:rsid w:val="001F36AA"/>
    <w:rsid w:val="001F37F7"/>
    <w:rsid w:val="001F3F51"/>
    <w:rsid w:val="001F44D1"/>
    <w:rsid w:val="001F496F"/>
    <w:rsid w:val="001F4FE1"/>
    <w:rsid w:val="001F6C30"/>
    <w:rsid w:val="00200735"/>
    <w:rsid w:val="0020088C"/>
    <w:rsid w:val="00200ADD"/>
    <w:rsid w:val="00201459"/>
    <w:rsid w:val="0020179E"/>
    <w:rsid w:val="00203218"/>
    <w:rsid w:val="00203AB5"/>
    <w:rsid w:val="00204154"/>
    <w:rsid w:val="00204DA7"/>
    <w:rsid w:val="002055FD"/>
    <w:rsid w:val="002056EB"/>
    <w:rsid w:val="0020678F"/>
    <w:rsid w:val="00206817"/>
    <w:rsid w:val="00206B96"/>
    <w:rsid w:val="0020724A"/>
    <w:rsid w:val="00207783"/>
    <w:rsid w:val="00207EB6"/>
    <w:rsid w:val="00210172"/>
    <w:rsid w:val="00210AF3"/>
    <w:rsid w:val="002114E0"/>
    <w:rsid w:val="002114E4"/>
    <w:rsid w:val="00211B57"/>
    <w:rsid w:val="00211DDA"/>
    <w:rsid w:val="002122ED"/>
    <w:rsid w:val="002124FF"/>
    <w:rsid w:val="00212C3D"/>
    <w:rsid w:val="00213E1F"/>
    <w:rsid w:val="002161BB"/>
    <w:rsid w:val="002163EB"/>
    <w:rsid w:val="002165D0"/>
    <w:rsid w:val="0021719F"/>
    <w:rsid w:val="00217BDA"/>
    <w:rsid w:val="00217D32"/>
    <w:rsid w:val="00220318"/>
    <w:rsid w:val="00220337"/>
    <w:rsid w:val="00221530"/>
    <w:rsid w:val="0022233D"/>
    <w:rsid w:val="00222478"/>
    <w:rsid w:val="00223138"/>
    <w:rsid w:val="002239C4"/>
    <w:rsid w:val="00223DE7"/>
    <w:rsid w:val="00223F3E"/>
    <w:rsid w:val="00224DCB"/>
    <w:rsid w:val="002251D1"/>
    <w:rsid w:val="00225B31"/>
    <w:rsid w:val="00226555"/>
    <w:rsid w:val="002266C8"/>
    <w:rsid w:val="00226DC2"/>
    <w:rsid w:val="0023016C"/>
    <w:rsid w:val="0023087C"/>
    <w:rsid w:val="00230C6B"/>
    <w:rsid w:val="00231620"/>
    <w:rsid w:val="00233255"/>
    <w:rsid w:val="00233351"/>
    <w:rsid w:val="002337E0"/>
    <w:rsid w:val="00234DF3"/>
    <w:rsid w:val="00235D3C"/>
    <w:rsid w:val="00235D6C"/>
    <w:rsid w:val="0023674F"/>
    <w:rsid w:val="0023686D"/>
    <w:rsid w:val="00236A62"/>
    <w:rsid w:val="00237413"/>
    <w:rsid w:val="00237CB4"/>
    <w:rsid w:val="00237E0C"/>
    <w:rsid w:val="0024023C"/>
    <w:rsid w:val="002403A5"/>
    <w:rsid w:val="002406E0"/>
    <w:rsid w:val="00241296"/>
    <w:rsid w:val="00241FE3"/>
    <w:rsid w:val="002420CB"/>
    <w:rsid w:val="002433A1"/>
    <w:rsid w:val="00244125"/>
    <w:rsid w:val="00244D74"/>
    <w:rsid w:val="002451D2"/>
    <w:rsid w:val="00245BA3"/>
    <w:rsid w:val="00246631"/>
    <w:rsid w:val="00247FC3"/>
    <w:rsid w:val="00250603"/>
    <w:rsid w:val="00251131"/>
    <w:rsid w:val="00251722"/>
    <w:rsid w:val="00251A91"/>
    <w:rsid w:val="00251B0E"/>
    <w:rsid w:val="00251D33"/>
    <w:rsid w:val="00251D61"/>
    <w:rsid w:val="0025206B"/>
    <w:rsid w:val="00252B0A"/>
    <w:rsid w:val="00253233"/>
    <w:rsid w:val="002532B0"/>
    <w:rsid w:val="00253361"/>
    <w:rsid w:val="00254B38"/>
    <w:rsid w:val="00255EEF"/>
    <w:rsid w:val="00256B60"/>
    <w:rsid w:val="00260176"/>
    <w:rsid w:val="002614FF"/>
    <w:rsid w:val="00262704"/>
    <w:rsid w:val="002642AB"/>
    <w:rsid w:val="00264398"/>
    <w:rsid w:val="002667D4"/>
    <w:rsid w:val="00266915"/>
    <w:rsid w:val="0026692D"/>
    <w:rsid w:val="002669E4"/>
    <w:rsid w:val="002677FF"/>
    <w:rsid w:val="0027015A"/>
    <w:rsid w:val="00270867"/>
    <w:rsid w:val="002733BB"/>
    <w:rsid w:val="00273C2F"/>
    <w:rsid w:val="002743BE"/>
    <w:rsid w:val="00275561"/>
    <w:rsid w:val="00277918"/>
    <w:rsid w:val="0028007A"/>
    <w:rsid w:val="0028085B"/>
    <w:rsid w:val="0028094F"/>
    <w:rsid w:val="00280BEC"/>
    <w:rsid w:val="002812C2"/>
    <w:rsid w:val="002813D7"/>
    <w:rsid w:val="002817AA"/>
    <w:rsid w:val="00282390"/>
    <w:rsid w:val="0028273B"/>
    <w:rsid w:val="00282EAC"/>
    <w:rsid w:val="0028311C"/>
    <w:rsid w:val="002836C8"/>
    <w:rsid w:val="002852EF"/>
    <w:rsid w:val="0028532A"/>
    <w:rsid w:val="00285557"/>
    <w:rsid w:val="00285D3C"/>
    <w:rsid w:val="002877BC"/>
    <w:rsid w:val="00292AF9"/>
    <w:rsid w:val="00292BBD"/>
    <w:rsid w:val="002931DC"/>
    <w:rsid w:val="002932B5"/>
    <w:rsid w:val="00293828"/>
    <w:rsid w:val="00293956"/>
    <w:rsid w:val="00293A0A"/>
    <w:rsid w:val="00293C20"/>
    <w:rsid w:val="00293DE9"/>
    <w:rsid w:val="00294143"/>
    <w:rsid w:val="0029452B"/>
    <w:rsid w:val="00294DBE"/>
    <w:rsid w:val="00294ED3"/>
    <w:rsid w:val="00295A09"/>
    <w:rsid w:val="00296BB3"/>
    <w:rsid w:val="00296D34"/>
    <w:rsid w:val="00297821"/>
    <w:rsid w:val="00297D01"/>
    <w:rsid w:val="002A0699"/>
    <w:rsid w:val="002A2A93"/>
    <w:rsid w:val="002A582A"/>
    <w:rsid w:val="002A5CF9"/>
    <w:rsid w:val="002A6276"/>
    <w:rsid w:val="002A68C4"/>
    <w:rsid w:val="002A6BEC"/>
    <w:rsid w:val="002A765C"/>
    <w:rsid w:val="002A7F8B"/>
    <w:rsid w:val="002B06D6"/>
    <w:rsid w:val="002B20BA"/>
    <w:rsid w:val="002B2896"/>
    <w:rsid w:val="002B3F9A"/>
    <w:rsid w:val="002B4F2D"/>
    <w:rsid w:val="002B50F8"/>
    <w:rsid w:val="002B5295"/>
    <w:rsid w:val="002B6D54"/>
    <w:rsid w:val="002B6EDD"/>
    <w:rsid w:val="002B701C"/>
    <w:rsid w:val="002B7066"/>
    <w:rsid w:val="002B723A"/>
    <w:rsid w:val="002B7724"/>
    <w:rsid w:val="002C0471"/>
    <w:rsid w:val="002C051F"/>
    <w:rsid w:val="002C083D"/>
    <w:rsid w:val="002C0B8B"/>
    <w:rsid w:val="002C325C"/>
    <w:rsid w:val="002C5674"/>
    <w:rsid w:val="002C609C"/>
    <w:rsid w:val="002C76BC"/>
    <w:rsid w:val="002C7F09"/>
    <w:rsid w:val="002C7FF0"/>
    <w:rsid w:val="002D0D7B"/>
    <w:rsid w:val="002D0DA8"/>
    <w:rsid w:val="002D0F6E"/>
    <w:rsid w:val="002D15FD"/>
    <w:rsid w:val="002D16B8"/>
    <w:rsid w:val="002D2BAB"/>
    <w:rsid w:val="002D3A96"/>
    <w:rsid w:val="002D41EB"/>
    <w:rsid w:val="002D4EE4"/>
    <w:rsid w:val="002D5102"/>
    <w:rsid w:val="002D5D79"/>
    <w:rsid w:val="002D5DBD"/>
    <w:rsid w:val="002D5FF9"/>
    <w:rsid w:val="002D62D5"/>
    <w:rsid w:val="002D63D6"/>
    <w:rsid w:val="002D6F9A"/>
    <w:rsid w:val="002D7FFB"/>
    <w:rsid w:val="002E031B"/>
    <w:rsid w:val="002E0AF3"/>
    <w:rsid w:val="002E1A7F"/>
    <w:rsid w:val="002E1F41"/>
    <w:rsid w:val="002E20F9"/>
    <w:rsid w:val="002E22AE"/>
    <w:rsid w:val="002E3D6C"/>
    <w:rsid w:val="002E4748"/>
    <w:rsid w:val="002E4D6E"/>
    <w:rsid w:val="002E5340"/>
    <w:rsid w:val="002E663E"/>
    <w:rsid w:val="002E6ABC"/>
    <w:rsid w:val="002F025A"/>
    <w:rsid w:val="002F23F5"/>
    <w:rsid w:val="002F320E"/>
    <w:rsid w:val="002F41D5"/>
    <w:rsid w:val="002F48D5"/>
    <w:rsid w:val="002F51F3"/>
    <w:rsid w:val="002F59A8"/>
    <w:rsid w:val="002F5EE3"/>
    <w:rsid w:val="002F60BE"/>
    <w:rsid w:val="002F63F2"/>
    <w:rsid w:val="002F6C95"/>
    <w:rsid w:val="002F7406"/>
    <w:rsid w:val="002F7C60"/>
    <w:rsid w:val="00300470"/>
    <w:rsid w:val="00300895"/>
    <w:rsid w:val="00300AF1"/>
    <w:rsid w:val="00300DE2"/>
    <w:rsid w:val="00300F89"/>
    <w:rsid w:val="00301859"/>
    <w:rsid w:val="003018C8"/>
    <w:rsid w:val="00302121"/>
    <w:rsid w:val="0030268F"/>
    <w:rsid w:val="00302CCE"/>
    <w:rsid w:val="00302DD6"/>
    <w:rsid w:val="00303022"/>
    <w:rsid w:val="00306049"/>
    <w:rsid w:val="003061A8"/>
    <w:rsid w:val="00307951"/>
    <w:rsid w:val="00311066"/>
    <w:rsid w:val="0031159B"/>
    <w:rsid w:val="00311893"/>
    <w:rsid w:val="00311DB0"/>
    <w:rsid w:val="00312374"/>
    <w:rsid w:val="00313320"/>
    <w:rsid w:val="00313B2B"/>
    <w:rsid w:val="00315A6A"/>
    <w:rsid w:val="003168F1"/>
    <w:rsid w:val="003171AA"/>
    <w:rsid w:val="003206A8"/>
    <w:rsid w:val="00321AB7"/>
    <w:rsid w:val="00321D5A"/>
    <w:rsid w:val="003237BF"/>
    <w:rsid w:val="00323C0D"/>
    <w:rsid w:val="00323C23"/>
    <w:rsid w:val="00324878"/>
    <w:rsid w:val="00324CCF"/>
    <w:rsid w:val="00326005"/>
    <w:rsid w:val="00326DD4"/>
    <w:rsid w:val="00326EEF"/>
    <w:rsid w:val="00327A0C"/>
    <w:rsid w:val="00327A75"/>
    <w:rsid w:val="00330287"/>
    <w:rsid w:val="0033044A"/>
    <w:rsid w:val="00330DD6"/>
    <w:rsid w:val="00331F89"/>
    <w:rsid w:val="00332AAD"/>
    <w:rsid w:val="003335CE"/>
    <w:rsid w:val="00334209"/>
    <w:rsid w:val="0033615C"/>
    <w:rsid w:val="00336359"/>
    <w:rsid w:val="003364FF"/>
    <w:rsid w:val="0033700F"/>
    <w:rsid w:val="003373C4"/>
    <w:rsid w:val="00337FC1"/>
    <w:rsid w:val="0034136A"/>
    <w:rsid w:val="00341D08"/>
    <w:rsid w:val="00342809"/>
    <w:rsid w:val="00344B92"/>
    <w:rsid w:val="00345F5A"/>
    <w:rsid w:val="00346620"/>
    <w:rsid w:val="00346649"/>
    <w:rsid w:val="00346A2B"/>
    <w:rsid w:val="003471A7"/>
    <w:rsid w:val="0035174A"/>
    <w:rsid w:val="00351D22"/>
    <w:rsid w:val="00353C34"/>
    <w:rsid w:val="00355A64"/>
    <w:rsid w:val="003570BD"/>
    <w:rsid w:val="003610D1"/>
    <w:rsid w:val="00361390"/>
    <w:rsid w:val="00362F0C"/>
    <w:rsid w:val="00364729"/>
    <w:rsid w:val="00365697"/>
    <w:rsid w:val="0036573A"/>
    <w:rsid w:val="00366388"/>
    <w:rsid w:val="003669C2"/>
    <w:rsid w:val="00367430"/>
    <w:rsid w:val="00370288"/>
    <w:rsid w:val="0037052A"/>
    <w:rsid w:val="00370EE8"/>
    <w:rsid w:val="003712DE"/>
    <w:rsid w:val="00371583"/>
    <w:rsid w:val="00371762"/>
    <w:rsid w:val="0037216A"/>
    <w:rsid w:val="00372443"/>
    <w:rsid w:val="003729B2"/>
    <w:rsid w:val="00373A36"/>
    <w:rsid w:val="003745C3"/>
    <w:rsid w:val="00374AB0"/>
    <w:rsid w:val="003757B0"/>
    <w:rsid w:val="00376E63"/>
    <w:rsid w:val="003807C9"/>
    <w:rsid w:val="00381186"/>
    <w:rsid w:val="003811F9"/>
    <w:rsid w:val="00381538"/>
    <w:rsid w:val="00381976"/>
    <w:rsid w:val="003821FE"/>
    <w:rsid w:val="00383054"/>
    <w:rsid w:val="003830FC"/>
    <w:rsid w:val="00383D8C"/>
    <w:rsid w:val="00383DB5"/>
    <w:rsid w:val="00386951"/>
    <w:rsid w:val="003873EE"/>
    <w:rsid w:val="003874BC"/>
    <w:rsid w:val="00390216"/>
    <w:rsid w:val="0039047D"/>
    <w:rsid w:val="00390B79"/>
    <w:rsid w:val="003913F5"/>
    <w:rsid w:val="00393A49"/>
    <w:rsid w:val="00395335"/>
    <w:rsid w:val="00395B06"/>
    <w:rsid w:val="003964F8"/>
    <w:rsid w:val="003A04F3"/>
    <w:rsid w:val="003A20A2"/>
    <w:rsid w:val="003A3C41"/>
    <w:rsid w:val="003A4202"/>
    <w:rsid w:val="003A4880"/>
    <w:rsid w:val="003A5FF8"/>
    <w:rsid w:val="003A67D6"/>
    <w:rsid w:val="003A791D"/>
    <w:rsid w:val="003A7C5D"/>
    <w:rsid w:val="003A7C97"/>
    <w:rsid w:val="003B07C1"/>
    <w:rsid w:val="003B14CE"/>
    <w:rsid w:val="003B2190"/>
    <w:rsid w:val="003B2283"/>
    <w:rsid w:val="003B2F44"/>
    <w:rsid w:val="003B3643"/>
    <w:rsid w:val="003B37A3"/>
    <w:rsid w:val="003B3803"/>
    <w:rsid w:val="003B4D22"/>
    <w:rsid w:val="003B50E4"/>
    <w:rsid w:val="003B5126"/>
    <w:rsid w:val="003B6009"/>
    <w:rsid w:val="003B6AE8"/>
    <w:rsid w:val="003C0BAD"/>
    <w:rsid w:val="003C106A"/>
    <w:rsid w:val="003C29F6"/>
    <w:rsid w:val="003C2ADB"/>
    <w:rsid w:val="003C2B11"/>
    <w:rsid w:val="003C2BBD"/>
    <w:rsid w:val="003C3458"/>
    <w:rsid w:val="003C35FE"/>
    <w:rsid w:val="003C3DD5"/>
    <w:rsid w:val="003C4833"/>
    <w:rsid w:val="003C48C8"/>
    <w:rsid w:val="003C4956"/>
    <w:rsid w:val="003C5F95"/>
    <w:rsid w:val="003C6647"/>
    <w:rsid w:val="003C6726"/>
    <w:rsid w:val="003C67EB"/>
    <w:rsid w:val="003C6B41"/>
    <w:rsid w:val="003C6BE6"/>
    <w:rsid w:val="003C78FA"/>
    <w:rsid w:val="003D0C4C"/>
    <w:rsid w:val="003D2B47"/>
    <w:rsid w:val="003D32A1"/>
    <w:rsid w:val="003D360E"/>
    <w:rsid w:val="003D6FB8"/>
    <w:rsid w:val="003E117E"/>
    <w:rsid w:val="003E1CBE"/>
    <w:rsid w:val="003E29B5"/>
    <w:rsid w:val="003E37D8"/>
    <w:rsid w:val="003E5061"/>
    <w:rsid w:val="003E5099"/>
    <w:rsid w:val="003E569C"/>
    <w:rsid w:val="003E5F2A"/>
    <w:rsid w:val="003E6EBE"/>
    <w:rsid w:val="003E78F9"/>
    <w:rsid w:val="003F01D3"/>
    <w:rsid w:val="003F151F"/>
    <w:rsid w:val="003F29ED"/>
    <w:rsid w:val="003F29F2"/>
    <w:rsid w:val="003F3477"/>
    <w:rsid w:val="003F3F07"/>
    <w:rsid w:val="003F4971"/>
    <w:rsid w:val="003F4BAB"/>
    <w:rsid w:val="003F54EA"/>
    <w:rsid w:val="003F596A"/>
    <w:rsid w:val="003F7D97"/>
    <w:rsid w:val="003F7D9A"/>
    <w:rsid w:val="004005DC"/>
    <w:rsid w:val="00400DC1"/>
    <w:rsid w:val="00402667"/>
    <w:rsid w:val="00402F66"/>
    <w:rsid w:val="00403A49"/>
    <w:rsid w:val="00405DEA"/>
    <w:rsid w:val="004063EF"/>
    <w:rsid w:val="004075BD"/>
    <w:rsid w:val="004079A7"/>
    <w:rsid w:val="00407B22"/>
    <w:rsid w:val="0041007E"/>
    <w:rsid w:val="0041057A"/>
    <w:rsid w:val="00410BFF"/>
    <w:rsid w:val="00410F22"/>
    <w:rsid w:val="004114C8"/>
    <w:rsid w:val="00411EE1"/>
    <w:rsid w:val="0041303E"/>
    <w:rsid w:val="00413568"/>
    <w:rsid w:val="00413CE7"/>
    <w:rsid w:val="00413F1C"/>
    <w:rsid w:val="00415FCA"/>
    <w:rsid w:val="00416A6C"/>
    <w:rsid w:val="00416B89"/>
    <w:rsid w:val="00420231"/>
    <w:rsid w:val="0042078C"/>
    <w:rsid w:val="0042166F"/>
    <w:rsid w:val="004225A4"/>
    <w:rsid w:val="00423508"/>
    <w:rsid w:val="0042394F"/>
    <w:rsid w:val="00424976"/>
    <w:rsid w:val="00424E79"/>
    <w:rsid w:val="004259F3"/>
    <w:rsid w:val="00427066"/>
    <w:rsid w:val="00427215"/>
    <w:rsid w:val="004300F1"/>
    <w:rsid w:val="00430FFC"/>
    <w:rsid w:val="004311CA"/>
    <w:rsid w:val="00431500"/>
    <w:rsid w:val="004319DA"/>
    <w:rsid w:val="00431B5D"/>
    <w:rsid w:val="00432771"/>
    <w:rsid w:val="00432F60"/>
    <w:rsid w:val="004339C9"/>
    <w:rsid w:val="004339F4"/>
    <w:rsid w:val="00433F91"/>
    <w:rsid w:val="004340B8"/>
    <w:rsid w:val="004346E5"/>
    <w:rsid w:val="00434949"/>
    <w:rsid w:val="00435ACE"/>
    <w:rsid w:val="00436166"/>
    <w:rsid w:val="00437D8B"/>
    <w:rsid w:val="004406D1"/>
    <w:rsid w:val="004408B3"/>
    <w:rsid w:val="00440A60"/>
    <w:rsid w:val="00440F08"/>
    <w:rsid w:val="00441403"/>
    <w:rsid w:val="004415F0"/>
    <w:rsid w:val="00441A57"/>
    <w:rsid w:val="004428F7"/>
    <w:rsid w:val="00442C9C"/>
    <w:rsid w:val="004442C5"/>
    <w:rsid w:val="00445B07"/>
    <w:rsid w:val="00447194"/>
    <w:rsid w:val="00447B49"/>
    <w:rsid w:val="00447EE4"/>
    <w:rsid w:val="00447F78"/>
    <w:rsid w:val="0045223F"/>
    <w:rsid w:val="004523FB"/>
    <w:rsid w:val="00452B4C"/>
    <w:rsid w:val="0045492C"/>
    <w:rsid w:val="00455469"/>
    <w:rsid w:val="0045558A"/>
    <w:rsid w:val="004564F4"/>
    <w:rsid w:val="00457706"/>
    <w:rsid w:val="00461394"/>
    <w:rsid w:val="00462130"/>
    <w:rsid w:val="00462149"/>
    <w:rsid w:val="004622DA"/>
    <w:rsid w:val="004641AB"/>
    <w:rsid w:val="0046432C"/>
    <w:rsid w:val="00464E90"/>
    <w:rsid w:val="004655C5"/>
    <w:rsid w:val="00465F35"/>
    <w:rsid w:val="00466CAC"/>
    <w:rsid w:val="004677C7"/>
    <w:rsid w:val="0047074E"/>
    <w:rsid w:val="004707BB"/>
    <w:rsid w:val="00471063"/>
    <w:rsid w:val="004710D5"/>
    <w:rsid w:val="0047159A"/>
    <w:rsid w:val="004727DB"/>
    <w:rsid w:val="00472A4D"/>
    <w:rsid w:val="00473AAF"/>
    <w:rsid w:val="00473E87"/>
    <w:rsid w:val="00475ED4"/>
    <w:rsid w:val="00476AE6"/>
    <w:rsid w:val="00476EE8"/>
    <w:rsid w:val="0047706C"/>
    <w:rsid w:val="00477496"/>
    <w:rsid w:val="004777A6"/>
    <w:rsid w:val="004777D0"/>
    <w:rsid w:val="00477B83"/>
    <w:rsid w:val="00477D66"/>
    <w:rsid w:val="0048005B"/>
    <w:rsid w:val="00480623"/>
    <w:rsid w:val="004809C2"/>
    <w:rsid w:val="004812E7"/>
    <w:rsid w:val="0048191E"/>
    <w:rsid w:val="00482C2B"/>
    <w:rsid w:val="00483940"/>
    <w:rsid w:val="00484168"/>
    <w:rsid w:val="00484335"/>
    <w:rsid w:val="00484539"/>
    <w:rsid w:val="004845E9"/>
    <w:rsid w:val="0048483C"/>
    <w:rsid w:val="00485C9C"/>
    <w:rsid w:val="00485E66"/>
    <w:rsid w:val="00487C05"/>
    <w:rsid w:val="004904B5"/>
    <w:rsid w:val="00490750"/>
    <w:rsid w:val="0049123B"/>
    <w:rsid w:val="00491930"/>
    <w:rsid w:val="0049210A"/>
    <w:rsid w:val="00492D26"/>
    <w:rsid w:val="00492E2C"/>
    <w:rsid w:val="004939B4"/>
    <w:rsid w:val="00493B57"/>
    <w:rsid w:val="00494F70"/>
    <w:rsid w:val="004954EE"/>
    <w:rsid w:val="0049588F"/>
    <w:rsid w:val="00496138"/>
    <w:rsid w:val="0049613A"/>
    <w:rsid w:val="00496709"/>
    <w:rsid w:val="00496827"/>
    <w:rsid w:val="00496CA8"/>
    <w:rsid w:val="00496DC8"/>
    <w:rsid w:val="00497F88"/>
    <w:rsid w:val="004A0304"/>
    <w:rsid w:val="004A0D3E"/>
    <w:rsid w:val="004A0E84"/>
    <w:rsid w:val="004A16C7"/>
    <w:rsid w:val="004A1F9F"/>
    <w:rsid w:val="004A22F6"/>
    <w:rsid w:val="004A24E2"/>
    <w:rsid w:val="004A3CD0"/>
    <w:rsid w:val="004A4717"/>
    <w:rsid w:val="004A5809"/>
    <w:rsid w:val="004A5F3B"/>
    <w:rsid w:val="004A7122"/>
    <w:rsid w:val="004A7149"/>
    <w:rsid w:val="004A7C09"/>
    <w:rsid w:val="004A7E7D"/>
    <w:rsid w:val="004B0A01"/>
    <w:rsid w:val="004B1578"/>
    <w:rsid w:val="004B2FAB"/>
    <w:rsid w:val="004B3BA7"/>
    <w:rsid w:val="004B56EF"/>
    <w:rsid w:val="004B59DD"/>
    <w:rsid w:val="004B6729"/>
    <w:rsid w:val="004B72CF"/>
    <w:rsid w:val="004B74D3"/>
    <w:rsid w:val="004B7931"/>
    <w:rsid w:val="004B7C61"/>
    <w:rsid w:val="004C10AA"/>
    <w:rsid w:val="004C10C3"/>
    <w:rsid w:val="004C23AA"/>
    <w:rsid w:val="004C26C4"/>
    <w:rsid w:val="004C2889"/>
    <w:rsid w:val="004C2EF4"/>
    <w:rsid w:val="004C3151"/>
    <w:rsid w:val="004C32B0"/>
    <w:rsid w:val="004C3CFB"/>
    <w:rsid w:val="004C496A"/>
    <w:rsid w:val="004C4AA5"/>
    <w:rsid w:val="004C5470"/>
    <w:rsid w:val="004C6120"/>
    <w:rsid w:val="004C61C9"/>
    <w:rsid w:val="004C6FFD"/>
    <w:rsid w:val="004C76E6"/>
    <w:rsid w:val="004C7AD7"/>
    <w:rsid w:val="004C7E24"/>
    <w:rsid w:val="004D0B56"/>
    <w:rsid w:val="004D1195"/>
    <w:rsid w:val="004D1AE0"/>
    <w:rsid w:val="004D2432"/>
    <w:rsid w:val="004D2950"/>
    <w:rsid w:val="004D2E2F"/>
    <w:rsid w:val="004D41F7"/>
    <w:rsid w:val="004D438D"/>
    <w:rsid w:val="004D4662"/>
    <w:rsid w:val="004D51D9"/>
    <w:rsid w:val="004D7BFF"/>
    <w:rsid w:val="004D7CAC"/>
    <w:rsid w:val="004D7D5B"/>
    <w:rsid w:val="004D7FA9"/>
    <w:rsid w:val="004E075F"/>
    <w:rsid w:val="004E3781"/>
    <w:rsid w:val="004E42DC"/>
    <w:rsid w:val="004E4D29"/>
    <w:rsid w:val="004E53B3"/>
    <w:rsid w:val="004E566F"/>
    <w:rsid w:val="004E57C9"/>
    <w:rsid w:val="004E5A3A"/>
    <w:rsid w:val="004E5C29"/>
    <w:rsid w:val="004E63C3"/>
    <w:rsid w:val="004E65EA"/>
    <w:rsid w:val="004E6B57"/>
    <w:rsid w:val="004E6CAC"/>
    <w:rsid w:val="004E6FA8"/>
    <w:rsid w:val="004E7595"/>
    <w:rsid w:val="004E7CCD"/>
    <w:rsid w:val="004E7E65"/>
    <w:rsid w:val="004F08B8"/>
    <w:rsid w:val="004F0F22"/>
    <w:rsid w:val="004F0F7E"/>
    <w:rsid w:val="004F156F"/>
    <w:rsid w:val="004F1AC3"/>
    <w:rsid w:val="004F1B9E"/>
    <w:rsid w:val="004F3440"/>
    <w:rsid w:val="004F3496"/>
    <w:rsid w:val="004F3D52"/>
    <w:rsid w:val="004F4071"/>
    <w:rsid w:val="004F5584"/>
    <w:rsid w:val="004F581F"/>
    <w:rsid w:val="004F607F"/>
    <w:rsid w:val="004F6D0B"/>
    <w:rsid w:val="004F6FFA"/>
    <w:rsid w:val="004F7C87"/>
    <w:rsid w:val="00500119"/>
    <w:rsid w:val="00500500"/>
    <w:rsid w:val="00500525"/>
    <w:rsid w:val="0050246B"/>
    <w:rsid w:val="0050374D"/>
    <w:rsid w:val="00504A1C"/>
    <w:rsid w:val="00505647"/>
    <w:rsid w:val="00505844"/>
    <w:rsid w:val="00505B30"/>
    <w:rsid w:val="00506034"/>
    <w:rsid w:val="0050656A"/>
    <w:rsid w:val="00507262"/>
    <w:rsid w:val="00507F51"/>
    <w:rsid w:val="00510511"/>
    <w:rsid w:val="00510D74"/>
    <w:rsid w:val="005112D4"/>
    <w:rsid w:val="005113DA"/>
    <w:rsid w:val="0051165D"/>
    <w:rsid w:val="005137DD"/>
    <w:rsid w:val="00516D6B"/>
    <w:rsid w:val="005171A9"/>
    <w:rsid w:val="005174A6"/>
    <w:rsid w:val="00517A20"/>
    <w:rsid w:val="00517C7C"/>
    <w:rsid w:val="00521216"/>
    <w:rsid w:val="005214E2"/>
    <w:rsid w:val="00521A48"/>
    <w:rsid w:val="00521A9F"/>
    <w:rsid w:val="00522217"/>
    <w:rsid w:val="005244F6"/>
    <w:rsid w:val="00526C83"/>
    <w:rsid w:val="0052704E"/>
    <w:rsid w:val="00527764"/>
    <w:rsid w:val="005277AD"/>
    <w:rsid w:val="00527B57"/>
    <w:rsid w:val="005302F6"/>
    <w:rsid w:val="00530813"/>
    <w:rsid w:val="00530E5C"/>
    <w:rsid w:val="005312A4"/>
    <w:rsid w:val="00531686"/>
    <w:rsid w:val="00531C8A"/>
    <w:rsid w:val="00531E10"/>
    <w:rsid w:val="00531FF8"/>
    <w:rsid w:val="0053243C"/>
    <w:rsid w:val="00533895"/>
    <w:rsid w:val="005348DE"/>
    <w:rsid w:val="00535116"/>
    <w:rsid w:val="0053635C"/>
    <w:rsid w:val="005366CC"/>
    <w:rsid w:val="005367F2"/>
    <w:rsid w:val="0054028F"/>
    <w:rsid w:val="005412A6"/>
    <w:rsid w:val="0054243F"/>
    <w:rsid w:val="00542497"/>
    <w:rsid w:val="00542793"/>
    <w:rsid w:val="00542899"/>
    <w:rsid w:val="00542CA9"/>
    <w:rsid w:val="00542CC7"/>
    <w:rsid w:val="005438CF"/>
    <w:rsid w:val="00543D9D"/>
    <w:rsid w:val="0054547A"/>
    <w:rsid w:val="00545C0F"/>
    <w:rsid w:val="00545DA8"/>
    <w:rsid w:val="00545DEE"/>
    <w:rsid w:val="005467C2"/>
    <w:rsid w:val="00546D8D"/>
    <w:rsid w:val="00547484"/>
    <w:rsid w:val="00547A1A"/>
    <w:rsid w:val="0055219F"/>
    <w:rsid w:val="005535F1"/>
    <w:rsid w:val="0055483C"/>
    <w:rsid w:val="00554CAF"/>
    <w:rsid w:val="005553BA"/>
    <w:rsid w:val="0055566B"/>
    <w:rsid w:val="0055779C"/>
    <w:rsid w:val="00560CCF"/>
    <w:rsid w:val="00560E7A"/>
    <w:rsid w:val="0056189F"/>
    <w:rsid w:val="0056278B"/>
    <w:rsid w:val="0056290C"/>
    <w:rsid w:val="00562AAE"/>
    <w:rsid w:val="00562CBF"/>
    <w:rsid w:val="00562DFC"/>
    <w:rsid w:val="005635FC"/>
    <w:rsid w:val="00563711"/>
    <w:rsid w:val="00563DBD"/>
    <w:rsid w:val="00564052"/>
    <w:rsid w:val="0056435F"/>
    <w:rsid w:val="00564669"/>
    <w:rsid w:val="00565294"/>
    <w:rsid w:val="005668D7"/>
    <w:rsid w:val="00567343"/>
    <w:rsid w:val="00567AE4"/>
    <w:rsid w:val="005702BD"/>
    <w:rsid w:val="005704FF"/>
    <w:rsid w:val="00571067"/>
    <w:rsid w:val="00571703"/>
    <w:rsid w:val="00571963"/>
    <w:rsid w:val="00572A42"/>
    <w:rsid w:val="0057321C"/>
    <w:rsid w:val="00575F70"/>
    <w:rsid w:val="005769DA"/>
    <w:rsid w:val="0057715F"/>
    <w:rsid w:val="0058006E"/>
    <w:rsid w:val="00581454"/>
    <w:rsid w:val="00581B15"/>
    <w:rsid w:val="00582442"/>
    <w:rsid w:val="00585B82"/>
    <w:rsid w:val="005860BC"/>
    <w:rsid w:val="00586B65"/>
    <w:rsid w:val="00586DCB"/>
    <w:rsid w:val="0058747A"/>
    <w:rsid w:val="0058767D"/>
    <w:rsid w:val="00587F96"/>
    <w:rsid w:val="00590126"/>
    <w:rsid w:val="00590724"/>
    <w:rsid w:val="0059123B"/>
    <w:rsid w:val="00592A56"/>
    <w:rsid w:val="00592BC4"/>
    <w:rsid w:val="00593638"/>
    <w:rsid w:val="00594926"/>
    <w:rsid w:val="005952B2"/>
    <w:rsid w:val="005961E9"/>
    <w:rsid w:val="0059708C"/>
    <w:rsid w:val="00597E00"/>
    <w:rsid w:val="005A0009"/>
    <w:rsid w:val="005A06EA"/>
    <w:rsid w:val="005A1498"/>
    <w:rsid w:val="005A2081"/>
    <w:rsid w:val="005A2549"/>
    <w:rsid w:val="005A33ED"/>
    <w:rsid w:val="005A3BF4"/>
    <w:rsid w:val="005A6768"/>
    <w:rsid w:val="005B0395"/>
    <w:rsid w:val="005B115B"/>
    <w:rsid w:val="005B12BB"/>
    <w:rsid w:val="005B1CD1"/>
    <w:rsid w:val="005B2572"/>
    <w:rsid w:val="005B2BBD"/>
    <w:rsid w:val="005B2CB1"/>
    <w:rsid w:val="005B3503"/>
    <w:rsid w:val="005B3713"/>
    <w:rsid w:val="005B4C54"/>
    <w:rsid w:val="005B4DE3"/>
    <w:rsid w:val="005B5747"/>
    <w:rsid w:val="005B6A93"/>
    <w:rsid w:val="005B6B0F"/>
    <w:rsid w:val="005B76EF"/>
    <w:rsid w:val="005B7713"/>
    <w:rsid w:val="005B7BEA"/>
    <w:rsid w:val="005C0D15"/>
    <w:rsid w:val="005C1074"/>
    <w:rsid w:val="005C10DA"/>
    <w:rsid w:val="005C139A"/>
    <w:rsid w:val="005C167B"/>
    <w:rsid w:val="005C2E42"/>
    <w:rsid w:val="005C2FBB"/>
    <w:rsid w:val="005C3E6D"/>
    <w:rsid w:val="005C3EC3"/>
    <w:rsid w:val="005C3F69"/>
    <w:rsid w:val="005C3FFC"/>
    <w:rsid w:val="005C4D80"/>
    <w:rsid w:val="005C4FDF"/>
    <w:rsid w:val="005C68CB"/>
    <w:rsid w:val="005C6A7C"/>
    <w:rsid w:val="005D0F29"/>
    <w:rsid w:val="005D17F8"/>
    <w:rsid w:val="005D1A13"/>
    <w:rsid w:val="005D259F"/>
    <w:rsid w:val="005D2641"/>
    <w:rsid w:val="005D502B"/>
    <w:rsid w:val="005D5094"/>
    <w:rsid w:val="005D5668"/>
    <w:rsid w:val="005D581A"/>
    <w:rsid w:val="005D5857"/>
    <w:rsid w:val="005D6979"/>
    <w:rsid w:val="005D709D"/>
    <w:rsid w:val="005D7F50"/>
    <w:rsid w:val="005E081D"/>
    <w:rsid w:val="005E32EB"/>
    <w:rsid w:val="005E3705"/>
    <w:rsid w:val="005E385C"/>
    <w:rsid w:val="005E49B6"/>
    <w:rsid w:val="005E51B2"/>
    <w:rsid w:val="005E7608"/>
    <w:rsid w:val="005E7666"/>
    <w:rsid w:val="005E76FB"/>
    <w:rsid w:val="005E7DC8"/>
    <w:rsid w:val="005F05B1"/>
    <w:rsid w:val="005F2807"/>
    <w:rsid w:val="005F392C"/>
    <w:rsid w:val="005F3C2E"/>
    <w:rsid w:val="005F470B"/>
    <w:rsid w:val="005F4843"/>
    <w:rsid w:val="005F495A"/>
    <w:rsid w:val="005F52A5"/>
    <w:rsid w:val="005F5C0D"/>
    <w:rsid w:val="005F5F4C"/>
    <w:rsid w:val="005F6137"/>
    <w:rsid w:val="005F670E"/>
    <w:rsid w:val="005F7AF3"/>
    <w:rsid w:val="00600109"/>
    <w:rsid w:val="006007DC"/>
    <w:rsid w:val="00600BF5"/>
    <w:rsid w:val="00600D9F"/>
    <w:rsid w:val="00600EDC"/>
    <w:rsid w:val="00601D10"/>
    <w:rsid w:val="00601F12"/>
    <w:rsid w:val="00601F52"/>
    <w:rsid w:val="006022E2"/>
    <w:rsid w:val="006023E9"/>
    <w:rsid w:val="006036AA"/>
    <w:rsid w:val="006038F9"/>
    <w:rsid w:val="00604189"/>
    <w:rsid w:val="00606017"/>
    <w:rsid w:val="00606422"/>
    <w:rsid w:val="0060685F"/>
    <w:rsid w:val="00607BB0"/>
    <w:rsid w:val="00611A92"/>
    <w:rsid w:val="00611D13"/>
    <w:rsid w:val="006120E3"/>
    <w:rsid w:val="00612500"/>
    <w:rsid w:val="00612CDA"/>
    <w:rsid w:val="00612F42"/>
    <w:rsid w:val="00614BBE"/>
    <w:rsid w:val="00616783"/>
    <w:rsid w:val="00616C07"/>
    <w:rsid w:val="0061760D"/>
    <w:rsid w:val="00617D72"/>
    <w:rsid w:val="00620AC7"/>
    <w:rsid w:val="00620F21"/>
    <w:rsid w:val="00621217"/>
    <w:rsid w:val="00621681"/>
    <w:rsid w:val="006219A1"/>
    <w:rsid w:val="00622DD4"/>
    <w:rsid w:val="0062303E"/>
    <w:rsid w:val="00624E14"/>
    <w:rsid w:val="00625E5E"/>
    <w:rsid w:val="00627307"/>
    <w:rsid w:val="0063028E"/>
    <w:rsid w:val="00631FA3"/>
    <w:rsid w:val="00632309"/>
    <w:rsid w:val="00633BFF"/>
    <w:rsid w:val="00635554"/>
    <w:rsid w:val="00635581"/>
    <w:rsid w:val="00636EC5"/>
    <w:rsid w:val="0063775E"/>
    <w:rsid w:val="00637FCC"/>
    <w:rsid w:val="006402E4"/>
    <w:rsid w:val="00640950"/>
    <w:rsid w:val="00640DFD"/>
    <w:rsid w:val="006412A3"/>
    <w:rsid w:val="006414C2"/>
    <w:rsid w:val="00641CB4"/>
    <w:rsid w:val="006429F8"/>
    <w:rsid w:val="00643B62"/>
    <w:rsid w:val="00644AF3"/>
    <w:rsid w:val="00646207"/>
    <w:rsid w:val="00646424"/>
    <w:rsid w:val="00647517"/>
    <w:rsid w:val="00647F47"/>
    <w:rsid w:val="00650912"/>
    <w:rsid w:val="00651659"/>
    <w:rsid w:val="00652C4C"/>
    <w:rsid w:val="00652C6E"/>
    <w:rsid w:val="006531C4"/>
    <w:rsid w:val="00654081"/>
    <w:rsid w:val="00654F52"/>
    <w:rsid w:val="00655E33"/>
    <w:rsid w:val="00656423"/>
    <w:rsid w:val="00661B33"/>
    <w:rsid w:val="006624AF"/>
    <w:rsid w:val="00663313"/>
    <w:rsid w:val="006653A9"/>
    <w:rsid w:val="006654B9"/>
    <w:rsid w:val="00665553"/>
    <w:rsid w:val="00665AE3"/>
    <w:rsid w:val="00667403"/>
    <w:rsid w:val="0067052C"/>
    <w:rsid w:val="00670642"/>
    <w:rsid w:val="00670B02"/>
    <w:rsid w:val="00671CE5"/>
    <w:rsid w:val="00672FFE"/>
    <w:rsid w:val="006735D7"/>
    <w:rsid w:val="00674962"/>
    <w:rsid w:val="00675176"/>
    <w:rsid w:val="0067533B"/>
    <w:rsid w:val="006756DD"/>
    <w:rsid w:val="00677119"/>
    <w:rsid w:val="006771C7"/>
    <w:rsid w:val="00677A98"/>
    <w:rsid w:val="006804C5"/>
    <w:rsid w:val="006806A4"/>
    <w:rsid w:val="00680BF9"/>
    <w:rsid w:val="0068227E"/>
    <w:rsid w:val="0068304B"/>
    <w:rsid w:val="00683D85"/>
    <w:rsid w:val="00685F9B"/>
    <w:rsid w:val="006860D2"/>
    <w:rsid w:val="006869C4"/>
    <w:rsid w:val="00686FEF"/>
    <w:rsid w:val="0069086D"/>
    <w:rsid w:val="00692128"/>
    <w:rsid w:val="0069250E"/>
    <w:rsid w:val="00694767"/>
    <w:rsid w:val="00694B5A"/>
    <w:rsid w:val="00694E92"/>
    <w:rsid w:val="00695748"/>
    <w:rsid w:val="00695903"/>
    <w:rsid w:val="00695C84"/>
    <w:rsid w:val="00695FA0"/>
    <w:rsid w:val="00696AC2"/>
    <w:rsid w:val="006978F9"/>
    <w:rsid w:val="00697920"/>
    <w:rsid w:val="00697D2E"/>
    <w:rsid w:val="006A0D9C"/>
    <w:rsid w:val="006A0FAC"/>
    <w:rsid w:val="006A1105"/>
    <w:rsid w:val="006A176B"/>
    <w:rsid w:val="006A35CE"/>
    <w:rsid w:val="006A3973"/>
    <w:rsid w:val="006A3B1C"/>
    <w:rsid w:val="006A4511"/>
    <w:rsid w:val="006A54E0"/>
    <w:rsid w:val="006A5E8F"/>
    <w:rsid w:val="006A6523"/>
    <w:rsid w:val="006A6A8A"/>
    <w:rsid w:val="006A6D77"/>
    <w:rsid w:val="006A7127"/>
    <w:rsid w:val="006B0099"/>
    <w:rsid w:val="006B032F"/>
    <w:rsid w:val="006B038C"/>
    <w:rsid w:val="006B1728"/>
    <w:rsid w:val="006B2AE0"/>
    <w:rsid w:val="006B2EFD"/>
    <w:rsid w:val="006B3111"/>
    <w:rsid w:val="006B369C"/>
    <w:rsid w:val="006B3873"/>
    <w:rsid w:val="006B3F3F"/>
    <w:rsid w:val="006B52D7"/>
    <w:rsid w:val="006B54C6"/>
    <w:rsid w:val="006B5EF7"/>
    <w:rsid w:val="006B6416"/>
    <w:rsid w:val="006B660D"/>
    <w:rsid w:val="006B6F44"/>
    <w:rsid w:val="006B7190"/>
    <w:rsid w:val="006B7CAD"/>
    <w:rsid w:val="006C0D4C"/>
    <w:rsid w:val="006C1FFB"/>
    <w:rsid w:val="006C2BAC"/>
    <w:rsid w:val="006C3A7D"/>
    <w:rsid w:val="006C527A"/>
    <w:rsid w:val="006C53B5"/>
    <w:rsid w:val="006C7729"/>
    <w:rsid w:val="006C7FFC"/>
    <w:rsid w:val="006D0401"/>
    <w:rsid w:val="006D0F6F"/>
    <w:rsid w:val="006D2AFC"/>
    <w:rsid w:val="006D3029"/>
    <w:rsid w:val="006D3562"/>
    <w:rsid w:val="006D3958"/>
    <w:rsid w:val="006D3C75"/>
    <w:rsid w:val="006D45CA"/>
    <w:rsid w:val="006D4C89"/>
    <w:rsid w:val="006D510D"/>
    <w:rsid w:val="006D60F2"/>
    <w:rsid w:val="006D691C"/>
    <w:rsid w:val="006D6CEE"/>
    <w:rsid w:val="006D79CD"/>
    <w:rsid w:val="006E136B"/>
    <w:rsid w:val="006E1B99"/>
    <w:rsid w:val="006E1C2B"/>
    <w:rsid w:val="006E32A9"/>
    <w:rsid w:val="006E3F5A"/>
    <w:rsid w:val="006E3F6F"/>
    <w:rsid w:val="006E3FF1"/>
    <w:rsid w:val="006E5982"/>
    <w:rsid w:val="006E6CB7"/>
    <w:rsid w:val="006E7F70"/>
    <w:rsid w:val="006F0224"/>
    <w:rsid w:val="006F1CE7"/>
    <w:rsid w:val="006F2091"/>
    <w:rsid w:val="006F2861"/>
    <w:rsid w:val="006F2875"/>
    <w:rsid w:val="006F2FC2"/>
    <w:rsid w:val="006F3333"/>
    <w:rsid w:val="006F5060"/>
    <w:rsid w:val="006F51C1"/>
    <w:rsid w:val="006F5225"/>
    <w:rsid w:val="006F5343"/>
    <w:rsid w:val="006F5672"/>
    <w:rsid w:val="006F5C0E"/>
    <w:rsid w:val="006F5C2B"/>
    <w:rsid w:val="006F6843"/>
    <w:rsid w:val="006F692A"/>
    <w:rsid w:val="006F6C90"/>
    <w:rsid w:val="006F6E4E"/>
    <w:rsid w:val="006F7DC5"/>
    <w:rsid w:val="00700FDA"/>
    <w:rsid w:val="00702B7C"/>
    <w:rsid w:val="00703233"/>
    <w:rsid w:val="007042B0"/>
    <w:rsid w:val="0070460A"/>
    <w:rsid w:val="00704FF1"/>
    <w:rsid w:val="00705C66"/>
    <w:rsid w:val="00705F2C"/>
    <w:rsid w:val="007079A7"/>
    <w:rsid w:val="00711068"/>
    <w:rsid w:val="007121C4"/>
    <w:rsid w:val="007124C8"/>
    <w:rsid w:val="00712C6A"/>
    <w:rsid w:val="007143F6"/>
    <w:rsid w:val="007147EF"/>
    <w:rsid w:val="007151A3"/>
    <w:rsid w:val="00715AC6"/>
    <w:rsid w:val="00716EED"/>
    <w:rsid w:val="0071749D"/>
    <w:rsid w:val="0071769A"/>
    <w:rsid w:val="00720352"/>
    <w:rsid w:val="00720DE3"/>
    <w:rsid w:val="007211E5"/>
    <w:rsid w:val="00721D00"/>
    <w:rsid w:val="007225F2"/>
    <w:rsid w:val="00722AC8"/>
    <w:rsid w:val="00722FB1"/>
    <w:rsid w:val="00723310"/>
    <w:rsid w:val="00725F22"/>
    <w:rsid w:val="007260E5"/>
    <w:rsid w:val="00726715"/>
    <w:rsid w:val="00726D9E"/>
    <w:rsid w:val="0072716D"/>
    <w:rsid w:val="007307B0"/>
    <w:rsid w:val="0073081F"/>
    <w:rsid w:val="00730BA4"/>
    <w:rsid w:val="00730CF1"/>
    <w:rsid w:val="007315D9"/>
    <w:rsid w:val="0073178F"/>
    <w:rsid w:val="007336BF"/>
    <w:rsid w:val="00733D66"/>
    <w:rsid w:val="00734DC2"/>
    <w:rsid w:val="0073630C"/>
    <w:rsid w:val="0073651D"/>
    <w:rsid w:val="00737B40"/>
    <w:rsid w:val="00737B44"/>
    <w:rsid w:val="00737D5B"/>
    <w:rsid w:val="0074012B"/>
    <w:rsid w:val="00740A70"/>
    <w:rsid w:val="00740C0E"/>
    <w:rsid w:val="007416BB"/>
    <w:rsid w:val="00742AA9"/>
    <w:rsid w:val="00742BC7"/>
    <w:rsid w:val="00743441"/>
    <w:rsid w:val="00743AA7"/>
    <w:rsid w:val="00743C09"/>
    <w:rsid w:val="007456AB"/>
    <w:rsid w:val="007460AF"/>
    <w:rsid w:val="007462CD"/>
    <w:rsid w:val="007464F4"/>
    <w:rsid w:val="00746A39"/>
    <w:rsid w:val="00747545"/>
    <w:rsid w:val="007501F5"/>
    <w:rsid w:val="00750C17"/>
    <w:rsid w:val="00751A5F"/>
    <w:rsid w:val="00751AFB"/>
    <w:rsid w:val="00751EA6"/>
    <w:rsid w:val="00752397"/>
    <w:rsid w:val="00752E13"/>
    <w:rsid w:val="00753294"/>
    <w:rsid w:val="007532DE"/>
    <w:rsid w:val="00753660"/>
    <w:rsid w:val="0075399C"/>
    <w:rsid w:val="00753B67"/>
    <w:rsid w:val="00753BBA"/>
    <w:rsid w:val="0075407C"/>
    <w:rsid w:val="00754590"/>
    <w:rsid w:val="00755536"/>
    <w:rsid w:val="007566A7"/>
    <w:rsid w:val="00756B19"/>
    <w:rsid w:val="00756B95"/>
    <w:rsid w:val="00757193"/>
    <w:rsid w:val="00757CB3"/>
    <w:rsid w:val="00760401"/>
    <w:rsid w:val="00760BB3"/>
    <w:rsid w:val="00761CB1"/>
    <w:rsid w:val="0076201A"/>
    <w:rsid w:val="0076255C"/>
    <w:rsid w:val="007634DC"/>
    <w:rsid w:val="00763826"/>
    <w:rsid w:val="00766DDD"/>
    <w:rsid w:val="0077094F"/>
    <w:rsid w:val="00770A8B"/>
    <w:rsid w:val="00770CBE"/>
    <w:rsid w:val="00771571"/>
    <w:rsid w:val="00772869"/>
    <w:rsid w:val="00772B5E"/>
    <w:rsid w:val="00773DF0"/>
    <w:rsid w:val="00774131"/>
    <w:rsid w:val="00774293"/>
    <w:rsid w:val="00774916"/>
    <w:rsid w:val="00775384"/>
    <w:rsid w:val="00775925"/>
    <w:rsid w:val="00775DF8"/>
    <w:rsid w:val="00776191"/>
    <w:rsid w:val="0077626C"/>
    <w:rsid w:val="007762CF"/>
    <w:rsid w:val="0077634A"/>
    <w:rsid w:val="007766B0"/>
    <w:rsid w:val="00776DF6"/>
    <w:rsid w:val="00777DEE"/>
    <w:rsid w:val="00777EE9"/>
    <w:rsid w:val="007804F5"/>
    <w:rsid w:val="0078087D"/>
    <w:rsid w:val="00781B7B"/>
    <w:rsid w:val="00782108"/>
    <w:rsid w:val="007821EC"/>
    <w:rsid w:val="00782CE4"/>
    <w:rsid w:val="00782D37"/>
    <w:rsid w:val="007853D7"/>
    <w:rsid w:val="007858B7"/>
    <w:rsid w:val="00785A63"/>
    <w:rsid w:val="0078658B"/>
    <w:rsid w:val="00786FFD"/>
    <w:rsid w:val="00787D6E"/>
    <w:rsid w:val="0079014F"/>
    <w:rsid w:val="007909D9"/>
    <w:rsid w:val="00790BF7"/>
    <w:rsid w:val="00791E39"/>
    <w:rsid w:val="00792A59"/>
    <w:rsid w:val="00792E85"/>
    <w:rsid w:val="00793F47"/>
    <w:rsid w:val="00793FA9"/>
    <w:rsid w:val="00794043"/>
    <w:rsid w:val="00794441"/>
    <w:rsid w:val="007948BC"/>
    <w:rsid w:val="007962E7"/>
    <w:rsid w:val="00796450"/>
    <w:rsid w:val="007965E4"/>
    <w:rsid w:val="0079754A"/>
    <w:rsid w:val="007976ED"/>
    <w:rsid w:val="007977AF"/>
    <w:rsid w:val="007A0814"/>
    <w:rsid w:val="007A09BB"/>
    <w:rsid w:val="007A0D38"/>
    <w:rsid w:val="007A210A"/>
    <w:rsid w:val="007A223D"/>
    <w:rsid w:val="007A23C8"/>
    <w:rsid w:val="007A312F"/>
    <w:rsid w:val="007A32BC"/>
    <w:rsid w:val="007A3970"/>
    <w:rsid w:val="007A49B9"/>
    <w:rsid w:val="007A4C62"/>
    <w:rsid w:val="007A4D73"/>
    <w:rsid w:val="007A6095"/>
    <w:rsid w:val="007A6376"/>
    <w:rsid w:val="007A7279"/>
    <w:rsid w:val="007A7AB0"/>
    <w:rsid w:val="007A7B0C"/>
    <w:rsid w:val="007B18C1"/>
    <w:rsid w:val="007B1D4F"/>
    <w:rsid w:val="007B1FFF"/>
    <w:rsid w:val="007B23CA"/>
    <w:rsid w:val="007B2D5C"/>
    <w:rsid w:val="007B2DB3"/>
    <w:rsid w:val="007B42BB"/>
    <w:rsid w:val="007B4B0E"/>
    <w:rsid w:val="007B4D86"/>
    <w:rsid w:val="007B5014"/>
    <w:rsid w:val="007B5A66"/>
    <w:rsid w:val="007B683F"/>
    <w:rsid w:val="007B7BBD"/>
    <w:rsid w:val="007C005E"/>
    <w:rsid w:val="007C1EB4"/>
    <w:rsid w:val="007C2848"/>
    <w:rsid w:val="007C3093"/>
    <w:rsid w:val="007C31DF"/>
    <w:rsid w:val="007C3C98"/>
    <w:rsid w:val="007C4AAD"/>
    <w:rsid w:val="007C51E1"/>
    <w:rsid w:val="007C5E47"/>
    <w:rsid w:val="007C64CA"/>
    <w:rsid w:val="007C66BE"/>
    <w:rsid w:val="007C68BF"/>
    <w:rsid w:val="007C7569"/>
    <w:rsid w:val="007C7FCB"/>
    <w:rsid w:val="007D17E3"/>
    <w:rsid w:val="007D1978"/>
    <w:rsid w:val="007D24AD"/>
    <w:rsid w:val="007D2CE9"/>
    <w:rsid w:val="007D324D"/>
    <w:rsid w:val="007D337D"/>
    <w:rsid w:val="007D3E10"/>
    <w:rsid w:val="007D57E4"/>
    <w:rsid w:val="007D65F2"/>
    <w:rsid w:val="007D6F45"/>
    <w:rsid w:val="007D7145"/>
    <w:rsid w:val="007E0091"/>
    <w:rsid w:val="007E052C"/>
    <w:rsid w:val="007E0A53"/>
    <w:rsid w:val="007E0D91"/>
    <w:rsid w:val="007E11C7"/>
    <w:rsid w:val="007E12D3"/>
    <w:rsid w:val="007E1B08"/>
    <w:rsid w:val="007E24B2"/>
    <w:rsid w:val="007E29C4"/>
    <w:rsid w:val="007E2EC9"/>
    <w:rsid w:val="007E3A6C"/>
    <w:rsid w:val="007E4800"/>
    <w:rsid w:val="007E4B5F"/>
    <w:rsid w:val="007E52DA"/>
    <w:rsid w:val="007E5792"/>
    <w:rsid w:val="007E7313"/>
    <w:rsid w:val="007E7E05"/>
    <w:rsid w:val="007F0500"/>
    <w:rsid w:val="007F09C9"/>
    <w:rsid w:val="007F14AF"/>
    <w:rsid w:val="007F1CF0"/>
    <w:rsid w:val="007F203F"/>
    <w:rsid w:val="007F2A33"/>
    <w:rsid w:val="007F4415"/>
    <w:rsid w:val="007F7B63"/>
    <w:rsid w:val="00800E60"/>
    <w:rsid w:val="00800E8F"/>
    <w:rsid w:val="00801EB4"/>
    <w:rsid w:val="008026F1"/>
    <w:rsid w:val="00803E40"/>
    <w:rsid w:val="00804245"/>
    <w:rsid w:val="00807202"/>
    <w:rsid w:val="008100A0"/>
    <w:rsid w:val="00810A0D"/>
    <w:rsid w:val="00811747"/>
    <w:rsid w:val="00812012"/>
    <w:rsid w:val="00814A3E"/>
    <w:rsid w:val="00814E82"/>
    <w:rsid w:val="00815CA0"/>
    <w:rsid w:val="008164F4"/>
    <w:rsid w:val="00817300"/>
    <w:rsid w:val="0082028E"/>
    <w:rsid w:val="00820444"/>
    <w:rsid w:val="008204FE"/>
    <w:rsid w:val="00821417"/>
    <w:rsid w:val="00822B1B"/>
    <w:rsid w:val="00822C03"/>
    <w:rsid w:val="00822DA4"/>
    <w:rsid w:val="00824481"/>
    <w:rsid w:val="00824608"/>
    <w:rsid w:val="00826CFE"/>
    <w:rsid w:val="00827105"/>
    <w:rsid w:val="00830639"/>
    <w:rsid w:val="008315BA"/>
    <w:rsid w:val="00831DFF"/>
    <w:rsid w:val="00832306"/>
    <w:rsid w:val="00832408"/>
    <w:rsid w:val="00832689"/>
    <w:rsid w:val="00833394"/>
    <w:rsid w:val="008354D1"/>
    <w:rsid w:val="00835A3D"/>
    <w:rsid w:val="00836C9A"/>
    <w:rsid w:val="00837B78"/>
    <w:rsid w:val="00837FAF"/>
    <w:rsid w:val="00840157"/>
    <w:rsid w:val="00842FDF"/>
    <w:rsid w:val="0084375E"/>
    <w:rsid w:val="00843BA8"/>
    <w:rsid w:val="008440C3"/>
    <w:rsid w:val="00844EEE"/>
    <w:rsid w:val="00850300"/>
    <w:rsid w:val="00850566"/>
    <w:rsid w:val="00850BD9"/>
    <w:rsid w:val="00850F12"/>
    <w:rsid w:val="00851AF8"/>
    <w:rsid w:val="00852168"/>
    <w:rsid w:val="0085242F"/>
    <w:rsid w:val="00852549"/>
    <w:rsid w:val="008532B2"/>
    <w:rsid w:val="00853346"/>
    <w:rsid w:val="008538B1"/>
    <w:rsid w:val="008545CC"/>
    <w:rsid w:val="0085477B"/>
    <w:rsid w:val="00855153"/>
    <w:rsid w:val="008572C9"/>
    <w:rsid w:val="0085759C"/>
    <w:rsid w:val="008577D4"/>
    <w:rsid w:val="008612B9"/>
    <w:rsid w:val="00862328"/>
    <w:rsid w:val="008623D7"/>
    <w:rsid w:val="0086284F"/>
    <w:rsid w:val="008632FD"/>
    <w:rsid w:val="008634F6"/>
    <w:rsid w:val="00866E8B"/>
    <w:rsid w:val="00867568"/>
    <w:rsid w:val="00867A64"/>
    <w:rsid w:val="00870107"/>
    <w:rsid w:val="008705EE"/>
    <w:rsid w:val="00872C3A"/>
    <w:rsid w:val="00872C60"/>
    <w:rsid w:val="00873CC7"/>
    <w:rsid w:val="008744DA"/>
    <w:rsid w:val="00874BA5"/>
    <w:rsid w:val="00874E50"/>
    <w:rsid w:val="008800AD"/>
    <w:rsid w:val="00882B39"/>
    <w:rsid w:val="008834E5"/>
    <w:rsid w:val="00883CC2"/>
    <w:rsid w:val="0088426B"/>
    <w:rsid w:val="0088472D"/>
    <w:rsid w:val="008850C7"/>
    <w:rsid w:val="0088523D"/>
    <w:rsid w:val="00885659"/>
    <w:rsid w:val="00885955"/>
    <w:rsid w:val="00885E7B"/>
    <w:rsid w:val="00886244"/>
    <w:rsid w:val="00886919"/>
    <w:rsid w:val="00886B8A"/>
    <w:rsid w:val="00887CD9"/>
    <w:rsid w:val="00890A1F"/>
    <w:rsid w:val="00892119"/>
    <w:rsid w:val="0089225D"/>
    <w:rsid w:val="008928BC"/>
    <w:rsid w:val="00892FEA"/>
    <w:rsid w:val="0089366F"/>
    <w:rsid w:val="00893889"/>
    <w:rsid w:val="00895102"/>
    <w:rsid w:val="00895492"/>
    <w:rsid w:val="00895586"/>
    <w:rsid w:val="0089561B"/>
    <w:rsid w:val="00895669"/>
    <w:rsid w:val="0089637B"/>
    <w:rsid w:val="00896B0F"/>
    <w:rsid w:val="00897134"/>
    <w:rsid w:val="008A049A"/>
    <w:rsid w:val="008A07BF"/>
    <w:rsid w:val="008A0A02"/>
    <w:rsid w:val="008A11D3"/>
    <w:rsid w:val="008A1316"/>
    <w:rsid w:val="008A2176"/>
    <w:rsid w:val="008A28E4"/>
    <w:rsid w:val="008A2B2A"/>
    <w:rsid w:val="008A481E"/>
    <w:rsid w:val="008A7791"/>
    <w:rsid w:val="008A77A3"/>
    <w:rsid w:val="008A7820"/>
    <w:rsid w:val="008B01CD"/>
    <w:rsid w:val="008B0738"/>
    <w:rsid w:val="008B0D0C"/>
    <w:rsid w:val="008B0DD7"/>
    <w:rsid w:val="008B1DE3"/>
    <w:rsid w:val="008B2F8C"/>
    <w:rsid w:val="008B4C96"/>
    <w:rsid w:val="008B4EF8"/>
    <w:rsid w:val="008B66AF"/>
    <w:rsid w:val="008B681A"/>
    <w:rsid w:val="008C11BF"/>
    <w:rsid w:val="008C16ED"/>
    <w:rsid w:val="008C2164"/>
    <w:rsid w:val="008C2644"/>
    <w:rsid w:val="008C2CF2"/>
    <w:rsid w:val="008C3433"/>
    <w:rsid w:val="008C3C9E"/>
    <w:rsid w:val="008C3D66"/>
    <w:rsid w:val="008C3E60"/>
    <w:rsid w:val="008C449E"/>
    <w:rsid w:val="008C4DBD"/>
    <w:rsid w:val="008D0458"/>
    <w:rsid w:val="008D0EF8"/>
    <w:rsid w:val="008D0F8B"/>
    <w:rsid w:val="008D16C0"/>
    <w:rsid w:val="008D1990"/>
    <w:rsid w:val="008D199B"/>
    <w:rsid w:val="008D1FFC"/>
    <w:rsid w:val="008D2331"/>
    <w:rsid w:val="008D248E"/>
    <w:rsid w:val="008D2C93"/>
    <w:rsid w:val="008D2CC1"/>
    <w:rsid w:val="008D38CE"/>
    <w:rsid w:val="008D3AE4"/>
    <w:rsid w:val="008D46BD"/>
    <w:rsid w:val="008D4FED"/>
    <w:rsid w:val="008D5102"/>
    <w:rsid w:val="008D5309"/>
    <w:rsid w:val="008D6938"/>
    <w:rsid w:val="008D7D4B"/>
    <w:rsid w:val="008D7DFA"/>
    <w:rsid w:val="008E00B5"/>
    <w:rsid w:val="008E17A5"/>
    <w:rsid w:val="008E184A"/>
    <w:rsid w:val="008E2403"/>
    <w:rsid w:val="008E3267"/>
    <w:rsid w:val="008E33F7"/>
    <w:rsid w:val="008E441C"/>
    <w:rsid w:val="008E53EA"/>
    <w:rsid w:val="008E58DD"/>
    <w:rsid w:val="008E626F"/>
    <w:rsid w:val="008E688C"/>
    <w:rsid w:val="008E7021"/>
    <w:rsid w:val="008E7218"/>
    <w:rsid w:val="008E722C"/>
    <w:rsid w:val="008F01EF"/>
    <w:rsid w:val="008F0410"/>
    <w:rsid w:val="008F186D"/>
    <w:rsid w:val="008F3083"/>
    <w:rsid w:val="008F3779"/>
    <w:rsid w:val="008F4AE1"/>
    <w:rsid w:val="008F504D"/>
    <w:rsid w:val="008F53DD"/>
    <w:rsid w:val="008F56DA"/>
    <w:rsid w:val="008F639A"/>
    <w:rsid w:val="008F6B6B"/>
    <w:rsid w:val="008F773E"/>
    <w:rsid w:val="00901377"/>
    <w:rsid w:val="00901619"/>
    <w:rsid w:val="00901763"/>
    <w:rsid w:val="00901858"/>
    <w:rsid w:val="00902006"/>
    <w:rsid w:val="009023D9"/>
    <w:rsid w:val="009026D7"/>
    <w:rsid w:val="00902D04"/>
    <w:rsid w:val="009035BB"/>
    <w:rsid w:val="00903CA3"/>
    <w:rsid w:val="00903CF8"/>
    <w:rsid w:val="009046C7"/>
    <w:rsid w:val="00904BFC"/>
    <w:rsid w:val="0090574A"/>
    <w:rsid w:val="00905A72"/>
    <w:rsid w:val="00905BED"/>
    <w:rsid w:val="0090736F"/>
    <w:rsid w:val="00907A32"/>
    <w:rsid w:val="00907D61"/>
    <w:rsid w:val="009100EB"/>
    <w:rsid w:val="00911E80"/>
    <w:rsid w:val="0091301E"/>
    <w:rsid w:val="00913476"/>
    <w:rsid w:val="00913EE8"/>
    <w:rsid w:val="00915364"/>
    <w:rsid w:val="00915755"/>
    <w:rsid w:val="00916414"/>
    <w:rsid w:val="00917EC0"/>
    <w:rsid w:val="00920B0B"/>
    <w:rsid w:val="009212EC"/>
    <w:rsid w:val="009213C6"/>
    <w:rsid w:val="00921A32"/>
    <w:rsid w:val="00921A5D"/>
    <w:rsid w:val="0092234E"/>
    <w:rsid w:val="00922510"/>
    <w:rsid w:val="00922A09"/>
    <w:rsid w:val="00922D11"/>
    <w:rsid w:val="00923169"/>
    <w:rsid w:val="00924190"/>
    <w:rsid w:val="009254EB"/>
    <w:rsid w:val="0092702B"/>
    <w:rsid w:val="009273E1"/>
    <w:rsid w:val="00931A04"/>
    <w:rsid w:val="00932AC1"/>
    <w:rsid w:val="00932DA9"/>
    <w:rsid w:val="00933035"/>
    <w:rsid w:val="00933CB7"/>
    <w:rsid w:val="00934D8F"/>
    <w:rsid w:val="0093504B"/>
    <w:rsid w:val="00935C1A"/>
    <w:rsid w:val="00936B5D"/>
    <w:rsid w:val="00936DE7"/>
    <w:rsid w:val="00937398"/>
    <w:rsid w:val="009377F6"/>
    <w:rsid w:val="00937BE5"/>
    <w:rsid w:val="00937D26"/>
    <w:rsid w:val="00940988"/>
    <w:rsid w:val="00940ED3"/>
    <w:rsid w:val="0094213A"/>
    <w:rsid w:val="0094294B"/>
    <w:rsid w:val="00943D11"/>
    <w:rsid w:val="00945175"/>
    <w:rsid w:val="009453D8"/>
    <w:rsid w:val="00946018"/>
    <w:rsid w:val="00946263"/>
    <w:rsid w:val="00947202"/>
    <w:rsid w:val="009476C9"/>
    <w:rsid w:val="00947CA1"/>
    <w:rsid w:val="00950032"/>
    <w:rsid w:val="009505DC"/>
    <w:rsid w:val="00950E57"/>
    <w:rsid w:val="00951995"/>
    <w:rsid w:val="00955A02"/>
    <w:rsid w:val="00956522"/>
    <w:rsid w:val="0095725E"/>
    <w:rsid w:val="00957487"/>
    <w:rsid w:val="009605CD"/>
    <w:rsid w:val="00960807"/>
    <w:rsid w:val="00960A97"/>
    <w:rsid w:val="00961F77"/>
    <w:rsid w:val="00962DE8"/>
    <w:rsid w:val="0096353B"/>
    <w:rsid w:val="00965C10"/>
    <w:rsid w:val="009669FA"/>
    <w:rsid w:val="009678A9"/>
    <w:rsid w:val="00967977"/>
    <w:rsid w:val="00971493"/>
    <w:rsid w:val="00971B49"/>
    <w:rsid w:val="00972FBF"/>
    <w:rsid w:val="00973418"/>
    <w:rsid w:val="00974507"/>
    <w:rsid w:val="00974999"/>
    <w:rsid w:val="00975AFF"/>
    <w:rsid w:val="00977721"/>
    <w:rsid w:val="009802AE"/>
    <w:rsid w:val="00981107"/>
    <w:rsid w:val="00981289"/>
    <w:rsid w:val="00982427"/>
    <w:rsid w:val="00983943"/>
    <w:rsid w:val="00984554"/>
    <w:rsid w:val="00984FCB"/>
    <w:rsid w:val="0098584D"/>
    <w:rsid w:val="009865F5"/>
    <w:rsid w:val="00986A77"/>
    <w:rsid w:val="0098706B"/>
    <w:rsid w:val="0098717B"/>
    <w:rsid w:val="009903BA"/>
    <w:rsid w:val="00990DD8"/>
    <w:rsid w:val="00991247"/>
    <w:rsid w:val="00992010"/>
    <w:rsid w:val="009925A8"/>
    <w:rsid w:val="00993FB8"/>
    <w:rsid w:val="0099408E"/>
    <w:rsid w:val="00995555"/>
    <w:rsid w:val="00995DF5"/>
    <w:rsid w:val="00996508"/>
    <w:rsid w:val="009978CD"/>
    <w:rsid w:val="00997BAD"/>
    <w:rsid w:val="009A0576"/>
    <w:rsid w:val="009A0E05"/>
    <w:rsid w:val="009A2006"/>
    <w:rsid w:val="009A22D5"/>
    <w:rsid w:val="009A3277"/>
    <w:rsid w:val="009A3422"/>
    <w:rsid w:val="009A3F03"/>
    <w:rsid w:val="009A4BCA"/>
    <w:rsid w:val="009A5760"/>
    <w:rsid w:val="009A6124"/>
    <w:rsid w:val="009A7DB4"/>
    <w:rsid w:val="009B028C"/>
    <w:rsid w:val="009B05C8"/>
    <w:rsid w:val="009B2162"/>
    <w:rsid w:val="009B235D"/>
    <w:rsid w:val="009B2617"/>
    <w:rsid w:val="009B31B7"/>
    <w:rsid w:val="009B4297"/>
    <w:rsid w:val="009B4746"/>
    <w:rsid w:val="009B4D56"/>
    <w:rsid w:val="009B4EEA"/>
    <w:rsid w:val="009B500E"/>
    <w:rsid w:val="009B5488"/>
    <w:rsid w:val="009B5D0A"/>
    <w:rsid w:val="009B5D66"/>
    <w:rsid w:val="009B63C7"/>
    <w:rsid w:val="009B7525"/>
    <w:rsid w:val="009B7798"/>
    <w:rsid w:val="009B77DD"/>
    <w:rsid w:val="009C06A3"/>
    <w:rsid w:val="009C2314"/>
    <w:rsid w:val="009C2A29"/>
    <w:rsid w:val="009C38BE"/>
    <w:rsid w:val="009C454F"/>
    <w:rsid w:val="009C4FB2"/>
    <w:rsid w:val="009C53E8"/>
    <w:rsid w:val="009C6724"/>
    <w:rsid w:val="009C680D"/>
    <w:rsid w:val="009C6AAF"/>
    <w:rsid w:val="009C758F"/>
    <w:rsid w:val="009D1002"/>
    <w:rsid w:val="009D3094"/>
    <w:rsid w:val="009D3582"/>
    <w:rsid w:val="009D359E"/>
    <w:rsid w:val="009D3F99"/>
    <w:rsid w:val="009D44E3"/>
    <w:rsid w:val="009D4C79"/>
    <w:rsid w:val="009D4CBE"/>
    <w:rsid w:val="009D5039"/>
    <w:rsid w:val="009D59C9"/>
    <w:rsid w:val="009D5C40"/>
    <w:rsid w:val="009D7EB3"/>
    <w:rsid w:val="009E027D"/>
    <w:rsid w:val="009E0E19"/>
    <w:rsid w:val="009E15E2"/>
    <w:rsid w:val="009E1941"/>
    <w:rsid w:val="009E2063"/>
    <w:rsid w:val="009E324D"/>
    <w:rsid w:val="009E55A2"/>
    <w:rsid w:val="009E58E4"/>
    <w:rsid w:val="009E6888"/>
    <w:rsid w:val="009E7327"/>
    <w:rsid w:val="009E7D16"/>
    <w:rsid w:val="009F037A"/>
    <w:rsid w:val="009F046F"/>
    <w:rsid w:val="009F095A"/>
    <w:rsid w:val="009F38DC"/>
    <w:rsid w:val="009F54F8"/>
    <w:rsid w:val="009F5D6A"/>
    <w:rsid w:val="009F64E7"/>
    <w:rsid w:val="009F6AFA"/>
    <w:rsid w:val="009F6CBC"/>
    <w:rsid w:val="009F7864"/>
    <w:rsid w:val="009F7A8E"/>
    <w:rsid w:val="00A00550"/>
    <w:rsid w:val="00A00832"/>
    <w:rsid w:val="00A00BB8"/>
    <w:rsid w:val="00A00DF7"/>
    <w:rsid w:val="00A017AD"/>
    <w:rsid w:val="00A01A99"/>
    <w:rsid w:val="00A029BF"/>
    <w:rsid w:val="00A03107"/>
    <w:rsid w:val="00A033A8"/>
    <w:rsid w:val="00A037DB"/>
    <w:rsid w:val="00A0402F"/>
    <w:rsid w:val="00A05C26"/>
    <w:rsid w:val="00A06265"/>
    <w:rsid w:val="00A06A41"/>
    <w:rsid w:val="00A0720F"/>
    <w:rsid w:val="00A076BE"/>
    <w:rsid w:val="00A10C65"/>
    <w:rsid w:val="00A1197B"/>
    <w:rsid w:val="00A11DDF"/>
    <w:rsid w:val="00A12AE3"/>
    <w:rsid w:val="00A12CAE"/>
    <w:rsid w:val="00A14069"/>
    <w:rsid w:val="00A14640"/>
    <w:rsid w:val="00A14EDE"/>
    <w:rsid w:val="00A152E1"/>
    <w:rsid w:val="00A15502"/>
    <w:rsid w:val="00A21291"/>
    <w:rsid w:val="00A216B6"/>
    <w:rsid w:val="00A22FC6"/>
    <w:rsid w:val="00A24E49"/>
    <w:rsid w:val="00A25E7B"/>
    <w:rsid w:val="00A262E1"/>
    <w:rsid w:val="00A275C3"/>
    <w:rsid w:val="00A27F48"/>
    <w:rsid w:val="00A3046C"/>
    <w:rsid w:val="00A30EFA"/>
    <w:rsid w:val="00A318D9"/>
    <w:rsid w:val="00A31CC7"/>
    <w:rsid w:val="00A32420"/>
    <w:rsid w:val="00A32A80"/>
    <w:rsid w:val="00A3342C"/>
    <w:rsid w:val="00A340BB"/>
    <w:rsid w:val="00A341C4"/>
    <w:rsid w:val="00A344AC"/>
    <w:rsid w:val="00A34B9B"/>
    <w:rsid w:val="00A34C1E"/>
    <w:rsid w:val="00A35427"/>
    <w:rsid w:val="00A36187"/>
    <w:rsid w:val="00A36AA2"/>
    <w:rsid w:val="00A3710C"/>
    <w:rsid w:val="00A375C9"/>
    <w:rsid w:val="00A40CE7"/>
    <w:rsid w:val="00A41576"/>
    <w:rsid w:val="00A43540"/>
    <w:rsid w:val="00A43829"/>
    <w:rsid w:val="00A43A5C"/>
    <w:rsid w:val="00A44447"/>
    <w:rsid w:val="00A44E42"/>
    <w:rsid w:val="00A469F9"/>
    <w:rsid w:val="00A46C3E"/>
    <w:rsid w:val="00A50591"/>
    <w:rsid w:val="00A50632"/>
    <w:rsid w:val="00A514B2"/>
    <w:rsid w:val="00A53898"/>
    <w:rsid w:val="00A54ABD"/>
    <w:rsid w:val="00A555B1"/>
    <w:rsid w:val="00A55AE4"/>
    <w:rsid w:val="00A56528"/>
    <w:rsid w:val="00A56C02"/>
    <w:rsid w:val="00A56F41"/>
    <w:rsid w:val="00A57823"/>
    <w:rsid w:val="00A579AF"/>
    <w:rsid w:val="00A57EFC"/>
    <w:rsid w:val="00A6075B"/>
    <w:rsid w:val="00A61060"/>
    <w:rsid w:val="00A61D6F"/>
    <w:rsid w:val="00A61E01"/>
    <w:rsid w:val="00A61F09"/>
    <w:rsid w:val="00A62AFE"/>
    <w:rsid w:val="00A6326C"/>
    <w:rsid w:val="00A632FC"/>
    <w:rsid w:val="00A634BB"/>
    <w:rsid w:val="00A66938"/>
    <w:rsid w:val="00A66985"/>
    <w:rsid w:val="00A66A43"/>
    <w:rsid w:val="00A677C8"/>
    <w:rsid w:val="00A67F8B"/>
    <w:rsid w:val="00A701F1"/>
    <w:rsid w:val="00A70456"/>
    <w:rsid w:val="00A7077C"/>
    <w:rsid w:val="00A70AEC"/>
    <w:rsid w:val="00A74D7E"/>
    <w:rsid w:val="00A75CD2"/>
    <w:rsid w:val="00A77A1A"/>
    <w:rsid w:val="00A77E8F"/>
    <w:rsid w:val="00A807CD"/>
    <w:rsid w:val="00A80B0D"/>
    <w:rsid w:val="00A81051"/>
    <w:rsid w:val="00A81D6C"/>
    <w:rsid w:val="00A8220F"/>
    <w:rsid w:val="00A82E24"/>
    <w:rsid w:val="00A83D83"/>
    <w:rsid w:val="00A86334"/>
    <w:rsid w:val="00A86749"/>
    <w:rsid w:val="00A872C5"/>
    <w:rsid w:val="00A912E6"/>
    <w:rsid w:val="00A91794"/>
    <w:rsid w:val="00A91F83"/>
    <w:rsid w:val="00A9337F"/>
    <w:rsid w:val="00A93951"/>
    <w:rsid w:val="00A94100"/>
    <w:rsid w:val="00A9473F"/>
    <w:rsid w:val="00A9530C"/>
    <w:rsid w:val="00A9591D"/>
    <w:rsid w:val="00A9661C"/>
    <w:rsid w:val="00A96D53"/>
    <w:rsid w:val="00A974A8"/>
    <w:rsid w:val="00A978DA"/>
    <w:rsid w:val="00AA0FEA"/>
    <w:rsid w:val="00AA24EE"/>
    <w:rsid w:val="00AA2D90"/>
    <w:rsid w:val="00AA31CF"/>
    <w:rsid w:val="00AA36A0"/>
    <w:rsid w:val="00AA40BA"/>
    <w:rsid w:val="00AA44B4"/>
    <w:rsid w:val="00AA55ED"/>
    <w:rsid w:val="00AA5DE5"/>
    <w:rsid w:val="00AB0647"/>
    <w:rsid w:val="00AB0D4E"/>
    <w:rsid w:val="00AB15EA"/>
    <w:rsid w:val="00AB1D83"/>
    <w:rsid w:val="00AB2581"/>
    <w:rsid w:val="00AB28E2"/>
    <w:rsid w:val="00AB2C6C"/>
    <w:rsid w:val="00AB494E"/>
    <w:rsid w:val="00AB573A"/>
    <w:rsid w:val="00AB58CB"/>
    <w:rsid w:val="00AB598C"/>
    <w:rsid w:val="00AB6A90"/>
    <w:rsid w:val="00AC0552"/>
    <w:rsid w:val="00AC06B3"/>
    <w:rsid w:val="00AC1468"/>
    <w:rsid w:val="00AC1E95"/>
    <w:rsid w:val="00AC3636"/>
    <w:rsid w:val="00AC3738"/>
    <w:rsid w:val="00AC4665"/>
    <w:rsid w:val="00AC4770"/>
    <w:rsid w:val="00AC482C"/>
    <w:rsid w:val="00AC4901"/>
    <w:rsid w:val="00AC4D78"/>
    <w:rsid w:val="00AC67ED"/>
    <w:rsid w:val="00AC77B5"/>
    <w:rsid w:val="00AD1BDA"/>
    <w:rsid w:val="00AD25B1"/>
    <w:rsid w:val="00AD285D"/>
    <w:rsid w:val="00AD2AFD"/>
    <w:rsid w:val="00AD2FEA"/>
    <w:rsid w:val="00AD30D4"/>
    <w:rsid w:val="00AD3848"/>
    <w:rsid w:val="00AD3A94"/>
    <w:rsid w:val="00AD3DAC"/>
    <w:rsid w:val="00AD4BE9"/>
    <w:rsid w:val="00AD5901"/>
    <w:rsid w:val="00AD5A0F"/>
    <w:rsid w:val="00AD60B5"/>
    <w:rsid w:val="00AD74EA"/>
    <w:rsid w:val="00AD7560"/>
    <w:rsid w:val="00AD7592"/>
    <w:rsid w:val="00AE09CE"/>
    <w:rsid w:val="00AE1298"/>
    <w:rsid w:val="00AE1E9B"/>
    <w:rsid w:val="00AE24AF"/>
    <w:rsid w:val="00AE2502"/>
    <w:rsid w:val="00AE2E8F"/>
    <w:rsid w:val="00AE47DC"/>
    <w:rsid w:val="00AE4C64"/>
    <w:rsid w:val="00AE577E"/>
    <w:rsid w:val="00AE6347"/>
    <w:rsid w:val="00AE641A"/>
    <w:rsid w:val="00AE6710"/>
    <w:rsid w:val="00AE6B6B"/>
    <w:rsid w:val="00AE7C30"/>
    <w:rsid w:val="00AE7C54"/>
    <w:rsid w:val="00AF09C5"/>
    <w:rsid w:val="00AF2C48"/>
    <w:rsid w:val="00AF30DC"/>
    <w:rsid w:val="00AF333F"/>
    <w:rsid w:val="00AF3768"/>
    <w:rsid w:val="00AF4D75"/>
    <w:rsid w:val="00AF5B93"/>
    <w:rsid w:val="00AF6F50"/>
    <w:rsid w:val="00B010B8"/>
    <w:rsid w:val="00B0168F"/>
    <w:rsid w:val="00B01FE1"/>
    <w:rsid w:val="00B03598"/>
    <w:rsid w:val="00B03F78"/>
    <w:rsid w:val="00B04576"/>
    <w:rsid w:val="00B04C51"/>
    <w:rsid w:val="00B05C04"/>
    <w:rsid w:val="00B06222"/>
    <w:rsid w:val="00B06489"/>
    <w:rsid w:val="00B06725"/>
    <w:rsid w:val="00B06AA6"/>
    <w:rsid w:val="00B07916"/>
    <w:rsid w:val="00B07B04"/>
    <w:rsid w:val="00B101C4"/>
    <w:rsid w:val="00B10227"/>
    <w:rsid w:val="00B1040A"/>
    <w:rsid w:val="00B10674"/>
    <w:rsid w:val="00B10EDC"/>
    <w:rsid w:val="00B1149E"/>
    <w:rsid w:val="00B11C1D"/>
    <w:rsid w:val="00B11FAE"/>
    <w:rsid w:val="00B133B4"/>
    <w:rsid w:val="00B14FA3"/>
    <w:rsid w:val="00B152DF"/>
    <w:rsid w:val="00B15946"/>
    <w:rsid w:val="00B16BC8"/>
    <w:rsid w:val="00B16F10"/>
    <w:rsid w:val="00B170AC"/>
    <w:rsid w:val="00B20697"/>
    <w:rsid w:val="00B21064"/>
    <w:rsid w:val="00B21C95"/>
    <w:rsid w:val="00B21F58"/>
    <w:rsid w:val="00B22232"/>
    <w:rsid w:val="00B22A33"/>
    <w:rsid w:val="00B25180"/>
    <w:rsid w:val="00B25979"/>
    <w:rsid w:val="00B26225"/>
    <w:rsid w:val="00B27E58"/>
    <w:rsid w:val="00B30077"/>
    <w:rsid w:val="00B302E3"/>
    <w:rsid w:val="00B30632"/>
    <w:rsid w:val="00B319BB"/>
    <w:rsid w:val="00B326F7"/>
    <w:rsid w:val="00B336BD"/>
    <w:rsid w:val="00B34500"/>
    <w:rsid w:val="00B352CB"/>
    <w:rsid w:val="00B35883"/>
    <w:rsid w:val="00B35AE4"/>
    <w:rsid w:val="00B36447"/>
    <w:rsid w:val="00B368DC"/>
    <w:rsid w:val="00B371BE"/>
    <w:rsid w:val="00B37F64"/>
    <w:rsid w:val="00B40AF4"/>
    <w:rsid w:val="00B40C1B"/>
    <w:rsid w:val="00B412C7"/>
    <w:rsid w:val="00B4193E"/>
    <w:rsid w:val="00B41F75"/>
    <w:rsid w:val="00B41FF7"/>
    <w:rsid w:val="00B42C0B"/>
    <w:rsid w:val="00B42D8E"/>
    <w:rsid w:val="00B43398"/>
    <w:rsid w:val="00B46D3C"/>
    <w:rsid w:val="00B46F0C"/>
    <w:rsid w:val="00B472EC"/>
    <w:rsid w:val="00B479E9"/>
    <w:rsid w:val="00B47D8C"/>
    <w:rsid w:val="00B47F77"/>
    <w:rsid w:val="00B508A0"/>
    <w:rsid w:val="00B50D30"/>
    <w:rsid w:val="00B520DE"/>
    <w:rsid w:val="00B526F1"/>
    <w:rsid w:val="00B54C36"/>
    <w:rsid w:val="00B550C4"/>
    <w:rsid w:val="00B55333"/>
    <w:rsid w:val="00B56403"/>
    <w:rsid w:val="00B56698"/>
    <w:rsid w:val="00B57905"/>
    <w:rsid w:val="00B6099C"/>
    <w:rsid w:val="00B61083"/>
    <w:rsid w:val="00B61628"/>
    <w:rsid w:val="00B61D87"/>
    <w:rsid w:val="00B621D6"/>
    <w:rsid w:val="00B633DE"/>
    <w:rsid w:val="00B63450"/>
    <w:rsid w:val="00B65230"/>
    <w:rsid w:val="00B65643"/>
    <w:rsid w:val="00B657B9"/>
    <w:rsid w:val="00B65E5B"/>
    <w:rsid w:val="00B67430"/>
    <w:rsid w:val="00B6750E"/>
    <w:rsid w:val="00B70ECC"/>
    <w:rsid w:val="00B70F06"/>
    <w:rsid w:val="00B718C2"/>
    <w:rsid w:val="00B72328"/>
    <w:rsid w:val="00B724EC"/>
    <w:rsid w:val="00B72D11"/>
    <w:rsid w:val="00B72D5C"/>
    <w:rsid w:val="00B72F43"/>
    <w:rsid w:val="00B73625"/>
    <w:rsid w:val="00B736DB"/>
    <w:rsid w:val="00B73881"/>
    <w:rsid w:val="00B73C4D"/>
    <w:rsid w:val="00B74FEE"/>
    <w:rsid w:val="00B75658"/>
    <w:rsid w:val="00B76E1A"/>
    <w:rsid w:val="00B77018"/>
    <w:rsid w:val="00B7788C"/>
    <w:rsid w:val="00B77A8F"/>
    <w:rsid w:val="00B77FC4"/>
    <w:rsid w:val="00B80409"/>
    <w:rsid w:val="00B8059A"/>
    <w:rsid w:val="00B825A6"/>
    <w:rsid w:val="00B8287F"/>
    <w:rsid w:val="00B82990"/>
    <w:rsid w:val="00B82F0C"/>
    <w:rsid w:val="00B847D9"/>
    <w:rsid w:val="00B84932"/>
    <w:rsid w:val="00B84C6B"/>
    <w:rsid w:val="00B84D0F"/>
    <w:rsid w:val="00B85130"/>
    <w:rsid w:val="00B85679"/>
    <w:rsid w:val="00B861B8"/>
    <w:rsid w:val="00B8689A"/>
    <w:rsid w:val="00B90CA8"/>
    <w:rsid w:val="00B917FD"/>
    <w:rsid w:val="00B92C7B"/>
    <w:rsid w:val="00B933CA"/>
    <w:rsid w:val="00B93C74"/>
    <w:rsid w:val="00B9465E"/>
    <w:rsid w:val="00B95EDB"/>
    <w:rsid w:val="00B96C23"/>
    <w:rsid w:val="00B974C2"/>
    <w:rsid w:val="00B97818"/>
    <w:rsid w:val="00B97CBE"/>
    <w:rsid w:val="00BA0FB1"/>
    <w:rsid w:val="00BA1F97"/>
    <w:rsid w:val="00BA2DC8"/>
    <w:rsid w:val="00BA4FA2"/>
    <w:rsid w:val="00BA615A"/>
    <w:rsid w:val="00BA6591"/>
    <w:rsid w:val="00BA741E"/>
    <w:rsid w:val="00BA7B1A"/>
    <w:rsid w:val="00BA7CC3"/>
    <w:rsid w:val="00BB3C3E"/>
    <w:rsid w:val="00BB54EA"/>
    <w:rsid w:val="00BB5887"/>
    <w:rsid w:val="00BB6777"/>
    <w:rsid w:val="00BB6A96"/>
    <w:rsid w:val="00BB78DB"/>
    <w:rsid w:val="00BC036D"/>
    <w:rsid w:val="00BC15D5"/>
    <w:rsid w:val="00BC1C68"/>
    <w:rsid w:val="00BC43B4"/>
    <w:rsid w:val="00BC452D"/>
    <w:rsid w:val="00BC4C6E"/>
    <w:rsid w:val="00BC5516"/>
    <w:rsid w:val="00BC5C52"/>
    <w:rsid w:val="00BC7843"/>
    <w:rsid w:val="00BC794B"/>
    <w:rsid w:val="00BC7EB6"/>
    <w:rsid w:val="00BD0F16"/>
    <w:rsid w:val="00BD226B"/>
    <w:rsid w:val="00BD2C79"/>
    <w:rsid w:val="00BD3BC9"/>
    <w:rsid w:val="00BD3D5C"/>
    <w:rsid w:val="00BD4B65"/>
    <w:rsid w:val="00BD5827"/>
    <w:rsid w:val="00BD58B9"/>
    <w:rsid w:val="00BD593D"/>
    <w:rsid w:val="00BD5F24"/>
    <w:rsid w:val="00BD652C"/>
    <w:rsid w:val="00BD6886"/>
    <w:rsid w:val="00BD69CF"/>
    <w:rsid w:val="00BD6C0B"/>
    <w:rsid w:val="00BD7141"/>
    <w:rsid w:val="00BD750A"/>
    <w:rsid w:val="00BE09C6"/>
    <w:rsid w:val="00BE0D8B"/>
    <w:rsid w:val="00BE12DB"/>
    <w:rsid w:val="00BE168A"/>
    <w:rsid w:val="00BE1AE4"/>
    <w:rsid w:val="00BE2A24"/>
    <w:rsid w:val="00BE3D09"/>
    <w:rsid w:val="00BE49AA"/>
    <w:rsid w:val="00BE53C5"/>
    <w:rsid w:val="00BE5555"/>
    <w:rsid w:val="00BE583C"/>
    <w:rsid w:val="00BE5B26"/>
    <w:rsid w:val="00BE63FF"/>
    <w:rsid w:val="00BE7342"/>
    <w:rsid w:val="00BE7D58"/>
    <w:rsid w:val="00BF1E99"/>
    <w:rsid w:val="00BF285C"/>
    <w:rsid w:val="00BF2DF7"/>
    <w:rsid w:val="00BF31A2"/>
    <w:rsid w:val="00BF51F4"/>
    <w:rsid w:val="00BF5A4B"/>
    <w:rsid w:val="00BF6617"/>
    <w:rsid w:val="00BF6D3A"/>
    <w:rsid w:val="00BF6EC7"/>
    <w:rsid w:val="00BF754F"/>
    <w:rsid w:val="00BF7D60"/>
    <w:rsid w:val="00C00084"/>
    <w:rsid w:val="00C000ED"/>
    <w:rsid w:val="00C0059B"/>
    <w:rsid w:val="00C01146"/>
    <w:rsid w:val="00C0159F"/>
    <w:rsid w:val="00C04155"/>
    <w:rsid w:val="00C045E9"/>
    <w:rsid w:val="00C0477C"/>
    <w:rsid w:val="00C04983"/>
    <w:rsid w:val="00C04ABE"/>
    <w:rsid w:val="00C04C8A"/>
    <w:rsid w:val="00C05079"/>
    <w:rsid w:val="00C05B59"/>
    <w:rsid w:val="00C05F4E"/>
    <w:rsid w:val="00C06A9C"/>
    <w:rsid w:val="00C06D6D"/>
    <w:rsid w:val="00C1032C"/>
    <w:rsid w:val="00C1097E"/>
    <w:rsid w:val="00C10CED"/>
    <w:rsid w:val="00C118D7"/>
    <w:rsid w:val="00C1227F"/>
    <w:rsid w:val="00C122C0"/>
    <w:rsid w:val="00C1328C"/>
    <w:rsid w:val="00C15B58"/>
    <w:rsid w:val="00C16089"/>
    <w:rsid w:val="00C20BC6"/>
    <w:rsid w:val="00C217B6"/>
    <w:rsid w:val="00C21C11"/>
    <w:rsid w:val="00C25639"/>
    <w:rsid w:val="00C2594F"/>
    <w:rsid w:val="00C26086"/>
    <w:rsid w:val="00C26AE5"/>
    <w:rsid w:val="00C27415"/>
    <w:rsid w:val="00C27A73"/>
    <w:rsid w:val="00C27FBD"/>
    <w:rsid w:val="00C301DC"/>
    <w:rsid w:val="00C30527"/>
    <w:rsid w:val="00C30A3A"/>
    <w:rsid w:val="00C30ACC"/>
    <w:rsid w:val="00C30B5C"/>
    <w:rsid w:val="00C314EC"/>
    <w:rsid w:val="00C31562"/>
    <w:rsid w:val="00C33BEB"/>
    <w:rsid w:val="00C34023"/>
    <w:rsid w:val="00C36118"/>
    <w:rsid w:val="00C36729"/>
    <w:rsid w:val="00C36DD4"/>
    <w:rsid w:val="00C376CD"/>
    <w:rsid w:val="00C41602"/>
    <w:rsid w:val="00C424C5"/>
    <w:rsid w:val="00C4306E"/>
    <w:rsid w:val="00C4434A"/>
    <w:rsid w:val="00C45908"/>
    <w:rsid w:val="00C47CF4"/>
    <w:rsid w:val="00C47E86"/>
    <w:rsid w:val="00C50669"/>
    <w:rsid w:val="00C508E9"/>
    <w:rsid w:val="00C50D21"/>
    <w:rsid w:val="00C50FE2"/>
    <w:rsid w:val="00C5144D"/>
    <w:rsid w:val="00C5192E"/>
    <w:rsid w:val="00C51CDE"/>
    <w:rsid w:val="00C52966"/>
    <w:rsid w:val="00C538C4"/>
    <w:rsid w:val="00C5408F"/>
    <w:rsid w:val="00C55632"/>
    <w:rsid w:val="00C557F5"/>
    <w:rsid w:val="00C55BB0"/>
    <w:rsid w:val="00C55FDC"/>
    <w:rsid w:val="00C6053C"/>
    <w:rsid w:val="00C61674"/>
    <w:rsid w:val="00C628B0"/>
    <w:rsid w:val="00C62D8B"/>
    <w:rsid w:val="00C62DCB"/>
    <w:rsid w:val="00C6596B"/>
    <w:rsid w:val="00C66636"/>
    <w:rsid w:val="00C66E57"/>
    <w:rsid w:val="00C670A2"/>
    <w:rsid w:val="00C67A44"/>
    <w:rsid w:val="00C67BB3"/>
    <w:rsid w:val="00C67C40"/>
    <w:rsid w:val="00C701C4"/>
    <w:rsid w:val="00C7068C"/>
    <w:rsid w:val="00C7072B"/>
    <w:rsid w:val="00C72661"/>
    <w:rsid w:val="00C727CA"/>
    <w:rsid w:val="00C7298B"/>
    <w:rsid w:val="00C72B8E"/>
    <w:rsid w:val="00C7348E"/>
    <w:rsid w:val="00C73ECF"/>
    <w:rsid w:val="00C74B6A"/>
    <w:rsid w:val="00C74EF2"/>
    <w:rsid w:val="00C751D1"/>
    <w:rsid w:val="00C76187"/>
    <w:rsid w:val="00C769C9"/>
    <w:rsid w:val="00C76F8E"/>
    <w:rsid w:val="00C77C70"/>
    <w:rsid w:val="00C8064B"/>
    <w:rsid w:val="00C81C32"/>
    <w:rsid w:val="00C821CE"/>
    <w:rsid w:val="00C82235"/>
    <w:rsid w:val="00C830D8"/>
    <w:rsid w:val="00C83C5D"/>
    <w:rsid w:val="00C840DE"/>
    <w:rsid w:val="00C8469B"/>
    <w:rsid w:val="00C85687"/>
    <w:rsid w:val="00C85712"/>
    <w:rsid w:val="00C859CE"/>
    <w:rsid w:val="00C8664E"/>
    <w:rsid w:val="00C91BAB"/>
    <w:rsid w:val="00C91CB1"/>
    <w:rsid w:val="00C91EF4"/>
    <w:rsid w:val="00C92174"/>
    <w:rsid w:val="00C932EA"/>
    <w:rsid w:val="00C9343E"/>
    <w:rsid w:val="00C945B1"/>
    <w:rsid w:val="00C94EC3"/>
    <w:rsid w:val="00C95114"/>
    <w:rsid w:val="00C961A1"/>
    <w:rsid w:val="00C96478"/>
    <w:rsid w:val="00C96E9A"/>
    <w:rsid w:val="00C97163"/>
    <w:rsid w:val="00C973E2"/>
    <w:rsid w:val="00C97F8C"/>
    <w:rsid w:val="00CA1616"/>
    <w:rsid w:val="00CA1B1B"/>
    <w:rsid w:val="00CA22EF"/>
    <w:rsid w:val="00CA2626"/>
    <w:rsid w:val="00CA27BA"/>
    <w:rsid w:val="00CA42FB"/>
    <w:rsid w:val="00CA467B"/>
    <w:rsid w:val="00CA49F1"/>
    <w:rsid w:val="00CA4B27"/>
    <w:rsid w:val="00CA4D60"/>
    <w:rsid w:val="00CA7CEA"/>
    <w:rsid w:val="00CA7F8E"/>
    <w:rsid w:val="00CB01E6"/>
    <w:rsid w:val="00CB04F8"/>
    <w:rsid w:val="00CB0D5B"/>
    <w:rsid w:val="00CB1FC0"/>
    <w:rsid w:val="00CB2392"/>
    <w:rsid w:val="00CB2535"/>
    <w:rsid w:val="00CB25D9"/>
    <w:rsid w:val="00CB2BEB"/>
    <w:rsid w:val="00CB3AD1"/>
    <w:rsid w:val="00CB4139"/>
    <w:rsid w:val="00CB4ABB"/>
    <w:rsid w:val="00CB5485"/>
    <w:rsid w:val="00CB552D"/>
    <w:rsid w:val="00CB5CA0"/>
    <w:rsid w:val="00CB62DD"/>
    <w:rsid w:val="00CB7065"/>
    <w:rsid w:val="00CC001C"/>
    <w:rsid w:val="00CC0738"/>
    <w:rsid w:val="00CC0CD3"/>
    <w:rsid w:val="00CC1514"/>
    <w:rsid w:val="00CC1E91"/>
    <w:rsid w:val="00CC2345"/>
    <w:rsid w:val="00CC29E6"/>
    <w:rsid w:val="00CC3154"/>
    <w:rsid w:val="00CC3456"/>
    <w:rsid w:val="00CC35B8"/>
    <w:rsid w:val="00CC445F"/>
    <w:rsid w:val="00CC4D58"/>
    <w:rsid w:val="00CC503C"/>
    <w:rsid w:val="00CC5E28"/>
    <w:rsid w:val="00CC63CD"/>
    <w:rsid w:val="00CC65AF"/>
    <w:rsid w:val="00CC6B71"/>
    <w:rsid w:val="00CC7EB2"/>
    <w:rsid w:val="00CD08F0"/>
    <w:rsid w:val="00CD1255"/>
    <w:rsid w:val="00CD2492"/>
    <w:rsid w:val="00CD24CA"/>
    <w:rsid w:val="00CD2D44"/>
    <w:rsid w:val="00CD2E93"/>
    <w:rsid w:val="00CD2FDB"/>
    <w:rsid w:val="00CD313F"/>
    <w:rsid w:val="00CD3910"/>
    <w:rsid w:val="00CD53E3"/>
    <w:rsid w:val="00CD6876"/>
    <w:rsid w:val="00CD7B01"/>
    <w:rsid w:val="00CE140F"/>
    <w:rsid w:val="00CE2A67"/>
    <w:rsid w:val="00CE3937"/>
    <w:rsid w:val="00CE3BF3"/>
    <w:rsid w:val="00CE3E82"/>
    <w:rsid w:val="00CE3E98"/>
    <w:rsid w:val="00CE4343"/>
    <w:rsid w:val="00CE4815"/>
    <w:rsid w:val="00CE4819"/>
    <w:rsid w:val="00CE634A"/>
    <w:rsid w:val="00CE7898"/>
    <w:rsid w:val="00CE7E37"/>
    <w:rsid w:val="00CF0730"/>
    <w:rsid w:val="00CF0BC0"/>
    <w:rsid w:val="00CF2FAC"/>
    <w:rsid w:val="00CF3380"/>
    <w:rsid w:val="00CF34E2"/>
    <w:rsid w:val="00CF40CF"/>
    <w:rsid w:val="00CF4EAE"/>
    <w:rsid w:val="00CF538C"/>
    <w:rsid w:val="00CF5B32"/>
    <w:rsid w:val="00CF69BC"/>
    <w:rsid w:val="00CF6EB3"/>
    <w:rsid w:val="00CF7345"/>
    <w:rsid w:val="00D0047C"/>
    <w:rsid w:val="00D02FD5"/>
    <w:rsid w:val="00D03362"/>
    <w:rsid w:val="00D033B3"/>
    <w:rsid w:val="00D037DC"/>
    <w:rsid w:val="00D03922"/>
    <w:rsid w:val="00D04079"/>
    <w:rsid w:val="00D04151"/>
    <w:rsid w:val="00D04195"/>
    <w:rsid w:val="00D0454A"/>
    <w:rsid w:val="00D04F70"/>
    <w:rsid w:val="00D057E0"/>
    <w:rsid w:val="00D05F9E"/>
    <w:rsid w:val="00D065B3"/>
    <w:rsid w:val="00D06908"/>
    <w:rsid w:val="00D06E10"/>
    <w:rsid w:val="00D10573"/>
    <w:rsid w:val="00D112C0"/>
    <w:rsid w:val="00D115B9"/>
    <w:rsid w:val="00D11C73"/>
    <w:rsid w:val="00D120EB"/>
    <w:rsid w:val="00D12442"/>
    <w:rsid w:val="00D131B3"/>
    <w:rsid w:val="00D140E5"/>
    <w:rsid w:val="00D14FA6"/>
    <w:rsid w:val="00D15D03"/>
    <w:rsid w:val="00D15D64"/>
    <w:rsid w:val="00D15E02"/>
    <w:rsid w:val="00D15E40"/>
    <w:rsid w:val="00D20ADE"/>
    <w:rsid w:val="00D20DC9"/>
    <w:rsid w:val="00D20EFE"/>
    <w:rsid w:val="00D229F3"/>
    <w:rsid w:val="00D235D0"/>
    <w:rsid w:val="00D244DB"/>
    <w:rsid w:val="00D24776"/>
    <w:rsid w:val="00D2494F"/>
    <w:rsid w:val="00D24C4B"/>
    <w:rsid w:val="00D262E3"/>
    <w:rsid w:val="00D27AE7"/>
    <w:rsid w:val="00D30787"/>
    <w:rsid w:val="00D30E88"/>
    <w:rsid w:val="00D31B41"/>
    <w:rsid w:val="00D33039"/>
    <w:rsid w:val="00D332B9"/>
    <w:rsid w:val="00D33AA3"/>
    <w:rsid w:val="00D34940"/>
    <w:rsid w:val="00D34B6B"/>
    <w:rsid w:val="00D34CBC"/>
    <w:rsid w:val="00D350CD"/>
    <w:rsid w:val="00D35257"/>
    <w:rsid w:val="00D3557A"/>
    <w:rsid w:val="00D37123"/>
    <w:rsid w:val="00D37413"/>
    <w:rsid w:val="00D40755"/>
    <w:rsid w:val="00D408C7"/>
    <w:rsid w:val="00D4290C"/>
    <w:rsid w:val="00D42B1C"/>
    <w:rsid w:val="00D42D00"/>
    <w:rsid w:val="00D42F3D"/>
    <w:rsid w:val="00D4394A"/>
    <w:rsid w:val="00D44525"/>
    <w:rsid w:val="00D449D5"/>
    <w:rsid w:val="00D4666B"/>
    <w:rsid w:val="00D469F5"/>
    <w:rsid w:val="00D4765B"/>
    <w:rsid w:val="00D47BB3"/>
    <w:rsid w:val="00D50215"/>
    <w:rsid w:val="00D50E79"/>
    <w:rsid w:val="00D5106A"/>
    <w:rsid w:val="00D515E1"/>
    <w:rsid w:val="00D520CD"/>
    <w:rsid w:val="00D52637"/>
    <w:rsid w:val="00D530EE"/>
    <w:rsid w:val="00D541C0"/>
    <w:rsid w:val="00D54225"/>
    <w:rsid w:val="00D5481C"/>
    <w:rsid w:val="00D568C9"/>
    <w:rsid w:val="00D5707F"/>
    <w:rsid w:val="00D57396"/>
    <w:rsid w:val="00D57BF1"/>
    <w:rsid w:val="00D57E14"/>
    <w:rsid w:val="00D6069F"/>
    <w:rsid w:val="00D609FA"/>
    <w:rsid w:val="00D60A95"/>
    <w:rsid w:val="00D613AB"/>
    <w:rsid w:val="00D6162D"/>
    <w:rsid w:val="00D619CF"/>
    <w:rsid w:val="00D61D57"/>
    <w:rsid w:val="00D623D8"/>
    <w:rsid w:val="00D62AD5"/>
    <w:rsid w:val="00D62D05"/>
    <w:rsid w:val="00D63152"/>
    <w:rsid w:val="00D632D6"/>
    <w:rsid w:val="00D634B1"/>
    <w:rsid w:val="00D6469B"/>
    <w:rsid w:val="00D64AB7"/>
    <w:rsid w:val="00D64DC2"/>
    <w:rsid w:val="00D65737"/>
    <w:rsid w:val="00D66388"/>
    <w:rsid w:val="00D66E1D"/>
    <w:rsid w:val="00D67C0C"/>
    <w:rsid w:val="00D70218"/>
    <w:rsid w:val="00D702E8"/>
    <w:rsid w:val="00D70531"/>
    <w:rsid w:val="00D71C61"/>
    <w:rsid w:val="00D73E22"/>
    <w:rsid w:val="00D75197"/>
    <w:rsid w:val="00D75404"/>
    <w:rsid w:val="00D75AEF"/>
    <w:rsid w:val="00D7611E"/>
    <w:rsid w:val="00D764C4"/>
    <w:rsid w:val="00D770AB"/>
    <w:rsid w:val="00D77458"/>
    <w:rsid w:val="00D776A2"/>
    <w:rsid w:val="00D80D0E"/>
    <w:rsid w:val="00D816CB"/>
    <w:rsid w:val="00D83055"/>
    <w:rsid w:val="00D845BE"/>
    <w:rsid w:val="00D85238"/>
    <w:rsid w:val="00D92E7C"/>
    <w:rsid w:val="00D933E4"/>
    <w:rsid w:val="00D939AF"/>
    <w:rsid w:val="00D93AA4"/>
    <w:rsid w:val="00D94301"/>
    <w:rsid w:val="00D9491D"/>
    <w:rsid w:val="00D94B83"/>
    <w:rsid w:val="00D94C93"/>
    <w:rsid w:val="00DA0651"/>
    <w:rsid w:val="00DA0766"/>
    <w:rsid w:val="00DA1078"/>
    <w:rsid w:val="00DA21F3"/>
    <w:rsid w:val="00DA35F4"/>
    <w:rsid w:val="00DA452B"/>
    <w:rsid w:val="00DA495F"/>
    <w:rsid w:val="00DA5EEB"/>
    <w:rsid w:val="00DA6B05"/>
    <w:rsid w:val="00DA744D"/>
    <w:rsid w:val="00DA7635"/>
    <w:rsid w:val="00DB114D"/>
    <w:rsid w:val="00DB297C"/>
    <w:rsid w:val="00DB4344"/>
    <w:rsid w:val="00DB4D47"/>
    <w:rsid w:val="00DB5504"/>
    <w:rsid w:val="00DB7186"/>
    <w:rsid w:val="00DB7ACB"/>
    <w:rsid w:val="00DC0046"/>
    <w:rsid w:val="00DC0086"/>
    <w:rsid w:val="00DC0473"/>
    <w:rsid w:val="00DC15D5"/>
    <w:rsid w:val="00DC1A68"/>
    <w:rsid w:val="00DC1AC9"/>
    <w:rsid w:val="00DC1C11"/>
    <w:rsid w:val="00DC2146"/>
    <w:rsid w:val="00DC24E1"/>
    <w:rsid w:val="00DC2A33"/>
    <w:rsid w:val="00DC2F3F"/>
    <w:rsid w:val="00DC5D0F"/>
    <w:rsid w:val="00DC6A2F"/>
    <w:rsid w:val="00DC7EF4"/>
    <w:rsid w:val="00DD0E74"/>
    <w:rsid w:val="00DD1440"/>
    <w:rsid w:val="00DD1C3C"/>
    <w:rsid w:val="00DD20E9"/>
    <w:rsid w:val="00DD2565"/>
    <w:rsid w:val="00DD2FD1"/>
    <w:rsid w:val="00DD379B"/>
    <w:rsid w:val="00DD4004"/>
    <w:rsid w:val="00DD4029"/>
    <w:rsid w:val="00DD5913"/>
    <w:rsid w:val="00DD734F"/>
    <w:rsid w:val="00DE155E"/>
    <w:rsid w:val="00DE1655"/>
    <w:rsid w:val="00DE165D"/>
    <w:rsid w:val="00DE253C"/>
    <w:rsid w:val="00DE2DD5"/>
    <w:rsid w:val="00DE3004"/>
    <w:rsid w:val="00DE5454"/>
    <w:rsid w:val="00DE6540"/>
    <w:rsid w:val="00DE7310"/>
    <w:rsid w:val="00DE7ED9"/>
    <w:rsid w:val="00DF05A0"/>
    <w:rsid w:val="00DF1C10"/>
    <w:rsid w:val="00DF1C4D"/>
    <w:rsid w:val="00DF23C5"/>
    <w:rsid w:val="00DF3CE9"/>
    <w:rsid w:val="00DF47DA"/>
    <w:rsid w:val="00DF4B66"/>
    <w:rsid w:val="00DF50B3"/>
    <w:rsid w:val="00DF5B1A"/>
    <w:rsid w:val="00DF5DE1"/>
    <w:rsid w:val="00DF5E1F"/>
    <w:rsid w:val="00DF6968"/>
    <w:rsid w:val="00DF6E9A"/>
    <w:rsid w:val="00DF7368"/>
    <w:rsid w:val="00DF7A52"/>
    <w:rsid w:val="00E0036B"/>
    <w:rsid w:val="00E019E6"/>
    <w:rsid w:val="00E01FC2"/>
    <w:rsid w:val="00E02946"/>
    <w:rsid w:val="00E02D38"/>
    <w:rsid w:val="00E03098"/>
    <w:rsid w:val="00E034B3"/>
    <w:rsid w:val="00E04843"/>
    <w:rsid w:val="00E04A0D"/>
    <w:rsid w:val="00E04FC6"/>
    <w:rsid w:val="00E06361"/>
    <w:rsid w:val="00E06391"/>
    <w:rsid w:val="00E064C9"/>
    <w:rsid w:val="00E07F39"/>
    <w:rsid w:val="00E10083"/>
    <w:rsid w:val="00E10335"/>
    <w:rsid w:val="00E10950"/>
    <w:rsid w:val="00E11C68"/>
    <w:rsid w:val="00E1222B"/>
    <w:rsid w:val="00E125B3"/>
    <w:rsid w:val="00E126C3"/>
    <w:rsid w:val="00E12F97"/>
    <w:rsid w:val="00E1378E"/>
    <w:rsid w:val="00E13C7D"/>
    <w:rsid w:val="00E13FA6"/>
    <w:rsid w:val="00E145B1"/>
    <w:rsid w:val="00E150A1"/>
    <w:rsid w:val="00E156B8"/>
    <w:rsid w:val="00E16434"/>
    <w:rsid w:val="00E169BD"/>
    <w:rsid w:val="00E17870"/>
    <w:rsid w:val="00E17DC5"/>
    <w:rsid w:val="00E20C6E"/>
    <w:rsid w:val="00E20E2C"/>
    <w:rsid w:val="00E21041"/>
    <w:rsid w:val="00E211F9"/>
    <w:rsid w:val="00E21DF6"/>
    <w:rsid w:val="00E2254B"/>
    <w:rsid w:val="00E22DC2"/>
    <w:rsid w:val="00E251C3"/>
    <w:rsid w:val="00E26428"/>
    <w:rsid w:val="00E27802"/>
    <w:rsid w:val="00E27B7B"/>
    <w:rsid w:val="00E3010D"/>
    <w:rsid w:val="00E31A4A"/>
    <w:rsid w:val="00E31B5D"/>
    <w:rsid w:val="00E31B79"/>
    <w:rsid w:val="00E33279"/>
    <w:rsid w:val="00E34012"/>
    <w:rsid w:val="00E34093"/>
    <w:rsid w:val="00E3445C"/>
    <w:rsid w:val="00E34601"/>
    <w:rsid w:val="00E34784"/>
    <w:rsid w:val="00E356B9"/>
    <w:rsid w:val="00E36452"/>
    <w:rsid w:val="00E36754"/>
    <w:rsid w:val="00E36826"/>
    <w:rsid w:val="00E36CA0"/>
    <w:rsid w:val="00E4045A"/>
    <w:rsid w:val="00E407AF"/>
    <w:rsid w:val="00E4086F"/>
    <w:rsid w:val="00E40F17"/>
    <w:rsid w:val="00E42071"/>
    <w:rsid w:val="00E427AF"/>
    <w:rsid w:val="00E42C16"/>
    <w:rsid w:val="00E42DF8"/>
    <w:rsid w:val="00E42E2E"/>
    <w:rsid w:val="00E43BEC"/>
    <w:rsid w:val="00E4427C"/>
    <w:rsid w:val="00E44938"/>
    <w:rsid w:val="00E44AA7"/>
    <w:rsid w:val="00E4508C"/>
    <w:rsid w:val="00E45B31"/>
    <w:rsid w:val="00E4643E"/>
    <w:rsid w:val="00E46574"/>
    <w:rsid w:val="00E468C2"/>
    <w:rsid w:val="00E4766C"/>
    <w:rsid w:val="00E504D8"/>
    <w:rsid w:val="00E50E38"/>
    <w:rsid w:val="00E51642"/>
    <w:rsid w:val="00E5211B"/>
    <w:rsid w:val="00E525DD"/>
    <w:rsid w:val="00E52FD4"/>
    <w:rsid w:val="00E5334F"/>
    <w:rsid w:val="00E53842"/>
    <w:rsid w:val="00E54160"/>
    <w:rsid w:val="00E54195"/>
    <w:rsid w:val="00E54C59"/>
    <w:rsid w:val="00E5528A"/>
    <w:rsid w:val="00E55476"/>
    <w:rsid w:val="00E56088"/>
    <w:rsid w:val="00E5771C"/>
    <w:rsid w:val="00E61BD9"/>
    <w:rsid w:val="00E622A6"/>
    <w:rsid w:val="00E636C7"/>
    <w:rsid w:val="00E63C91"/>
    <w:rsid w:val="00E64375"/>
    <w:rsid w:val="00E64701"/>
    <w:rsid w:val="00E65262"/>
    <w:rsid w:val="00E65D55"/>
    <w:rsid w:val="00E6653D"/>
    <w:rsid w:val="00E6684F"/>
    <w:rsid w:val="00E67B56"/>
    <w:rsid w:val="00E703F2"/>
    <w:rsid w:val="00E705E5"/>
    <w:rsid w:val="00E70B11"/>
    <w:rsid w:val="00E715BB"/>
    <w:rsid w:val="00E715E2"/>
    <w:rsid w:val="00E71BC0"/>
    <w:rsid w:val="00E73046"/>
    <w:rsid w:val="00E73F72"/>
    <w:rsid w:val="00E742C6"/>
    <w:rsid w:val="00E7595D"/>
    <w:rsid w:val="00E76084"/>
    <w:rsid w:val="00E76819"/>
    <w:rsid w:val="00E77ADD"/>
    <w:rsid w:val="00E77C15"/>
    <w:rsid w:val="00E811A4"/>
    <w:rsid w:val="00E8288E"/>
    <w:rsid w:val="00E8365E"/>
    <w:rsid w:val="00E838A2"/>
    <w:rsid w:val="00E8687A"/>
    <w:rsid w:val="00E87F8F"/>
    <w:rsid w:val="00E9005A"/>
    <w:rsid w:val="00E90925"/>
    <w:rsid w:val="00E90FB3"/>
    <w:rsid w:val="00E91CCA"/>
    <w:rsid w:val="00E922C7"/>
    <w:rsid w:val="00E9267B"/>
    <w:rsid w:val="00E92701"/>
    <w:rsid w:val="00E93A1C"/>
    <w:rsid w:val="00E96099"/>
    <w:rsid w:val="00E96144"/>
    <w:rsid w:val="00E96443"/>
    <w:rsid w:val="00E96737"/>
    <w:rsid w:val="00E96AF2"/>
    <w:rsid w:val="00E97CCE"/>
    <w:rsid w:val="00EA0BA4"/>
    <w:rsid w:val="00EA0C2B"/>
    <w:rsid w:val="00EA1153"/>
    <w:rsid w:val="00EA1853"/>
    <w:rsid w:val="00EA1AA5"/>
    <w:rsid w:val="00EA2A70"/>
    <w:rsid w:val="00EA2DB9"/>
    <w:rsid w:val="00EA3FFC"/>
    <w:rsid w:val="00EA52CB"/>
    <w:rsid w:val="00EA5F7C"/>
    <w:rsid w:val="00EA67B9"/>
    <w:rsid w:val="00EA6A2D"/>
    <w:rsid w:val="00EA7E1F"/>
    <w:rsid w:val="00EB0194"/>
    <w:rsid w:val="00EB02BE"/>
    <w:rsid w:val="00EB1DAC"/>
    <w:rsid w:val="00EB2378"/>
    <w:rsid w:val="00EB252F"/>
    <w:rsid w:val="00EB26C4"/>
    <w:rsid w:val="00EB2974"/>
    <w:rsid w:val="00EB2A7A"/>
    <w:rsid w:val="00EB36A1"/>
    <w:rsid w:val="00EB389D"/>
    <w:rsid w:val="00EB421C"/>
    <w:rsid w:val="00EB4703"/>
    <w:rsid w:val="00EB4CF3"/>
    <w:rsid w:val="00EB551D"/>
    <w:rsid w:val="00EB55A1"/>
    <w:rsid w:val="00EB574E"/>
    <w:rsid w:val="00EB5A69"/>
    <w:rsid w:val="00EB620E"/>
    <w:rsid w:val="00EB6916"/>
    <w:rsid w:val="00EB6C06"/>
    <w:rsid w:val="00EB7516"/>
    <w:rsid w:val="00EB7884"/>
    <w:rsid w:val="00EC0B50"/>
    <w:rsid w:val="00EC0EB1"/>
    <w:rsid w:val="00EC183D"/>
    <w:rsid w:val="00EC188C"/>
    <w:rsid w:val="00EC1EAE"/>
    <w:rsid w:val="00EC2107"/>
    <w:rsid w:val="00EC3717"/>
    <w:rsid w:val="00EC43B2"/>
    <w:rsid w:val="00EC4A12"/>
    <w:rsid w:val="00EC4EB0"/>
    <w:rsid w:val="00EC4F7C"/>
    <w:rsid w:val="00EC5C58"/>
    <w:rsid w:val="00EC6185"/>
    <w:rsid w:val="00EC623C"/>
    <w:rsid w:val="00EC647C"/>
    <w:rsid w:val="00ED1616"/>
    <w:rsid w:val="00ED50FF"/>
    <w:rsid w:val="00ED5272"/>
    <w:rsid w:val="00ED6AB4"/>
    <w:rsid w:val="00ED6CBD"/>
    <w:rsid w:val="00EE0335"/>
    <w:rsid w:val="00EE1A85"/>
    <w:rsid w:val="00EE1B5D"/>
    <w:rsid w:val="00EE211A"/>
    <w:rsid w:val="00EE3470"/>
    <w:rsid w:val="00EE3C5B"/>
    <w:rsid w:val="00EE42C7"/>
    <w:rsid w:val="00EE5CA9"/>
    <w:rsid w:val="00EE5EA3"/>
    <w:rsid w:val="00EE60CF"/>
    <w:rsid w:val="00EE6E03"/>
    <w:rsid w:val="00EE71DC"/>
    <w:rsid w:val="00EE71EE"/>
    <w:rsid w:val="00EF0DD8"/>
    <w:rsid w:val="00EF1B43"/>
    <w:rsid w:val="00EF23FC"/>
    <w:rsid w:val="00EF342D"/>
    <w:rsid w:val="00EF3864"/>
    <w:rsid w:val="00EF3D17"/>
    <w:rsid w:val="00EF4169"/>
    <w:rsid w:val="00EF46E9"/>
    <w:rsid w:val="00EF5A84"/>
    <w:rsid w:val="00EF6E4B"/>
    <w:rsid w:val="00EF7C9C"/>
    <w:rsid w:val="00EF7D9E"/>
    <w:rsid w:val="00F003BE"/>
    <w:rsid w:val="00F004F3"/>
    <w:rsid w:val="00F014DC"/>
    <w:rsid w:val="00F0248A"/>
    <w:rsid w:val="00F04840"/>
    <w:rsid w:val="00F05C2E"/>
    <w:rsid w:val="00F05C8D"/>
    <w:rsid w:val="00F05E1A"/>
    <w:rsid w:val="00F06491"/>
    <w:rsid w:val="00F0719E"/>
    <w:rsid w:val="00F077E4"/>
    <w:rsid w:val="00F101DA"/>
    <w:rsid w:val="00F11DDE"/>
    <w:rsid w:val="00F12B6C"/>
    <w:rsid w:val="00F1391C"/>
    <w:rsid w:val="00F139C6"/>
    <w:rsid w:val="00F13CDA"/>
    <w:rsid w:val="00F1449C"/>
    <w:rsid w:val="00F14A68"/>
    <w:rsid w:val="00F14B59"/>
    <w:rsid w:val="00F16714"/>
    <w:rsid w:val="00F17B14"/>
    <w:rsid w:val="00F205DB"/>
    <w:rsid w:val="00F207EE"/>
    <w:rsid w:val="00F212C6"/>
    <w:rsid w:val="00F23835"/>
    <w:rsid w:val="00F25465"/>
    <w:rsid w:val="00F266D1"/>
    <w:rsid w:val="00F26E06"/>
    <w:rsid w:val="00F27C6D"/>
    <w:rsid w:val="00F3199F"/>
    <w:rsid w:val="00F31A67"/>
    <w:rsid w:val="00F32499"/>
    <w:rsid w:val="00F32F1A"/>
    <w:rsid w:val="00F33BDA"/>
    <w:rsid w:val="00F34899"/>
    <w:rsid w:val="00F3518C"/>
    <w:rsid w:val="00F3573D"/>
    <w:rsid w:val="00F37732"/>
    <w:rsid w:val="00F42230"/>
    <w:rsid w:val="00F4294F"/>
    <w:rsid w:val="00F42A18"/>
    <w:rsid w:val="00F431CD"/>
    <w:rsid w:val="00F432BB"/>
    <w:rsid w:val="00F44723"/>
    <w:rsid w:val="00F449DD"/>
    <w:rsid w:val="00F46007"/>
    <w:rsid w:val="00F468BE"/>
    <w:rsid w:val="00F46E8C"/>
    <w:rsid w:val="00F500F4"/>
    <w:rsid w:val="00F506A4"/>
    <w:rsid w:val="00F52958"/>
    <w:rsid w:val="00F53E8C"/>
    <w:rsid w:val="00F547B2"/>
    <w:rsid w:val="00F5495E"/>
    <w:rsid w:val="00F565FD"/>
    <w:rsid w:val="00F56B0F"/>
    <w:rsid w:val="00F57A15"/>
    <w:rsid w:val="00F57B74"/>
    <w:rsid w:val="00F57F48"/>
    <w:rsid w:val="00F61B22"/>
    <w:rsid w:val="00F6208C"/>
    <w:rsid w:val="00F627CD"/>
    <w:rsid w:val="00F6329E"/>
    <w:rsid w:val="00F63794"/>
    <w:rsid w:val="00F6401E"/>
    <w:rsid w:val="00F6586B"/>
    <w:rsid w:val="00F659DE"/>
    <w:rsid w:val="00F674F2"/>
    <w:rsid w:val="00F67E15"/>
    <w:rsid w:val="00F67E33"/>
    <w:rsid w:val="00F70B41"/>
    <w:rsid w:val="00F70DD1"/>
    <w:rsid w:val="00F7123D"/>
    <w:rsid w:val="00F71B0D"/>
    <w:rsid w:val="00F72615"/>
    <w:rsid w:val="00F7334A"/>
    <w:rsid w:val="00F74721"/>
    <w:rsid w:val="00F74736"/>
    <w:rsid w:val="00F74A4F"/>
    <w:rsid w:val="00F752E1"/>
    <w:rsid w:val="00F75714"/>
    <w:rsid w:val="00F758CE"/>
    <w:rsid w:val="00F75BFE"/>
    <w:rsid w:val="00F75E45"/>
    <w:rsid w:val="00F774BB"/>
    <w:rsid w:val="00F8079F"/>
    <w:rsid w:val="00F815D2"/>
    <w:rsid w:val="00F83642"/>
    <w:rsid w:val="00F841AF"/>
    <w:rsid w:val="00F84FBB"/>
    <w:rsid w:val="00F8607E"/>
    <w:rsid w:val="00F873BA"/>
    <w:rsid w:val="00F87A7C"/>
    <w:rsid w:val="00F90295"/>
    <w:rsid w:val="00F9096B"/>
    <w:rsid w:val="00F92702"/>
    <w:rsid w:val="00F92C68"/>
    <w:rsid w:val="00F92FA3"/>
    <w:rsid w:val="00F93E26"/>
    <w:rsid w:val="00F94CA7"/>
    <w:rsid w:val="00F95AE5"/>
    <w:rsid w:val="00F95DD3"/>
    <w:rsid w:val="00F96792"/>
    <w:rsid w:val="00F96E8A"/>
    <w:rsid w:val="00F9718E"/>
    <w:rsid w:val="00F97A85"/>
    <w:rsid w:val="00FA0EE5"/>
    <w:rsid w:val="00FA166F"/>
    <w:rsid w:val="00FA2FA1"/>
    <w:rsid w:val="00FA3051"/>
    <w:rsid w:val="00FA337C"/>
    <w:rsid w:val="00FA43D9"/>
    <w:rsid w:val="00FA440E"/>
    <w:rsid w:val="00FA49FF"/>
    <w:rsid w:val="00FA5670"/>
    <w:rsid w:val="00FA57A3"/>
    <w:rsid w:val="00FA6096"/>
    <w:rsid w:val="00FA6381"/>
    <w:rsid w:val="00FA68B3"/>
    <w:rsid w:val="00FA78BF"/>
    <w:rsid w:val="00FA79D1"/>
    <w:rsid w:val="00FA7E97"/>
    <w:rsid w:val="00FB06DD"/>
    <w:rsid w:val="00FB0BEE"/>
    <w:rsid w:val="00FB0E92"/>
    <w:rsid w:val="00FB1063"/>
    <w:rsid w:val="00FB11D2"/>
    <w:rsid w:val="00FB1E4E"/>
    <w:rsid w:val="00FB57D9"/>
    <w:rsid w:val="00FB5F3B"/>
    <w:rsid w:val="00FC0007"/>
    <w:rsid w:val="00FC08E8"/>
    <w:rsid w:val="00FC19D4"/>
    <w:rsid w:val="00FC1A2C"/>
    <w:rsid w:val="00FC23A7"/>
    <w:rsid w:val="00FC377E"/>
    <w:rsid w:val="00FC3BEE"/>
    <w:rsid w:val="00FC40CB"/>
    <w:rsid w:val="00FC46C5"/>
    <w:rsid w:val="00FC687D"/>
    <w:rsid w:val="00FC6C23"/>
    <w:rsid w:val="00FC77CC"/>
    <w:rsid w:val="00FD1A13"/>
    <w:rsid w:val="00FD1F67"/>
    <w:rsid w:val="00FD1F7F"/>
    <w:rsid w:val="00FD2780"/>
    <w:rsid w:val="00FD3014"/>
    <w:rsid w:val="00FD331D"/>
    <w:rsid w:val="00FD477D"/>
    <w:rsid w:val="00FD4A36"/>
    <w:rsid w:val="00FD4E66"/>
    <w:rsid w:val="00FD5F26"/>
    <w:rsid w:val="00FD69A6"/>
    <w:rsid w:val="00FD6B42"/>
    <w:rsid w:val="00FD6F39"/>
    <w:rsid w:val="00FD7037"/>
    <w:rsid w:val="00FE106D"/>
    <w:rsid w:val="00FE20D7"/>
    <w:rsid w:val="00FE22ED"/>
    <w:rsid w:val="00FE3312"/>
    <w:rsid w:val="00FE396E"/>
    <w:rsid w:val="00FE3E29"/>
    <w:rsid w:val="00FE5583"/>
    <w:rsid w:val="00FE5666"/>
    <w:rsid w:val="00FE598F"/>
    <w:rsid w:val="00FE6075"/>
    <w:rsid w:val="00FE60F9"/>
    <w:rsid w:val="00FE620E"/>
    <w:rsid w:val="00FE6AB6"/>
    <w:rsid w:val="00FE6D96"/>
    <w:rsid w:val="00FE6F18"/>
    <w:rsid w:val="00FE7816"/>
    <w:rsid w:val="00FE7BD4"/>
    <w:rsid w:val="00FF04B7"/>
    <w:rsid w:val="00FF0A2D"/>
    <w:rsid w:val="00FF0B76"/>
    <w:rsid w:val="00FF1093"/>
    <w:rsid w:val="00FF113D"/>
    <w:rsid w:val="00FF1665"/>
    <w:rsid w:val="00FF1810"/>
    <w:rsid w:val="00FF2BBB"/>
    <w:rsid w:val="00FF2EF7"/>
    <w:rsid w:val="00FF3E5B"/>
    <w:rsid w:val="00FF3F55"/>
    <w:rsid w:val="00FF5B4C"/>
    <w:rsid w:val="00FF6BFC"/>
    <w:rsid w:val="00FF6CA8"/>
    <w:rsid w:val="00FF6D69"/>
    <w:rsid w:val="00FF72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24289">
      <o:colormru v:ext="edit" colors="#4bf75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uiPriority="0" w:qFormat="1"/>
    <w:lsdException w:name="header" w:qFormat="1"/>
    <w:lsdException w:name="footer" w:qFormat="1"/>
    <w:lsdException w:name="caption" w:uiPriority="35" w:qFormat="1"/>
    <w:lsdException w:name="page number" w:uiPriority="0"/>
    <w:lsdException w:name="List" w:qFormat="1"/>
    <w:lsdException w:name="List Number" w:qFormat="1"/>
    <w:lsdException w:name="Title" w:semiHidden="0" w:uiPriority="10" w:unhideWhenUsed="0"/>
    <w:lsdException w:name="Default Paragraph Font" w:uiPriority="1"/>
    <w:lsdException w:name="List Continue" w:qFormat="1"/>
    <w:lsdException w:name="Subtitle" w:semiHidden="0" w:uiPriority="11" w:unhideWhenUsed="0"/>
    <w:lsdException w:name="Hyperlink"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5E385C"/>
    <w:pPr>
      <w:spacing w:line="276" w:lineRule="auto"/>
      <w:jc w:val="both"/>
    </w:pPr>
    <w:rPr>
      <w:rFonts w:ascii="Arial" w:hAnsi="Arial"/>
    </w:rPr>
  </w:style>
  <w:style w:type="paragraph" w:styleId="Heading1">
    <w:name w:val="heading 1"/>
    <w:basedOn w:val="Normal"/>
    <w:next w:val="Normal"/>
    <w:link w:val="Heading1Char"/>
    <w:qFormat/>
    <w:rsid w:val="00B927D8"/>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qFormat/>
    <w:rsid w:val="00B927D8"/>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qFormat/>
    <w:rsid w:val="00885955"/>
    <w:pPr>
      <w:numPr>
        <w:ilvl w:val="2"/>
        <w:numId w:val="25"/>
      </w:numPr>
      <w:tabs>
        <w:tab w:val="left" w:pos="1021"/>
      </w:tabs>
      <w:spacing w:before="240"/>
      <w:ind w:left="720"/>
      <w:jc w:val="left"/>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B927D8"/>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2"/>
    <w:qFormat/>
    <w:rsid w:val="00B927D8"/>
    <w:pPr>
      <w:numPr>
        <w:ilvl w:val="4"/>
        <w:numId w:val="25"/>
      </w:numPr>
      <w:tabs>
        <w:tab w:val="left" w:pos="136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2"/>
    <w:qFormat/>
    <w:rsid w:val="00B37E38"/>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basedOn w:val="Normal"/>
    <w:next w:val="Normal"/>
    <w:link w:val="Heading7Char"/>
    <w:uiPriority w:val="2"/>
    <w:qFormat/>
    <w:rsid w:val="00B927D8"/>
    <w:pPr>
      <w:numPr>
        <w:ilvl w:val="6"/>
        <w:numId w:val="25"/>
      </w:numPr>
      <w:tabs>
        <w:tab w:val="left" w:pos="1701"/>
      </w:tabs>
      <w:spacing w:before="240"/>
      <w:outlineLvl w:val="6"/>
    </w:pPr>
    <w:rPr>
      <w:rFonts w:eastAsiaTheme="majorEastAsia" w:cstheme="majorBidi"/>
      <w:i/>
      <w:iCs/>
    </w:rPr>
  </w:style>
  <w:style w:type="paragraph" w:styleId="Heading8">
    <w:name w:val="heading 8"/>
    <w:basedOn w:val="Normal"/>
    <w:next w:val="Normal"/>
    <w:link w:val="Heading8Char"/>
    <w:uiPriority w:val="2"/>
    <w:qFormat/>
    <w:rsid w:val="00B927D8"/>
    <w:pPr>
      <w:numPr>
        <w:ilvl w:val="7"/>
        <w:numId w:val="25"/>
      </w:numPr>
      <w:tabs>
        <w:tab w:val="left" w:pos="1701"/>
      </w:tabs>
      <w:spacing w:before="240"/>
      <w:outlineLvl w:val="7"/>
    </w:pPr>
    <w:rPr>
      <w:rFonts w:eastAsiaTheme="majorEastAsia" w:cstheme="majorBidi"/>
      <w:color w:val="2F002F" w:themeColor="accent1"/>
      <w:szCs w:val="20"/>
    </w:rPr>
  </w:style>
  <w:style w:type="paragraph" w:styleId="Heading9">
    <w:name w:val="heading 9"/>
    <w:basedOn w:val="Normal"/>
    <w:next w:val="Normal"/>
    <w:link w:val="Heading9Char"/>
    <w:uiPriority w:val="2"/>
    <w:qFormat/>
    <w:rsid w:val="00B927D8"/>
    <w:pPr>
      <w:numPr>
        <w:ilvl w:val="8"/>
        <w:numId w:val="25"/>
      </w:numPr>
      <w:tabs>
        <w:tab w:val="left" w:pos="1701"/>
      </w:tabs>
      <w:spacing w:before="240"/>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27D8"/>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B927D8"/>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885955"/>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B927D8"/>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2"/>
    <w:rsid w:val="00B927D8"/>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2"/>
    <w:rsid w:val="00B37E38"/>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F835C9"/>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F835C9"/>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EB505D"/>
    <w:pPr>
      <w:tabs>
        <w:tab w:val="right" w:leader="dot" w:pos="8363"/>
      </w:tabs>
      <w:spacing w:after="100"/>
      <w:ind w:left="2977"/>
    </w:pPr>
    <w:rPr>
      <w:noProof/>
    </w:rPr>
  </w:style>
  <w:style w:type="paragraph" w:styleId="TOC9">
    <w:name w:val="toc 9"/>
    <w:basedOn w:val="Normal"/>
    <w:next w:val="Normal"/>
    <w:uiPriority w:val="39"/>
    <w:rsid w:val="00EB505D"/>
    <w:pPr>
      <w:tabs>
        <w:tab w:val="right" w:leader="dot" w:pos="8363"/>
      </w:tabs>
      <w:spacing w:after="100"/>
      <w:ind w:left="3402"/>
    </w:pPr>
    <w:rPr>
      <w:noProof/>
    </w:rPr>
  </w:style>
  <w:style w:type="paragraph" w:customStyle="1" w:styleId="Heading1notnumber">
    <w:name w:val="Heading 1 not number"/>
    <w:basedOn w:val="Heading1"/>
    <w:qFormat/>
    <w:rsid w:val="00130C3C"/>
    <w:pPr>
      <w:numPr>
        <w:numId w:val="0"/>
      </w:numPr>
    </w:pPr>
  </w:style>
  <w:style w:type="paragraph" w:customStyle="1" w:styleId="Heading2notnumbered">
    <w:name w:val="Heading 2 not numbered"/>
    <w:basedOn w:val="Heading2"/>
    <w:rsid w:val="00130C3C"/>
    <w:pPr>
      <w:numPr>
        <w:ilvl w:val="0"/>
        <w:numId w:val="0"/>
      </w:numPr>
    </w:pPr>
    <w:rPr>
      <w:rFonts w:eastAsia="Times New Roman" w:cs="Times New Roman"/>
      <w:szCs w:val="20"/>
    </w:rPr>
  </w:style>
  <w:style w:type="paragraph" w:customStyle="1" w:styleId="Heading3notnumbered">
    <w:name w:val="Heading 3 not numbered"/>
    <w:basedOn w:val="Heading3"/>
    <w:rsid w:val="005A2081"/>
    <w:pPr>
      <w:numPr>
        <w:ilvl w:val="0"/>
        <w:numId w:val="0"/>
      </w:numPr>
    </w:pPr>
    <w:rPr>
      <w:rFonts w:eastAsia="Times New Roman" w:cs="Times New Roman"/>
      <w:szCs w:val="20"/>
    </w:rPr>
  </w:style>
  <w:style w:type="paragraph" w:customStyle="1" w:styleId="Heading4notnumbered">
    <w:name w:val="Heading 4 not numbered"/>
    <w:basedOn w:val="Heading4"/>
    <w:rsid w:val="00130C3C"/>
    <w:pPr>
      <w:numPr>
        <w:ilvl w:val="0"/>
        <w:numId w:val="0"/>
      </w:numPr>
    </w:pPr>
    <w:rPr>
      <w:rFonts w:eastAsia="Times New Roman" w:cs="Times New Roman"/>
      <w:iCs w:val="0"/>
      <w:szCs w:val="20"/>
    </w:rPr>
  </w:style>
  <w:style w:type="paragraph" w:customStyle="1" w:styleId="Heading5notnumbered">
    <w:name w:val="Heading 5 not numbered"/>
    <w:basedOn w:val="Heading5"/>
    <w:rsid w:val="00130C3C"/>
    <w:pPr>
      <w:numPr>
        <w:ilvl w:val="0"/>
        <w:numId w:val="0"/>
      </w:numPr>
    </w:pPr>
    <w:rPr>
      <w:rFonts w:eastAsia="Times New Roman" w:cs="Times New Roman"/>
      <w:bCs/>
      <w:szCs w:val="20"/>
    </w:rPr>
  </w:style>
  <w:style w:type="paragraph" w:customStyle="1" w:styleId="Heading6notnumbered">
    <w:name w:val="Heading 6 not numbered"/>
    <w:basedOn w:val="Heading6"/>
    <w:rsid w:val="00130C3C"/>
    <w:pPr>
      <w:numPr>
        <w:ilvl w:val="0"/>
        <w:numId w:val="0"/>
      </w:numPr>
    </w:pPr>
    <w:rPr>
      <w:rFonts w:eastAsia="Times New Roman" w:cs="Times New Roman"/>
      <w:bCs/>
      <w:szCs w:val="20"/>
    </w:r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next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next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Bulletpoint">
    <w:name w:val="Bullet point"/>
    <w:basedOn w:val="ListBullet"/>
    <w:qFormat/>
    <w:rsid w:val="00FE64AE"/>
    <w:pPr>
      <w:numPr>
        <w:numId w:val="2"/>
      </w:numPr>
    </w:pPr>
    <w:rPr>
      <w:rFonts w:cs="Times New Roman"/>
    </w:rPr>
  </w:style>
  <w:style w:type="paragraph" w:styleId="ListBullet">
    <w:name w:val="List Bullet"/>
    <w:basedOn w:val="Normal"/>
    <w:uiPriority w:val="99"/>
    <w:unhideWhenUsed/>
    <w:rsid w:val="00DB5074"/>
    <w:pPr>
      <w:numPr>
        <w:numId w:val="13"/>
      </w:numPr>
      <w:tabs>
        <w:tab w:val="left" w:pos="340"/>
      </w:tabs>
      <w:spacing w:before="120"/>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CA489E"/>
    <w:pPr>
      <w:numPr>
        <w:numId w:val="7"/>
      </w:numPr>
      <w:tabs>
        <w:tab w:val="clear" w:pos="360"/>
        <w:tab w:val="num" w:pos="340"/>
      </w:tabs>
      <w:spacing w:before="120"/>
      <w:ind w:left="340" w:hanging="340"/>
    </w:pPr>
  </w:style>
  <w:style w:type="paragraph" w:styleId="ListBullet2">
    <w:name w:val="List Bullet 2"/>
    <w:basedOn w:val="Normal"/>
    <w:uiPriority w:val="99"/>
    <w:unhideWhenUsed/>
    <w:rsid w:val="00DB5074"/>
    <w:pPr>
      <w:numPr>
        <w:numId w:val="3"/>
      </w:numPr>
      <w:tabs>
        <w:tab w:val="clear" w:pos="643"/>
        <w:tab w:val="num" w:pos="680"/>
      </w:tabs>
      <w:spacing w:before="120"/>
      <w:ind w:left="680" w:hanging="34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F835C9"/>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F835C9"/>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pPr>
  </w:style>
  <w:style w:type="character" w:customStyle="1" w:styleId="Heading7Char">
    <w:name w:val="Heading 7 Char"/>
    <w:basedOn w:val="DefaultParagraphFont"/>
    <w:link w:val="Heading7"/>
    <w:uiPriority w:val="2"/>
    <w:rsid w:val="00B927D8"/>
    <w:rPr>
      <w:rFonts w:ascii="Arial" w:eastAsiaTheme="majorEastAsia" w:hAnsi="Arial" w:cstheme="majorBidi"/>
      <w:i/>
      <w:iCs/>
    </w:rPr>
  </w:style>
  <w:style w:type="character" w:customStyle="1" w:styleId="Heading8Char">
    <w:name w:val="Heading 8 Char"/>
    <w:basedOn w:val="DefaultParagraphFont"/>
    <w:link w:val="Heading8"/>
    <w:uiPriority w:val="2"/>
    <w:rsid w:val="00B927D8"/>
    <w:rPr>
      <w:rFonts w:ascii="Arial" w:eastAsiaTheme="majorEastAsia" w:hAnsi="Arial" w:cstheme="majorBidi"/>
      <w:color w:val="2F002F" w:themeColor="accent1"/>
      <w:szCs w:val="20"/>
    </w:rPr>
  </w:style>
  <w:style w:type="character" w:customStyle="1" w:styleId="Heading9Char">
    <w:name w:val="Heading 9 Char"/>
    <w:basedOn w:val="DefaultParagraphFont"/>
    <w:link w:val="Heading9"/>
    <w:uiPriority w:val="2"/>
    <w:rsid w:val="00B927D8"/>
    <w:rPr>
      <w:rFonts w:ascii="Arial" w:eastAsiaTheme="majorEastAsia" w:hAnsi="Arial" w:cstheme="majorBidi"/>
      <w:i/>
      <w:iCs/>
      <w:szCs w:val="20"/>
    </w:rPr>
  </w:style>
  <w:style w:type="paragraph" w:customStyle="1" w:styleId="Heading7notnumbered">
    <w:name w:val="Heading 7 not numbered"/>
    <w:basedOn w:val="Heading7"/>
    <w:rsid w:val="00130C3C"/>
    <w:pPr>
      <w:numPr>
        <w:ilvl w:val="0"/>
        <w:numId w:val="0"/>
      </w:numPr>
    </w:pPr>
    <w:rPr>
      <w:rFonts w:eastAsia="Times New Roman" w:cs="Times New Roman"/>
      <w:szCs w:val="20"/>
    </w:rPr>
  </w:style>
  <w:style w:type="paragraph" w:customStyle="1" w:styleId="Heading8notnumbered">
    <w:name w:val="Heading 8 not numbered"/>
    <w:basedOn w:val="Heading8"/>
    <w:rsid w:val="00130C3C"/>
    <w:pPr>
      <w:numPr>
        <w:ilvl w:val="0"/>
        <w:numId w:val="0"/>
      </w:numPr>
    </w:pPr>
    <w:rPr>
      <w:rFonts w:eastAsia="Times New Roman" w:cs="Times New Roman"/>
    </w:r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B95EDB"/>
    <w:pPr>
      <w:tabs>
        <w:tab w:val="left" w:pos="426"/>
        <w:tab w:val="left" w:pos="1701"/>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EB505D"/>
    <w:pPr>
      <w:tabs>
        <w:tab w:val="left" w:leader="do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EB505D"/>
    <w:pPr>
      <w:tabs>
        <w:tab w:val="left" w:pos="1760"/>
        <w:tab w:val="right" w:leader="dot" w:pos="8363"/>
      </w:tabs>
      <w:spacing w:after="100"/>
      <w:ind w:left="851"/>
    </w:pPr>
    <w:rPr>
      <w:noProof/>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unhideWhenUsed/>
    <w:qFormat/>
    <w:rsid w:val="00182906"/>
    <w:pPr>
      <w:widowControl w:val="0"/>
      <w:tabs>
        <w:tab w:val="left" w:pos="340"/>
      </w:tabs>
      <w:spacing w:before="0" w:line="240" w:lineRule="exact"/>
      <w:ind w:left="340" w:hanging="34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182906"/>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B37E38"/>
    <w:rPr>
      <w:sz w:val="24"/>
      <w:vertAlign w:val="superscript"/>
    </w:rPr>
  </w:style>
  <w:style w:type="character" w:styleId="Strong">
    <w:name w:val="Strong"/>
    <w:basedOn w:val="DefaultParagraphFont"/>
    <w:uiPriority w:val="99"/>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EB505D"/>
    <w:pPr>
      <w:tabs>
        <w:tab w:val="right" w:leader="dot" w:pos="8363"/>
      </w:tabs>
      <w:spacing w:after="100"/>
      <w:ind w:left="1276"/>
    </w:pPr>
    <w:rPr>
      <w:noProof/>
    </w:rPr>
  </w:style>
  <w:style w:type="paragraph" w:styleId="TOC5">
    <w:name w:val="toc 5"/>
    <w:basedOn w:val="Normal"/>
    <w:next w:val="Normal"/>
    <w:uiPriority w:val="39"/>
    <w:rsid w:val="00EB505D"/>
    <w:pPr>
      <w:tabs>
        <w:tab w:val="right" w:leader="dot" w:pos="8363"/>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EB505D"/>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Heading9notnumbered">
    <w:name w:val="Heading 9 not numbered"/>
    <w:basedOn w:val="Heading9"/>
    <w:rsid w:val="00130C3C"/>
    <w:pPr>
      <w:numPr>
        <w:ilvl w:val="0"/>
        <w:numId w:val="0"/>
      </w:numPr>
    </w:pPr>
    <w:rPr>
      <w:rFonts w:eastAsia="Times New Roman" w:cs="Times New Roman"/>
    </w:rPr>
  </w:style>
  <w:style w:type="paragraph" w:styleId="Caption">
    <w:name w:val="caption"/>
    <w:basedOn w:val="Normal"/>
    <w:next w:val="Normal"/>
    <w:uiPriority w:val="35"/>
    <w:unhideWhenUsed/>
    <w:qFormat/>
    <w:rsid w:val="00C95114"/>
    <w:pPr>
      <w:keepNext/>
      <w:spacing w:before="240" w:after="120"/>
      <w:jc w:val="left"/>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basedOn w:val="Normal"/>
    <w:uiPriority w:val="99"/>
    <w:unhideWhenUsed/>
    <w:rsid w:val="00DB5074"/>
    <w:pPr>
      <w:numPr>
        <w:numId w:val="4"/>
      </w:numPr>
      <w:tabs>
        <w:tab w:val="clear" w:pos="926"/>
        <w:tab w:val="num" w:pos="1021"/>
      </w:tabs>
      <w:spacing w:before="120"/>
      <w:ind w:left="1020" w:hanging="34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basedOn w:val="Normal"/>
    <w:uiPriority w:val="99"/>
    <w:unhideWhenUsed/>
    <w:qFormat/>
    <w:rsid w:val="00DB5074"/>
    <w:pPr>
      <w:tabs>
        <w:tab w:val="left" w:pos="340"/>
      </w:tabs>
      <w:spacing w:before="120"/>
      <w:ind w:left="340"/>
    </w:pPr>
  </w:style>
  <w:style w:type="paragraph" w:styleId="ListContinue2">
    <w:name w:val="List Continue 2"/>
    <w:basedOn w:val="Normal"/>
    <w:uiPriority w:val="99"/>
    <w:unhideWhenUsed/>
    <w:rsid w:val="00567BA5"/>
    <w:pPr>
      <w:tabs>
        <w:tab w:val="left" w:pos="680"/>
      </w:tabs>
      <w:spacing w:before="120"/>
      <w:ind w:left="680"/>
    </w:pPr>
  </w:style>
  <w:style w:type="paragraph" w:styleId="ListContinue3">
    <w:name w:val="List Continue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A86749"/>
    <w:pPr>
      <w:spacing w:before="240" w:after="120"/>
      <w:jc w:val="center"/>
    </w:pPr>
    <w:rPr>
      <w:b/>
      <w:color w:val="FFFFFF" w:themeColor="background1"/>
      <w:sz w:val="20"/>
      <w:szCs w:val="20"/>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A86749"/>
    <w:rPr>
      <w:rFonts w:ascii="Arial" w:hAnsi="Arial"/>
      <w:b/>
      <w:color w:val="FFFFFF" w:themeColor="background1"/>
      <w:sz w:val="20"/>
      <w:szCs w:val="20"/>
    </w:rPr>
  </w:style>
  <w:style w:type="character" w:customStyle="1" w:styleId="TableHeading-rightChar">
    <w:name w:val="Table Heading - right Char"/>
    <w:basedOn w:val="TableHeadingChar"/>
    <w:link w:val="TableHeading-right"/>
    <w:rsid w:val="00185CB9"/>
    <w:rPr>
      <w:rFonts w:ascii="Arial" w:eastAsia="Times New Roman" w:hAnsi="Arial" w:cs="Times New Roman"/>
      <w:b/>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rPr>
      <w:rFonts w:eastAsia="Times New Roman" w:cs="Times New Roman"/>
      <w:bCs/>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562632"/>
    <w:pPr>
      <w:numPr>
        <w:ilvl w:val="1"/>
        <w:numId w:val="15"/>
      </w:numPr>
      <w:tabs>
        <w:tab w:val="left" w:pos="1021"/>
      </w:tabs>
      <w:spacing w:line="240" w:lineRule="atLeast"/>
      <w:ind w:left="680" w:hanging="680"/>
    </w:pPr>
    <w:rPr>
      <w:rFonts w:eastAsiaTheme="majorEastAsia" w:cs="Arial"/>
      <w:bCs/>
      <w:szCs w:val="26"/>
    </w:r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A86749"/>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0"/>
      </w:rPr>
      <w:tblPr/>
      <w:tcPr>
        <w:shd w:val="clear" w:color="auto" w:fill="076A92"/>
      </w:tcPr>
    </w:tblStylePr>
    <w:tblStylePr w:type="lastRow">
      <w:rPr>
        <w:b/>
      </w:rPr>
    </w:tblStylePr>
    <w:tblStylePr w:type="band1Horz">
      <w:rPr>
        <w:rFonts w:asciiTheme="minorHAnsi" w:hAnsiTheme="minorHAnsi"/>
        <w:sz w:val="18"/>
      </w:rPr>
    </w:tblStylePr>
    <w:tblStylePr w:type="band2Horz">
      <w:rPr>
        <w:rFonts w:asciiTheme="minorHAnsi" w:hAnsiTheme="minorHAnsi"/>
        <w:sz w:val="20"/>
      </w:rPr>
      <w:tblPr/>
      <w:tcPr>
        <w:shd w:val="clear" w:color="auto" w:fill="DBE5F1"/>
      </w:tcPr>
    </w:tblStylePr>
  </w:style>
  <w:style w:type="paragraph" w:customStyle="1" w:styleId="ReportDate">
    <w:name w:val="Report Date"/>
    <w:basedOn w:val="ReportTitle"/>
    <w:link w:val="ReportDateChar"/>
    <w:rsid w:val="000A6C7B"/>
    <w:rPr>
      <w:b w:val="0"/>
      <w:sz w:val="36"/>
      <w:szCs w:val="36"/>
    </w:rPr>
  </w:style>
  <w:style w:type="paragraph" w:customStyle="1" w:styleId="ReportSubtitle">
    <w:name w:val="Report Subtitle"/>
    <w:basedOn w:val="ReportTitle"/>
    <w:link w:val="ReportSubtitleChar"/>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ListLegal3">
    <w:name w:val="List Legal 3"/>
    <w:basedOn w:val="ListNumber3"/>
    <w:rsid w:val="00571D57"/>
    <w:pPr>
      <w:numPr>
        <w:numId w:val="20"/>
      </w:numPr>
      <w:tabs>
        <w:tab w:val="left" w:pos="1361"/>
      </w:tabs>
      <w:ind w:left="1361" w:hanging="340"/>
    </w:pPr>
  </w:style>
  <w:style w:type="paragraph" w:customStyle="1" w:styleId="ListLegal4">
    <w:name w:val="List Legal 4"/>
    <w:basedOn w:val="ListLegal3"/>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Listalphabet2">
    <w:name w:val="List alphabet 2"/>
    <w:basedOn w:val="Listalphabet"/>
    <w:rsid w:val="00DB5074"/>
    <w:pPr>
      <w:numPr>
        <w:numId w:val="18"/>
      </w:numPr>
      <w:tabs>
        <w:tab w:val="clear" w:pos="340"/>
        <w:tab w:val="left" w:pos="680"/>
      </w:tabs>
      <w:ind w:left="680" w:hanging="340"/>
    </w:pPr>
  </w:style>
  <w:style w:type="paragraph" w:customStyle="1" w:styleId="Listalphabet3">
    <w:name w:val="List alphabet 3"/>
    <w:basedOn w:val="Listalphabet2"/>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Quotes">
    <w:name w:val="Quotes"/>
    <w:basedOn w:val="Normal"/>
    <w:rsid w:val="0020492C"/>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CC213C"/>
    <w:rPr>
      <w:rFonts w:ascii="Arial" w:hAnsi="Arial"/>
      <w:color w:val="auto"/>
      <w:sz w:val="16"/>
    </w:rPr>
  </w:style>
  <w:style w:type="paragraph" w:customStyle="1" w:styleId="NumberedChapterTitle">
    <w:name w:val="Numbered Chapter Title"/>
    <w:basedOn w:val="Chaptertitle"/>
    <w:qFormat/>
    <w:rsid w:val="00EB505D"/>
    <w:pPr>
      <w:numPr>
        <w:numId w:val="23"/>
      </w:numPr>
      <w:tabs>
        <w:tab w:val="left" w:pos="680"/>
      </w:tabs>
      <w:ind w:left="680" w:hanging="680"/>
    </w:pPr>
  </w:style>
  <w:style w:type="paragraph" w:styleId="Revision">
    <w:name w:val="Revision"/>
    <w:hidden/>
    <w:uiPriority w:val="99"/>
    <w:semiHidden/>
    <w:rsid w:val="00182906"/>
    <w:pPr>
      <w:spacing w:before="0"/>
    </w:pPr>
    <w:rPr>
      <w:rFonts w:ascii="Arial" w:hAnsi="Arial"/>
    </w:rPr>
  </w:style>
  <w:style w:type="paragraph" w:styleId="NormalWeb">
    <w:name w:val="Normal (Web)"/>
    <w:basedOn w:val="Normal"/>
    <w:uiPriority w:val="99"/>
    <w:unhideWhenUsed/>
    <w:rsid w:val="003E380F"/>
    <w:pPr>
      <w:spacing w:before="150" w:after="150" w:line="240" w:lineRule="auto"/>
    </w:pPr>
    <w:rPr>
      <w:rFonts w:ascii="Times New Roman" w:eastAsia="Times New Roman" w:hAnsi="Times New Roman" w:cs="Times New Roman"/>
      <w:sz w:val="24"/>
      <w:szCs w:val="24"/>
      <w:lang w:eastAsia="en-AU"/>
    </w:rPr>
  </w:style>
  <w:style w:type="paragraph" w:styleId="CommentText">
    <w:name w:val="annotation text"/>
    <w:basedOn w:val="Normal"/>
    <w:link w:val="CommentTextChar"/>
    <w:uiPriority w:val="99"/>
    <w:unhideWhenUsed/>
    <w:rsid w:val="00A551FA"/>
    <w:pPr>
      <w:spacing w:line="240" w:lineRule="auto"/>
    </w:pPr>
    <w:rPr>
      <w:sz w:val="20"/>
      <w:szCs w:val="20"/>
    </w:rPr>
  </w:style>
  <w:style w:type="character" w:customStyle="1" w:styleId="CommentTextChar">
    <w:name w:val="Comment Text Char"/>
    <w:basedOn w:val="DefaultParagraphFont"/>
    <w:link w:val="CommentText"/>
    <w:uiPriority w:val="99"/>
    <w:rsid w:val="00A551F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551FA"/>
    <w:rPr>
      <w:b/>
      <w:bCs/>
    </w:rPr>
  </w:style>
  <w:style w:type="character" w:customStyle="1" w:styleId="CommentSubjectChar">
    <w:name w:val="Comment Subject Char"/>
    <w:basedOn w:val="CommentTextChar"/>
    <w:link w:val="CommentSubject"/>
    <w:uiPriority w:val="99"/>
    <w:semiHidden/>
    <w:rsid w:val="00A551FA"/>
    <w:rPr>
      <w:rFonts w:ascii="Arial" w:hAnsi="Arial"/>
      <w:b/>
      <w:bCs/>
      <w:sz w:val="20"/>
      <w:szCs w:val="20"/>
    </w:rPr>
  </w:style>
  <w:style w:type="paragraph" w:customStyle="1" w:styleId="tablebody">
    <w:name w:val="table body"/>
    <w:basedOn w:val="Normal"/>
    <w:link w:val="tablebodyChar"/>
    <w:qFormat/>
    <w:rsid w:val="00A86749"/>
    <w:pPr>
      <w:spacing w:before="120" w:after="120"/>
    </w:pPr>
    <w:rPr>
      <w:sz w:val="18"/>
    </w:rPr>
  </w:style>
  <w:style w:type="paragraph" w:customStyle="1" w:styleId="tablebodycentered">
    <w:name w:val="table body centered"/>
    <w:basedOn w:val="tablebody"/>
    <w:link w:val="tablebodycenteredChar"/>
    <w:qFormat/>
    <w:rsid w:val="00A86749"/>
    <w:pPr>
      <w:jc w:val="center"/>
    </w:pPr>
  </w:style>
  <w:style w:type="character" w:customStyle="1" w:styleId="tablebodyChar">
    <w:name w:val="table body Char"/>
    <w:basedOn w:val="DefaultParagraphFont"/>
    <w:link w:val="tablebody"/>
    <w:rsid w:val="00A86749"/>
    <w:rPr>
      <w:rFonts w:ascii="Arial" w:hAnsi="Arial"/>
      <w:sz w:val="18"/>
    </w:rPr>
  </w:style>
  <w:style w:type="character" w:customStyle="1" w:styleId="tablebodycenteredChar">
    <w:name w:val="table body centered Char"/>
    <w:basedOn w:val="tablebodyChar"/>
    <w:link w:val="tablebodycentered"/>
    <w:rsid w:val="00A86749"/>
    <w:rPr>
      <w:rFonts w:ascii="Arial" w:hAnsi="Arial"/>
      <w:sz w:val="18"/>
    </w:rPr>
  </w:style>
  <w:style w:type="table" w:customStyle="1" w:styleId="AERTable-Text1">
    <w:name w:val="AER Table - Text1"/>
    <w:basedOn w:val="TableNormal"/>
    <w:uiPriority w:val="99"/>
    <w:rsid w:val="007C4AAD"/>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0"/>
      </w:rPr>
      <w:tblPr/>
      <w:tcPr>
        <w:shd w:val="clear" w:color="auto" w:fill="076A92"/>
      </w:tcPr>
    </w:tblStylePr>
    <w:tblStylePr w:type="lastRow">
      <w:rPr>
        <w:b/>
      </w:rPr>
    </w:tblStylePr>
    <w:tblStylePr w:type="band1Horz">
      <w:rPr>
        <w:rFonts w:asciiTheme="minorHAnsi" w:hAnsiTheme="minorHAnsi"/>
        <w:sz w:val="18"/>
      </w:rPr>
    </w:tblStylePr>
    <w:tblStylePr w:type="band2Horz">
      <w:rPr>
        <w:rFonts w:asciiTheme="minorHAnsi" w:hAnsiTheme="minorHAnsi"/>
        <w:sz w:val="20"/>
      </w:rPr>
      <w:tblPr/>
      <w:tcPr>
        <w:shd w:val="clear" w:color="auto" w:fill="DBE5F1"/>
      </w:tcPr>
    </w:tblStylePr>
  </w:style>
  <w:style w:type="paragraph" w:customStyle="1" w:styleId="Tablesumline">
    <w:name w:val="Table sum line"/>
    <w:basedOn w:val="Normal"/>
    <w:link w:val="TablesumlineChar"/>
    <w:qFormat/>
    <w:rsid w:val="00C9343E"/>
    <w:pPr>
      <w:spacing w:before="120" w:after="120"/>
      <w:jc w:val="left"/>
    </w:pPr>
    <w:rPr>
      <w:b/>
      <w:sz w:val="20"/>
    </w:rPr>
  </w:style>
  <w:style w:type="table" w:customStyle="1" w:styleId="AERsummarytable">
    <w:name w:val="AER summary table"/>
    <w:basedOn w:val="TableNormal"/>
    <w:uiPriority w:val="99"/>
    <w:rsid w:val="00C9343E"/>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C9343E"/>
    <w:rPr>
      <w:rFonts w:ascii="Arial" w:hAnsi="Arial"/>
      <w:b/>
      <w:sz w:val="20"/>
    </w:rPr>
  </w:style>
  <w:style w:type="character" w:customStyle="1" w:styleId="a531">
    <w:name w:val="a53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B80409"/>
    <w:rPr>
      <w:rFonts w:ascii="Arial" w:hAnsi="Arial" w:cs="Arial" w:hint="default"/>
      <w:b w:val="0"/>
      <w:bCs w:val="0"/>
      <w:i w:val="0"/>
      <w:iCs w:val="0"/>
      <w:strike w:val="0"/>
      <w:dstrike w:val="0"/>
      <w:color w:val="FFFFFF"/>
      <w:sz w:val="18"/>
      <w:szCs w:val="18"/>
      <w:u w:val="none"/>
      <w:effect w:val="none"/>
    </w:rPr>
  </w:style>
  <w:style w:type="paragraph" w:customStyle="1" w:styleId="Default">
    <w:name w:val="Default"/>
    <w:rsid w:val="00950032"/>
    <w:pPr>
      <w:autoSpaceDE w:val="0"/>
      <w:autoSpaceDN w:val="0"/>
      <w:adjustRightInd w:val="0"/>
      <w:spacing w:before="0"/>
    </w:pPr>
    <w:rPr>
      <w:rFonts w:ascii="Arial" w:hAnsi="Arial" w:cs="Arial"/>
      <w:color w:val="000000"/>
      <w:sz w:val="24"/>
      <w:szCs w:val="24"/>
    </w:rPr>
  </w:style>
  <w:style w:type="paragraph" w:customStyle="1" w:styleId="tabletext0">
    <w:name w:val="table text"/>
    <w:basedOn w:val="Normal"/>
    <w:link w:val="tabletextChar0"/>
    <w:qFormat/>
    <w:rsid w:val="00FF3E5B"/>
    <w:pPr>
      <w:spacing w:before="60" w:after="60"/>
      <w:jc w:val="left"/>
    </w:pPr>
    <w:rPr>
      <w:sz w:val="18"/>
    </w:rPr>
  </w:style>
  <w:style w:type="character" w:customStyle="1" w:styleId="tabletextChar0">
    <w:name w:val="table text Char"/>
    <w:basedOn w:val="DefaultParagraphFont"/>
    <w:link w:val="tabletext0"/>
    <w:rsid w:val="00FF3E5B"/>
    <w:rPr>
      <w:rFonts w:ascii="Arial" w:hAnsi="Arial"/>
      <w:sz w:val="18"/>
    </w:rPr>
  </w:style>
  <w:style w:type="paragraph" w:customStyle="1" w:styleId="AERheading4">
    <w:name w:val="AER heading 4"/>
    <w:basedOn w:val="Normal"/>
    <w:rsid w:val="008026F1"/>
    <w:pPr>
      <w:keepNext/>
      <w:spacing w:before="240" w:after="120" w:line="240" w:lineRule="auto"/>
      <w:ind w:left="851" w:hanging="851"/>
      <w:jc w:val="left"/>
    </w:pPr>
    <w:rPr>
      <w:rFonts w:ascii="Times New Roman" w:eastAsia="Times New Roman" w:hAnsi="Times New Roman" w:cs="Times New Roman"/>
      <w:b/>
      <w:bCs/>
    </w:rPr>
  </w:style>
  <w:style w:type="paragraph" w:styleId="BodyText">
    <w:name w:val="Body Text"/>
    <w:basedOn w:val="Normal"/>
    <w:link w:val="BodyTextChar"/>
    <w:uiPriority w:val="99"/>
    <w:semiHidden/>
    <w:unhideWhenUsed/>
    <w:rsid w:val="003C0BAD"/>
    <w:pPr>
      <w:spacing w:after="120"/>
    </w:pPr>
  </w:style>
  <w:style w:type="character" w:customStyle="1" w:styleId="BodyTextChar">
    <w:name w:val="Body Text Char"/>
    <w:basedOn w:val="DefaultParagraphFont"/>
    <w:link w:val="BodyText"/>
    <w:uiPriority w:val="99"/>
    <w:semiHidden/>
    <w:rsid w:val="003C0BAD"/>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uiPriority="0" w:qFormat="1"/>
    <w:lsdException w:name="header" w:qFormat="1"/>
    <w:lsdException w:name="footer" w:qFormat="1"/>
    <w:lsdException w:name="caption" w:uiPriority="35" w:qFormat="1"/>
    <w:lsdException w:name="page number" w:uiPriority="0"/>
    <w:lsdException w:name="List" w:qFormat="1"/>
    <w:lsdException w:name="List Number" w:qFormat="1"/>
    <w:lsdException w:name="Title" w:semiHidden="0" w:uiPriority="10" w:unhideWhenUsed="0"/>
    <w:lsdException w:name="Default Paragraph Font" w:uiPriority="1"/>
    <w:lsdException w:name="List Continue" w:qFormat="1"/>
    <w:lsdException w:name="Subtitle" w:semiHidden="0" w:uiPriority="11" w:unhideWhenUsed="0"/>
    <w:lsdException w:name="Hyperlink"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5E385C"/>
    <w:pPr>
      <w:spacing w:line="276" w:lineRule="auto"/>
      <w:jc w:val="both"/>
    </w:pPr>
    <w:rPr>
      <w:rFonts w:ascii="Arial" w:hAnsi="Arial"/>
    </w:rPr>
  </w:style>
  <w:style w:type="paragraph" w:styleId="Heading1">
    <w:name w:val="heading 1"/>
    <w:basedOn w:val="Normal"/>
    <w:next w:val="Normal"/>
    <w:link w:val="Heading1Char"/>
    <w:qFormat/>
    <w:rsid w:val="00B927D8"/>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qFormat/>
    <w:rsid w:val="00B927D8"/>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qFormat/>
    <w:rsid w:val="00885955"/>
    <w:pPr>
      <w:numPr>
        <w:ilvl w:val="2"/>
        <w:numId w:val="25"/>
      </w:numPr>
      <w:tabs>
        <w:tab w:val="left" w:pos="1021"/>
      </w:tabs>
      <w:spacing w:before="240"/>
      <w:ind w:left="720"/>
      <w:jc w:val="left"/>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B927D8"/>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2"/>
    <w:qFormat/>
    <w:rsid w:val="00B927D8"/>
    <w:pPr>
      <w:numPr>
        <w:ilvl w:val="4"/>
        <w:numId w:val="25"/>
      </w:numPr>
      <w:tabs>
        <w:tab w:val="left" w:pos="136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2"/>
    <w:qFormat/>
    <w:rsid w:val="00B37E38"/>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basedOn w:val="Normal"/>
    <w:next w:val="Normal"/>
    <w:link w:val="Heading7Char"/>
    <w:uiPriority w:val="2"/>
    <w:qFormat/>
    <w:rsid w:val="00B927D8"/>
    <w:pPr>
      <w:numPr>
        <w:ilvl w:val="6"/>
        <w:numId w:val="25"/>
      </w:numPr>
      <w:tabs>
        <w:tab w:val="left" w:pos="1701"/>
      </w:tabs>
      <w:spacing w:before="240"/>
      <w:outlineLvl w:val="6"/>
    </w:pPr>
    <w:rPr>
      <w:rFonts w:eastAsiaTheme="majorEastAsia" w:cstheme="majorBidi"/>
      <w:i/>
      <w:iCs/>
    </w:rPr>
  </w:style>
  <w:style w:type="paragraph" w:styleId="Heading8">
    <w:name w:val="heading 8"/>
    <w:basedOn w:val="Normal"/>
    <w:next w:val="Normal"/>
    <w:link w:val="Heading8Char"/>
    <w:uiPriority w:val="2"/>
    <w:qFormat/>
    <w:rsid w:val="00B927D8"/>
    <w:pPr>
      <w:numPr>
        <w:ilvl w:val="7"/>
        <w:numId w:val="25"/>
      </w:numPr>
      <w:tabs>
        <w:tab w:val="left" w:pos="1701"/>
      </w:tabs>
      <w:spacing w:before="240"/>
      <w:outlineLvl w:val="7"/>
    </w:pPr>
    <w:rPr>
      <w:rFonts w:eastAsiaTheme="majorEastAsia" w:cstheme="majorBidi"/>
      <w:color w:val="2F002F" w:themeColor="accent1"/>
      <w:szCs w:val="20"/>
    </w:rPr>
  </w:style>
  <w:style w:type="paragraph" w:styleId="Heading9">
    <w:name w:val="heading 9"/>
    <w:basedOn w:val="Normal"/>
    <w:next w:val="Normal"/>
    <w:link w:val="Heading9Char"/>
    <w:uiPriority w:val="2"/>
    <w:qFormat/>
    <w:rsid w:val="00B927D8"/>
    <w:pPr>
      <w:numPr>
        <w:ilvl w:val="8"/>
        <w:numId w:val="25"/>
      </w:numPr>
      <w:tabs>
        <w:tab w:val="left" w:pos="1701"/>
      </w:tabs>
      <w:spacing w:before="240"/>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27D8"/>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B927D8"/>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885955"/>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B927D8"/>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2"/>
    <w:rsid w:val="00B927D8"/>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2"/>
    <w:rsid w:val="00B37E38"/>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F835C9"/>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F835C9"/>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EB505D"/>
    <w:pPr>
      <w:tabs>
        <w:tab w:val="right" w:leader="dot" w:pos="8363"/>
      </w:tabs>
      <w:spacing w:after="100"/>
      <w:ind w:left="2977"/>
    </w:pPr>
    <w:rPr>
      <w:noProof/>
    </w:rPr>
  </w:style>
  <w:style w:type="paragraph" w:styleId="TOC9">
    <w:name w:val="toc 9"/>
    <w:basedOn w:val="Normal"/>
    <w:next w:val="Normal"/>
    <w:uiPriority w:val="39"/>
    <w:rsid w:val="00EB505D"/>
    <w:pPr>
      <w:tabs>
        <w:tab w:val="right" w:leader="dot" w:pos="8363"/>
      </w:tabs>
      <w:spacing w:after="100"/>
      <w:ind w:left="3402"/>
    </w:pPr>
    <w:rPr>
      <w:noProof/>
    </w:rPr>
  </w:style>
  <w:style w:type="paragraph" w:customStyle="1" w:styleId="Heading1notnumber">
    <w:name w:val="Heading 1 not number"/>
    <w:basedOn w:val="Heading1"/>
    <w:qFormat/>
    <w:rsid w:val="00130C3C"/>
    <w:pPr>
      <w:numPr>
        <w:numId w:val="0"/>
      </w:numPr>
    </w:pPr>
  </w:style>
  <w:style w:type="paragraph" w:customStyle="1" w:styleId="Heading2notnumbered">
    <w:name w:val="Heading 2 not numbered"/>
    <w:basedOn w:val="Heading2"/>
    <w:rsid w:val="00130C3C"/>
    <w:pPr>
      <w:numPr>
        <w:ilvl w:val="0"/>
        <w:numId w:val="0"/>
      </w:numPr>
    </w:pPr>
    <w:rPr>
      <w:rFonts w:eastAsia="Times New Roman" w:cs="Times New Roman"/>
      <w:szCs w:val="20"/>
    </w:rPr>
  </w:style>
  <w:style w:type="paragraph" w:customStyle="1" w:styleId="Heading3notnumbered">
    <w:name w:val="Heading 3 not numbered"/>
    <w:basedOn w:val="Heading3"/>
    <w:rsid w:val="005A2081"/>
    <w:pPr>
      <w:numPr>
        <w:ilvl w:val="0"/>
        <w:numId w:val="0"/>
      </w:numPr>
    </w:pPr>
    <w:rPr>
      <w:rFonts w:eastAsia="Times New Roman" w:cs="Times New Roman"/>
      <w:szCs w:val="20"/>
    </w:rPr>
  </w:style>
  <w:style w:type="paragraph" w:customStyle="1" w:styleId="Heading4notnumbered">
    <w:name w:val="Heading 4 not numbered"/>
    <w:basedOn w:val="Heading4"/>
    <w:rsid w:val="00130C3C"/>
    <w:pPr>
      <w:numPr>
        <w:ilvl w:val="0"/>
        <w:numId w:val="0"/>
      </w:numPr>
    </w:pPr>
    <w:rPr>
      <w:rFonts w:eastAsia="Times New Roman" w:cs="Times New Roman"/>
      <w:iCs w:val="0"/>
      <w:szCs w:val="20"/>
    </w:rPr>
  </w:style>
  <w:style w:type="paragraph" w:customStyle="1" w:styleId="Heading5notnumbered">
    <w:name w:val="Heading 5 not numbered"/>
    <w:basedOn w:val="Heading5"/>
    <w:rsid w:val="00130C3C"/>
    <w:pPr>
      <w:numPr>
        <w:ilvl w:val="0"/>
        <w:numId w:val="0"/>
      </w:numPr>
    </w:pPr>
    <w:rPr>
      <w:rFonts w:eastAsia="Times New Roman" w:cs="Times New Roman"/>
      <w:bCs/>
      <w:szCs w:val="20"/>
    </w:rPr>
  </w:style>
  <w:style w:type="paragraph" w:customStyle="1" w:styleId="Heading6notnumbered">
    <w:name w:val="Heading 6 not numbered"/>
    <w:basedOn w:val="Heading6"/>
    <w:rsid w:val="00130C3C"/>
    <w:pPr>
      <w:numPr>
        <w:ilvl w:val="0"/>
        <w:numId w:val="0"/>
      </w:numPr>
    </w:pPr>
    <w:rPr>
      <w:rFonts w:eastAsia="Times New Roman" w:cs="Times New Roman"/>
      <w:bCs/>
      <w:szCs w:val="20"/>
    </w:r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next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next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Bulletpoint">
    <w:name w:val="Bullet point"/>
    <w:basedOn w:val="ListBullet"/>
    <w:qFormat/>
    <w:rsid w:val="00FE64AE"/>
    <w:pPr>
      <w:numPr>
        <w:numId w:val="2"/>
      </w:numPr>
    </w:pPr>
    <w:rPr>
      <w:rFonts w:cs="Times New Roman"/>
    </w:rPr>
  </w:style>
  <w:style w:type="paragraph" w:styleId="ListBullet">
    <w:name w:val="List Bullet"/>
    <w:basedOn w:val="Normal"/>
    <w:uiPriority w:val="99"/>
    <w:unhideWhenUsed/>
    <w:rsid w:val="00DB5074"/>
    <w:pPr>
      <w:numPr>
        <w:numId w:val="13"/>
      </w:numPr>
      <w:tabs>
        <w:tab w:val="left" w:pos="340"/>
      </w:tabs>
      <w:spacing w:before="120"/>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CA489E"/>
    <w:pPr>
      <w:numPr>
        <w:numId w:val="7"/>
      </w:numPr>
      <w:tabs>
        <w:tab w:val="clear" w:pos="360"/>
        <w:tab w:val="num" w:pos="340"/>
      </w:tabs>
      <w:spacing w:before="120"/>
      <w:ind w:left="340" w:hanging="340"/>
    </w:pPr>
  </w:style>
  <w:style w:type="paragraph" w:styleId="ListBullet2">
    <w:name w:val="List Bullet 2"/>
    <w:basedOn w:val="Normal"/>
    <w:uiPriority w:val="99"/>
    <w:unhideWhenUsed/>
    <w:rsid w:val="00DB5074"/>
    <w:pPr>
      <w:numPr>
        <w:numId w:val="3"/>
      </w:numPr>
      <w:tabs>
        <w:tab w:val="clear" w:pos="643"/>
        <w:tab w:val="num" w:pos="680"/>
      </w:tabs>
      <w:spacing w:before="120"/>
      <w:ind w:left="680" w:hanging="34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F835C9"/>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F835C9"/>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pPr>
  </w:style>
  <w:style w:type="character" w:customStyle="1" w:styleId="Heading7Char">
    <w:name w:val="Heading 7 Char"/>
    <w:basedOn w:val="DefaultParagraphFont"/>
    <w:link w:val="Heading7"/>
    <w:uiPriority w:val="2"/>
    <w:rsid w:val="00B927D8"/>
    <w:rPr>
      <w:rFonts w:ascii="Arial" w:eastAsiaTheme="majorEastAsia" w:hAnsi="Arial" w:cstheme="majorBidi"/>
      <w:i/>
      <w:iCs/>
    </w:rPr>
  </w:style>
  <w:style w:type="character" w:customStyle="1" w:styleId="Heading8Char">
    <w:name w:val="Heading 8 Char"/>
    <w:basedOn w:val="DefaultParagraphFont"/>
    <w:link w:val="Heading8"/>
    <w:uiPriority w:val="2"/>
    <w:rsid w:val="00B927D8"/>
    <w:rPr>
      <w:rFonts w:ascii="Arial" w:eastAsiaTheme="majorEastAsia" w:hAnsi="Arial" w:cstheme="majorBidi"/>
      <w:color w:val="2F002F" w:themeColor="accent1"/>
      <w:szCs w:val="20"/>
    </w:rPr>
  </w:style>
  <w:style w:type="character" w:customStyle="1" w:styleId="Heading9Char">
    <w:name w:val="Heading 9 Char"/>
    <w:basedOn w:val="DefaultParagraphFont"/>
    <w:link w:val="Heading9"/>
    <w:uiPriority w:val="2"/>
    <w:rsid w:val="00B927D8"/>
    <w:rPr>
      <w:rFonts w:ascii="Arial" w:eastAsiaTheme="majorEastAsia" w:hAnsi="Arial" w:cstheme="majorBidi"/>
      <w:i/>
      <w:iCs/>
      <w:szCs w:val="20"/>
    </w:rPr>
  </w:style>
  <w:style w:type="paragraph" w:customStyle="1" w:styleId="Heading7notnumbered">
    <w:name w:val="Heading 7 not numbered"/>
    <w:basedOn w:val="Heading7"/>
    <w:rsid w:val="00130C3C"/>
    <w:pPr>
      <w:numPr>
        <w:ilvl w:val="0"/>
        <w:numId w:val="0"/>
      </w:numPr>
    </w:pPr>
    <w:rPr>
      <w:rFonts w:eastAsia="Times New Roman" w:cs="Times New Roman"/>
      <w:szCs w:val="20"/>
    </w:rPr>
  </w:style>
  <w:style w:type="paragraph" w:customStyle="1" w:styleId="Heading8notnumbered">
    <w:name w:val="Heading 8 not numbered"/>
    <w:basedOn w:val="Heading8"/>
    <w:rsid w:val="00130C3C"/>
    <w:pPr>
      <w:numPr>
        <w:ilvl w:val="0"/>
        <w:numId w:val="0"/>
      </w:numPr>
    </w:pPr>
    <w:rPr>
      <w:rFonts w:eastAsia="Times New Roman" w:cs="Times New Roman"/>
    </w:r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B95EDB"/>
    <w:pPr>
      <w:tabs>
        <w:tab w:val="left" w:pos="426"/>
        <w:tab w:val="left" w:pos="1701"/>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EB505D"/>
    <w:pPr>
      <w:tabs>
        <w:tab w:val="left" w:leader="do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EB505D"/>
    <w:pPr>
      <w:tabs>
        <w:tab w:val="left" w:pos="1760"/>
        <w:tab w:val="right" w:leader="dot" w:pos="8363"/>
      </w:tabs>
      <w:spacing w:after="100"/>
      <w:ind w:left="851"/>
    </w:pPr>
    <w:rPr>
      <w:noProof/>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unhideWhenUsed/>
    <w:qFormat/>
    <w:rsid w:val="00182906"/>
    <w:pPr>
      <w:widowControl w:val="0"/>
      <w:tabs>
        <w:tab w:val="left" w:pos="340"/>
      </w:tabs>
      <w:spacing w:before="0" w:line="240" w:lineRule="exact"/>
      <w:ind w:left="340" w:hanging="34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182906"/>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B37E38"/>
    <w:rPr>
      <w:sz w:val="24"/>
      <w:vertAlign w:val="superscript"/>
    </w:rPr>
  </w:style>
  <w:style w:type="character" w:styleId="Strong">
    <w:name w:val="Strong"/>
    <w:basedOn w:val="DefaultParagraphFont"/>
    <w:uiPriority w:val="99"/>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EB505D"/>
    <w:pPr>
      <w:tabs>
        <w:tab w:val="right" w:leader="dot" w:pos="8363"/>
      </w:tabs>
      <w:spacing w:after="100"/>
      <w:ind w:left="1276"/>
    </w:pPr>
    <w:rPr>
      <w:noProof/>
    </w:rPr>
  </w:style>
  <w:style w:type="paragraph" w:styleId="TOC5">
    <w:name w:val="toc 5"/>
    <w:basedOn w:val="Normal"/>
    <w:next w:val="Normal"/>
    <w:uiPriority w:val="39"/>
    <w:rsid w:val="00EB505D"/>
    <w:pPr>
      <w:tabs>
        <w:tab w:val="right" w:leader="dot" w:pos="8363"/>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EB505D"/>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Heading9notnumbered">
    <w:name w:val="Heading 9 not numbered"/>
    <w:basedOn w:val="Heading9"/>
    <w:rsid w:val="00130C3C"/>
    <w:pPr>
      <w:numPr>
        <w:ilvl w:val="0"/>
        <w:numId w:val="0"/>
      </w:numPr>
    </w:pPr>
    <w:rPr>
      <w:rFonts w:eastAsia="Times New Roman" w:cs="Times New Roman"/>
    </w:rPr>
  </w:style>
  <w:style w:type="paragraph" w:styleId="Caption">
    <w:name w:val="caption"/>
    <w:basedOn w:val="Normal"/>
    <w:next w:val="Normal"/>
    <w:uiPriority w:val="35"/>
    <w:unhideWhenUsed/>
    <w:qFormat/>
    <w:rsid w:val="00C95114"/>
    <w:pPr>
      <w:keepNext/>
      <w:spacing w:before="240" w:after="120"/>
      <w:jc w:val="left"/>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basedOn w:val="Normal"/>
    <w:uiPriority w:val="99"/>
    <w:unhideWhenUsed/>
    <w:rsid w:val="00DB5074"/>
    <w:pPr>
      <w:numPr>
        <w:numId w:val="4"/>
      </w:numPr>
      <w:tabs>
        <w:tab w:val="clear" w:pos="926"/>
        <w:tab w:val="num" w:pos="1021"/>
      </w:tabs>
      <w:spacing w:before="120"/>
      <w:ind w:left="1020" w:hanging="34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basedOn w:val="Normal"/>
    <w:uiPriority w:val="99"/>
    <w:unhideWhenUsed/>
    <w:qFormat/>
    <w:rsid w:val="00DB5074"/>
    <w:pPr>
      <w:tabs>
        <w:tab w:val="left" w:pos="340"/>
      </w:tabs>
      <w:spacing w:before="120"/>
      <w:ind w:left="340"/>
    </w:pPr>
  </w:style>
  <w:style w:type="paragraph" w:styleId="ListContinue2">
    <w:name w:val="List Continue 2"/>
    <w:basedOn w:val="Normal"/>
    <w:uiPriority w:val="99"/>
    <w:unhideWhenUsed/>
    <w:rsid w:val="00567BA5"/>
    <w:pPr>
      <w:tabs>
        <w:tab w:val="left" w:pos="680"/>
      </w:tabs>
      <w:spacing w:before="120"/>
      <w:ind w:left="680"/>
    </w:pPr>
  </w:style>
  <w:style w:type="paragraph" w:styleId="ListContinue3">
    <w:name w:val="List Continue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A86749"/>
    <w:pPr>
      <w:spacing w:before="240" w:after="120"/>
      <w:jc w:val="center"/>
    </w:pPr>
    <w:rPr>
      <w:b/>
      <w:color w:val="FFFFFF" w:themeColor="background1"/>
      <w:sz w:val="20"/>
      <w:szCs w:val="20"/>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A86749"/>
    <w:rPr>
      <w:rFonts w:ascii="Arial" w:hAnsi="Arial"/>
      <w:b/>
      <w:color w:val="FFFFFF" w:themeColor="background1"/>
      <w:sz w:val="20"/>
      <w:szCs w:val="20"/>
    </w:rPr>
  </w:style>
  <w:style w:type="character" w:customStyle="1" w:styleId="TableHeading-rightChar">
    <w:name w:val="Table Heading - right Char"/>
    <w:basedOn w:val="TableHeadingChar"/>
    <w:link w:val="TableHeading-right"/>
    <w:rsid w:val="00185CB9"/>
    <w:rPr>
      <w:rFonts w:ascii="Arial" w:eastAsia="Times New Roman" w:hAnsi="Arial" w:cs="Times New Roman"/>
      <w:b/>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rPr>
      <w:rFonts w:eastAsia="Times New Roman" w:cs="Times New Roman"/>
      <w:bCs/>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562632"/>
    <w:pPr>
      <w:numPr>
        <w:ilvl w:val="1"/>
        <w:numId w:val="15"/>
      </w:numPr>
      <w:tabs>
        <w:tab w:val="left" w:pos="1021"/>
      </w:tabs>
      <w:spacing w:line="240" w:lineRule="atLeast"/>
      <w:ind w:left="680" w:hanging="680"/>
    </w:pPr>
    <w:rPr>
      <w:rFonts w:eastAsiaTheme="majorEastAsia" w:cs="Arial"/>
      <w:bCs/>
      <w:szCs w:val="26"/>
    </w:r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A86749"/>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0"/>
      </w:rPr>
      <w:tblPr/>
      <w:tcPr>
        <w:shd w:val="clear" w:color="auto" w:fill="076A92"/>
      </w:tcPr>
    </w:tblStylePr>
    <w:tblStylePr w:type="lastRow">
      <w:rPr>
        <w:b/>
      </w:rPr>
    </w:tblStylePr>
    <w:tblStylePr w:type="band1Horz">
      <w:rPr>
        <w:rFonts w:asciiTheme="minorHAnsi" w:hAnsiTheme="minorHAnsi"/>
        <w:sz w:val="18"/>
      </w:rPr>
    </w:tblStylePr>
    <w:tblStylePr w:type="band2Horz">
      <w:rPr>
        <w:rFonts w:asciiTheme="minorHAnsi" w:hAnsiTheme="minorHAnsi"/>
        <w:sz w:val="20"/>
      </w:rPr>
      <w:tblPr/>
      <w:tcPr>
        <w:shd w:val="clear" w:color="auto" w:fill="DBE5F1"/>
      </w:tcPr>
    </w:tblStylePr>
  </w:style>
  <w:style w:type="paragraph" w:customStyle="1" w:styleId="ReportDate">
    <w:name w:val="Report Date"/>
    <w:basedOn w:val="ReportTitle"/>
    <w:link w:val="ReportDateChar"/>
    <w:rsid w:val="000A6C7B"/>
    <w:rPr>
      <w:b w:val="0"/>
      <w:sz w:val="36"/>
      <w:szCs w:val="36"/>
    </w:rPr>
  </w:style>
  <w:style w:type="paragraph" w:customStyle="1" w:styleId="ReportSubtitle">
    <w:name w:val="Report Subtitle"/>
    <w:basedOn w:val="ReportTitle"/>
    <w:link w:val="ReportSubtitleChar"/>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ListLegal3">
    <w:name w:val="List Legal 3"/>
    <w:basedOn w:val="ListNumber3"/>
    <w:rsid w:val="00571D57"/>
    <w:pPr>
      <w:numPr>
        <w:numId w:val="20"/>
      </w:numPr>
      <w:tabs>
        <w:tab w:val="left" w:pos="1361"/>
      </w:tabs>
      <w:ind w:left="1361" w:hanging="340"/>
    </w:pPr>
  </w:style>
  <w:style w:type="paragraph" w:customStyle="1" w:styleId="ListLegal4">
    <w:name w:val="List Legal 4"/>
    <w:basedOn w:val="ListLegal3"/>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Listalphabet2">
    <w:name w:val="List alphabet 2"/>
    <w:basedOn w:val="Listalphabet"/>
    <w:rsid w:val="00DB5074"/>
    <w:pPr>
      <w:numPr>
        <w:numId w:val="18"/>
      </w:numPr>
      <w:tabs>
        <w:tab w:val="clear" w:pos="340"/>
        <w:tab w:val="left" w:pos="680"/>
      </w:tabs>
      <w:ind w:left="680" w:hanging="340"/>
    </w:pPr>
  </w:style>
  <w:style w:type="paragraph" w:customStyle="1" w:styleId="Listalphabet3">
    <w:name w:val="List alphabet 3"/>
    <w:basedOn w:val="Listalphabet2"/>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Quotes">
    <w:name w:val="Quotes"/>
    <w:basedOn w:val="Normal"/>
    <w:rsid w:val="0020492C"/>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CC213C"/>
    <w:rPr>
      <w:rFonts w:ascii="Arial" w:hAnsi="Arial"/>
      <w:color w:val="auto"/>
      <w:sz w:val="16"/>
    </w:rPr>
  </w:style>
  <w:style w:type="paragraph" w:customStyle="1" w:styleId="NumberedChapterTitle">
    <w:name w:val="Numbered Chapter Title"/>
    <w:basedOn w:val="Chaptertitle"/>
    <w:qFormat/>
    <w:rsid w:val="00EB505D"/>
    <w:pPr>
      <w:numPr>
        <w:numId w:val="23"/>
      </w:numPr>
      <w:tabs>
        <w:tab w:val="left" w:pos="680"/>
      </w:tabs>
      <w:ind w:left="680" w:hanging="680"/>
    </w:pPr>
  </w:style>
  <w:style w:type="paragraph" w:styleId="Revision">
    <w:name w:val="Revision"/>
    <w:hidden/>
    <w:uiPriority w:val="99"/>
    <w:semiHidden/>
    <w:rsid w:val="00182906"/>
    <w:pPr>
      <w:spacing w:before="0"/>
    </w:pPr>
    <w:rPr>
      <w:rFonts w:ascii="Arial" w:hAnsi="Arial"/>
    </w:rPr>
  </w:style>
  <w:style w:type="paragraph" w:styleId="NormalWeb">
    <w:name w:val="Normal (Web)"/>
    <w:basedOn w:val="Normal"/>
    <w:uiPriority w:val="99"/>
    <w:unhideWhenUsed/>
    <w:rsid w:val="003E380F"/>
    <w:pPr>
      <w:spacing w:before="150" w:after="150" w:line="240" w:lineRule="auto"/>
    </w:pPr>
    <w:rPr>
      <w:rFonts w:ascii="Times New Roman" w:eastAsia="Times New Roman" w:hAnsi="Times New Roman" w:cs="Times New Roman"/>
      <w:sz w:val="24"/>
      <w:szCs w:val="24"/>
      <w:lang w:eastAsia="en-AU"/>
    </w:rPr>
  </w:style>
  <w:style w:type="paragraph" w:styleId="CommentText">
    <w:name w:val="annotation text"/>
    <w:basedOn w:val="Normal"/>
    <w:link w:val="CommentTextChar"/>
    <w:uiPriority w:val="99"/>
    <w:unhideWhenUsed/>
    <w:rsid w:val="00A551FA"/>
    <w:pPr>
      <w:spacing w:line="240" w:lineRule="auto"/>
    </w:pPr>
    <w:rPr>
      <w:sz w:val="20"/>
      <w:szCs w:val="20"/>
    </w:rPr>
  </w:style>
  <w:style w:type="character" w:customStyle="1" w:styleId="CommentTextChar">
    <w:name w:val="Comment Text Char"/>
    <w:basedOn w:val="DefaultParagraphFont"/>
    <w:link w:val="CommentText"/>
    <w:uiPriority w:val="99"/>
    <w:rsid w:val="00A551F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551FA"/>
    <w:rPr>
      <w:b/>
      <w:bCs/>
    </w:rPr>
  </w:style>
  <w:style w:type="character" w:customStyle="1" w:styleId="CommentSubjectChar">
    <w:name w:val="Comment Subject Char"/>
    <w:basedOn w:val="CommentTextChar"/>
    <w:link w:val="CommentSubject"/>
    <w:uiPriority w:val="99"/>
    <w:semiHidden/>
    <w:rsid w:val="00A551FA"/>
    <w:rPr>
      <w:rFonts w:ascii="Arial" w:hAnsi="Arial"/>
      <w:b/>
      <w:bCs/>
      <w:sz w:val="20"/>
      <w:szCs w:val="20"/>
    </w:rPr>
  </w:style>
  <w:style w:type="paragraph" w:customStyle="1" w:styleId="tablebody">
    <w:name w:val="table body"/>
    <w:basedOn w:val="Normal"/>
    <w:link w:val="tablebodyChar"/>
    <w:qFormat/>
    <w:rsid w:val="00A86749"/>
    <w:pPr>
      <w:spacing w:before="120" w:after="120"/>
    </w:pPr>
    <w:rPr>
      <w:sz w:val="18"/>
    </w:rPr>
  </w:style>
  <w:style w:type="paragraph" w:customStyle="1" w:styleId="tablebodycentered">
    <w:name w:val="table body centered"/>
    <w:basedOn w:val="tablebody"/>
    <w:link w:val="tablebodycenteredChar"/>
    <w:qFormat/>
    <w:rsid w:val="00A86749"/>
    <w:pPr>
      <w:jc w:val="center"/>
    </w:pPr>
  </w:style>
  <w:style w:type="character" w:customStyle="1" w:styleId="tablebodyChar">
    <w:name w:val="table body Char"/>
    <w:basedOn w:val="DefaultParagraphFont"/>
    <w:link w:val="tablebody"/>
    <w:rsid w:val="00A86749"/>
    <w:rPr>
      <w:rFonts w:ascii="Arial" w:hAnsi="Arial"/>
      <w:sz w:val="18"/>
    </w:rPr>
  </w:style>
  <w:style w:type="character" w:customStyle="1" w:styleId="tablebodycenteredChar">
    <w:name w:val="table body centered Char"/>
    <w:basedOn w:val="tablebodyChar"/>
    <w:link w:val="tablebodycentered"/>
    <w:rsid w:val="00A86749"/>
    <w:rPr>
      <w:rFonts w:ascii="Arial" w:hAnsi="Arial"/>
      <w:sz w:val="18"/>
    </w:rPr>
  </w:style>
  <w:style w:type="table" w:customStyle="1" w:styleId="AERTable-Text1">
    <w:name w:val="AER Table - Text1"/>
    <w:basedOn w:val="TableNormal"/>
    <w:uiPriority w:val="99"/>
    <w:rsid w:val="007C4AAD"/>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0"/>
      </w:rPr>
      <w:tblPr/>
      <w:tcPr>
        <w:shd w:val="clear" w:color="auto" w:fill="076A92"/>
      </w:tcPr>
    </w:tblStylePr>
    <w:tblStylePr w:type="lastRow">
      <w:rPr>
        <w:b/>
      </w:rPr>
    </w:tblStylePr>
    <w:tblStylePr w:type="band1Horz">
      <w:rPr>
        <w:rFonts w:asciiTheme="minorHAnsi" w:hAnsiTheme="minorHAnsi"/>
        <w:sz w:val="18"/>
      </w:rPr>
    </w:tblStylePr>
    <w:tblStylePr w:type="band2Horz">
      <w:rPr>
        <w:rFonts w:asciiTheme="minorHAnsi" w:hAnsiTheme="minorHAnsi"/>
        <w:sz w:val="20"/>
      </w:rPr>
      <w:tblPr/>
      <w:tcPr>
        <w:shd w:val="clear" w:color="auto" w:fill="DBE5F1"/>
      </w:tcPr>
    </w:tblStylePr>
  </w:style>
  <w:style w:type="paragraph" w:customStyle="1" w:styleId="Tablesumline">
    <w:name w:val="Table sum line"/>
    <w:basedOn w:val="Normal"/>
    <w:link w:val="TablesumlineChar"/>
    <w:qFormat/>
    <w:rsid w:val="00C9343E"/>
    <w:pPr>
      <w:spacing w:before="120" w:after="120"/>
      <w:jc w:val="left"/>
    </w:pPr>
    <w:rPr>
      <w:b/>
      <w:sz w:val="20"/>
    </w:rPr>
  </w:style>
  <w:style w:type="table" w:customStyle="1" w:styleId="AERsummarytable">
    <w:name w:val="AER summary table"/>
    <w:basedOn w:val="TableNormal"/>
    <w:uiPriority w:val="99"/>
    <w:rsid w:val="00C9343E"/>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C9343E"/>
    <w:rPr>
      <w:rFonts w:ascii="Arial" w:hAnsi="Arial"/>
      <w:b/>
      <w:sz w:val="20"/>
    </w:rPr>
  </w:style>
  <w:style w:type="character" w:customStyle="1" w:styleId="a531">
    <w:name w:val="a53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B80409"/>
    <w:rPr>
      <w:rFonts w:ascii="Arial" w:hAnsi="Arial" w:cs="Arial" w:hint="default"/>
      <w:b w:val="0"/>
      <w:bCs w:val="0"/>
      <w:i w:val="0"/>
      <w:iCs w:val="0"/>
      <w:strike w:val="0"/>
      <w:dstrike w:val="0"/>
      <w:color w:val="FFFFFF"/>
      <w:sz w:val="18"/>
      <w:szCs w:val="18"/>
      <w:u w:val="none"/>
      <w:effect w:val="none"/>
    </w:rPr>
  </w:style>
  <w:style w:type="paragraph" w:customStyle="1" w:styleId="Default">
    <w:name w:val="Default"/>
    <w:rsid w:val="00950032"/>
    <w:pPr>
      <w:autoSpaceDE w:val="0"/>
      <w:autoSpaceDN w:val="0"/>
      <w:adjustRightInd w:val="0"/>
      <w:spacing w:before="0"/>
    </w:pPr>
    <w:rPr>
      <w:rFonts w:ascii="Arial" w:hAnsi="Arial" w:cs="Arial"/>
      <w:color w:val="000000"/>
      <w:sz w:val="24"/>
      <w:szCs w:val="24"/>
    </w:rPr>
  </w:style>
  <w:style w:type="paragraph" w:customStyle="1" w:styleId="tabletext0">
    <w:name w:val="table text"/>
    <w:basedOn w:val="Normal"/>
    <w:link w:val="tabletextChar0"/>
    <w:qFormat/>
    <w:rsid w:val="00FF3E5B"/>
    <w:pPr>
      <w:spacing w:before="60" w:after="60"/>
      <w:jc w:val="left"/>
    </w:pPr>
    <w:rPr>
      <w:sz w:val="18"/>
    </w:rPr>
  </w:style>
  <w:style w:type="character" w:customStyle="1" w:styleId="tabletextChar0">
    <w:name w:val="table text Char"/>
    <w:basedOn w:val="DefaultParagraphFont"/>
    <w:link w:val="tabletext0"/>
    <w:rsid w:val="00FF3E5B"/>
    <w:rPr>
      <w:rFonts w:ascii="Arial" w:hAnsi="Arial"/>
      <w:sz w:val="18"/>
    </w:rPr>
  </w:style>
  <w:style w:type="paragraph" w:customStyle="1" w:styleId="AERheading4">
    <w:name w:val="AER heading 4"/>
    <w:basedOn w:val="Normal"/>
    <w:rsid w:val="008026F1"/>
    <w:pPr>
      <w:keepNext/>
      <w:spacing w:before="240" w:after="120" w:line="240" w:lineRule="auto"/>
      <w:ind w:left="851" w:hanging="851"/>
      <w:jc w:val="left"/>
    </w:pPr>
    <w:rPr>
      <w:rFonts w:ascii="Times New Roman" w:eastAsia="Times New Roman" w:hAnsi="Times New Roman" w:cs="Times New Roman"/>
      <w:b/>
      <w:bCs/>
    </w:rPr>
  </w:style>
  <w:style w:type="paragraph" w:styleId="BodyText">
    <w:name w:val="Body Text"/>
    <w:basedOn w:val="Normal"/>
    <w:link w:val="BodyTextChar"/>
    <w:uiPriority w:val="99"/>
    <w:semiHidden/>
    <w:unhideWhenUsed/>
    <w:rsid w:val="003C0BAD"/>
    <w:pPr>
      <w:spacing w:after="120"/>
    </w:pPr>
  </w:style>
  <w:style w:type="character" w:customStyle="1" w:styleId="BodyTextChar">
    <w:name w:val="Body Text Char"/>
    <w:basedOn w:val="DefaultParagraphFont"/>
    <w:link w:val="BodyText"/>
    <w:uiPriority w:val="99"/>
    <w:semiHidden/>
    <w:rsid w:val="003C0BAD"/>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55457">
      <w:bodyDiv w:val="1"/>
      <w:marLeft w:val="0"/>
      <w:marRight w:val="0"/>
      <w:marTop w:val="0"/>
      <w:marBottom w:val="0"/>
      <w:divBdr>
        <w:top w:val="none" w:sz="0" w:space="0" w:color="auto"/>
        <w:left w:val="none" w:sz="0" w:space="0" w:color="auto"/>
        <w:bottom w:val="none" w:sz="0" w:space="0" w:color="auto"/>
        <w:right w:val="none" w:sz="0" w:space="0" w:color="auto"/>
      </w:divBdr>
    </w:div>
    <w:div w:id="128911074">
      <w:bodyDiv w:val="1"/>
      <w:marLeft w:val="0"/>
      <w:marRight w:val="0"/>
      <w:marTop w:val="0"/>
      <w:marBottom w:val="0"/>
      <w:divBdr>
        <w:top w:val="none" w:sz="0" w:space="0" w:color="auto"/>
        <w:left w:val="none" w:sz="0" w:space="0" w:color="auto"/>
        <w:bottom w:val="none" w:sz="0" w:space="0" w:color="auto"/>
        <w:right w:val="none" w:sz="0" w:space="0" w:color="auto"/>
      </w:divBdr>
    </w:div>
    <w:div w:id="167721982">
      <w:bodyDiv w:val="1"/>
      <w:marLeft w:val="0"/>
      <w:marRight w:val="0"/>
      <w:marTop w:val="0"/>
      <w:marBottom w:val="0"/>
      <w:divBdr>
        <w:top w:val="none" w:sz="0" w:space="0" w:color="auto"/>
        <w:left w:val="none" w:sz="0" w:space="0" w:color="auto"/>
        <w:bottom w:val="none" w:sz="0" w:space="0" w:color="auto"/>
        <w:right w:val="none" w:sz="0" w:space="0" w:color="auto"/>
      </w:divBdr>
    </w:div>
    <w:div w:id="243034249">
      <w:bodyDiv w:val="1"/>
      <w:marLeft w:val="0"/>
      <w:marRight w:val="0"/>
      <w:marTop w:val="0"/>
      <w:marBottom w:val="0"/>
      <w:divBdr>
        <w:top w:val="none" w:sz="0" w:space="0" w:color="auto"/>
        <w:left w:val="none" w:sz="0" w:space="0" w:color="auto"/>
        <w:bottom w:val="none" w:sz="0" w:space="0" w:color="auto"/>
        <w:right w:val="none" w:sz="0" w:space="0" w:color="auto"/>
      </w:divBdr>
    </w:div>
    <w:div w:id="290325334">
      <w:bodyDiv w:val="1"/>
      <w:marLeft w:val="0"/>
      <w:marRight w:val="0"/>
      <w:marTop w:val="0"/>
      <w:marBottom w:val="0"/>
      <w:divBdr>
        <w:top w:val="none" w:sz="0" w:space="0" w:color="auto"/>
        <w:left w:val="none" w:sz="0" w:space="0" w:color="auto"/>
        <w:bottom w:val="none" w:sz="0" w:space="0" w:color="auto"/>
        <w:right w:val="none" w:sz="0" w:space="0" w:color="auto"/>
      </w:divBdr>
    </w:div>
    <w:div w:id="295793403">
      <w:bodyDiv w:val="1"/>
      <w:marLeft w:val="0"/>
      <w:marRight w:val="0"/>
      <w:marTop w:val="0"/>
      <w:marBottom w:val="0"/>
      <w:divBdr>
        <w:top w:val="none" w:sz="0" w:space="0" w:color="auto"/>
        <w:left w:val="none" w:sz="0" w:space="0" w:color="auto"/>
        <w:bottom w:val="none" w:sz="0" w:space="0" w:color="auto"/>
        <w:right w:val="none" w:sz="0" w:space="0" w:color="auto"/>
      </w:divBdr>
    </w:div>
    <w:div w:id="308898767">
      <w:bodyDiv w:val="1"/>
      <w:marLeft w:val="0"/>
      <w:marRight w:val="0"/>
      <w:marTop w:val="0"/>
      <w:marBottom w:val="0"/>
      <w:divBdr>
        <w:top w:val="none" w:sz="0" w:space="0" w:color="auto"/>
        <w:left w:val="none" w:sz="0" w:space="0" w:color="auto"/>
        <w:bottom w:val="none" w:sz="0" w:space="0" w:color="auto"/>
        <w:right w:val="none" w:sz="0" w:space="0" w:color="auto"/>
      </w:divBdr>
    </w:div>
    <w:div w:id="329407952">
      <w:bodyDiv w:val="1"/>
      <w:marLeft w:val="0"/>
      <w:marRight w:val="0"/>
      <w:marTop w:val="0"/>
      <w:marBottom w:val="0"/>
      <w:divBdr>
        <w:top w:val="none" w:sz="0" w:space="0" w:color="auto"/>
        <w:left w:val="none" w:sz="0" w:space="0" w:color="auto"/>
        <w:bottom w:val="none" w:sz="0" w:space="0" w:color="auto"/>
        <w:right w:val="none" w:sz="0" w:space="0" w:color="auto"/>
      </w:divBdr>
    </w:div>
    <w:div w:id="352537669">
      <w:bodyDiv w:val="1"/>
      <w:marLeft w:val="0"/>
      <w:marRight w:val="0"/>
      <w:marTop w:val="0"/>
      <w:marBottom w:val="0"/>
      <w:divBdr>
        <w:top w:val="none" w:sz="0" w:space="0" w:color="auto"/>
        <w:left w:val="none" w:sz="0" w:space="0" w:color="auto"/>
        <w:bottom w:val="none" w:sz="0" w:space="0" w:color="auto"/>
        <w:right w:val="none" w:sz="0" w:space="0" w:color="auto"/>
      </w:divBdr>
    </w:div>
    <w:div w:id="440224734">
      <w:bodyDiv w:val="1"/>
      <w:marLeft w:val="0"/>
      <w:marRight w:val="0"/>
      <w:marTop w:val="0"/>
      <w:marBottom w:val="0"/>
      <w:divBdr>
        <w:top w:val="none" w:sz="0" w:space="0" w:color="auto"/>
        <w:left w:val="none" w:sz="0" w:space="0" w:color="auto"/>
        <w:bottom w:val="none" w:sz="0" w:space="0" w:color="auto"/>
        <w:right w:val="none" w:sz="0" w:space="0" w:color="auto"/>
      </w:divBdr>
    </w:div>
    <w:div w:id="507670050">
      <w:bodyDiv w:val="1"/>
      <w:marLeft w:val="0"/>
      <w:marRight w:val="0"/>
      <w:marTop w:val="0"/>
      <w:marBottom w:val="0"/>
      <w:divBdr>
        <w:top w:val="none" w:sz="0" w:space="0" w:color="auto"/>
        <w:left w:val="none" w:sz="0" w:space="0" w:color="auto"/>
        <w:bottom w:val="none" w:sz="0" w:space="0" w:color="auto"/>
        <w:right w:val="none" w:sz="0" w:space="0" w:color="auto"/>
      </w:divBdr>
      <w:divsChild>
        <w:div w:id="2083259863">
          <w:marLeft w:val="0"/>
          <w:marRight w:val="0"/>
          <w:marTop w:val="0"/>
          <w:marBottom w:val="0"/>
          <w:divBdr>
            <w:top w:val="none" w:sz="0" w:space="0" w:color="auto"/>
            <w:left w:val="none" w:sz="0" w:space="0" w:color="auto"/>
            <w:bottom w:val="none" w:sz="0" w:space="0" w:color="auto"/>
            <w:right w:val="none" w:sz="0" w:space="0" w:color="auto"/>
          </w:divBdr>
          <w:divsChild>
            <w:div w:id="237248040">
              <w:marLeft w:val="0"/>
              <w:marRight w:val="0"/>
              <w:marTop w:val="0"/>
              <w:marBottom w:val="0"/>
              <w:divBdr>
                <w:top w:val="none" w:sz="0" w:space="0" w:color="auto"/>
                <w:left w:val="none" w:sz="0" w:space="0" w:color="auto"/>
                <w:bottom w:val="none" w:sz="0" w:space="0" w:color="auto"/>
                <w:right w:val="none" w:sz="0" w:space="0" w:color="auto"/>
              </w:divBdr>
              <w:divsChild>
                <w:div w:id="752122960">
                  <w:marLeft w:val="0"/>
                  <w:marRight w:val="0"/>
                  <w:marTop w:val="0"/>
                  <w:marBottom w:val="0"/>
                  <w:divBdr>
                    <w:top w:val="none" w:sz="0" w:space="0" w:color="auto"/>
                    <w:left w:val="none" w:sz="0" w:space="0" w:color="auto"/>
                    <w:bottom w:val="none" w:sz="0" w:space="0" w:color="auto"/>
                    <w:right w:val="none" w:sz="0" w:space="0" w:color="auto"/>
                  </w:divBdr>
                  <w:divsChild>
                    <w:div w:id="162669854">
                      <w:marLeft w:val="0"/>
                      <w:marRight w:val="0"/>
                      <w:marTop w:val="0"/>
                      <w:marBottom w:val="0"/>
                      <w:divBdr>
                        <w:top w:val="none" w:sz="0" w:space="0" w:color="auto"/>
                        <w:left w:val="none" w:sz="0" w:space="0" w:color="auto"/>
                        <w:bottom w:val="none" w:sz="0" w:space="0" w:color="auto"/>
                        <w:right w:val="none" w:sz="0" w:space="0" w:color="auto"/>
                      </w:divBdr>
                      <w:divsChild>
                        <w:div w:id="295184323">
                          <w:marLeft w:val="0"/>
                          <w:marRight w:val="0"/>
                          <w:marTop w:val="0"/>
                          <w:marBottom w:val="0"/>
                          <w:divBdr>
                            <w:top w:val="none" w:sz="0" w:space="0" w:color="auto"/>
                            <w:left w:val="none" w:sz="0" w:space="0" w:color="auto"/>
                            <w:bottom w:val="none" w:sz="0" w:space="0" w:color="auto"/>
                            <w:right w:val="none" w:sz="0" w:space="0" w:color="auto"/>
                          </w:divBdr>
                        </w:div>
                      </w:divsChild>
                    </w:div>
                    <w:div w:id="1389959522">
                      <w:marLeft w:val="0"/>
                      <w:marRight w:val="0"/>
                      <w:marTop w:val="0"/>
                      <w:marBottom w:val="0"/>
                      <w:divBdr>
                        <w:top w:val="none" w:sz="0" w:space="0" w:color="auto"/>
                        <w:left w:val="none" w:sz="0" w:space="0" w:color="auto"/>
                        <w:bottom w:val="none" w:sz="0" w:space="0" w:color="auto"/>
                        <w:right w:val="none" w:sz="0" w:space="0" w:color="auto"/>
                      </w:divBdr>
                      <w:divsChild>
                        <w:div w:id="2033143719">
                          <w:marLeft w:val="0"/>
                          <w:marRight w:val="0"/>
                          <w:marTop w:val="0"/>
                          <w:marBottom w:val="0"/>
                          <w:divBdr>
                            <w:top w:val="none" w:sz="0" w:space="0" w:color="auto"/>
                            <w:left w:val="none" w:sz="0" w:space="0" w:color="auto"/>
                            <w:bottom w:val="none" w:sz="0" w:space="0" w:color="auto"/>
                            <w:right w:val="none" w:sz="0" w:space="0" w:color="auto"/>
                          </w:divBdr>
                        </w:div>
                      </w:divsChild>
                    </w:div>
                    <w:div w:id="475993509">
                      <w:marLeft w:val="0"/>
                      <w:marRight w:val="0"/>
                      <w:marTop w:val="0"/>
                      <w:marBottom w:val="0"/>
                      <w:divBdr>
                        <w:top w:val="none" w:sz="0" w:space="0" w:color="auto"/>
                        <w:left w:val="none" w:sz="0" w:space="0" w:color="auto"/>
                        <w:bottom w:val="none" w:sz="0" w:space="0" w:color="auto"/>
                        <w:right w:val="none" w:sz="0" w:space="0" w:color="auto"/>
                      </w:divBdr>
                      <w:divsChild>
                        <w:div w:id="1429424888">
                          <w:marLeft w:val="0"/>
                          <w:marRight w:val="0"/>
                          <w:marTop w:val="0"/>
                          <w:marBottom w:val="0"/>
                          <w:divBdr>
                            <w:top w:val="none" w:sz="0" w:space="0" w:color="auto"/>
                            <w:left w:val="none" w:sz="0" w:space="0" w:color="auto"/>
                            <w:bottom w:val="none" w:sz="0" w:space="0" w:color="auto"/>
                            <w:right w:val="none" w:sz="0" w:space="0" w:color="auto"/>
                          </w:divBdr>
                        </w:div>
                      </w:divsChild>
                    </w:div>
                    <w:div w:id="535701048">
                      <w:marLeft w:val="0"/>
                      <w:marRight w:val="0"/>
                      <w:marTop w:val="0"/>
                      <w:marBottom w:val="0"/>
                      <w:divBdr>
                        <w:top w:val="none" w:sz="0" w:space="0" w:color="auto"/>
                        <w:left w:val="none" w:sz="0" w:space="0" w:color="auto"/>
                        <w:bottom w:val="none" w:sz="0" w:space="0" w:color="auto"/>
                        <w:right w:val="none" w:sz="0" w:space="0" w:color="auto"/>
                      </w:divBdr>
                      <w:divsChild>
                        <w:div w:id="2040277009">
                          <w:marLeft w:val="0"/>
                          <w:marRight w:val="0"/>
                          <w:marTop w:val="0"/>
                          <w:marBottom w:val="0"/>
                          <w:divBdr>
                            <w:top w:val="none" w:sz="0" w:space="0" w:color="auto"/>
                            <w:left w:val="none" w:sz="0" w:space="0" w:color="auto"/>
                            <w:bottom w:val="none" w:sz="0" w:space="0" w:color="auto"/>
                            <w:right w:val="none" w:sz="0" w:space="0" w:color="auto"/>
                          </w:divBdr>
                        </w:div>
                      </w:divsChild>
                    </w:div>
                    <w:div w:id="1209680039">
                      <w:marLeft w:val="0"/>
                      <w:marRight w:val="0"/>
                      <w:marTop w:val="0"/>
                      <w:marBottom w:val="0"/>
                      <w:divBdr>
                        <w:top w:val="none" w:sz="0" w:space="0" w:color="auto"/>
                        <w:left w:val="none" w:sz="0" w:space="0" w:color="auto"/>
                        <w:bottom w:val="none" w:sz="0" w:space="0" w:color="auto"/>
                        <w:right w:val="none" w:sz="0" w:space="0" w:color="auto"/>
                      </w:divBdr>
                      <w:divsChild>
                        <w:div w:id="115298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40427">
      <w:bodyDiv w:val="1"/>
      <w:marLeft w:val="0"/>
      <w:marRight w:val="0"/>
      <w:marTop w:val="0"/>
      <w:marBottom w:val="0"/>
      <w:divBdr>
        <w:top w:val="none" w:sz="0" w:space="0" w:color="auto"/>
        <w:left w:val="none" w:sz="0" w:space="0" w:color="auto"/>
        <w:bottom w:val="none" w:sz="0" w:space="0" w:color="auto"/>
        <w:right w:val="none" w:sz="0" w:space="0" w:color="auto"/>
      </w:divBdr>
    </w:div>
    <w:div w:id="562958343">
      <w:bodyDiv w:val="1"/>
      <w:marLeft w:val="0"/>
      <w:marRight w:val="0"/>
      <w:marTop w:val="0"/>
      <w:marBottom w:val="0"/>
      <w:divBdr>
        <w:top w:val="none" w:sz="0" w:space="0" w:color="auto"/>
        <w:left w:val="none" w:sz="0" w:space="0" w:color="auto"/>
        <w:bottom w:val="none" w:sz="0" w:space="0" w:color="auto"/>
        <w:right w:val="none" w:sz="0" w:space="0" w:color="auto"/>
      </w:divBdr>
    </w:div>
    <w:div w:id="593981018">
      <w:bodyDiv w:val="1"/>
      <w:marLeft w:val="0"/>
      <w:marRight w:val="0"/>
      <w:marTop w:val="0"/>
      <w:marBottom w:val="0"/>
      <w:divBdr>
        <w:top w:val="none" w:sz="0" w:space="0" w:color="auto"/>
        <w:left w:val="none" w:sz="0" w:space="0" w:color="auto"/>
        <w:bottom w:val="none" w:sz="0" w:space="0" w:color="auto"/>
        <w:right w:val="none" w:sz="0" w:space="0" w:color="auto"/>
      </w:divBdr>
    </w:div>
    <w:div w:id="635574905">
      <w:bodyDiv w:val="1"/>
      <w:marLeft w:val="0"/>
      <w:marRight w:val="0"/>
      <w:marTop w:val="0"/>
      <w:marBottom w:val="0"/>
      <w:divBdr>
        <w:top w:val="none" w:sz="0" w:space="0" w:color="auto"/>
        <w:left w:val="none" w:sz="0" w:space="0" w:color="auto"/>
        <w:bottom w:val="none" w:sz="0" w:space="0" w:color="auto"/>
        <w:right w:val="none" w:sz="0" w:space="0" w:color="auto"/>
      </w:divBdr>
    </w:div>
    <w:div w:id="796533202">
      <w:bodyDiv w:val="1"/>
      <w:marLeft w:val="0"/>
      <w:marRight w:val="0"/>
      <w:marTop w:val="0"/>
      <w:marBottom w:val="0"/>
      <w:divBdr>
        <w:top w:val="none" w:sz="0" w:space="0" w:color="auto"/>
        <w:left w:val="none" w:sz="0" w:space="0" w:color="auto"/>
        <w:bottom w:val="none" w:sz="0" w:space="0" w:color="auto"/>
        <w:right w:val="none" w:sz="0" w:space="0" w:color="auto"/>
      </w:divBdr>
    </w:div>
    <w:div w:id="817234274">
      <w:bodyDiv w:val="1"/>
      <w:marLeft w:val="0"/>
      <w:marRight w:val="0"/>
      <w:marTop w:val="0"/>
      <w:marBottom w:val="0"/>
      <w:divBdr>
        <w:top w:val="none" w:sz="0" w:space="0" w:color="auto"/>
        <w:left w:val="none" w:sz="0" w:space="0" w:color="auto"/>
        <w:bottom w:val="none" w:sz="0" w:space="0" w:color="auto"/>
        <w:right w:val="none" w:sz="0" w:space="0" w:color="auto"/>
      </w:divBdr>
    </w:div>
    <w:div w:id="826700981">
      <w:bodyDiv w:val="1"/>
      <w:marLeft w:val="0"/>
      <w:marRight w:val="0"/>
      <w:marTop w:val="0"/>
      <w:marBottom w:val="0"/>
      <w:divBdr>
        <w:top w:val="none" w:sz="0" w:space="0" w:color="auto"/>
        <w:left w:val="none" w:sz="0" w:space="0" w:color="auto"/>
        <w:bottom w:val="none" w:sz="0" w:space="0" w:color="auto"/>
        <w:right w:val="none" w:sz="0" w:space="0" w:color="auto"/>
      </w:divBdr>
    </w:div>
    <w:div w:id="843474959">
      <w:bodyDiv w:val="1"/>
      <w:marLeft w:val="0"/>
      <w:marRight w:val="0"/>
      <w:marTop w:val="0"/>
      <w:marBottom w:val="0"/>
      <w:divBdr>
        <w:top w:val="none" w:sz="0" w:space="0" w:color="auto"/>
        <w:left w:val="none" w:sz="0" w:space="0" w:color="auto"/>
        <w:bottom w:val="none" w:sz="0" w:space="0" w:color="auto"/>
        <w:right w:val="none" w:sz="0" w:space="0" w:color="auto"/>
      </w:divBdr>
    </w:div>
    <w:div w:id="960067390">
      <w:bodyDiv w:val="1"/>
      <w:marLeft w:val="0"/>
      <w:marRight w:val="0"/>
      <w:marTop w:val="0"/>
      <w:marBottom w:val="0"/>
      <w:divBdr>
        <w:top w:val="none" w:sz="0" w:space="0" w:color="auto"/>
        <w:left w:val="none" w:sz="0" w:space="0" w:color="auto"/>
        <w:bottom w:val="none" w:sz="0" w:space="0" w:color="auto"/>
        <w:right w:val="none" w:sz="0" w:space="0" w:color="auto"/>
      </w:divBdr>
    </w:div>
    <w:div w:id="986666938">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97408104">
      <w:bodyDiv w:val="1"/>
      <w:marLeft w:val="0"/>
      <w:marRight w:val="0"/>
      <w:marTop w:val="0"/>
      <w:marBottom w:val="0"/>
      <w:divBdr>
        <w:top w:val="none" w:sz="0" w:space="0" w:color="auto"/>
        <w:left w:val="none" w:sz="0" w:space="0" w:color="auto"/>
        <w:bottom w:val="none" w:sz="0" w:space="0" w:color="auto"/>
        <w:right w:val="none" w:sz="0" w:space="0" w:color="auto"/>
      </w:divBdr>
    </w:div>
    <w:div w:id="1147551596">
      <w:bodyDiv w:val="1"/>
      <w:marLeft w:val="0"/>
      <w:marRight w:val="0"/>
      <w:marTop w:val="0"/>
      <w:marBottom w:val="0"/>
      <w:divBdr>
        <w:top w:val="none" w:sz="0" w:space="0" w:color="auto"/>
        <w:left w:val="none" w:sz="0" w:space="0" w:color="auto"/>
        <w:bottom w:val="none" w:sz="0" w:space="0" w:color="auto"/>
        <w:right w:val="none" w:sz="0" w:space="0" w:color="auto"/>
      </w:divBdr>
      <w:divsChild>
        <w:div w:id="447701881">
          <w:marLeft w:val="0"/>
          <w:marRight w:val="0"/>
          <w:marTop w:val="0"/>
          <w:marBottom w:val="0"/>
          <w:divBdr>
            <w:top w:val="none" w:sz="0" w:space="0" w:color="auto"/>
            <w:left w:val="none" w:sz="0" w:space="0" w:color="auto"/>
            <w:bottom w:val="none" w:sz="0" w:space="0" w:color="auto"/>
            <w:right w:val="none" w:sz="0" w:space="0" w:color="auto"/>
          </w:divBdr>
          <w:divsChild>
            <w:div w:id="1651204183">
              <w:marLeft w:val="0"/>
              <w:marRight w:val="0"/>
              <w:marTop w:val="0"/>
              <w:marBottom w:val="0"/>
              <w:divBdr>
                <w:top w:val="none" w:sz="0" w:space="0" w:color="auto"/>
                <w:left w:val="none" w:sz="0" w:space="0" w:color="auto"/>
                <w:bottom w:val="none" w:sz="0" w:space="0" w:color="auto"/>
                <w:right w:val="none" w:sz="0" w:space="0" w:color="auto"/>
              </w:divBdr>
              <w:divsChild>
                <w:div w:id="1343816545">
                  <w:marLeft w:val="0"/>
                  <w:marRight w:val="0"/>
                  <w:marTop w:val="0"/>
                  <w:marBottom w:val="0"/>
                  <w:divBdr>
                    <w:top w:val="none" w:sz="0" w:space="0" w:color="auto"/>
                    <w:left w:val="none" w:sz="0" w:space="0" w:color="auto"/>
                    <w:bottom w:val="none" w:sz="0" w:space="0" w:color="auto"/>
                    <w:right w:val="none" w:sz="0" w:space="0" w:color="auto"/>
                  </w:divBdr>
                  <w:divsChild>
                    <w:div w:id="1177774301">
                      <w:marLeft w:val="0"/>
                      <w:marRight w:val="0"/>
                      <w:marTop w:val="0"/>
                      <w:marBottom w:val="0"/>
                      <w:divBdr>
                        <w:top w:val="none" w:sz="0" w:space="0" w:color="auto"/>
                        <w:left w:val="none" w:sz="0" w:space="0" w:color="auto"/>
                        <w:bottom w:val="none" w:sz="0" w:space="0" w:color="auto"/>
                        <w:right w:val="none" w:sz="0" w:space="0" w:color="auto"/>
                      </w:divBdr>
                      <w:divsChild>
                        <w:div w:id="1297251709">
                          <w:marLeft w:val="0"/>
                          <w:marRight w:val="0"/>
                          <w:marTop w:val="0"/>
                          <w:marBottom w:val="0"/>
                          <w:divBdr>
                            <w:top w:val="none" w:sz="0" w:space="0" w:color="auto"/>
                            <w:left w:val="none" w:sz="0" w:space="0" w:color="auto"/>
                            <w:bottom w:val="none" w:sz="0" w:space="0" w:color="auto"/>
                            <w:right w:val="none" w:sz="0" w:space="0" w:color="auto"/>
                          </w:divBdr>
                        </w:div>
                      </w:divsChild>
                    </w:div>
                    <w:div w:id="239826818">
                      <w:marLeft w:val="0"/>
                      <w:marRight w:val="0"/>
                      <w:marTop w:val="0"/>
                      <w:marBottom w:val="0"/>
                      <w:divBdr>
                        <w:top w:val="none" w:sz="0" w:space="0" w:color="auto"/>
                        <w:left w:val="none" w:sz="0" w:space="0" w:color="auto"/>
                        <w:bottom w:val="none" w:sz="0" w:space="0" w:color="auto"/>
                        <w:right w:val="none" w:sz="0" w:space="0" w:color="auto"/>
                      </w:divBdr>
                      <w:divsChild>
                        <w:div w:id="330447966">
                          <w:marLeft w:val="0"/>
                          <w:marRight w:val="0"/>
                          <w:marTop w:val="0"/>
                          <w:marBottom w:val="0"/>
                          <w:divBdr>
                            <w:top w:val="none" w:sz="0" w:space="0" w:color="auto"/>
                            <w:left w:val="none" w:sz="0" w:space="0" w:color="auto"/>
                            <w:bottom w:val="none" w:sz="0" w:space="0" w:color="auto"/>
                            <w:right w:val="none" w:sz="0" w:space="0" w:color="auto"/>
                          </w:divBdr>
                        </w:div>
                      </w:divsChild>
                    </w:div>
                    <w:div w:id="461774774">
                      <w:marLeft w:val="0"/>
                      <w:marRight w:val="0"/>
                      <w:marTop w:val="0"/>
                      <w:marBottom w:val="0"/>
                      <w:divBdr>
                        <w:top w:val="none" w:sz="0" w:space="0" w:color="auto"/>
                        <w:left w:val="none" w:sz="0" w:space="0" w:color="auto"/>
                        <w:bottom w:val="none" w:sz="0" w:space="0" w:color="auto"/>
                        <w:right w:val="none" w:sz="0" w:space="0" w:color="auto"/>
                      </w:divBdr>
                      <w:divsChild>
                        <w:div w:id="1761215993">
                          <w:marLeft w:val="0"/>
                          <w:marRight w:val="0"/>
                          <w:marTop w:val="0"/>
                          <w:marBottom w:val="0"/>
                          <w:divBdr>
                            <w:top w:val="none" w:sz="0" w:space="0" w:color="auto"/>
                            <w:left w:val="none" w:sz="0" w:space="0" w:color="auto"/>
                            <w:bottom w:val="none" w:sz="0" w:space="0" w:color="auto"/>
                            <w:right w:val="none" w:sz="0" w:space="0" w:color="auto"/>
                          </w:divBdr>
                        </w:div>
                      </w:divsChild>
                    </w:div>
                    <w:div w:id="1646858427">
                      <w:marLeft w:val="0"/>
                      <w:marRight w:val="0"/>
                      <w:marTop w:val="0"/>
                      <w:marBottom w:val="0"/>
                      <w:divBdr>
                        <w:top w:val="none" w:sz="0" w:space="0" w:color="auto"/>
                        <w:left w:val="none" w:sz="0" w:space="0" w:color="auto"/>
                        <w:bottom w:val="none" w:sz="0" w:space="0" w:color="auto"/>
                        <w:right w:val="none" w:sz="0" w:space="0" w:color="auto"/>
                      </w:divBdr>
                      <w:divsChild>
                        <w:div w:id="161817275">
                          <w:marLeft w:val="0"/>
                          <w:marRight w:val="0"/>
                          <w:marTop w:val="0"/>
                          <w:marBottom w:val="0"/>
                          <w:divBdr>
                            <w:top w:val="none" w:sz="0" w:space="0" w:color="auto"/>
                            <w:left w:val="none" w:sz="0" w:space="0" w:color="auto"/>
                            <w:bottom w:val="none" w:sz="0" w:space="0" w:color="auto"/>
                            <w:right w:val="none" w:sz="0" w:space="0" w:color="auto"/>
                          </w:divBdr>
                        </w:div>
                      </w:divsChild>
                    </w:div>
                    <w:div w:id="1403718951">
                      <w:marLeft w:val="0"/>
                      <w:marRight w:val="0"/>
                      <w:marTop w:val="0"/>
                      <w:marBottom w:val="0"/>
                      <w:divBdr>
                        <w:top w:val="none" w:sz="0" w:space="0" w:color="auto"/>
                        <w:left w:val="none" w:sz="0" w:space="0" w:color="auto"/>
                        <w:bottom w:val="none" w:sz="0" w:space="0" w:color="auto"/>
                        <w:right w:val="none" w:sz="0" w:space="0" w:color="auto"/>
                      </w:divBdr>
                      <w:divsChild>
                        <w:div w:id="139566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84709525">
      <w:bodyDiv w:val="1"/>
      <w:marLeft w:val="0"/>
      <w:marRight w:val="0"/>
      <w:marTop w:val="0"/>
      <w:marBottom w:val="0"/>
      <w:divBdr>
        <w:top w:val="none" w:sz="0" w:space="0" w:color="auto"/>
        <w:left w:val="none" w:sz="0" w:space="0" w:color="auto"/>
        <w:bottom w:val="none" w:sz="0" w:space="0" w:color="auto"/>
        <w:right w:val="none" w:sz="0" w:space="0" w:color="auto"/>
      </w:divBdr>
    </w:div>
    <w:div w:id="1288121486">
      <w:bodyDiv w:val="1"/>
      <w:marLeft w:val="0"/>
      <w:marRight w:val="0"/>
      <w:marTop w:val="0"/>
      <w:marBottom w:val="0"/>
      <w:divBdr>
        <w:top w:val="none" w:sz="0" w:space="0" w:color="auto"/>
        <w:left w:val="none" w:sz="0" w:space="0" w:color="auto"/>
        <w:bottom w:val="none" w:sz="0" w:space="0" w:color="auto"/>
        <w:right w:val="none" w:sz="0" w:space="0" w:color="auto"/>
      </w:divBdr>
    </w:div>
    <w:div w:id="1339621488">
      <w:bodyDiv w:val="1"/>
      <w:marLeft w:val="0"/>
      <w:marRight w:val="0"/>
      <w:marTop w:val="0"/>
      <w:marBottom w:val="0"/>
      <w:divBdr>
        <w:top w:val="none" w:sz="0" w:space="0" w:color="auto"/>
        <w:left w:val="none" w:sz="0" w:space="0" w:color="auto"/>
        <w:bottom w:val="none" w:sz="0" w:space="0" w:color="auto"/>
        <w:right w:val="none" w:sz="0" w:space="0" w:color="auto"/>
      </w:divBdr>
    </w:div>
    <w:div w:id="1380089040">
      <w:bodyDiv w:val="1"/>
      <w:marLeft w:val="0"/>
      <w:marRight w:val="0"/>
      <w:marTop w:val="0"/>
      <w:marBottom w:val="0"/>
      <w:divBdr>
        <w:top w:val="none" w:sz="0" w:space="0" w:color="auto"/>
        <w:left w:val="none" w:sz="0" w:space="0" w:color="auto"/>
        <w:bottom w:val="none" w:sz="0" w:space="0" w:color="auto"/>
        <w:right w:val="none" w:sz="0" w:space="0" w:color="auto"/>
      </w:divBdr>
    </w:div>
    <w:div w:id="1407023878">
      <w:bodyDiv w:val="1"/>
      <w:marLeft w:val="0"/>
      <w:marRight w:val="0"/>
      <w:marTop w:val="0"/>
      <w:marBottom w:val="0"/>
      <w:divBdr>
        <w:top w:val="none" w:sz="0" w:space="0" w:color="auto"/>
        <w:left w:val="none" w:sz="0" w:space="0" w:color="auto"/>
        <w:bottom w:val="none" w:sz="0" w:space="0" w:color="auto"/>
        <w:right w:val="none" w:sz="0" w:space="0" w:color="auto"/>
      </w:divBdr>
    </w:div>
    <w:div w:id="1422219626">
      <w:bodyDiv w:val="1"/>
      <w:marLeft w:val="0"/>
      <w:marRight w:val="0"/>
      <w:marTop w:val="0"/>
      <w:marBottom w:val="0"/>
      <w:divBdr>
        <w:top w:val="none" w:sz="0" w:space="0" w:color="auto"/>
        <w:left w:val="none" w:sz="0" w:space="0" w:color="auto"/>
        <w:bottom w:val="none" w:sz="0" w:space="0" w:color="auto"/>
        <w:right w:val="none" w:sz="0" w:space="0" w:color="auto"/>
      </w:divBdr>
    </w:div>
    <w:div w:id="1453477818">
      <w:bodyDiv w:val="1"/>
      <w:marLeft w:val="0"/>
      <w:marRight w:val="0"/>
      <w:marTop w:val="0"/>
      <w:marBottom w:val="0"/>
      <w:divBdr>
        <w:top w:val="none" w:sz="0" w:space="0" w:color="auto"/>
        <w:left w:val="none" w:sz="0" w:space="0" w:color="auto"/>
        <w:bottom w:val="none" w:sz="0" w:space="0" w:color="auto"/>
        <w:right w:val="none" w:sz="0" w:space="0" w:color="auto"/>
      </w:divBdr>
    </w:div>
    <w:div w:id="1537615568">
      <w:bodyDiv w:val="1"/>
      <w:marLeft w:val="0"/>
      <w:marRight w:val="0"/>
      <w:marTop w:val="0"/>
      <w:marBottom w:val="0"/>
      <w:divBdr>
        <w:top w:val="none" w:sz="0" w:space="0" w:color="auto"/>
        <w:left w:val="none" w:sz="0" w:space="0" w:color="auto"/>
        <w:bottom w:val="none" w:sz="0" w:space="0" w:color="auto"/>
        <w:right w:val="none" w:sz="0" w:space="0" w:color="auto"/>
      </w:divBdr>
      <w:divsChild>
        <w:div w:id="1899050333">
          <w:marLeft w:val="0"/>
          <w:marRight w:val="0"/>
          <w:marTop w:val="0"/>
          <w:marBottom w:val="0"/>
          <w:divBdr>
            <w:top w:val="none" w:sz="0" w:space="0" w:color="auto"/>
            <w:left w:val="none" w:sz="0" w:space="0" w:color="auto"/>
            <w:bottom w:val="none" w:sz="0" w:space="0" w:color="auto"/>
            <w:right w:val="none" w:sz="0" w:space="0" w:color="auto"/>
          </w:divBdr>
          <w:divsChild>
            <w:div w:id="1951232765">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 w:id="1556888809">
      <w:bodyDiv w:val="1"/>
      <w:marLeft w:val="0"/>
      <w:marRight w:val="0"/>
      <w:marTop w:val="0"/>
      <w:marBottom w:val="0"/>
      <w:divBdr>
        <w:top w:val="none" w:sz="0" w:space="0" w:color="auto"/>
        <w:left w:val="none" w:sz="0" w:space="0" w:color="auto"/>
        <w:bottom w:val="none" w:sz="0" w:space="0" w:color="auto"/>
        <w:right w:val="none" w:sz="0" w:space="0" w:color="auto"/>
      </w:divBdr>
    </w:div>
    <w:div w:id="1641691738">
      <w:bodyDiv w:val="1"/>
      <w:marLeft w:val="0"/>
      <w:marRight w:val="0"/>
      <w:marTop w:val="0"/>
      <w:marBottom w:val="0"/>
      <w:divBdr>
        <w:top w:val="none" w:sz="0" w:space="0" w:color="auto"/>
        <w:left w:val="none" w:sz="0" w:space="0" w:color="auto"/>
        <w:bottom w:val="none" w:sz="0" w:space="0" w:color="auto"/>
        <w:right w:val="none" w:sz="0" w:space="0" w:color="auto"/>
      </w:divBdr>
    </w:div>
    <w:div w:id="1657605344">
      <w:bodyDiv w:val="1"/>
      <w:marLeft w:val="0"/>
      <w:marRight w:val="0"/>
      <w:marTop w:val="0"/>
      <w:marBottom w:val="0"/>
      <w:divBdr>
        <w:top w:val="none" w:sz="0" w:space="0" w:color="auto"/>
        <w:left w:val="none" w:sz="0" w:space="0" w:color="auto"/>
        <w:bottom w:val="none" w:sz="0" w:space="0" w:color="auto"/>
        <w:right w:val="none" w:sz="0" w:space="0" w:color="auto"/>
      </w:divBdr>
    </w:div>
    <w:div w:id="1661154351">
      <w:bodyDiv w:val="1"/>
      <w:marLeft w:val="0"/>
      <w:marRight w:val="0"/>
      <w:marTop w:val="0"/>
      <w:marBottom w:val="0"/>
      <w:divBdr>
        <w:top w:val="none" w:sz="0" w:space="0" w:color="auto"/>
        <w:left w:val="none" w:sz="0" w:space="0" w:color="auto"/>
        <w:bottom w:val="none" w:sz="0" w:space="0" w:color="auto"/>
        <w:right w:val="none" w:sz="0" w:space="0" w:color="auto"/>
      </w:divBdr>
    </w:div>
    <w:div w:id="1762870797">
      <w:bodyDiv w:val="1"/>
      <w:marLeft w:val="0"/>
      <w:marRight w:val="0"/>
      <w:marTop w:val="0"/>
      <w:marBottom w:val="0"/>
      <w:divBdr>
        <w:top w:val="none" w:sz="0" w:space="0" w:color="auto"/>
        <w:left w:val="none" w:sz="0" w:space="0" w:color="auto"/>
        <w:bottom w:val="none" w:sz="0" w:space="0" w:color="auto"/>
        <w:right w:val="none" w:sz="0" w:space="0" w:color="auto"/>
      </w:divBdr>
      <w:divsChild>
        <w:div w:id="1100183032">
          <w:marLeft w:val="0"/>
          <w:marRight w:val="0"/>
          <w:marTop w:val="0"/>
          <w:marBottom w:val="0"/>
          <w:divBdr>
            <w:top w:val="none" w:sz="0" w:space="0" w:color="auto"/>
            <w:left w:val="none" w:sz="0" w:space="0" w:color="auto"/>
            <w:bottom w:val="none" w:sz="0" w:space="0" w:color="auto"/>
            <w:right w:val="none" w:sz="0" w:space="0" w:color="auto"/>
          </w:divBdr>
          <w:divsChild>
            <w:div w:id="1213927370">
              <w:marLeft w:val="0"/>
              <w:marRight w:val="0"/>
              <w:marTop w:val="210"/>
              <w:marBottom w:val="0"/>
              <w:divBdr>
                <w:top w:val="none" w:sz="0" w:space="0" w:color="auto"/>
                <w:left w:val="none" w:sz="0" w:space="0" w:color="auto"/>
                <w:bottom w:val="none" w:sz="0" w:space="0" w:color="auto"/>
                <w:right w:val="none" w:sz="0" w:space="0" w:color="auto"/>
              </w:divBdr>
              <w:divsChild>
                <w:div w:id="927932603">
                  <w:marLeft w:val="0"/>
                  <w:marRight w:val="0"/>
                  <w:marTop w:val="0"/>
                  <w:marBottom w:val="0"/>
                  <w:divBdr>
                    <w:top w:val="none" w:sz="0" w:space="0" w:color="auto"/>
                    <w:left w:val="none" w:sz="0" w:space="0" w:color="auto"/>
                    <w:bottom w:val="none" w:sz="0" w:space="0" w:color="auto"/>
                    <w:right w:val="none" w:sz="0" w:space="0" w:color="auto"/>
                  </w:divBdr>
                  <w:divsChild>
                    <w:div w:id="1434864770">
                      <w:marLeft w:val="0"/>
                      <w:marRight w:val="0"/>
                      <w:marTop w:val="0"/>
                      <w:marBottom w:val="600"/>
                      <w:divBdr>
                        <w:top w:val="none" w:sz="0" w:space="0" w:color="auto"/>
                        <w:left w:val="none" w:sz="0" w:space="0" w:color="auto"/>
                        <w:bottom w:val="none" w:sz="0" w:space="0" w:color="auto"/>
                        <w:right w:val="none" w:sz="0" w:space="0" w:color="auto"/>
                      </w:divBdr>
                      <w:divsChild>
                        <w:div w:id="176429076">
                          <w:marLeft w:val="0"/>
                          <w:marRight w:val="0"/>
                          <w:marTop w:val="0"/>
                          <w:marBottom w:val="0"/>
                          <w:divBdr>
                            <w:top w:val="none" w:sz="0" w:space="0" w:color="auto"/>
                            <w:left w:val="none" w:sz="0" w:space="0" w:color="auto"/>
                            <w:bottom w:val="none" w:sz="0" w:space="0" w:color="auto"/>
                            <w:right w:val="none" w:sz="0" w:space="0" w:color="auto"/>
                          </w:divBdr>
                          <w:divsChild>
                            <w:div w:id="1889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451225">
      <w:bodyDiv w:val="1"/>
      <w:marLeft w:val="0"/>
      <w:marRight w:val="0"/>
      <w:marTop w:val="0"/>
      <w:marBottom w:val="0"/>
      <w:divBdr>
        <w:top w:val="none" w:sz="0" w:space="0" w:color="auto"/>
        <w:left w:val="none" w:sz="0" w:space="0" w:color="auto"/>
        <w:bottom w:val="none" w:sz="0" w:space="0" w:color="auto"/>
        <w:right w:val="none" w:sz="0" w:space="0" w:color="auto"/>
      </w:divBdr>
    </w:div>
    <w:div w:id="2056346230">
      <w:bodyDiv w:val="1"/>
      <w:marLeft w:val="0"/>
      <w:marRight w:val="0"/>
      <w:marTop w:val="0"/>
      <w:marBottom w:val="0"/>
      <w:divBdr>
        <w:top w:val="none" w:sz="0" w:space="0" w:color="auto"/>
        <w:left w:val="none" w:sz="0" w:space="0" w:color="auto"/>
        <w:bottom w:val="none" w:sz="0" w:space="0" w:color="auto"/>
        <w:right w:val="none" w:sz="0" w:space="0" w:color="auto"/>
      </w:divBdr>
    </w:div>
    <w:div w:id="2108230327">
      <w:bodyDiv w:val="1"/>
      <w:marLeft w:val="0"/>
      <w:marRight w:val="0"/>
      <w:marTop w:val="0"/>
      <w:marBottom w:val="0"/>
      <w:divBdr>
        <w:top w:val="none" w:sz="0" w:space="0" w:color="auto"/>
        <w:left w:val="none" w:sz="0" w:space="0" w:color="auto"/>
        <w:bottom w:val="none" w:sz="0" w:space="0" w:color="auto"/>
        <w:right w:val="none" w:sz="0" w:space="0" w:color="auto"/>
      </w:divBdr>
      <w:divsChild>
        <w:div w:id="496501867">
          <w:marLeft w:val="0"/>
          <w:marRight w:val="0"/>
          <w:marTop w:val="0"/>
          <w:marBottom w:val="0"/>
          <w:divBdr>
            <w:top w:val="none" w:sz="0" w:space="0" w:color="auto"/>
            <w:left w:val="none" w:sz="0" w:space="0" w:color="auto"/>
            <w:bottom w:val="none" w:sz="0" w:space="0" w:color="auto"/>
            <w:right w:val="none" w:sz="0" w:space="0" w:color="auto"/>
          </w:divBdr>
          <w:divsChild>
            <w:div w:id="888608580">
              <w:marLeft w:val="0"/>
              <w:marRight w:val="0"/>
              <w:marTop w:val="0"/>
              <w:marBottom w:val="0"/>
              <w:divBdr>
                <w:top w:val="none" w:sz="0" w:space="0" w:color="auto"/>
                <w:left w:val="none" w:sz="0" w:space="0" w:color="auto"/>
                <w:bottom w:val="none" w:sz="0" w:space="0" w:color="auto"/>
                <w:right w:val="none" w:sz="0" w:space="0" w:color="auto"/>
              </w:divBdr>
              <w:divsChild>
                <w:div w:id="1116830303">
                  <w:marLeft w:val="0"/>
                  <w:marRight w:val="0"/>
                  <w:marTop w:val="0"/>
                  <w:marBottom w:val="0"/>
                  <w:divBdr>
                    <w:top w:val="none" w:sz="0" w:space="0" w:color="auto"/>
                    <w:left w:val="none" w:sz="0" w:space="0" w:color="auto"/>
                    <w:bottom w:val="none" w:sz="0" w:space="0" w:color="auto"/>
                    <w:right w:val="none" w:sz="0" w:space="0" w:color="auto"/>
                  </w:divBdr>
                  <w:divsChild>
                    <w:div w:id="1923100593">
                      <w:marLeft w:val="0"/>
                      <w:marRight w:val="0"/>
                      <w:marTop w:val="0"/>
                      <w:marBottom w:val="0"/>
                      <w:divBdr>
                        <w:top w:val="none" w:sz="0" w:space="0" w:color="auto"/>
                        <w:left w:val="none" w:sz="0" w:space="0" w:color="auto"/>
                        <w:bottom w:val="none" w:sz="0" w:space="0" w:color="auto"/>
                        <w:right w:val="none" w:sz="0" w:space="0" w:color="auto"/>
                      </w:divBdr>
                      <w:divsChild>
                        <w:div w:id="1773092394">
                          <w:marLeft w:val="0"/>
                          <w:marRight w:val="0"/>
                          <w:marTop w:val="0"/>
                          <w:marBottom w:val="0"/>
                          <w:divBdr>
                            <w:top w:val="none" w:sz="0" w:space="0" w:color="auto"/>
                            <w:left w:val="none" w:sz="0" w:space="0" w:color="auto"/>
                            <w:bottom w:val="none" w:sz="0" w:space="0" w:color="auto"/>
                            <w:right w:val="none" w:sz="0" w:space="0" w:color="auto"/>
                          </w:divBdr>
                          <w:divsChild>
                            <w:div w:id="1369796438">
                              <w:marLeft w:val="0"/>
                              <w:marRight w:val="0"/>
                              <w:marTop w:val="0"/>
                              <w:marBottom w:val="0"/>
                              <w:divBdr>
                                <w:top w:val="none" w:sz="0" w:space="0" w:color="auto"/>
                                <w:left w:val="none" w:sz="0" w:space="0" w:color="auto"/>
                                <w:bottom w:val="none" w:sz="0" w:space="0" w:color="auto"/>
                                <w:right w:val="none" w:sz="0" w:space="0" w:color="auto"/>
                              </w:divBdr>
                              <w:divsChild>
                                <w:div w:id="1363674888">
                                  <w:marLeft w:val="0"/>
                                  <w:marRight w:val="0"/>
                                  <w:marTop w:val="0"/>
                                  <w:marBottom w:val="0"/>
                                  <w:divBdr>
                                    <w:top w:val="none" w:sz="0" w:space="0" w:color="auto"/>
                                    <w:left w:val="none" w:sz="0" w:space="0" w:color="auto"/>
                                    <w:bottom w:val="none" w:sz="0" w:space="0" w:color="auto"/>
                                    <w:right w:val="none" w:sz="0" w:space="0" w:color="auto"/>
                                  </w:divBdr>
                                  <w:divsChild>
                                    <w:div w:id="1167016623">
                                      <w:marLeft w:val="0"/>
                                      <w:marRight w:val="0"/>
                                      <w:marTop w:val="0"/>
                                      <w:marBottom w:val="0"/>
                                      <w:divBdr>
                                        <w:top w:val="none" w:sz="0" w:space="0" w:color="auto"/>
                                        <w:left w:val="none" w:sz="0" w:space="0" w:color="auto"/>
                                        <w:bottom w:val="none" w:sz="0" w:space="0" w:color="auto"/>
                                        <w:right w:val="none" w:sz="0" w:space="0" w:color="auto"/>
                                      </w:divBdr>
                                      <w:divsChild>
                                        <w:div w:id="1487165555">
                                          <w:marLeft w:val="0"/>
                                          <w:marRight w:val="0"/>
                                          <w:marTop w:val="0"/>
                                          <w:marBottom w:val="0"/>
                                          <w:divBdr>
                                            <w:top w:val="none" w:sz="0" w:space="0" w:color="auto"/>
                                            <w:left w:val="none" w:sz="0" w:space="0" w:color="auto"/>
                                            <w:bottom w:val="none" w:sz="0" w:space="0" w:color="auto"/>
                                            <w:right w:val="none" w:sz="0" w:space="0" w:color="auto"/>
                                          </w:divBdr>
                                          <w:divsChild>
                                            <w:div w:id="1365979395">
                                              <w:marLeft w:val="0"/>
                                              <w:marRight w:val="0"/>
                                              <w:marTop w:val="0"/>
                                              <w:marBottom w:val="0"/>
                                              <w:divBdr>
                                                <w:top w:val="single" w:sz="12" w:space="2" w:color="FFFFCC"/>
                                                <w:left w:val="single" w:sz="12" w:space="2" w:color="FFFFCC"/>
                                                <w:bottom w:val="single" w:sz="12" w:space="2" w:color="FFFFCC"/>
                                                <w:right w:val="single" w:sz="12" w:space="0" w:color="FFFFCC"/>
                                              </w:divBdr>
                                              <w:divsChild>
                                                <w:div w:id="886528919">
                                                  <w:marLeft w:val="0"/>
                                                  <w:marRight w:val="0"/>
                                                  <w:marTop w:val="0"/>
                                                  <w:marBottom w:val="0"/>
                                                  <w:divBdr>
                                                    <w:top w:val="none" w:sz="0" w:space="0" w:color="auto"/>
                                                    <w:left w:val="none" w:sz="0" w:space="0" w:color="auto"/>
                                                    <w:bottom w:val="none" w:sz="0" w:space="0" w:color="auto"/>
                                                    <w:right w:val="none" w:sz="0" w:space="0" w:color="auto"/>
                                                  </w:divBdr>
                                                  <w:divsChild>
                                                    <w:div w:id="1837458944">
                                                      <w:marLeft w:val="0"/>
                                                      <w:marRight w:val="0"/>
                                                      <w:marTop w:val="0"/>
                                                      <w:marBottom w:val="0"/>
                                                      <w:divBdr>
                                                        <w:top w:val="none" w:sz="0" w:space="0" w:color="auto"/>
                                                        <w:left w:val="none" w:sz="0" w:space="0" w:color="auto"/>
                                                        <w:bottom w:val="none" w:sz="0" w:space="0" w:color="auto"/>
                                                        <w:right w:val="none" w:sz="0" w:space="0" w:color="auto"/>
                                                      </w:divBdr>
                                                      <w:divsChild>
                                                        <w:div w:id="1268275716">
                                                          <w:marLeft w:val="0"/>
                                                          <w:marRight w:val="0"/>
                                                          <w:marTop w:val="0"/>
                                                          <w:marBottom w:val="0"/>
                                                          <w:divBdr>
                                                            <w:top w:val="none" w:sz="0" w:space="0" w:color="auto"/>
                                                            <w:left w:val="none" w:sz="0" w:space="0" w:color="auto"/>
                                                            <w:bottom w:val="none" w:sz="0" w:space="0" w:color="auto"/>
                                                            <w:right w:val="none" w:sz="0" w:space="0" w:color="auto"/>
                                                          </w:divBdr>
                                                          <w:divsChild>
                                                            <w:div w:id="780221663">
                                                              <w:marLeft w:val="0"/>
                                                              <w:marRight w:val="0"/>
                                                              <w:marTop w:val="0"/>
                                                              <w:marBottom w:val="0"/>
                                                              <w:divBdr>
                                                                <w:top w:val="none" w:sz="0" w:space="0" w:color="auto"/>
                                                                <w:left w:val="none" w:sz="0" w:space="0" w:color="auto"/>
                                                                <w:bottom w:val="none" w:sz="0" w:space="0" w:color="auto"/>
                                                                <w:right w:val="none" w:sz="0" w:space="0" w:color="auto"/>
                                                              </w:divBdr>
                                                              <w:divsChild>
                                                                <w:div w:id="109663746">
                                                                  <w:marLeft w:val="0"/>
                                                                  <w:marRight w:val="0"/>
                                                                  <w:marTop w:val="0"/>
                                                                  <w:marBottom w:val="0"/>
                                                                  <w:divBdr>
                                                                    <w:top w:val="none" w:sz="0" w:space="0" w:color="auto"/>
                                                                    <w:left w:val="none" w:sz="0" w:space="0" w:color="auto"/>
                                                                    <w:bottom w:val="none" w:sz="0" w:space="0" w:color="auto"/>
                                                                    <w:right w:val="none" w:sz="0" w:space="0" w:color="auto"/>
                                                                  </w:divBdr>
                                                                  <w:divsChild>
                                                                    <w:div w:id="241916149">
                                                                      <w:marLeft w:val="0"/>
                                                                      <w:marRight w:val="0"/>
                                                                      <w:marTop w:val="0"/>
                                                                      <w:marBottom w:val="0"/>
                                                                      <w:divBdr>
                                                                        <w:top w:val="none" w:sz="0" w:space="0" w:color="auto"/>
                                                                        <w:left w:val="none" w:sz="0" w:space="0" w:color="auto"/>
                                                                        <w:bottom w:val="none" w:sz="0" w:space="0" w:color="auto"/>
                                                                        <w:right w:val="none" w:sz="0" w:space="0" w:color="auto"/>
                                                                      </w:divBdr>
                                                                      <w:divsChild>
                                                                        <w:div w:id="486284067">
                                                                          <w:marLeft w:val="0"/>
                                                                          <w:marRight w:val="0"/>
                                                                          <w:marTop w:val="0"/>
                                                                          <w:marBottom w:val="0"/>
                                                                          <w:divBdr>
                                                                            <w:top w:val="none" w:sz="0" w:space="0" w:color="auto"/>
                                                                            <w:left w:val="none" w:sz="0" w:space="0" w:color="auto"/>
                                                                            <w:bottom w:val="none" w:sz="0" w:space="0" w:color="auto"/>
                                                                            <w:right w:val="none" w:sz="0" w:space="0" w:color="auto"/>
                                                                          </w:divBdr>
                                                                          <w:divsChild>
                                                                            <w:div w:id="292446596">
                                                                              <w:marLeft w:val="0"/>
                                                                              <w:marRight w:val="0"/>
                                                                              <w:marTop w:val="0"/>
                                                                              <w:marBottom w:val="0"/>
                                                                              <w:divBdr>
                                                                                <w:top w:val="none" w:sz="0" w:space="0" w:color="auto"/>
                                                                                <w:left w:val="none" w:sz="0" w:space="0" w:color="auto"/>
                                                                                <w:bottom w:val="none" w:sz="0" w:space="0" w:color="auto"/>
                                                                                <w:right w:val="none" w:sz="0" w:space="0" w:color="auto"/>
                                                                              </w:divBdr>
                                                                              <w:divsChild>
                                                                                <w:div w:id="2068336379">
                                                                                  <w:marLeft w:val="0"/>
                                                                                  <w:marRight w:val="0"/>
                                                                                  <w:marTop w:val="0"/>
                                                                                  <w:marBottom w:val="0"/>
                                                                                  <w:divBdr>
                                                                                    <w:top w:val="none" w:sz="0" w:space="0" w:color="auto"/>
                                                                                    <w:left w:val="none" w:sz="0" w:space="0" w:color="auto"/>
                                                                                    <w:bottom w:val="none" w:sz="0" w:space="0" w:color="auto"/>
                                                                                    <w:right w:val="none" w:sz="0" w:space="0" w:color="auto"/>
                                                                                  </w:divBdr>
                                                                                  <w:divsChild>
                                                                                    <w:div w:id="1951934473">
                                                                                      <w:marLeft w:val="0"/>
                                                                                      <w:marRight w:val="0"/>
                                                                                      <w:marTop w:val="0"/>
                                                                                      <w:marBottom w:val="0"/>
                                                                                      <w:divBdr>
                                                                                        <w:top w:val="none" w:sz="0" w:space="0" w:color="auto"/>
                                                                                        <w:left w:val="none" w:sz="0" w:space="0" w:color="auto"/>
                                                                                        <w:bottom w:val="none" w:sz="0" w:space="0" w:color="auto"/>
                                                                                        <w:right w:val="none" w:sz="0" w:space="0" w:color="auto"/>
                                                                                      </w:divBdr>
                                                                                      <w:divsChild>
                                                                                        <w:div w:id="1447895519">
                                                                                          <w:marLeft w:val="0"/>
                                                                                          <w:marRight w:val="120"/>
                                                                                          <w:marTop w:val="0"/>
                                                                                          <w:marBottom w:val="150"/>
                                                                                          <w:divBdr>
                                                                                            <w:top w:val="single" w:sz="2" w:space="0" w:color="EFEFEF"/>
                                                                                            <w:left w:val="single" w:sz="6" w:space="0" w:color="EFEFEF"/>
                                                                                            <w:bottom w:val="single" w:sz="6" w:space="0" w:color="E2E2E2"/>
                                                                                            <w:right w:val="single" w:sz="6" w:space="0" w:color="EFEFEF"/>
                                                                                          </w:divBdr>
                                                                                          <w:divsChild>
                                                                                            <w:div w:id="1581594697">
                                                                                              <w:marLeft w:val="0"/>
                                                                                              <w:marRight w:val="0"/>
                                                                                              <w:marTop w:val="0"/>
                                                                                              <w:marBottom w:val="0"/>
                                                                                              <w:divBdr>
                                                                                                <w:top w:val="none" w:sz="0" w:space="0" w:color="auto"/>
                                                                                                <w:left w:val="none" w:sz="0" w:space="0" w:color="auto"/>
                                                                                                <w:bottom w:val="none" w:sz="0" w:space="0" w:color="auto"/>
                                                                                                <w:right w:val="none" w:sz="0" w:space="0" w:color="auto"/>
                                                                                              </w:divBdr>
                                                                                              <w:divsChild>
                                                                                                <w:div w:id="1895660532">
                                                                                                  <w:marLeft w:val="0"/>
                                                                                                  <w:marRight w:val="0"/>
                                                                                                  <w:marTop w:val="0"/>
                                                                                                  <w:marBottom w:val="0"/>
                                                                                                  <w:divBdr>
                                                                                                    <w:top w:val="none" w:sz="0" w:space="0" w:color="auto"/>
                                                                                                    <w:left w:val="none" w:sz="0" w:space="0" w:color="auto"/>
                                                                                                    <w:bottom w:val="none" w:sz="0" w:space="0" w:color="auto"/>
                                                                                                    <w:right w:val="none" w:sz="0" w:space="0" w:color="auto"/>
                                                                                                  </w:divBdr>
                                                                                                  <w:divsChild>
                                                                                                    <w:div w:id="802697346">
                                                                                                      <w:marLeft w:val="0"/>
                                                                                                      <w:marRight w:val="0"/>
                                                                                                      <w:marTop w:val="0"/>
                                                                                                      <w:marBottom w:val="0"/>
                                                                                                      <w:divBdr>
                                                                                                        <w:top w:val="none" w:sz="0" w:space="0" w:color="auto"/>
                                                                                                        <w:left w:val="none" w:sz="0" w:space="0" w:color="auto"/>
                                                                                                        <w:bottom w:val="none" w:sz="0" w:space="0" w:color="auto"/>
                                                                                                        <w:right w:val="none" w:sz="0" w:space="0" w:color="auto"/>
                                                                                                      </w:divBdr>
                                                                                                      <w:divsChild>
                                                                                                        <w:div w:id="884294098">
                                                                                                          <w:marLeft w:val="0"/>
                                                                                                          <w:marRight w:val="0"/>
                                                                                                          <w:marTop w:val="0"/>
                                                                                                          <w:marBottom w:val="0"/>
                                                                                                          <w:divBdr>
                                                                                                            <w:top w:val="none" w:sz="0" w:space="0" w:color="auto"/>
                                                                                                            <w:left w:val="none" w:sz="0" w:space="0" w:color="auto"/>
                                                                                                            <w:bottom w:val="none" w:sz="0" w:space="0" w:color="auto"/>
                                                                                                            <w:right w:val="none" w:sz="0" w:space="0" w:color="auto"/>
                                                                                                          </w:divBdr>
                                                                                                          <w:divsChild>
                                                                                                            <w:div w:id="238901702">
                                                                                                              <w:marLeft w:val="0"/>
                                                                                                              <w:marRight w:val="0"/>
                                                                                                              <w:marTop w:val="0"/>
                                                                                                              <w:marBottom w:val="0"/>
                                                                                                              <w:divBdr>
                                                                                                                <w:top w:val="single" w:sz="2" w:space="4" w:color="D8D8D8"/>
                                                                                                                <w:left w:val="single" w:sz="2" w:space="0" w:color="D8D8D8"/>
                                                                                                                <w:bottom w:val="single" w:sz="2" w:space="4" w:color="D8D8D8"/>
                                                                                                                <w:right w:val="single" w:sz="2" w:space="0" w:color="D8D8D8"/>
                                                                                                              </w:divBdr>
                                                                                                              <w:divsChild>
                                                                                                                <w:div w:id="1226068945">
                                                                                                                  <w:marLeft w:val="225"/>
                                                                                                                  <w:marRight w:val="225"/>
                                                                                                                  <w:marTop w:val="75"/>
                                                                                                                  <w:marBottom w:val="75"/>
                                                                                                                  <w:divBdr>
                                                                                                                    <w:top w:val="none" w:sz="0" w:space="0" w:color="auto"/>
                                                                                                                    <w:left w:val="none" w:sz="0" w:space="0" w:color="auto"/>
                                                                                                                    <w:bottom w:val="none" w:sz="0" w:space="0" w:color="auto"/>
                                                                                                                    <w:right w:val="none" w:sz="0" w:space="0" w:color="auto"/>
                                                                                                                  </w:divBdr>
                                                                                                                  <w:divsChild>
                                                                                                                    <w:div w:id="1933006472">
                                                                                                                      <w:marLeft w:val="0"/>
                                                                                                                      <w:marRight w:val="0"/>
                                                                                                                      <w:marTop w:val="0"/>
                                                                                                                      <w:marBottom w:val="0"/>
                                                                                                                      <w:divBdr>
                                                                                                                        <w:top w:val="single" w:sz="6" w:space="0" w:color="auto"/>
                                                                                                                        <w:left w:val="single" w:sz="6" w:space="0" w:color="auto"/>
                                                                                                                        <w:bottom w:val="single" w:sz="6" w:space="0" w:color="auto"/>
                                                                                                                        <w:right w:val="single" w:sz="6" w:space="0" w:color="auto"/>
                                                                                                                      </w:divBdr>
                                                                                                                      <w:divsChild>
                                                                                                                        <w:div w:id="620692847">
                                                                                                                          <w:marLeft w:val="0"/>
                                                                                                                          <w:marRight w:val="0"/>
                                                                                                                          <w:marTop w:val="0"/>
                                                                                                                          <w:marBottom w:val="0"/>
                                                                                                                          <w:divBdr>
                                                                                                                            <w:top w:val="none" w:sz="0" w:space="0" w:color="auto"/>
                                                                                                                            <w:left w:val="none" w:sz="0" w:space="0" w:color="auto"/>
                                                                                                                            <w:bottom w:val="none" w:sz="0" w:space="0" w:color="auto"/>
                                                                                                                            <w:right w:val="none" w:sz="0" w:space="0" w:color="auto"/>
                                                                                                                          </w:divBdr>
                                                                                                                          <w:divsChild>
                                                                                                                            <w:div w:id="65761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010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aemo.com.au/-/media/Files/Gas/DWGM/2016/Wholesale-Market-Uplift-Payment-Procedures.pdf" TargetMode="External"/><Relationship Id="rId2" Type="http://schemas.openxmlformats.org/officeDocument/2006/relationships/customXml" Target="../customXml/item2.xml"/><Relationship Id="rId16" Type="http://schemas.openxmlformats.org/officeDocument/2006/relationships/hyperlink" Target="https://www.aer.gov.au/wholesale-markets/market-guidelines/significant-price-variation-guideline-for-victorian-declared-wholesale-market"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5" Type="http://schemas.microsoft.com/office/2007/relationships/stylesWithEffects" Target="stylesWithEffects.xml"/><Relationship Id="rId15" Type="http://schemas.openxmlformats.org/officeDocument/2006/relationships/image" Target="media/image4.emf"/><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aemc.gov.au" TargetMode="External"/><Relationship Id="rId2" Type="http://schemas.openxmlformats.org/officeDocument/2006/relationships/hyperlink" Target="https://www.apa.com.au/our-services/gas-transmission/east-coast-grid/victorian-transmission-system/" TargetMode="External"/><Relationship Id="rId1" Type="http://schemas.openxmlformats.org/officeDocument/2006/relationships/hyperlink" Target="https://www.apa.com.au/our-services/gas-transmission/east-coast-grid/victorian-transmission-system/" TargetMode="External"/><Relationship Id="rId6" Type="http://schemas.openxmlformats.org/officeDocument/2006/relationships/hyperlink" Target="http://www.aemo.com.au/Gas/Declared-Wholesale-Gas-Market-DWGM/Policies-and-procedures" TargetMode="External"/><Relationship Id="rId5" Type="http://schemas.openxmlformats.org/officeDocument/2006/relationships/hyperlink" Target="http://www.aemo.com.au/Gas/Declared-Wholesale-Gas-Market-DWGM/Policies-and-procedures" TargetMode="External"/><Relationship Id="rId4" Type="http://schemas.openxmlformats.org/officeDocument/2006/relationships/hyperlink" Target="https://www.aemo.com.au/Gas/Declared-Wholesale-Gas-Market-DWGM/Market-notices" TargetMode="External"/></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A29E0D-4DA2-4B6E-B27F-485CD0BC0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A02A6721.dotm</Template>
  <TotalTime>0</TotalTime>
  <Pages>25</Pages>
  <Words>5984</Words>
  <Characters>34109</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40013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2016-12-21T05:08:00Z</dcterms:created>
  <dcterms:modified xsi:type="dcterms:W3CDTF">2016-12-21T05:17:00Z</dcterms:modified>
</cp:coreProperties>
</file>