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drawings/drawing6.xml" ContentType="application/vnd.openxmlformats-officedocument.drawingml.chartshapes+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2FE" w:rsidRPr="0020711E" w:rsidRDefault="00AD12FE" w:rsidP="00AD12FE">
      <w:pPr>
        <w:pStyle w:val="UnnumberedHeading"/>
        <w:numPr>
          <w:ilvl w:val="0"/>
          <w:numId w:val="2"/>
        </w:numPr>
        <w:rPr>
          <w:rStyle w:val="AERtextsize8"/>
        </w:rPr>
      </w:pPr>
      <w:r w:rsidRPr="00AD12FE">
        <w:rPr>
          <w:noProof/>
          <w:lang w:eastAsia="en-AU"/>
        </w:rPr>
        <w:drawing>
          <wp:anchor distT="0" distB="0" distL="114300" distR="114300" simplePos="0" relativeHeight="251661312" behindDoc="1" locked="0" layoutInCell="1" allowOverlap="1">
            <wp:simplePos x="0" y="0"/>
            <wp:positionH relativeFrom="column">
              <wp:posOffset>-914400</wp:posOffset>
            </wp:positionH>
            <wp:positionV relativeFrom="paragraph">
              <wp:posOffset>-1047750</wp:posOffset>
            </wp:positionV>
            <wp:extent cx="7576820" cy="10877550"/>
            <wp:effectExtent l="19050" t="0" r="5080" b="0"/>
            <wp:wrapNone/>
            <wp:docPr id="1"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8" cstate="print"/>
                    <a:srcRect/>
                    <a:stretch>
                      <a:fillRect/>
                    </a:stretch>
                  </pic:blipFill>
                  <pic:spPr bwMode="auto">
                    <a:xfrm>
                      <a:off x="0" y="0"/>
                      <a:ext cx="7576820" cy="10877550"/>
                    </a:xfrm>
                    <a:prstGeom prst="rect">
                      <a:avLst/>
                    </a:prstGeom>
                    <a:noFill/>
                    <a:ln w="9525">
                      <a:noFill/>
                      <a:miter lim="800000"/>
                      <a:headEnd/>
                      <a:tailEnd/>
                    </a:ln>
                  </pic:spPr>
                </pic:pic>
              </a:graphicData>
            </a:graphic>
          </wp:anchor>
        </w:drawing>
      </w:r>
      <w:r w:rsidRPr="00AD12FE">
        <w:rPr>
          <w:noProof/>
          <w:lang w:eastAsia="en-AU"/>
        </w:rPr>
        <w:drawing>
          <wp:anchor distT="0" distB="0" distL="114300" distR="114300" simplePos="0" relativeHeight="251660288" behindDoc="1" locked="0" layoutInCell="1" allowOverlap="1">
            <wp:simplePos x="0" y="0"/>
            <wp:positionH relativeFrom="column">
              <wp:posOffset>8280400</wp:posOffset>
            </wp:positionH>
            <wp:positionV relativeFrom="paragraph">
              <wp:posOffset>-946150</wp:posOffset>
            </wp:positionV>
            <wp:extent cx="7635875" cy="10784205"/>
            <wp:effectExtent l="19050" t="0" r="3175" b="0"/>
            <wp:wrapNone/>
            <wp:docPr id="3"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8"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p>
    <w:p w:rsidR="00AD12FE" w:rsidRDefault="00AD12FE" w:rsidP="00AD12FE">
      <w:pPr>
        <w:pStyle w:val="AERtitle1"/>
      </w:pPr>
    </w:p>
    <w:p w:rsidR="00AD12FE" w:rsidRDefault="00AD12FE" w:rsidP="00AD12FE">
      <w:pPr>
        <w:pStyle w:val="AERtitle1"/>
      </w:pPr>
    </w:p>
    <w:p w:rsidR="00AD12FE" w:rsidRDefault="00AD12FE" w:rsidP="00AD12FE">
      <w:pPr>
        <w:pStyle w:val="AERtitle1"/>
      </w:pPr>
    </w:p>
    <w:p w:rsidR="00AD12FE" w:rsidRDefault="00AD12FE" w:rsidP="00AD12FE">
      <w:pPr>
        <w:pStyle w:val="AERtitle1"/>
      </w:pPr>
    </w:p>
    <w:p w:rsidR="00AD12FE" w:rsidRDefault="00AD12FE" w:rsidP="00AD12FE">
      <w:pPr>
        <w:pStyle w:val="AERtitle1"/>
      </w:pPr>
      <w:r>
        <w:t>Issues Paper</w:t>
      </w:r>
    </w:p>
    <w:p w:rsidR="00AD12FE" w:rsidRDefault="00AD12FE" w:rsidP="00AD12FE">
      <w:pPr>
        <w:pStyle w:val="AERtitle1"/>
      </w:pPr>
      <w:r>
        <w:t>SP AusNet’s electricity transmission revenue proposal</w:t>
      </w:r>
    </w:p>
    <w:p w:rsidR="00AD12FE" w:rsidRDefault="00AD12FE" w:rsidP="00AD12FE">
      <w:pPr>
        <w:pStyle w:val="AERtitle1"/>
      </w:pPr>
      <w:r>
        <w:t xml:space="preserve">2014–15 to 2016–17 </w:t>
      </w:r>
    </w:p>
    <w:p w:rsidR="00AD12FE" w:rsidRDefault="00AD12FE" w:rsidP="00AD12FE">
      <w:pPr>
        <w:pStyle w:val="AERtitle1"/>
      </w:pPr>
    </w:p>
    <w:p w:rsidR="00AD12FE" w:rsidRDefault="005A334D" w:rsidP="00AD12FE">
      <w:pPr>
        <w:pStyle w:val="AERtitle2"/>
      </w:pPr>
      <w:r>
        <w:t>1 May</w:t>
      </w:r>
      <w:r w:rsidR="00AD12FE">
        <w:t xml:space="preserve"> 2013</w:t>
      </w:r>
    </w:p>
    <w:p w:rsidR="00AD12FE" w:rsidRDefault="00AD12FE" w:rsidP="00AD12FE">
      <w:pPr>
        <w:pStyle w:val="AERtitle2"/>
      </w:pPr>
    </w:p>
    <w:p w:rsidR="00AD12FE" w:rsidRDefault="00AD12FE" w:rsidP="00AD12FE">
      <w:pPr>
        <w:pStyle w:val="AERtitle2"/>
      </w:pPr>
    </w:p>
    <w:p w:rsidR="00AD12FE" w:rsidRDefault="00AD12FE" w:rsidP="00AD12FE">
      <w:pPr>
        <w:pStyle w:val="AERtitle2"/>
      </w:pPr>
    </w:p>
    <w:p w:rsidR="00AD12FE" w:rsidRDefault="00AD12FE" w:rsidP="00AD12FE">
      <w:pPr>
        <w:pStyle w:val="AERbodytextnospace"/>
        <w:numPr>
          <w:ilvl w:val="0"/>
          <w:numId w:val="13"/>
        </w:numPr>
      </w:pPr>
    </w:p>
    <w:p w:rsidR="00AD12FE" w:rsidRDefault="00AD12FE" w:rsidP="00AD12FE">
      <w:pPr>
        <w:pStyle w:val="AERbodytextnospace"/>
        <w:numPr>
          <w:ilvl w:val="0"/>
          <w:numId w:val="13"/>
        </w:numPr>
      </w:pPr>
    </w:p>
    <w:p w:rsidR="00AD12FE" w:rsidRDefault="00AD12FE" w:rsidP="00AD12FE">
      <w:pPr>
        <w:pStyle w:val="AERbodytextnospace"/>
      </w:pPr>
    </w:p>
    <w:p w:rsidR="00AD12FE" w:rsidRDefault="00AD12FE" w:rsidP="00AD12FE">
      <w:pPr>
        <w:pStyle w:val="AERbodytextnospace"/>
      </w:pPr>
    </w:p>
    <w:p w:rsidR="00AD12FE" w:rsidRDefault="00AD12FE" w:rsidP="00AD12FE">
      <w:pPr>
        <w:pStyle w:val="AERbodytextnospace"/>
      </w:pPr>
    </w:p>
    <w:p w:rsidR="00AD12FE" w:rsidRDefault="00AD12FE" w:rsidP="00AD12FE">
      <w:pPr>
        <w:pStyle w:val="AERbodytextnospace"/>
        <w:numPr>
          <w:ilvl w:val="0"/>
          <w:numId w:val="13"/>
        </w:numPr>
      </w:pPr>
    </w:p>
    <w:p w:rsidR="00AD12FE" w:rsidRPr="00412D01" w:rsidRDefault="00AD12FE" w:rsidP="00AD12FE"/>
    <w:p w:rsidR="00D31DAC" w:rsidRDefault="00D31DAC" w:rsidP="00D31DAC">
      <w:pPr>
        <w:pStyle w:val="TOC1"/>
      </w:pPr>
    </w:p>
    <w:p w:rsidR="00D31DAC" w:rsidRDefault="00D31DAC" w:rsidP="00D31DAC">
      <w:pPr>
        <w:pStyle w:val="TOC1"/>
      </w:pPr>
    </w:p>
    <w:p w:rsidR="00D31DAC" w:rsidRDefault="00D31DAC" w:rsidP="00D31DAC">
      <w:pPr>
        <w:pStyle w:val="TOC1"/>
      </w:pPr>
    </w:p>
    <w:p w:rsidR="00D31DAC" w:rsidRPr="00F6235D" w:rsidRDefault="00D31DAC" w:rsidP="00D31DAC">
      <w:pPr>
        <w:pStyle w:val="TOC1"/>
      </w:pPr>
      <w:r w:rsidRPr="00F6235D">
        <w:lastRenderedPageBreak/>
        <w:t>© Commonwealth of Australia 201</w:t>
      </w:r>
      <w:r>
        <w:t xml:space="preserve">3 </w:t>
      </w:r>
    </w:p>
    <w:p w:rsidR="00D31DAC" w:rsidRPr="00F6235D" w:rsidRDefault="00D31DAC" w:rsidP="00D31DAC">
      <w:pPr>
        <w:pStyle w:val="AERbodytext"/>
      </w:pPr>
      <w:r w:rsidRPr="00F6235D">
        <w:t xml:space="preserve">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w:t>
      </w:r>
      <w:smartTag w:uri="urn:schemas-microsoft-com:office:smarttags" w:element="City">
        <w:smartTag w:uri="urn:schemas-microsoft-com:office:smarttags" w:element="place">
          <w:r w:rsidRPr="00F6235D">
            <w:t>Canberra</w:t>
          </w:r>
        </w:smartTag>
      </w:smartTag>
      <w:r w:rsidRPr="00F6235D">
        <w:t xml:space="preserve"> ACT 2601.</w:t>
      </w:r>
    </w:p>
    <w:p w:rsidR="00D31DAC" w:rsidRDefault="00D31DAC" w:rsidP="00D31DAC">
      <w:pPr>
        <w:pStyle w:val="AERbodytext"/>
      </w:pPr>
      <w:r>
        <w:t>Inquiries about this final decision should be addressed to:</w:t>
      </w:r>
    </w:p>
    <w:p w:rsidR="00D31DAC" w:rsidRDefault="00D31DAC" w:rsidP="00D31DAC">
      <w:pPr>
        <w:pStyle w:val="AERbodytext"/>
        <w:spacing w:after="0"/>
      </w:pPr>
      <w:r>
        <w:t>Australian Energy Regulator</w:t>
      </w:r>
    </w:p>
    <w:p w:rsidR="00D31DAC" w:rsidRDefault="00D31DAC" w:rsidP="00D31DAC">
      <w:pPr>
        <w:pStyle w:val="AERbodytext"/>
        <w:spacing w:after="0"/>
      </w:pPr>
      <w:r>
        <w:t xml:space="preserve">GPO </w:t>
      </w:r>
      <w:smartTag w:uri="urn:schemas-microsoft-com:office:smarttags" w:element="address">
        <w:smartTag w:uri="urn:schemas-microsoft-com:office:smarttags" w:element="Street">
          <w:r>
            <w:t>Box</w:t>
          </w:r>
        </w:smartTag>
        <w:r>
          <w:t xml:space="preserve"> 520</w:t>
        </w:r>
      </w:smartTag>
    </w:p>
    <w:p w:rsidR="00D31DAC" w:rsidRDefault="00D31DAC" w:rsidP="00D31DAC">
      <w:pPr>
        <w:pStyle w:val="AERbodytext"/>
        <w:spacing w:after="0"/>
      </w:pPr>
      <w:r>
        <w:t>Melbourne  Vic  3001</w:t>
      </w:r>
    </w:p>
    <w:p w:rsidR="00D31DAC" w:rsidRDefault="00D31DAC" w:rsidP="00D31DAC">
      <w:pPr>
        <w:pStyle w:val="AERbodytext"/>
        <w:spacing w:after="0"/>
      </w:pPr>
      <w:r>
        <w:t>Tel: (03) 9290 1444</w:t>
      </w:r>
    </w:p>
    <w:p w:rsidR="00D31DAC" w:rsidRDefault="00D31DAC" w:rsidP="00D31DAC">
      <w:pPr>
        <w:pStyle w:val="AERbodytext"/>
        <w:spacing w:after="0"/>
      </w:pPr>
      <w:r>
        <w:t>Fax: (03) 9290 1457</w:t>
      </w:r>
    </w:p>
    <w:p w:rsidR="00D31DAC" w:rsidRDefault="00D31DAC" w:rsidP="00D31DAC">
      <w:pPr>
        <w:pStyle w:val="AERbodytext"/>
        <w:rPr>
          <w:color w:val="E36C0A"/>
          <w:sz w:val="36"/>
          <w:szCs w:val="28"/>
        </w:rPr>
      </w:pPr>
      <w:r>
        <w:t xml:space="preserve">Email: </w:t>
      </w:r>
      <w:hyperlink r:id="rId9" w:history="1">
        <w:r w:rsidRPr="003E184A">
          <w:rPr>
            <w:rStyle w:val="Hyperlink"/>
          </w:rPr>
          <w:t>AERInquiry@aer.gov.au</w:t>
        </w:r>
      </w:hyperlink>
      <w:r>
        <w:br w:type="page"/>
      </w:r>
    </w:p>
    <w:p w:rsidR="00AD12FE" w:rsidRDefault="00AD12FE" w:rsidP="00AD12FE">
      <w:pPr>
        <w:pStyle w:val="UnnumberedHeading"/>
        <w:numPr>
          <w:ilvl w:val="0"/>
          <w:numId w:val="2"/>
        </w:numPr>
      </w:pPr>
      <w:bookmarkStart w:id="0" w:name="_Toc355186291"/>
      <w:r>
        <w:lastRenderedPageBreak/>
        <w:t>Contents</w:t>
      </w:r>
      <w:bookmarkEnd w:id="0"/>
    </w:p>
    <w:p w:rsidR="003F1C4B" w:rsidRDefault="00876FFF">
      <w:pPr>
        <w:pStyle w:val="TOC1"/>
        <w:tabs>
          <w:tab w:val="right" w:leader="dot" w:pos="9016"/>
        </w:tabs>
        <w:rPr>
          <w:rFonts w:asciiTheme="minorHAnsi" w:eastAsiaTheme="minorEastAsia" w:hAnsiTheme="minorHAnsi" w:cstheme="minorBidi"/>
          <w:b w:val="0"/>
          <w:bCs w:val="0"/>
          <w:noProof/>
          <w:sz w:val="22"/>
          <w:szCs w:val="22"/>
          <w:lang w:eastAsia="en-AU"/>
        </w:rPr>
      </w:pPr>
      <w:r w:rsidRPr="00876FFF">
        <w:fldChar w:fldCharType="begin"/>
      </w:r>
      <w:r w:rsidR="00AD12FE" w:rsidRPr="00AD12FE">
        <w:instrText xml:space="preserve"> TOC \o "1-2" \h \z \u \t "Heading 7,1,Heading 8,2" </w:instrText>
      </w:r>
      <w:r w:rsidRPr="00876FFF">
        <w:fldChar w:fldCharType="separate"/>
      </w:r>
      <w:hyperlink w:anchor="_Toc355186291" w:history="1">
        <w:r w:rsidR="003F1C4B" w:rsidRPr="00DB50F9">
          <w:rPr>
            <w:rStyle w:val="Hyperlink"/>
            <w:noProof/>
          </w:rPr>
          <w:t>Contents</w:t>
        </w:r>
        <w:r w:rsidR="003F1C4B">
          <w:rPr>
            <w:noProof/>
            <w:webHidden/>
          </w:rPr>
          <w:tab/>
        </w:r>
        <w:r>
          <w:rPr>
            <w:noProof/>
            <w:webHidden/>
          </w:rPr>
          <w:fldChar w:fldCharType="begin"/>
        </w:r>
        <w:r w:rsidR="003F1C4B">
          <w:rPr>
            <w:noProof/>
            <w:webHidden/>
          </w:rPr>
          <w:instrText xml:space="preserve"> PAGEREF _Toc355186291 \h </w:instrText>
        </w:r>
        <w:r>
          <w:rPr>
            <w:noProof/>
            <w:webHidden/>
          </w:rPr>
        </w:r>
        <w:r>
          <w:rPr>
            <w:noProof/>
            <w:webHidden/>
          </w:rPr>
          <w:fldChar w:fldCharType="separate"/>
        </w:r>
        <w:r w:rsidR="003F1C4B">
          <w:rPr>
            <w:noProof/>
            <w:webHidden/>
          </w:rPr>
          <w:t>iii</w:t>
        </w:r>
        <w:r>
          <w:rPr>
            <w:noProof/>
            <w:webHidden/>
          </w:rPr>
          <w:fldChar w:fldCharType="end"/>
        </w:r>
      </w:hyperlink>
    </w:p>
    <w:p w:rsidR="003F1C4B" w:rsidRDefault="00876FFF">
      <w:pPr>
        <w:pStyle w:val="TOC1"/>
        <w:tabs>
          <w:tab w:val="right" w:leader="dot" w:pos="9016"/>
        </w:tabs>
        <w:rPr>
          <w:rFonts w:asciiTheme="minorHAnsi" w:eastAsiaTheme="minorEastAsia" w:hAnsiTheme="minorHAnsi" w:cstheme="minorBidi"/>
          <w:b w:val="0"/>
          <w:bCs w:val="0"/>
          <w:noProof/>
          <w:sz w:val="22"/>
          <w:szCs w:val="22"/>
          <w:lang w:eastAsia="en-AU"/>
        </w:rPr>
      </w:pPr>
      <w:hyperlink w:anchor="_Toc355186292" w:history="1">
        <w:r w:rsidR="003F1C4B" w:rsidRPr="00DB50F9">
          <w:rPr>
            <w:rStyle w:val="Hyperlink"/>
            <w:noProof/>
          </w:rPr>
          <w:t>Shortened forms</w:t>
        </w:r>
        <w:r w:rsidR="003F1C4B">
          <w:rPr>
            <w:noProof/>
            <w:webHidden/>
          </w:rPr>
          <w:tab/>
        </w:r>
        <w:r>
          <w:rPr>
            <w:noProof/>
            <w:webHidden/>
          </w:rPr>
          <w:fldChar w:fldCharType="begin"/>
        </w:r>
        <w:r w:rsidR="003F1C4B">
          <w:rPr>
            <w:noProof/>
            <w:webHidden/>
          </w:rPr>
          <w:instrText xml:space="preserve"> PAGEREF _Toc355186292 \h </w:instrText>
        </w:r>
        <w:r>
          <w:rPr>
            <w:noProof/>
            <w:webHidden/>
          </w:rPr>
        </w:r>
        <w:r>
          <w:rPr>
            <w:noProof/>
            <w:webHidden/>
          </w:rPr>
          <w:fldChar w:fldCharType="separate"/>
        </w:r>
        <w:r w:rsidR="003F1C4B">
          <w:rPr>
            <w:noProof/>
            <w:webHidden/>
          </w:rPr>
          <w:t>iv</w:t>
        </w:r>
        <w:r>
          <w:rPr>
            <w:noProof/>
            <w:webHidden/>
          </w:rPr>
          <w:fldChar w:fldCharType="end"/>
        </w:r>
      </w:hyperlink>
    </w:p>
    <w:p w:rsidR="003F1C4B" w:rsidRDefault="00876FFF">
      <w:pPr>
        <w:pStyle w:val="TOC1"/>
        <w:tabs>
          <w:tab w:val="right" w:leader="dot" w:pos="9016"/>
        </w:tabs>
        <w:rPr>
          <w:rFonts w:asciiTheme="minorHAnsi" w:eastAsiaTheme="minorEastAsia" w:hAnsiTheme="minorHAnsi" w:cstheme="minorBidi"/>
          <w:b w:val="0"/>
          <w:bCs w:val="0"/>
          <w:noProof/>
          <w:sz w:val="22"/>
          <w:szCs w:val="22"/>
          <w:lang w:eastAsia="en-AU"/>
        </w:rPr>
      </w:pPr>
      <w:hyperlink w:anchor="_Toc355186293" w:history="1">
        <w:r w:rsidR="003F1C4B" w:rsidRPr="00DB50F9">
          <w:rPr>
            <w:rStyle w:val="Hyperlink"/>
            <w:noProof/>
          </w:rPr>
          <w:t>Overview</w:t>
        </w:r>
        <w:r w:rsidR="003F1C4B">
          <w:rPr>
            <w:noProof/>
            <w:webHidden/>
          </w:rPr>
          <w:tab/>
        </w:r>
        <w:r>
          <w:rPr>
            <w:noProof/>
            <w:webHidden/>
          </w:rPr>
          <w:fldChar w:fldCharType="begin"/>
        </w:r>
        <w:r w:rsidR="003F1C4B">
          <w:rPr>
            <w:noProof/>
            <w:webHidden/>
          </w:rPr>
          <w:instrText xml:space="preserve"> PAGEREF _Toc355186293 \h </w:instrText>
        </w:r>
        <w:r>
          <w:rPr>
            <w:noProof/>
            <w:webHidden/>
          </w:rPr>
        </w:r>
        <w:r>
          <w:rPr>
            <w:noProof/>
            <w:webHidden/>
          </w:rPr>
          <w:fldChar w:fldCharType="separate"/>
        </w:r>
        <w:r w:rsidR="003F1C4B">
          <w:rPr>
            <w:noProof/>
            <w:webHidden/>
          </w:rPr>
          <w:t>1</w:t>
        </w:r>
        <w:r>
          <w:rPr>
            <w:noProof/>
            <w:webHidden/>
          </w:rPr>
          <w:fldChar w:fldCharType="end"/>
        </w:r>
      </w:hyperlink>
    </w:p>
    <w:p w:rsidR="003F1C4B" w:rsidRDefault="00876FFF">
      <w:pPr>
        <w:pStyle w:val="TOC2"/>
        <w:tabs>
          <w:tab w:val="right" w:leader="dot" w:pos="9016"/>
        </w:tabs>
        <w:rPr>
          <w:rFonts w:asciiTheme="minorHAnsi" w:eastAsiaTheme="minorEastAsia" w:hAnsiTheme="minorHAnsi" w:cstheme="minorBidi"/>
          <w:iCs w:val="0"/>
          <w:noProof/>
          <w:sz w:val="22"/>
          <w:szCs w:val="22"/>
          <w:lang w:eastAsia="en-AU"/>
        </w:rPr>
      </w:pPr>
      <w:hyperlink w:anchor="_Toc355186294" w:history="1">
        <w:r w:rsidR="003F1C4B" w:rsidRPr="00DB50F9">
          <w:rPr>
            <w:rStyle w:val="Hyperlink"/>
            <w:noProof/>
          </w:rPr>
          <w:t>What to include in your submission</w:t>
        </w:r>
        <w:r w:rsidR="003F1C4B">
          <w:rPr>
            <w:noProof/>
            <w:webHidden/>
          </w:rPr>
          <w:tab/>
        </w:r>
        <w:r>
          <w:rPr>
            <w:noProof/>
            <w:webHidden/>
          </w:rPr>
          <w:fldChar w:fldCharType="begin"/>
        </w:r>
        <w:r w:rsidR="003F1C4B">
          <w:rPr>
            <w:noProof/>
            <w:webHidden/>
          </w:rPr>
          <w:instrText xml:space="preserve"> PAGEREF _Toc355186294 \h </w:instrText>
        </w:r>
        <w:r>
          <w:rPr>
            <w:noProof/>
            <w:webHidden/>
          </w:rPr>
        </w:r>
        <w:r>
          <w:rPr>
            <w:noProof/>
            <w:webHidden/>
          </w:rPr>
          <w:fldChar w:fldCharType="separate"/>
        </w:r>
        <w:r w:rsidR="003F1C4B">
          <w:rPr>
            <w:noProof/>
            <w:webHidden/>
          </w:rPr>
          <w:t>1</w:t>
        </w:r>
        <w:r>
          <w:rPr>
            <w:noProof/>
            <w:webHidden/>
          </w:rPr>
          <w:fldChar w:fldCharType="end"/>
        </w:r>
      </w:hyperlink>
    </w:p>
    <w:p w:rsidR="003F1C4B" w:rsidRDefault="00876FFF">
      <w:pPr>
        <w:pStyle w:val="TOC2"/>
        <w:tabs>
          <w:tab w:val="right" w:leader="dot" w:pos="9016"/>
        </w:tabs>
        <w:rPr>
          <w:rFonts w:asciiTheme="minorHAnsi" w:eastAsiaTheme="minorEastAsia" w:hAnsiTheme="minorHAnsi" w:cstheme="minorBidi"/>
          <w:iCs w:val="0"/>
          <w:noProof/>
          <w:sz w:val="22"/>
          <w:szCs w:val="22"/>
          <w:lang w:eastAsia="en-AU"/>
        </w:rPr>
      </w:pPr>
      <w:hyperlink w:anchor="_Toc355186295" w:history="1">
        <w:r w:rsidR="003F1C4B" w:rsidRPr="00DB50F9">
          <w:rPr>
            <w:rStyle w:val="Hyperlink"/>
            <w:noProof/>
          </w:rPr>
          <w:t>Timelines</w:t>
        </w:r>
        <w:r w:rsidR="003F1C4B">
          <w:rPr>
            <w:noProof/>
            <w:webHidden/>
          </w:rPr>
          <w:tab/>
        </w:r>
        <w:r>
          <w:rPr>
            <w:noProof/>
            <w:webHidden/>
          </w:rPr>
          <w:fldChar w:fldCharType="begin"/>
        </w:r>
        <w:r w:rsidR="003F1C4B">
          <w:rPr>
            <w:noProof/>
            <w:webHidden/>
          </w:rPr>
          <w:instrText xml:space="preserve"> PAGEREF _Toc355186295 \h </w:instrText>
        </w:r>
        <w:r>
          <w:rPr>
            <w:noProof/>
            <w:webHidden/>
          </w:rPr>
        </w:r>
        <w:r>
          <w:rPr>
            <w:noProof/>
            <w:webHidden/>
          </w:rPr>
          <w:fldChar w:fldCharType="separate"/>
        </w:r>
        <w:r w:rsidR="003F1C4B">
          <w:rPr>
            <w:noProof/>
            <w:webHidden/>
          </w:rPr>
          <w:t>2</w:t>
        </w:r>
        <w:r>
          <w:rPr>
            <w:noProof/>
            <w:webHidden/>
          </w:rPr>
          <w:fldChar w:fldCharType="end"/>
        </w:r>
      </w:hyperlink>
    </w:p>
    <w:p w:rsidR="003F1C4B" w:rsidRDefault="00876FFF">
      <w:pPr>
        <w:pStyle w:val="TOC2"/>
        <w:tabs>
          <w:tab w:val="right" w:leader="dot" w:pos="9016"/>
        </w:tabs>
        <w:rPr>
          <w:rFonts w:asciiTheme="minorHAnsi" w:eastAsiaTheme="minorEastAsia" w:hAnsiTheme="minorHAnsi" w:cstheme="minorBidi"/>
          <w:iCs w:val="0"/>
          <w:noProof/>
          <w:sz w:val="22"/>
          <w:szCs w:val="22"/>
          <w:lang w:eastAsia="en-AU"/>
        </w:rPr>
      </w:pPr>
      <w:hyperlink w:anchor="_Toc355186296" w:history="1">
        <w:r w:rsidR="003F1C4B" w:rsidRPr="00DB50F9">
          <w:rPr>
            <w:rStyle w:val="Hyperlink"/>
            <w:noProof/>
          </w:rPr>
          <w:t>Structure of this document</w:t>
        </w:r>
        <w:r w:rsidR="003F1C4B">
          <w:rPr>
            <w:noProof/>
            <w:webHidden/>
          </w:rPr>
          <w:tab/>
        </w:r>
        <w:r>
          <w:rPr>
            <w:noProof/>
            <w:webHidden/>
          </w:rPr>
          <w:fldChar w:fldCharType="begin"/>
        </w:r>
        <w:r w:rsidR="003F1C4B">
          <w:rPr>
            <w:noProof/>
            <w:webHidden/>
          </w:rPr>
          <w:instrText xml:space="preserve"> PAGEREF _Toc355186296 \h </w:instrText>
        </w:r>
        <w:r>
          <w:rPr>
            <w:noProof/>
            <w:webHidden/>
          </w:rPr>
        </w:r>
        <w:r>
          <w:rPr>
            <w:noProof/>
            <w:webHidden/>
          </w:rPr>
          <w:fldChar w:fldCharType="separate"/>
        </w:r>
        <w:r w:rsidR="003F1C4B">
          <w:rPr>
            <w:noProof/>
            <w:webHidden/>
          </w:rPr>
          <w:t>2</w:t>
        </w:r>
        <w:r>
          <w:rPr>
            <w:noProof/>
            <w:webHidden/>
          </w:rPr>
          <w:fldChar w:fldCharType="end"/>
        </w:r>
      </w:hyperlink>
    </w:p>
    <w:p w:rsidR="003F1C4B" w:rsidRDefault="00876FF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5186297" w:history="1">
        <w:r w:rsidR="003F1C4B" w:rsidRPr="00DB50F9">
          <w:rPr>
            <w:rStyle w:val="Hyperlink"/>
            <w:noProof/>
          </w:rPr>
          <w:t>1</w:t>
        </w:r>
        <w:r w:rsidR="003F1C4B">
          <w:rPr>
            <w:rFonts w:asciiTheme="minorHAnsi" w:eastAsiaTheme="minorEastAsia" w:hAnsiTheme="minorHAnsi" w:cstheme="minorBidi"/>
            <w:b w:val="0"/>
            <w:bCs w:val="0"/>
            <w:noProof/>
            <w:sz w:val="22"/>
            <w:szCs w:val="22"/>
            <w:lang w:eastAsia="en-AU"/>
          </w:rPr>
          <w:tab/>
        </w:r>
        <w:r w:rsidR="003F1C4B" w:rsidRPr="00DB50F9">
          <w:rPr>
            <w:rStyle w:val="Hyperlink"/>
            <w:noProof/>
          </w:rPr>
          <w:t>Background</w:t>
        </w:r>
        <w:r w:rsidR="003F1C4B">
          <w:rPr>
            <w:noProof/>
            <w:webHidden/>
          </w:rPr>
          <w:tab/>
        </w:r>
        <w:r>
          <w:rPr>
            <w:noProof/>
            <w:webHidden/>
          </w:rPr>
          <w:fldChar w:fldCharType="begin"/>
        </w:r>
        <w:r w:rsidR="003F1C4B">
          <w:rPr>
            <w:noProof/>
            <w:webHidden/>
          </w:rPr>
          <w:instrText xml:space="preserve"> PAGEREF _Toc355186297 \h </w:instrText>
        </w:r>
        <w:r>
          <w:rPr>
            <w:noProof/>
            <w:webHidden/>
          </w:rPr>
        </w:r>
        <w:r>
          <w:rPr>
            <w:noProof/>
            <w:webHidden/>
          </w:rPr>
          <w:fldChar w:fldCharType="separate"/>
        </w:r>
        <w:r w:rsidR="003F1C4B">
          <w:rPr>
            <w:noProof/>
            <w:webHidden/>
          </w:rPr>
          <w:t>3</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298" w:history="1">
        <w:r w:rsidR="003F1C4B" w:rsidRPr="00DB50F9">
          <w:rPr>
            <w:rStyle w:val="Hyperlink"/>
            <w:noProof/>
          </w:rPr>
          <w:t>1.1</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The Australian Energy Regulator</w:t>
        </w:r>
        <w:r w:rsidR="003F1C4B">
          <w:rPr>
            <w:noProof/>
            <w:webHidden/>
          </w:rPr>
          <w:tab/>
        </w:r>
        <w:r>
          <w:rPr>
            <w:noProof/>
            <w:webHidden/>
          </w:rPr>
          <w:fldChar w:fldCharType="begin"/>
        </w:r>
        <w:r w:rsidR="003F1C4B">
          <w:rPr>
            <w:noProof/>
            <w:webHidden/>
          </w:rPr>
          <w:instrText xml:space="preserve"> PAGEREF _Toc355186298 \h </w:instrText>
        </w:r>
        <w:r>
          <w:rPr>
            <w:noProof/>
            <w:webHidden/>
          </w:rPr>
        </w:r>
        <w:r>
          <w:rPr>
            <w:noProof/>
            <w:webHidden/>
          </w:rPr>
          <w:fldChar w:fldCharType="separate"/>
        </w:r>
        <w:r w:rsidR="003F1C4B">
          <w:rPr>
            <w:noProof/>
            <w:webHidden/>
          </w:rPr>
          <w:t>3</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299" w:history="1">
        <w:r w:rsidR="003F1C4B" w:rsidRPr="00DB50F9">
          <w:rPr>
            <w:rStyle w:val="Hyperlink"/>
            <w:noProof/>
          </w:rPr>
          <w:t>1.2</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Who is SP AusNet and what does it do?</w:t>
        </w:r>
        <w:r w:rsidR="003F1C4B">
          <w:rPr>
            <w:noProof/>
            <w:webHidden/>
          </w:rPr>
          <w:tab/>
        </w:r>
        <w:r>
          <w:rPr>
            <w:noProof/>
            <w:webHidden/>
          </w:rPr>
          <w:fldChar w:fldCharType="begin"/>
        </w:r>
        <w:r w:rsidR="003F1C4B">
          <w:rPr>
            <w:noProof/>
            <w:webHidden/>
          </w:rPr>
          <w:instrText xml:space="preserve"> PAGEREF _Toc355186299 \h </w:instrText>
        </w:r>
        <w:r>
          <w:rPr>
            <w:noProof/>
            <w:webHidden/>
          </w:rPr>
        </w:r>
        <w:r>
          <w:rPr>
            <w:noProof/>
            <w:webHidden/>
          </w:rPr>
          <w:fldChar w:fldCharType="separate"/>
        </w:r>
        <w:r w:rsidR="003F1C4B">
          <w:rPr>
            <w:noProof/>
            <w:webHidden/>
          </w:rPr>
          <w:t>3</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300" w:history="1">
        <w:r w:rsidR="003F1C4B" w:rsidRPr="00DB50F9">
          <w:rPr>
            <w:rStyle w:val="Hyperlink"/>
            <w:noProof/>
          </w:rPr>
          <w:t>1.3</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SP AusNet's consumer engagement and community consultation</w:t>
        </w:r>
        <w:r w:rsidR="003F1C4B">
          <w:rPr>
            <w:noProof/>
            <w:webHidden/>
          </w:rPr>
          <w:tab/>
        </w:r>
        <w:r>
          <w:rPr>
            <w:noProof/>
            <w:webHidden/>
          </w:rPr>
          <w:fldChar w:fldCharType="begin"/>
        </w:r>
        <w:r w:rsidR="003F1C4B">
          <w:rPr>
            <w:noProof/>
            <w:webHidden/>
          </w:rPr>
          <w:instrText xml:space="preserve"> PAGEREF _Toc355186300 \h </w:instrText>
        </w:r>
        <w:r>
          <w:rPr>
            <w:noProof/>
            <w:webHidden/>
          </w:rPr>
        </w:r>
        <w:r>
          <w:rPr>
            <w:noProof/>
            <w:webHidden/>
          </w:rPr>
          <w:fldChar w:fldCharType="separate"/>
        </w:r>
        <w:r w:rsidR="003F1C4B">
          <w:rPr>
            <w:noProof/>
            <w:webHidden/>
          </w:rPr>
          <w:t>5</w:t>
        </w:r>
        <w:r>
          <w:rPr>
            <w:noProof/>
            <w:webHidden/>
          </w:rPr>
          <w:fldChar w:fldCharType="end"/>
        </w:r>
      </w:hyperlink>
    </w:p>
    <w:p w:rsidR="003F1C4B" w:rsidRDefault="00876FF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5186301" w:history="1">
        <w:r w:rsidR="003F1C4B" w:rsidRPr="00DB50F9">
          <w:rPr>
            <w:rStyle w:val="Hyperlink"/>
            <w:noProof/>
          </w:rPr>
          <w:t>2</w:t>
        </w:r>
        <w:r w:rsidR="003F1C4B">
          <w:rPr>
            <w:rFonts w:asciiTheme="minorHAnsi" w:eastAsiaTheme="minorEastAsia" w:hAnsiTheme="minorHAnsi" w:cstheme="minorBidi"/>
            <w:b w:val="0"/>
            <w:bCs w:val="0"/>
            <w:noProof/>
            <w:sz w:val="22"/>
            <w:szCs w:val="22"/>
            <w:lang w:eastAsia="en-AU"/>
          </w:rPr>
          <w:tab/>
        </w:r>
        <w:r w:rsidR="003F1C4B" w:rsidRPr="00DB50F9">
          <w:rPr>
            <w:rStyle w:val="Hyperlink"/>
            <w:noProof/>
          </w:rPr>
          <w:t>Regulatory framework</w:t>
        </w:r>
        <w:r w:rsidR="003F1C4B">
          <w:rPr>
            <w:noProof/>
            <w:webHidden/>
          </w:rPr>
          <w:tab/>
        </w:r>
        <w:r>
          <w:rPr>
            <w:noProof/>
            <w:webHidden/>
          </w:rPr>
          <w:fldChar w:fldCharType="begin"/>
        </w:r>
        <w:r w:rsidR="003F1C4B">
          <w:rPr>
            <w:noProof/>
            <w:webHidden/>
          </w:rPr>
          <w:instrText xml:space="preserve"> PAGEREF _Toc355186301 \h </w:instrText>
        </w:r>
        <w:r>
          <w:rPr>
            <w:noProof/>
            <w:webHidden/>
          </w:rPr>
        </w:r>
        <w:r>
          <w:rPr>
            <w:noProof/>
            <w:webHidden/>
          </w:rPr>
          <w:fldChar w:fldCharType="separate"/>
        </w:r>
        <w:r w:rsidR="003F1C4B">
          <w:rPr>
            <w:noProof/>
            <w:webHidden/>
          </w:rPr>
          <w:t>6</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302" w:history="1">
        <w:r w:rsidR="003F1C4B" w:rsidRPr="00DB50F9">
          <w:rPr>
            <w:rStyle w:val="Hyperlink"/>
            <w:noProof/>
          </w:rPr>
          <w:t>2.1</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Applicable version of the National Electricity Rules</w:t>
        </w:r>
        <w:r w:rsidR="003F1C4B">
          <w:rPr>
            <w:noProof/>
            <w:webHidden/>
          </w:rPr>
          <w:tab/>
        </w:r>
        <w:r>
          <w:rPr>
            <w:noProof/>
            <w:webHidden/>
          </w:rPr>
          <w:fldChar w:fldCharType="begin"/>
        </w:r>
        <w:r w:rsidR="003F1C4B">
          <w:rPr>
            <w:noProof/>
            <w:webHidden/>
          </w:rPr>
          <w:instrText xml:space="preserve"> PAGEREF _Toc355186302 \h </w:instrText>
        </w:r>
        <w:r>
          <w:rPr>
            <w:noProof/>
            <w:webHidden/>
          </w:rPr>
        </w:r>
        <w:r>
          <w:rPr>
            <w:noProof/>
            <w:webHidden/>
          </w:rPr>
          <w:fldChar w:fldCharType="separate"/>
        </w:r>
        <w:r w:rsidR="003F1C4B">
          <w:rPr>
            <w:noProof/>
            <w:webHidden/>
          </w:rPr>
          <w:t>6</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303" w:history="1">
        <w:r w:rsidR="003F1C4B" w:rsidRPr="00DB50F9">
          <w:rPr>
            <w:rStyle w:val="Hyperlink"/>
            <w:noProof/>
          </w:rPr>
          <w:t>2.2</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Maximum allowed revenue</w:t>
        </w:r>
        <w:r w:rsidR="003F1C4B">
          <w:rPr>
            <w:noProof/>
            <w:webHidden/>
          </w:rPr>
          <w:tab/>
        </w:r>
        <w:r>
          <w:rPr>
            <w:noProof/>
            <w:webHidden/>
          </w:rPr>
          <w:fldChar w:fldCharType="begin"/>
        </w:r>
        <w:r w:rsidR="003F1C4B">
          <w:rPr>
            <w:noProof/>
            <w:webHidden/>
          </w:rPr>
          <w:instrText xml:space="preserve"> PAGEREF _Toc355186303 \h </w:instrText>
        </w:r>
        <w:r>
          <w:rPr>
            <w:noProof/>
            <w:webHidden/>
          </w:rPr>
        </w:r>
        <w:r>
          <w:rPr>
            <w:noProof/>
            <w:webHidden/>
          </w:rPr>
          <w:fldChar w:fldCharType="separate"/>
        </w:r>
        <w:r w:rsidR="003F1C4B">
          <w:rPr>
            <w:noProof/>
            <w:webHidden/>
          </w:rPr>
          <w:t>6</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304" w:history="1">
        <w:r w:rsidR="003F1C4B" w:rsidRPr="00DB50F9">
          <w:rPr>
            <w:rStyle w:val="Hyperlink"/>
            <w:noProof/>
          </w:rPr>
          <w:t>2.3</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Victorian transmission planning arrangements</w:t>
        </w:r>
        <w:r w:rsidR="003F1C4B">
          <w:rPr>
            <w:noProof/>
            <w:webHidden/>
          </w:rPr>
          <w:tab/>
        </w:r>
        <w:r>
          <w:rPr>
            <w:noProof/>
            <w:webHidden/>
          </w:rPr>
          <w:fldChar w:fldCharType="begin"/>
        </w:r>
        <w:r w:rsidR="003F1C4B">
          <w:rPr>
            <w:noProof/>
            <w:webHidden/>
          </w:rPr>
          <w:instrText xml:space="preserve"> PAGEREF _Toc355186304 \h </w:instrText>
        </w:r>
        <w:r>
          <w:rPr>
            <w:noProof/>
            <w:webHidden/>
          </w:rPr>
        </w:r>
        <w:r>
          <w:rPr>
            <w:noProof/>
            <w:webHidden/>
          </w:rPr>
          <w:fldChar w:fldCharType="separate"/>
        </w:r>
        <w:r w:rsidR="003F1C4B">
          <w:rPr>
            <w:noProof/>
            <w:webHidden/>
          </w:rPr>
          <w:t>7</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305" w:history="1">
        <w:r w:rsidR="003F1C4B" w:rsidRPr="00DB50F9">
          <w:rPr>
            <w:rStyle w:val="Hyperlink"/>
            <w:noProof/>
          </w:rPr>
          <w:t>2.4</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Pricing methodology and negotiating framework</w:t>
        </w:r>
        <w:r w:rsidR="003F1C4B">
          <w:rPr>
            <w:noProof/>
            <w:webHidden/>
          </w:rPr>
          <w:tab/>
        </w:r>
        <w:r>
          <w:rPr>
            <w:noProof/>
            <w:webHidden/>
          </w:rPr>
          <w:fldChar w:fldCharType="begin"/>
        </w:r>
        <w:r w:rsidR="003F1C4B">
          <w:rPr>
            <w:noProof/>
            <w:webHidden/>
          </w:rPr>
          <w:instrText xml:space="preserve"> PAGEREF _Toc355186305 \h </w:instrText>
        </w:r>
        <w:r>
          <w:rPr>
            <w:noProof/>
            <w:webHidden/>
          </w:rPr>
        </w:r>
        <w:r>
          <w:rPr>
            <w:noProof/>
            <w:webHidden/>
          </w:rPr>
          <w:fldChar w:fldCharType="separate"/>
        </w:r>
        <w:r w:rsidR="003F1C4B">
          <w:rPr>
            <w:noProof/>
            <w:webHidden/>
          </w:rPr>
          <w:t>8</w:t>
        </w:r>
        <w:r>
          <w:rPr>
            <w:noProof/>
            <w:webHidden/>
          </w:rPr>
          <w:fldChar w:fldCharType="end"/>
        </w:r>
      </w:hyperlink>
    </w:p>
    <w:p w:rsidR="003F1C4B" w:rsidRDefault="00876FF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5186306" w:history="1">
        <w:r w:rsidR="003F1C4B" w:rsidRPr="00DB50F9">
          <w:rPr>
            <w:rStyle w:val="Hyperlink"/>
            <w:noProof/>
          </w:rPr>
          <w:t>3</w:t>
        </w:r>
        <w:r w:rsidR="003F1C4B">
          <w:rPr>
            <w:rFonts w:asciiTheme="minorHAnsi" w:eastAsiaTheme="minorEastAsia" w:hAnsiTheme="minorHAnsi" w:cstheme="minorBidi"/>
            <w:b w:val="0"/>
            <w:bCs w:val="0"/>
            <w:noProof/>
            <w:sz w:val="22"/>
            <w:szCs w:val="22"/>
            <w:lang w:eastAsia="en-AU"/>
          </w:rPr>
          <w:tab/>
        </w:r>
        <w:r w:rsidR="003F1C4B" w:rsidRPr="00DB50F9">
          <w:rPr>
            <w:rStyle w:val="Hyperlink"/>
            <w:noProof/>
          </w:rPr>
          <w:t>Key issues</w:t>
        </w:r>
        <w:r w:rsidR="003F1C4B">
          <w:rPr>
            <w:noProof/>
            <w:webHidden/>
          </w:rPr>
          <w:tab/>
        </w:r>
        <w:r>
          <w:rPr>
            <w:noProof/>
            <w:webHidden/>
          </w:rPr>
          <w:fldChar w:fldCharType="begin"/>
        </w:r>
        <w:r w:rsidR="003F1C4B">
          <w:rPr>
            <w:noProof/>
            <w:webHidden/>
          </w:rPr>
          <w:instrText xml:space="preserve"> PAGEREF _Toc355186306 \h </w:instrText>
        </w:r>
        <w:r>
          <w:rPr>
            <w:noProof/>
            <w:webHidden/>
          </w:rPr>
        </w:r>
        <w:r>
          <w:rPr>
            <w:noProof/>
            <w:webHidden/>
          </w:rPr>
          <w:fldChar w:fldCharType="separate"/>
        </w:r>
        <w:r w:rsidR="003F1C4B">
          <w:rPr>
            <w:noProof/>
            <w:webHidden/>
          </w:rPr>
          <w:t>11</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307" w:history="1">
        <w:r w:rsidR="003F1C4B" w:rsidRPr="00DB50F9">
          <w:rPr>
            <w:rStyle w:val="Hyperlink"/>
            <w:noProof/>
          </w:rPr>
          <w:t>3.1</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The price impact of SP AusNet’s revenue proposal</w:t>
        </w:r>
        <w:r w:rsidR="003F1C4B">
          <w:rPr>
            <w:noProof/>
            <w:webHidden/>
          </w:rPr>
          <w:tab/>
        </w:r>
        <w:r>
          <w:rPr>
            <w:noProof/>
            <w:webHidden/>
          </w:rPr>
          <w:fldChar w:fldCharType="begin"/>
        </w:r>
        <w:r w:rsidR="003F1C4B">
          <w:rPr>
            <w:noProof/>
            <w:webHidden/>
          </w:rPr>
          <w:instrText xml:space="preserve"> PAGEREF _Toc355186307 \h </w:instrText>
        </w:r>
        <w:r>
          <w:rPr>
            <w:noProof/>
            <w:webHidden/>
          </w:rPr>
        </w:r>
        <w:r>
          <w:rPr>
            <w:noProof/>
            <w:webHidden/>
          </w:rPr>
          <w:fldChar w:fldCharType="separate"/>
        </w:r>
        <w:r w:rsidR="003F1C4B">
          <w:rPr>
            <w:noProof/>
            <w:webHidden/>
          </w:rPr>
          <w:t>11</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308" w:history="1">
        <w:r w:rsidR="003F1C4B" w:rsidRPr="00DB50F9">
          <w:rPr>
            <w:rStyle w:val="Hyperlink"/>
            <w:noProof/>
          </w:rPr>
          <w:t>3.2</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Capex</w:t>
        </w:r>
        <w:r w:rsidR="003F1C4B">
          <w:rPr>
            <w:noProof/>
            <w:webHidden/>
          </w:rPr>
          <w:tab/>
        </w:r>
        <w:r>
          <w:rPr>
            <w:noProof/>
            <w:webHidden/>
          </w:rPr>
          <w:fldChar w:fldCharType="begin"/>
        </w:r>
        <w:r w:rsidR="003F1C4B">
          <w:rPr>
            <w:noProof/>
            <w:webHidden/>
          </w:rPr>
          <w:instrText xml:space="preserve"> PAGEREF _Toc355186308 \h </w:instrText>
        </w:r>
        <w:r>
          <w:rPr>
            <w:noProof/>
            <w:webHidden/>
          </w:rPr>
        </w:r>
        <w:r>
          <w:rPr>
            <w:noProof/>
            <w:webHidden/>
          </w:rPr>
          <w:fldChar w:fldCharType="separate"/>
        </w:r>
        <w:r w:rsidR="003F1C4B">
          <w:rPr>
            <w:noProof/>
            <w:webHidden/>
          </w:rPr>
          <w:t>14</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309" w:history="1">
        <w:r w:rsidR="003F1C4B" w:rsidRPr="00DB50F9">
          <w:rPr>
            <w:rStyle w:val="Hyperlink"/>
            <w:noProof/>
          </w:rPr>
          <w:t>3.3</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Opex</w:t>
        </w:r>
        <w:r w:rsidR="003F1C4B">
          <w:rPr>
            <w:noProof/>
            <w:webHidden/>
          </w:rPr>
          <w:tab/>
        </w:r>
        <w:r>
          <w:rPr>
            <w:noProof/>
            <w:webHidden/>
          </w:rPr>
          <w:fldChar w:fldCharType="begin"/>
        </w:r>
        <w:r w:rsidR="003F1C4B">
          <w:rPr>
            <w:noProof/>
            <w:webHidden/>
          </w:rPr>
          <w:instrText xml:space="preserve"> PAGEREF _Toc355186309 \h </w:instrText>
        </w:r>
        <w:r>
          <w:rPr>
            <w:noProof/>
            <w:webHidden/>
          </w:rPr>
        </w:r>
        <w:r>
          <w:rPr>
            <w:noProof/>
            <w:webHidden/>
          </w:rPr>
          <w:fldChar w:fldCharType="separate"/>
        </w:r>
        <w:r w:rsidR="003F1C4B">
          <w:rPr>
            <w:noProof/>
            <w:webHidden/>
          </w:rPr>
          <w:t>20</w:t>
        </w:r>
        <w:r>
          <w:rPr>
            <w:noProof/>
            <w:webHidden/>
          </w:rPr>
          <w:fldChar w:fldCharType="end"/>
        </w:r>
      </w:hyperlink>
    </w:p>
    <w:p w:rsidR="003F1C4B" w:rsidRDefault="00876FF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55186310" w:history="1">
        <w:r w:rsidR="003F1C4B" w:rsidRPr="00DB50F9">
          <w:rPr>
            <w:rStyle w:val="Hyperlink"/>
            <w:noProof/>
          </w:rPr>
          <w:t>3.4</w:t>
        </w:r>
        <w:r w:rsidR="003F1C4B">
          <w:rPr>
            <w:rFonts w:asciiTheme="minorHAnsi" w:eastAsiaTheme="minorEastAsia" w:hAnsiTheme="minorHAnsi" w:cstheme="minorBidi"/>
            <w:iCs w:val="0"/>
            <w:noProof/>
            <w:sz w:val="22"/>
            <w:szCs w:val="22"/>
            <w:lang w:eastAsia="en-AU"/>
          </w:rPr>
          <w:tab/>
        </w:r>
        <w:r w:rsidR="003F1C4B" w:rsidRPr="00DB50F9">
          <w:rPr>
            <w:rStyle w:val="Hyperlink"/>
            <w:noProof/>
          </w:rPr>
          <w:t>Cost of capital</w:t>
        </w:r>
        <w:r w:rsidR="003F1C4B">
          <w:rPr>
            <w:noProof/>
            <w:webHidden/>
          </w:rPr>
          <w:tab/>
        </w:r>
        <w:r>
          <w:rPr>
            <w:noProof/>
            <w:webHidden/>
          </w:rPr>
          <w:fldChar w:fldCharType="begin"/>
        </w:r>
        <w:r w:rsidR="003F1C4B">
          <w:rPr>
            <w:noProof/>
            <w:webHidden/>
          </w:rPr>
          <w:instrText xml:space="preserve"> PAGEREF _Toc355186310 \h </w:instrText>
        </w:r>
        <w:r>
          <w:rPr>
            <w:noProof/>
            <w:webHidden/>
          </w:rPr>
        </w:r>
        <w:r>
          <w:rPr>
            <w:noProof/>
            <w:webHidden/>
          </w:rPr>
          <w:fldChar w:fldCharType="separate"/>
        </w:r>
        <w:r w:rsidR="003F1C4B">
          <w:rPr>
            <w:noProof/>
            <w:webHidden/>
          </w:rPr>
          <w:t>27</w:t>
        </w:r>
        <w:r>
          <w:rPr>
            <w:noProof/>
            <w:webHidden/>
          </w:rPr>
          <w:fldChar w:fldCharType="end"/>
        </w:r>
      </w:hyperlink>
    </w:p>
    <w:p w:rsidR="003F1C4B" w:rsidRDefault="00876FF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5186311" w:history="1">
        <w:r w:rsidR="003F1C4B" w:rsidRPr="00DB50F9">
          <w:rPr>
            <w:rStyle w:val="Hyperlink"/>
            <w:noProof/>
          </w:rPr>
          <w:t>A</w:t>
        </w:r>
        <w:r w:rsidR="003F1C4B">
          <w:rPr>
            <w:rFonts w:asciiTheme="minorHAnsi" w:eastAsiaTheme="minorEastAsia" w:hAnsiTheme="minorHAnsi" w:cstheme="minorBidi"/>
            <w:b w:val="0"/>
            <w:bCs w:val="0"/>
            <w:noProof/>
            <w:sz w:val="22"/>
            <w:szCs w:val="22"/>
            <w:lang w:eastAsia="en-AU"/>
          </w:rPr>
          <w:tab/>
        </w:r>
        <w:r w:rsidR="003F1C4B" w:rsidRPr="00DB50F9">
          <w:rPr>
            <w:rStyle w:val="Hyperlink"/>
            <w:noProof/>
          </w:rPr>
          <w:t>Appendix – Benchmarking</w:t>
        </w:r>
        <w:r w:rsidR="003F1C4B">
          <w:rPr>
            <w:noProof/>
            <w:webHidden/>
          </w:rPr>
          <w:tab/>
        </w:r>
        <w:r>
          <w:rPr>
            <w:noProof/>
            <w:webHidden/>
          </w:rPr>
          <w:fldChar w:fldCharType="begin"/>
        </w:r>
        <w:r w:rsidR="003F1C4B">
          <w:rPr>
            <w:noProof/>
            <w:webHidden/>
          </w:rPr>
          <w:instrText xml:space="preserve"> PAGEREF _Toc355186311 \h </w:instrText>
        </w:r>
        <w:r>
          <w:rPr>
            <w:noProof/>
            <w:webHidden/>
          </w:rPr>
        </w:r>
        <w:r>
          <w:rPr>
            <w:noProof/>
            <w:webHidden/>
          </w:rPr>
          <w:fldChar w:fldCharType="separate"/>
        </w:r>
        <w:r w:rsidR="003F1C4B">
          <w:rPr>
            <w:noProof/>
            <w:webHidden/>
          </w:rPr>
          <w:t>28</w:t>
        </w:r>
        <w:r>
          <w:rPr>
            <w:noProof/>
            <w:webHidden/>
          </w:rPr>
          <w:fldChar w:fldCharType="end"/>
        </w:r>
      </w:hyperlink>
    </w:p>
    <w:p w:rsidR="003F1C4B" w:rsidRDefault="00876FF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55186312" w:history="1">
        <w:r w:rsidR="003F1C4B" w:rsidRPr="00DB50F9">
          <w:rPr>
            <w:rStyle w:val="Hyperlink"/>
            <w:noProof/>
          </w:rPr>
          <w:t>B</w:t>
        </w:r>
        <w:r w:rsidR="003F1C4B">
          <w:rPr>
            <w:rFonts w:asciiTheme="minorHAnsi" w:eastAsiaTheme="minorEastAsia" w:hAnsiTheme="minorHAnsi" w:cstheme="minorBidi"/>
            <w:b w:val="0"/>
            <w:bCs w:val="0"/>
            <w:noProof/>
            <w:sz w:val="22"/>
            <w:szCs w:val="22"/>
            <w:lang w:eastAsia="en-AU"/>
          </w:rPr>
          <w:tab/>
        </w:r>
        <w:r w:rsidR="003F1C4B" w:rsidRPr="00DB50F9">
          <w:rPr>
            <w:rStyle w:val="Hyperlink"/>
            <w:noProof/>
          </w:rPr>
          <w:t>Appendix – Service standards performance</w:t>
        </w:r>
        <w:r w:rsidR="003F1C4B">
          <w:rPr>
            <w:noProof/>
            <w:webHidden/>
          </w:rPr>
          <w:tab/>
        </w:r>
        <w:r>
          <w:rPr>
            <w:noProof/>
            <w:webHidden/>
          </w:rPr>
          <w:fldChar w:fldCharType="begin"/>
        </w:r>
        <w:r w:rsidR="003F1C4B">
          <w:rPr>
            <w:noProof/>
            <w:webHidden/>
          </w:rPr>
          <w:instrText xml:space="preserve"> PAGEREF _Toc355186312 \h </w:instrText>
        </w:r>
        <w:r>
          <w:rPr>
            <w:noProof/>
            <w:webHidden/>
          </w:rPr>
        </w:r>
        <w:r>
          <w:rPr>
            <w:noProof/>
            <w:webHidden/>
          </w:rPr>
          <w:fldChar w:fldCharType="separate"/>
        </w:r>
        <w:r w:rsidR="003F1C4B">
          <w:rPr>
            <w:noProof/>
            <w:webHidden/>
          </w:rPr>
          <w:t>33</w:t>
        </w:r>
        <w:r>
          <w:rPr>
            <w:noProof/>
            <w:webHidden/>
          </w:rPr>
          <w:fldChar w:fldCharType="end"/>
        </w:r>
      </w:hyperlink>
    </w:p>
    <w:p w:rsidR="003F1C4B" w:rsidRDefault="00876FFF">
      <w:pPr>
        <w:pStyle w:val="TOC1"/>
        <w:tabs>
          <w:tab w:val="right" w:leader="dot" w:pos="9016"/>
        </w:tabs>
        <w:rPr>
          <w:rFonts w:asciiTheme="minorHAnsi" w:eastAsiaTheme="minorEastAsia" w:hAnsiTheme="minorHAnsi" w:cstheme="minorBidi"/>
          <w:b w:val="0"/>
          <w:bCs w:val="0"/>
          <w:noProof/>
          <w:sz w:val="22"/>
          <w:szCs w:val="22"/>
          <w:lang w:eastAsia="en-AU"/>
        </w:rPr>
      </w:pPr>
      <w:hyperlink w:anchor="_Toc355186313" w:history="1">
        <w:r w:rsidR="003F1C4B" w:rsidRPr="00DB50F9">
          <w:rPr>
            <w:rStyle w:val="Hyperlink"/>
            <w:noProof/>
          </w:rPr>
          <w:t>Attachment – public forum presentation</w:t>
        </w:r>
        <w:r w:rsidR="003F1C4B">
          <w:rPr>
            <w:noProof/>
            <w:webHidden/>
          </w:rPr>
          <w:tab/>
        </w:r>
        <w:r>
          <w:rPr>
            <w:noProof/>
            <w:webHidden/>
          </w:rPr>
          <w:fldChar w:fldCharType="begin"/>
        </w:r>
        <w:r w:rsidR="003F1C4B">
          <w:rPr>
            <w:noProof/>
            <w:webHidden/>
          </w:rPr>
          <w:instrText xml:space="preserve"> PAGEREF _Toc355186313 \h </w:instrText>
        </w:r>
        <w:r>
          <w:rPr>
            <w:noProof/>
            <w:webHidden/>
          </w:rPr>
        </w:r>
        <w:r>
          <w:rPr>
            <w:noProof/>
            <w:webHidden/>
          </w:rPr>
          <w:fldChar w:fldCharType="separate"/>
        </w:r>
        <w:r w:rsidR="003F1C4B">
          <w:rPr>
            <w:noProof/>
            <w:webHidden/>
          </w:rPr>
          <w:t>36</w:t>
        </w:r>
        <w:r>
          <w:rPr>
            <w:noProof/>
            <w:webHidden/>
          </w:rPr>
          <w:fldChar w:fldCharType="end"/>
        </w:r>
      </w:hyperlink>
    </w:p>
    <w:p w:rsidR="00AD12FE" w:rsidRPr="00AF3E95" w:rsidRDefault="00876FFF" w:rsidP="00AD12FE">
      <w:pPr>
        <w:pStyle w:val="AERbodytext"/>
        <w:numPr>
          <w:ilvl w:val="0"/>
          <w:numId w:val="13"/>
        </w:numPr>
      </w:pPr>
      <w:r>
        <w:fldChar w:fldCharType="end"/>
      </w:r>
    </w:p>
    <w:p w:rsidR="00AD12FE" w:rsidRDefault="00AD12FE" w:rsidP="00833F9C">
      <w:pPr>
        <w:pStyle w:val="Heading2"/>
        <w:numPr>
          <w:ilvl w:val="0"/>
          <w:numId w:val="0"/>
        </w:numPr>
        <w:ind w:left="-851"/>
      </w:pPr>
      <w:bookmarkStart w:id="1" w:name="_Ref352844506"/>
    </w:p>
    <w:bookmarkEnd w:id="1"/>
    <w:p w:rsidR="00AD12FE" w:rsidRPr="00AD12FE" w:rsidRDefault="00AD12FE" w:rsidP="00AD12FE">
      <w:pPr>
        <w:pStyle w:val="AERbodytext"/>
        <w:numPr>
          <w:ilvl w:val="0"/>
          <w:numId w:val="13"/>
        </w:numPr>
      </w:pPr>
      <w:r>
        <w:br w:type="page"/>
      </w:r>
    </w:p>
    <w:p w:rsidR="00872C51" w:rsidRDefault="00872C51" w:rsidP="00D0040B">
      <w:pPr>
        <w:pStyle w:val="UnnumberedHeading"/>
        <w:sectPr w:rsidR="00872C51" w:rsidSect="001D6CBC">
          <w:footerReference w:type="even" r:id="rId10"/>
          <w:footerReference w:type="default" r:id="rId11"/>
          <w:pgSz w:w="11906" w:h="16838" w:code="9"/>
          <w:pgMar w:top="1440" w:right="1440" w:bottom="1440" w:left="1440" w:header="709" w:footer="709" w:gutter="0"/>
          <w:pgNumType w:fmt="lowerRoman" w:start="1"/>
          <w:cols w:space="708"/>
          <w:docGrid w:linePitch="360"/>
        </w:sectPr>
      </w:pPr>
    </w:p>
    <w:p w:rsidR="00872C51" w:rsidRDefault="00872C51" w:rsidP="00872C51">
      <w:pPr>
        <w:pStyle w:val="UnnumberedHeading"/>
        <w:numPr>
          <w:ilvl w:val="0"/>
          <w:numId w:val="0"/>
        </w:numPr>
      </w:pPr>
      <w:bookmarkStart w:id="2" w:name="_Toc354497498"/>
      <w:bookmarkStart w:id="3" w:name="_Toc355186292"/>
      <w:r>
        <w:t>Shortened forms</w:t>
      </w:r>
      <w:bookmarkEnd w:id="2"/>
      <w:bookmarkEnd w:id="3"/>
    </w:p>
    <w:tbl>
      <w:tblPr>
        <w:tblStyle w:val="AERtable-text"/>
        <w:tblW w:w="0" w:type="auto"/>
        <w:tblLook w:val="01E0"/>
      </w:tblPr>
      <w:tblGrid>
        <w:gridCol w:w="2802"/>
        <w:gridCol w:w="5726"/>
      </w:tblGrid>
      <w:tr w:rsidR="00872C51" w:rsidRPr="00215BAE" w:rsidTr="00872C51">
        <w:trPr>
          <w:cnfStyle w:val="100000000000"/>
        </w:trPr>
        <w:tc>
          <w:tcPr>
            <w:tcW w:w="2802" w:type="dxa"/>
            <w:noWrap/>
          </w:tcPr>
          <w:p w:rsidR="00872C51" w:rsidRPr="00DA6A46" w:rsidRDefault="00872C51" w:rsidP="00872C51">
            <w:pPr>
              <w:pStyle w:val="AERtabletextheading"/>
              <w:keepNext/>
              <w:rPr>
                <w:bCs/>
                <w:sz w:val="16"/>
                <w:szCs w:val="16"/>
              </w:rPr>
            </w:pPr>
            <w:r w:rsidRPr="00DA6A46">
              <w:rPr>
                <w:bCs/>
                <w:sz w:val="16"/>
                <w:szCs w:val="16"/>
              </w:rPr>
              <w:t>Shortened form</w:t>
            </w:r>
          </w:p>
        </w:tc>
        <w:tc>
          <w:tcPr>
            <w:tcW w:w="5726" w:type="dxa"/>
            <w:noWrap/>
          </w:tcPr>
          <w:p w:rsidR="00872C51" w:rsidRPr="00DA6A46" w:rsidRDefault="00872C51" w:rsidP="00872C51">
            <w:pPr>
              <w:pStyle w:val="AERtabletextheading"/>
              <w:keepNext/>
              <w:rPr>
                <w:bCs/>
                <w:sz w:val="16"/>
                <w:szCs w:val="16"/>
              </w:rPr>
            </w:pPr>
            <w:r w:rsidRPr="00DA6A46">
              <w:rPr>
                <w:bCs/>
                <w:sz w:val="16"/>
                <w:szCs w:val="16"/>
              </w:rPr>
              <w:t>Extended form</w:t>
            </w:r>
          </w:p>
        </w:tc>
      </w:tr>
      <w:tr w:rsidR="00872C51"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AARR</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aggregate annual revenue requirement</w:t>
            </w:r>
          </w:p>
        </w:tc>
      </w:tr>
      <w:tr w:rsidR="00872C51"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ACCC</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Australian Competition &amp; Consumer Commission</w:t>
            </w:r>
          </w:p>
        </w:tc>
      </w:tr>
      <w:tr w:rsidR="00872C51"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AEMC</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Australian Energy Market Commission</w:t>
            </w:r>
          </w:p>
        </w:tc>
      </w:tr>
      <w:tr w:rsidR="00872C51"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AEMO</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Australian Energy Market Operator</w:t>
            </w:r>
          </w:p>
        </w:tc>
      </w:tr>
      <w:tr w:rsidR="00872C51"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AER</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Australian Energy Regulator</w:t>
            </w:r>
          </w:p>
        </w:tc>
      </w:tr>
      <w:tr w:rsidR="00872C51"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ASRR</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annual service revenue requirement</w:t>
            </w:r>
          </w:p>
        </w:tc>
      </w:tr>
      <w:tr w:rsidR="00872C51"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capex</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capital expenditure</w:t>
            </w:r>
          </w:p>
        </w:tc>
      </w:tr>
      <w:tr w:rsidR="00872C51"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CPI</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consumer price index</w:t>
            </w:r>
          </w:p>
        </w:tc>
      </w:tr>
      <w:tr w:rsidR="00872C51"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EBSS</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efficiency benefit sharing scheme</w:t>
            </w:r>
          </w:p>
        </w:tc>
      </w:tr>
      <w:tr w:rsidR="00872C51"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kW</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 xml:space="preserve">kilowatt </w:t>
            </w:r>
          </w:p>
        </w:tc>
      </w:tr>
      <w:tr w:rsidR="00872C51"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MAR</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maximum allowed revenue</w:t>
            </w:r>
          </w:p>
        </w:tc>
      </w:tr>
      <w:tr w:rsidR="00DE6585"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MW</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 xml:space="preserve">megawatt </w:t>
            </w:r>
          </w:p>
        </w:tc>
      </w:tr>
      <w:tr w:rsidR="00DE6585"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MWh</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megawatt hour</w:t>
            </w:r>
          </w:p>
        </w:tc>
      </w:tr>
      <w:tr w:rsidR="00DE6585"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NEL</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National Electricity Law</w:t>
            </w:r>
          </w:p>
        </w:tc>
      </w:tr>
      <w:tr w:rsidR="00DE6585"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NEM</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National Electricity Market</w:t>
            </w:r>
          </w:p>
        </w:tc>
      </w:tr>
      <w:tr w:rsidR="00DE6585"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NEO</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national electricity objective</w:t>
            </w:r>
          </w:p>
        </w:tc>
      </w:tr>
      <w:tr w:rsidR="00DE6585"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NER</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National Electricity Rules</w:t>
            </w:r>
          </w:p>
        </w:tc>
      </w:tr>
      <w:tr w:rsidR="00DE6585"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NTSC</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negotiated transmission service criteria</w:t>
            </w:r>
          </w:p>
        </w:tc>
      </w:tr>
      <w:tr w:rsidR="00DE6585"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opex</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operating expenditure</w:t>
            </w:r>
          </w:p>
        </w:tc>
      </w:tr>
      <w:tr w:rsidR="00DE6585"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PTRM</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post tax revenue model</w:t>
            </w:r>
          </w:p>
        </w:tc>
      </w:tr>
      <w:tr w:rsidR="00DE6585"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RAB</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regulatory asset base</w:t>
            </w:r>
          </w:p>
        </w:tc>
      </w:tr>
      <w:tr w:rsidR="00DE6585"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RFM</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roll forward model</w:t>
            </w:r>
          </w:p>
        </w:tc>
      </w:tr>
      <w:tr w:rsidR="00DE6585"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RIT–T</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Regulatory Investment Test for Transmission</w:t>
            </w:r>
          </w:p>
        </w:tc>
      </w:tr>
      <w:tr w:rsidR="00DE6585"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STPIS</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service target performance incentive scheme</w:t>
            </w:r>
          </w:p>
        </w:tc>
      </w:tr>
      <w:tr w:rsidR="00DE6585"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TAB</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tax asset base</w:t>
            </w:r>
          </w:p>
        </w:tc>
      </w:tr>
      <w:tr w:rsidR="00DE6585"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TNSP</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transmission network service provider</w:t>
            </w:r>
          </w:p>
        </w:tc>
      </w:tr>
      <w:tr w:rsidR="00DE6585" w:rsidRPr="00D75DE7" w:rsidTr="00872C51">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TUOS</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 xml:space="preserve">transmission use of system </w:t>
            </w:r>
          </w:p>
        </w:tc>
      </w:tr>
      <w:tr w:rsidR="00DE6585" w:rsidRPr="00D75DE7" w:rsidTr="00872C51">
        <w:trPr>
          <w:cnfStyle w:val="000000010000"/>
        </w:trPr>
        <w:tc>
          <w:tcPr>
            <w:tcW w:w="2802"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WACC</w:t>
            </w:r>
          </w:p>
        </w:tc>
        <w:tc>
          <w:tcPr>
            <w:tcW w:w="5726" w:type="dxa"/>
            <w:noWrap/>
          </w:tcPr>
          <w:p w:rsidR="00872C51" w:rsidRPr="00DA6A46" w:rsidRDefault="00872C51" w:rsidP="00872C51">
            <w:pPr>
              <w:pStyle w:val="AERtabletext"/>
              <w:keepNext/>
              <w:rPr>
                <w:rFonts w:ascii="Gautami" w:eastAsia="Times New Roman" w:hAnsi="Gautami"/>
              </w:rPr>
            </w:pPr>
            <w:r w:rsidRPr="00DA6A46">
              <w:rPr>
                <w:rFonts w:ascii="Gautami" w:eastAsia="Times New Roman" w:hAnsi="Gautami"/>
              </w:rPr>
              <w:t>weighted average cost of capital</w:t>
            </w:r>
          </w:p>
        </w:tc>
      </w:tr>
    </w:tbl>
    <w:p w:rsidR="00872C51" w:rsidRDefault="00872C51" w:rsidP="00872C51">
      <w:pPr>
        <w:pStyle w:val="UnnumberedHeading"/>
        <w:sectPr w:rsidR="00872C51" w:rsidSect="001D6CBC">
          <w:footerReference w:type="even" r:id="rId12"/>
          <w:footerReference w:type="default" r:id="rId13"/>
          <w:pgSz w:w="11906" w:h="16838"/>
          <w:pgMar w:top="1440" w:right="1440" w:bottom="1440" w:left="1440" w:header="708" w:footer="708" w:gutter="0"/>
          <w:pgNumType w:fmt="lowerRoman"/>
          <w:cols w:space="708"/>
          <w:docGrid w:linePitch="360"/>
        </w:sectPr>
      </w:pPr>
    </w:p>
    <w:p w:rsidR="00AD12FE" w:rsidRPr="00D0040B" w:rsidRDefault="00D56FB8" w:rsidP="00B90521">
      <w:pPr>
        <w:pStyle w:val="UnnumberedHeading"/>
        <w:numPr>
          <w:ilvl w:val="0"/>
          <w:numId w:val="0"/>
        </w:numPr>
      </w:pPr>
      <w:bookmarkStart w:id="4" w:name="_Toc355186293"/>
      <w:r>
        <w:t>Overview</w:t>
      </w:r>
      <w:bookmarkEnd w:id="4"/>
    </w:p>
    <w:p w:rsidR="00AD12FE" w:rsidRDefault="00AD12FE" w:rsidP="00AD12FE">
      <w:pPr>
        <w:pStyle w:val="AERbodytext"/>
        <w:numPr>
          <w:ilvl w:val="0"/>
          <w:numId w:val="13"/>
        </w:numPr>
      </w:pPr>
      <w:r>
        <w:t>SP AusNet recently submitted its electricity transmission revenue proposal for its next regulatory control period</w:t>
      </w:r>
      <w:r w:rsidRPr="007A1D55">
        <w:t xml:space="preserve"> </w:t>
      </w:r>
      <w:r w:rsidRPr="000B0D1F">
        <w:t>from 1 April 2014 to 31 March 2017 (2014–17 regulatory control period).</w:t>
      </w:r>
      <w:r>
        <w:t xml:space="preserve"> We, the Australian Energy Regulator (AER), are responsible for determining the revenues of SP AusNet, and the revenues of all transmission network service providers in the National Electricity Market (NEM).</w:t>
      </w:r>
    </w:p>
    <w:p w:rsidR="00AD12FE" w:rsidRDefault="00AD12FE" w:rsidP="00AD12FE">
      <w:pPr>
        <w:pStyle w:val="AERbodytext"/>
        <w:numPr>
          <w:ilvl w:val="0"/>
          <w:numId w:val="13"/>
        </w:numPr>
      </w:pPr>
      <w:r>
        <w:t>This issues paper is intended to</w:t>
      </w:r>
      <w:r w:rsidRPr="0068429A">
        <w:t xml:space="preserve"> assist stakeholders prepar</w:t>
      </w:r>
      <w:r>
        <w:t>e</w:t>
      </w:r>
      <w:r w:rsidRPr="0068429A">
        <w:t xml:space="preserve"> their submissions on SP AusNet's regulatory proposal.</w:t>
      </w:r>
      <w:r w:rsidRPr="0068429A">
        <w:rPr>
          <w:rStyle w:val="FootnoteReference"/>
        </w:rPr>
        <w:footnoteReference w:id="1"/>
      </w:r>
      <w:r w:rsidRPr="0068429A">
        <w:t xml:space="preserve"> </w:t>
      </w:r>
      <w:r>
        <w:t xml:space="preserve">In particular, we are seeking views </w:t>
      </w:r>
      <w:r w:rsidR="00D56FB8">
        <w:t>on SP AusNet’s revenue proposal</w:t>
      </w:r>
      <w:r>
        <w:t xml:space="preserve"> and responses to the questions we have raised (outlined in the grey boxes) in this paper. </w:t>
      </w:r>
    </w:p>
    <w:p w:rsidR="00AD12FE" w:rsidRDefault="00AD12FE" w:rsidP="00AD12FE">
      <w:pPr>
        <w:pStyle w:val="AERbodytext"/>
        <w:numPr>
          <w:ilvl w:val="0"/>
          <w:numId w:val="13"/>
        </w:numPr>
      </w:pPr>
      <w:r>
        <w:t>While SP AusNet has forecast decreases in the transmission component of retail electricity bills, it is important that stakeholders provide us with their views on SP AusNet’s revenue proposal to ensure they are not payin</w:t>
      </w:r>
      <w:r w:rsidR="00D56FB8">
        <w:t>g more than necessary. T</w:t>
      </w:r>
      <w:r>
        <w:t>he pricing impacts</w:t>
      </w:r>
      <w:r w:rsidR="00D56FB8">
        <w:t xml:space="preserve"> of the CBD rebuild</w:t>
      </w:r>
      <w:r w:rsidR="00AB6721">
        <w:t>s</w:t>
      </w:r>
      <w:r w:rsidR="00D56FB8">
        <w:t xml:space="preserve"> will flow through to local connections. As such, we seek input during</w:t>
      </w:r>
      <w:r>
        <w:t xml:space="preserve"> the review process from consumers who will be affected by these projects. </w:t>
      </w:r>
    </w:p>
    <w:p w:rsidR="00D56FB8" w:rsidRDefault="00AD12FE" w:rsidP="00AD12FE">
      <w:pPr>
        <w:pStyle w:val="AERbodytext"/>
        <w:numPr>
          <w:ilvl w:val="0"/>
          <w:numId w:val="13"/>
        </w:numPr>
      </w:pPr>
      <w:r w:rsidRPr="00262E4F">
        <w:t>In November 2012, the Australian Energy Market Commission (AEMC) made its determination on the network regulation rule changes.</w:t>
      </w:r>
      <w:r w:rsidRPr="00D56FB8">
        <w:rPr>
          <w:rStyle w:val="AERsuperscript"/>
        </w:rPr>
        <w:footnoteReference w:id="2"/>
      </w:r>
      <w:r w:rsidRPr="00262E4F">
        <w:t xml:space="preserve"> Given the timing of the rule change, the AEMC implemented transitional arrangements providing that a previous version of the NER (version 52) will apply to SP AusNet's 2014</w:t>
      </w:r>
      <w:r w:rsidRPr="00C0060B">
        <w:rPr>
          <w:rFonts w:hint="eastAsia"/>
        </w:rPr>
        <w:t>–</w:t>
      </w:r>
      <w:r w:rsidRPr="00C0060B">
        <w:t>17 regulatory control period.</w:t>
      </w:r>
      <w:r w:rsidRPr="00D56FB8">
        <w:rPr>
          <w:rStyle w:val="AERsuperscript"/>
        </w:rPr>
        <w:footnoteReference w:id="3"/>
      </w:r>
      <w:r w:rsidRPr="00C0060B">
        <w:t xml:space="preserve"> The previous version does not require us to publish an issues paper. However, we have decided to publish one on this occasion. We invite comment on its style, format and content that will inform future issues papers on revenue proposals. </w:t>
      </w:r>
    </w:p>
    <w:p w:rsidR="00AD12FE" w:rsidRDefault="00AD12FE" w:rsidP="00D56FB8">
      <w:pPr>
        <w:pStyle w:val="Heading2"/>
        <w:numPr>
          <w:ilvl w:val="0"/>
          <w:numId w:val="0"/>
        </w:numPr>
      </w:pPr>
      <w:bookmarkStart w:id="5" w:name="_Toc355186294"/>
      <w:r w:rsidRPr="00C0060B">
        <w:t>What to include in your submission</w:t>
      </w:r>
      <w:bookmarkEnd w:id="5"/>
    </w:p>
    <w:p w:rsidR="00AD12FE" w:rsidRPr="00670B65" w:rsidRDefault="00AD12FE" w:rsidP="00AD12FE">
      <w:pPr>
        <w:pStyle w:val="AERbodytext"/>
        <w:numPr>
          <w:ilvl w:val="0"/>
          <w:numId w:val="13"/>
        </w:numPr>
      </w:pPr>
      <w:r>
        <w:t xml:space="preserve">We are seeking your views on aspects of SP AusNet’s revenue proposal. </w:t>
      </w:r>
      <w:r w:rsidRPr="00670B65">
        <w:t>It is important that your submission is supported by evidence and analysis. General statements made about a revenue proposal are not particularly helpful</w:t>
      </w:r>
      <w:r>
        <w:t xml:space="preserve"> for our review. However, submissions that address specific issues, supported by evidence and analysis, can be very useful for our review</w:t>
      </w:r>
      <w:r w:rsidR="00D56FB8">
        <w:t>.</w:t>
      </w:r>
      <w:r>
        <w:t xml:space="preserve"> </w:t>
      </w:r>
    </w:p>
    <w:p w:rsidR="00AD12FE" w:rsidRDefault="00AD12FE" w:rsidP="00AD12FE">
      <w:pPr>
        <w:pStyle w:val="AERbodytext"/>
        <w:numPr>
          <w:ilvl w:val="0"/>
          <w:numId w:val="13"/>
        </w:numPr>
      </w:pPr>
      <w:r>
        <w:t>If you consider a certain aspect of SP AusNet</w:t>
      </w:r>
      <w:r>
        <w:rPr>
          <w:rFonts w:hint="eastAsia"/>
        </w:rPr>
        <w:t>’</w:t>
      </w:r>
      <w:r>
        <w:t>s revenue proposal is not</w:t>
      </w:r>
      <w:r w:rsidRPr="00670B65">
        <w:t xml:space="preserve"> </w:t>
      </w:r>
      <w:r>
        <w:t>justified, you should</w:t>
      </w:r>
      <w:r w:rsidRPr="00670B65">
        <w:t xml:space="preserve"> state why</w:t>
      </w:r>
      <w:r>
        <w:t xml:space="preserve"> you consider it is not justified</w:t>
      </w:r>
      <w:r w:rsidRPr="00670B65">
        <w:t xml:space="preserve">, with </w:t>
      </w:r>
      <w:r>
        <w:t xml:space="preserve">reference to </w:t>
      </w:r>
      <w:r w:rsidRPr="00670B65">
        <w:t xml:space="preserve">specific evidence </w:t>
      </w:r>
      <w:r>
        <w:t xml:space="preserve">that </w:t>
      </w:r>
      <w:r w:rsidRPr="00670B65">
        <w:t>support</w:t>
      </w:r>
      <w:r>
        <w:t>s</w:t>
      </w:r>
      <w:r w:rsidRPr="00670B65">
        <w:t xml:space="preserve"> your claim. This could include a discussion of the economic merits of a project, historical costs</w:t>
      </w:r>
      <w:r>
        <w:t>,</w:t>
      </w:r>
      <w:r w:rsidRPr="00670B65">
        <w:t xml:space="preserve"> or alter</w:t>
      </w:r>
      <w:r>
        <w:t>n</w:t>
      </w:r>
      <w:r w:rsidRPr="00670B65">
        <w:t xml:space="preserve">ative options. It could also include practical examples of how the project should be implemented. </w:t>
      </w:r>
      <w:r>
        <w:t xml:space="preserve">You should also state what further information you consider SP AusNet should provide to justify that aspect of its proposal. </w:t>
      </w:r>
    </w:p>
    <w:p w:rsidR="00AD12FE" w:rsidRPr="00AD12FE" w:rsidRDefault="007E4679" w:rsidP="00AD12FE">
      <w:pPr>
        <w:pStyle w:val="AERbodytext"/>
        <w:numPr>
          <w:ilvl w:val="0"/>
          <w:numId w:val="13"/>
        </w:numPr>
      </w:pPr>
      <w:r>
        <w:t>We are primarily interested in receiving submission</w:t>
      </w:r>
      <w:r w:rsidR="00AB6721">
        <w:t>s</w:t>
      </w:r>
      <w:r>
        <w:t xml:space="preserve"> on SP AusNet's forecast capex and opex. Given the weighted average cost of capital (WACC) parameters are fixed for transmission,</w:t>
      </w:r>
      <w:r>
        <w:rPr>
          <w:rStyle w:val="FootnoteReference"/>
        </w:rPr>
        <w:footnoteReference w:id="4"/>
      </w:r>
      <w:r>
        <w:t xml:space="preserve"> we do not consider the WACC to be contentious. As such, we </w:t>
      </w:r>
      <w:r w:rsidR="00AB6721">
        <w:t>would prefer if submissions did not</w:t>
      </w:r>
      <w:r>
        <w:t xml:space="preserve"> focus on the WACC. </w:t>
      </w:r>
    </w:p>
    <w:p w:rsidR="00AD12FE" w:rsidRPr="00AD12FE" w:rsidRDefault="00AD12FE" w:rsidP="00AD12FE">
      <w:pPr>
        <w:pStyle w:val="AERbodytext"/>
        <w:numPr>
          <w:ilvl w:val="0"/>
          <w:numId w:val="13"/>
        </w:numPr>
      </w:pPr>
    </w:p>
    <w:p w:rsidR="00AD12FE" w:rsidRDefault="00AD12FE" w:rsidP="00B90521">
      <w:pPr>
        <w:pStyle w:val="Heading2"/>
        <w:numPr>
          <w:ilvl w:val="0"/>
          <w:numId w:val="0"/>
        </w:numPr>
      </w:pPr>
      <w:bookmarkStart w:id="6" w:name="_Toc355186295"/>
      <w:r w:rsidRPr="00AD12FE">
        <w:t>Timelines</w:t>
      </w:r>
      <w:bookmarkEnd w:id="6"/>
    </w:p>
    <w:p w:rsidR="00D56FB8" w:rsidRDefault="00876FFF" w:rsidP="00D56FB8">
      <w:pPr>
        <w:pStyle w:val="AERbodytext"/>
      </w:pPr>
      <w:r>
        <w:fldChar w:fldCharType="begin"/>
      </w:r>
      <w:r w:rsidR="00D56FB8">
        <w:instrText xml:space="preserve"> REF _Ref354564704 \h </w:instrText>
      </w:r>
      <w:r>
        <w:fldChar w:fldCharType="separate"/>
      </w:r>
      <w:r w:rsidR="003F1C4B">
        <w:t xml:space="preserve">Table </w:t>
      </w:r>
      <w:r w:rsidR="003F1C4B">
        <w:rPr>
          <w:noProof/>
        </w:rPr>
        <w:t>1</w:t>
      </w:r>
      <w:r w:rsidR="003F1C4B">
        <w:t>.</w:t>
      </w:r>
      <w:r w:rsidR="003F1C4B">
        <w:rPr>
          <w:noProof/>
        </w:rPr>
        <w:t>1</w:t>
      </w:r>
      <w:r>
        <w:fldChar w:fldCharType="end"/>
      </w:r>
      <w:r w:rsidR="00D56FB8">
        <w:t xml:space="preserve"> sets out the key dates of the SP AusNet review process. </w:t>
      </w:r>
    </w:p>
    <w:p w:rsidR="00D56FB8" w:rsidRPr="00D56FB8" w:rsidRDefault="00D56FB8" w:rsidP="00D56FB8">
      <w:pPr>
        <w:pStyle w:val="Caption"/>
      </w:pPr>
      <w:bookmarkStart w:id="7" w:name="_Ref354564704"/>
      <w:r>
        <w:t xml:space="preserve">Table </w:t>
      </w:r>
      <w:r w:rsidR="00876FFF">
        <w:fldChar w:fldCharType="begin"/>
      </w:r>
      <w:r w:rsidR="00A41D91">
        <w:instrText xml:space="preserve"> STYLEREF 1 \s </w:instrText>
      </w:r>
      <w:r w:rsidR="00876FFF">
        <w:fldChar w:fldCharType="separate"/>
      </w:r>
      <w:r w:rsidR="003F1C4B">
        <w:rPr>
          <w:noProof/>
        </w:rPr>
        <w:t>1</w:t>
      </w:r>
      <w:r w:rsidR="00876FFF">
        <w:fldChar w:fldCharType="end"/>
      </w:r>
      <w:r w:rsidR="00A41D91">
        <w:t>.</w:t>
      </w:r>
      <w:r w:rsidR="00876FFF">
        <w:fldChar w:fldCharType="begin"/>
      </w:r>
      <w:r w:rsidR="00A41D91">
        <w:instrText xml:space="preserve"> SEQ Table \* ARABIC \s 1 </w:instrText>
      </w:r>
      <w:r w:rsidR="00876FFF">
        <w:fldChar w:fldCharType="separate"/>
      </w:r>
      <w:r w:rsidR="003F1C4B">
        <w:rPr>
          <w:noProof/>
        </w:rPr>
        <w:t>1</w:t>
      </w:r>
      <w:r w:rsidR="00876FFF">
        <w:fldChar w:fldCharType="end"/>
      </w:r>
      <w:bookmarkEnd w:id="7"/>
      <w:r>
        <w:tab/>
        <w:t>Key dates in the SP AusNet review process</w:t>
      </w:r>
    </w:p>
    <w:tbl>
      <w:tblPr>
        <w:tblStyle w:val="AERtable-numbers"/>
        <w:tblW w:w="9286" w:type="dxa"/>
        <w:tblLook w:val="04A0"/>
      </w:tblPr>
      <w:tblGrid>
        <w:gridCol w:w="4643"/>
        <w:gridCol w:w="4643"/>
      </w:tblGrid>
      <w:tr w:rsidR="00AD12FE" w:rsidRPr="00EB7385" w:rsidTr="00D0040B">
        <w:trPr>
          <w:cnfStyle w:val="100000000000"/>
        </w:trPr>
        <w:tc>
          <w:tcPr>
            <w:cnfStyle w:val="001000000000"/>
            <w:tcW w:w="4643" w:type="dxa"/>
          </w:tcPr>
          <w:p w:rsidR="00AD12FE" w:rsidRPr="00AD12FE" w:rsidRDefault="00AD12FE" w:rsidP="00AD12FE">
            <w:r w:rsidRPr="00D4135D">
              <w:t>Task</w:t>
            </w:r>
          </w:p>
        </w:tc>
        <w:tc>
          <w:tcPr>
            <w:tcW w:w="4643" w:type="dxa"/>
          </w:tcPr>
          <w:p w:rsidR="00AD12FE" w:rsidRPr="00AD12FE" w:rsidRDefault="00AD12FE" w:rsidP="00AD12FE">
            <w:pPr>
              <w:cnfStyle w:val="100000000000"/>
            </w:pPr>
            <w:r w:rsidRPr="00D4135D">
              <w:t>Date</w:t>
            </w:r>
          </w:p>
        </w:tc>
      </w:tr>
      <w:tr w:rsidR="00AB6721" w:rsidTr="00D0040B">
        <w:tc>
          <w:tcPr>
            <w:cnfStyle w:val="001000000000"/>
            <w:tcW w:w="4643" w:type="dxa"/>
          </w:tcPr>
          <w:p w:rsidR="00AB6721" w:rsidRPr="00D4135D" w:rsidRDefault="00AB6721" w:rsidP="00AD12FE">
            <w:r>
              <w:t>SP AusNet revenue proposal submitted to AER</w:t>
            </w:r>
          </w:p>
        </w:tc>
        <w:tc>
          <w:tcPr>
            <w:tcW w:w="4643" w:type="dxa"/>
          </w:tcPr>
          <w:p w:rsidR="00AB6721" w:rsidRPr="00D4135D" w:rsidRDefault="00AB6721" w:rsidP="00AD12FE">
            <w:pPr>
              <w:cnfStyle w:val="000000000000"/>
            </w:pPr>
            <w:r>
              <w:t>28 February 2013</w:t>
            </w:r>
          </w:p>
        </w:tc>
      </w:tr>
      <w:tr w:rsidR="00AD12FE" w:rsidTr="00D0040B">
        <w:trPr>
          <w:cnfStyle w:val="000000010000"/>
        </w:trPr>
        <w:tc>
          <w:tcPr>
            <w:cnfStyle w:val="001000000000"/>
            <w:tcW w:w="4643" w:type="dxa"/>
          </w:tcPr>
          <w:p w:rsidR="00AD12FE" w:rsidRPr="00AD12FE" w:rsidRDefault="00AD12FE" w:rsidP="00AD12FE">
            <w:r w:rsidRPr="00D4135D">
              <w:t>AER board considers compliance review</w:t>
            </w:r>
          </w:p>
        </w:tc>
        <w:tc>
          <w:tcPr>
            <w:tcW w:w="4643" w:type="dxa"/>
          </w:tcPr>
          <w:p w:rsidR="00AD12FE" w:rsidRPr="00AD12FE" w:rsidRDefault="00AD12FE" w:rsidP="00AD12FE">
            <w:pPr>
              <w:cnfStyle w:val="000000010000"/>
            </w:pPr>
            <w:r w:rsidRPr="00D4135D">
              <w:t>28 March 2013</w:t>
            </w:r>
          </w:p>
        </w:tc>
      </w:tr>
      <w:tr w:rsidR="00AD12FE" w:rsidRPr="001E223D" w:rsidTr="00D0040B">
        <w:tc>
          <w:tcPr>
            <w:cnfStyle w:val="001000000000"/>
            <w:tcW w:w="4643" w:type="dxa"/>
          </w:tcPr>
          <w:p w:rsidR="00AD12FE" w:rsidRPr="00AD12FE" w:rsidRDefault="00AD12FE" w:rsidP="00AD12FE">
            <w:r w:rsidRPr="00D4135D">
              <w:t xml:space="preserve">Publish </w:t>
            </w:r>
            <w:r w:rsidRPr="00AD12FE">
              <w:t>revenue proposal and supporting documents</w:t>
            </w:r>
          </w:p>
        </w:tc>
        <w:tc>
          <w:tcPr>
            <w:tcW w:w="4643" w:type="dxa"/>
          </w:tcPr>
          <w:p w:rsidR="00AD12FE" w:rsidRPr="00AD12FE" w:rsidRDefault="00AD12FE" w:rsidP="00AD12FE">
            <w:pPr>
              <w:cnfStyle w:val="000000000000"/>
            </w:pPr>
            <w:r w:rsidRPr="00D4135D">
              <w:t>4 April 2013</w:t>
            </w:r>
          </w:p>
        </w:tc>
      </w:tr>
      <w:tr w:rsidR="00AD12FE" w:rsidRPr="001E223D" w:rsidTr="00D0040B">
        <w:trPr>
          <w:cnfStyle w:val="000000010000"/>
        </w:trPr>
        <w:tc>
          <w:tcPr>
            <w:cnfStyle w:val="001000000000"/>
            <w:tcW w:w="4643" w:type="dxa"/>
          </w:tcPr>
          <w:p w:rsidR="00AD12FE" w:rsidRPr="00AD12FE" w:rsidRDefault="00AD12FE" w:rsidP="00AD12FE">
            <w:r w:rsidRPr="00D4135D">
              <w:t>Stakeholder forum</w:t>
            </w:r>
          </w:p>
        </w:tc>
        <w:tc>
          <w:tcPr>
            <w:tcW w:w="4643" w:type="dxa"/>
          </w:tcPr>
          <w:p w:rsidR="00AD12FE" w:rsidRPr="00AD12FE" w:rsidRDefault="00AD12FE" w:rsidP="00AD12FE">
            <w:pPr>
              <w:cnfStyle w:val="000000010000"/>
            </w:pPr>
            <w:r w:rsidRPr="00D4135D">
              <w:t>24 April 2013</w:t>
            </w:r>
          </w:p>
        </w:tc>
      </w:tr>
      <w:tr w:rsidR="00AD12FE" w:rsidRPr="001E223D" w:rsidTr="00D0040B">
        <w:tc>
          <w:tcPr>
            <w:cnfStyle w:val="001000000000"/>
            <w:tcW w:w="4643" w:type="dxa"/>
          </w:tcPr>
          <w:p w:rsidR="00AD12FE" w:rsidRPr="00AD12FE" w:rsidRDefault="00AD12FE" w:rsidP="00AD12FE">
            <w:r w:rsidRPr="00D4135D">
              <w:t>Stakeholder submissions close</w:t>
            </w:r>
          </w:p>
        </w:tc>
        <w:tc>
          <w:tcPr>
            <w:tcW w:w="4643" w:type="dxa"/>
          </w:tcPr>
          <w:p w:rsidR="00AD12FE" w:rsidRPr="00AD12FE" w:rsidRDefault="00AD12FE" w:rsidP="00AD12FE">
            <w:pPr>
              <w:cnfStyle w:val="000000000000"/>
            </w:pPr>
            <w:r w:rsidRPr="00D4135D">
              <w:t>17 May 2013</w:t>
            </w:r>
          </w:p>
        </w:tc>
      </w:tr>
      <w:tr w:rsidR="00AD12FE" w:rsidRPr="001E223D" w:rsidTr="00D0040B">
        <w:trPr>
          <w:cnfStyle w:val="000000010000"/>
        </w:trPr>
        <w:tc>
          <w:tcPr>
            <w:cnfStyle w:val="001000000000"/>
            <w:tcW w:w="4643" w:type="dxa"/>
          </w:tcPr>
          <w:p w:rsidR="00AD12FE" w:rsidRPr="00AD12FE" w:rsidRDefault="00AD12FE" w:rsidP="00AD12FE">
            <w:r w:rsidRPr="00D4135D">
              <w:t>Draft decision</w:t>
            </w:r>
          </w:p>
        </w:tc>
        <w:tc>
          <w:tcPr>
            <w:tcW w:w="4643" w:type="dxa"/>
          </w:tcPr>
          <w:p w:rsidR="00AD12FE" w:rsidRPr="00AD12FE" w:rsidRDefault="00AD12FE" w:rsidP="00AD12FE">
            <w:pPr>
              <w:cnfStyle w:val="000000010000"/>
            </w:pPr>
            <w:r w:rsidRPr="00D4135D">
              <w:t>30 August 2013</w:t>
            </w:r>
          </w:p>
        </w:tc>
      </w:tr>
      <w:tr w:rsidR="00AD12FE" w:rsidRPr="001E223D" w:rsidTr="00D0040B">
        <w:tc>
          <w:tcPr>
            <w:cnfStyle w:val="001000000000"/>
            <w:tcW w:w="4643" w:type="dxa"/>
          </w:tcPr>
          <w:p w:rsidR="00AD12FE" w:rsidRPr="00AD12FE" w:rsidRDefault="00AD12FE" w:rsidP="00AD12FE">
            <w:r w:rsidRPr="00D4135D">
              <w:t>Revised Revenue Proposal</w:t>
            </w:r>
          </w:p>
        </w:tc>
        <w:tc>
          <w:tcPr>
            <w:tcW w:w="4643" w:type="dxa"/>
          </w:tcPr>
          <w:p w:rsidR="00AD12FE" w:rsidRPr="00AD12FE" w:rsidRDefault="00AD12FE" w:rsidP="00AD12FE">
            <w:pPr>
              <w:cnfStyle w:val="000000000000"/>
            </w:pPr>
            <w:r w:rsidRPr="00D4135D">
              <w:t>27 September 2013</w:t>
            </w:r>
          </w:p>
        </w:tc>
      </w:tr>
      <w:tr w:rsidR="00AD12FE" w:rsidRPr="001E223D" w:rsidTr="00D0040B">
        <w:trPr>
          <w:cnfStyle w:val="000000010000"/>
        </w:trPr>
        <w:tc>
          <w:tcPr>
            <w:cnfStyle w:val="001000000000"/>
            <w:tcW w:w="4643" w:type="dxa"/>
          </w:tcPr>
          <w:p w:rsidR="00AD12FE" w:rsidRPr="00AD12FE" w:rsidRDefault="00AD12FE" w:rsidP="00AD12FE">
            <w:r w:rsidRPr="00D4135D">
              <w:t>Final decision</w:t>
            </w:r>
          </w:p>
        </w:tc>
        <w:tc>
          <w:tcPr>
            <w:tcW w:w="4643" w:type="dxa"/>
          </w:tcPr>
          <w:p w:rsidR="00AD12FE" w:rsidRPr="00AD12FE" w:rsidRDefault="00AD12FE" w:rsidP="00AD12FE">
            <w:pPr>
              <w:cnfStyle w:val="000000010000"/>
            </w:pPr>
            <w:r w:rsidRPr="00D4135D">
              <w:t>31 January 2014</w:t>
            </w:r>
          </w:p>
        </w:tc>
      </w:tr>
    </w:tbl>
    <w:p w:rsidR="00D56FB8" w:rsidRDefault="00D56FB8" w:rsidP="00D0040B">
      <w:pPr>
        <w:pStyle w:val="Heading2"/>
        <w:numPr>
          <w:ilvl w:val="0"/>
          <w:numId w:val="0"/>
        </w:numPr>
      </w:pPr>
    </w:p>
    <w:p w:rsidR="00AD12FE" w:rsidRPr="00AD12FE" w:rsidRDefault="00AD12FE" w:rsidP="00D0040B">
      <w:pPr>
        <w:pStyle w:val="Heading2"/>
        <w:numPr>
          <w:ilvl w:val="0"/>
          <w:numId w:val="0"/>
        </w:numPr>
      </w:pPr>
      <w:bookmarkStart w:id="8" w:name="_Toc355186296"/>
      <w:r w:rsidRPr="00AD12FE">
        <w:t>Structure of this document</w:t>
      </w:r>
      <w:bookmarkEnd w:id="8"/>
    </w:p>
    <w:p w:rsidR="00AD12FE" w:rsidRDefault="00AD12FE" w:rsidP="00AD12FE">
      <w:pPr>
        <w:pStyle w:val="AERbodytext"/>
        <w:numPr>
          <w:ilvl w:val="0"/>
          <w:numId w:val="13"/>
        </w:numPr>
      </w:pPr>
      <w:r w:rsidRPr="00CC5268">
        <w:t xml:space="preserve">We have tried to make this paper accessible to a </w:t>
      </w:r>
      <w:r>
        <w:t xml:space="preserve">wide ranging consumer audience. </w:t>
      </w:r>
    </w:p>
    <w:p w:rsidR="00AD12FE" w:rsidRDefault="00AD12FE" w:rsidP="00AD12FE">
      <w:pPr>
        <w:pStyle w:val="AERbodytext"/>
        <w:numPr>
          <w:ilvl w:val="0"/>
          <w:numId w:val="13"/>
        </w:numPr>
      </w:pPr>
      <w:r>
        <w:t xml:space="preserve">Therefore, </w:t>
      </w:r>
      <w:r w:rsidR="009E4969">
        <w:t>section 1</w:t>
      </w:r>
      <w:r>
        <w:t xml:space="preserve"> of this document contains background information about us and our regulatory processes, as well as some information about SP AusNet and its role in the electricity supply chain. If you already have that background knowledge, then move straight to section 2. </w:t>
      </w:r>
      <w:r w:rsidRPr="00CC5268">
        <w:t xml:space="preserve">For more </w:t>
      </w:r>
      <w:r w:rsidR="00833F9C">
        <w:t>detailed</w:t>
      </w:r>
      <w:r>
        <w:t xml:space="preserve"> discussions of the </w:t>
      </w:r>
      <w:r w:rsidRPr="00CC5268">
        <w:t>issues</w:t>
      </w:r>
      <w:r>
        <w:t xml:space="preserve"> in SP AusNet's revenue proposal</w:t>
      </w:r>
      <w:r w:rsidRPr="00CC5268">
        <w:t>, see section </w:t>
      </w:r>
      <w:r w:rsidR="00833F9C">
        <w:t>3</w:t>
      </w:r>
      <w:r>
        <w:t xml:space="preserve">. </w:t>
      </w:r>
    </w:p>
    <w:p w:rsidR="00B90521" w:rsidRDefault="00B90521" w:rsidP="00AD12FE">
      <w:pPr>
        <w:pStyle w:val="AERbodytext"/>
        <w:numPr>
          <w:ilvl w:val="0"/>
          <w:numId w:val="13"/>
        </w:numPr>
        <w:sectPr w:rsidR="00B90521" w:rsidSect="001D6CBC">
          <w:footerReference w:type="even" r:id="rId14"/>
          <w:footerReference w:type="default" r:id="rId15"/>
          <w:pgSz w:w="11906" w:h="16838" w:code="9"/>
          <w:pgMar w:top="1440" w:right="1440" w:bottom="1440" w:left="1440" w:header="709" w:footer="709" w:gutter="0"/>
          <w:pgNumType w:start="1"/>
          <w:cols w:space="708"/>
          <w:docGrid w:linePitch="360"/>
        </w:sectPr>
      </w:pPr>
    </w:p>
    <w:p w:rsidR="00AD12FE" w:rsidRPr="00B47B28" w:rsidRDefault="00AD12FE" w:rsidP="00AD12FE">
      <w:pPr>
        <w:pStyle w:val="Heading1"/>
      </w:pPr>
      <w:bookmarkStart w:id="9" w:name="_Ref353523363"/>
      <w:bookmarkStart w:id="10" w:name="_Toc355186297"/>
      <w:r w:rsidRPr="00B47B28">
        <w:t>Background</w:t>
      </w:r>
      <w:bookmarkEnd w:id="9"/>
      <w:bookmarkEnd w:id="10"/>
    </w:p>
    <w:p w:rsidR="00AD12FE" w:rsidRDefault="00AD12FE" w:rsidP="00AD12FE">
      <w:pPr>
        <w:pStyle w:val="AERbodytext"/>
        <w:numPr>
          <w:ilvl w:val="0"/>
          <w:numId w:val="13"/>
        </w:numPr>
      </w:pPr>
      <w:r>
        <w:t>The following</w:t>
      </w:r>
      <w:r w:rsidRPr="00BD4B98">
        <w:t xml:space="preserve"> section provides information about us </w:t>
      </w:r>
      <w:r>
        <w:t>and SP AusNet</w:t>
      </w:r>
      <w:r w:rsidRPr="00BD4B98">
        <w:t xml:space="preserve">. If you are </w:t>
      </w:r>
      <w:r>
        <w:t>familiar with our processes and</w:t>
      </w:r>
      <w:r w:rsidRPr="00BD4B98">
        <w:t xml:space="preserve"> </w:t>
      </w:r>
      <w:r>
        <w:t>SP AusNet</w:t>
      </w:r>
      <w:r w:rsidRPr="00BD4B98">
        <w:t xml:space="preserve">, </w:t>
      </w:r>
      <w:r>
        <w:t xml:space="preserve">then refer straight to </w:t>
      </w:r>
      <w:r w:rsidR="00D56FB8">
        <w:t>section 2 (Regulatory framework)</w:t>
      </w:r>
      <w:r>
        <w:t xml:space="preserve">. </w:t>
      </w:r>
    </w:p>
    <w:p w:rsidR="00AD12FE" w:rsidRPr="009F2E63" w:rsidRDefault="00AD12FE" w:rsidP="00AD12FE">
      <w:pPr>
        <w:pStyle w:val="Heading2"/>
      </w:pPr>
      <w:bookmarkStart w:id="11" w:name="_Toc355186298"/>
      <w:r>
        <w:t>The Australian Energy Regulator</w:t>
      </w:r>
      <w:bookmarkEnd w:id="11"/>
    </w:p>
    <w:p w:rsidR="00AD12FE" w:rsidRPr="00BD4B98" w:rsidRDefault="00AD12FE" w:rsidP="00AD12FE">
      <w:pPr>
        <w:pStyle w:val="AERbodytext"/>
        <w:numPr>
          <w:ilvl w:val="0"/>
          <w:numId w:val="13"/>
        </w:numPr>
      </w:pPr>
      <w:r>
        <w:t>We are</w:t>
      </w:r>
      <w:r w:rsidRPr="00BD4B98">
        <w:t xml:space="preserve"> Australia’s national energy market regulator and an independent statutory authority. Our functions are set out in national energy market legislation and rules, and mostly relate to energy markets in eastern and southern Australia. These functions include:</w:t>
      </w:r>
    </w:p>
    <w:p w:rsidR="00AD12FE" w:rsidRDefault="00AD12FE" w:rsidP="00AD12FE">
      <w:pPr>
        <w:pStyle w:val="AERbulletlistfirststyle"/>
      </w:pPr>
      <w:r w:rsidRPr="00BD4B98">
        <w:t>setting the prices charged for using energy networks (electricity poles and wires and gas pipelines) to transport energy to customers</w:t>
      </w:r>
    </w:p>
    <w:p w:rsidR="00AD12FE" w:rsidRDefault="00AD12FE" w:rsidP="00AD12FE">
      <w:pPr>
        <w:pStyle w:val="AERbulletlistfirststyle"/>
      </w:pPr>
      <w:r w:rsidRPr="00BD4B98">
        <w:t>monitoring wholesale electricity and gas markets to ensure suppliers comply with the legislation and rules, and taking enforcement action where necessary</w:t>
      </w:r>
    </w:p>
    <w:p w:rsidR="00AD12FE" w:rsidRDefault="00AD12FE" w:rsidP="00AD12FE">
      <w:pPr>
        <w:pStyle w:val="AERbulletlistfirststyle"/>
      </w:pPr>
      <w:r w:rsidRPr="00BD4B98">
        <w:t>publishing information on energy markets, inc</w:t>
      </w:r>
      <w:r>
        <w:t>luding the annual State of the Energy M</w:t>
      </w:r>
      <w:r w:rsidRPr="00BD4B98">
        <w:t>arket report and more detailed market and compliance reporting, to assist participants and the wider community</w:t>
      </w:r>
    </w:p>
    <w:p w:rsidR="00AD12FE" w:rsidRPr="00BD4B98" w:rsidRDefault="00AD12FE" w:rsidP="00AD12FE">
      <w:pPr>
        <w:pStyle w:val="AERbulletlistfirststyle"/>
      </w:pPr>
      <w:r>
        <w:t>a</w:t>
      </w:r>
      <w:r w:rsidRPr="00BD4B98">
        <w:t>ssisting the Australian Competition and Consumer Commission with energy-related issues arising under the Competition and Consumer Act, including enforcement, mergers and authorisations.</w:t>
      </w:r>
    </w:p>
    <w:p w:rsidR="00AD12FE" w:rsidRPr="00BD4B98" w:rsidRDefault="00AD12FE" w:rsidP="00AD12FE">
      <w:pPr>
        <w:pStyle w:val="AERbodytext"/>
        <w:numPr>
          <w:ilvl w:val="0"/>
          <w:numId w:val="13"/>
        </w:numPr>
      </w:pPr>
      <w:r w:rsidRPr="00BD4B98">
        <w:t xml:space="preserve">Specific to this review, we are responsible for the economic regulation of all transmission networks in eastern and southern Australia. </w:t>
      </w:r>
    </w:p>
    <w:p w:rsidR="00AD12FE" w:rsidRDefault="00AD12FE" w:rsidP="00AD12FE">
      <w:pPr>
        <w:pStyle w:val="AERbodytext"/>
        <w:numPr>
          <w:ilvl w:val="0"/>
          <w:numId w:val="13"/>
        </w:numPr>
      </w:pPr>
      <w:r w:rsidRPr="00BD4B98">
        <w:t>The National Electricity Law (</w:t>
      </w:r>
      <w:r>
        <w:t>NEL)</w:t>
      </w:r>
      <w:r w:rsidRPr="00BD4B98">
        <w:t xml:space="preserve"> and National Electricity Rules (</w:t>
      </w:r>
      <w:r>
        <w:t>NER</w:t>
      </w:r>
      <w:r w:rsidRPr="00BD4B98">
        <w:t xml:space="preserve">) set out the regulatory framework for the NEM. Chapter 6A of the </w:t>
      </w:r>
      <w:r>
        <w:t>NER</w:t>
      </w:r>
      <w:r w:rsidRPr="00BD4B98">
        <w:t xml:space="preserve"> contains the timelines and processes for the regulation of transmission businesses. It provides that regulated transmission businesses must periodically apply to us to assess their revenue. Typically, this happens every five years. The application, or revenue proposal, starts a process often referred to as a revenue reset, or</w:t>
      </w:r>
      <w:r>
        <w:t xml:space="preserve"> simply a 'reset'</w:t>
      </w:r>
      <w:r w:rsidRPr="00BD4B98">
        <w:t>.</w:t>
      </w:r>
    </w:p>
    <w:p w:rsidR="00AD12FE" w:rsidRPr="00BD4B98" w:rsidRDefault="00AD12FE" w:rsidP="00AD12FE">
      <w:pPr>
        <w:pStyle w:val="Heading2"/>
      </w:pPr>
      <w:bookmarkStart w:id="12" w:name="_Toc355186299"/>
      <w:r>
        <w:t>Who is SP AusNet and what does it do?</w:t>
      </w:r>
      <w:bookmarkEnd w:id="12"/>
    </w:p>
    <w:p w:rsidR="00AD12FE" w:rsidRDefault="00AD12FE" w:rsidP="00AD12FE">
      <w:pPr>
        <w:pStyle w:val="AERbodytext"/>
        <w:numPr>
          <w:ilvl w:val="0"/>
          <w:numId w:val="13"/>
        </w:numPr>
      </w:pPr>
      <w:bookmarkStart w:id="13" w:name="_Ref352241073"/>
      <w:r>
        <w:t xml:space="preserve">SP AusNet owns and operates the electricity transmission network in Victoria. </w:t>
      </w:r>
      <w:r w:rsidRPr="00E12F35">
        <w:t xml:space="preserve">Its role is to connect generators with demand centres in cities, towns and regional communities. </w:t>
      </w:r>
    </w:p>
    <w:p w:rsidR="00AD12FE" w:rsidRPr="00E12F35" w:rsidRDefault="00AD12FE" w:rsidP="00AD12FE">
      <w:pPr>
        <w:pStyle w:val="AERbodytext"/>
        <w:numPr>
          <w:ilvl w:val="0"/>
          <w:numId w:val="13"/>
        </w:numPr>
      </w:pPr>
      <w:r w:rsidRPr="00BB6C4F">
        <w:t xml:space="preserve">SP AusNet’s </w:t>
      </w:r>
      <w:r>
        <w:t xml:space="preserve">transmission </w:t>
      </w:r>
      <w:r w:rsidRPr="00BB6C4F">
        <w:t xml:space="preserve">network is built around a 500 kV backbone running from the major generating source in the Latrobe Valley, through Melbourne and across the southern part of the state to Heywood near the South Australian border. The network provides key physical links in the NEM, connecting with networks in </w:t>
      </w:r>
      <w:smartTag w:uri="urn:schemas-microsoft-com:office:smarttags" w:element="State">
        <w:r w:rsidRPr="00BB6C4F">
          <w:t>South Australia</w:t>
        </w:r>
      </w:smartTag>
      <w:r w:rsidRPr="00BB6C4F">
        <w:t xml:space="preserve">, NSW and </w:t>
      </w:r>
      <w:smartTag w:uri="urn:schemas-microsoft-com:office:smarttags" w:element="place">
        <w:smartTag w:uri="urn:schemas-microsoft-com:office:smarttags" w:element="State">
          <w:r w:rsidRPr="00BB6C4F">
            <w:t>Tasmania</w:t>
          </w:r>
        </w:smartTag>
      </w:smartTag>
      <w:r w:rsidRPr="00BB6C4F">
        <w:t xml:space="preserve">. The network consists of 6,553 kilometres of cable, running at voltages of 500kV, 330kV, 275kV, 220kV and 66kV. </w:t>
      </w:r>
    </w:p>
    <w:p w:rsidR="00AD12FE" w:rsidRPr="00E12F35" w:rsidRDefault="00AD12FE" w:rsidP="00AD12FE">
      <w:pPr>
        <w:pStyle w:val="AERbodytext"/>
        <w:numPr>
          <w:ilvl w:val="0"/>
          <w:numId w:val="13"/>
        </w:numPr>
      </w:pPr>
      <w:r>
        <w:t xml:space="preserve">To fund its activities, which are highly capital intensive, SP AusNet </w:t>
      </w:r>
      <w:r w:rsidR="00507DCC">
        <w:t xml:space="preserve">recovers its </w:t>
      </w:r>
      <w:r w:rsidR="00EE0B9C">
        <w:t>revenues</w:t>
      </w:r>
      <w:r w:rsidR="00507DCC">
        <w:t xml:space="preserve"> from</w:t>
      </w:r>
      <w:r w:rsidRPr="00E12F35">
        <w:t xml:space="preserve"> its </w:t>
      </w:r>
      <w:r w:rsidR="00507DCC">
        <w:t xml:space="preserve">direct </w:t>
      </w:r>
      <w:r w:rsidRPr="00E12F35">
        <w:t>customers</w:t>
      </w:r>
      <w:r w:rsidR="00507DCC">
        <w:t xml:space="preserve"> (largely via AEMO which is responsible for levying transmission network charges in Victoria). SP AusNet’s</w:t>
      </w:r>
      <w:r w:rsidRPr="00E12F35">
        <w:t xml:space="preserve"> main customer</w:t>
      </w:r>
      <w:r>
        <w:t>s</w:t>
      </w:r>
      <w:r w:rsidRPr="00E12F35">
        <w:t xml:space="preserve"> </w:t>
      </w:r>
      <w:r w:rsidR="00507DCC">
        <w:t>are</w:t>
      </w:r>
      <w:r w:rsidR="00507DCC" w:rsidRPr="00E12F35">
        <w:t xml:space="preserve"> </w:t>
      </w:r>
      <w:r w:rsidRPr="00E12F35">
        <w:t xml:space="preserve">the distribution network </w:t>
      </w:r>
      <w:r>
        <w:t>operators</w:t>
      </w:r>
      <w:r w:rsidRPr="00E12F35">
        <w:t xml:space="preserve"> in </w:t>
      </w:r>
      <w:r>
        <w:t>Victoria</w:t>
      </w:r>
      <w:r w:rsidRPr="00E12F35">
        <w:t xml:space="preserve">. Those transmission charges are then passed on to almost every </w:t>
      </w:r>
      <w:r>
        <w:t>Victorian</w:t>
      </w:r>
      <w:r w:rsidRPr="00E12F35">
        <w:t xml:space="preserve"> household and business when they pay their final electricity bill. </w:t>
      </w:r>
      <w:r w:rsidR="00876FFF">
        <w:fldChar w:fldCharType="begin"/>
      </w:r>
      <w:r w:rsidR="00D56FB8">
        <w:instrText xml:space="preserve"> REF _Ref354564760 \h </w:instrText>
      </w:r>
      <w:r w:rsidR="00876FFF">
        <w:fldChar w:fldCharType="separate"/>
      </w:r>
      <w:r w:rsidR="003F1C4B">
        <w:t xml:space="preserve">Figure </w:t>
      </w:r>
      <w:r w:rsidR="003F1C4B">
        <w:rPr>
          <w:noProof/>
        </w:rPr>
        <w:t>1</w:t>
      </w:r>
      <w:r w:rsidR="003F1C4B">
        <w:t>.</w:t>
      </w:r>
      <w:r w:rsidR="003F1C4B">
        <w:rPr>
          <w:noProof/>
        </w:rPr>
        <w:t>1</w:t>
      </w:r>
      <w:r w:rsidR="00876FFF">
        <w:fldChar w:fldCharType="end"/>
      </w:r>
      <w:r w:rsidR="00D56FB8">
        <w:t xml:space="preserve"> </w:t>
      </w:r>
      <w:r w:rsidRPr="00E12F35">
        <w:t xml:space="preserve">illustrates the electricity supply chain and the role of </w:t>
      </w:r>
      <w:r>
        <w:t>SP AusNet</w:t>
      </w:r>
      <w:r w:rsidRPr="00E12F35">
        <w:t xml:space="preserve"> as an operator of the transmission network.</w:t>
      </w:r>
    </w:p>
    <w:p w:rsidR="00AD12FE" w:rsidRPr="007D4955" w:rsidRDefault="00D56FB8" w:rsidP="00D56FB8">
      <w:pPr>
        <w:pStyle w:val="Caption"/>
      </w:pPr>
      <w:bookmarkStart w:id="14" w:name="_Ref354564760"/>
      <w:bookmarkStart w:id="15" w:name="_Ref352843726"/>
      <w:bookmarkEnd w:id="13"/>
      <w:r>
        <w:t xml:space="preserve">Figure </w:t>
      </w:r>
      <w:r w:rsidR="00876FFF">
        <w:fldChar w:fldCharType="begin"/>
      </w:r>
      <w:r w:rsidR="00073991">
        <w:instrText xml:space="preserve"> STYLEREF 1 \s </w:instrText>
      </w:r>
      <w:r w:rsidR="00876FFF">
        <w:fldChar w:fldCharType="separate"/>
      </w:r>
      <w:r w:rsidR="003F1C4B">
        <w:rPr>
          <w:noProof/>
        </w:rPr>
        <w:t>1</w:t>
      </w:r>
      <w:r w:rsidR="00876FFF">
        <w:fldChar w:fldCharType="end"/>
      </w:r>
      <w:r w:rsidR="006453C2">
        <w:t>.</w:t>
      </w:r>
      <w:r w:rsidR="00876FFF">
        <w:fldChar w:fldCharType="begin"/>
      </w:r>
      <w:r w:rsidR="006453C2">
        <w:instrText xml:space="preserve"> SEQ Figure \* ARABIC \s 1 </w:instrText>
      </w:r>
      <w:r w:rsidR="00876FFF">
        <w:fldChar w:fldCharType="separate"/>
      </w:r>
      <w:r w:rsidR="003F1C4B">
        <w:rPr>
          <w:noProof/>
        </w:rPr>
        <w:t>1</w:t>
      </w:r>
      <w:r w:rsidR="00876FFF">
        <w:fldChar w:fldCharType="end"/>
      </w:r>
      <w:bookmarkEnd w:id="14"/>
      <w:r>
        <w:tab/>
      </w:r>
      <w:r w:rsidR="00AD12FE">
        <w:t>Electricity Supply chain</w:t>
      </w:r>
      <w:bookmarkEnd w:id="15"/>
    </w:p>
    <w:p w:rsidR="00AD12FE" w:rsidRDefault="00AD12FE" w:rsidP="00AD12FE">
      <w:pPr>
        <w:pStyle w:val="AERbodytext"/>
        <w:numPr>
          <w:ilvl w:val="0"/>
          <w:numId w:val="13"/>
        </w:numPr>
      </w:pPr>
      <w:r w:rsidRPr="007D4955">
        <w:t xml:space="preserve"> </w:t>
      </w:r>
      <w:r w:rsidRPr="00AD12FE">
        <w:rPr>
          <w:noProof/>
          <w:lang w:eastAsia="en-AU"/>
        </w:rPr>
        <w:drawing>
          <wp:inline distT="0" distB="0" distL="0" distR="0">
            <wp:extent cx="4502150" cy="4166169"/>
            <wp:effectExtent l="19050" t="0" r="0" b="0"/>
            <wp:docPr id="18" name="Picture 2" descr="http://3.bp.blogspot.com/-PcO_BHIA9Xg/T8_4S2KdB_I/AAAAAAAAAGU/C5gIP8k_sxw/s1600/Power+Generation+Transmission+and+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PcO_BHIA9Xg/T8_4S2KdB_I/AAAAAAAAAGU/C5gIP8k_sxw/s1600/Power+Generation+Transmission+and+Distribution.jpg"/>
                    <pic:cNvPicPr>
                      <a:picLocks noChangeAspect="1" noChangeArrowheads="1"/>
                    </pic:cNvPicPr>
                  </pic:nvPicPr>
                  <pic:blipFill>
                    <a:blip r:embed="rId16" cstate="print"/>
                    <a:srcRect/>
                    <a:stretch>
                      <a:fillRect/>
                    </a:stretch>
                  </pic:blipFill>
                  <pic:spPr bwMode="auto">
                    <a:xfrm>
                      <a:off x="0" y="0"/>
                      <a:ext cx="4502150" cy="4166169"/>
                    </a:xfrm>
                    <a:prstGeom prst="rect">
                      <a:avLst/>
                    </a:prstGeom>
                    <a:noFill/>
                    <a:ln w="9525">
                      <a:noFill/>
                      <a:miter lim="800000"/>
                      <a:headEnd/>
                      <a:tailEnd/>
                    </a:ln>
                  </pic:spPr>
                </pic:pic>
              </a:graphicData>
            </a:graphic>
          </wp:inline>
        </w:drawing>
      </w:r>
    </w:p>
    <w:p w:rsidR="00AD12FE" w:rsidRPr="007D4955" w:rsidRDefault="000966CA" w:rsidP="00AD12FE">
      <w:pPr>
        <w:pStyle w:val="AERbodytext"/>
        <w:numPr>
          <w:ilvl w:val="0"/>
          <w:numId w:val="13"/>
        </w:numPr>
      </w:pPr>
      <w:r>
        <w:t>T</w:t>
      </w:r>
      <w:r w:rsidR="00AD12FE" w:rsidRPr="007D4955">
        <w:t xml:space="preserve">he electricity supply chain begins with a wholesale market in which generators produce electricity and sell it through a central dispatch process. Because generators are generally located near fuel sources, often hundreds of kilometres away from where consumers live and work, the electricity produced at a generator </w:t>
      </w:r>
      <w:r w:rsidR="00AD12FE">
        <w:t>must</w:t>
      </w:r>
      <w:r w:rsidR="00AD12FE" w:rsidRPr="007D4955">
        <w:t xml:space="preserve"> be transferred over long distances. The most efficient way to do this is at high voltages since this minimises energy losses which naturally occur when electricity in transferred. </w:t>
      </w:r>
      <w:r w:rsidR="00AD12FE">
        <w:t>T</w:t>
      </w:r>
      <w:r w:rsidR="00AD12FE" w:rsidRPr="007D4955">
        <w:t xml:space="preserve">his is </w:t>
      </w:r>
      <w:r w:rsidR="00AD12FE">
        <w:t>SP AusNet's</w:t>
      </w:r>
      <w:r w:rsidR="00AD12FE" w:rsidRPr="007D4955">
        <w:t xml:space="preserve"> role: it operates a high voltage transmission network which transfers electricity, </w:t>
      </w:r>
      <w:r w:rsidR="00AD12FE">
        <w:t>at high voltages</w:t>
      </w:r>
      <w:r w:rsidR="00AD12FE" w:rsidRPr="007D4955">
        <w:t>, over long distances from where it is generated to where consumers need it.</w:t>
      </w:r>
    </w:p>
    <w:p w:rsidR="00AD12FE" w:rsidRPr="007D4955" w:rsidRDefault="00AD12FE" w:rsidP="00AD12FE">
      <w:pPr>
        <w:pStyle w:val="AERbodytext"/>
        <w:numPr>
          <w:ilvl w:val="0"/>
          <w:numId w:val="13"/>
        </w:numPr>
      </w:pPr>
      <w:r w:rsidRPr="007D4955">
        <w:t xml:space="preserve">The </w:t>
      </w:r>
      <w:r>
        <w:t xml:space="preserve">Victorian </w:t>
      </w:r>
      <w:r w:rsidRPr="007D4955">
        <w:t>distribution network</w:t>
      </w:r>
      <w:r>
        <w:t>s</w:t>
      </w:r>
      <w:r>
        <w:rPr>
          <w:rStyle w:val="FootnoteReference"/>
        </w:rPr>
        <w:footnoteReference w:id="5"/>
      </w:r>
      <w:r>
        <w:t xml:space="preserve"> connect SP AusNet's</w:t>
      </w:r>
      <w:r w:rsidRPr="007D4955">
        <w:t xml:space="preserve"> transmission network. This occurs at zone substations. While electricity moves along a transmission network at high voltages to minimise energy loss, it must be stepped down to a lower voltage before it enters a distribution network. This is so the electricity can be safely used by end-users. Distribution networks criss-cross urban and regional areas to provide electricity to every electricity consumer, so they require high levels of investment.</w:t>
      </w:r>
    </w:p>
    <w:p w:rsidR="00AD12FE" w:rsidRPr="00AD12FE" w:rsidRDefault="00AD12FE" w:rsidP="00AD12FE">
      <w:pPr>
        <w:pStyle w:val="AERbodytext"/>
      </w:pPr>
      <w:r w:rsidRPr="007D4955">
        <w:t xml:space="preserve">Energy retailers issue the final electricity bill a consumer receives. Their function in the supply chain is to buy electricity in the wholesale market and package it with transportation services (transmission and distribution) for sale to consumers. In </w:t>
      </w:r>
      <w:r w:rsidRPr="00AD12FE">
        <w:t>Victoria, energy retailers include AGL and Origin Energy.</w:t>
      </w:r>
    </w:p>
    <w:p w:rsidR="00AD12FE" w:rsidRPr="00AD12FE" w:rsidRDefault="00AD12FE" w:rsidP="00AD12FE">
      <w:pPr>
        <w:pStyle w:val="AERbodytext"/>
      </w:pPr>
    </w:p>
    <w:p w:rsidR="00AD12FE" w:rsidRDefault="00AD12FE" w:rsidP="00AD12FE">
      <w:pPr>
        <w:pStyle w:val="Heading2"/>
      </w:pPr>
      <w:bookmarkStart w:id="16" w:name="_Toc355186300"/>
      <w:r>
        <w:t>SP AusNet's consumer engagement and community consultation</w:t>
      </w:r>
      <w:bookmarkEnd w:id="16"/>
    </w:p>
    <w:p w:rsidR="00AD12FE" w:rsidRDefault="00AD12FE" w:rsidP="00AD12FE">
      <w:pPr>
        <w:pStyle w:val="AERbodytext"/>
        <w:numPr>
          <w:ilvl w:val="0"/>
          <w:numId w:val="13"/>
        </w:numPr>
      </w:pPr>
      <w:r>
        <w:t>SP AusNet liaises with the Victorian distribution network service providers, generators, direct connect customers and the Australian Energy Market Operator in the course of carrying out its business.</w:t>
      </w:r>
      <w:r>
        <w:rPr>
          <w:rStyle w:val="FootnoteReference"/>
        </w:rPr>
        <w:footnoteReference w:id="6"/>
      </w:r>
      <w:r>
        <w:t xml:space="preserve"> SP AusNet has met with the Energy Users Association of Australia (EUAA) and the Consumer Utilities Advocacy Centre (CUAC) to discuss its revenue proposal. SP AusNet has endeavoured to provide bill impact information to larger industrial customers in the revenue proposal.</w:t>
      </w:r>
      <w:r>
        <w:rPr>
          <w:rStyle w:val="FootnoteReference"/>
        </w:rPr>
        <w:footnoteReference w:id="7"/>
      </w:r>
      <w:r>
        <w:t xml:space="preserve"> It has undertaken to engage further with the EUAA and CUAC throughout the review process and to identify issues of concern.</w:t>
      </w:r>
      <w:r w:rsidRPr="00512E62">
        <w:rPr>
          <w:rStyle w:val="FootnoteReference"/>
        </w:rPr>
        <w:footnoteReference w:id="8"/>
      </w:r>
      <w:r w:rsidRPr="00512E62">
        <w:t xml:space="preserve"> </w:t>
      </w:r>
    </w:p>
    <w:p w:rsidR="00AD12FE" w:rsidRDefault="00AD12FE" w:rsidP="00AD12FE">
      <w:pPr>
        <w:pStyle w:val="AERbodytext"/>
        <w:numPr>
          <w:ilvl w:val="0"/>
          <w:numId w:val="13"/>
        </w:numPr>
      </w:pPr>
      <w:r>
        <w:t>SP AusNet has also provided information on community consultation it has undertaken in relation to its CBD rebuild capex projects.</w:t>
      </w:r>
      <w:r>
        <w:rPr>
          <w:rStyle w:val="FootnoteReference"/>
        </w:rPr>
        <w:footnoteReference w:id="9"/>
      </w:r>
      <w:r>
        <w:t xml:space="preserve"> It conducted community consultation on the Richmond terminal station rebuild through newsletters, feedback forms, a phone hotline and face to face discussions during 'door–knocks'. SP AusNet will undertake the same process for the West Melbourne terminal station rebuild. SP AusNet's community consultation program is outlined in section 2.8 of its revenue proposal. </w:t>
      </w:r>
    </w:p>
    <w:p w:rsidR="00AD12FE" w:rsidRDefault="00AD12FE" w:rsidP="00AD12FE">
      <w:pPr>
        <w:pStyle w:val="AERbodytext"/>
        <w:numPr>
          <w:ilvl w:val="0"/>
          <w:numId w:val="13"/>
        </w:numPr>
      </w:pPr>
      <w:r>
        <w:t xml:space="preserve">We would like feedback from user groups and the community in relation to SP AusNet’s consultation procedures, particularly in relation to its proposed CBD rebuild projects and other major replacement projects. Under SP AusNet’s pricing methodology, </w:t>
      </w:r>
      <w:r w:rsidR="00AB6721">
        <w:t>t</w:t>
      </w:r>
      <w:r>
        <w:t xml:space="preserve">hese projects will have localised pricing implications for customers. We want to know whether these pricing implications have been communicated to you. </w:t>
      </w:r>
    </w:p>
    <w:p w:rsidR="00AD12FE" w:rsidRPr="00D0040B" w:rsidRDefault="00D0040B" w:rsidP="00AD12FE">
      <w:pPr>
        <w:pStyle w:val="AERrevisionbox"/>
        <w:numPr>
          <w:ilvl w:val="0"/>
          <w:numId w:val="13"/>
        </w:numPr>
        <w:rPr>
          <w:rStyle w:val="AERtextbold"/>
        </w:rPr>
      </w:pPr>
      <w:r>
        <w:rPr>
          <w:rStyle w:val="AERtextbold"/>
        </w:rPr>
        <w:t>Question for stakeholders – SP AusNet's consumer and community engagement</w:t>
      </w:r>
    </w:p>
    <w:p w:rsidR="00AD12FE" w:rsidRDefault="00D0040B" w:rsidP="00AD12FE">
      <w:pPr>
        <w:pStyle w:val="AERrevisionbox"/>
        <w:numPr>
          <w:ilvl w:val="0"/>
          <w:numId w:val="13"/>
        </w:numPr>
      </w:pPr>
      <w:r>
        <w:t xml:space="preserve">1) </w:t>
      </w:r>
      <w:r w:rsidR="00AD12FE">
        <w:t>Are you satisfied with the level of engagement that SP AusNet has undertaken? If so, what in particular did you appreciate? If not, what additional engagement could SP AusNet have done?</w:t>
      </w:r>
    </w:p>
    <w:p w:rsidR="00AD12FE" w:rsidRPr="006B237B" w:rsidRDefault="00D0040B" w:rsidP="00AD12FE">
      <w:pPr>
        <w:pStyle w:val="AERrevisionbox"/>
        <w:numPr>
          <w:ilvl w:val="0"/>
          <w:numId w:val="13"/>
        </w:numPr>
      </w:pPr>
      <w:r>
        <w:t xml:space="preserve">2) </w:t>
      </w:r>
      <w:r w:rsidR="00AD12FE">
        <w:t>Has SP AusNet communicated the pricing implications of the proposed CBD rebuilds and other major replacement capex projects?</w:t>
      </w:r>
    </w:p>
    <w:p w:rsidR="00B90521" w:rsidRDefault="00B90521" w:rsidP="00AD12FE">
      <w:pPr>
        <w:pStyle w:val="AERbodytext"/>
        <w:sectPr w:rsidR="00B90521" w:rsidSect="00D0040B">
          <w:footerReference w:type="even" r:id="rId17"/>
          <w:footerReference w:type="default" r:id="rId18"/>
          <w:pgSz w:w="11906" w:h="16838" w:code="9"/>
          <w:pgMar w:top="1440" w:right="1440" w:bottom="1440" w:left="1440" w:header="709" w:footer="709" w:gutter="0"/>
          <w:cols w:space="708"/>
          <w:docGrid w:linePitch="360"/>
        </w:sectPr>
      </w:pPr>
    </w:p>
    <w:p w:rsidR="00AD12FE" w:rsidRPr="00AD12FE" w:rsidRDefault="00AD12FE" w:rsidP="00AD12FE">
      <w:pPr>
        <w:pStyle w:val="Heading1"/>
      </w:pPr>
      <w:bookmarkStart w:id="17" w:name="_Ref352843643"/>
      <w:bookmarkStart w:id="18" w:name="_Toc355186301"/>
      <w:r>
        <w:t>Regulatory framework</w:t>
      </w:r>
      <w:bookmarkEnd w:id="17"/>
      <w:bookmarkEnd w:id="18"/>
    </w:p>
    <w:p w:rsidR="00AD12FE" w:rsidRPr="00E12F35" w:rsidRDefault="00AD12FE" w:rsidP="00AD12FE">
      <w:pPr>
        <w:pStyle w:val="AERbodytext"/>
        <w:numPr>
          <w:ilvl w:val="0"/>
          <w:numId w:val="13"/>
        </w:numPr>
      </w:pPr>
      <w:r>
        <w:t xml:space="preserve">SP AusNet operates under a unique regulatory framework, in terms of the version of the NER applicable to it over the 2014–17 regulatory control period and the planning arrangements in Victoria. </w:t>
      </w:r>
    </w:p>
    <w:p w:rsidR="00AD12FE" w:rsidRPr="00E12F35" w:rsidRDefault="00AD12FE" w:rsidP="00AD12FE">
      <w:pPr>
        <w:pStyle w:val="Heading2"/>
      </w:pPr>
      <w:bookmarkStart w:id="19" w:name="_Toc355186302"/>
      <w:r>
        <w:t>Applicable version of the National Electricity Rules</w:t>
      </w:r>
      <w:bookmarkEnd w:id="19"/>
    </w:p>
    <w:p w:rsidR="00AD12FE" w:rsidRDefault="00AD12FE" w:rsidP="00AD12FE">
      <w:pPr>
        <w:pStyle w:val="AERbodytext"/>
        <w:numPr>
          <w:ilvl w:val="0"/>
          <w:numId w:val="13"/>
        </w:numPr>
      </w:pPr>
      <w:r>
        <w:t>In November 2012, the AEMC made its determination on the network regulation rule changes.</w:t>
      </w:r>
      <w:r>
        <w:rPr>
          <w:rStyle w:val="FootnoteReference"/>
        </w:rPr>
        <w:footnoteReference w:id="10"/>
      </w:r>
      <w:r>
        <w:t xml:space="preserve"> This implemented a new version of the NER. However, given the rule change decision was released just before SP AusNet submitted its revenue proposal, in February 2013, the new rules could not apply to its transmission determination. </w:t>
      </w:r>
    </w:p>
    <w:p w:rsidR="00AD12FE" w:rsidRDefault="00AD12FE" w:rsidP="00AD12FE">
      <w:pPr>
        <w:pStyle w:val="AERbodytext"/>
        <w:numPr>
          <w:ilvl w:val="0"/>
          <w:numId w:val="13"/>
        </w:numPr>
      </w:pPr>
      <w:r>
        <w:t>The AEMC therefore implemented transitional arrangements providing that the previous version of the NER (version 52) will apply to SP AusNet's 2014–17 regulatory control period.</w:t>
      </w:r>
      <w:r>
        <w:rPr>
          <w:rStyle w:val="FootnoteReference"/>
        </w:rPr>
        <w:footnoteReference w:id="11"/>
      </w:r>
      <w:r>
        <w:t xml:space="preserve"> </w:t>
      </w:r>
    </w:p>
    <w:p w:rsidR="00AD12FE" w:rsidRDefault="00AD12FE" w:rsidP="00AD12FE">
      <w:pPr>
        <w:pStyle w:val="AERbodytext"/>
        <w:numPr>
          <w:ilvl w:val="0"/>
          <w:numId w:val="13"/>
        </w:numPr>
      </w:pPr>
      <w:r>
        <w:t>The minimum length of a regulatory control period is usually five years. However, the transitional arrangements allow for a reduced period of three years for SP AusNet's next regulatory control period so it can transition to the current version of the NER on 1 April 2017.</w:t>
      </w:r>
      <w:r>
        <w:rPr>
          <w:rStyle w:val="FootnoteReference"/>
        </w:rPr>
        <w:footnoteReference w:id="12"/>
      </w:r>
    </w:p>
    <w:p w:rsidR="00AD12FE" w:rsidRDefault="00AD12FE" w:rsidP="00AD12FE">
      <w:pPr>
        <w:pStyle w:val="AERbodytext"/>
        <w:numPr>
          <w:ilvl w:val="0"/>
          <w:numId w:val="13"/>
        </w:numPr>
      </w:pPr>
      <w:r>
        <w:t xml:space="preserve">Importantly, the previous version of the NER does not </w:t>
      </w:r>
      <w:r w:rsidR="00AB6721">
        <w:t>permit</w:t>
      </w:r>
      <w:r>
        <w:t xml:space="preserve"> us to conduct an</w:t>
      </w:r>
      <w:r w:rsidR="00AB6721">
        <w:t xml:space="preserve"> 'ex </w:t>
      </w:r>
      <w:r>
        <w:t>post</w:t>
      </w:r>
      <w:r w:rsidR="00AB6721">
        <w:t>'</w:t>
      </w:r>
      <w:r w:rsidR="00594E19">
        <w:t xml:space="preserve"> review of SP </w:t>
      </w:r>
      <w:r>
        <w:t>AusNet’s capex.</w:t>
      </w:r>
      <w:r w:rsidR="00594E19">
        <w:rPr>
          <w:rStyle w:val="FootnoteReference"/>
        </w:rPr>
        <w:footnoteReference w:id="13"/>
      </w:r>
      <w:r>
        <w:t xml:space="preserve"> </w:t>
      </w:r>
      <w:r w:rsidR="00AB6721">
        <w:t xml:space="preserve">This means we are not allowed to adjust SP AusNet's opening regulatory asset base for any inefficient capex during the 2008–14 regulatory control period. </w:t>
      </w:r>
      <w:r>
        <w:t xml:space="preserve">However, SP AusNet’s historical capex and opex will inform our assessment of its expenditure forecasts. </w:t>
      </w:r>
    </w:p>
    <w:p w:rsidR="00D56FB8" w:rsidRDefault="00D56FB8" w:rsidP="00D56FB8">
      <w:pPr>
        <w:pStyle w:val="Heading2"/>
      </w:pPr>
      <w:bookmarkStart w:id="20" w:name="_Toc355186303"/>
      <w:r>
        <w:t>Maximum allowed revenue</w:t>
      </w:r>
      <w:bookmarkEnd w:id="20"/>
    </w:p>
    <w:p w:rsidR="00D56FB8" w:rsidRDefault="00D56FB8" w:rsidP="00D56FB8">
      <w:pPr>
        <w:pStyle w:val="AERbodytext"/>
        <w:numPr>
          <w:ilvl w:val="0"/>
          <w:numId w:val="13"/>
        </w:numPr>
      </w:pPr>
      <w:r>
        <w:t xml:space="preserve">SP AusNet recovers revenue from its customers via its network tariffs. Its pricing methodology (appendix 13A to its revenue proposal), prescribes the way it recovers this revenue. To determine SP AusNet's revenue for the 2014–17 regulatory control period, we assess the total revenue required to provide prescribed transmission services for each year of the period. This annual revenue requirement reflects the efficient costs of providing prescribed transmission services across the Victorian electricity transmission network. </w:t>
      </w:r>
    </w:p>
    <w:p w:rsidR="00D56FB8" w:rsidRDefault="00D56FB8" w:rsidP="00D56FB8">
      <w:pPr>
        <w:pStyle w:val="AERbodytext"/>
        <w:numPr>
          <w:ilvl w:val="0"/>
          <w:numId w:val="13"/>
        </w:numPr>
      </w:pPr>
      <w:r>
        <w:t>In accordance with the NER, we use the building block approach to determine the annual revenue requirement. That revenue requirement is determined by estimating the efficient costs that SP AusNet is likely to incur in providing prescribed transmission services. The underlying cost elements include:</w:t>
      </w:r>
      <w:r>
        <w:rPr>
          <w:rStyle w:val="FootnoteReference"/>
        </w:rPr>
        <w:footnoteReference w:id="14"/>
      </w:r>
    </w:p>
    <w:p w:rsidR="00D56FB8" w:rsidRPr="00AD12FE" w:rsidRDefault="00D56FB8" w:rsidP="00D56FB8">
      <w:pPr>
        <w:pStyle w:val="AERbulletlistfirststyle"/>
      </w:pPr>
      <w:r w:rsidRPr="00FF3789">
        <w:t>a return on the regulatory asset base (return on capital)</w:t>
      </w:r>
    </w:p>
    <w:p w:rsidR="00D56FB8" w:rsidRPr="00AD12FE" w:rsidRDefault="00D56FB8" w:rsidP="00D56FB8">
      <w:pPr>
        <w:pStyle w:val="AERbulletlistfirststyle"/>
      </w:pPr>
      <w:r w:rsidRPr="00FF3789">
        <w:t>depreciation of the regulatory asset base (return of capital)</w:t>
      </w:r>
    </w:p>
    <w:p w:rsidR="00D56FB8" w:rsidRPr="00AD12FE" w:rsidRDefault="00D56FB8" w:rsidP="00D56FB8">
      <w:pPr>
        <w:pStyle w:val="AERbulletlistfirststyle"/>
      </w:pPr>
      <w:r w:rsidRPr="00FF3789">
        <w:t>forecast operating expenditure</w:t>
      </w:r>
      <w:r w:rsidRPr="00AD12FE">
        <w:t xml:space="preserve"> (opex)</w:t>
      </w:r>
    </w:p>
    <w:p w:rsidR="00D56FB8" w:rsidRPr="00AD12FE" w:rsidRDefault="00D56FB8" w:rsidP="00D56FB8">
      <w:pPr>
        <w:pStyle w:val="AERbulletlistfirststyle"/>
      </w:pPr>
      <w:r w:rsidRPr="00FF3789">
        <w:t>increments or decrements resulting from the efficiency benefit sharing scheme</w:t>
      </w:r>
      <w:r w:rsidRPr="00AD12FE">
        <w:t xml:space="preserve"> (EBSS)</w:t>
      </w:r>
    </w:p>
    <w:p w:rsidR="00D56FB8" w:rsidRPr="00AD12FE" w:rsidRDefault="00D56FB8" w:rsidP="00D56FB8">
      <w:pPr>
        <w:pStyle w:val="AERbulletlistfirststyle"/>
      </w:pPr>
      <w:r w:rsidRPr="00FF3789">
        <w:t>the estimated cost of corporate income tax</w:t>
      </w:r>
      <w:r w:rsidRPr="00AD12FE">
        <w:t>.</w:t>
      </w:r>
    </w:p>
    <w:p w:rsidR="00D56FB8" w:rsidRDefault="00D56FB8" w:rsidP="00D56FB8">
      <w:pPr>
        <w:pStyle w:val="AERbodytext"/>
        <w:numPr>
          <w:ilvl w:val="0"/>
          <w:numId w:val="13"/>
        </w:numPr>
      </w:pPr>
      <w:r>
        <w:t xml:space="preserve">Our assessment of capex directly affects the size of the regulatory asset base and therefore the return on capital and return of capital building blocks. </w:t>
      </w:r>
    </w:p>
    <w:p w:rsidR="00D56FB8" w:rsidRPr="004D10B1" w:rsidRDefault="00D56FB8" w:rsidP="00D56FB8">
      <w:pPr>
        <w:pStyle w:val="Caption"/>
      </w:pPr>
      <w:bookmarkStart w:id="21" w:name="_Ref337646231"/>
      <w:bookmarkStart w:id="22" w:name="_Ref337646227"/>
      <w:r>
        <w:t xml:space="preserve">Figure </w:t>
      </w:r>
      <w:r w:rsidR="00876FFF">
        <w:fldChar w:fldCharType="begin"/>
      </w:r>
      <w:r w:rsidR="00073991">
        <w:instrText xml:space="preserve"> STYLEREF 1 \s </w:instrText>
      </w:r>
      <w:r w:rsidR="00876FFF">
        <w:fldChar w:fldCharType="separate"/>
      </w:r>
      <w:r w:rsidR="003F1C4B">
        <w:rPr>
          <w:noProof/>
        </w:rPr>
        <w:t>2</w:t>
      </w:r>
      <w:r w:rsidR="00876FFF">
        <w:fldChar w:fldCharType="end"/>
      </w:r>
      <w:r w:rsidR="006453C2">
        <w:t>.</w:t>
      </w:r>
      <w:r w:rsidR="00876FFF">
        <w:fldChar w:fldCharType="begin"/>
      </w:r>
      <w:r w:rsidR="006453C2">
        <w:instrText xml:space="preserve"> SEQ Figure \* ARABIC \s 1 </w:instrText>
      </w:r>
      <w:r w:rsidR="00876FFF">
        <w:fldChar w:fldCharType="separate"/>
      </w:r>
      <w:r w:rsidR="003F1C4B">
        <w:rPr>
          <w:noProof/>
        </w:rPr>
        <w:t>1</w:t>
      </w:r>
      <w:r w:rsidR="00876FFF">
        <w:fldChar w:fldCharType="end"/>
      </w:r>
      <w:bookmarkEnd w:id="21"/>
      <w:r>
        <w:tab/>
        <w:t>The b</w:t>
      </w:r>
      <w:r w:rsidRPr="00185CC6">
        <w:t xml:space="preserve">uilding </w:t>
      </w:r>
      <w:r w:rsidRPr="004D10B1">
        <w:t>block approach</w:t>
      </w:r>
      <w:bookmarkEnd w:id="22"/>
      <w:r>
        <w:t xml:space="preserve"> for determining total revenue</w:t>
      </w:r>
    </w:p>
    <w:p w:rsidR="00D56FB8" w:rsidRDefault="00876FFF" w:rsidP="00D56FB8">
      <w:pPr>
        <w:pStyle w:val="AERbodytext"/>
        <w:numPr>
          <w:ilvl w:val="0"/>
          <w:numId w:val="13"/>
        </w:numPr>
      </w:pPr>
      <w:r>
        <w:pict>
          <v:shapetype id="_x0000_t202" coordsize="21600,21600" o:spt="202" path="m,l,21600r21600,l21600,xe">
            <v:stroke joinstyle="miter"/>
            <v:path gradientshapeok="t" o:connecttype="rect"/>
          </v:shapetype>
          <v:shape id="_x0000_s1057" type="#_x0000_t202" style="position:absolute;left:0;text-align:left;margin-left:355.95pt;margin-top:117.65pt;width:87pt;height:22.2pt;z-index:251666432" strokecolor="white">
            <v:textbox style="mso-next-textbox:#_x0000_s1057">
              <w:txbxContent>
                <w:p w:rsidR="003F4B01" w:rsidRPr="002569F7" w:rsidRDefault="003F4B01" w:rsidP="00D56FB8">
                  <w:pPr>
                    <w:rPr>
                      <w:rFonts w:ascii="Calibri" w:hAnsi="Calibri"/>
                    </w:rPr>
                  </w:pPr>
                  <w:r w:rsidRPr="002569F7">
                    <w:rPr>
                      <w:rFonts w:ascii="Calibri" w:hAnsi="Calibri"/>
                    </w:rPr>
                    <w:t>Total revenue</w:t>
                  </w:r>
                </w:p>
              </w:txbxContent>
            </v:textbox>
          </v:shape>
        </w:pict>
      </w:r>
      <w:r>
        <w:pict>
          <v:group id="_x0000_s1043" editas="canvas" alt="Image outlining the bulding block model. The table's contents were described in the previous paragraph." style="width:429.85pt;height:267.45pt;mso-position-horizontal-relative:char;mso-position-vertical-relative:line" coordorigin="1392,2921" coordsize="8597,534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1392;top:2921;width:8597;height:5349" o:preferrelative="f">
              <v:fill o:detectmouseclick="t"/>
              <v:path o:extrusionok="t" o:connecttype="none"/>
              <o:lock v:ext="edit" text="t"/>
            </v:shape>
            <v:shape id="_x0000_s1045" type="#_x0000_t202" style="position:absolute;left:3741;top:2929;width:3890;height:998" fillcolor="#c00000" strokecolor="#c00000" strokeweight="0">
              <v:fill opacity=".5" color2="fill lighten(225)" focusposition=".5,.5" focussize="" method="linear sigma" focus="100%" type="gradientRadial"/>
              <v:shadow on="t" type="perspective" color="#622423" offset="1pt" offset2="-3pt"/>
              <v:textbox style="mso-next-textbox:#_x0000_s1045">
                <w:txbxContent>
                  <w:p w:rsidR="003F4B01" w:rsidRPr="001C2CD9" w:rsidRDefault="003F4B01" w:rsidP="00D56FB8">
                    <w:pPr>
                      <w:rPr>
                        <w:rFonts w:ascii="Calibri" w:hAnsi="Calibri"/>
                        <w:b/>
                        <w:color w:val="FFFFFF"/>
                        <w:sz w:val="22"/>
                        <w:szCs w:val="22"/>
                      </w:rPr>
                    </w:pPr>
                    <w:r w:rsidRPr="00E4098A">
                      <w:rPr>
                        <w:rFonts w:ascii="Calibri" w:hAnsi="Calibri"/>
                        <w:color w:val="FFFFFF"/>
                        <w:sz w:val="22"/>
                        <w:szCs w:val="22"/>
                      </w:rPr>
                      <w:t xml:space="preserve">Return on capital </w:t>
                    </w:r>
                    <w:r>
                      <w:rPr>
                        <w:rFonts w:ascii="Calibri" w:hAnsi="Calibri"/>
                        <w:color w:val="FFFFFF"/>
                        <w:sz w:val="22"/>
                        <w:szCs w:val="22"/>
                      </w:rPr>
                      <w:t xml:space="preserve">(forecast RAB </w:t>
                    </w:r>
                    <w:r w:rsidRPr="00E4098A">
                      <w:rPr>
                        <w:rFonts w:ascii="Calibri" w:hAnsi="Calibri"/>
                        <w:color w:val="FFFFFF"/>
                        <w:sz w:val="22"/>
                        <w:szCs w:val="22"/>
                      </w:rPr>
                      <w:t>× cost of capital)</w:t>
                    </w:r>
                  </w:p>
                </w:txbxContent>
              </v:textbox>
            </v:shape>
            <v:shape id="_x0000_s1046" type="#_x0000_t202" style="position:absolute;left:3741;top:4014;width:3890;height:998" fillcolor="#c0504d" strokecolor="#d99594" strokeweight="1pt">
              <v:fill color2="fill lighten(249)" method="linear sigma" focus="50%" type="gradient"/>
              <v:shadow on="t" type="perspective" color="#622423" offset="1pt" offset2="-3pt"/>
              <v:textbox style="mso-next-textbox:#_x0000_s1046">
                <w:txbxContent>
                  <w:p w:rsidR="003F4B01" w:rsidRPr="00E4098A" w:rsidRDefault="003F4B01" w:rsidP="00D56FB8">
                    <w:pPr>
                      <w:rPr>
                        <w:rFonts w:ascii="Calibri" w:hAnsi="Calibri"/>
                        <w:color w:val="FFFFFF"/>
                        <w:sz w:val="22"/>
                        <w:szCs w:val="22"/>
                      </w:rPr>
                    </w:pPr>
                    <w:r w:rsidRPr="00E4098A">
                      <w:rPr>
                        <w:rFonts w:ascii="Calibri" w:hAnsi="Calibri"/>
                        <w:color w:val="FFFFFF"/>
                        <w:sz w:val="22"/>
                        <w:szCs w:val="22"/>
                      </w:rPr>
                      <w:t xml:space="preserve">Regulatory depreciation (depreciation </w:t>
                    </w:r>
                    <w:r>
                      <w:rPr>
                        <w:rFonts w:ascii="Calibri" w:hAnsi="Calibri"/>
                        <w:color w:val="FFFFFF"/>
                        <w:sz w:val="22"/>
                        <w:szCs w:val="22"/>
                      </w:rPr>
                      <w:t>[</w:t>
                    </w:r>
                    <w:r w:rsidRPr="00E4098A">
                      <w:rPr>
                        <w:rFonts w:ascii="Calibri" w:hAnsi="Calibri"/>
                        <w:color w:val="FFFFFF"/>
                        <w:sz w:val="22"/>
                        <w:szCs w:val="22"/>
                      </w:rPr>
                      <w:t>net of indexation</w:t>
                    </w:r>
                    <w:r>
                      <w:rPr>
                        <w:rFonts w:ascii="Calibri" w:hAnsi="Calibri"/>
                        <w:color w:val="FFFFFF"/>
                        <w:sz w:val="22"/>
                        <w:szCs w:val="22"/>
                      </w:rPr>
                      <w:t>]</w:t>
                    </w:r>
                    <w:r w:rsidRPr="00E4098A">
                      <w:rPr>
                        <w:rFonts w:ascii="Calibri" w:hAnsi="Calibri"/>
                        <w:color w:val="FFFFFF"/>
                        <w:sz w:val="22"/>
                        <w:szCs w:val="22"/>
                      </w:rPr>
                      <w:t xml:space="preserve"> applied </w:t>
                    </w:r>
                    <w:r>
                      <w:rPr>
                        <w:rFonts w:ascii="Calibri" w:hAnsi="Calibri"/>
                        <w:color w:val="FFFFFF"/>
                        <w:sz w:val="22"/>
                        <w:szCs w:val="22"/>
                      </w:rPr>
                      <w:t>RAB</w:t>
                    </w:r>
                    <w:r w:rsidRPr="00E4098A">
                      <w:rPr>
                        <w:rFonts w:ascii="Calibri" w:hAnsi="Calibri"/>
                        <w:color w:val="FFFFFF"/>
                        <w:sz w:val="22"/>
                        <w:szCs w:val="22"/>
                      </w:rPr>
                      <w:t>)</w:t>
                    </w:r>
                  </w:p>
                </w:txbxContent>
              </v:textbox>
            </v:shape>
            <v:shape id="_x0000_s1047" type="#_x0000_t202" style="position:absolute;left:3741;top:7272;width:3890;height:998" fillcolor="#76923c" strokecolor="#548dd4" strokeweight="1pt">
              <v:fill color2="fill darken(249)" focusposition="1" focussize="" method="linear sigma" focus="100%" type="gradient"/>
              <v:shadow on="t" type="perspective" color="#622423" opacity=".5" offset="1pt" offset2="-3pt"/>
              <v:textbox style="mso-next-textbox:#_x0000_s1047">
                <w:txbxContent>
                  <w:p w:rsidR="003F4B01" w:rsidRPr="007F7192" w:rsidRDefault="003F4B01" w:rsidP="00D56FB8">
                    <w:pPr>
                      <w:spacing w:after="200" w:line="276" w:lineRule="auto"/>
                      <w:rPr>
                        <w:rStyle w:val="AERbody"/>
                        <w:color w:val="FFFFFF"/>
                      </w:rPr>
                    </w:pPr>
                    <w:r w:rsidRPr="007F7192">
                      <w:rPr>
                        <w:rStyle w:val="AERbody"/>
                        <w:color w:val="FFFFFF"/>
                      </w:rPr>
                      <w:t>Corporate income tax (net of value of imputation credits)</w:t>
                    </w:r>
                    <w:r w:rsidRPr="007F7192">
                      <w:rPr>
                        <w:rStyle w:val="AERbody"/>
                        <w:color w:val="FFFFFF"/>
                      </w:rPr>
                      <w:br/>
                    </w:r>
                  </w:p>
                </w:txbxContent>
              </v:textbox>
            </v:shape>
            <v:line id="_x0000_s1048" style="position:absolute" from="7773,2929" to="8316,2929"/>
            <v:line id="_x0000_s1049" style="position:absolute" from="7773,8177" to="8316,8178"/>
            <v:line id="_x0000_s1050" style="position:absolute" from="8316,2929" to="8316,8178"/>
            <v:line id="_x0000_s1051" style="position:absolute;flip:x" from="3067,2929" to="3610,2929"/>
            <v:line id="_x0000_s1052" style="position:absolute;flip:x" from="3067,5101" to="3610,5102"/>
            <v:line id="_x0000_s1053" style="position:absolute" from="3067,2929" to="3067,5101"/>
            <v:shape id="_x0000_s1054" type="#_x0000_t202" style="position:absolute;left:1392;top:3570;width:1617;height:444" strokecolor="white">
              <v:textbox style="mso-next-textbox:#_x0000_s1054">
                <w:txbxContent>
                  <w:p w:rsidR="003F4B01" w:rsidRPr="002569F7" w:rsidRDefault="003F4B01" w:rsidP="00D56FB8">
                    <w:pPr>
                      <w:rPr>
                        <w:rFonts w:ascii="Calibri" w:hAnsi="Calibri"/>
                      </w:rPr>
                    </w:pPr>
                    <w:r w:rsidRPr="002569F7">
                      <w:rPr>
                        <w:rFonts w:ascii="Calibri" w:hAnsi="Calibri"/>
                      </w:rPr>
                      <w:t>Capital costs</w:t>
                    </w:r>
                  </w:p>
                </w:txbxContent>
              </v:textbox>
            </v:shape>
            <v:shape id="_x0000_s1055" type="#_x0000_t202" style="position:absolute;left:3741;top:5102;width:3890;height:998" fillcolor="#365f91" strokecolor="#365f91" strokeweight="1pt">
              <v:fill color2="fill" focusposition="1" focussize="" method="linear sigma" focus="100%" type="gradient"/>
              <v:shadow on="t" type="perspective" color="#3f3151" opacity=".5" offset="1pt" offset2="-3pt"/>
              <v:textbox style="mso-next-textbox:#_x0000_s1055">
                <w:txbxContent>
                  <w:p w:rsidR="003F4B01" w:rsidRPr="008D2606" w:rsidRDefault="003F4B01" w:rsidP="00D56FB8">
                    <w:pPr>
                      <w:spacing w:after="200" w:line="276" w:lineRule="auto"/>
                      <w:rPr>
                        <w:rFonts w:ascii="Calibri" w:hAnsi="Calibri"/>
                        <w:color w:val="FFFFFF"/>
                        <w:sz w:val="22"/>
                        <w:szCs w:val="22"/>
                      </w:rPr>
                    </w:pPr>
                    <w:r w:rsidRPr="008D2606">
                      <w:rPr>
                        <w:rFonts w:ascii="Calibri" w:hAnsi="Calibri"/>
                        <w:color w:val="FFFFFF"/>
                        <w:sz w:val="22"/>
                        <w:szCs w:val="22"/>
                      </w:rPr>
                      <w:t xml:space="preserve">Operating </w:t>
                    </w:r>
                    <w:r w:rsidRPr="00664FB1">
                      <w:rPr>
                        <w:rFonts w:ascii="Calibri" w:hAnsi="Calibri"/>
                        <w:color w:val="FFFFFF"/>
                        <w:sz w:val="22"/>
                        <w:szCs w:val="22"/>
                      </w:rPr>
                      <w:t>expenditure (opex)</w:t>
                    </w:r>
                    <w:r>
                      <w:t xml:space="preserve"> </w:t>
                    </w:r>
                  </w:p>
                  <w:p w:rsidR="003F4B01" w:rsidRPr="004414F4" w:rsidRDefault="003F4B01" w:rsidP="00D56FB8">
                    <w:pPr>
                      <w:rPr>
                        <w:color w:val="FFFFFF"/>
                      </w:rPr>
                    </w:pPr>
                  </w:p>
                </w:txbxContent>
              </v:textbox>
            </v:shape>
            <v:shape id="_x0000_s1056" type="#_x0000_t202" style="position:absolute;left:3741;top:6198;width:3890;height:998" fillcolor="#548dd4" strokecolor="#76923c" strokeweight="1pt">
              <v:fill color2="fill" focusposition="1" focussize="" method="linear sigma" focus="100%" type="gradient"/>
              <v:shadow on="t" type="perspective" color="#205867" opacity=".5" offset="1pt" offset2="-3pt"/>
              <v:textbox style="mso-next-textbox:#_x0000_s1056">
                <w:txbxContent>
                  <w:p w:rsidR="003F4B01" w:rsidRPr="008D2606" w:rsidRDefault="003F4B01" w:rsidP="00D56FB8">
                    <w:pPr>
                      <w:spacing w:after="200" w:line="276" w:lineRule="auto"/>
                      <w:rPr>
                        <w:rFonts w:ascii="Calibri" w:hAnsi="Calibri"/>
                        <w:color w:val="FFFFFF"/>
                        <w:sz w:val="22"/>
                        <w:szCs w:val="22"/>
                      </w:rPr>
                    </w:pPr>
                    <w:r w:rsidRPr="008D2606">
                      <w:rPr>
                        <w:rFonts w:ascii="Calibri" w:hAnsi="Calibri"/>
                        <w:color w:val="FFFFFF"/>
                        <w:sz w:val="22"/>
                        <w:szCs w:val="22"/>
                      </w:rPr>
                      <w:t>Efficiency benefit sharing scheme</w:t>
                    </w:r>
                    <w:r>
                      <w:rPr>
                        <w:rFonts w:ascii="Calibri" w:hAnsi="Calibri"/>
                        <w:color w:val="FFFFFF"/>
                        <w:sz w:val="22"/>
                        <w:szCs w:val="22"/>
                      </w:rPr>
                      <w:t xml:space="preserve"> (EBSS)</w:t>
                    </w:r>
                    <w:r w:rsidRPr="008D2606">
                      <w:rPr>
                        <w:rFonts w:ascii="Calibri" w:hAnsi="Calibri"/>
                        <w:color w:val="FFFFFF"/>
                        <w:sz w:val="22"/>
                        <w:szCs w:val="22"/>
                      </w:rPr>
                      <w:br/>
                      <w:t>(increment or decrement)</w:t>
                    </w:r>
                  </w:p>
                  <w:p w:rsidR="003F4B01" w:rsidRPr="00F51767" w:rsidRDefault="003F4B01" w:rsidP="00D56FB8"/>
                </w:txbxContent>
              </v:textbox>
            </v:shape>
            <w10:wrap type="none"/>
            <w10:anchorlock/>
          </v:group>
        </w:pict>
      </w:r>
    </w:p>
    <w:p w:rsidR="00AD12FE" w:rsidRDefault="00AD12FE" w:rsidP="00AD12FE">
      <w:pPr>
        <w:pStyle w:val="Heading2"/>
      </w:pPr>
      <w:bookmarkStart w:id="23" w:name="_Ref352854087"/>
      <w:bookmarkStart w:id="24" w:name="_Ref352854092"/>
      <w:bookmarkStart w:id="25" w:name="_Toc355186304"/>
      <w:r>
        <w:t xml:space="preserve">Victorian transmission </w:t>
      </w:r>
      <w:r w:rsidR="00465457">
        <w:t xml:space="preserve">planning </w:t>
      </w:r>
      <w:r>
        <w:t>arrangements</w:t>
      </w:r>
      <w:bookmarkEnd w:id="23"/>
      <w:bookmarkEnd w:id="24"/>
      <w:bookmarkEnd w:id="25"/>
    </w:p>
    <w:p w:rsidR="00AD12FE" w:rsidRPr="00FF0D82" w:rsidRDefault="00AD12FE" w:rsidP="00AD12FE">
      <w:r w:rsidRPr="00FF0D82">
        <w:t xml:space="preserve">SP AusNet’s revenue proposal does not include an allowance for augmentation </w:t>
      </w:r>
      <w:r>
        <w:t xml:space="preserve">capital </w:t>
      </w:r>
      <w:r w:rsidRPr="00FF0D82">
        <w:t>expenditure</w:t>
      </w:r>
      <w:r>
        <w:t xml:space="preserve"> (capex). Neither does it</w:t>
      </w:r>
      <w:r w:rsidRPr="00FF0D82">
        <w:t xml:space="preserve"> </w:t>
      </w:r>
      <w:r>
        <w:t xml:space="preserve">include </w:t>
      </w:r>
      <w:r w:rsidRPr="00FF0D82">
        <w:t>forecast demand for prescribed transmission services. This</w:t>
      </w:r>
      <w:r>
        <w:t xml:space="preserve"> </w:t>
      </w:r>
      <w:r w:rsidRPr="00FF0D82">
        <w:t>is consistent with the Victorian transmission arrangements, which differ</w:t>
      </w:r>
      <w:r>
        <w:t xml:space="preserve"> </w:t>
      </w:r>
      <w:r w:rsidRPr="00FF0D82">
        <w:t xml:space="preserve">from other regions in the NEM. </w:t>
      </w:r>
    </w:p>
    <w:p w:rsidR="00AD12FE" w:rsidRPr="00FF0D82" w:rsidRDefault="00AD12FE" w:rsidP="00AD12FE">
      <w:r w:rsidRPr="00FF0D82">
        <w:t>In Victoria, the ownership and planning of the electricity transmission network is split between the tran</w:t>
      </w:r>
      <w:r w:rsidR="00081259">
        <w:t xml:space="preserve">smission network providers and </w:t>
      </w:r>
      <w:r w:rsidRPr="00FF0D82">
        <w:t xml:space="preserve">the Australian Energy Market Operator (AEMO). SP AusNet is the transmission network </w:t>
      </w:r>
      <w:r>
        <w:t xml:space="preserve">service </w:t>
      </w:r>
      <w:r w:rsidRPr="00FF0D82">
        <w:t>provider that owns and operates the Victorian transmission network</w:t>
      </w:r>
      <w:r>
        <w:t xml:space="preserve">. </w:t>
      </w:r>
      <w:r w:rsidRPr="00FF0D82">
        <w:t>AEMO</w:t>
      </w:r>
      <w:r w:rsidR="00587F0F">
        <w:t>, which</w:t>
      </w:r>
      <w:r w:rsidR="00A71877">
        <w:t xml:space="preserve"> is jointly owned by </w:t>
      </w:r>
      <w:r w:rsidR="00587F0F">
        <w:t>government and industry representatives,</w:t>
      </w:r>
      <w:r w:rsidR="00A71877">
        <w:t xml:space="preserve"> </w:t>
      </w:r>
      <w:r>
        <w:t>forecasts demand for transmission services</w:t>
      </w:r>
      <w:r w:rsidR="00587F0F">
        <w:t xml:space="preserve"> </w:t>
      </w:r>
      <w:r>
        <w:t xml:space="preserve">and </w:t>
      </w:r>
      <w:r w:rsidRPr="00FF0D82">
        <w:t xml:space="preserve">plans </w:t>
      </w:r>
      <w:r>
        <w:t>the network to meet that expected demand.</w:t>
      </w:r>
      <w:r w:rsidR="00F44B46">
        <w:rPr>
          <w:rStyle w:val="FootnoteReference"/>
        </w:rPr>
        <w:footnoteReference w:id="15"/>
      </w:r>
      <w:r>
        <w:t xml:space="preserve"> </w:t>
      </w:r>
    </w:p>
    <w:p w:rsidR="00AD12FE" w:rsidRPr="00FF0D82" w:rsidRDefault="00AD12FE" w:rsidP="00AD12FE">
      <w:r w:rsidRPr="00FF0D82">
        <w:t xml:space="preserve">In its planning role AEMO </w:t>
      </w:r>
      <w:r w:rsidR="003A6207">
        <w:t>makes</w:t>
      </w:r>
      <w:r w:rsidRPr="00FF0D82">
        <w:t xml:space="preserve"> its decisions on a cost-benefit analysis.</w:t>
      </w:r>
      <w:r w:rsidRPr="00FF0D82">
        <w:rPr>
          <w:rStyle w:val="FootnoteReference"/>
        </w:rPr>
        <w:footnoteReference w:id="16"/>
      </w:r>
      <w:r w:rsidRPr="00FF0D82">
        <w:t xml:space="preserve"> In particular it assesses the impact of network limitations using probability weighted impacts </w:t>
      </w:r>
      <w:r>
        <w:t>of</w:t>
      </w:r>
      <w:r w:rsidRPr="00FF0D82">
        <w:t xml:space="preserve"> reliability events, such as transmission outages and unexpectedly high levels of demand.</w:t>
      </w:r>
      <w:r w:rsidRPr="00FF0D82">
        <w:rPr>
          <w:rStyle w:val="FootnoteReference"/>
        </w:rPr>
        <w:footnoteReference w:id="17"/>
      </w:r>
      <w:r w:rsidRPr="00FF0D82">
        <w:t xml:space="preserve"> </w:t>
      </w:r>
    </w:p>
    <w:p w:rsidR="00AD12FE" w:rsidRDefault="00AD12FE" w:rsidP="00AD12FE">
      <w:r w:rsidRPr="00FF0D82">
        <w:t>Once AEMO identifies an emerging constraint in the network it develops possible options. Preliminary cost estimates and likely lead times are projected for each possible option and, following this, a fe</w:t>
      </w:r>
      <w:r w:rsidR="00D0340A">
        <w:t>asibility assessment known as the regulatory investment test for transmission (</w:t>
      </w:r>
      <w:r w:rsidRPr="00FF0D82">
        <w:t>RIT-T</w:t>
      </w:r>
      <w:r w:rsidR="00D0340A">
        <w:t>)</w:t>
      </w:r>
      <w:r w:rsidRPr="00FF0D82">
        <w:t xml:space="preserve"> is conducted to identify the optimal solution.</w:t>
      </w:r>
      <w:r w:rsidRPr="00FF0D82">
        <w:rPr>
          <w:rStyle w:val="FootnoteReference"/>
        </w:rPr>
        <w:footnoteReference w:id="18"/>
      </w:r>
      <w:r>
        <w:t xml:space="preserve"> </w:t>
      </w:r>
    </w:p>
    <w:p w:rsidR="00BD1766" w:rsidRDefault="00A71877" w:rsidP="00BD1766">
      <w:r>
        <w:t>Following identification of the preferred option,</w:t>
      </w:r>
      <w:r w:rsidR="00AD12FE" w:rsidRPr="00FF0D82">
        <w:t xml:space="preserve"> AEMO </w:t>
      </w:r>
      <w:r>
        <w:t>can call</w:t>
      </w:r>
      <w:r w:rsidR="00AD12FE" w:rsidRPr="00FF0D82">
        <w:t xml:space="preserve"> for tenders for the construction, ownership and maintenance of the augmentation or non-network solution</w:t>
      </w:r>
      <w:r>
        <w:t>, and bidders have the chance of</w:t>
      </w:r>
      <w:r w:rsidR="00AD12FE">
        <w:t xml:space="preserve"> submitting other, possibly more innovative, options. </w:t>
      </w:r>
      <w:r w:rsidR="00BD1766">
        <w:t>Under the current Victorian transmission arrangements a</w:t>
      </w:r>
      <w:r w:rsidR="00BD1766" w:rsidRPr="00FF0D82">
        <w:t xml:space="preserve"> total of 15 projects </w:t>
      </w:r>
      <w:r w:rsidR="00BD1766">
        <w:t>have gone to tender</w:t>
      </w:r>
      <w:r w:rsidR="00BD1766" w:rsidRPr="00FF0D82">
        <w:t xml:space="preserve">. Of these </w:t>
      </w:r>
      <w:r w:rsidR="00BD1766">
        <w:t xml:space="preserve">projects, </w:t>
      </w:r>
      <w:r w:rsidR="00BD1766" w:rsidRPr="00FF0D82">
        <w:t>SP AusNet has been awarded 13.</w:t>
      </w:r>
      <w:r w:rsidR="00BD1766" w:rsidRPr="00FF0D82">
        <w:rPr>
          <w:rStyle w:val="FootnoteReference"/>
        </w:rPr>
        <w:footnoteReference w:id="19"/>
      </w:r>
      <w:r w:rsidR="00BD1766" w:rsidRPr="00FF0D82">
        <w:t xml:space="preserve"> </w:t>
      </w:r>
    </w:p>
    <w:p w:rsidR="00AD12FE" w:rsidRDefault="00AD12FE" w:rsidP="00AD12FE">
      <w:pPr>
        <w:pStyle w:val="AERbodytext"/>
      </w:pPr>
      <w:r w:rsidRPr="000D1C5A">
        <w:t>Where the augmentation is deemed contestable and</w:t>
      </w:r>
      <w:r w:rsidRPr="00AD12FE">
        <w:t xml:space="preserve"> procured through a competitive tender process, the assets remain outside of</w:t>
      </w:r>
      <w:r w:rsidR="003854FA">
        <w:t xml:space="preserve"> SP AusNet’s </w:t>
      </w:r>
      <w:r w:rsidRPr="00AD12FE">
        <w:t>Regulatory Asset Base (RAB).</w:t>
      </w:r>
      <w:r w:rsidR="00465457">
        <w:t xml:space="preserve"> </w:t>
      </w:r>
      <w:r w:rsidR="00BD1766">
        <w:t xml:space="preserve">However, assets relating </w:t>
      </w:r>
      <w:r w:rsidR="00465457">
        <w:t xml:space="preserve">to </w:t>
      </w:r>
      <w:r w:rsidR="00BD1766">
        <w:t>network augmentations undertaken during the 2008–14 regulatory control period</w:t>
      </w:r>
      <w:r w:rsidR="00465457">
        <w:t>,</w:t>
      </w:r>
      <w:r w:rsidR="00BD1766">
        <w:t xml:space="preserve"> that were instigated by AEMO</w:t>
      </w:r>
      <w:r w:rsidR="00BD1766">
        <w:rPr>
          <w:rStyle w:val="FootnoteReference"/>
        </w:rPr>
        <w:footnoteReference w:id="20"/>
      </w:r>
      <w:r w:rsidR="00BD1766">
        <w:t xml:space="preserve"> </w:t>
      </w:r>
      <w:r w:rsidR="00507DCC">
        <w:t xml:space="preserve">and not undertaken on a contestable basis, </w:t>
      </w:r>
      <w:r w:rsidR="00BD1766">
        <w:t xml:space="preserve">or </w:t>
      </w:r>
      <w:r w:rsidR="00507DCC">
        <w:t xml:space="preserve">requested </w:t>
      </w:r>
      <w:r w:rsidR="00BD1766">
        <w:t>by the Victorian distribution network service providers</w:t>
      </w:r>
      <w:r w:rsidR="00465457">
        <w:t>,</w:t>
      </w:r>
      <w:r w:rsidR="00465457">
        <w:rPr>
          <w:rStyle w:val="FootnoteReference"/>
        </w:rPr>
        <w:footnoteReference w:id="21"/>
      </w:r>
      <w:r w:rsidR="00BD1766">
        <w:t xml:space="preserve"> are rolled into the RAB at the end of the period. </w:t>
      </w:r>
    </w:p>
    <w:p w:rsidR="00A71877" w:rsidRPr="00AD12FE" w:rsidRDefault="00A71877" w:rsidP="00A71877">
      <w:pPr>
        <w:pStyle w:val="AERbodytext"/>
      </w:pPr>
      <w:r>
        <w:t>By contrast, i</w:t>
      </w:r>
      <w:r w:rsidRPr="00FF0D82">
        <w:t xml:space="preserve">n </w:t>
      </w:r>
      <w:r>
        <w:t>jurisdictions other than Victoria</w:t>
      </w:r>
      <w:r w:rsidRPr="00FF0D82">
        <w:t xml:space="preserve"> planning responsibili</w:t>
      </w:r>
      <w:r>
        <w:t>ty</w:t>
      </w:r>
      <w:r w:rsidRPr="00FF0D82">
        <w:t xml:space="preserve"> </w:t>
      </w:r>
      <w:r>
        <w:t>for</w:t>
      </w:r>
      <w:r w:rsidRPr="00FF0D82">
        <w:t xml:space="preserve"> </w:t>
      </w:r>
      <w:r>
        <w:t>the</w:t>
      </w:r>
      <w:r w:rsidRPr="00FF0D82">
        <w:t xml:space="preserve"> electricity transmission network rests with </w:t>
      </w:r>
      <w:r>
        <w:t xml:space="preserve">the </w:t>
      </w:r>
      <w:r w:rsidRPr="00FF0D82">
        <w:t xml:space="preserve">network owner. </w:t>
      </w:r>
      <w:r>
        <w:t>T</w:t>
      </w:r>
      <w:r w:rsidRPr="00FF0D82">
        <w:t>hey apply to us for an allowance over a regulatory control period</w:t>
      </w:r>
      <w:r>
        <w:t xml:space="preserve"> to fund augmentation of the transmission network</w:t>
      </w:r>
      <w:r w:rsidRPr="00FF0D82">
        <w:t xml:space="preserve">. An important input </w:t>
      </w:r>
      <w:r>
        <w:t>for</w:t>
      </w:r>
      <w:r w:rsidRPr="00FF0D82">
        <w:t xml:space="preserve"> determining augmentation expenditure </w:t>
      </w:r>
      <w:r>
        <w:t xml:space="preserve">requirements </w:t>
      </w:r>
      <w:r w:rsidRPr="00FF0D82">
        <w:t xml:space="preserve">is </w:t>
      </w:r>
      <w:r>
        <w:t xml:space="preserve">the </w:t>
      </w:r>
      <w:r w:rsidRPr="00FF0D82">
        <w:t>forecast demand for prescribed transmission services</w:t>
      </w:r>
      <w:r>
        <w:t>. As such, demand</w:t>
      </w:r>
      <w:r w:rsidRPr="00FF0D82">
        <w:t xml:space="preserve"> forecasts are included in the</w:t>
      </w:r>
      <w:r>
        <w:t>ir</w:t>
      </w:r>
      <w:r w:rsidRPr="00FF0D82">
        <w:t xml:space="preserve"> revenue proposals.</w:t>
      </w:r>
    </w:p>
    <w:p w:rsidR="00AD12FE" w:rsidRDefault="00AD12FE" w:rsidP="00AD12FE">
      <w:pPr>
        <w:pStyle w:val="Heading2"/>
      </w:pPr>
      <w:bookmarkStart w:id="26" w:name="_Toc355186305"/>
      <w:r>
        <w:t>Pricing methodology and negotiating framework</w:t>
      </w:r>
      <w:bookmarkEnd w:id="26"/>
    </w:p>
    <w:p w:rsidR="00AD12FE" w:rsidRDefault="00AD12FE" w:rsidP="00AD12FE">
      <w:pPr>
        <w:pStyle w:val="AERbodytext"/>
        <w:numPr>
          <w:ilvl w:val="0"/>
          <w:numId w:val="13"/>
        </w:numPr>
      </w:pPr>
      <w:r>
        <w:t xml:space="preserve">SP AusNet provides prescribed transmission services and negotiated services. We set the revenue which SP AusNet can recover for providing prescribed transmission services and approve a pricing methodology </w:t>
      </w:r>
      <w:r w:rsidR="00BD1766">
        <w:t xml:space="preserve">that prescribes </w:t>
      </w:r>
      <w:r>
        <w:t xml:space="preserve">how that revenue </w:t>
      </w:r>
      <w:r w:rsidR="00BD1766">
        <w:t>is</w:t>
      </w:r>
      <w:r>
        <w:t xml:space="preserve"> recovered</w:t>
      </w:r>
      <w:r w:rsidRPr="00643E0B">
        <w:t>.</w:t>
      </w:r>
      <w:r w:rsidRPr="00643E0B">
        <w:rPr>
          <w:rStyle w:val="FootnoteReference"/>
        </w:rPr>
        <w:footnoteReference w:id="22"/>
      </w:r>
      <w:r w:rsidRPr="00643E0B">
        <w:t xml:space="preserve"> </w:t>
      </w:r>
    </w:p>
    <w:p w:rsidR="00D0340A" w:rsidRDefault="00160486" w:rsidP="00D0340A">
      <w:pPr>
        <w:pStyle w:val="AERbodytext"/>
        <w:numPr>
          <w:ilvl w:val="0"/>
          <w:numId w:val="13"/>
        </w:numPr>
      </w:pPr>
      <w:r>
        <w:t>In light of the Victorian electricity transmission planning arrangements, SP AusNet's pricing methodology only addresses pricing matters for which SP AusNet has responsibility.</w:t>
      </w:r>
      <w:r>
        <w:rPr>
          <w:rStyle w:val="FootnoteReference"/>
        </w:rPr>
        <w:footnoteReference w:id="23"/>
      </w:r>
      <w:r>
        <w:t xml:space="preserve"> </w:t>
      </w:r>
      <w:r w:rsidR="00D0340A">
        <w:t>This is primarily the pricing of entry and exit services. AEMO have pricing responsibility for transmission use of system (TUOS) services, which includes the pricing of locational and non–locational components of electricity transmission prices.</w:t>
      </w:r>
      <w:r w:rsidR="00D0340A">
        <w:rPr>
          <w:rStyle w:val="FootnoteReference"/>
        </w:rPr>
        <w:footnoteReference w:id="24"/>
      </w:r>
      <w:r w:rsidR="00D0340A">
        <w:t xml:space="preserve"> The Victorian transmission pricing responsibilities of SP AusNe</w:t>
      </w:r>
      <w:r w:rsidR="006453C2">
        <w:t xml:space="preserve">t and AEMO are shown in </w:t>
      </w:r>
      <w:r w:rsidR="00876FFF">
        <w:fldChar w:fldCharType="begin"/>
      </w:r>
      <w:r w:rsidR="006453C2">
        <w:instrText xml:space="preserve"> REF _Ref354739947 \h </w:instrText>
      </w:r>
      <w:r w:rsidR="00876FFF">
        <w:fldChar w:fldCharType="separate"/>
      </w:r>
      <w:r w:rsidR="003F1C4B">
        <w:t xml:space="preserve">Figure </w:t>
      </w:r>
      <w:r w:rsidR="003F1C4B">
        <w:rPr>
          <w:noProof/>
        </w:rPr>
        <w:t>2</w:t>
      </w:r>
      <w:r w:rsidR="003F1C4B">
        <w:t>.</w:t>
      </w:r>
      <w:r w:rsidR="003F1C4B">
        <w:rPr>
          <w:noProof/>
        </w:rPr>
        <w:t>2</w:t>
      </w:r>
      <w:r w:rsidR="00876FFF">
        <w:fldChar w:fldCharType="end"/>
      </w:r>
      <w:r w:rsidR="006453C2">
        <w:t xml:space="preserve">.  </w:t>
      </w:r>
    </w:p>
    <w:p w:rsidR="00D0340A" w:rsidRDefault="00D0340A" w:rsidP="00D0340A">
      <w:pPr>
        <w:pStyle w:val="AERbodytext"/>
        <w:numPr>
          <w:ilvl w:val="0"/>
          <w:numId w:val="13"/>
        </w:numPr>
        <w:sectPr w:rsidR="00D0340A" w:rsidSect="00D0040B">
          <w:footerReference w:type="even" r:id="rId19"/>
          <w:footerReference w:type="default" r:id="rId20"/>
          <w:pgSz w:w="11906" w:h="16838" w:code="9"/>
          <w:pgMar w:top="1440" w:right="1440" w:bottom="1440" w:left="1440" w:header="709" w:footer="709" w:gutter="0"/>
          <w:cols w:space="708"/>
          <w:docGrid w:linePitch="360"/>
        </w:sectPr>
      </w:pPr>
    </w:p>
    <w:p w:rsidR="006453C2" w:rsidRDefault="006453C2" w:rsidP="006453C2">
      <w:pPr>
        <w:pStyle w:val="Caption"/>
      </w:pPr>
      <w:bookmarkStart w:id="27" w:name="_Ref354739947"/>
      <w:r>
        <w:t xml:space="preserve">Figure </w:t>
      </w:r>
      <w:r w:rsidR="00876FFF">
        <w:fldChar w:fldCharType="begin"/>
      </w:r>
      <w:r w:rsidR="00073991">
        <w:instrText xml:space="preserve"> STYLEREF 1 \s </w:instrText>
      </w:r>
      <w:r w:rsidR="00876FFF">
        <w:fldChar w:fldCharType="separate"/>
      </w:r>
      <w:r w:rsidR="003F1C4B">
        <w:rPr>
          <w:noProof/>
        </w:rPr>
        <w:t>2</w:t>
      </w:r>
      <w:r w:rsidR="00876FFF">
        <w:fldChar w:fldCharType="end"/>
      </w:r>
      <w:r>
        <w:t>.</w:t>
      </w:r>
      <w:r w:rsidR="00876FFF">
        <w:fldChar w:fldCharType="begin"/>
      </w:r>
      <w:r>
        <w:instrText xml:space="preserve"> SEQ Figure \* ARABIC \s 1 </w:instrText>
      </w:r>
      <w:r w:rsidR="00876FFF">
        <w:fldChar w:fldCharType="separate"/>
      </w:r>
      <w:r w:rsidR="003F1C4B">
        <w:rPr>
          <w:noProof/>
        </w:rPr>
        <w:t>2</w:t>
      </w:r>
      <w:r w:rsidR="00876FFF">
        <w:fldChar w:fldCharType="end"/>
      </w:r>
      <w:bookmarkEnd w:id="27"/>
      <w:r>
        <w:tab/>
        <w:t>Pricing arrangements and responsibilities in Victoria</w:t>
      </w:r>
    </w:p>
    <w:p w:rsidR="00D0340A" w:rsidRDefault="006453C2" w:rsidP="006453C2">
      <w:pPr>
        <w:pStyle w:val="AERbodytext"/>
        <w:numPr>
          <w:ilvl w:val="0"/>
          <w:numId w:val="13"/>
        </w:numPr>
        <w:jc w:val="center"/>
      </w:pPr>
      <w:r w:rsidRPr="006453C2">
        <w:rPr>
          <w:noProof/>
          <w:lang w:eastAsia="en-AU"/>
        </w:rPr>
        <w:drawing>
          <wp:inline distT="0" distB="0" distL="0" distR="0">
            <wp:extent cx="4400550" cy="628650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400550" cy="6286500"/>
                    </a:xfrm>
                    <a:prstGeom prst="rect">
                      <a:avLst/>
                    </a:prstGeom>
                    <a:noFill/>
                    <a:ln w="9525">
                      <a:noFill/>
                      <a:miter lim="800000"/>
                      <a:headEnd/>
                      <a:tailEnd/>
                    </a:ln>
                  </pic:spPr>
                </pic:pic>
              </a:graphicData>
            </a:graphic>
          </wp:inline>
        </w:drawing>
      </w:r>
    </w:p>
    <w:p w:rsidR="006453C2" w:rsidRDefault="006453C2" w:rsidP="006453C2">
      <w:pPr>
        <w:pStyle w:val="AERtablesource"/>
      </w:pPr>
      <w:r>
        <w:t xml:space="preserve">Source: SP AusNet, </w:t>
      </w:r>
      <w:r w:rsidRPr="006453C2">
        <w:rPr>
          <w:rStyle w:val="AERtextitalic"/>
        </w:rPr>
        <w:t>Revenue proposal, Appendix 13A</w:t>
      </w:r>
      <w:r>
        <w:t xml:space="preserve">, p. 17. </w:t>
      </w:r>
    </w:p>
    <w:p w:rsidR="00160486" w:rsidRDefault="00D0340A" w:rsidP="00D0340A">
      <w:pPr>
        <w:pStyle w:val="AERbodytext"/>
        <w:numPr>
          <w:ilvl w:val="0"/>
          <w:numId w:val="13"/>
        </w:numPr>
      </w:pPr>
      <w:r>
        <w:t xml:space="preserve">We </w:t>
      </w:r>
      <w:r w:rsidR="00160486">
        <w:t>have previously approved a pricing methodology and negotiating framework for AEMO</w:t>
      </w:r>
      <w:r w:rsidR="00594E19">
        <w:t xml:space="preserve"> which are</w:t>
      </w:r>
      <w:r w:rsidR="00160486">
        <w:t xml:space="preserve"> effective </w:t>
      </w:r>
      <w:r w:rsidR="00594E19">
        <w:t>to</w:t>
      </w:r>
      <w:r w:rsidR="00160486">
        <w:t xml:space="preserve"> 30 June 2014. AEMO will provide </w:t>
      </w:r>
      <w:r w:rsidR="00594E19">
        <w:t xml:space="preserve">us with </w:t>
      </w:r>
      <w:r w:rsidR="00160486">
        <w:t>a new pricing methodology and ne</w:t>
      </w:r>
      <w:r w:rsidR="00594E19">
        <w:t>gotiating framework which will take effect from 1 July 2014</w:t>
      </w:r>
      <w:r w:rsidR="00160486">
        <w:t>.</w:t>
      </w:r>
      <w:r w:rsidR="00160486">
        <w:rPr>
          <w:rStyle w:val="FootnoteReference"/>
        </w:rPr>
        <w:footnoteReference w:id="25"/>
      </w:r>
      <w:r w:rsidR="00160486">
        <w:t xml:space="preserve"> </w:t>
      </w:r>
    </w:p>
    <w:p w:rsidR="007E1FBE" w:rsidRDefault="007E1FBE" w:rsidP="007E1FBE">
      <w:pPr>
        <w:pStyle w:val="AERbodytext"/>
        <w:numPr>
          <w:ilvl w:val="0"/>
          <w:numId w:val="13"/>
        </w:numPr>
      </w:pPr>
      <w:r w:rsidRPr="00643E0B">
        <w:t>A pricing methodolog</w:t>
      </w:r>
      <w:r>
        <w:t xml:space="preserve">y does not apply to </w:t>
      </w:r>
      <w:r w:rsidRPr="00643E0B">
        <w:t>negotiated services. Their terms and cond</w:t>
      </w:r>
      <w:r>
        <w:t xml:space="preserve">itions are negotiated between SP AusNet </w:t>
      </w:r>
      <w:r w:rsidRPr="00643E0B">
        <w:t xml:space="preserve">and a service applicant, or alternatively through arbitration and dispute resolution by a commercial arbitrator. To facilitate these processes </w:t>
      </w:r>
      <w:r>
        <w:t xml:space="preserve">we must </w:t>
      </w:r>
      <w:r w:rsidRPr="00643E0B">
        <w:t>approve a negot</w:t>
      </w:r>
      <w:r>
        <w:t>iating framework and determine the</w:t>
      </w:r>
      <w:r w:rsidRPr="00643E0B">
        <w:t xml:space="preserve"> negotiated transmission service criteria (NTSC). </w:t>
      </w:r>
    </w:p>
    <w:p w:rsidR="00AD12FE" w:rsidRDefault="00160486" w:rsidP="00AD12FE">
      <w:pPr>
        <w:pStyle w:val="AERbodytext"/>
      </w:pPr>
      <w:r>
        <w:t>SP AusNet has developed its negotiating framework</w:t>
      </w:r>
      <w:r w:rsidR="00AD12FE" w:rsidRPr="00AD12FE">
        <w:t xml:space="preserve"> with AEMO. SP AusNet stated that this is appropriate because given the services which AEMO manages an applicant for a negotiated service applicant must contract with both SP AusNet and AEMO.  </w:t>
      </w:r>
    </w:p>
    <w:p w:rsidR="00B90521" w:rsidRDefault="00B90521" w:rsidP="00AD12FE">
      <w:pPr>
        <w:pStyle w:val="AERbodytext"/>
        <w:sectPr w:rsidR="00B90521" w:rsidSect="00D0040B">
          <w:footerReference w:type="default" r:id="rId22"/>
          <w:pgSz w:w="11906" w:h="16838" w:code="9"/>
          <w:pgMar w:top="1440" w:right="1440" w:bottom="1440" w:left="1440" w:header="709" w:footer="709" w:gutter="0"/>
          <w:cols w:space="708"/>
          <w:docGrid w:linePitch="360"/>
        </w:sectPr>
      </w:pPr>
    </w:p>
    <w:p w:rsidR="00AD12FE" w:rsidRPr="00AD12FE" w:rsidRDefault="00AD12FE" w:rsidP="00AD12FE">
      <w:pPr>
        <w:pStyle w:val="Heading1"/>
      </w:pPr>
      <w:bookmarkStart w:id="28" w:name="_Toc353521529"/>
      <w:bookmarkStart w:id="29" w:name="_Ref352844511"/>
      <w:bookmarkStart w:id="30" w:name="_Toc355186306"/>
      <w:bookmarkEnd w:id="28"/>
      <w:r>
        <w:t>Key issues</w:t>
      </w:r>
      <w:bookmarkEnd w:id="29"/>
      <w:bookmarkEnd w:id="30"/>
    </w:p>
    <w:p w:rsidR="00AD12FE" w:rsidRDefault="00AD12FE" w:rsidP="00AD12FE">
      <w:pPr>
        <w:pStyle w:val="AERbodytext"/>
        <w:numPr>
          <w:ilvl w:val="0"/>
          <w:numId w:val="13"/>
        </w:numPr>
      </w:pPr>
      <w:r w:rsidRPr="00313858">
        <w:t xml:space="preserve">When considering the questions on which we would like feedback, it is useful to keep in mind </w:t>
      </w:r>
      <w:r w:rsidR="003A6207">
        <w:t>that we must comply with requirements under the NEL and NER</w:t>
      </w:r>
      <w:r w:rsidRPr="00313858">
        <w:t>. The objective of the regulatory framework is to efficiently and reliably deliver services in the long term interest of consumers.</w:t>
      </w:r>
      <w:r w:rsidR="003A6207">
        <w:rPr>
          <w:rStyle w:val="FootnoteReference"/>
        </w:rPr>
        <w:footnoteReference w:id="26"/>
      </w:r>
      <w:r w:rsidRPr="00313858">
        <w:t xml:space="preserve">  Under the NER, we must assess SP AusNet's expenditure forecasts to determine the efficient expenditure required to meet this objective. To meet this objective, a TNSP’s capex and opex forecasts must be aimed at meeting expected demand and all applicable regulatory obligations, while maintaining the quality and reliability of supply and the safety of the transmission system</w:t>
      </w:r>
      <w:r>
        <w:t>.</w:t>
      </w:r>
      <w:r>
        <w:rPr>
          <w:rStyle w:val="FootnoteReference"/>
        </w:rPr>
        <w:footnoteReference w:id="27"/>
      </w:r>
      <w:r>
        <w:t xml:space="preserve"> </w:t>
      </w:r>
    </w:p>
    <w:p w:rsidR="00AD12FE" w:rsidRDefault="006453C2" w:rsidP="00AD12FE">
      <w:pPr>
        <w:pStyle w:val="Heading2"/>
      </w:pPr>
      <w:bookmarkStart w:id="31" w:name="_Toc355186307"/>
      <w:r>
        <w:t xml:space="preserve">The price impact of </w:t>
      </w:r>
      <w:r w:rsidR="00AD12FE">
        <w:t>SP AusNet’s revenue proposal</w:t>
      </w:r>
      <w:bookmarkEnd w:id="31"/>
    </w:p>
    <w:p w:rsidR="006453C2" w:rsidRDefault="006453C2" w:rsidP="006453C2">
      <w:pPr>
        <w:pStyle w:val="AERbodytext"/>
        <w:numPr>
          <w:ilvl w:val="0"/>
          <w:numId w:val="13"/>
        </w:numPr>
      </w:pPr>
      <w:r>
        <w:t>From an early review of SP AusNet’s revenue proposal, we consider the key issues putting upward pressure on transmission prices ($/MWh) over the 2014–2017 regulatory control period are:</w:t>
      </w:r>
    </w:p>
    <w:p w:rsidR="006453C2" w:rsidRDefault="006453C2" w:rsidP="006453C2">
      <w:pPr>
        <w:pStyle w:val="AERbulletlistfirststyle"/>
      </w:pPr>
      <w:r>
        <w:t xml:space="preserve">the proposed CBD rebuild capex projects </w:t>
      </w:r>
    </w:p>
    <w:p w:rsidR="006453C2" w:rsidRDefault="006453C2" w:rsidP="006453C2">
      <w:pPr>
        <w:pStyle w:val="AERbulletlistfirststyle"/>
      </w:pPr>
      <w:r>
        <w:t xml:space="preserve">other capex projects (including safety and compliance capex and business IT capex) </w:t>
      </w:r>
    </w:p>
    <w:p w:rsidR="006453C2" w:rsidRDefault="006453C2" w:rsidP="006453C2">
      <w:pPr>
        <w:pStyle w:val="AERbulletlistfirststyle"/>
      </w:pPr>
      <w:r>
        <w:t xml:space="preserve">opex step changes and </w:t>
      </w:r>
    </w:p>
    <w:p w:rsidR="006453C2" w:rsidRDefault="006453C2" w:rsidP="006453C2">
      <w:pPr>
        <w:pStyle w:val="AERbulletlistfirststyle"/>
      </w:pPr>
      <w:r>
        <w:t>asset works opex.</w:t>
      </w:r>
    </w:p>
    <w:p w:rsidR="006453C2" w:rsidRDefault="006453C2" w:rsidP="006453C2">
      <w:pPr>
        <w:pStyle w:val="AERbodytext"/>
        <w:numPr>
          <w:ilvl w:val="0"/>
          <w:numId w:val="13"/>
        </w:numPr>
      </w:pPr>
      <w:r>
        <w:t>SP AusNet’s proposed weighted average cost of capital (WACC) of 7.19 per cent is lower than the WACC of 9.76 per cent that applied during the 2008–14 regulatory control period. This lower WACC has put downward pressure on transmission prices. This lower WACC is primarily a result of a lower risk free rate (which is one of the inputs for calculating the WACC). The risk free rate is derived from Australian Government bond yields, which have decreased over recent years.</w:t>
      </w:r>
    </w:p>
    <w:p w:rsidR="006453C2" w:rsidRDefault="006453C2" w:rsidP="006453C2">
      <w:pPr>
        <w:pStyle w:val="AERbodytext"/>
        <w:numPr>
          <w:ilvl w:val="0"/>
          <w:numId w:val="13"/>
        </w:numPr>
      </w:pPr>
      <w:r>
        <w:t xml:space="preserve">The effects of these are shown in SP AusNet’s proposed 2014–17 average building block revenue allowance when compared to the average allowance in the 2008–14 regulatory control period. The effect of the lower WACC has resulted in a lower proposed return on capital allowance (which is partially offset by the effect of the </w:t>
      </w:r>
      <w:r w:rsidR="00501AC1">
        <w:t>forecast increase in capex</w:t>
      </w:r>
      <w:r>
        <w:t xml:space="preserve">) while the proposed opex allowance is increasing. </w:t>
      </w:r>
      <w:r w:rsidR="00876FFF">
        <w:fldChar w:fldCharType="begin"/>
      </w:r>
      <w:r>
        <w:instrText xml:space="preserve"> REF _Ref354565076 \h </w:instrText>
      </w:r>
      <w:r w:rsidR="00876FFF">
        <w:fldChar w:fldCharType="separate"/>
      </w:r>
      <w:r w:rsidR="003F1C4B">
        <w:t xml:space="preserve">Figure </w:t>
      </w:r>
      <w:r w:rsidR="003F1C4B">
        <w:rPr>
          <w:noProof/>
        </w:rPr>
        <w:t>3</w:t>
      </w:r>
      <w:r w:rsidR="003F1C4B">
        <w:t>.</w:t>
      </w:r>
      <w:r w:rsidR="003F1C4B">
        <w:rPr>
          <w:noProof/>
        </w:rPr>
        <w:t>1</w:t>
      </w:r>
      <w:r w:rsidR="00876FFF">
        <w:fldChar w:fldCharType="end"/>
      </w:r>
      <w:r>
        <w:t xml:space="preserve"> shows the revenue impact of these aspects.</w:t>
      </w:r>
    </w:p>
    <w:p w:rsidR="006453C2" w:rsidRDefault="006453C2" w:rsidP="006453C2">
      <w:pPr>
        <w:pStyle w:val="Caption"/>
      </w:pPr>
      <w:bookmarkStart w:id="32" w:name="_Ref354565076"/>
      <w:r>
        <w:t xml:space="preserve">Figure </w:t>
      </w:r>
      <w:r w:rsidR="00876FFF">
        <w:fldChar w:fldCharType="begin"/>
      </w:r>
      <w:r w:rsidR="00073991">
        <w:instrText xml:space="preserve"> STYLEREF 1 \s </w:instrText>
      </w:r>
      <w:r w:rsidR="00876FFF">
        <w:fldChar w:fldCharType="separate"/>
      </w:r>
      <w:r w:rsidR="003F1C4B">
        <w:rPr>
          <w:noProof/>
        </w:rPr>
        <w:t>3</w:t>
      </w:r>
      <w:r w:rsidR="00876FFF">
        <w:fldChar w:fldCharType="end"/>
      </w:r>
      <w:r>
        <w:t>.</w:t>
      </w:r>
      <w:r w:rsidR="00876FFF">
        <w:fldChar w:fldCharType="begin"/>
      </w:r>
      <w:r>
        <w:instrText xml:space="preserve"> SEQ Figure \* ARABIC \s 1 </w:instrText>
      </w:r>
      <w:r w:rsidR="00876FFF">
        <w:fldChar w:fldCharType="separate"/>
      </w:r>
      <w:r w:rsidR="003F1C4B">
        <w:rPr>
          <w:noProof/>
        </w:rPr>
        <w:t>1</w:t>
      </w:r>
      <w:r w:rsidR="00876FFF">
        <w:fldChar w:fldCharType="end"/>
      </w:r>
      <w:bookmarkEnd w:id="32"/>
      <w:r>
        <w:tab/>
        <w:t xml:space="preserve">AER’s 2008–14 final decision average revenue requirement and SP AusNet’s proposed 2014–17 average revenue requirement ($m, 2013–14)  </w:t>
      </w:r>
    </w:p>
    <w:p w:rsidR="006453C2" w:rsidRPr="00BB3C19" w:rsidRDefault="009A687F" w:rsidP="006453C2">
      <w:pPr>
        <w:pStyle w:val="AERbodytext"/>
        <w:numPr>
          <w:ilvl w:val="0"/>
          <w:numId w:val="13"/>
        </w:numPr>
      </w:pPr>
      <w:r w:rsidRPr="009A687F">
        <w:rPr>
          <w:noProof/>
          <w:lang w:eastAsia="en-AU"/>
        </w:rPr>
        <w:drawing>
          <wp:inline distT="0" distB="0" distL="0" distR="0">
            <wp:extent cx="5667375" cy="3419475"/>
            <wp:effectExtent l="19050" t="0" r="9525"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668245" cy="3420000"/>
                    </a:xfrm>
                    <a:prstGeom prst="rect">
                      <a:avLst/>
                    </a:prstGeom>
                    <a:noFill/>
                    <a:ln w="9525">
                      <a:noFill/>
                      <a:miter lim="800000"/>
                      <a:headEnd/>
                      <a:tailEnd/>
                    </a:ln>
                  </pic:spPr>
                </pic:pic>
              </a:graphicData>
            </a:graphic>
          </wp:inline>
        </w:drawing>
      </w:r>
    </w:p>
    <w:p w:rsidR="006453C2" w:rsidRDefault="006453C2" w:rsidP="008B0AC7">
      <w:pPr>
        <w:pStyle w:val="AERtablesource"/>
      </w:pPr>
      <w:r>
        <w:t xml:space="preserve">Source: </w:t>
      </w:r>
      <w:r>
        <w:tab/>
        <w:t xml:space="preserve">AER, </w:t>
      </w:r>
      <w:r w:rsidRPr="00AD12FE">
        <w:rPr>
          <w:rStyle w:val="AERtextitalic"/>
        </w:rPr>
        <w:t>Final decision, SP AusNet 2008–14 transmission determination</w:t>
      </w:r>
      <w:r w:rsidRPr="00AD12FE">
        <w:t xml:space="preserve">, January 2008, PTRM and SP AusNet, </w:t>
      </w:r>
      <w:r w:rsidRPr="00AD12FE">
        <w:rPr>
          <w:rStyle w:val="AERtextitalic"/>
        </w:rPr>
        <w:t>Revenue proposal</w:t>
      </w:r>
      <w:r w:rsidRPr="00AD12FE">
        <w:t>, PTRM.</w:t>
      </w:r>
    </w:p>
    <w:p w:rsidR="008B0AC7" w:rsidRPr="008B0AC7" w:rsidRDefault="008B0AC7" w:rsidP="008B0AC7">
      <w:pPr>
        <w:pStyle w:val="AERtablesource"/>
      </w:pPr>
      <w:r>
        <w:t xml:space="preserve">Note: </w:t>
      </w:r>
      <w:r>
        <w:tab/>
        <w:t xml:space="preserve">the opex allowance excludes the easement tax allowance. The easement tax allowance averaged $101m ($2013-14) over 2008–14 and $102m ($2013–14) over 2014–17. </w:t>
      </w:r>
    </w:p>
    <w:p w:rsidR="00AD12FE" w:rsidRDefault="00AD12FE" w:rsidP="006453C2">
      <w:pPr>
        <w:pStyle w:val="AERbodytext"/>
        <w:numPr>
          <w:ilvl w:val="0"/>
          <w:numId w:val="13"/>
        </w:numPr>
      </w:pPr>
      <w:r>
        <w:t xml:space="preserve">SP AusNet is seeking to recover total revenue of $1 598 million ($ nominal) from customers during the 2014–17 regulatory control period. SP AusNet is forecasting modest price decreases over the 2014–17 regulatory control period. </w:t>
      </w:r>
    </w:p>
    <w:p w:rsidR="00AD12FE" w:rsidRDefault="00876FFF" w:rsidP="00AD12FE">
      <w:pPr>
        <w:pStyle w:val="AERbodytext"/>
        <w:numPr>
          <w:ilvl w:val="0"/>
          <w:numId w:val="13"/>
        </w:numPr>
      </w:pPr>
      <w:r>
        <w:fldChar w:fldCharType="begin"/>
      </w:r>
      <w:r w:rsidR="00D56FB8">
        <w:instrText xml:space="preserve"> REF _Ref353367722 \h </w:instrText>
      </w:r>
      <w:r>
        <w:fldChar w:fldCharType="separate"/>
      </w:r>
      <w:r w:rsidR="003F1C4B">
        <w:t xml:space="preserve">Figure </w:t>
      </w:r>
      <w:r w:rsidR="003F1C4B">
        <w:rPr>
          <w:noProof/>
        </w:rPr>
        <w:t>3</w:t>
      </w:r>
      <w:r w:rsidR="003F1C4B">
        <w:t>.</w:t>
      </w:r>
      <w:r w:rsidR="003F1C4B">
        <w:rPr>
          <w:noProof/>
        </w:rPr>
        <w:t>2</w:t>
      </w:r>
      <w:r>
        <w:fldChar w:fldCharType="end"/>
      </w:r>
      <w:r w:rsidR="00D56FB8">
        <w:t xml:space="preserve"> </w:t>
      </w:r>
      <w:r w:rsidR="00AD12FE">
        <w:t xml:space="preserve">shows SP AusNet’s price path </w:t>
      </w:r>
      <w:r w:rsidR="003854FA">
        <w:t xml:space="preserve">from 2007–08. </w:t>
      </w:r>
      <w:r w:rsidR="00F559C0">
        <w:t>This shows an average annual price incre</w:t>
      </w:r>
      <w:r w:rsidR="00866764">
        <w:t xml:space="preserve">ase of 4.2 per cent (nominal) between 2007–08 and 2016–17. </w:t>
      </w:r>
    </w:p>
    <w:p w:rsidR="00AD12FE" w:rsidRDefault="00AD12FE" w:rsidP="00AD12FE">
      <w:pPr>
        <w:pStyle w:val="Caption"/>
      </w:pPr>
      <w:bookmarkStart w:id="33" w:name="_Ref353367722"/>
      <w:r>
        <w:t xml:space="preserve">Figure </w:t>
      </w:r>
      <w:r w:rsidR="00876FFF">
        <w:fldChar w:fldCharType="begin"/>
      </w:r>
      <w:r w:rsidR="00073991">
        <w:instrText xml:space="preserve"> STYLEREF 1 \s </w:instrText>
      </w:r>
      <w:r w:rsidR="00876FFF">
        <w:fldChar w:fldCharType="separate"/>
      </w:r>
      <w:r w:rsidR="003F1C4B">
        <w:rPr>
          <w:noProof/>
        </w:rPr>
        <w:t>3</w:t>
      </w:r>
      <w:r w:rsidR="00876FFF">
        <w:fldChar w:fldCharType="end"/>
      </w:r>
      <w:r w:rsidR="006453C2">
        <w:t>.</w:t>
      </w:r>
      <w:r w:rsidR="00876FFF">
        <w:fldChar w:fldCharType="begin"/>
      </w:r>
      <w:r w:rsidR="006453C2">
        <w:instrText xml:space="preserve"> SEQ Figure \* ARABIC \s 1 </w:instrText>
      </w:r>
      <w:r w:rsidR="00876FFF">
        <w:fldChar w:fldCharType="separate"/>
      </w:r>
      <w:r w:rsidR="003F1C4B">
        <w:rPr>
          <w:noProof/>
        </w:rPr>
        <w:t>2</w:t>
      </w:r>
      <w:r w:rsidR="00876FFF">
        <w:fldChar w:fldCharType="end"/>
      </w:r>
      <w:bookmarkEnd w:id="33"/>
      <w:r>
        <w:tab/>
        <w:t>SP AusNet’s forecast price path ($/MWh)</w:t>
      </w:r>
    </w:p>
    <w:p w:rsidR="00AD12FE" w:rsidRPr="00862660" w:rsidRDefault="00866764" w:rsidP="00AD12FE">
      <w:pPr>
        <w:pStyle w:val="AERbodytext"/>
        <w:numPr>
          <w:ilvl w:val="0"/>
          <w:numId w:val="13"/>
        </w:numPr>
      </w:pPr>
      <w:r w:rsidRPr="00866764">
        <w:rPr>
          <w:noProof/>
          <w:lang w:eastAsia="en-AU"/>
        </w:rPr>
        <w:drawing>
          <wp:inline distT="0" distB="0" distL="0" distR="0">
            <wp:extent cx="5731510" cy="2916586"/>
            <wp:effectExtent l="1905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31510" cy="2916586"/>
                    </a:xfrm>
                    <a:prstGeom prst="rect">
                      <a:avLst/>
                    </a:prstGeom>
                    <a:noFill/>
                    <a:ln w="9525">
                      <a:noFill/>
                      <a:miter lim="800000"/>
                      <a:headEnd/>
                      <a:tailEnd/>
                    </a:ln>
                  </pic:spPr>
                </pic:pic>
              </a:graphicData>
            </a:graphic>
          </wp:inline>
        </w:drawing>
      </w:r>
    </w:p>
    <w:p w:rsidR="00AD12FE" w:rsidRDefault="006453C2" w:rsidP="006453C2">
      <w:pPr>
        <w:pStyle w:val="AERtablesource"/>
        <w:ind w:left="851" w:hanging="851"/>
      </w:pPr>
      <w:r>
        <w:t>Source:</w:t>
      </w:r>
      <w:r>
        <w:tab/>
      </w:r>
      <w:r w:rsidR="00AD12FE">
        <w:t xml:space="preserve">SP AusNet, </w:t>
      </w:r>
      <w:r w:rsidR="00AD12FE" w:rsidRPr="00ED51C7">
        <w:rPr>
          <w:rStyle w:val="AERtextitalic"/>
        </w:rPr>
        <w:t>Revenue proposal</w:t>
      </w:r>
      <w:r w:rsidR="00AD12FE">
        <w:t xml:space="preserve">, PTRM; AER, </w:t>
      </w:r>
      <w:r w:rsidR="00AD12FE" w:rsidRPr="00ED51C7">
        <w:rPr>
          <w:rStyle w:val="AERtextitalic"/>
        </w:rPr>
        <w:t>Final decision – SP AusNet transm</w:t>
      </w:r>
      <w:r>
        <w:rPr>
          <w:rStyle w:val="AERtextitalic"/>
        </w:rPr>
        <w:t xml:space="preserve">ission determination 2008–09 to </w:t>
      </w:r>
      <w:r w:rsidR="00AD12FE" w:rsidRPr="00ED51C7">
        <w:rPr>
          <w:rStyle w:val="AERtextitalic"/>
        </w:rPr>
        <w:t>2013–14</w:t>
      </w:r>
      <w:r w:rsidR="00AD12FE">
        <w:t xml:space="preserve">, January 2008, PTRM. </w:t>
      </w:r>
    </w:p>
    <w:p w:rsidR="00AD12FE" w:rsidRPr="008464B5" w:rsidRDefault="00AD12FE" w:rsidP="006453C2">
      <w:pPr>
        <w:pStyle w:val="AERtablesource"/>
      </w:pPr>
      <w:r>
        <w:t xml:space="preserve">Note: </w:t>
      </w:r>
      <w:r>
        <w:tab/>
        <w:t xml:space="preserve">2008–14 price path based on allowed revenue and AEMO actual and forecast energy. 2014–17 price path based on SP AusNet’s proposed revenue and AEMO forecast energy. </w:t>
      </w:r>
    </w:p>
    <w:p w:rsidR="00AD12FE" w:rsidRDefault="00AD12FE" w:rsidP="00AD12FE">
      <w:pPr>
        <w:pStyle w:val="AERbodytext"/>
        <w:numPr>
          <w:ilvl w:val="0"/>
          <w:numId w:val="13"/>
        </w:numPr>
      </w:pPr>
      <w:r>
        <w:t xml:space="preserve">Based on this price path, SP AusNet expects the transmission component of a typical residential bill of $1300 per annum will fall (in real terms) from 4 per cent ($52 per annum) to 3.5 per cent ($46 per annum) in 2014–15 and remain at that level over the period. </w:t>
      </w:r>
    </w:p>
    <w:p w:rsidR="00AD12FE" w:rsidRDefault="00AD12FE" w:rsidP="00AD12FE">
      <w:pPr>
        <w:pStyle w:val="AERbodytext"/>
        <w:numPr>
          <w:ilvl w:val="0"/>
          <w:numId w:val="13"/>
        </w:numPr>
      </w:pPr>
      <w:r>
        <w:t>SP AusNet also provided a</w:t>
      </w:r>
      <w:r w:rsidR="00F559C0">
        <w:t xml:space="preserve"> high level estimate of savings </w:t>
      </w:r>
      <w:r w:rsidR="00081259">
        <w:t>that commercial</w:t>
      </w:r>
      <w:r>
        <w:t xml:space="preserve"> and industrial customers’ </w:t>
      </w:r>
      <w:r w:rsidR="00F559C0">
        <w:t xml:space="preserve">could expect to see in their </w:t>
      </w:r>
      <w:r>
        <w:t>bills. This estimate is shown in</w:t>
      </w:r>
      <w:r w:rsidR="00D56FB8">
        <w:t xml:space="preserve"> </w:t>
      </w:r>
      <w:r w:rsidR="00876FFF">
        <w:fldChar w:fldCharType="begin"/>
      </w:r>
      <w:r w:rsidR="00D56FB8">
        <w:instrText xml:space="preserve"> REF _Ref353369348 \h </w:instrText>
      </w:r>
      <w:r w:rsidR="00876FFF">
        <w:fldChar w:fldCharType="separate"/>
      </w:r>
      <w:r w:rsidR="003F1C4B">
        <w:t xml:space="preserve">Table </w:t>
      </w:r>
      <w:r w:rsidR="003F1C4B">
        <w:rPr>
          <w:noProof/>
        </w:rPr>
        <w:t>3</w:t>
      </w:r>
      <w:r w:rsidR="003F1C4B">
        <w:t>.</w:t>
      </w:r>
      <w:r w:rsidR="003F1C4B">
        <w:rPr>
          <w:noProof/>
        </w:rPr>
        <w:t>1</w:t>
      </w:r>
      <w:r w:rsidR="00876FFF">
        <w:fldChar w:fldCharType="end"/>
      </w:r>
      <w:r>
        <w:t xml:space="preserve">. </w:t>
      </w:r>
    </w:p>
    <w:p w:rsidR="00AD12FE" w:rsidRDefault="00AD12FE" w:rsidP="00AD12FE">
      <w:pPr>
        <w:pStyle w:val="Caption"/>
      </w:pPr>
      <w:bookmarkStart w:id="34" w:name="_Ref353369348"/>
      <w:r>
        <w:t xml:space="preserve">Table </w:t>
      </w:r>
      <w:r w:rsidR="00876FFF">
        <w:fldChar w:fldCharType="begin"/>
      </w:r>
      <w:r w:rsidR="00A41D91">
        <w:instrText xml:space="preserve"> STYLEREF 1 \s </w:instrText>
      </w:r>
      <w:r w:rsidR="00876FFF">
        <w:fldChar w:fldCharType="separate"/>
      </w:r>
      <w:r w:rsidR="003F1C4B">
        <w:rPr>
          <w:noProof/>
        </w:rPr>
        <w:t>3</w:t>
      </w:r>
      <w:r w:rsidR="00876FFF">
        <w:fldChar w:fldCharType="end"/>
      </w:r>
      <w:r w:rsidR="00A41D91">
        <w:t>.</w:t>
      </w:r>
      <w:r w:rsidR="00876FFF">
        <w:fldChar w:fldCharType="begin"/>
      </w:r>
      <w:r w:rsidR="00A41D91">
        <w:instrText xml:space="preserve"> SEQ Table \* ARABIC \s 1 </w:instrText>
      </w:r>
      <w:r w:rsidR="00876FFF">
        <w:fldChar w:fldCharType="separate"/>
      </w:r>
      <w:r w:rsidR="003F1C4B">
        <w:rPr>
          <w:noProof/>
        </w:rPr>
        <w:t>1</w:t>
      </w:r>
      <w:r w:rsidR="00876FFF">
        <w:fldChar w:fldCharType="end"/>
      </w:r>
      <w:bookmarkEnd w:id="34"/>
      <w:r>
        <w:tab/>
        <w:t>SP AusNet estimate of impact on commercial and industrial electricity bills</w:t>
      </w:r>
    </w:p>
    <w:tbl>
      <w:tblPr>
        <w:tblStyle w:val="AERtable-text"/>
        <w:tblW w:w="0" w:type="auto"/>
        <w:tblLook w:val="04A0"/>
      </w:tblPr>
      <w:tblGrid>
        <w:gridCol w:w="3080"/>
        <w:gridCol w:w="3081"/>
        <w:gridCol w:w="3081"/>
      </w:tblGrid>
      <w:tr w:rsidR="00AD12FE" w:rsidTr="00D0040B">
        <w:trPr>
          <w:cnfStyle w:val="100000000000"/>
        </w:trPr>
        <w:tc>
          <w:tcPr>
            <w:tcW w:w="3080" w:type="dxa"/>
          </w:tcPr>
          <w:p w:rsidR="00AD12FE" w:rsidRDefault="00AD12FE" w:rsidP="00AD12FE">
            <w:pPr>
              <w:pStyle w:val="AERbodytext"/>
              <w:numPr>
                <w:ilvl w:val="0"/>
                <w:numId w:val="13"/>
              </w:numPr>
            </w:pPr>
            <w:r>
              <w:t>Category</w:t>
            </w:r>
          </w:p>
        </w:tc>
        <w:tc>
          <w:tcPr>
            <w:tcW w:w="3081" w:type="dxa"/>
          </w:tcPr>
          <w:p w:rsidR="00AD12FE" w:rsidRDefault="00AD12FE" w:rsidP="00AD12FE">
            <w:pPr>
              <w:pStyle w:val="AERbodytext"/>
              <w:numPr>
                <w:ilvl w:val="0"/>
                <w:numId w:val="13"/>
              </w:numPr>
            </w:pPr>
            <w:r>
              <w:t>Annual consumption</w:t>
            </w:r>
          </w:p>
        </w:tc>
        <w:tc>
          <w:tcPr>
            <w:tcW w:w="3081" w:type="dxa"/>
          </w:tcPr>
          <w:p w:rsidR="00AD12FE" w:rsidRDefault="00AD12FE" w:rsidP="00AD12FE">
            <w:pPr>
              <w:pStyle w:val="AERbodytext"/>
              <w:numPr>
                <w:ilvl w:val="0"/>
                <w:numId w:val="13"/>
              </w:numPr>
            </w:pPr>
            <w:r>
              <w:t>Annual savings if revenue proposal implemented as proposed</w:t>
            </w:r>
          </w:p>
        </w:tc>
      </w:tr>
      <w:tr w:rsidR="00AD12FE" w:rsidTr="00D0040B">
        <w:tc>
          <w:tcPr>
            <w:tcW w:w="3080" w:type="dxa"/>
          </w:tcPr>
          <w:p w:rsidR="00AD12FE" w:rsidRDefault="00AD12FE" w:rsidP="00AD12FE">
            <w:pPr>
              <w:pStyle w:val="AERbodytext"/>
              <w:numPr>
                <w:ilvl w:val="0"/>
                <w:numId w:val="13"/>
              </w:numPr>
            </w:pPr>
            <w:r>
              <w:t>Small to medium commercial customers</w:t>
            </w:r>
          </w:p>
        </w:tc>
        <w:tc>
          <w:tcPr>
            <w:tcW w:w="3081" w:type="dxa"/>
          </w:tcPr>
          <w:p w:rsidR="00AD12FE" w:rsidRPr="00AD12FE" w:rsidRDefault="00AD12FE" w:rsidP="00AD12FE">
            <w:pPr>
              <w:pStyle w:val="AERbodytext"/>
            </w:pPr>
            <w:r>
              <w:t>Less than 400 MWh</w:t>
            </w:r>
          </w:p>
        </w:tc>
        <w:tc>
          <w:tcPr>
            <w:tcW w:w="3081" w:type="dxa"/>
          </w:tcPr>
          <w:p w:rsidR="00AD12FE" w:rsidRDefault="00AD12FE" w:rsidP="00AD12FE">
            <w:pPr>
              <w:pStyle w:val="AERbodytext"/>
              <w:numPr>
                <w:ilvl w:val="0"/>
                <w:numId w:val="13"/>
              </w:numPr>
            </w:pPr>
            <w:r>
              <w:t>$30 – $100 saving per annum</w:t>
            </w:r>
          </w:p>
        </w:tc>
      </w:tr>
      <w:tr w:rsidR="00AD12FE" w:rsidTr="00D0040B">
        <w:trPr>
          <w:cnfStyle w:val="000000010000"/>
        </w:trPr>
        <w:tc>
          <w:tcPr>
            <w:tcW w:w="3080" w:type="dxa"/>
          </w:tcPr>
          <w:p w:rsidR="00AD12FE" w:rsidRDefault="00AD12FE" w:rsidP="00AD12FE">
            <w:pPr>
              <w:pStyle w:val="AERbodytext"/>
              <w:numPr>
                <w:ilvl w:val="0"/>
                <w:numId w:val="13"/>
              </w:numPr>
            </w:pPr>
            <w:r>
              <w:t>Large industrial customers</w:t>
            </w:r>
          </w:p>
        </w:tc>
        <w:tc>
          <w:tcPr>
            <w:tcW w:w="3081" w:type="dxa"/>
          </w:tcPr>
          <w:p w:rsidR="00AD12FE" w:rsidRDefault="00AD12FE" w:rsidP="00AD12FE">
            <w:pPr>
              <w:pStyle w:val="AERbodytext"/>
              <w:numPr>
                <w:ilvl w:val="0"/>
                <w:numId w:val="13"/>
              </w:numPr>
            </w:pPr>
            <w:r>
              <w:t>Greater than 400 MWh</w:t>
            </w:r>
          </w:p>
        </w:tc>
        <w:tc>
          <w:tcPr>
            <w:tcW w:w="3081" w:type="dxa"/>
          </w:tcPr>
          <w:p w:rsidR="00AD12FE" w:rsidRDefault="00AD12FE" w:rsidP="00AD12FE">
            <w:pPr>
              <w:pStyle w:val="AERbodytext"/>
              <w:numPr>
                <w:ilvl w:val="0"/>
                <w:numId w:val="13"/>
              </w:numPr>
            </w:pPr>
            <w:r>
              <w:t>$1000 – $9000 saving per annum</w:t>
            </w:r>
          </w:p>
        </w:tc>
      </w:tr>
      <w:tr w:rsidR="00AD12FE" w:rsidTr="00D0040B">
        <w:tc>
          <w:tcPr>
            <w:tcW w:w="3080" w:type="dxa"/>
          </w:tcPr>
          <w:p w:rsidR="00AD12FE" w:rsidRDefault="00AD12FE" w:rsidP="00AD12FE">
            <w:pPr>
              <w:pStyle w:val="AERbodytext"/>
              <w:numPr>
                <w:ilvl w:val="0"/>
                <w:numId w:val="13"/>
              </w:numPr>
            </w:pPr>
            <w:r>
              <w:t>Largest industrial customers</w:t>
            </w:r>
          </w:p>
        </w:tc>
        <w:tc>
          <w:tcPr>
            <w:tcW w:w="3081" w:type="dxa"/>
          </w:tcPr>
          <w:p w:rsidR="00AD12FE" w:rsidRDefault="00AD12FE" w:rsidP="00AD12FE">
            <w:pPr>
              <w:pStyle w:val="AERbodytext"/>
              <w:numPr>
                <w:ilvl w:val="0"/>
                <w:numId w:val="13"/>
              </w:numPr>
            </w:pPr>
            <w:r>
              <w:t>12 GWh</w:t>
            </w:r>
          </w:p>
        </w:tc>
        <w:tc>
          <w:tcPr>
            <w:tcW w:w="3081" w:type="dxa"/>
          </w:tcPr>
          <w:p w:rsidR="00AD12FE" w:rsidRDefault="00AD12FE" w:rsidP="00AD12FE">
            <w:pPr>
              <w:pStyle w:val="AERbodytext"/>
              <w:numPr>
                <w:ilvl w:val="0"/>
                <w:numId w:val="13"/>
              </w:numPr>
            </w:pPr>
            <w:r>
              <w:t>$20 000 – $60 000 (up to $300 000) savings per annum</w:t>
            </w:r>
          </w:p>
        </w:tc>
      </w:tr>
    </w:tbl>
    <w:p w:rsidR="00AD12FE" w:rsidRPr="00AD12FE" w:rsidRDefault="00AD12FE" w:rsidP="00AD12FE">
      <w:pPr>
        <w:pStyle w:val="AERtablesource"/>
      </w:pPr>
      <w:r>
        <w:t xml:space="preserve">Source: SP AusNet, </w:t>
      </w:r>
      <w:r w:rsidRPr="00AD12FE">
        <w:rPr>
          <w:rStyle w:val="AERtextitalic"/>
        </w:rPr>
        <w:t>Revenue proposal</w:t>
      </w:r>
      <w:r w:rsidRPr="00AD12FE">
        <w:t xml:space="preserve">, p. 18. Indicative figures only. </w:t>
      </w:r>
    </w:p>
    <w:p w:rsidR="00AD12FE" w:rsidRDefault="00D56FB8" w:rsidP="00AD12FE">
      <w:pPr>
        <w:pStyle w:val="AERbodytext"/>
        <w:numPr>
          <w:ilvl w:val="0"/>
          <w:numId w:val="13"/>
        </w:numPr>
      </w:pPr>
      <w:r>
        <w:t xml:space="preserve">It should be noted </w:t>
      </w:r>
      <w:r w:rsidR="00AD12FE">
        <w:t>that SP AusNet’s proposed CBD rebuild capex projects may have a more significant localised pricing impact for customers that use the Richmond and West Melbourne terminal stations. As such, it is important that consumers impacted by the</w:t>
      </w:r>
      <w:r>
        <w:t>se</w:t>
      </w:r>
      <w:r w:rsidR="00AD12FE">
        <w:t xml:space="preserve"> CBD rebuild</w:t>
      </w:r>
      <w:r>
        <w:t xml:space="preserve"> projects</w:t>
      </w:r>
      <w:r w:rsidR="00AD12FE">
        <w:t xml:space="preserve"> engage in the review process to provide us with their views on these capex projects. </w:t>
      </w:r>
      <w:r>
        <w:t xml:space="preserve">This will help ensure they do not pay more than necessary for their electricity services. </w:t>
      </w:r>
      <w:r w:rsidR="00322BB6">
        <w:t>On the other hand, these customers are also those who are most exposed to the risks of these rebuilds not proceeding.</w:t>
      </w:r>
    </w:p>
    <w:p w:rsidR="00AD12FE" w:rsidRPr="00AD12FE" w:rsidRDefault="00AD12FE" w:rsidP="00AD12FE">
      <w:pPr>
        <w:pStyle w:val="Heading2"/>
      </w:pPr>
      <w:bookmarkStart w:id="35" w:name="_Toc355186308"/>
      <w:r>
        <w:t>Capex</w:t>
      </w:r>
      <w:bookmarkEnd w:id="35"/>
      <w:r w:rsidRPr="00AD12FE">
        <w:t xml:space="preserve"> </w:t>
      </w:r>
    </w:p>
    <w:p w:rsidR="00AD12FE" w:rsidRPr="00AD12FE" w:rsidRDefault="00AD12FE" w:rsidP="00AD12FE">
      <w:pPr>
        <w:pStyle w:val="AERbodytext"/>
      </w:pPr>
      <w:r>
        <w:t xml:space="preserve">A revenue proposal must include the total forecast </w:t>
      </w:r>
      <w:r w:rsidRPr="00AD12FE">
        <w:t>capex for the relevant regulatory control period which SP AusNet considers is required to achieve the capital expenditure objectives, which are set out in clause 6A.6.7 of the NER.</w:t>
      </w:r>
    </w:p>
    <w:p w:rsidR="00AD12FE" w:rsidRDefault="00AD12FE" w:rsidP="00AD12FE">
      <w:pPr>
        <w:pStyle w:val="Heading3"/>
      </w:pPr>
      <w:r>
        <w:t>SP AusNet's capex proposal</w:t>
      </w:r>
    </w:p>
    <w:p w:rsidR="00AD12FE" w:rsidRPr="00A41D91" w:rsidRDefault="00081259" w:rsidP="00A41D91">
      <w:pPr>
        <w:pStyle w:val="AERbodytext"/>
      </w:pPr>
      <w:r w:rsidRPr="00A41D91">
        <w:t>SP AusN</w:t>
      </w:r>
      <w:r w:rsidR="00AD12FE" w:rsidRPr="00A41D91">
        <w:t xml:space="preserve">et's capex over the current regulatory period is outlined in s. 3.3 of its revenue proposal. SP AusNet's forecast capex and justification is contained in s. 4 of its revenue proposal and appendixes 2A, 2C, 3A, 4A, 4B, 4C, 4D, 4E and 4F. </w:t>
      </w:r>
    </w:p>
    <w:p w:rsidR="00A41D91" w:rsidRDefault="00876FFF" w:rsidP="00A41D91">
      <w:pPr>
        <w:pStyle w:val="AERbodytext"/>
      </w:pPr>
      <w:fldSimple w:instr=" REF _Ref354565126 \h  \* MERGEFORMAT ">
        <w:r w:rsidR="003F1C4B">
          <w:t>Figure 3.3</w:t>
        </w:r>
      </w:fldSimple>
      <w:r w:rsidR="00F65B4D" w:rsidRPr="00A41D91">
        <w:t xml:space="preserve"> </w:t>
      </w:r>
      <w:r w:rsidR="00AD12FE" w:rsidRPr="00A41D91">
        <w:t>compares SP AusNet's average capex for the 2008–14 regulatory control period with its average forecast capex for the 2014–17 regul</w:t>
      </w:r>
      <w:r w:rsidR="00F65B4D" w:rsidRPr="00A41D91">
        <w:t>atory control period</w:t>
      </w:r>
      <w:r w:rsidR="00A41D91" w:rsidRPr="00A41D91">
        <w:t xml:space="preserve">. </w:t>
      </w:r>
    </w:p>
    <w:p w:rsidR="00AD12FE" w:rsidRDefault="00876FFF" w:rsidP="00A41D91">
      <w:pPr>
        <w:pStyle w:val="AERbodytext"/>
      </w:pPr>
      <w:r>
        <w:fldChar w:fldCharType="begin"/>
      </w:r>
      <w:r w:rsidR="00A41D91">
        <w:instrText xml:space="preserve"> REF _Ref355183206 \h </w:instrText>
      </w:r>
      <w:r>
        <w:fldChar w:fldCharType="separate"/>
      </w:r>
      <w:r w:rsidR="003F1C4B">
        <w:t xml:space="preserve">Table </w:t>
      </w:r>
      <w:r w:rsidR="003F1C4B">
        <w:rPr>
          <w:noProof/>
        </w:rPr>
        <w:t>3</w:t>
      </w:r>
      <w:r w:rsidR="003F1C4B">
        <w:t>.</w:t>
      </w:r>
      <w:r w:rsidR="003F1C4B">
        <w:rPr>
          <w:noProof/>
        </w:rPr>
        <w:t>2</w:t>
      </w:r>
      <w:r>
        <w:fldChar w:fldCharType="end"/>
      </w:r>
      <w:r w:rsidR="00A41D91">
        <w:t xml:space="preserve"> </w:t>
      </w:r>
      <w:r w:rsidR="00AD12FE" w:rsidRPr="00A41D91">
        <w:t>breaks down the forecast capex into categories.</w:t>
      </w:r>
    </w:p>
    <w:p w:rsidR="00AD12FE" w:rsidRDefault="00F65B4D" w:rsidP="00F65B4D">
      <w:pPr>
        <w:pStyle w:val="Caption"/>
      </w:pPr>
      <w:bookmarkStart w:id="36" w:name="_Ref354565126"/>
      <w:r>
        <w:t xml:space="preserve">Figure </w:t>
      </w:r>
      <w:r w:rsidR="00876FFF">
        <w:fldChar w:fldCharType="begin"/>
      </w:r>
      <w:r w:rsidR="00073991">
        <w:instrText xml:space="preserve"> STYLEREF 1 \s </w:instrText>
      </w:r>
      <w:r w:rsidR="00876FFF">
        <w:fldChar w:fldCharType="separate"/>
      </w:r>
      <w:r w:rsidR="003F1C4B">
        <w:rPr>
          <w:noProof/>
        </w:rPr>
        <w:t>3</w:t>
      </w:r>
      <w:r w:rsidR="00876FFF">
        <w:fldChar w:fldCharType="end"/>
      </w:r>
      <w:r w:rsidR="006453C2">
        <w:t>.</w:t>
      </w:r>
      <w:r w:rsidR="00876FFF">
        <w:fldChar w:fldCharType="begin"/>
      </w:r>
      <w:r w:rsidR="006453C2">
        <w:instrText xml:space="preserve"> SEQ Figure \* ARABIC \s 1 </w:instrText>
      </w:r>
      <w:r w:rsidR="00876FFF">
        <w:fldChar w:fldCharType="separate"/>
      </w:r>
      <w:r w:rsidR="003F1C4B">
        <w:rPr>
          <w:noProof/>
        </w:rPr>
        <w:t>3</w:t>
      </w:r>
      <w:r w:rsidR="00876FFF">
        <w:fldChar w:fldCharType="end"/>
      </w:r>
      <w:bookmarkEnd w:id="36"/>
      <w:r>
        <w:tab/>
      </w:r>
      <w:r w:rsidR="00AD12FE">
        <w:t>Comparison of historical and forecast capex ($m, 2013</w:t>
      </w:r>
      <w:r w:rsidR="00AD12FE" w:rsidRPr="008A072D">
        <w:t>–</w:t>
      </w:r>
      <w:r w:rsidR="00AD12FE">
        <w:t>14)</w:t>
      </w:r>
    </w:p>
    <w:p w:rsidR="00AD12FE" w:rsidRPr="00AD12FE" w:rsidRDefault="00876FFF" w:rsidP="00AD12FE">
      <w:pPr>
        <w:pStyle w:val="AERbodytext"/>
      </w:pPr>
      <w:r w:rsidRPr="00876FFF">
        <w:rPr>
          <w:lang w:val="en-US" w:eastAsia="zh-TW"/>
        </w:rPr>
        <w:pict>
          <v:shape id="_x0000_s1040" type="#_x0000_t202" style="position:absolute;left:0;text-align:left;margin-left:281.4pt;margin-top:58.4pt;width:38.4pt;height:17.95pt;z-index:251662336;mso-width-relative:margin;mso-height-relative:margin" strokecolor="white [3212]">
            <v:fill opacity="0"/>
            <v:textbox style="mso-next-textbox:#_x0000_s1040">
              <w:txbxContent>
                <w:p w:rsidR="003F4B01" w:rsidRDefault="003F4B01" w:rsidP="00AD12FE">
                  <w:r>
                    <w:t>46%</w:t>
                  </w:r>
                </w:p>
              </w:txbxContent>
            </v:textbox>
          </v:shape>
        </w:pict>
      </w:r>
      <w:r w:rsidR="00AD12FE" w:rsidRPr="00AD12FE">
        <w:rPr>
          <w:noProof/>
          <w:lang w:eastAsia="en-AU"/>
        </w:rPr>
        <w:drawing>
          <wp:inline distT="0" distB="0" distL="0" distR="0">
            <wp:extent cx="5720987" cy="3313216"/>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731510" cy="3319310"/>
                    </a:xfrm>
                    <a:prstGeom prst="rect">
                      <a:avLst/>
                    </a:prstGeom>
                    <a:noFill/>
                    <a:ln w="9525">
                      <a:noFill/>
                      <a:miter lim="800000"/>
                      <a:headEnd/>
                      <a:tailEnd/>
                    </a:ln>
                  </pic:spPr>
                </pic:pic>
              </a:graphicData>
            </a:graphic>
          </wp:inline>
        </w:drawing>
      </w:r>
    </w:p>
    <w:p w:rsidR="00A41D91" w:rsidRDefault="00AD12FE" w:rsidP="00A41D91">
      <w:pPr>
        <w:pStyle w:val="AERtablesource"/>
        <w:jc w:val="left"/>
      </w:pPr>
      <w:r>
        <w:t>So</w:t>
      </w:r>
      <w:r w:rsidRPr="00AD12FE">
        <w:t>urce:</w:t>
      </w:r>
      <w:r w:rsidRPr="00AD12FE">
        <w:tab/>
        <w:t xml:space="preserve">SP AusNet, </w:t>
      </w:r>
      <w:r w:rsidRPr="00AD12FE">
        <w:rPr>
          <w:rStyle w:val="AERtextitalic"/>
        </w:rPr>
        <w:t>Revenue proposal</w:t>
      </w:r>
      <w:r w:rsidRPr="00AD12FE">
        <w:t>, p. 51 and 84.</w:t>
      </w:r>
      <w:bookmarkStart w:id="37" w:name="_Ref354565172"/>
    </w:p>
    <w:bookmarkEnd w:id="37"/>
    <w:p w:rsidR="00A41D91" w:rsidRDefault="00A41D91" w:rsidP="00A41D91">
      <w:pPr>
        <w:pStyle w:val="Caption"/>
        <w:ind w:left="0" w:firstLine="0"/>
        <w:sectPr w:rsidR="00A41D91" w:rsidSect="00D0040B">
          <w:footerReference w:type="even" r:id="rId26"/>
          <w:footerReference w:type="default" r:id="rId27"/>
          <w:pgSz w:w="11906" w:h="16838" w:code="9"/>
          <w:pgMar w:top="1440" w:right="1440" w:bottom="1440" w:left="1440" w:header="709" w:footer="709" w:gutter="0"/>
          <w:cols w:space="708"/>
          <w:docGrid w:linePitch="360"/>
        </w:sectPr>
      </w:pPr>
    </w:p>
    <w:p w:rsidR="00A41D91" w:rsidRPr="00A41D91" w:rsidRDefault="00A41D91" w:rsidP="00A41D91">
      <w:pPr>
        <w:pStyle w:val="Caption"/>
        <w:ind w:left="0" w:firstLine="0"/>
      </w:pPr>
      <w:bookmarkStart w:id="38" w:name="_Ref355183206"/>
      <w:r>
        <w:t xml:space="preserve">Table </w:t>
      </w:r>
      <w:r w:rsidR="00876FFF">
        <w:fldChar w:fldCharType="begin"/>
      </w:r>
      <w:r>
        <w:instrText xml:space="preserve"> STYLEREF 1 \s </w:instrText>
      </w:r>
      <w:r w:rsidR="00876FFF">
        <w:fldChar w:fldCharType="separate"/>
      </w:r>
      <w:r w:rsidR="003F1C4B">
        <w:rPr>
          <w:noProof/>
        </w:rPr>
        <w:t>3</w:t>
      </w:r>
      <w:r w:rsidR="00876FFF">
        <w:fldChar w:fldCharType="end"/>
      </w:r>
      <w:r>
        <w:t>.</w:t>
      </w:r>
      <w:r w:rsidR="00876FFF">
        <w:fldChar w:fldCharType="begin"/>
      </w:r>
      <w:r>
        <w:instrText xml:space="preserve"> SEQ Table \* ARABIC \s 1 </w:instrText>
      </w:r>
      <w:r w:rsidR="00876FFF">
        <w:fldChar w:fldCharType="separate"/>
      </w:r>
      <w:r w:rsidR="003F1C4B">
        <w:rPr>
          <w:noProof/>
        </w:rPr>
        <w:t>2</w:t>
      </w:r>
      <w:r w:rsidR="00876FFF">
        <w:fldChar w:fldCharType="end"/>
      </w:r>
      <w:bookmarkEnd w:id="38"/>
      <w:r>
        <w:tab/>
        <w:t>Forecast capex ($m, 2013–14)</w:t>
      </w:r>
    </w:p>
    <w:tbl>
      <w:tblPr>
        <w:tblStyle w:val="AERtable-numbers"/>
        <w:tblW w:w="0" w:type="auto"/>
        <w:tblLook w:val="04A0"/>
      </w:tblPr>
      <w:tblGrid>
        <w:gridCol w:w="3652"/>
        <w:gridCol w:w="1382"/>
        <w:gridCol w:w="1382"/>
        <w:gridCol w:w="1382"/>
        <w:gridCol w:w="1382"/>
      </w:tblGrid>
      <w:tr w:rsidR="00AD12FE" w:rsidTr="00D0040B">
        <w:trPr>
          <w:cnfStyle w:val="100000000000"/>
        </w:trPr>
        <w:tc>
          <w:tcPr>
            <w:cnfStyle w:val="001000000000"/>
            <w:tcW w:w="3652" w:type="dxa"/>
          </w:tcPr>
          <w:p w:rsidR="00AD12FE" w:rsidRDefault="00AD12FE" w:rsidP="00AD12FE">
            <w:pPr>
              <w:pStyle w:val="AERbodytext"/>
              <w:numPr>
                <w:ilvl w:val="0"/>
                <w:numId w:val="13"/>
              </w:numPr>
            </w:pPr>
          </w:p>
        </w:tc>
        <w:tc>
          <w:tcPr>
            <w:tcW w:w="1382" w:type="dxa"/>
          </w:tcPr>
          <w:p w:rsidR="00AD12FE" w:rsidRPr="00AD12FE" w:rsidRDefault="00AD12FE" w:rsidP="00AD12FE">
            <w:pPr>
              <w:pStyle w:val="AERtabletextright"/>
              <w:cnfStyle w:val="100000000000"/>
            </w:pPr>
            <w:r w:rsidRPr="008A072D">
              <w:t>2014–1</w:t>
            </w:r>
            <w:r w:rsidRPr="00AD12FE">
              <w:t>5</w:t>
            </w:r>
          </w:p>
        </w:tc>
        <w:tc>
          <w:tcPr>
            <w:tcW w:w="1382" w:type="dxa"/>
          </w:tcPr>
          <w:p w:rsidR="00AD12FE" w:rsidRPr="00AD12FE" w:rsidRDefault="00AD12FE" w:rsidP="00AD12FE">
            <w:pPr>
              <w:pStyle w:val="AERtabletextright"/>
              <w:cnfStyle w:val="100000000000"/>
            </w:pPr>
            <w:r w:rsidRPr="008A072D">
              <w:t>201</w:t>
            </w:r>
            <w:r w:rsidRPr="00AD12FE">
              <w:t>5–16</w:t>
            </w:r>
          </w:p>
        </w:tc>
        <w:tc>
          <w:tcPr>
            <w:tcW w:w="1382" w:type="dxa"/>
          </w:tcPr>
          <w:p w:rsidR="00AD12FE" w:rsidRPr="00AD12FE" w:rsidRDefault="00AD12FE" w:rsidP="00AD12FE">
            <w:pPr>
              <w:pStyle w:val="AERtabletextright"/>
              <w:cnfStyle w:val="100000000000"/>
            </w:pPr>
            <w:r w:rsidRPr="008A072D">
              <w:t>201</w:t>
            </w:r>
            <w:r w:rsidRPr="00AD12FE">
              <w:t>6–17</w:t>
            </w:r>
          </w:p>
        </w:tc>
        <w:tc>
          <w:tcPr>
            <w:tcW w:w="1382" w:type="dxa"/>
          </w:tcPr>
          <w:p w:rsidR="00AD12FE" w:rsidRPr="00AD12FE" w:rsidRDefault="00AD12FE" w:rsidP="00AD12FE">
            <w:pPr>
              <w:pStyle w:val="AERtabletextright"/>
              <w:cnfStyle w:val="100000000000"/>
            </w:pPr>
            <w:r>
              <w:t>Tota</w:t>
            </w:r>
            <w:r w:rsidRPr="00AD12FE">
              <w:t>l</w:t>
            </w:r>
          </w:p>
        </w:tc>
      </w:tr>
      <w:tr w:rsidR="00AD12FE" w:rsidTr="00D0040B">
        <w:tc>
          <w:tcPr>
            <w:cnfStyle w:val="001000000000"/>
            <w:tcW w:w="3652" w:type="dxa"/>
          </w:tcPr>
          <w:p w:rsidR="00AD12FE" w:rsidRPr="00765D2B" w:rsidRDefault="00AD12FE" w:rsidP="00AD12FE">
            <w:pPr>
              <w:pStyle w:val="AERbodytext"/>
              <w:numPr>
                <w:ilvl w:val="0"/>
                <w:numId w:val="13"/>
              </w:numPr>
            </w:pPr>
            <w:r w:rsidRPr="00765D2B">
              <w:t>CBD rebuilds</w:t>
            </w:r>
          </w:p>
        </w:tc>
        <w:tc>
          <w:tcPr>
            <w:tcW w:w="1382" w:type="dxa"/>
          </w:tcPr>
          <w:p w:rsidR="00AD12FE" w:rsidRPr="00AD12FE" w:rsidRDefault="00AD12FE" w:rsidP="00AD12FE">
            <w:pPr>
              <w:pStyle w:val="AERtabletextright"/>
              <w:cnfStyle w:val="000000000000"/>
            </w:pPr>
            <w:r>
              <w:t>65.7</w:t>
            </w:r>
          </w:p>
        </w:tc>
        <w:tc>
          <w:tcPr>
            <w:tcW w:w="1382" w:type="dxa"/>
          </w:tcPr>
          <w:p w:rsidR="00AD12FE" w:rsidRPr="00AD12FE" w:rsidRDefault="00AD12FE" w:rsidP="00AD12FE">
            <w:pPr>
              <w:pStyle w:val="AERtabletextright"/>
              <w:cnfStyle w:val="000000000000"/>
            </w:pPr>
            <w:r>
              <w:t>58.3</w:t>
            </w:r>
          </w:p>
        </w:tc>
        <w:tc>
          <w:tcPr>
            <w:tcW w:w="1382" w:type="dxa"/>
          </w:tcPr>
          <w:p w:rsidR="00AD12FE" w:rsidRPr="00AD12FE" w:rsidRDefault="00AD12FE" w:rsidP="00AD12FE">
            <w:pPr>
              <w:pStyle w:val="AERtabletextright"/>
              <w:cnfStyle w:val="000000000000"/>
            </w:pPr>
            <w:r>
              <w:t>61.9</w:t>
            </w:r>
          </w:p>
        </w:tc>
        <w:tc>
          <w:tcPr>
            <w:tcW w:w="1382" w:type="dxa"/>
          </w:tcPr>
          <w:p w:rsidR="00AD12FE" w:rsidRPr="00AD12FE" w:rsidRDefault="00AD12FE" w:rsidP="00AD12FE">
            <w:pPr>
              <w:pStyle w:val="AERtabletextright"/>
              <w:cnfStyle w:val="000000000000"/>
            </w:pPr>
            <w:r>
              <w:t>185.8</w:t>
            </w:r>
          </w:p>
        </w:tc>
      </w:tr>
      <w:tr w:rsidR="00AD12FE" w:rsidTr="00D0040B">
        <w:trPr>
          <w:cnfStyle w:val="000000010000"/>
        </w:trPr>
        <w:tc>
          <w:tcPr>
            <w:cnfStyle w:val="001000000000"/>
            <w:tcW w:w="3652" w:type="dxa"/>
          </w:tcPr>
          <w:p w:rsidR="00AD12FE" w:rsidRPr="00765D2B" w:rsidRDefault="00AD12FE" w:rsidP="00AD12FE">
            <w:pPr>
              <w:pStyle w:val="AERbodytext"/>
              <w:numPr>
                <w:ilvl w:val="0"/>
                <w:numId w:val="13"/>
              </w:numPr>
            </w:pPr>
            <w:r w:rsidRPr="00765D2B">
              <w:t>Major station</w:t>
            </w:r>
            <w:r>
              <w:t>s replacement</w:t>
            </w:r>
          </w:p>
        </w:tc>
        <w:tc>
          <w:tcPr>
            <w:tcW w:w="1382" w:type="dxa"/>
          </w:tcPr>
          <w:p w:rsidR="00AD12FE" w:rsidRPr="00AD12FE" w:rsidRDefault="00AD12FE" w:rsidP="00AD12FE">
            <w:pPr>
              <w:pStyle w:val="AERtabletextright"/>
              <w:cnfStyle w:val="000000010000"/>
            </w:pPr>
            <w:r>
              <w:t>32.8</w:t>
            </w:r>
          </w:p>
        </w:tc>
        <w:tc>
          <w:tcPr>
            <w:tcW w:w="1382" w:type="dxa"/>
          </w:tcPr>
          <w:p w:rsidR="00AD12FE" w:rsidRPr="00AD12FE" w:rsidRDefault="00AD12FE" w:rsidP="00AD12FE">
            <w:pPr>
              <w:pStyle w:val="AERtabletextright"/>
              <w:cnfStyle w:val="000000010000"/>
            </w:pPr>
            <w:r>
              <w:t>52.5</w:t>
            </w:r>
          </w:p>
        </w:tc>
        <w:tc>
          <w:tcPr>
            <w:tcW w:w="1382" w:type="dxa"/>
          </w:tcPr>
          <w:p w:rsidR="00AD12FE" w:rsidRPr="00AD12FE" w:rsidRDefault="00AD12FE" w:rsidP="00AD12FE">
            <w:pPr>
              <w:pStyle w:val="AERtabletextright"/>
              <w:cnfStyle w:val="000000010000"/>
            </w:pPr>
            <w:r>
              <w:t>75.3</w:t>
            </w:r>
          </w:p>
        </w:tc>
        <w:tc>
          <w:tcPr>
            <w:tcW w:w="1382" w:type="dxa"/>
          </w:tcPr>
          <w:p w:rsidR="00AD12FE" w:rsidRPr="00AD12FE" w:rsidRDefault="00AD12FE" w:rsidP="00AD12FE">
            <w:pPr>
              <w:pStyle w:val="AERtabletextright"/>
              <w:cnfStyle w:val="000000010000"/>
            </w:pPr>
            <w:r>
              <w:t>160.7</w:t>
            </w:r>
          </w:p>
        </w:tc>
      </w:tr>
      <w:tr w:rsidR="00AD12FE" w:rsidTr="00D0040B">
        <w:tc>
          <w:tcPr>
            <w:cnfStyle w:val="001000000000"/>
            <w:tcW w:w="3652" w:type="dxa"/>
          </w:tcPr>
          <w:p w:rsidR="00AD12FE" w:rsidRPr="00765D2B" w:rsidRDefault="00AD12FE" w:rsidP="00AD12FE">
            <w:pPr>
              <w:pStyle w:val="AERbodytext"/>
              <w:numPr>
                <w:ilvl w:val="0"/>
                <w:numId w:val="13"/>
              </w:numPr>
            </w:pPr>
            <w:r w:rsidRPr="00765D2B">
              <w:t>Asset replacement</w:t>
            </w:r>
          </w:p>
        </w:tc>
        <w:tc>
          <w:tcPr>
            <w:tcW w:w="1382" w:type="dxa"/>
          </w:tcPr>
          <w:p w:rsidR="00AD12FE" w:rsidRPr="00AD12FE" w:rsidRDefault="00AD12FE" w:rsidP="00AD12FE">
            <w:pPr>
              <w:pStyle w:val="AERtabletextright"/>
              <w:cnfStyle w:val="000000000000"/>
            </w:pPr>
            <w:r>
              <w:t>38.2</w:t>
            </w:r>
          </w:p>
        </w:tc>
        <w:tc>
          <w:tcPr>
            <w:tcW w:w="1382" w:type="dxa"/>
          </w:tcPr>
          <w:p w:rsidR="00AD12FE" w:rsidRPr="00AD12FE" w:rsidRDefault="00AD12FE" w:rsidP="00AD12FE">
            <w:pPr>
              <w:pStyle w:val="AERtabletextright"/>
              <w:cnfStyle w:val="000000000000"/>
            </w:pPr>
            <w:r>
              <w:t>38.8</w:t>
            </w:r>
          </w:p>
        </w:tc>
        <w:tc>
          <w:tcPr>
            <w:tcW w:w="1382" w:type="dxa"/>
          </w:tcPr>
          <w:p w:rsidR="00AD12FE" w:rsidRPr="00AD12FE" w:rsidRDefault="00AD12FE" w:rsidP="00AD12FE">
            <w:pPr>
              <w:pStyle w:val="AERtabletextright"/>
              <w:cnfStyle w:val="000000000000"/>
            </w:pPr>
            <w:r>
              <w:t>44.1</w:t>
            </w:r>
          </w:p>
        </w:tc>
        <w:tc>
          <w:tcPr>
            <w:tcW w:w="1382" w:type="dxa"/>
          </w:tcPr>
          <w:p w:rsidR="00AD12FE" w:rsidRPr="00AD12FE" w:rsidRDefault="00AD12FE" w:rsidP="00AD12FE">
            <w:pPr>
              <w:pStyle w:val="AERtabletextright"/>
              <w:cnfStyle w:val="000000000000"/>
            </w:pPr>
            <w:r>
              <w:t>121.1</w:t>
            </w:r>
          </w:p>
        </w:tc>
      </w:tr>
      <w:tr w:rsidR="00AD12FE" w:rsidTr="00D0040B">
        <w:trPr>
          <w:cnfStyle w:val="000000010000"/>
        </w:trPr>
        <w:tc>
          <w:tcPr>
            <w:cnfStyle w:val="001000000000"/>
            <w:tcW w:w="3652" w:type="dxa"/>
          </w:tcPr>
          <w:p w:rsidR="00AD12FE" w:rsidRPr="00765D2B" w:rsidRDefault="00AD12FE" w:rsidP="00AD12FE">
            <w:pPr>
              <w:pStyle w:val="AERbodytext"/>
              <w:numPr>
                <w:ilvl w:val="0"/>
                <w:numId w:val="13"/>
              </w:numPr>
            </w:pPr>
            <w:r w:rsidRPr="00765D2B">
              <w:t>Safety and compliance</w:t>
            </w:r>
          </w:p>
        </w:tc>
        <w:tc>
          <w:tcPr>
            <w:tcW w:w="1382" w:type="dxa"/>
          </w:tcPr>
          <w:p w:rsidR="00AD12FE" w:rsidRPr="00AD12FE" w:rsidRDefault="00AD12FE" w:rsidP="00AD12FE">
            <w:pPr>
              <w:pStyle w:val="AERtabletextright"/>
              <w:cnfStyle w:val="000000010000"/>
            </w:pPr>
            <w:r>
              <w:t>16.3</w:t>
            </w:r>
          </w:p>
        </w:tc>
        <w:tc>
          <w:tcPr>
            <w:tcW w:w="1382" w:type="dxa"/>
          </w:tcPr>
          <w:p w:rsidR="00AD12FE" w:rsidRPr="00AD12FE" w:rsidRDefault="00AD12FE" w:rsidP="00AD12FE">
            <w:pPr>
              <w:pStyle w:val="AERtabletextright"/>
              <w:cnfStyle w:val="000000010000"/>
            </w:pPr>
            <w:r>
              <w:t>14.9</w:t>
            </w:r>
          </w:p>
        </w:tc>
        <w:tc>
          <w:tcPr>
            <w:tcW w:w="1382" w:type="dxa"/>
          </w:tcPr>
          <w:p w:rsidR="00AD12FE" w:rsidRPr="00AD12FE" w:rsidRDefault="00AD12FE" w:rsidP="00AD12FE">
            <w:pPr>
              <w:pStyle w:val="AERtabletextright"/>
              <w:cnfStyle w:val="000000010000"/>
            </w:pPr>
            <w:r>
              <w:t>13.5</w:t>
            </w:r>
          </w:p>
        </w:tc>
        <w:tc>
          <w:tcPr>
            <w:tcW w:w="1382" w:type="dxa"/>
          </w:tcPr>
          <w:p w:rsidR="00AD12FE" w:rsidRPr="00AD12FE" w:rsidRDefault="00AD12FE" w:rsidP="00AD12FE">
            <w:pPr>
              <w:pStyle w:val="AERtabletextright"/>
              <w:cnfStyle w:val="000000010000"/>
            </w:pPr>
            <w:r>
              <w:t>44.7</w:t>
            </w:r>
          </w:p>
        </w:tc>
      </w:tr>
      <w:tr w:rsidR="00AD12FE" w:rsidTr="00D0040B">
        <w:tc>
          <w:tcPr>
            <w:cnfStyle w:val="001000000000"/>
            <w:tcW w:w="3652" w:type="dxa"/>
          </w:tcPr>
          <w:p w:rsidR="00AD12FE" w:rsidRPr="00765D2B" w:rsidRDefault="00AD12FE" w:rsidP="00AD12FE">
            <w:pPr>
              <w:pStyle w:val="AERbodytext"/>
              <w:numPr>
                <w:ilvl w:val="0"/>
                <w:numId w:val="13"/>
              </w:numPr>
            </w:pPr>
            <w:r w:rsidRPr="00765D2B">
              <w:t>Non system</w:t>
            </w:r>
          </w:p>
        </w:tc>
        <w:tc>
          <w:tcPr>
            <w:tcW w:w="1382" w:type="dxa"/>
          </w:tcPr>
          <w:p w:rsidR="00AD12FE" w:rsidRPr="00AD12FE" w:rsidRDefault="00AD12FE" w:rsidP="00AD12FE">
            <w:pPr>
              <w:pStyle w:val="AERtabletextright"/>
              <w:cnfStyle w:val="000000000000"/>
            </w:pPr>
            <w:r>
              <w:t>25.4</w:t>
            </w:r>
          </w:p>
        </w:tc>
        <w:tc>
          <w:tcPr>
            <w:tcW w:w="1382" w:type="dxa"/>
          </w:tcPr>
          <w:p w:rsidR="00AD12FE" w:rsidRPr="00AD12FE" w:rsidRDefault="00AD12FE" w:rsidP="00AD12FE">
            <w:pPr>
              <w:pStyle w:val="AERtabletextright"/>
              <w:cnfStyle w:val="000000000000"/>
            </w:pPr>
            <w:r>
              <w:t>19.4</w:t>
            </w:r>
          </w:p>
        </w:tc>
        <w:tc>
          <w:tcPr>
            <w:tcW w:w="1382" w:type="dxa"/>
          </w:tcPr>
          <w:p w:rsidR="00AD12FE" w:rsidRPr="00AD12FE" w:rsidRDefault="00AD12FE" w:rsidP="00AD12FE">
            <w:pPr>
              <w:pStyle w:val="AERtabletextright"/>
              <w:cnfStyle w:val="000000000000"/>
            </w:pPr>
            <w:r>
              <w:t>17.8</w:t>
            </w:r>
          </w:p>
        </w:tc>
        <w:tc>
          <w:tcPr>
            <w:tcW w:w="1382" w:type="dxa"/>
          </w:tcPr>
          <w:p w:rsidR="00AD12FE" w:rsidRPr="00AD12FE" w:rsidRDefault="00AD12FE" w:rsidP="00AD12FE">
            <w:pPr>
              <w:pStyle w:val="AERtabletextright"/>
              <w:cnfStyle w:val="000000000000"/>
            </w:pPr>
            <w:r>
              <w:t>62.7</w:t>
            </w:r>
          </w:p>
        </w:tc>
      </w:tr>
      <w:tr w:rsidR="00AD12FE" w:rsidTr="00D0040B">
        <w:trPr>
          <w:cnfStyle w:val="000000010000"/>
        </w:trPr>
        <w:tc>
          <w:tcPr>
            <w:cnfStyle w:val="001000000000"/>
            <w:tcW w:w="3652" w:type="dxa"/>
          </w:tcPr>
          <w:p w:rsidR="00AD12FE" w:rsidRPr="00765D2B" w:rsidRDefault="00AD12FE" w:rsidP="00AD12FE">
            <w:pPr>
              <w:pStyle w:val="AERbodytext"/>
              <w:numPr>
                <w:ilvl w:val="0"/>
                <w:numId w:val="13"/>
              </w:numPr>
            </w:pPr>
            <w:r w:rsidRPr="00765D2B">
              <w:t>Total</w:t>
            </w:r>
          </w:p>
        </w:tc>
        <w:tc>
          <w:tcPr>
            <w:tcW w:w="1382" w:type="dxa"/>
          </w:tcPr>
          <w:p w:rsidR="00AD12FE" w:rsidRPr="00AD12FE" w:rsidRDefault="00AD12FE" w:rsidP="00AD12FE">
            <w:pPr>
              <w:pStyle w:val="AERtabletextright"/>
              <w:cnfStyle w:val="000000010000"/>
            </w:pPr>
            <w:r>
              <w:t>178.5</w:t>
            </w:r>
          </w:p>
        </w:tc>
        <w:tc>
          <w:tcPr>
            <w:tcW w:w="1382" w:type="dxa"/>
          </w:tcPr>
          <w:p w:rsidR="00AD12FE" w:rsidRPr="00AD12FE" w:rsidRDefault="00AD12FE" w:rsidP="00AD12FE">
            <w:pPr>
              <w:pStyle w:val="AERtabletextright"/>
              <w:cnfStyle w:val="000000010000"/>
            </w:pPr>
            <w:r>
              <w:t>183.9</w:t>
            </w:r>
          </w:p>
        </w:tc>
        <w:tc>
          <w:tcPr>
            <w:tcW w:w="1382" w:type="dxa"/>
          </w:tcPr>
          <w:p w:rsidR="00AD12FE" w:rsidRPr="00AD12FE" w:rsidRDefault="00AD12FE" w:rsidP="00AD12FE">
            <w:pPr>
              <w:pStyle w:val="AERtabletextright"/>
              <w:cnfStyle w:val="000000010000"/>
            </w:pPr>
            <w:r>
              <w:t>212.6</w:t>
            </w:r>
          </w:p>
        </w:tc>
        <w:tc>
          <w:tcPr>
            <w:tcW w:w="1382" w:type="dxa"/>
          </w:tcPr>
          <w:p w:rsidR="00AD12FE" w:rsidRPr="00AD12FE" w:rsidRDefault="00AD12FE" w:rsidP="00AD12FE">
            <w:pPr>
              <w:pStyle w:val="AERtabletextright"/>
              <w:cnfStyle w:val="000000010000"/>
            </w:pPr>
            <w:r>
              <w:t>575.0</w:t>
            </w:r>
          </w:p>
        </w:tc>
      </w:tr>
    </w:tbl>
    <w:p w:rsidR="00AD12FE" w:rsidRDefault="00AD12FE" w:rsidP="00AD12FE">
      <w:pPr>
        <w:pStyle w:val="AERtablesource"/>
      </w:pPr>
      <w:r>
        <w:t>Source:</w:t>
      </w:r>
      <w:r>
        <w:tab/>
        <w:t>SP AusNet's revenue proposal, p. 84.</w:t>
      </w:r>
    </w:p>
    <w:p w:rsidR="00AD12FE" w:rsidRDefault="00AD12FE" w:rsidP="00AD12FE">
      <w:pPr>
        <w:pStyle w:val="AERbodytext"/>
        <w:numPr>
          <w:ilvl w:val="0"/>
          <w:numId w:val="13"/>
        </w:numPr>
      </w:pPr>
      <w:r>
        <w:t>A feature of SP AusNet's forecast capex is the significant expenditure on 'CBD rebuilds'. This category is dominated by the rebuilding and refurbishment of two terminal stations, Richmond, $81 million ($2013–14), and West Melbourne, $108 million ($2013–14). When 'CBD rebuilds' is included, the forecast capex is on average 46 per cent per annum higher than capex for the current regulatory control period. If 'CBD rebuilds' is excluded, the average annual increase is 7 per cent.</w:t>
      </w:r>
    </w:p>
    <w:p w:rsidR="00AD12FE" w:rsidRDefault="00AD12FE" w:rsidP="00AD12FE">
      <w:pPr>
        <w:pStyle w:val="Heading3"/>
      </w:pPr>
      <w:r>
        <w:t>SP AusNet’s historical capex</w:t>
      </w:r>
    </w:p>
    <w:p w:rsidR="00AD12FE" w:rsidRDefault="00876FFF" w:rsidP="00AD12FE">
      <w:pPr>
        <w:pStyle w:val="AERbodytext"/>
        <w:numPr>
          <w:ilvl w:val="0"/>
          <w:numId w:val="13"/>
        </w:numPr>
      </w:pPr>
      <w:r>
        <w:fldChar w:fldCharType="begin"/>
      </w:r>
      <w:r w:rsidR="00F65B4D">
        <w:instrText xml:space="preserve"> REF _Ref353285871 \h </w:instrText>
      </w:r>
      <w:r>
        <w:fldChar w:fldCharType="separate"/>
      </w:r>
      <w:r w:rsidR="003F1C4B">
        <w:t xml:space="preserve">Figure </w:t>
      </w:r>
      <w:r w:rsidR="003F1C4B">
        <w:rPr>
          <w:noProof/>
        </w:rPr>
        <w:t>3</w:t>
      </w:r>
      <w:r w:rsidR="003F1C4B">
        <w:t>.</w:t>
      </w:r>
      <w:r w:rsidR="003F1C4B">
        <w:rPr>
          <w:noProof/>
        </w:rPr>
        <w:t>4</w:t>
      </w:r>
      <w:r>
        <w:fldChar w:fldCharType="end"/>
      </w:r>
      <w:r w:rsidR="00F65B4D">
        <w:t xml:space="preserve"> </w:t>
      </w:r>
      <w:r w:rsidR="00AD12FE">
        <w:t>shows SP AusNe</w:t>
      </w:r>
      <w:r w:rsidR="00594E19">
        <w:t>t's historical capex compared with</w:t>
      </w:r>
      <w:r w:rsidR="00AD12FE">
        <w:t xml:space="preserve"> the approved capex allowance. </w:t>
      </w:r>
    </w:p>
    <w:p w:rsidR="00AD12FE" w:rsidRDefault="00AD12FE" w:rsidP="00AD12FE">
      <w:pPr>
        <w:pStyle w:val="Caption"/>
      </w:pPr>
      <w:bookmarkStart w:id="39" w:name="_Ref353285871"/>
      <w:r>
        <w:t xml:space="preserve">Figure </w:t>
      </w:r>
      <w:r w:rsidR="00876FFF">
        <w:fldChar w:fldCharType="begin"/>
      </w:r>
      <w:r w:rsidR="00073991">
        <w:instrText xml:space="preserve"> STYLEREF 1 \s </w:instrText>
      </w:r>
      <w:r w:rsidR="00876FFF">
        <w:fldChar w:fldCharType="separate"/>
      </w:r>
      <w:r w:rsidR="003F1C4B">
        <w:rPr>
          <w:noProof/>
        </w:rPr>
        <w:t>3</w:t>
      </w:r>
      <w:r w:rsidR="00876FFF">
        <w:fldChar w:fldCharType="end"/>
      </w:r>
      <w:r w:rsidR="006453C2">
        <w:t>.</w:t>
      </w:r>
      <w:r w:rsidR="00876FFF">
        <w:fldChar w:fldCharType="begin"/>
      </w:r>
      <w:r w:rsidR="006453C2">
        <w:instrText xml:space="preserve"> SEQ Figure \* ARABIC \s 1 </w:instrText>
      </w:r>
      <w:r w:rsidR="00876FFF">
        <w:fldChar w:fldCharType="separate"/>
      </w:r>
      <w:r w:rsidR="003F1C4B">
        <w:rPr>
          <w:noProof/>
        </w:rPr>
        <w:t>4</w:t>
      </w:r>
      <w:r w:rsidR="00876FFF">
        <w:fldChar w:fldCharType="end"/>
      </w:r>
      <w:bookmarkEnd w:id="39"/>
      <w:r>
        <w:tab/>
        <w:t>SP AusNet's actual capex and AER approved capex allowance</w:t>
      </w:r>
    </w:p>
    <w:p w:rsidR="00AD12FE" w:rsidRPr="00AD12FE" w:rsidRDefault="00AD12FE" w:rsidP="00AD12FE">
      <w:pPr>
        <w:pStyle w:val="AERtablesource"/>
      </w:pPr>
      <w:r w:rsidRPr="00AD12FE">
        <w:rPr>
          <w:noProof/>
          <w:lang w:eastAsia="en-AU"/>
        </w:rPr>
        <w:drawing>
          <wp:inline distT="0" distB="0" distL="0" distR="0">
            <wp:extent cx="5726473" cy="3649648"/>
            <wp:effectExtent l="19050" t="0" r="7577"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731510" cy="3652858"/>
                    </a:xfrm>
                    <a:prstGeom prst="rect">
                      <a:avLst/>
                    </a:prstGeom>
                    <a:noFill/>
                    <a:ln w="9525">
                      <a:noFill/>
                      <a:miter lim="800000"/>
                      <a:headEnd/>
                      <a:tailEnd/>
                    </a:ln>
                  </pic:spPr>
                </pic:pic>
              </a:graphicData>
            </a:graphic>
          </wp:inline>
        </w:drawing>
      </w:r>
      <w:r w:rsidRPr="00AD12FE">
        <w:t xml:space="preserve"> Source: SP AusNet, </w:t>
      </w:r>
      <w:r w:rsidRPr="00AD12FE">
        <w:rPr>
          <w:rStyle w:val="AERtextitalic"/>
        </w:rPr>
        <w:t>Revenue proposal</w:t>
      </w:r>
      <w:r w:rsidRPr="00AD12FE">
        <w:t xml:space="preserve">, Appendix A, Cost information templates; AER analysis. </w:t>
      </w:r>
    </w:p>
    <w:p w:rsidR="00AD12FE" w:rsidRDefault="00AD12FE" w:rsidP="00AD12FE">
      <w:pPr>
        <w:pStyle w:val="AERbodytext"/>
        <w:numPr>
          <w:ilvl w:val="0"/>
          <w:numId w:val="13"/>
        </w:numPr>
      </w:pPr>
      <w:r>
        <w:t xml:space="preserve">As can be seen from Figure 3.3, SP AusNet’s actual and estimated capex in the current regulatory control period is less than both its forecast capex in its </w:t>
      </w:r>
      <w:r w:rsidR="00594E19">
        <w:t xml:space="preserve">2008–14 </w:t>
      </w:r>
      <w:r>
        <w:t>revised revenue proposal and the AER’s approved capex allowance. SP AusNet underspent approved capex allowance by about $120 million ($2013–14) or 13 per cent. SP AusNet’s reasons for the underspend are set out in s. 3.3.1 of its revenue proposal. They, include:</w:t>
      </w:r>
    </w:p>
    <w:p w:rsidR="00AD12FE" w:rsidRDefault="00AD12FE" w:rsidP="00AD12FE">
      <w:pPr>
        <w:pStyle w:val="AERbulletlistfirststyle"/>
      </w:pPr>
      <w:r>
        <w:t>deferral of completion of the Richmond terminal station</w:t>
      </w:r>
    </w:p>
    <w:p w:rsidR="00AD12FE" w:rsidRDefault="00AD12FE" w:rsidP="00AD12FE">
      <w:pPr>
        <w:pStyle w:val="AERbulletlistfirststyle"/>
      </w:pPr>
      <w:r>
        <w:t>staged completion of the components of some major stations</w:t>
      </w:r>
    </w:p>
    <w:p w:rsidR="00AD12FE" w:rsidRDefault="00AD12FE" w:rsidP="00AD12FE">
      <w:pPr>
        <w:pStyle w:val="AERbulletlistfirststyle"/>
      </w:pPr>
      <w:r>
        <w:t>re-prioritisation of the Hazelwood Power stations.</w:t>
      </w:r>
      <w:r>
        <w:rPr>
          <w:rStyle w:val="FootnoteReference"/>
        </w:rPr>
        <w:footnoteReference w:id="28"/>
      </w:r>
    </w:p>
    <w:p w:rsidR="00AD12FE" w:rsidRDefault="00AD12FE" w:rsidP="00AD12FE">
      <w:pPr>
        <w:pStyle w:val="AERbodytext"/>
        <w:numPr>
          <w:ilvl w:val="0"/>
          <w:numId w:val="13"/>
        </w:numPr>
      </w:pPr>
      <w:r>
        <w:t xml:space="preserve">For example deferring completion of the Richmond terminal station rebuild into the </w:t>
      </w:r>
      <w:r w:rsidRPr="000B0D1F">
        <w:t>2014–17 regulatory control period</w:t>
      </w:r>
      <w:r>
        <w:t xml:space="preserve"> means SP AusNet will spend about half of the $96 million ($ 2007–08) we approved for that project.</w:t>
      </w:r>
    </w:p>
    <w:p w:rsidR="00AD12FE" w:rsidRDefault="00AD12FE" w:rsidP="00AD12FE">
      <w:pPr>
        <w:pStyle w:val="AERbodytext"/>
        <w:numPr>
          <w:ilvl w:val="0"/>
          <w:numId w:val="13"/>
        </w:numPr>
      </w:pPr>
      <w:r>
        <w:t>Unexpected capital requirements and upward cost pressures partially offset the capex underspend.</w:t>
      </w:r>
      <w:r>
        <w:rPr>
          <w:rStyle w:val="FootnoteReference"/>
        </w:rPr>
        <w:footnoteReference w:id="29"/>
      </w:r>
    </w:p>
    <w:p w:rsidR="00AD12FE" w:rsidRDefault="00AD12FE" w:rsidP="00AD12FE">
      <w:pPr>
        <w:pStyle w:val="AERrevisionbox"/>
        <w:numPr>
          <w:ilvl w:val="0"/>
          <w:numId w:val="13"/>
        </w:numPr>
      </w:pPr>
      <w:r w:rsidRPr="00680495">
        <w:rPr>
          <w:rStyle w:val="AERtextbold"/>
        </w:rPr>
        <w:t xml:space="preserve">Questions for stakeholders – </w:t>
      </w:r>
      <w:r>
        <w:rPr>
          <w:rStyle w:val="AERtextbold"/>
        </w:rPr>
        <w:t xml:space="preserve">historical capex </w:t>
      </w:r>
    </w:p>
    <w:p w:rsidR="00322BB6" w:rsidRDefault="00AD12FE" w:rsidP="00AD12FE">
      <w:pPr>
        <w:pStyle w:val="AERrevisionbox"/>
        <w:numPr>
          <w:ilvl w:val="0"/>
          <w:numId w:val="13"/>
        </w:numPr>
      </w:pPr>
      <w:r>
        <w:t>Customers are paying for a return on capital and depreciation on the capex tha</w:t>
      </w:r>
      <w:r w:rsidR="006C0F27">
        <w:t>t</w:t>
      </w:r>
      <w:r>
        <w:t xml:space="preserve"> we approved in 2007. As SP AusNet’s capex is less than its approved allowance, the opening regulatory asset base for the </w:t>
      </w:r>
      <w:r w:rsidRPr="000B0D1F">
        <w:t>2014–17 regulatory control period</w:t>
      </w:r>
      <w:r>
        <w:t xml:space="preserve"> will be lower than forecast. This accounts for some of the forecast reduction in price from July 14.</w:t>
      </w:r>
      <w:r w:rsidR="00E16441" w:rsidRPr="00E16441">
        <w:t xml:space="preserve"> </w:t>
      </w:r>
      <w:r>
        <w:t xml:space="preserve">1) </w:t>
      </w:r>
      <w:r w:rsidRPr="000D04F2">
        <w:t>In assessing SP AusNet</w:t>
      </w:r>
      <w:r w:rsidR="00594E19">
        <w:t>'s</w:t>
      </w:r>
      <w:r w:rsidRPr="000D04F2">
        <w:t xml:space="preserve"> forecast capex</w:t>
      </w:r>
      <w:r>
        <w:t xml:space="preserve"> under the NER,</w:t>
      </w:r>
      <w:r w:rsidRPr="000D04F2">
        <w:t xml:space="preserve"> </w:t>
      </w:r>
      <w:r>
        <w:t>we must</w:t>
      </w:r>
      <w:r w:rsidRPr="000D04F2">
        <w:t xml:space="preserve"> have regard to the actual and estimated capex in the current </w:t>
      </w:r>
      <w:r>
        <w:t xml:space="preserve">regulatory control </w:t>
      </w:r>
      <w:r w:rsidRPr="000D04F2">
        <w:t xml:space="preserve">period. </w:t>
      </w:r>
    </w:p>
    <w:p w:rsidR="00AD12FE" w:rsidRPr="003A40D7" w:rsidRDefault="00322BB6" w:rsidP="00AD12FE">
      <w:pPr>
        <w:pStyle w:val="AERrevisionbox"/>
        <w:numPr>
          <w:ilvl w:val="0"/>
          <w:numId w:val="13"/>
        </w:numPr>
      </w:pPr>
      <w:r>
        <w:t xml:space="preserve">1) </w:t>
      </w:r>
      <w:r w:rsidR="00AD12FE">
        <w:t>W</w:t>
      </w:r>
      <w:r w:rsidR="00AD12FE" w:rsidRPr="000D04F2">
        <w:t>hat, if any, conclusions can be drawn from the current period that will assist us in assessing SP AusNet’s forecast capex</w:t>
      </w:r>
      <w:r w:rsidR="00AD12FE">
        <w:t>?</w:t>
      </w:r>
    </w:p>
    <w:p w:rsidR="00AD12FE" w:rsidRDefault="00AD12FE" w:rsidP="00AD12FE">
      <w:pPr>
        <w:pStyle w:val="AERrevisionbox"/>
        <w:numPr>
          <w:ilvl w:val="0"/>
          <w:numId w:val="13"/>
        </w:numPr>
      </w:pPr>
      <w:r>
        <w:t xml:space="preserve">3) </w:t>
      </w:r>
      <w:r w:rsidR="00322BB6">
        <w:t xml:space="preserve">How </w:t>
      </w:r>
      <w:r w:rsidR="00F15317">
        <w:t xml:space="preserve">well </w:t>
      </w:r>
      <w:r w:rsidR="00322BB6">
        <w:t>do you think SP AusNet has explained the reasons for the underspend</w:t>
      </w:r>
      <w:r>
        <w:t>?</w:t>
      </w:r>
      <w:r w:rsidR="00322BB6">
        <w:t xml:space="preserve"> What aspects do you think could be explained further?</w:t>
      </w:r>
    </w:p>
    <w:p w:rsidR="00AD12FE" w:rsidRDefault="00AD12FE" w:rsidP="00AD12FE">
      <w:pPr>
        <w:pStyle w:val="AERrevisionbox"/>
        <w:numPr>
          <w:ilvl w:val="0"/>
          <w:numId w:val="13"/>
        </w:numPr>
      </w:pPr>
      <w:r>
        <w:t xml:space="preserve">4) Has SP AusNet’s capex underspend affected its ability to provide a reliable and safe supply of electricity? (Note: reliability and service standards information is provided in Appendix B). </w:t>
      </w:r>
    </w:p>
    <w:p w:rsidR="00AD12FE" w:rsidRDefault="00AD12FE" w:rsidP="00AD12FE">
      <w:pPr>
        <w:pStyle w:val="Heading3"/>
      </w:pPr>
      <w:r>
        <w:t>Forecast capex</w:t>
      </w:r>
    </w:p>
    <w:p w:rsidR="00AD12FE" w:rsidRDefault="00AD12FE" w:rsidP="00AD12FE">
      <w:pPr>
        <w:pStyle w:val="HeadingBoldBlue"/>
        <w:numPr>
          <w:ilvl w:val="0"/>
          <w:numId w:val="13"/>
        </w:numPr>
      </w:pPr>
      <w:r>
        <w:t>The relevant rules</w:t>
      </w:r>
    </w:p>
    <w:p w:rsidR="00AD12FE" w:rsidRDefault="00AD12FE" w:rsidP="00594E19">
      <w:pPr>
        <w:pStyle w:val="AERbodytext"/>
      </w:pPr>
      <w:r>
        <w:t xml:space="preserve">We must assess SP AusNet's proposed capital expenditure </w:t>
      </w:r>
      <w:r w:rsidRPr="00A70AB5">
        <w:t xml:space="preserve">(capex) </w:t>
      </w:r>
      <w:r w:rsidRPr="00594E19">
        <w:rPr>
          <w:rStyle w:val="AERtextitalic"/>
          <w:i w:val="0"/>
        </w:rPr>
        <w:t>under</w:t>
      </w:r>
      <w:r>
        <w:t xml:space="preserve"> the provisions set out in clause 6A.6.7 of the NER. In drafting your submission, please have regard to these provisions. These provisions state, among other things, that forecast capital expenditure must reasonably reflect the efficient costs that would be incurred by a prudent operator in the circumstances.</w:t>
      </w:r>
    </w:p>
    <w:p w:rsidR="00AD12FE" w:rsidRDefault="00AD12FE" w:rsidP="00AD12FE">
      <w:pPr>
        <w:pStyle w:val="HeadingBoldBlue"/>
        <w:numPr>
          <w:ilvl w:val="0"/>
          <w:numId w:val="13"/>
        </w:numPr>
      </w:pPr>
      <w:r>
        <w:t>Key issues</w:t>
      </w:r>
    </w:p>
    <w:p w:rsidR="00AD12FE" w:rsidRPr="00AD12FE" w:rsidRDefault="00AD12FE" w:rsidP="00AD12FE">
      <w:pPr>
        <w:pStyle w:val="AERbodytext"/>
      </w:pPr>
      <w:r>
        <w:t xml:space="preserve">Key issues relating to SP AusNet’s forecast capex are outlined below. </w:t>
      </w:r>
      <w:r w:rsidRPr="00AD12FE">
        <w:t>Broadly, the AER will be examining the following matters and is interested in your views:</w:t>
      </w:r>
    </w:p>
    <w:p w:rsidR="00AD12FE" w:rsidRDefault="00AD12FE" w:rsidP="00AD12FE">
      <w:pPr>
        <w:pStyle w:val="AERbulletlistfirststyle"/>
      </w:pPr>
      <w:r>
        <w:t xml:space="preserve">SP AusNet’s </w:t>
      </w:r>
      <w:r w:rsidR="006C0F27">
        <w:t xml:space="preserve">asset </w:t>
      </w:r>
      <w:r>
        <w:t>management approach and forecasting methodology</w:t>
      </w:r>
    </w:p>
    <w:p w:rsidR="00AD12FE" w:rsidRDefault="00AD12FE" w:rsidP="00AD12FE">
      <w:pPr>
        <w:pStyle w:val="AERbulletlistfirststyle"/>
      </w:pPr>
      <w:r>
        <w:t>Capex on the rebuild of the Richmond and West Melbourne terminal stations (CBD rebuilds)</w:t>
      </w:r>
    </w:p>
    <w:p w:rsidR="00AD12FE" w:rsidRDefault="00AD12FE" w:rsidP="00AD12FE">
      <w:pPr>
        <w:pStyle w:val="AERbulletlistfirststyle"/>
      </w:pPr>
      <w:r>
        <w:t>Capex on other major stations and other replacement capex</w:t>
      </w:r>
    </w:p>
    <w:p w:rsidR="00AD12FE" w:rsidRDefault="00AD12FE" w:rsidP="00AD12FE">
      <w:pPr>
        <w:pStyle w:val="AERbulletlistfirststyle"/>
      </w:pPr>
      <w:r>
        <w:t>Capex on safety and compliance</w:t>
      </w:r>
    </w:p>
    <w:p w:rsidR="00AD12FE" w:rsidRDefault="00AD12FE" w:rsidP="00AD12FE">
      <w:pPr>
        <w:pStyle w:val="AERbulletlistfirststyle"/>
      </w:pPr>
      <w:r>
        <w:t>Non-system capex</w:t>
      </w:r>
    </w:p>
    <w:p w:rsidR="00AD12FE" w:rsidRDefault="00AD12FE" w:rsidP="00AD12FE">
      <w:pPr>
        <w:pStyle w:val="AERbulletlistfirststyle"/>
      </w:pPr>
      <w:r>
        <w:t>Assumptions and inputs</w:t>
      </w:r>
    </w:p>
    <w:p w:rsidR="00AD12FE" w:rsidRDefault="00AD12FE" w:rsidP="00AD12FE">
      <w:pPr>
        <w:pStyle w:val="HeadingBoldItalic"/>
        <w:numPr>
          <w:ilvl w:val="0"/>
          <w:numId w:val="13"/>
        </w:numPr>
      </w:pPr>
      <w:r>
        <w:t xml:space="preserve">Asset management </w:t>
      </w:r>
    </w:p>
    <w:p w:rsidR="00AD12FE" w:rsidRPr="00AD12FE" w:rsidRDefault="00AD12FE" w:rsidP="00AD12FE">
      <w:pPr>
        <w:pStyle w:val="AERbodytext"/>
      </w:pPr>
      <w:r>
        <w:t>SP AusNet’s asset management approach is set out in s. 2.7 of its revenue proposal and appendix 2A</w:t>
      </w:r>
      <w:r w:rsidRPr="00AD12FE">
        <w:t>. In 2008 SP AusNet became accredited to the British Standards Institution's Publically Available Specification 55 (PAS 55). SP AusNet submitted 'PAS 55 is the internationally recognised standard for the optimised management of physical infrastructure assets to achieve a desired and sustainable outcome.'</w:t>
      </w:r>
      <w:r w:rsidRPr="00AD12FE">
        <w:rPr>
          <w:rStyle w:val="FootnoteReference"/>
        </w:rPr>
        <w:footnoteReference w:id="30"/>
      </w:r>
    </w:p>
    <w:p w:rsidR="00AD12FE" w:rsidRPr="00AD12FE" w:rsidRDefault="00AD12FE" w:rsidP="00AD12FE">
      <w:pPr>
        <w:pStyle w:val="AERbodytext"/>
      </w:pPr>
      <w:r>
        <w:t xml:space="preserve">PAS 55 accreditation is relevant in the context of SP AusNet’s corporate </w:t>
      </w:r>
      <w:r w:rsidRPr="00AD12FE">
        <w:t xml:space="preserve">governance and overall asset management framework. SP AusNet submitted </w:t>
      </w:r>
      <w:r w:rsidR="006C0F27">
        <w:t xml:space="preserve">that </w:t>
      </w:r>
      <w:r w:rsidRPr="00AD12FE">
        <w:t>its ‘prudent decision-making practices are supported by a robust project governance framework which incorporates continuous improvements to ensure projects are delivered at lowest efficient cost’.</w:t>
      </w:r>
      <w:r w:rsidRPr="00AD12FE">
        <w:rPr>
          <w:rStyle w:val="FootnoteReference"/>
        </w:rPr>
        <w:footnoteReference w:id="31"/>
      </w:r>
    </w:p>
    <w:p w:rsidR="00AD12FE" w:rsidRDefault="00AD12FE" w:rsidP="00AD12FE">
      <w:pPr>
        <w:pStyle w:val="AERrevisionbox"/>
        <w:numPr>
          <w:ilvl w:val="0"/>
          <w:numId w:val="13"/>
        </w:numPr>
      </w:pPr>
      <w:r w:rsidRPr="00AD0174">
        <w:rPr>
          <w:rStyle w:val="AERtextbold"/>
        </w:rPr>
        <w:t xml:space="preserve">Questions for stakeholders – </w:t>
      </w:r>
      <w:r>
        <w:rPr>
          <w:rStyle w:val="AERtextbold"/>
        </w:rPr>
        <w:t xml:space="preserve">asset management </w:t>
      </w:r>
    </w:p>
    <w:p w:rsidR="00AD12FE" w:rsidRPr="003A40D7" w:rsidRDefault="00AD12FE" w:rsidP="00AD12FE">
      <w:pPr>
        <w:pStyle w:val="AERrevisionbox"/>
        <w:numPr>
          <w:ilvl w:val="0"/>
          <w:numId w:val="13"/>
        </w:numPr>
      </w:pPr>
      <w:r>
        <w:t>1) Has SP AusNet adequately demonstrated the benefits and outcomes of its asset management framework</w:t>
      </w:r>
      <w:r w:rsidR="006C0F27">
        <w:t xml:space="preserve"> and how these are accounted for in the capex forecast</w:t>
      </w:r>
      <w:r>
        <w:t>?</w:t>
      </w:r>
    </w:p>
    <w:p w:rsidR="00AD12FE" w:rsidRDefault="00AD12FE" w:rsidP="00AD12FE">
      <w:pPr>
        <w:pStyle w:val="HeadingBoldItalic"/>
        <w:numPr>
          <w:ilvl w:val="0"/>
          <w:numId w:val="13"/>
        </w:numPr>
      </w:pPr>
      <w:r>
        <w:t xml:space="preserve">Forecast methodology </w:t>
      </w:r>
    </w:p>
    <w:p w:rsidR="00AD12FE" w:rsidRDefault="00AD12FE" w:rsidP="00AD12FE">
      <w:pPr>
        <w:pStyle w:val="AERbodytext"/>
        <w:numPr>
          <w:ilvl w:val="0"/>
          <w:numId w:val="13"/>
        </w:numPr>
      </w:pPr>
      <w:r>
        <w:t>SP AusNet’s forecasting methodology is set out in s. 4.3 of its revenue proposal. SP AusNet's overall capex forecastin</w:t>
      </w:r>
      <w:r w:rsidR="00594E19">
        <w:t xml:space="preserve">g approach is based on a bottom </w:t>
      </w:r>
      <w:r>
        <w:t xml:space="preserve">up build of individual project costs to form an initial total forecast. Costs are then escalated (or de-escalated) to account for changes in input costs. The </w:t>
      </w:r>
      <w:r w:rsidR="00322BB6">
        <w:t xml:space="preserve">level of </w:t>
      </w:r>
      <w:r>
        <w:t xml:space="preserve">savings from continuous capital project management and governance </w:t>
      </w:r>
      <w:r w:rsidR="00322BB6">
        <w:t xml:space="preserve">improvements </w:t>
      </w:r>
      <w:r>
        <w:t xml:space="preserve">(capex efficiency) is </w:t>
      </w:r>
      <w:r w:rsidR="00322BB6">
        <w:t xml:space="preserve">then </w:t>
      </w:r>
      <w:r>
        <w:t>applied across the capex program to provide the final forecast.</w:t>
      </w:r>
      <w:r>
        <w:rPr>
          <w:rStyle w:val="FootnoteReference"/>
        </w:rPr>
        <w:footnoteReference w:id="32"/>
      </w:r>
    </w:p>
    <w:p w:rsidR="00AD12FE" w:rsidRPr="00A83F68" w:rsidRDefault="00AD12FE" w:rsidP="00AD12FE">
      <w:pPr>
        <w:pStyle w:val="AERbodytext"/>
        <w:numPr>
          <w:ilvl w:val="0"/>
          <w:numId w:val="13"/>
        </w:numPr>
      </w:pPr>
      <w:r>
        <w:t>Individual projects and replacement programs are assessed using economic evaluations. The expected total cost of asset failures, which is a function of consequence and probability, are evaluated. The costs and benefits of alternative feasible options, which address the risk of asset failure, are also evaluated.</w:t>
      </w:r>
      <w:r>
        <w:rPr>
          <w:rStyle w:val="FootnoteReference"/>
        </w:rPr>
        <w:footnoteReference w:id="33"/>
      </w:r>
    </w:p>
    <w:p w:rsidR="00AD12FE" w:rsidRDefault="00AD12FE" w:rsidP="00AD12FE">
      <w:pPr>
        <w:pStyle w:val="AERrevisionbox"/>
        <w:numPr>
          <w:ilvl w:val="0"/>
          <w:numId w:val="13"/>
        </w:numPr>
      </w:pPr>
      <w:r w:rsidRPr="00AD0174">
        <w:rPr>
          <w:rStyle w:val="AERtextbold"/>
        </w:rPr>
        <w:t>Questions for stakeholders –</w:t>
      </w:r>
      <w:r>
        <w:rPr>
          <w:rStyle w:val="AERtextbold"/>
        </w:rPr>
        <w:t xml:space="preserve"> forecasting methodology</w:t>
      </w:r>
    </w:p>
    <w:p w:rsidR="00AD12FE" w:rsidRPr="00AD1AD5" w:rsidRDefault="00AD12FE" w:rsidP="00AD12FE">
      <w:pPr>
        <w:pStyle w:val="AERrevisionbox"/>
        <w:numPr>
          <w:ilvl w:val="0"/>
          <w:numId w:val="13"/>
        </w:numPr>
      </w:pPr>
      <w:r>
        <w:t xml:space="preserve">1) Is SP AusNet’s capex forecasting methodology robust? </w:t>
      </w:r>
    </w:p>
    <w:p w:rsidR="00AD12FE" w:rsidRDefault="00AD12FE" w:rsidP="00AD12FE">
      <w:pPr>
        <w:pStyle w:val="HeadingBoldItalic"/>
        <w:numPr>
          <w:ilvl w:val="0"/>
          <w:numId w:val="13"/>
        </w:numPr>
      </w:pPr>
      <w:r>
        <w:t>CBD rebuilds</w:t>
      </w:r>
    </w:p>
    <w:p w:rsidR="00AD12FE" w:rsidRDefault="00AD12FE" w:rsidP="00AD12FE">
      <w:pPr>
        <w:pStyle w:val="AERbodytext"/>
        <w:numPr>
          <w:ilvl w:val="0"/>
          <w:numId w:val="13"/>
        </w:numPr>
      </w:pPr>
      <w:r w:rsidRPr="00036337">
        <w:t>SP</w:t>
      </w:r>
      <w:r>
        <w:t xml:space="preserve"> AusNet is proposing</w:t>
      </w:r>
      <w:r w:rsidRPr="00036337">
        <w:t xml:space="preserve"> to continue the rebuild of the existing </w:t>
      </w:r>
      <w:r>
        <w:t>Richmond terminal station</w:t>
      </w:r>
      <w:r w:rsidRPr="00DC0523">
        <w:t xml:space="preserve"> to improve network switching flexibility and replace aging equipment on a difficult site. Because of the need to maintain supply until the new equipment is installed SP</w:t>
      </w:r>
      <w:r>
        <w:t xml:space="preserve"> AusNet</w:t>
      </w:r>
      <w:r w:rsidRPr="00DC0523">
        <w:t xml:space="preserve"> propose</w:t>
      </w:r>
      <w:r>
        <w:t>s</w:t>
      </w:r>
      <w:r w:rsidRPr="00DC0523">
        <w:t xml:space="preserve"> constructing new buildings on the site to house new switchgear.</w:t>
      </w:r>
      <w:r>
        <w:rPr>
          <w:rStyle w:val="FootnoteReference"/>
        </w:rPr>
        <w:footnoteReference w:id="34"/>
      </w:r>
      <w:r w:rsidRPr="00DC0523">
        <w:t xml:space="preserve"> </w:t>
      </w:r>
    </w:p>
    <w:p w:rsidR="00AD12FE" w:rsidRDefault="00AD12FE" w:rsidP="00AD12FE">
      <w:pPr>
        <w:pStyle w:val="AERbodytext"/>
        <w:numPr>
          <w:ilvl w:val="0"/>
          <w:numId w:val="13"/>
        </w:numPr>
      </w:pPr>
      <w:r>
        <w:t>The planned rebuild of the West Melbourne terminal station will replace aging assets with modern, safe and more compact equivalents. The station will also be re-designed to accommodate capacity expansion to meet future demand.</w:t>
      </w:r>
      <w:r>
        <w:rPr>
          <w:rStyle w:val="FootnoteReference"/>
        </w:rPr>
        <w:footnoteReference w:id="35"/>
      </w:r>
    </w:p>
    <w:p w:rsidR="00AD12FE" w:rsidRPr="006E5A0B" w:rsidRDefault="00AD12FE" w:rsidP="00AD12FE">
      <w:pPr>
        <w:pStyle w:val="AERbodytext"/>
        <w:numPr>
          <w:ilvl w:val="0"/>
          <w:numId w:val="13"/>
        </w:numPr>
      </w:pPr>
      <w:r>
        <w:t>SP AusNet proposes to use g</w:t>
      </w:r>
      <w:r w:rsidRPr="00DC0523">
        <w:t>as insulated switchgear</w:t>
      </w:r>
      <w:r>
        <w:t xml:space="preserve"> (GIS) instead of air insulated switchgear (AIS) for both of these projects.</w:t>
      </w:r>
      <w:r>
        <w:rPr>
          <w:rStyle w:val="FootnoteReference"/>
        </w:rPr>
        <w:footnoteReference w:id="36"/>
      </w:r>
      <w:r w:rsidRPr="00DC0523">
        <w:t xml:space="preserve"> </w:t>
      </w:r>
      <w:r>
        <w:t xml:space="preserve">GIS </w:t>
      </w:r>
      <w:r w:rsidRPr="00DC0523">
        <w:t>is more costly and must be housed in an enclosed building. However, it is more compact than conventional equipment and may be appropriate in circumstances where space is extremely restricted or specific factors justify the use of this equipment.</w:t>
      </w:r>
    </w:p>
    <w:p w:rsidR="00AD12FE" w:rsidRDefault="00AD12FE" w:rsidP="00AD12FE">
      <w:pPr>
        <w:pStyle w:val="AERrevisionbox"/>
        <w:numPr>
          <w:ilvl w:val="0"/>
          <w:numId w:val="13"/>
        </w:numPr>
      </w:pPr>
      <w:r w:rsidRPr="00680495">
        <w:rPr>
          <w:rStyle w:val="AERtextbold"/>
        </w:rPr>
        <w:t xml:space="preserve">Questions for stakeholders – </w:t>
      </w:r>
      <w:r>
        <w:rPr>
          <w:rStyle w:val="AERtextbold"/>
        </w:rPr>
        <w:t>CBD rebuilds</w:t>
      </w:r>
    </w:p>
    <w:p w:rsidR="00AD12FE" w:rsidRPr="003A40D7" w:rsidRDefault="00AD12FE" w:rsidP="00AD12FE">
      <w:pPr>
        <w:pStyle w:val="AERrevisionbox"/>
        <w:numPr>
          <w:ilvl w:val="0"/>
          <w:numId w:val="13"/>
        </w:numPr>
      </w:pPr>
      <w:r>
        <w:t xml:space="preserve">1) Is the rationale for these two projects </w:t>
      </w:r>
      <w:r w:rsidRPr="00AD0174">
        <w:t>well set out by SP AusNet and persuasive?</w:t>
      </w:r>
      <w:r w:rsidRPr="007D7190">
        <w:t xml:space="preserve"> </w:t>
      </w:r>
    </w:p>
    <w:p w:rsidR="00AD12FE" w:rsidRPr="003A40D7" w:rsidRDefault="00594E19" w:rsidP="00AD12FE">
      <w:pPr>
        <w:pStyle w:val="AERrevisionbox"/>
        <w:numPr>
          <w:ilvl w:val="0"/>
          <w:numId w:val="13"/>
        </w:numPr>
      </w:pPr>
      <w:r>
        <w:t>3</w:t>
      </w:r>
      <w:r w:rsidR="00AD12FE">
        <w:t xml:space="preserve">) </w:t>
      </w:r>
      <w:r w:rsidR="00AD12FE" w:rsidRPr="003A40D7">
        <w:t xml:space="preserve">Are there alternatives which </w:t>
      </w:r>
      <w:r w:rsidR="00AD12FE">
        <w:t>SP AusNet should have considered</w:t>
      </w:r>
      <w:r w:rsidR="00AD12FE" w:rsidRPr="003A40D7">
        <w:t>?</w:t>
      </w:r>
    </w:p>
    <w:p w:rsidR="00AD12FE" w:rsidRDefault="00594E19" w:rsidP="00AD12FE">
      <w:pPr>
        <w:pStyle w:val="AERrevisionbox"/>
        <w:numPr>
          <w:ilvl w:val="0"/>
          <w:numId w:val="13"/>
        </w:numPr>
      </w:pPr>
      <w:r>
        <w:t>4</w:t>
      </w:r>
      <w:r w:rsidR="00AD12FE">
        <w:t xml:space="preserve">) </w:t>
      </w:r>
      <w:r w:rsidR="00AD12FE" w:rsidRPr="003A40D7">
        <w:t>In particular</w:t>
      </w:r>
      <w:r w:rsidR="00AD12FE">
        <w:t>,</w:t>
      </w:r>
      <w:r w:rsidR="00AD12FE" w:rsidRPr="003A40D7">
        <w:t xml:space="preserve"> is the </w:t>
      </w:r>
      <w:r w:rsidR="00AD12FE">
        <w:t xml:space="preserve">proposed </w:t>
      </w:r>
      <w:r w:rsidR="00AD12FE" w:rsidRPr="003A40D7">
        <w:t xml:space="preserve">conversion of the switchgear from air-insulated switchgear to more expensive gas-insulated switchgear </w:t>
      </w:r>
      <w:r w:rsidR="00AD12FE">
        <w:t>justified</w:t>
      </w:r>
      <w:r w:rsidR="00AD12FE" w:rsidRPr="003A40D7">
        <w:t>?</w:t>
      </w:r>
      <w:r w:rsidR="00AD12FE">
        <w:t xml:space="preserve"> What factors justify use of this equipment?</w:t>
      </w:r>
    </w:p>
    <w:p w:rsidR="00AD12FE" w:rsidRDefault="00AD12FE" w:rsidP="00AD12FE">
      <w:pPr>
        <w:pStyle w:val="HeadingBoldItalic"/>
        <w:numPr>
          <w:ilvl w:val="0"/>
          <w:numId w:val="13"/>
        </w:numPr>
      </w:pPr>
      <w:r>
        <w:t>Other major station projects</w:t>
      </w:r>
    </w:p>
    <w:p w:rsidR="00AD12FE" w:rsidRPr="009B7F5B" w:rsidRDefault="00AD12FE" w:rsidP="00AD12FE">
      <w:pPr>
        <w:pStyle w:val="AERbodytext"/>
        <w:numPr>
          <w:ilvl w:val="0"/>
          <w:numId w:val="13"/>
        </w:numPr>
      </w:pPr>
      <w:r>
        <w:t>I</w:t>
      </w:r>
      <w:r w:rsidRPr="009B7F5B">
        <w:t xml:space="preserve">n addition to these major CBD rebuilds, SP AusNet is proposing other </w:t>
      </w:r>
      <w:r>
        <w:t>major rebuilding and refurbishment</w:t>
      </w:r>
      <w:r w:rsidRPr="009B7F5B">
        <w:t xml:space="preserve"> projects</w:t>
      </w:r>
      <w:r>
        <w:t>, totalling $160.7 million ($2013–14)</w:t>
      </w:r>
      <w:r w:rsidRPr="009B7F5B">
        <w:t>.</w:t>
      </w:r>
      <w:r>
        <w:rPr>
          <w:rStyle w:val="FootnoteReference"/>
        </w:rPr>
        <w:footnoteReference w:id="37"/>
      </w:r>
      <w:r>
        <w:t xml:space="preserve"> The key projects are: Yallourn Power Station</w:t>
      </w:r>
      <w:r w:rsidR="00C16061">
        <w:t xml:space="preserve"> circuit breaker replacement</w:t>
      </w:r>
      <w:r>
        <w:t>; South Morang TS transformer replacement; Heatherton Terminal Station Rebuild; Brooklyn Terminal Station CB replacement; Fisherman's Bend Terminal Station; Springvale Terminal Station Redevelopment.</w:t>
      </w:r>
      <w:r>
        <w:rPr>
          <w:rStyle w:val="FootnoteReference"/>
        </w:rPr>
        <w:footnoteReference w:id="38"/>
      </w:r>
      <w:r>
        <w:t xml:space="preserve"> </w:t>
      </w:r>
    </w:p>
    <w:p w:rsidR="00AD12FE" w:rsidRDefault="00AD12FE" w:rsidP="00AD12FE">
      <w:pPr>
        <w:pStyle w:val="HeadingBoldItalic"/>
        <w:numPr>
          <w:ilvl w:val="0"/>
          <w:numId w:val="13"/>
        </w:numPr>
      </w:pPr>
      <w:r>
        <w:t>Asset replacement capex</w:t>
      </w:r>
    </w:p>
    <w:p w:rsidR="00AD12FE" w:rsidRPr="00AD12FE" w:rsidRDefault="00AD12FE" w:rsidP="00AD12FE">
      <w:pPr>
        <w:pStyle w:val="AERbodytext"/>
      </w:pPr>
      <w:r>
        <w:t>SP AusNet is proposing $121.1 million</w:t>
      </w:r>
      <w:r w:rsidRPr="00AD12FE">
        <w:t xml:space="preserve"> ($2013–14) capex on asset replacement to maintain the resilience and reliability of the network and to address operational or asset failure risk. Proposed asset replacement capex is on average $40.4 million ($2013–14) per annum compared with $36.5 million ($2013–14) per annum for the current regulatory control period.</w:t>
      </w:r>
      <w:r w:rsidRPr="00AD12FE">
        <w:rPr>
          <w:rStyle w:val="FootnoteReference"/>
        </w:rPr>
        <w:footnoteReference w:id="39"/>
      </w:r>
    </w:p>
    <w:p w:rsidR="00AD12FE" w:rsidRDefault="00AD12FE" w:rsidP="00AD12FE">
      <w:pPr>
        <w:pStyle w:val="HeadingBoldItalic"/>
        <w:numPr>
          <w:ilvl w:val="0"/>
          <w:numId w:val="13"/>
        </w:numPr>
      </w:pPr>
      <w:r>
        <w:t>Safety and compliance</w:t>
      </w:r>
    </w:p>
    <w:p w:rsidR="00AD12FE" w:rsidRPr="00D66742" w:rsidRDefault="00AD12FE" w:rsidP="00AD12FE">
      <w:pPr>
        <w:pStyle w:val="AERbodytext"/>
        <w:numPr>
          <w:ilvl w:val="0"/>
          <w:numId w:val="13"/>
        </w:numPr>
      </w:pPr>
      <w:r>
        <w:t xml:space="preserve">SP AusNet is proposing $44.8 million ($2013–14) for safety, security and compliance purposes. </w:t>
      </w:r>
      <w:r w:rsidRPr="00D66742">
        <w:t>Proposed capex is on average $</w:t>
      </w:r>
      <w:r>
        <w:t>14.9</w:t>
      </w:r>
      <w:r w:rsidRPr="00D66742">
        <w:t xml:space="preserve"> million </w:t>
      </w:r>
      <w:r>
        <w:t xml:space="preserve">($2013–14) </w:t>
      </w:r>
      <w:r w:rsidRPr="00D66742">
        <w:t>per annum compared with $</w:t>
      </w:r>
      <w:r>
        <w:t>15.6</w:t>
      </w:r>
      <w:r w:rsidRPr="00D66742">
        <w:t xml:space="preserve"> per annum </w:t>
      </w:r>
      <w:r>
        <w:t xml:space="preserve">($2013–14) </w:t>
      </w:r>
      <w:r w:rsidRPr="00D66742">
        <w:t>for the current regulatory control period.</w:t>
      </w:r>
      <w:r>
        <w:rPr>
          <w:rStyle w:val="FootnoteReference"/>
        </w:rPr>
        <w:footnoteReference w:id="40"/>
      </w:r>
    </w:p>
    <w:p w:rsidR="00AD12FE" w:rsidRPr="007C775E" w:rsidRDefault="00AD12FE" w:rsidP="00AD12FE">
      <w:pPr>
        <w:pStyle w:val="HeadingBoldItalic"/>
        <w:numPr>
          <w:ilvl w:val="0"/>
          <w:numId w:val="13"/>
        </w:numPr>
      </w:pPr>
      <w:r>
        <w:t>Non system capex</w:t>
      </w:r>
    </w:p>
    <w:p w:rsidR="00AD12FE" w:rsidRDefault="00AD12FE" w:rsidP="00AD12FE">
      <w:pPr>
        <w:pStyle w:val="AERbodytext"/>
        <w:numPr>
          <w:ilvl w:val="0"/>
          <w:numId w:val="13"/>
        </w:numPr>
      </w:pPr>
      <w:r>
        <w:t xml:space="preserve">SP AusNet </w:t>
      </w:r>
      <w:r w:rsidRPr="00CF1AC2">
        <w:t>is proposing on average annual non-system capex of $20.9</w:t>
      </w:r>
      <w:r>
        <w:t> </w:t>
      </w:r>
      <w:r w:rsidRPr="00CF1AC2">
        <w:t>m</w:t>
      </w:r>
      <w:r>
        <w:t>illion</w:t>
      </w:r>
      <w:r w:rsidRPr="00CF1AC2">
        <w:t xml:space="preserve"> </w:t>
      </w:r>
      <w:r>
        <w:t xml:space="preserve">($2013–14) </w:t>
      </w:r>
      <w:r w:rsidRPr="00CF1AC2">
        <w:t>compared with an annual average capex of $14.7</w:t>
      </w:r>
      <w:r>
        <w:t> </w:t>
      </w:r>
      <w:r w:rsidRPr="00CF1AC2">
        <w:t>m</w:t>
      </w:r>
      <w:r>
        <w:t>illion</w:t>
      </w:r>
      <w:r w:rsidRPr="00CF1AC2">
        <w:t xml:space="preserve"> </w:t>
      </w:r>
      <w:r>
        <w:t xml:space="preserve">($2013–14) </w:t>
      </w:r>
      <w:r w:rsidRPr="00CF1AC2">
        <w:t>over the current regulatory control period.</w:t>
      </w:r>
      <w:r>
        <w:t xml:space="preserve"> T</w:t>
      </w:r>
      <w:r w:rsidRPr="00CF1AC2">
        <w:t xml:space="preserve">otal proposed non-system expenditure </w:t>
      </w:r>
      <w:r>
        <w:t xml:space="preserve">is </w:t>
      </w:r>
      <w:r w:rsidRPr="00CF1AC2">
        <w:t>$62.7</w:t>
      </w:r>
      <w:r>
        <w:t xml:space="preserve"> million ($2013–14), including </w:t>
      </w:r>
      <w:r w:rsidRPr="00CF1AC2">
        <w:t xml:space="preserve">proposed IT expenditure </w:t>
      </w:r>
      <w:r>
        <w:t xml:space="preserve">of </w:t>
      </w:r>
      <w:r w:rsidRPr="00CF1AC2">
        <w:t>$47.9</w:t>
      </w:r>
      <w:r>
        <w:t> million ($2013–14).</w:t>
      </w:r>
      <w:r>
        <w:rPr>
          <w:rStyle w:val="FootnoteReference"/>
        </w:rPr>
        <w:footnoteReference w:id="41"/>
      </w:r>
    </w:p>
    <w:p w:rsidR="00AD12FE" w:rsidRDefault="00AD12FE" w:rsidP="00AD12FE">
      <w:pPr>
        <w:pStyle w:val="AERrevisionbox"/>
        <w:numPr>
          <w:ilvl w:val="0"/>
          <w:numId w:val="13"/>
        </w:numPr>
      </w:pPr>
      <w:r w:rsidRPr="00680495">
        <w:rPr>
          <w:rStyle w:val="AERtextbold"/>
        </w:rPr>
        <w:t>Questions for stakeholders –</w:t>
      </w:r>
      <w:r w:rsidR="00C16061">
        <w:rPr>
          <w:rStyle w:val="AERtextbold"/>
        </w:rPr>
        <w:t>non CBD rebuilds capex</w:t>
      </w:r>
    </w:p>
    <w:p w:rsidR="00AD12FE" w:rsidRDefault="00AD12FE" w:rsidP="00AD12FE">
      <w:pPr>
        <w:pStyle w:val="AERrevisionbox"/>
        <w:numPr>
          <w:ilvl w:val="0"/>
          <w:numId w:val="13"/>
        </w:numPr>
      </w:pPr>
      <w:r>
        <w:t>1</w:t>
      </w:r>
      <w:r w:rsidRPr="001C2C9A">
        <w:t xml:space="preserve">) Is the rationale for these projects well set out </w:t>
      </w:r>
      <w:r w:rsidR="00C16061" w:rsidRPr="001C2C9A">
        <w:t>and persuasive</w:t>
      </w:r>
      <w:r w:rsidR="00C16061">
        <w:t xml:space="preserve">? </w:t>
      </w:r>
      <w:r w:rsidRPr="001C2C9A">
        <w:t xml:space="preserve"> </w:t>
      </w:r>
    </w:p>
    <w:p w:rsidR="00AD12FE" w:rsidRPr="001C2C9A" w:rsidRDefault="00AD12FE" w:rsidP="00AD12FE">
      <w:pPr>
        <w:pStyle w:val="AERrevisionbox"/>
        <w:numPr>
          <w:ilvl w:val="0"/>
          <w:numId w:val="13"/>
        </w:numPr>
      </w:pPr>
      <w:r>
        <w:t>2)</w:t>
      </w:r>
      <w:r w:rsidRPr="001C2C9A">
        <w:t xml:space="preserve"> </w:t>
      </w:r>
      <w:r>
        <w:t xml:space="preserve">If </w:t>
      </w:r>
      <w:r w:rsidRPr="001C2C9A">
        <w:t xml:space="preserve">not, </w:t>
      </w:r>
      <w:r w:rsidR="00E6592C">
        <w:t>What parts of the proposal do you consider appear unjustified and may need further support from SP AusNet or investigation by the AER?</w:t>
      </w:r>
    </w:p>
    <w:p w:rsidR="00AD12FE" w:rsidRDefault="00AD12FE" w:rsidP="00AD12FE">
      <w:pPr>
        <w:pStyle w:val="HeadingBoldItalic"/>
        <w:numPr>
          <w:ilvl w:val="0"/>
          <w:numId w:val="13"/>
        </w:numPr>
      </w:pPr>
      <w:r>
        <w:t>Assumptions and inputs</w:t>
      </w:r>
    </w:p>
    <w:p w:rsidR="00AD12FE" w:rsidRDefault="00AD12FE" w:rsidP="00AD12FE">
      <w:pPr>
        <w:pStyle w:val="AERbodytext"/>
        <w:numPr>
          <w:ilvl w:val="0"/>
          <w:numId w:val="13"/>
        </w:numPr>
      </w:pPr>
      <w:r>
        <w:t>The key assumptions and inputs underpinning SP AusNet’s forecast capex are outlined in s. 4.4 of its revenue proposal. They fall into the following broad categories:</w:t>
      </w:r>
    </w:p>
    <w:p w:rsidR="00AD12FE" w:rsidRDefault="00AD12FE" w:rsidP="00AD12FE">
      <w:pPr>
        <w:pStyle w:val="AERbulletlistfirststyle"/>
      </w:pPr>
      <w:r>
        <w:t>demand forecasts (used in sensitivity analysis to test the robustness of project evaluations)</w:t>
      </w:r>
    </w:p>
    <w:p w:rsidR="00AD12FE" w:rsidRDefault="00AD12FE" w:rsidP="00AD12FE">
      <w:pPr>
        <w:pStyle w:val="AERbulletlistfirststyle"/>
      </w:pPr>
      <w:r>
        <w:t xml:space="preserve">supply risk (SP AusNet has relied on AEMO’s Value of Customer </w:t>
      </w:r>
      <w:r w:rsidR="00081259">
        <w:t>Reliability (VCR) of $61,830/MW</w:t>
      </w:r>
      <w:r>
        <w:t>h)</w:t>
      </w:r>
    </w:p>
    <w:p w:rsidR="00AD12FE" w:rsidRDefault="00AD12FE" w:rsidP="00AD12FE">
      <w:pPr>
        <w:pStyle w:val="AERbulletlistfirststyle"/>
      </w:pPr>
      <w:r>
        <w:t xml:space="preserve">safety risk </w:t>
      </w:r>
    </w:p>
    <w:p w:rsidR="00AD12FE" w:rsidRDefault="00AD12FE" w:rsidP="00AD12FE">
      <w:pPr>
        <w:pStyle w:val="AERbulletlistfirststyle"/>
      </w:pPr>
      <w:r>
        <w:t xml:space="preserve">condition reports </w:t>
      </w:r>
    </w:p>
    <w:p w:rsidR="00AD12FE" w:rsidRDefault="00AD12FE" w:rsidP="00AD12FE">
      <w:pPr>
        <w:pStyle w:val="AERbulletlistfirststyle"/>
      </w:pPr>
      <w:r>
        <w:t xml:space="preserve">failure risk ratings </w:t>
      </w:r>
    </w:p>
    <w:p w:rsidR="00AD12FE" w:rsidRDefault="00AD12FE" w:rsidP="00AD12FE">
      <w:pPr>
        <w:pStyle w:val="AERbulletlistfirststyle"/>
      </w:pPr>
      <w:r>
        <w:t>project cost estimates (the</w:t>
      </w:r>
      <w:r w:rsidR="00594E19">
        <w:t xml:space="preserve">se form the basis of the bottom </w:t>
      </w:r>
      <w:r>
        <w:t>up forecast capex)</w:t>
      </w:r>
    </w:p>
    <w:p w:rsidR="00AD12FE" w:rsidRDefault="00AD12FE" w:rsidP="00AD12FE">
      <w:pPr>
        <w:pStyle w:val="AERbulletlistfirststyle"/>
      </w:pPr>
      <w:r>
        <w:t>unit rates and S-curves (S-curves are used to define the profile and timing of expenditure over the term of a major capital project)</w:t>
      </w:r>
    </w:p>
    <w:p w:rsidR="00AD12FE" w:rsidRDefault="00AD12FE" w:rsidP="00AD12FE">
      <w:pPr>
        <w:pStyle w:val="AERbulletlistfirststyle"/>
      </w:pPr>
      <w:r>
        <w:t>cost escalators for labour and materials (also relevant for forecast opex)</w:t>
      </w:r>
    </w:p>
    <w:p w:rsidR="00AD12FE" w:rsidRDefault="00AD12FE" w:rsidP="00AD12FE">
      <w:pPr>
        <w:pStyle w:val="AERbulletlistfirststyle"/>
      </w:pPr>
      <w:r>
        <w:t>capex efficiency factor of 1.44 per cent</w:t>
      </w:r>
    </w:p>
    <w:p w:rsidR="00AD12FE" w:rsidRDefault="00AD12FE" w:rsidP="00AD12FE">
      <w:pPr>
        <w:pStyle w:val="AERbulletlistfirststyle"/>
      </w:pPr>
      <w:r>
        <w:t>affordability and deliverability</w:t>
      </w:r>
    </w:p>
    <w:p w:rsidR="00AD12FE" w:rsidRDefault="00AD12FE" w:rsidP="00AD12FE">
      <w:pPr>
        <w:pStyle w:val="AERrevisionbox"/>
        <w:numPr>
          <w:ilvl w:val="0"/>
          <w:numId w:val="13"/>
        </w:numPr>
      </w:pPr>
      <w:r w:rsidRPr="00AD0174">
        <w:rPr>
          <w:rStyle w:val="AERtextbold"/>
        </w:rPr>
        <w:t xml:space="preserve">Questions for stakeholders – </w:t>
      </w:r>
      <w:r>
        <w:rPr>
          <w:rStyle w:val="AERtextbold"/>
        </w:rPr>
        <w:t>assumptions and inputs</w:t>
      </w:r>
      <w:r w:rsidRPr="00AD0174">
        <w:t xml:space="preserve"> </w:t>
      </w:r>
    </w:p>
    <w:p w:rsidR="00AD12FE" w:rsidRPr="003A40D7" w:rsidRDefault="00AD12FE" w:rsidP="00AD12FE">
      <w:pPr>
        <w:pStyle w:val="AERrevisionbox"/>
        <w:numPr>
          <w:ilvl w:val="0"/>
          <w:numId w:val="13"/>
        </w:numPr>
      </w:pPr>
      <w:r>
        <w:t>1) Are the assumptions and inputs appropriate?</w:t>
      </w:r>
    </w:p>
    <w:p w:rsidR="00AD12FE" w:rsidRPr="003A40D7" w:rsidRDefault="00AD12FE" w:rsidP="00AD12FE">
      <w:pPr>
        <w:pStyle w:val="AERrevisionbox"/>
        <w:numPr>
          <w:ilvl w:val="0"/>
          <w:numId w:val="13"/>
        </w:numPr>
      </w:pPr>
      <w:r>
        <w:t>2) Are there other assumptions and inputs that should be considered?</w:t>
      </w:r>
    </w:p>
    <w:p w:rsidR="00AD12FE" w:rsidRDefault="00AD12FE" w:rsidP="00AD12FE">
      <w:pPr>
        <w:pStyle w:val="Heading2"/>
        <w:sectPr w:rsidR="00AD12FE" w:rsidSect="00D0040B">
          <w:pgSz w:w="11906" w:h="16838" w:code="9"/>
          <w:pgMar w:top="1440" w:right="1440" w:bottom="1440" w:left="1440" w:header="709" w:footer="709" w:gutter="0"/>
          <w:cols w:space="708"/>
          <w:docGrid w:linePitch="360"/>
        </w:sectPr>
      </w:pPr>
    </w:p>
    <w:p w:rsidR="00AD12FE" w:rsidRDefault="00AD12FE" w:rsidP="00AD12FE">
      <w:pPr>
        <w:pStyle w:val="Heading2"/>
      </w:pPr>
      <w:bookmarkStart w:id="40" w:name="_Toc355186309"/>
      <w:r>
        <w:t>Opex</w:t>
      </w:r>
      <w:bookmarkEnd w:id="40"/>
    </w:p>
    <w:p w:rsidR="00AD12FE" w:rsidRDefault="00AD12FE" w:rsidP="00AD12FE">
      <w:pPr>
        <w:pStyle w:val="AERbodytext"/>
        <w:numPr>
          <w:ilvl w:val="0"/>
          <w:numId w:val="13"/>
        </w:numPr>
      </w:pPr>
      <w:r>
        <w:t>SP AusNet’s revenue proposal must include a forecast of the total opex it requires to m</w:t>
      </w:r>
      <w:r w:rsidR="00594E19">
        <w:t>e</w:t>
      </w:r>
      <w:r>
        <w:t>et the opex objectives, which are set out in clau</w:t>
      </w:r>
      <w:r w:rsidR="00081259">
        <w:t>se 6A.6.6(a) of the NER. SP AusN</w:t>
      </w:r>
      <w:r>
        <w:t xml:space="preserve">et's opex over the current regulatory period is outlined in section 3.4 of its revenue proposal. SP AusNet's forecast opex and justification is contained in section 5 of its revenue proposal.  </w:t>
      </w:r>
    </w:p>
    <w:p w:rsidR="00AD12FE" w:rsidRDefault="00AD12FE" w:rsidP="00AD12FE">
      <w:pPr>
        <w:pStyle w:val="Heading3"/>
      </w:pPr>
      <w:bookmarkStart w:id="41" w:name="_Toc352168700"/>
      <w:r>
        <w:t>The relevant rules</w:t>
      </w:r>
      <w:bookmarkEnd w:id="41"/>
    </w:p>
    <w:p w:rsidR="00AD12FE" w:rsidRDefault="00AD12FE" w:rsidP="00AD12FE">
      <w:pPr>
        <w:pStyle w:val="AERbodytext"/>
        <w:numPr>
          <w:ilvl w:val="0"/>
          <w:numId w:val="13"/>
        </w:numPr>
      </w:pPr>
      <w:r>
        <w:t>We must assess SP AusNet's forecast opex</w:t>
      </w:r>
      <w:r w:rsidRPr="00A70AB5">
        <w:t xml:space="preserve"> </w:t>
      </w:r>
      <w:r w:rsidRPr="007E2336">
        <w:t xml:space="preserve">under </w:t>
      </w:r>
      <w:r>
        <w:t>the provisions set out in s. 6A.6.6 of the NER. In drafting your submission, please have regard to these provisions.</w:t>
      </w:r>
    </w:p>
    <w:p w:rsidR="00AD12FE" w:rsidRDefault="00AD12FE" w:rsidP="00AD12FE">
      <w:pPr>
        <w:pStyle w:val="Heading3"/>
      </w:pPr>
      <w:bookmarkStart w:id="42" w:name="_Toc352168701"/>
      <w:r>
        <w:t>SP AusNet's proposal</w:t>
      </w:r>
      <w:bookmarkEnd w:id="42"/>
    </w:p>
    <w:p w:rsidR="00AD12FE" w:rsidRDefault="00876FFF" w:rsidP="00AD12FE">
      <w:pPr>
        <w:pStyle w:val="AERbodytext"/>
        <w:numPr>
          <w:ilvl w:val="0"/>
          <w:numId w:val="13"/>
        </w:numPr>
      </w:pPr>
      <w:r>
        <w:rPr>
          <w:rStyle w:val="AERbody"/>
        </w:rPr>
        <w:fldChar w:fldCharType="begin"/>
      </w:r>
      <w:r w:rsidR="00F65B4D">
        <w:rPr>
          <w:rStyle w:val="AERbody"/>
        </w:rPr>
        <w:instrText xml:space="preserve"> REF _Ref353271514 \h </w:instrText>
      </w:r>
      <w:r>
        <w:rPr>
          <w:rStyle w:val="AERbody"/>
        </w:rPr>
      </w:r>
      <w:r>
        <w:rPr>
          <w:rStyle w:val="AERbody"/>
        </w:rPr>
        <w:fldChar w:fldCharType="separate"/>
      </w:r>
      <w:r w:rsidR="003F1C4B">
        <w:t xml:space="preserve">Figure </w:t>
      </w:r>
      <w:r w:rsidR="003F1C4B">
        <w:rPr>
          <w:noProof/>
        </w:rPr>
        <w:t>3</w:t>
      </w:r>
      <w:r w:rsidR="003F1C4B">
        <w:t>.</w:t>
      </w:r>
      <w:r w:rsidR="003F1C4B">
        <w:rPr>
          <w:noProof/>
        </w:rPr>
        <w:t>5</w:t>
      </w:r>
      <w:r>
        <w:rPr>
          <w:rStyle w:val="AERbody"/>
        </w:rPr>
        <w:fldChar w:fldCharType="end"/>
      </w:r>
      <w:r w:rsidR="00F65B4D">
        <w:rPr>
          <w:rStyle w:val="AERbody"/>
        </w:rPr>
        <w:t xml:space="preserve"> </w:t>
      </w:r>
      <w:r w:rsidR="00AD12FE" w:rsidRPr="00B47B28">
        <w:rPr>
          <w:rStyle w:val="AERbody"/>
        </w:rPr>
        <w:t>compares SP AusNet's average opex for the current regulatory control period with its average forecast opex for the 2014–17 regulatory control period</w:t>
      </w:r>
    </w:p>
    <w:p w:rsidR="00AD12FE" w:rsidRPr="00AD12FE" w:rsidRDefault="00876FFF" w:rsidP="00AD12FE">
      <w:pPr>
        <w:pStyle w:val="AERbodytext"/>
      </w:pPr>
      <w:r>
        <w:fldChar w:fldCharType="begin"/>
      </w:r>
      <w:r w:rsidR="00F65B4D">
        <w:instrText xml:space="preserve"> REF _Ref354565278 \h </w:instrText>
      </w:r>
      <w:r>
        <w:fldChar w:fldCharType="separate"/>
      </w:r>
      <w:r w:rsidR="003F1C4B">
        <w:t xml:space="preserve">Table </w:t>
      </w:r>
      <w:r w:rsidR="003F1C4B">
        <w:rPr>
          <w:noProof/>
        </w:rPr>
        <w:t>3</w:t>
      </w:r>
      <w:r w:rsidR="003F1C4B">
        <w:t>.</w:t>
      </w:r>
      <w:r w:rsidR="003F1C4B">
        <w:rPr>
          <w:noProof/>
        </w:rPr>
        <w:t>3</w:t>
      </w:r>
      <w:r>
        <w:fldChar w:fldCharType="end"/>
      </w:r>
      <w:r w:rsidR="00F65B4D">
        <w:t xml:space="preserve"> </w:t>
      </w:r>
      <w:r w:rsidR="00AD12FE">
        <w:t>breaks</w:t>
      </w:r>
      <w:r w:rsidR="00AD12FE" w:rsidRPr="00AD12FE">
        <w:t xml:space="preserve"> down the forecast capex into categories.</w:t>
      </w:r>
    </w:p>
    <w:p w:rsidR="00AD12FE" w:rsidRDefault="00AD12FE" w:rsidP="00AD12FE">
      <w:pPr>
        <w:pStyle w:val="Caption"/>
      </w:pPr>
      <w:bookmarkStart w:id="43" w:name="_Ref353271514"/>
      <w:r>
        <w:t xml:space="preserve">Figure </w:t>
      </w:r>
      <w:r w:rsidR="00876FFF">
        <w:fldChar w:fldCharType="begin"/>
      </w:r>
      <w:r w:rsidR="00073991">
        <w:instrText xml:space="preserve"> STYLEREF 1 \s </w:instrText>
      </w:r>
      <w:r w:rsidR="00876FFF">
        <w:fldChar w:fldCharType="separate"/>
      </w:r>
      <w:r w:rsidR="003F1C4B">
        <w:rPr>
          <w:noProof/>
        </w:rPr>
        <w:t>3</w:t>
      </w:r>
      <w:r w:rsidR="00876FFF">
        <w:fldChar w:fldCharType="end"/>
      </w:r>
      <w:r w:rsidR="006453C2">
        <w:t>.</w:t>
      </w:r>
      <w:r w:rsidR="00876FFF">
        <w:fldChar w:fldCharType="begin"/>
      </w:r>
      <w:r w:rsidR="006453C2">
        <w:instrText xml:space="preserve"> SEQ Figure \* ARABIC \s 1 </w:instrText>
      </w:r>
      <w:r w:rsidR="00876FFF">
        <w:fldChar w:fldCharType="separate"/>
      </w:r>
      <w:r w:rsidR="003F1C4B">
        <w:rPr>
          <w:noProof/>
        </w:rPr>
        <w:t>5</w:t>
      </w:r>
      <w:r w:rsidR="00876FFF">
        <w:fldChar w:fldCharType="end"/>
      </w:r>
      <w:bookmarkEnd w:id="43"/>
      <w:r>
        <w:tab/>
        <w:t>Comparison of historical and forecast opex, excluding easement tax (</w:t>
      </w:r>
      <w:r w:rsidR="00F65B4D">
        <w:t xml:space="preserve">$m, </w:t>
      </w:r>
      <w:r>
        <w:t>2013–14)</w:t>
      </w:r>
    </w:p>
    <w:p w:rsidR="00AD12FE" w:rsidRPr="00D078E7" w:rsidRDefault="00187B91" w:rsidP="00AD12FE">
      <w:pPr>
        <w:pStyle w:val="AERbodytext"/>
        <w:numPr>
          <w:ilvl w:val="0"/>
          <w:numId w:val="13"/>
        </w:numPr>
      </w:pPr>
      <w:r w:rsidRPr="00187B91">
        <w:rPr>
          <w:noProof/>
          <w:lang w:eastAsia="en-AU"/>
        </w:rPr>
        <w:drawing>
          <wp:inline distT="0" distB="0" distL="0" distR="0">
            <wp:extent cx="5731510" cy="3256318"/>
            <wp:effectExtent l="1905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5731510" cy="3256318"/>
                    </a:xfrm>
                    <a:prstGeom prst="rect">
                      <a:avLst/>
                    </a:prstGeom>
                    <a:noFill/>
                    <a:ln w="9525">
                      <a:noFill/>
                      <a:miter lim="800000"/>
                      <a:headEnd/>
                      <a:tailEnd/>
                    </a:ln>
                  </pic:spPr>
                </pic:pic>
              </a:graphicData>
            </a:graphic>
          </wp:inline>
        </w:drawing>
      </w:r>
    </w:p>
    <w:p w:rsidR="00187B91" w:rsidRDefault="00AD12FE" w:rsidP="00187B91">
      <w:pPr>
        <w:pStyle w:val="AERtablesource"/>
        <w:ind w:left="0" w:firstLine="0"/>
      </w:pPr>
      <w:r w:rsidRPr="00866764">
        <w:t>Source:</w:t>
      </w:r>
      <w:r w:rsidRPr="00866764">
        <w:tab/>
        <w:t xml:space="preserve">SP AusNet, </w:t>
      </w:r>
      <w:r w:rsidRPr="00866764">
        <w:rPr>
          <w:rStyle w:val="AERtextitalic"/>
          <w:i w:val="0"/>
        </w:rPr>
        <w:t>Revenue proposal</w:t>
      </w:r>
      <w:r w:rsidRPr="00866764">
        <w:t>, p. 57 and 60.</w:t>
      </w:r>
      <w:r w:rsidR="00866764">
        <w:t xml:space="preserve"> </w:t>
      </w:r>
    </w:p>
    <w:p w:rsidR="00AD12FE" w:rsidRPr="00866764" w:rsidRDefault="00187B91" w:rsidP="00187B91">
      <w:pPr>
        <w:pStyle w:val="AERtablesource"/>
        <w:ind w:left="0" w:firstLine="0"/>
      </w:pPr>
      <w:r>
        <w:t>Note:</w:t>
      </w:r>
      <w:r>
        <w:tab/>
        <w:t>Excludes</w:t>
      </w:r>
      <w:r w:rsidR="00866764">
        <w:t xml:space="preserve"> easement tax</w:t>
      </w:r>
      <w:r>
        <w:t>, debt and equity raising costs, EBSS payments</w:t>
      </w:r>
      <w:r w:rsidR="00866764">
        <w:t xml:space="preserve">. </w:t>
      </w:r>
      <w:r w:rsidR="00AD12FE" w:rsidRPr="00866764">
        <w:t xml:space="preserve"> </w:t>
      </w:r>
    </w:p>
    <w:p w:rsidR="00AD12FE" w:rsidRDefault="00AD12FE" w:rsidP="00866764">
      <w:pPr>
        <w:pStyle w:val="Caption"/>
        <w:ind w:left="0" w:firstLine="0"/>
        <w:sectPr w:rsidR="00AD12FE" w:rsidSect="00D0040B">
          <w:pgSz w:w="11906" w:h="16838" w:code="9"/>
          <w:pgMar w:top="1440" w:right="1440" w:bottom="1440" w:left="1440" w:header="709" w:footer="709" w:gutter="0"/>
          <w:cols w:space="708"/>
          <w:docGrid w:linePitch="360"/>
        </w:sectPr>
      </w:pPr>
      <w:bookmarkStart w:id="44" w:name="_Ref352751717"/>
    </w:p>
    <w:p w:rsidR="00AD12FE" w:rsidRDefault="00AD12FE" w:rsidP="00AD12FE">
      <w:pPr>
        <w:pStyle w:val="Caption"/>
      </w:pPr>
      <w:bookmarkStart w:id="45" w:name="_Ref354565278"/>
      <w:r>
        <w:t xml:space="preserve">Table </w:t>
      </w:r>
      <w:r w:rsidR="00876FFF">
        <w:fldChar w:fldCharType="begin"/>
      </w:r>
      <w:r w:rsidR="00A41D91">
        <w:instrText xml:space="preserve"> STYLEREF 1 \s </w:instrText>
      </w:r>
      <w:r w:rsidR="00876FFF">
        <w:fldChar w:fldCharType="separate"/>
      </w:r>
      <w:r w:rsidR="003F1C4B">
        <w:rPr>
          <w:noProof/>
        </w:rPr>
        <w:t>3</w:t>
      </w:r>
      <w:r w:rsidR="00876FFF">
        <w:fldChar w:fldCharType="end"/>
      </w:r>
      <w:r w:rsidR="00A41D91">
        <w:t>.</w:t>
      </w:r>
      <w:r w:rsidR="00876FFF">
        <w:fldChar w:fldCharType="begin"/>
      </w:r>
      <w:r w:rsidR="00A41D91">
        <w:instrText xml:space="preserve"> SEQ Table \* ARABIC \s 1 </w:instrText>
      </w:r>
      <w:r w:rsidR="00876FFF">
        <w:fldChar w:fldCharType="separate"/>
      </w:r>
      <w:r w:rsidR="003F1C4B">
        <w:rPr>
          <w:noProof/>
        </w:rPr>
        <w:t>3</w:t>
      </w:r>
      <w:r w:rsidR="00876FFF">
        <w:fldChar w:fldCharType="end"/>
      </w:r>
      <w:bookmarkEnd w:id="44"/>
      <w:bookmarkEnd w:id="45"/>
      <w:r>
        <w:tab/>
        <w:t>Forecast opex by cost category ($m, 2013</w:t>
      </w:r>
      <w:r w:rsidRPr="00BA4EC5">
        <w:t>–14)</w:t>
      </w:r>
    </w:p>
    <w:tbl>
      <w:tblPr>
        <w:tblStyle w:val="AERtable-numbers"/>
        <w:tblW w:w="9166" w:type="dxa"/>
        <w:tblLook w:val="04A0"/>
      </w:tblPr>
      <w:tblGrid>
        <w:gridCol w:w="2093"/>
        <w:gridCol w:w="2693"/>
        <w:gridCol w:w="876"/>
        <w:gridCol w:w="876"/>
        <w:gridCol w:w="876"/>
        <w:gridCol w:w="876"/>
        <w:gridCol w:w="876"/>
      </w:tblGrid>
      <w:tr w:rsidR="00AD12FE" w:rsidTr="00D0040B">
        <w:trPr>
          <w:cnfStyle w:val="100000000000"/>
        </w:trPr>
        <w:tc>
          <w:tcPr>
            <w:cnfStyle w:val="001000000000"/>
            <w:tcW w:w="2093" w:type="dxa"/>
          </w:tcPr>
          <w:p w:rsidR="00AD12FE" w:rsidRDefault="00AD12FE" w:rsidP="00AD12FE">
            <w:pPr>
              <w:pStyle w:val="AERbodytext"/>
              <w:numPr>
                <w:ilvl w:val="0"/>
                <w:numId w:val="13"/>
              </w:numPr>
            </w:pPr>
          </w:p>
        </w:tc>
        <w:tc>
          <w:tcPr>
            <w:tcW w:w="2693" w:type="dxa"/>
          </w:tcPr>
          <w:p w:rsidR="00AD12FE" w:rsidRDefault="00AD12FE" w:rsidP="00AD12FE">
            <w:pPr>
              <w:pStyle w:val="AERbodytext"/>
              <w:numPr>
                <w:ilvl w:val="0"/>
                <w:numId w:val="13"/>
              </w:numPr>
              <w:cnfStyle w:val="100000000000"/>
            </w:pPr>
          </w:p>
        </w:tc>
        <w:tc>
          <w:tcPr>
            <w:tcW w:w="876" w:type="dxa"/>
          </w:tcPr>
          <w:p w:rsidR="00AD12FE" w:rsidRPr="00AD12FE" w:rsidRDefault="00AD12FE" w:rsidP="00AD12FE">
            <w:pPr>
              <w:pStyle w:val="AERtabletextright"/>
              <w:cnfStyle w:val="100000000000"/>
            </w:pPr>
            <w:r w:rsidRPr="008A072D">
              <w:t>2014–1</w:t>
            </w:r>
            <w:r w:rsidRPr="00AD12FE">
              <w:t>5</w:t>
            </w:r>
          </w:p>
        </w:tc>
        <w:tc>
          <w:tcPr>
            <w:tcW w:w="876" w:type="dxa"/>
          </w:tcPr>
          <w:p w:rsidR="00AD12FE" w:rsidRPr="00AD12FE" w:rsidRDefault="00AD12FE" w:rsidP="00AD12FE">
            <w:pPr>
              <w:pStyle w:val="AERtabletextright"/>
              <w:cnfStyle w:val="100000000000"/>
            </w:pPr>
            <w:r w:rsidRPr="008A072D">
              <w:t>201</w:t>
            </w:r>
            <w:r w:rsidRPr="00AD12FE">
              <w:t>5–16</w:t>
            </w:r>
          </w:p>
        </w:tc>
        <w:tc>
          <w:tcPr>
            <w:tcW w:w="876" w:type="dxa"/>
          </w:tcPr>
          <w:p w:rsidR="00AD12FE" w:rsidRPr="00AD12FE" w:rsidRDefault="00AD12FE" w:rsidP="00AD12FE">
            <w:pPr>
              <w:pStyle w:val="AERtabletextright"/>
              <w:cnfStyle w:val="100000000000"/>
            </w:pPr>
            <w:r w:rsidRPr="008A072D">
              <w:t>201</w:t>
            </w:r>
            <w:r w:rsidRPr="00AD12FE">
              <w:t>6–17</w:t>
            </w:r>
          </w:p>
        </w:tc>
        <w:tc>
          <w:tcPr>
            <w:tcW w:w="876" w:type="dxa"/>
          </w:tcPr>
          <w:p w:rsidR="00AD12FE" w:rsidRPr="00AD12FE" w:rsidRDefault="00AD12FE" w:rsidP="00AD12FE">
            <w:pPr>
              <w:pStyle w:val="AERtabletextright"/>
              <w:cnfStyle w:val="100000000000"/>
            </w:pPr>
            <w:r>
              <w:t>2014-17</w:t>
            </w:r>
          </w:p>
        </w:tc>
        <w:tc>
          <w:tcPr>
            <w:tcW w:w="876" w:type="dxa"/>
          </w:tcPr>
          <w:p w:rsidR="00AD12FE" w:rsidRPr="00AD12FE" w:rsidRDefault="00AD12FE" w:rsidP="00AD12FE">
            <w:pPr>
              <w:pStyle w:val="AERtabletextright"/>
              <w:cnfStyle w:val="100000000000"/>
            </w:pPr>
            <w:r>
              <w:t>2008-14</w:t>
            </w:r>
          </w:p>
        </w:tc>
      </w:tr>
      <w:tr w:rsidR="00AD12FE" w:rsidTr="00D0040B">
        <w:tc>
          <w:tcPr>
            <w:cnfStyle w:val="001000000000"/>
            <w:tcW w:w="2093" w:type="dxa"/>
            <w:vMerge w:val="restart"/>
          </w:tcPr>
          <w:p w:rsidR="00AD12FE" w:rsidRDefault="00AD12FE" w:rsidP="00AD12FE">
            <w:pPr>
              <w:pStyle w:val="AERbodytext"/>
              <w:numPr>
                <w:ilvl w:val="0"/>
                <w:numId w:val="13"/>
              </w:numPr>
            </w:pPr>
            <w:r>
              <w:rPr>
                <w:rStyle w:val="AERtextbold"/>
              </w:rPr>
              <w:t>System recurrent</w:t>
            </w:r>
          </w:p>
        </w:tc>
        <w:tc>
          <w:tcPr>
            <w:tcW w:w="2693" w:type="dxa"/>
          </w:tcPr>
          <w:p w:rsidR="00AD12FE" w:rsidRPr="00765D2B" w:rsidRDefault="00AD12FE" w:rsidP="00AD12FE">
            <w:pPr>
              <w:pStyle w:val="AERbodytext"/>
              <w:numPr>
                <w:ilvl w:val="0"/>
                <w:numId w:val="13"/>
              </w:numPr>
              <w:cnfStyle w:val="000000000000"/>
            </w:pPr>
            <w:r>
              <w:t>Maintenance</w:t>
            </w:r>
          </w:p>
        </w:tc>
        <w:tc>
          <w:tcPr>
            <w:tcW w:w="876" w:type="dxa"/>
          </w:tcPr>
          <w:p w:rsidR="00AD12FE" w:rsidRPr="00AD12FE" w:rsidRDefault="00AD12FE" w:rsidP="00AD12FE">
            <w:pPr>
              <w:pStyle w:val="AERtabletextright"/>
              <w:cnfStyle w:val="000000000000"/>
            </w:pPr>
            <w:r>
              <w:t>32.5</w:t>
            </w:r>
          </w:p>
        </w:tc>
        <w:tc>
          <w:tcPr>
            <w:tcW w:w="876" w:type="dxa"/>
          </w:tcPr>
          <w:p w:rsidR="00AD12FE" w:rsidRPr="00AD12FE" w:rsidRDefault="00AD12FE" w:rsidP="00AD12FE">
            <w:pPr>
              <w:pStyle w:val="AERtabletextright"/>
              <w:cnfStyle w:val="000000000000"/>
            </w:pPr>
            <w:r>
              <w:t>32.9</w:t>
            </w:r>
          </w:p>
        </w:tc>
        <w:tc>
          <w:tcPr>
            <w:tcW w:w="876" w:type="dxa"/>
          </w:tcPr>
          <w:p w:rsidR="00AD12FE" w:rsidRPr="00AD12FE" w:rsidRDefault="00AD12FE" w:rsidP="00AD12FE">
            <w:pPr>
              <w:pStyle w:val="AERtabletextright"/>
              <w:cnfStyle w:val="000000000000"/>
            </w:pPr>
            <w:r>
              <w:t>33.3</w:t>
            </w:r>
          </w:p>
        </w:tc>
        <w:tc>
          <w:tcPr>
            <w:tcW w:w="876" w:type="dxa"/>
          </w:tcPr>
          <w:p w:rsidR="00AD12FE" w:rsidRPr="00AD12FE" w:rsidRDefault="00AD12FE" w:rsidP="00AD12FE">
            <w:pPr>
              <w:pStyle w:val="AERtabletextright"/>
              <w:cnfStyle w:val="000000000000"/>
            </w:pPr>
            <w:r>
              <w:t>98.6</w:t>
            </w:r>
          </w:p>
        </w:tc>
        <w:tc>
          <w:tcPr>
            <w:tcW w:w="876" w:type="dxa"/>
          </w:tcPr>
          <w:p w:rsidR="00AD12FE" w:rsidRPr="00AD12FE" w:rsidRDefault="00AD12FE" w:rsidP="00AD12FE">
            <w:pPr>
              <w:pStyle w:val="AERtabletextright"/>
              <w:cnfStyle w:val="000000000000"/>
            </w:pPr>
            <w:r>
              <w:t>160.6</w:t>
            </w:r>
          </w:p>
        </w:tc>
      </w:tr>
      <w:tr w:rsidR="00AD12FE" w:rsidTr="00D0040B">
        <w:trPr>
          <w:cnfStyle w:val="000000010000"/>
        </w:trPr>
        <w:tc>
          <w:tcPr>
            <w:cnfStyle w:val="001000000000"/>
            <w:tcW w:w="2093" w:type="dxa"/>
            <w:vMerge/>
          </w:tcPr>
          <w:p w:rsidR="00AD12FE" w:rsidRDefault="00AD12FE" w:rsidP="00AD12FE">
            <w:pPr>
              <w:pStyle w:val="AERbodytext"/>
              <w:numPr>
                <w:ilvl w:val="0"/>
                <w:numId w:val="13"/>
              </w:numPr>
            </w:pPr>
          </w:p>
        </w:tc>
        <w:tc>
          <w:tcPr>
            <w:tcW w:w="2693" w:type="dxa"/>
          </w:tcPr>
          <w:p w:rsidR="00AD12FE" w:rsidRPr="00765D2B" w:rsidRDefault="00AD12FE" w:rsidP="00AD12FE">
            <w:pPr>
              <w:pStyle w:val="AERbodytext"/>
              <w:numPr>
                <w:ilvl w:val="0"/>
                <w:numId w:val="13"/>
              </w:numPr>
              <w:cnfStyle w:val="000000010000"/>
            </w:pPr>
            <w:r>
              <w:t>Asset management support</w:t>
            </w:r>
          </w:p>
        </w:tc>
        <w:tc>
          <w:tcPr>
            <w:tcW w:w="876" w:type="dxa"/>
          </w:tcPr>
          <w:p w:rsidR="00AD12FE" w:rsidRPr="00AD12FE" w:rsidRDefault="00AD12FE" w:rsidP="00AD12FE">
            <w:pPr>
              <w:pStyle w:val="AERtabletextright"/>
              <w:cnfStyle w:val="000000010000"/>
            </w:pPr>
            <w:r>
              <w:t>5.7</w:t>
            </w:r>
          </w:p>
        </w:tc>
        <w:tc>
          <w:tcPr>
            <w:tcW w:w="876" w:type="dxa"/>
          </w:tcPr>
          <w:p w:rsidR="00AD12FE" w:rsidRPr="00AD12FE" w:rsidRDefault="00AD12FE" w:rsidP="00AD12FE">
            <w:pPr>
              <w:pStyle w:val="AERtabletextright"/>
              <w:cnfStyle w:val="000000010000"/>
            </w:pPr>
            <w:r>
              <w:t>6.0</w:t>
            </w:r>
          </w:p>
        </w:tc>
        <w:tc>
          <w:tcPr>
            <w:tcW w:w="876" w:type="dxa"/>
          </w:tcPr>
          <w:p w:rsidR="00AD12FE" w:rsidRPr="00AD12FE" w:rsidRDefault="00AD12FE" w:rsidP="00AD12FE">
            <w:pPr>
              <w:pStyle w:val="AERtabletextright"/>
              <w:cnfStyle w:val="000000010000"/>
            </w:pPr>
            <w:r>
              <w:t>6.1</w:t>
            </w:r>
          </w:p>
        </w:tc>
        <w:tc>
          <w:tcPr>
            <w:tcW w:w="876" w:type="dxa"/>
          </w:tcPr>
          <w:p w:rsidR="00AD12FE" w:rsidRPr="00AD12FE" w:rsidRDefault="00AD12FE" w:rsidP="00AD12FE">
            <w:pPr>
              <w:pStyle w:val="AERtabletextright"/>
              <w:cnfStyle w:val="000000010000"/>
            </w:pPr>
            <w:r>
              <w:t>17.9</w:t>
            </w:r>
          </w:p>
        </w:tc>
        <w:tc>
          <w:tcPr>
            <w:tcW w:w="876" w:type="dxa"/>
          </w:tcPr>
          <w:p w:rsidR="00AD12FE" w:rsidRPr="00AD12FE" w:rsidRDefault="00AD12FE" w:rsidP="00AD12FE">
            <w:pPr>
              <w:pStyle w:val="AERtabletextright"/>
              <w:cnfStyle w:val="000000010000"/>
            </w:pPr>
            <w:r>
              <w:t>37.8</w:t>
            </w:r>
          </w:p>
        </w:tc>
      </w:tr>
      <w:tr w:rsidR="00AD12FE" w:rsidTr="00D0040B">
        <w:tc>
          <w:tcPr>
            <w:cnfStyle w:val="001000000000"/>
            <w:tcW w:w="2093" w:type="dxa"/>
            <w:vMerge/>
          </w:tcPr>
          <w:p w:rsidR="00AD12FE" w:rsidRDefault="00AD12FE" w:rsidP="00AD12FE">
            <w:pPr>
              <w:pStyle w:val="AERbodytext"/>
              <w:numPr>
                <w:ilvl w:val="0"/>
                <w:numId w:val="13"/>
              </w:numPr>
            </w:pPr>
          </w:p>
        </w:tc>
        <w:tc>
          <w:tcPr>
            <w:tcW w:w="2693" w:type="dxa"/>
          </w:tcPr>
          <w:p w:rsidR="00AD12FE" w:rsidRPr="00765D2B" w:rsidRDefault="00AD12FE" w:rsidP="00AD12FE">
            <w:pPr>
              <w:pStyle w:val="AERbodytext"/>
              <w:numPr>
                <w:ilvl w:val="0"/>
                <w:numId w:val="13"/>
              </w:numPr>
              <w:cnfStyle w:val="000000000000"/>
            </w:pPr>
            <w:r>
              <w:t>Operations</w:t>
            </w:r>
          </w:p>
        </w:tc>
        <w:tc>
          <w:tcPr>
            <w:tcW w:w="876" w:type="dxa"/>
          </w:tcPr>
          <w:p w:rsidR="00AD12FE" w:rsidRPr="00AD12FE" w:rsidRDefault="00AD12FE" w:rsidP="00AD12FE">
            <w:pPr>
              <w:pStyle w:val="AERtabletextright"/>
              <w:cnfStyle w:val="000000000000"/>
            </w:pPr>
            <w:r>
              <w:t>6.5</w:t>
            </w:r>
          </w:p>
        </w:tc>
        <w:tc>
          <w:tcPr>
            <w:tcW w:w="876" w:type="dxa"/>
          </w:tcPr>
          <w:p w:rsidR="00AD12FE" w:rsidRPr="00AD12FE" w:rsidRDefault="00AD12FE" w:rsidP="00AD12FE">
            <w:pPr>
              <w:pStyle w:val="AERtabletextright"/>
              <w:cnfStyle w:val="000000000000"/>
            </w:pPr>
            <w:r>
              <w:t>6.6</w:t>
            </w:r>
          </w:p>
        </w:tc>
        <w:tc>
          <w:tcPr>
            <w:tcW w:w="876" w:type="dxa"/>
          </w:tcPr>
          <w:p w:rsidR="00AD12FE" w:rsidRPr="00AD12FE" w:rsidRDefault="00AD12FE" w:rsidP="00AD12FE">
            <w:pPr>
              <w:pStyle w:val="AERtabletextright"/>
              <w:cnfStyle w:val="000000000000"/>
            </w:pPr>
            <w:r>
              <w:t>6.7</w:t>
            </w:r>
          </w:p>
        </w:tc>
        <w:tc>
          <w:tcPr>
            <w:tcW w:w="876" w:type="dxa"/>
          </w:tcPr>
          <w:p w:rsidR="00AD12FE" w:rsidRPr="00AD12FE" w:rsidRDefault="00AD12FE" w:rsidP="00AD12FE">
            <w:pPr>
              <w:pStyle w:val="AERtabletextright"/>
              <w:cnfStyle w:val="000000000000"/>
            </w:pPr>
            <w:r>
              <w:t>19.8</w:t>
            </w:r>
          </w:p>
        </w:tc>
        <w:tc>
          <w:tcPr>
            <w:tcW w:w="876" w:type="dxa"/>
          </w:tcPr>
          <w:p w:rsidR="00AD12FE" w:rsidRPr="00AD12FE" w:rsidRDefault="00AD12FE" w:rsidP="00AD12FE">
            <w:pPr>
              <w:pStyle w:val="AERtabletextright"/>
              <w:cnfStyle w:val="000000000000"/>
            </w:pPr>
            <w:r>
              <w:t>30.4</w:t>
            </w:r>
          </w:p>
        </w:tc>
      </w:tr>
      <w:tr w:rsidR="00AD12FE" w:rsidTr="00D0040B">
        <w:trPr>
          <w:cnfStyle w:val="000000010000"/>
        </w:trPr>
        <w:tc>
          <w:tcPr>
            <w:cnfStyle w:val="001000000000"/>
            <w:tcW w:w="2093" w:type="dxa"/>
            <w:vMerge/>
          </w:tcPr>
          <w:p w:rsidR="00AD12FE" w:rsidRDefault="00AD12FE" w:rsidP="00AD12FE">
            <w:pPr>
              <w:pStyle w:val="AERbodytext"/>
              <w:numPr>
                <w:ilvl w:val="0"/>
                <w:numId w:val="13"/>
              </w:numPr>
            </w:pPr>
          </w:p>
        </w:tc>
        <w:tc>
          <w:tcPr>
            <w:tcW w:w="2693" w:type="dxa"/>
          </w:tcPr>
          <w:p w:rsidR="00AD12FE" w:rsidRPr="00765D2B" w:rsidRDefault="00AD12FE" w:rsidP="00AD12FE">
            <w:pPr>
              <w:pStyle w:val="AERbodytext"/>
              <w:numPr>
                <w:ilvl w:val="0"/>
                <w:numId w:val="13"/>
              </w:numPr>
              <w:cnfStyle w:val="000000010000"/>
            </w:pPr>
            <w:r>
              <w:t>OH&amp;S</w:t>
            </w:r>
          </w:p>
        </w:tc>
        <w:tc>
          <w:tcPr>
            <w:tcW w:w="876" w:type="dxa"/>
          </w:tcPr>
          <w:p w:rsidR="00AD12FE" w:rsidRPr="00AD12FE" w:rsidRDefault="00AD12FE" w:rsidP="00AD12FE">
            <w:pPr>
              <w:pStyle w:val="AERtabletextright"/>
              <w:cnfStyle w:val="000000010000"/>
            </w:pPr>
            <w:r>
              <w:t>2.4</w:t>
            </w:r>
          </w:p>
        </w:tc>
        <w:tc>
          <w:tcPr>
            <w:tcW w:w="876" w:type="dxa"/>
          </w:tcPr>
          <w:p w:rsidR="00AD12FE" w:rsidRPr="00AD12FE" w:rsidRDefault="00AD12FE" w:rsidP="00AD12FE">
            <w:pPr>
              <w:pStyle w:val="AERtabletextright"/>
              <w:cnfStyle w:val="000000010000"/>
            </w:pPr>
            <w:r>
              <w:t>2.5</w:t>
            </w:r>
          </w:p>
        </w:tc>
        <w:tc>
          <w:tcPr>
            <w:tcW w:w="876" w:type="dxa"/>
          </w:tcPr>
          <w:p w:rsidR="00AD12FE" w:rsidRPr="00AD12FE" w:rsidRDefault="00AD12FE" w:rsidP="00AD12FE">
            <w:pPr>
              <w:pStyle w:val="AERtabletextright"/>
              <w:cnfStyle w:val="000000010000"/>
            </w:pPr>
            <w:r>
              <w:t>2.5</w:t>
            </w:r>
          </w:p>
        </w:tc>
        <w:tc>
          <w:tcPr>
            <w:tcW w:w="876" w:type="dxa"/>
          </w:tcPr>
          <w:p w:rsidR="00AD12FE" w:rsidRPr="00AD12FE" w:rsidRDefault="00AD12FE" w:rsidP="00AD12FE">
            <w:pPr>
              <w:pStyle w:val="AERtabletextright"/>
              <w:cnfStyle w:val="000000010000"/>
            </w:pPr>
            <w:r>
              <w:t>7.4</w:t>
            </w:r>
          </w:p>
        </w:tc>
        <w:tc>
          <w:tcPr>
            <w:tcW w:w="876" w:type="dxa"/>
          </w:tcPr>
          <w:p w:rsidR="00AD12FE" w:rsidRPr="00AD12FE" w:rsidRDefault="00AD12FE" w:rsidP="00AD12FE">
            <w:pPr>
              <w:pStyle w:val="AERtabletextright"/>
              <w:cnfStyle w:val="000000010000"/>
            </w:pPr>
            <w:r>
              <w:t>4.8</w:t>
            </w:r>
          </w:p>
        </w:tc>
      </w:tr>
      <w:tr w:rsidR="00AD12FE" w:rsidTr="00D0040B">
        <w:tc>
          <w:tcPr>
            <w:cnfStyle w:val="001000000000"/>
            <w:tcW w:w="2093" w:type="dxa"/>
            <w:vMerge/>
          </w:tcPr>
          <w:p w:rsidR="00AD12FE" w:rsidRDefault="00AD12FE" w:rsidP="00AD12FE">
            <w:pPr>
              <w:pStyle w:val="AERbodytext"/>
              <w:numPr>
                <w:ilvl w:val="0"/>
                <w:numId w:val="13"/>
              </w:numPr>
            </w:pPr>
          </w:p>
        </w:tc>
        <w:tc>
          <w:tcPr>
            <w:tcW w:w="2693" w:type="dxa"/>
          </w:tcPr>
          <w:p w:rsidR="00AD12FE" w:rsidRPr="00765D2B" w:rsidRDefault="00AD12FE" w:rsidP="00AD12FE">
            <w:pPr>
              <w:pStyle w:val="AERbodytext"/>
              <w:numPr>
                <w:ilvl w:val="0"/>
                <w:numId w:val="13"/>
              </w:numPr>
              <w:cnfStyle w:val="000000000000"/>
            </w:pPr>
            <w:r>
              <w:t>Taxes and Charges</w:t>
            </w:r>
          </w:p>
        </w:tc>
        <w:tc>
          <w:tcPr>
            <w:tcW w:w="876" w:type="dxa"/>
          </w:tcPr>
          <w:p w:rsidR="00AD12FE" w:rsidRPr="00AD12FE" w:rsidRDefault="00AD12FE" w:rsidP="00AD12FE">
            <w:pPr>
              <w:pStyle w:val="AERtabletextright"/>
              <w:cnfStyle w:val="000000000000"/>
            </w:pPr>
            <w:r>
              <w:t>5.4</w:t>
            </w:r>
          </w:p>
        </w:tc>
        <w:tc>
          <w:tcPr>
            <w:tcW w:w="876" w:type="dxa"/>
          </w:tcPr>
          <w:p w:rsidR="00AD12FE" w:rsidRPr="00AD12FE" w:rsidRDefault="00AD12FE" w:rsidP="00AD12FE">
            <w:pPr>
              <w:pStyle w:val="AERtabletextright"/>
              <w:cnfStyle w:val="000000000000"/>
            </w:pPr>
            <w:r>
              <w:t>5.4</w:t>
            </w:r>
          </w:p>
        </w:tc>
        <w:tc>
          <w:tcPr>
            <w:tcW w:w="876" w:type="dxa"/>
          </w:tcPr>
          <w:p w:rsidR="00AD12FE" w:rsidRPr="00AD12FE" w:rsidRDefault="00AD12FE" w:rsidP="00AD12FE">
            <w:pPr>
              <w:pStyle w:val="AERtabletextright"/>
              <w:cnfStyle w:val="000000000000"/>
            </w:pPr>
            <w:r>
              <w:t>5.4</w:t>
            </w:r>
          </w:p>
        </w:tc>
        <w:tc>
          <w:tcPr>
            <w:tcW w:w="876" w:type="dxa"/>
          </w:tcPr>
          <w:p w:rsidR="00AD12FE" w:rsidRPr="00AD12FE" w:rsidRDefault="00AD12FE" w:rsidP="00AD12FE">
            <w:pPr>
              <w:pStyle w:val="AERtabletextright"/>
              <w:cnfStyle w:val="000000000000"/>
            </w:pPr>
            <w:r>
              <w:t>16.8</w:t>
            </w:r>
          </w:p>
        </w:tc>
        <w:tc>
          <w:tcPr>
            <w:tcW w:w="876" w:type="dxa"/>
          </w:tcPr>
          <w:p w:rsidR="00AD12FE" w:rsidRPr="00AD12FE" w:rsidRDefault="00AD12FE" w:rsidP="00AD12FE">
            <w:pPr>
              <w:pStyle w:val="AERtabletextright"/>
              <w:cnfStyle w:val="000000000000"/>
            </w:pPr>
            <w:r>
              <w:t>31.1</w:t>
            </w:r>
          </w:p>
        </w:tc>
      </w:tr>
      <w:tr w:rsidR="00AD12FE" w:rsidTr="00D0040B">
        <w:trPr>
          <w:cnfStyle w:val="000000010000"/>
        </w:trPr>
        <w:tc>
          <w:tcPr>
            <w:cnfStyle w:val="001000000000"/>
            <w:tcW w:w="2093" w:type="dxa"/>
            <w:vMerge/>
          </w:tcPr>
          <w:p w:rsidR="00AD12FE" w:rsidRDefault="00AD12FE" w:rsidP="00AD12FE">
            <w:pPr>
              <w:pStyle w:val="AERbodytext"/>
              <w:numPr>
                <w:ilvl w:val="0"/>
                <w:numId w:val="13"/>
              </w:numPr>
            </w:pPr>
          </w:p>
        </w:tc>
        <w:tc>
          <w:tcPr>
            <w:tcW w:w="2693" w:type="dxa"/>
          </w:tcPr>
          <w:p w:rsidR="00AD12FE" w:rsidRDefault="00AD12FE" w:rsidP="00AD12FE">
            <w:pPr>
              <w:pStyle w:val="AERbodytext"/>
              <w:numPr>
                <w:ilvl w:val="0"/>
                <w:numId w:val="13"/>
              </w:numPr>
              <w:cnfStyle w:val="000000010000"/>
            </w:pPr>
            <w:r>
              <w:t>Insurance</w:t>
            </w:r>
          </w:p>
        </w:tc>
        <w:tc>
          <w:tcPr>
            <w:tcW w:w="876" w:type="dxa"/>
          </w:tcPr>
          <w:p w:rsidR="00AD12FE" w:rsidRPr="00AD12FE" w:rsidRDefault="00AD12FE" w:rsidP="00AD12FE">
            <w:pPr>
              <w:pStyle w:val="AERtabletextright"/>
              <w:cnfStyle w:val="000000010000"/>
            </w:pPr>
            <w:r>
              <w:t>5.7</w:t>
            </w:r>
          </w:p>
        </w:tc>
        <w:tc>
          <w:tcPr>
            <w:tcW w:w="876" w:type="dxa"/>
          </w:tcPr>
          <w:p w:rsidR="00AD12FE" w:rsidRPr="00AD12FE" w:rsidRDefault="00AD12FE" w:rsidP="00AD12FE">
            <w:pPr>
              <w:pStyle w:val="AERtabletextright"/>
              <w:cnfStyle w:val="000000010000"/>
            </w:pPr>
            <w:r>
              <w:t>6.3</w:t>
            </w:r>
          </w:p>
        </w:tc>
        <w:tc>
          <w:tcPr>
            <w:tcW w:w="876" w:type="dxa"/>
          </w:tcPr>
          <w:p w:rsidR="00AD12FE" w:rsidRPr="00AD12FE" w:rsidRDefault="00AD12FE" w:rsidP="00AD12FE">
            <w:pPr>
              <w:pStyle w:val="AERtabletextright"/>
              <w:cnfStyle w:val="000000010000"/>
            </w:pPr>
            <w:r>
              <w:t>7.0</w:t>
            </w:r>
          </w:p>
        </w:tc>
        <w:tc>
          <w:tcPr>
            <w:tcW w:w="876" w:type="dxa"/>
          </w:tcPr>
          <w:p w:rsidR="00AD12FE" w:rsidRPr="00AD12FE" w:rsidRDefault="00AD12FE" w:rsidP="00AD12FE">
            <w:pPr>
              <w:pStyle w:val="AERtabletextright"/>
              <w:cnfStyle w:val="000000010000"/>
            </w:pPr>
            <w:r>
              <w:t>19.1</w:t>
            </w:r>
          </w:p>
        </w:tc>
        <w:tc>
          <w:tcPr>
            <w:tcW w:w="876" w:type="dxa"/>
          </w:tcPr>
          <w:p w:rsidR="00AD12FE" w:rsidRPr="00AD12FE" w:rsidRDefault="00AD12FE" w:rsidP="00AD12FE">
            <w:pPr>
              <w:pStyle w:val="AERtabletextright"/>
              <w:cnfStyle w:val="000000010000"/>
            </w:pPr>
            <w:r>
              <w:t>23.1</w:t>
            </w:r>
          </w:p>
        </w:tc>
      </w:tr>
      <w:tr w:rsidR="00AD12FE" w:rsidTr="00D0040B">
        <w:tc>
          <w:tcPr>
            <w:cnfStyle w:val="001000000000"/>
            <w:tcW w:w="2093" w:type="dxa"/>
            <w:vMerge/>
          </w:tcPr>
          <w:p w:rsidR="00AD12FE" w:rsidRPr="00F848A8" w:rsidRDefault="00AD12FE" w:rsidP="00AD12FE">
            <w:pPr>
              <w:pStyle w:val="AERbodytext"/>
              <w:numPr>
                <w:ilvl w:val="0"/>
                <w:numId w:val="13"/>
              </w:numPr>
              <w:rPr>
                <w:rStyle w:val="AERtextbold"/>
              </w:rPr>
            </w:pPr>
          </w:p>
        </w:tc>
        <w:tc>
          <w:tcPr>
            <w:tcW w:w="2693" w:type="dxa"/>
          </w:tcPr>
          <w:p w:rsidR="00AD12FE" w:rsidRPr="00F848A8" w:rsidRDefault="00AD12FE" w:rsidP="00AD12FE">
            <w:pPr>
              <w:pStyle w:val="AERbodytext"/>
              <w:numPr>
                <w:ilvl w:val="0"/>
                <w:numId w:val="13"/>
              </w:numPr>
              <w:cnfStyle w:val="000000000000"/>
              <w:rPr>
                <w:rStyle w:val="AERtextbold"/>
              </w:rPr>
            </w:pPr>
            <w:r w:rsidRPr="00F848A8">
              <w:rPr>
                <w:rStyle w:val="AERtextbold"/>
              </w:rPr>
              <w:t>Total system recurrent</w:t>
            </w:r>
          </w:p>
        </w:tc>
        <w:tc>
          <w:tcPr>
            <w:tcW w:w="876" w:type="dxa"/>
          </w:tcPr>
          <w:p w:rsidR="00AD12FE" w:rsidRPr="00AD12FE" w:rsidRDefault="00AD12FE" w:rsidP="00AD12FE">
            <w:pPr>
              <w:pStyle w:val="AERtabletextright"/>
              <w:cnfStyle w:val="000000000000"/>
              <w:rPr>
                <w:rStyle w:val="AERtextbold"/>
              </w:rPr>
            </w:pPr>
            <w:r w:rsidRPr="00F91C20">
              <w:rPr>
                <w:rStyle w:val="AERtextbold"/>
              </w:rPr>
              <w:t>58.2</w:t>
            </w:r>
          </w:p>
        </w:tc>
        <w:tc>
          <w:tcPr>
            <w:tcW w:w="876" w:type="dxa"/>
          </w:tcPr>
          <w:p w:rsidR="00AD12FE" w:rsidRPr="00AD12FE" w:rsidRDefault="00AD12FE" w:rsidP="00AD12FE">
            <w:pPr>
              <w:pStyle w:val="AERtabletextright"/>
              <w:cnfStyle w:val="000000000000"/>
              <w:rPr>
                <w:rStyle w:val="AERtextbold"/>
              </w:rPr>
            </w:pPr>
            <w:r w:rsidRPr="00F91C20">
              <w:rPr>
                <w:rStyle w:val="AERtextbold"/>
              </w:rPr>
              <w:t>59.7</w:t>
            </w:r>
          </w:p>
        </w:tc>
        <w:tc>
          <w:tcPr>
            <w:tcW w:w="876" w:type="dxa"/>
          </w:tcPr>
          <w:p w:rsidR="00AD12FE" w:rsidRPr="00AD12FE" w:rsidRDefault="00AD12FE" w:rsidP="00AD12FE">
            <w:pPr>
              <w:pStyle w:val="AERtabletextright"/>
              <w:cnfStyle w:val="000000000000"/>
              <w:rPr>
                <w:rStyle w:val="AERtextbold"/>
              </w:rPr>
            </w:pPr>
            <w:r w:rsidRPr="00F91C20">
              <w:rPr>
                <w:rStyle w:val="AERtextbold"/>
              </w:rPr>
              <w:t>61.0</w:t>
            </w:r>
          </w:p>
        </w:tc>
        <w:tc>
          <w:tcPr>
            <w:tcW w:w="876" w:type="dxa"/>
          </w:tcPr>
          <w:p w:rsidR="00AD12FE" w:rsidRPr="00AD12FE" w:rsidRDefault="00AD12FE" w:rsidP="00AD12FE">
            <w:pPr>
              <w:pStyle w:val="AERtabletextright"/>
              <w:cnfStyle w:val="000000000000"/>
              <w:rPr>
                <w:rStyle w:val="AERtextbold"/>
              </w:rPr>
            </w:pPr>
            <w:r w:rsidRPr="00F91C20">
              <w:rPr>
                <w:rStyle w:val="AERtextbold"/>
              </w:rPr>
              <w:t>178.89</w:t>
            </w:r>
          </w:p>
        </w:tc>
        <w:tc>
          <w:tcPr>
            <w:tcW w:w="876" w:type="dxa"/>
          </w:tcPr>
          <w:p w:rsidR="00AD12FE" w:rsidRPr="00AD12FE" w:rsidRDefault="00AD12FE" w:rsidP="00AD12FE">
            <w:pPr>
              <w:pStyle w:val="AERtabletextright"/>
              <w:cnfStyle w:val="000000000000"/>
              <w:rPr>
                <w:rStyle w:val="AERtextbold"/>
              </w:rPr>
            </w:pPr>
            <w:r>
              <w:rPr>
                <w:rStyle w:val="AERtextbold"/>
              </w:rPr>
              <w:t>287.7</w:t>
            </w:r>
          </w:p>
        </w:tc>
      </w:tr>
      <w:tr w:rsidR="00AD12FE" w:rsidTr="00D0040B">
        <w:trPr>
          <w:cnfStyle w:val="000000010000"/>
        </w:trPr>
        <w:tc>
          <w:tcPr>
            <w:cnfStyle w:val="001000000000"/>
            <w:tcW w:w="2093" w:type="dxa"/>
            <w:vMerge w:val="restart"/>
          </w:tcPr>
          <w:p w:rsidR="00AD12FE" w:rsidRPr="0008481E" w:rsidRDefault="00AD12FE" w:rsidP="00AD12FE">
            <w:pPr>
              <w:pStyle w:val="AERbodytext"/>
              <w:numPr>
                <w:ilvl w:val="0"/>
                <w:numId w:val="13"/>
              </w:numPr>
              <w:rPr>
                <w:rStyle w:val="AERtextbold"/>
              </w:rPr>
            </w:pPr>
            <w:r w:rsidRPr="0008481E">
              <w:rPr>
                <w:rStyle w:val="AERtextbold"/>
              </w:rPr>
              <w:t>System non-recurrent</w:t>
            </w:r>
          </w:p>
        </w:tc>
        <w:tc>
          <w:tcPr>
            <w:tcW w:w="2693" w:type="dxa"/>
          </w:tcPr>
          <w:p w:rsidR="00AD12FE" w:rsidRDefault="00AD12FE" w:rsidP="00AD12FE">
            <w:pPr>
              <w:pStyle w:val="AERbodytext"/>
              <w:numPr>
                <w:ilvl w:val="0"/>
                <w:numId w:val="13"/>
              </w:numPr>
              <w:cnfStyle w:val="000000010000"/>
            </w:pPr>
            <w:r>
              <w:t>Asset works program</w:t>
            </w:r>
          </w:p>
        </w:tc>
        <w:tc>
          <w:tcPr>
            <w:tcW w:w="876" w:type="dxa"/>
          </w:tcPr>
          <w:p w:rsidR="00AD12FE" w:rsidRPr="00AD12FE" w:rsidRDefault="00AD12FE" w:rsidP="00AD12FE">
            <w:pPr>
              <w:pStyle w:val="AERtabletextright"/>
              <w:cnfStyle w:val="000000010000"/>
            </w:pPr>
            <w:r>
              <w:t>8.0</w:t>
            </w:r>
          </w:p>
        </w:tc>
        <w:tc>
          <w:tcPr>
            <w:tcW w:w="876" w:type="dxa"/>
          </w:tcPr>
          <w:p w:rsidR="00AD12FE" w:rsidRPr="00AD12FE" w:rsidRDefault="00AD12FE" w:rsidP="00AD12FE">
            <w:pPr>
              <w:pStyle w:val="AERtabletextright"/>
              <w:cnfStyle w:val="000000010000"/>
            </w:pPr>
            <w:r>
              <w:t>8.0</w:t>
            </w:r>
          </w:p>
        </w:tc>
        <w:tc>
          <w:tcPr>
            <w:tcW w:w="876" w:type="dxa"/>
          </w:tcPr>
          <w:p w:rsidR="00AD12FE" w:rsidRPr="00AD12FE" w:rsidRDefault="00AD12FE" w:rsidP="00AD12FE">
            <w:pPr>
              <w:pStyle w:val="AERtabletextright"/>
              <w:cnfStyle w:val="000000010000"/>
            </w:pPr>
            <w:r>
              <w:t>8.5</w:t>
            </w:r>
          </w:p>
        </w:tc>
        <w:tc>
          <w:tcPr>
            <w:tcW w:w="876" w:type="dxa"/>
          </w:tcPr>
          <w:p w:rsidR="00AD12FE" w:rsidRPr="00AD12FE" w:rsidRDefault="00AD12FE" w:rsidP="00AD12FE">
            <w:pPr>
              <w:pStyle w:val="AERtabletextright"/>
              <w:cnfStyle w:val="000000010000"/>
            </w:pPr>
            <w:r>
              <w:t>24.6</w:t>
            </w:r>
          </w:p>
        </w:tc>
        <w:tc>
          <w:tcPr>
            <w:tcW w:w="876" w:type="dxa"/>
          </w:tcPr>
          <w:p w:rsidR="00AD12FE" w:rsidRPr="00AD12FE" w:rsidRDefault="00AD12FE" w:rsidP="00AD12FE">
            <w:pPr>
              <w:pStyle w:val="AERtabletextright"/>
              <w:cnfStyle w:val="000000010000"/>
            </w:pPr>
            <w:r>
              <w:t>51.0</w:t>
            </w:r>
          </w:p>
        </w:tc>
      </w:tr>
      <w:tr w:rsidR="00AD12FE" w:rsidTr="00D0040B">
        <w:tc>
          <w:tcPr>
            <w:cnfStyle w:val="001000000000"/>
            <w:tcW w:w="2093" w:type="dxa"/>
            <w:vMerge/>
          </w:tcPr>
          <w:p w:rsidR="00AD12FE" w:rsidRDefault="00AD12FE" w:rsidP="00AD12FE">
            <w:pPr>
              <w:pStyle w:val="AERbodytext"/>
              <w:numPr>
                <w:ilvl w:val="0"/>
                <w:numId w:val="13"/>
              </w:numPr>
            </w:pPr>
          </w:p>
        </w:tc>
        <w:tc>
          <w:tcPr>
            <w:tcW w:w="2693" w:type="dxa"/>
          </w:tcPr>
          <w:p w:rsidR="00AD12FE" w:rsidRDefault="00AD12FE" w:rsidP="00AD12FE">
            <w:pPr>
              <w:pStyle w:val="AERbodytext"/>
              <w:numPr>
                <w:ilvl w:val="0"/>
                <w:numId w:val="13"/>
              </w:numPr>
              <w:cnfStyle w:val="000000000000"/>
            </w:pPr>
            <w:r>
              <w:t>Asset management support</w:t>
            </w:r>
          </w:p>
        </w:tc>
        <w:tc>
          <w:tcPr>
            <w:tcW w:w="876" w:type="dxa"/>
          </w:tcPr>
          <w:p w:rsidR="00AD12FE" w:rsidRPr="00AD12FE" w:rsidRDefault="00AD12FE" w:rsidP="00AD12FE">
            <w:pPr>
              <w:pStyle w:val="AERtabletextright"/>
              <w:cnfStyle w:val="000000000000"/>
            </w:pPr>
            <w:r>
              <w:t>1.3</w:t>
            </w:r>
          </w:p>
        </w:tc>
        <w:tc>
          <w:tcPr>
            <w:tcW w:w="876" w:type="dxa"/>
          </w:tcPr>
          <w:p w:rsidR="00AD12FE" w:rsidRPr="00AD12FE" w:rsidRDefault="00AD12FE" w:rsidP="00AD12FE">
            <w:pPr>
              <w:pStyle w:val="AERtabletextright"/>
              <w:cnfStyle w:val="000000000000"/>
            </w:pPr>
            <w:r>
              <w:t>1.3</w:t>
            </w:r>
          </w:p>
        </w:tc>
        <w:tc>
          <w:tcPr>
            <w:tcW w:w="876" w:type="dxa"/>
          </w:tcPr>
          <w:p w:rsidR="00AD12FE" w:rsidRPr="00AD12FE" w:rsidRDefault="00AD12FE" w:rsidP="00AD12FE">
            <w:pPr>
              <w:pStyle w:val="AERtabletextright"/>
              <w:cnfStyle w:val="000000000000"/>
            </w:pPr>
            <w:r>
              <w:t>1.3</w:t>
            </w:r>
          </w:p>
        </w:tc>
        <w:tc>
          <w:tcPr>
            <w:tcW w:w="876" w:type="dxa"/>
          </w:tcPr>
          <w:p w:rsidR="00AD12FE" w:rsidRPr="00AD12FE" w:rsidRDefault="00AD12FE" w:rsidP="00AD12FE">
            <w:pPr>
              <w:pStyle w:val="AERtabletextright"/>
              <w:cnfStyle w:val="000000000000"/>
            </w:pPr>
            <w:r>
              <w:t>3.8</w:t>
            </w:r>
          </w:p>
        </w:tc>
        <w:tc>
          <w:tcPr>
            <w:tcW w:w="876" w:type="dxa"/>
          </w:tcPr>
          <w:p w:rsidR="00AD12FE" w:rsidRPr="00AD12FE" w:rsidRDefault="00AD12FE" w:rsidP="00AD12FE">
            <w:pPr>
              <w:pStyle w:val="AERtabletextright"/>
              <w:cnfStyle w:val="000000000000"/>
            </w:pPr>
            <w:r>
              <w:t>6.9</w:t>
            </w:r>
          </w:p>
        </w:tc>
      </w:tr>
      <w:tr w:rsidR="00AD12FE" w:rsidTr="00D0040B">
        <w:trPr>
          <w:cnfStyle w:val="000000010000"/>
        </w:trPr>
        <w:tc>
          <w:tcPr>
            <w:cnfStyle w:val="001000000000"/>
            <w:tcW w:w="2093" w:type="dxa"/>
            <w:vMerge/>
          </w:tcPr>
          <w:p w:rsidR="00AD12FE" w:rsidRPr="00F848A8" w:rsidRDefault="00AD12FE" w:rsidP="00AD12FE">
            <w:pPr>
              <w:pStyle w:val="AERbodytext"/>
              <w:numPr>
                <w:ilvl w:val="0"/>
                <w:numId w:val="13"/>
              </w:numPr>
              <w:rPr>
                <w:rStyle w:val="AERtextbold"/>
              </w:rPr>
            </w:pPr>
          </w:p>
        </w:tc>
        <w:tc>
          <w:tcPr>
            <w:tcW w:w="2693" w:type="dxa"/>
          </w:tcPr>
          <w:p w:rsidR="00AD12FE" w:rsidRPr="00F848A8" w:rsidRDefault="00AD12FE" w:rsidP="00AD12FE">
            <w:pPr>
              <w:pStyle w:val="AERbodytext"/>
              <w:numPr>
                <w:ilvl w:val="0"/>
                <w:numId w:val="13"/>
              </w:numPr>
              <w:cnfStyle w:val="000000010000"/>
              <w:rPr>
                <w:rStyle w:val="AERtextbold"/>
              </w:rPr>
            </w:pPr>
            <w:r w:rsidRPr="00F848A8">
              <w:rPr>
                <w:rStyle w:val="AERtextbold"/>
              </w:rPr>
              <w:t>Total system non–recurrent</w:t>
            </w:r>
          </w:p>
        </w:tc>
        <w:tc>
          <w:tcPr>
            <w:tcW w:w="876" w:type="dxa"/>
          </w:tcPr>
          <w:p w:rsidR="00AD12FE" w:rsidRPr="00AD12FE" w:rsidRDefault="00AD12FE" w:rsidP="00AD12FE">
            <w:pPr>
              <w:pStyle w:val="AERtabletextright"/>
              <w:cnfStyle w:val="000000010000"/>
              <w:rPr>
                <w:rStyle w:val="AERtextbold"/>
              </w:rPr>
            </w:pPr>
            <w:r w:rsidRPr="00F91C20">
              <w:rPr>
                <w:rStyle w:val="AERtextbold"/>
              </w:rPr>
              <w:t>9.3</w:t>
            </w:r>
          </w:p>
        </w:tc>
        <w:tc>
          <w:tcPr>
            <w:tcW w:w="876" w:type="dxa"/>
          </w:tcPr>
          <w:p w:rsidR="00AD12FE" w:rsidRPr="00AD12FE" w:rsidRDefault="00AD12FE" w:rsidP="00AD12FE">
            <w:pPr>
              <w:pStyle w:val="AERtabletextright"/>
              <w:cnfStyle w:val="000000010000"/>
              <w:rPr>
                <w:rStyle w:val="AERtextbold"/>
              </w:rPr>
            </w:pPr>
            <w:r w:rsidRPr="00F91C20">
              <w:rPr>
                <w:rStyle w:val="AERtextbold"/>
              </w:rPr>
              <w:t>9.3</w:t>
            </w:r>
          </w:p>
        </w:tc>
        <w:tc>
          <w:tcPr>
            <w:tcW w:w="876" w:type="dxa"/>
          </w:tcPr>
          <w:p w:rsidR="00AD12FE" w:rsidRPr="00AD12FE" w:rsidRDefault="00AD12FE" w:rsidP="00AD12FE">
            <w:pPr>
              <w:pStyle w:val="AERtabletextright"/>
              <w:cnfStyle w:val="000000010000"/>
              <w:rPr>
                <w:rStyle w:val="AERtextbold"/>
              </w:rPr>
            </w:pPr>
            <w:r w:rsidRPr="00F91C20">
              <w:rPr>
                <w:rStyle w:val="AERtextbold"/>
              </w:rPr>
              <w:t>9.8</w:t>
            </w:r>
          </w:p>
        </w:tc>
        <w:tc>
          <w:tcPr>
            <w:tcW w:w="876" w:type="dxa"/>
          </w:tcPr>
          <w:p w:rsidR="00AD12FE" w:rsidRPr="00AD12FE" w:rsidRDefault="00AD12FE" w:rsidP="00AD12FE">
            <w:pPr>
              <w:pStyle w:val="AERtabletextright"/>
              <w:cnfStyle w:val="000000010000"/>
              <w:rPr>
                <w:rStyle w:val="AERtextbold"/>
              </w:rPr>
            </w:pPr>
            <w:r w:rsidRPr="00F91C20">
              <w:rPr>
                <w:rStyle w:val="AERtextbold"/>
              </w:rPr>
              <w:t>28.4</w:t>
            </w:r>
          </w:p>
        </w:tc>
        <w:tc>
          <w:tcPr>
            <w:tcW w:w="876" w:type="dxa"/>
          </w:tcPr>
          <w:p w:rsidR="00AD12FE" w:rsidRPr="00AD12FE" w:rsidRDefault="00AD12FE" w:rsidP="00AD12FE">
            <w:pPr>
              <w:pStyle w:val="AERtabletextright"/>
              <w:cnfStyle w:val="000000010000"/>
              <w:rPr>
                <w:rStyle w:val="AERtextbold"/>
              </w:rPr>
            </w:pPr>
            <w:r>
              <w:rPr>
                <w:rStyle w:val="AERtextbold"/>
              </w:rPr>
              <w:t>57.8</w:t>
            </w:r>
          </w:p>
        </w:tc>
      </w:tr>
      <w:tr w:rsidR="00AD12FE" w:rsidTr="00D0040B">
        <w:tc>
          <w:tcPr>
            <w:cnfStyle w:val="001000000000"/>
            <w:tcW w:w="2093" w:type="dxa"/>
            <w:vMerge w:val="restart"/>
          </w:tcPr>
          <w:p w:rsidR="00AD12FE" w:rsidRPr="0008481E" w:rsidRDefault="00AD12FE" w:rsidP="00AD12FE">
            <w:pPr>
              <w:pStyle w:val="AERbodytext"/>
              <w:numPr>
                <w:ilvl w:val="0"/>
                <w:numId w:val="13"/>
              </w:numPr>
              <w:rPr>
                <w:rStyle w:val="AERtextbold"/>
              </w:rPr>
            </w:pPr>
            <w:r w:rsidRPr="0008481E">
              <w:rPr>
                <w:rStyle w:val="AERtextbold"/>
              </w:rPr>
              <w:t>Non-system</w:t>
            </w:r>
          </w:p>
        </w:tc>
        <w:tc>
          <w:tcPr>
            <w:tcW w:w="2693" w:type="dxa"/>
          </w:tcPr>
          <w:p w:rsidR="00AD12FE" w:rsidRDefault="00AD12FE" w:rsidP="00AD12FE">
            <w:pPr>
              <w:pStyle w:val="AERbodytext"/>
              <w:numPr>
                <w:ilvl w:val="0"/>
                <w:numId w:val="13"/>
              </w:numPr>
              <w:cnfStyle w:val="000000000000"/>
            </w:pPr>
            <w:r>
              <w:t>Finance</w:t>
            </w:r>
          </w:p>
        </w:tc>
        <w:tc>
          <w:tcPr>
            <w:tcW w:w="876" w:type="dxa"/>
          </w:tcPr>
          <w:p w:rsidR="00AD12FE" w:rsidRPr="00AD12FE" w:rsidRDefault="00AD12FE" w:rsidP="00AD12FE">
            <w:pPr>
              <w:pStyle w:val="AERtabletextright"/>
              <w:cnfStyle w:val="000000000000"/>
            </w:pPr>
            <w:r>
              <w:t>3.7</w:t>
            </w:r>
          </w:p>
        </w:tc>
        <w:tc>
          <w:tcPr>
            <w:tcW w:w="876" w:type="dxa"/>
          </w:tcPr>
          <w:p w:rsidR="00AD12FE" w:rsidRPr="00AD12FE" w:rsidRDefault="00AD12FE" w:rsidP="00AD12FE">
            <w:pPr>
              <w:pStyle w:val="AERtabletextright"/>
              <w:cnfStyle w:val="000000000000"/>
            </w:pPr>
            <w:r>
              <w:t>3.7</w:t>
            </w:r>
          </w:p>
        </w:tc>
        <w:tc>
          <w:tcPr>
            <w:tcW w:w="876" w:type="dxa"/>
          </w:tcPr>
          <w:p w:rsidR="00AD12FE" w:rsidRPr="00AD12FE" w:rsidRDefault="00AD12FE" w:rsidP="00AD12FE">
            <w:pPr>
              <w:pStyle w:val="AERtabletextright"/>
              <w:cnfStyle w:val="000000000000"/>
            </w:pPr>
            <w:r>
              <w:t>3.8</w:t>
            </w:r>
          </w:p>
        </w:tc>
        <w:tc>
          <w:tcPr>
            <w:tcW w:w="876" w:type="dxa"/>
          </w:tcPr>
          <w:p w:rsidR="00AD12FE" w:rsidRPr="00AD12FE" w:rsidRDefault="00AD12FE" w:rsidP="00AD12FE">
            <w:pPr>
              <w:pStyle w:val="AERtabletextright"/>
              <w:cnfStyle w:val="000000000000"/>
            </w:pPr>
            <w:r>
              <w:t>11.2</w:t>
            </w:r>
          </w:p>
        </w:tc>
        <w:tc>
          <w:tcPr>
            <w:tcW w:w="876" w:type="dxa"/>
          </w:tcPr>
          <w:p w:rsidR="00AD12FE" w:rsidRPr="00AD12FE" w:rsidRDefault="00AD12FE" w:rsidP="00AD12FE">
            <w:pPr>
              <w:pStyle w:val="AERtabletextright"/>
              <w:cnfStyle w:val="000000000000"/>
            </w:pPr>
            <w:r>
              <w:t>21.7</w:t>
            </w:r>
          </w:p>
        </w:tc>
      </w:tr>
      <w:tr w:rsidR="00AD12FE" w:rsidTr="00D0040B">
        <w:trPr>
          <w:cnfStyle w:val="000000010000"/>
        </w:trPr>
        <w:tc>
          <w:tcPr>
            <w:cnfStyle w:val="001000000000"/>
            <w:tcW w:w="2093" w:type="dxa"/>
            <w:vMerge/>
          </w:tcPr>
          <w:p w:rsidR="00AD12FE" w:rsidRDefault="00AD12FE" w:rsidP="00AD12FE">
            <w:pPr>
              <w:pStyle w:val="AERbodytext"/>
              <w:numPr>
                <w:ilvl w:val="0"/>
                <w:numId w:val="13"/>
              </w:numPr>
            </w:pPr>
          </w:p>
        </w:tc>
        <w:tc>
          <w:tcPr>
            <w:tcW w:w="2693" w:type="dxa"/>
          </w:tcPr>
          <w:p w:rsidR="00AD12FE" w:rsidRDefault="00AD12FE" w:rsidP="00AD12FE">
            <w:pPr>
              <w:pStyle w:val="AERbodytext"/>
              <w:numPr>
                <w:ilvl w:val="0"/>
                <w:numId w:val="13"/>
              </w:numPr>
              <w:cnfStyle w:val="000000010000"/>
            </w:pPr>
            <w:r>
              <w:t>HR</w:t>
            </w:r>
          </w:p>
        </w:tc>
        <w:tc>
          <w:tcPr>
            <w:tcW w:w="876" w:type="dxa"/>
          </w:tcPr>
          <w:p w:rsidR="00AD12FE" w:rsidRPr="00AD12FE" w:rsidRDefault="00AD12FE" w:rsidP="00AD12FE">
            <w:pPr>
              <w:pStyle w:val="AERtabletextright"/>
              <w:cnfStyle w:val="000000010000"/>
            </w:pPr>
            <w:r>
              <w:t>0.5</w:t>
            </w:r>
          </w:p>
        </w:tc>
        <w:tc>
          <w:tcPr>
            <w:tcW w:w="876" w:type="dxa"/>
          </w:tcPr>
          <w:p w:rsidR="00AD12FE" w:rsidRPr="00AD12FE" w:rsidRDefault="00AD12FE" w:rsidP="00AD12FE">
            <w:pPr>
              <w:pStyle w:val="AERtabletextright"/>
              <w:cnfStyle w:val="000000010000"/>
            </w:pPr>
            <w:r>
              <w:t>0.5</w:t>
            </w:r>
          </w:p>
        </w:tc>
        <w:tc>
          <w:tcPr>
            <w:tcW w:w="876" w:type="dxa"/>
          </w:tcPr>
          <w:p w:rsidR="00AD12FE" w:rsidRPr="00AD12FE" w:rsidRDefault="00AD12FE" w:rsidP="00AD12FE">
            <w:pPr>
              <w:pStyle w:val="AERtabletextright"/>
              <w:cnfStyle w:val="000000010000"/>
            </w:pPr>
            <w:r>
              <w:t>0.5</w:t>
            </w:r>
          </w:p>
        </w:tc>
        <w:tc>
          <w:tcPr>
            <w:tcW w:w="876" w:type="dxa"/>
          </w:tcPr>
          <w:p w:rsidR="00AD12FE" w:rsidRPr="00AD12FE" w:rsidRDefault="00AD12FE" w:rsidP="00AD12FE">
            <w:pPr>
              <w:pStyle w:val="AERtabletextright"/>
              <w:cnfStyle w:val="000000010000"/>
            </w:pPr>
            <w:r>
              <w:t>1.5</w:t>
            </w:r>
          </w:p>
        </w:tc>
        <w:tc>
          <w:tcPr>
            <w:tcW w:w="876" w:type="dxa"/>
          </w:tcPr>
          <w:p w:rsidR="00AD12FE" w:rsidRPr="00AD12FE" w:rsidRDefault="00AD12FE" w:rsidP="00AD12FE">
            <w:pPr>
              <w:pStyle w:val="AERtabletextright"/>
              <w:cnfStyle w:val="000000010000"/>
            </w:pPr>
            <w:r>
              <w:t>5.5</w:t>
            </w:r>
          </w:p>
        </w:tc>
      </w:tr>
      <w:tr w:rsidR="00AD12FE" w:rsidTr="00D0040B">
        <w:tc>
          <w:tcPr>
            <w:cnfStyle w:val="001000000000"/>
            <w:tcW w:w="2093" w:type="dxa"/>
            <w:vMerge/>
          </w:tcPr>
          <w:p w:rsidR="00AD12FE" w:rsidRDefault="00AD12FE" w:rsidP="00AD12FE">
            <w:pPr>
              <w:pStyle w:val="AERbodytext"/>
              <w:numPr>
                <w:ilvl w:val="0"/>
                <w:numId w:val="13"/>
              </w:numPr>
            </w:pPr>
          </w:p>
        </w:tc>
        <w:tc>
          <w:tcPr>
            <w:tcW w:w="2693" w:type="dxa"/>
          </w:tcPr>
          <w:p w:rsidR="00AD12FE" w:rsidRDefault="00AD12FE" w:rsidP="00AD12FE">
            <w:pPr>
              <w:pStyle w:val="AERbodytext"/>
              <w:numPr>
                <w:ilvl w:val="0"/>
                <w:numId w:val="13"/>
              </w:numPr>
              <w:cnfStyle w:val="000000000000"/>
            </w:pPr>
            <w:r>
              <w:t>IT</w:t>
            </w:r>
          </w:p>
        </w:tc>
        <w:tc>
          <w:tcPr>
            <w:tcW w:w="876" w:type="dxa"/>
          </w:tcPr>
          <w:p w:rsidR="00AD12FE" w:rsidRPr="00AD12FE" w:rsidRDefault="00AD12FE" w:rsidP="00AD12FE">
            <w:pPr>
              <w:pStyle w:val="AERtabletextright"/>
              <w:cnfStyle w:val="000000000000"/>
            </w:pPr>
            <w:r>
              <w:t>7.0</w:t>
            </w:r>
          </w:p>
        </w:tc>
        <w:tc>
          <w:tcPr>
            <w:tcW w:w="876" w:type="dxa"/>
          </w:tcPr>
          <w:p w:rsidR="00AD12FE" w:rsidRPr="00AD12FE" w:rsidRDefault="00AD12FE" w:rsidP="00AD12FE">
            <w:pPr>
              <w:pStyle w:val="AERtabletextright"/>
              <w:cnfStyle w:val="000000000000"/>
            </w:pPr>
            <w:r>
              <w:t>7.0</w:t>
            </w:r>
          </w:p>
        </w:tc>
        <w:tc>
          <w:tcPr>
            <w:tcW w:w="876" w:type="dxa"/>
          </w:tcPr>
          <w:p w:rsidR="00AD12FE" w:rsidRPr="00AD12FE" w:rsidRDefault="00AD12FE" w:rsidP="00AD12FE">
            <w:pPr>
              <w:pStyle w:val="AERtabletextright"/>
              <w:cnfStyle w:val="000000000000"/>
            </w:pPr>
            <w:r>
              <w:t>7.0</w:t>
            </w:r>
          </w:p>
        </w:tc>
        <w:tc>
          <w:tcPr>
            <w:tcW w:w="876" w:type="dxa"/>
          </w:tcPr>
          <w:p w:rsidR="00AD12FE" w:rsidRPr="00AD12FE" w:rsidRDefault="00AD12FE" w:rsidP="00AD12FE">
            <w:pPr>
              <w:pStyle w:val="AERtabletextright"/>
              <w:cnfStyle w:val="000000000000"/>
            </w:pPr>
            <w:r>
              <w:t>20.9</w:t>
            </w:r>
          </w:p>
        </w:tc>
        <w:tc>
          <w:tcPr>
            <w:tcW w:w="876" w:type="dxa"/>
          </w:tcPr>
          <w:p w:rsidR="00AD12FE" w:rsidRPr="00AD12FE" w:rsidRDefault="00AD12FE" w:rsidP="00AD12FE">
            <w:pPr>
              <w:pStyle w:val="AERtabletextright"/>
              <w:cnfStyle w:val="000000000000"/>
            </w:pPr>
            <w:r>
              <w:t>35.2</w:t>
            </w:r>
          </w:p>
        </w:tc>
      </w:tr>
      <w:tr w:rsidR="00AD12FE" w:rsidTr="00D0040B">
        <w:trPr>
          <w:cnfStyle w:val="000000010000"/>
        </w:trPr>
        <w:tc>
          <w:tcPr>
            <w:cnfStyle w:val="001000000000"/>
            <w:tcW w:w="2093" w:type="dxa"/>
            <w:vMerge/>
          </w:tcPr>
          <w:p w:rsidR="00AD12FE" w:rsidRDefault="00AD12FE" w:rsidP="00AD12FE">
            <w:pPr>
              <w:pStyle w:val="AERbodytext"/>
              <w:numPr>
                <w:ilvl w:val="0"/>
                <w:numId w:val="13"/>
              </w:numPr>
            </w:pPr>
          </w:p>
        </w:tc>
        <w:tc>
          <w:tcPr>
            <w:tcW w:w="2693" w:type="dxa"/>
          </w:tcPr>
          <w:p w:rsidR="00AD12FE" w:rsidRDefault="00AD12FE" w:rsidP="00AD12FE">
            <w:pPr>
              <w:pStyle w:val="AERbodytext"/>
              <w:numPr>
                <w:ilvl w:val="0"/>
                <w:numId w:val="13"/>
              </w:numPr>
              <w:cnfStyle w:val="000000010000"/>
            </w:pPr>
            <w:r>
              <w:t>Other</w:t>
            </w:r>
          </w:p>
        </w:tc>
        <w:tc>
          <w:tcPr>
            <w:tcW w:w="876" w:type="dxa"/>
          </w:tcPr>
          <w:p w:rsidR="00AD12FE" w:rsidRPr="00AD12FE" w:rsidRDefault="00AD12FE" w:rsidP="00AD12FE">
            <w:pPr>
              <w:pStyle w:val="AERtabletextright"/>
              <w:cnfStyle w:val="000000010000"/>
            </w:pPr>
            <w:r>
              <w:t>4.2</w:t>
            </w:r>
          </w:p>
        </w:tc>
        <w:tc>
          <w:tcPr>
            <w:tcW w:w="876" w:type="dxa"/>
          </w:tcPr>
          <w:p w:rsidR="00AD12FE" w:rsidRPr="00AD12FE" w:rsidRDefault="00AD12FE" w:rsidP="00AD12FE">
            <w:pPr>
              <w:pStyle w:val="AERtabletextright"/>
              <w:cnfStyle w:val="000000010000"/>
            </w:pPr>
            <w:r>
              <w:t>5.6</w:t>
            </w:r>
          </w:p>
        </w:tc>
        <w:tc>
          <w:tcPr>
            <w:tcW w:w="876" w:type="dxa"/>
          </w:tcPr>
          <w:p w:rsidR="00AD12FE" w:rsidRPr="00AD12FE" w:rsidRDefault="00AD12FE" w:rsidP="00AD12FE">
            <w:pPr>
              <w:pStyle w:val="AERtabletextright"/>
              <w:cnfStyle w:val="000000010000"/>
            </w:pPr>
            <w:r>
              <w:t>5.6</w:t>
            </w:r>
          </w:p>
        </w:tc>
        <w:tc>
          <w:tcPr>
            <w:tcW w:w="876" w:type="dxa"/>
          </w:tcPr>
          <w:p w:rsidR="00AD12FE" w:rsidRPr="00AD12FE" w:rsidRDefault="00AD12FE" w:rsidP="00AD12FE">
            <w:pPr>
              <w:pStyle w:val="AERtabletextright"/>
              <w:cnfStyle w:val="000000010000"/>
            </w:pPr>
            <w:r>
              <w:t>15.4</w:t>
            </w:r>
          </w:p>
        </w:tc>
        <w:tc>
          <w:tcPr>
            <w:tcW w:w="876" w:type="dxa"/>
          </w:tcPr>
          <w:p w:rsidR="00AD12FE" w:rsidRPr="00AD12FE" w:rsidRDefault="00AD12FE" w:rsidP="00AD12FE">
            <w:pPr>
              <w:pStyle w:val="AERtabletextright"/>
              <w:cnfStyle w:val="000000010000"/>
            </w:pPr>
            <w:r>
              <w:t>31.1</w:t>
            </w:r>
          </w:p>
        </w:tc>
      </w:tr>
      <w:tr w:rsidR="00AD12FE" w:rsidTr="00D0040B">
        <w:tc>
          <w:tcPr>
            <w:cnfStyle w:val="001000000000"/>
            <w:tcW w:w="2093" w:type="dxa"/>
            <w:vMerge/>
          </w:tcPr>
          <w:p w:rsidR="00AD12FE" w:rsidRDefault="00AD12FE" w:rsidP="00AD12FE">
            <w:pPr>
              <w:pStyle w:val="AERbodytext"/>
              <w:numPr>
                <w:ilvl w:val="0"/>
                <w:numId w:val="13"/>
              </w:numPr>
            </w:pPr>
          </w:p>
        </w:tc>
        <w:tc>
          <w:tcPr>
            <w:tcW w:w="2693" w:type="dxa"/>
          </w:tcPr>
          <w:p w:rsidR="00AD12FE" w:rsidRDefault="00AD12FE" w:rsidP="00AD12FE">
            <w:pPr>
              <w:pStyle w:val="AERbodytext"/>
              <w:numPr>
                <w:ilvl w:val="0"/>
                <w:numId w:val="13"/>
              </w:numPr>
              <w:cnfStyle w:val="000000000000"/>
            </w:pPr>
            <w:r>
              <w:t>Management fee</w:t>
            </w:r>
          </w:p>
        </w:tc>
        <w:tc>
          <w:tcPr>
            <w:tcW w:w="876" w:type="dxa"/>
          </w:tcPr>
          <w:p w:rsidR="00AD12FE" w:rsidRPr="00AD12FE" w:rsidRDefault="00AD12FE" w:rsidP="00AD12FE">
            <w:pPr>
              <w:pStyle w:val="AERtabletextright"/>
              <w:cnfStyle w:val="000000000000"/>
            </w:pPr>
            <w:r>
              <w:t>6.7</w:t>
            </w:r>
          </w:p>
        </w:tc>
        <w:tc>
          <w:tcPr>
            <w:tcW w:w="876" w:type="dxa"/>
          </w:tcPr>
          <w:p w:rsidR="00AD12FE" w:rsidRPr="00AD12FE" w:rsidRDefault="00AD12FE" w:rsidP="00AD12FE">
            <w:pPr>
              <w:pStyle w:val="AERtabletextright"/>
              <w:cnfStyle w:val="000000000000"/>
            </w:pPr>
            <w:r>
              <w:t>6.8</w:t>
            </w:r>
          </w:p>
        </w:tc>
        <w:tc>
          <w:tcPr>
            <w:tcW w:w="876" w:type="dxa"/>
          </w:tcPr>
          <w:p w:rsidR="00AD12FE" w:rsidRPr="00AD12FE" w:rsidRDefault="00AD12FE" w:rsidP="00AD12FE">
            <w:pPr>
              <w:pStyle w:val="AERtabletextright"/>
              <w:cnfStyle w:val="000000000000"/>
            </w:pPr>
            <w:r>
              <w:t>6.9</w:t>
            </w:r>
          </w:p>
        </w:tc>
        <w:tc>
          <w:tcPr>
            <w:tcW w:w="876" w:type="dxa"/>
          </w:tcPr>
          <w:p w:rsidR="00AD12FE" w:rsidRPr="00AD12FE" w:rsidRDefault="00AD12FE" w:rsidP="00AD12FE">
            <w:pPr>
              <w:pStyle w:val="AERtabletextright"/>
              <w:cnfStyle w:val="000000000000"/>
            </w:pPr>
            <w:r>
              <w:t>20.4</w:t>
            </w:r>
          </w:p>
        </w:tc>
        <w:tc>
          <w:tcPr>
            <w:tcW w:w="876" w:type="dxa"/>
          </w:tcPr>
          <w:p w:rsidR="00AD12FE" w:rsidRPr="00AD12FE" w:rsidRDefault="00AD12FE" w:rsidP="00AD12FE">
            <w:pPr>
              <w:pStyle w:val="AERtabletextright"/>
              <w:cnfStyle w:val="000000000000"/>
            </w:pPr>
            <w:r>
              <w:t>39.1</w:t>
            </w:r>
          </w:p>
        </w:tc>
      </w:tr>
      <w:tr w:rsidR="00AD12FE" w:rsidTr="00D0040B">
        <w:trPr>
          <w:cnfStyle w:val="000000010000"/>
        </w:trPr>
        <w:tc>
          <w:tcPr>
            <w:cnfStyle w:val="001000000000"/>
            <w:tcW w:w="2093" w:type="dxa"/>
            <w:vMerge/>
          </w:tcPr>
          <w:p w:rsidR="00AD12FE" w:rsidRPr="00F8282E" w:rsidRDefault="00AD12FE" w:rsidP="00AD12FE">
            <w:pPr>
              <w:pStyle w:val="AERbodytext"/>
              <w:numPr>
                <w:ilvl w:val="0"/>
                <w:numId w:val="13"/>
              </w:numPr>
              <w:rPr>
                <w:rStyle w:val="AERtextbold"/>
              </w:rPr>
            </w:pPr>
          </w:p>
        </w:tc>
        <w:tc>
          <w:tcPr>
            <w:tcW w:w="2693" w:type="dxa"/>
          </w:tcPr>
          <w:p w:rsidR="00AD12FE" w:rsidRPr="00F8282E" w:rsidRDefault="00AD12FE" w:rsidP="00AD12FE">
            <w:pPr>
              <w:pStyle w:val="AERbodytext"/>
              <w:numPr>
                <w:ilvl w:val="0"/>
                <w:numId w:val="13"/>
              </w:numPr>
              <w:cnfStyle w:val="000000010000"/>
              <w:rPr>
                <w:rStyle w:val="AERtextbold"/>
              </w:rPr>
            </w:pPr>
            <w:r w:rsidRPr="00F8282E">
              <w:rPr>
                <w:rStyle w:val="AERtextbold"/>
              </w:rPr>
              <w:t>Total controllable opex</w:t>
            </w:r>
          </w:p>
        </w:tc>
        <w:tc>
          <w:tcPr>
            <w:tcW w:w="876" w:type="dxa"/>
          </w:tcPr>
          <w:p w:rsidR="00AD12FE" w:rsidRPr="00AD12FE" w:rsidRDefault="00AD12FE" w:rsidP="00AD12FE">
            <w:pPr>
              <w:pStyle w:val="AERtabletextright"/>
              <w:cnfStyle w:val="000000010000"/>
              <w:rPr>
                <w:rStyle w:val="AERtextbold"/>
              </w:rPr>
            </w:pPr>
            <w:r>
              <w:rPr>
                <w:rStyle w:val="AERtextbold"/>
              </w:rPr>
              <w:t>91.15</w:t>
            </w:r>
          </w:p>
        </w:tc>
        <w:tc>
          <w:tcPr>
            <w:tcW w:w="876" w:type="dxa"/>
          </w:tcPr>
          <w:p w:rsidR="00AD12FE" w:rsidRPr="00AD12FE" w:rsidRDefault="00AD12FE" w:rsidP="00AD12FE">
            <w:pPr>
              <w:pStyle w:val="AERtabletextright"/>
              <w:cnfStyle w:val="000000010000"/>
              <w:rPr>
                <w:rStyle w:val="AERtextbold"/>
              </w:rPr>
            </w:pPr>
            <w:r>
              <w:rPr>
                <w:rStyle w:val="AERtextbold"/>
              </w:rPr>
              <w:t>94.26</w:t>
            </w:r>
          </w:p>
        </w:tc>
        <w:tc>
          <w:tcPr>
            <w:tcW w:w="876" w:type="dxa"/>
          </w:tcPr>
          <w:p w:rsidR="00AD12FE" w:rsidRPr="00AD12FE" w:rsidRDefault="00AD12FE" w:rsidP="00AD12FE">
            <w:pPr>
              <w:pStyle w:val="AERtabletextright"/>
              <w:cnfStyle w:val="000000010000"/>
              <w:rPr>
                <w:rStyle w:val="AERtextbold"/>
              </w:rPr>
            </w:pPr>
            <w:r>
              <w:rPr>
                <w:rStyle w:val="AERtextbold"/>
              </w:rPr>
              <w:t>95.58</w:t>
            </w:r>
          </w:p>
        </w:tc>
        <w:tc>
          <w:tcPr>
            <w:tcW w:w="876" w:type="dxa"/>
          </w:tcPr>
          <w:p w:rsidR="00AD12FE" w:rsidRPr="00AD12FE" w:rsidRDefault="00AD12FE" w:rsidP="00AD12FE">
            <w:pPr>
              <w:pStyle w:val="AERtabletextright"/>
              <w:cnfStyle w:val="000000010000"/>
              <w:rPr>
                <w:rStyle w:val="AERtextbold"/>
              </w:rPr>
            </w:pPr>
            <w:r>
              <w:rPr>
                <w:rStyle w:val="AERtextbold"/>
              </w:rPr>
              <w:t>280.99</w:t>
            </w:r>
          </w:p>
        </w:tc>
        <w:tc>
          <w:tcPr>
            <w:tcW w:w="876" w:type="dxa"/>
          </w:tcPr>
          <w:p w:rsidR="00AD12FE" w:rsidRPr="00AD12FE" w:rsidRDefault="00AD12FE" w:rsidP="00AD12FE">
            <w:pPr>
              <w:pStyle w:val="AERtabletextright"/>
              <w:cnfStyle w:val="000000010000"/>
              <w:rPr>
                <w:rStyle w:val="AERtextbold"/>
              </w:rPr>
            </w:pPr>
            <w:r>
              <w:rPr>
                <w:rStyle w:val="AERtextbold"/>
              </w:rPr>
              <w:t>478.2</w:t>
            </w:r>
          </w:p>
        </w:tc>
      </w:tr>
      <w:tr w:rsidR="00AD12FE" w:rsidTr="00D0040B">
        <w:tc>
          <w:tcPr>
            <w:cnfStyle w:val="001000000000"/>
            <w:tcW w:w="2093" w:type="dxa"/>
            <w:vMerge w:val="restart"/>
          </w:tcPr>
          <w:p w:rsidR="00AD12FE" w:rsidRDefault="00AD12FE" w:rsidP="00AD12FE">
            <w:pPr>
              <w:pStyle w:val="AERbodytext"/>
              <w:numPr>
                <w:ilvl w:val="0"/>
                <w:numId w:val="13"/>
              </w:numPr>
            </w:pPr>
          </w:p>
        </w:tc>
        <w:tc>
          <w:tcPr>
            <w:tcW w:w="2693" w:type="dxa"/>
          </w:tcPr>
          <w:p w:rsidR="00AD12FE" w:rsidRDefault="00AD12FE" w:rsidP="00AD12FE">
            <w:pPr>
              <w:pStyle w:val="AERbodytext"/>
              <w:numPr>
                <w:ilvl w:val="0"/>
                <w:numId w:val="13"/>
              </w:numPr>
              <w:cnfStyle w:val="000000000000"/>
            </w:pPr>
            <w:r>
              <w:t>Easement tax</w:t>
            </w:r>
          </w:p>
        </w:tc>
        <w:tc>
          <w:tcPr>
            <w:tcW w:w="876" w:type="dxa"/>
          </w:tcPr>
          <w:p w:rsidR="00AD12FE" w:rsidRPr="00AD12FE" w:rsidRDefault="00AD12FE" w:rsidP="00AD12FE">
            <w:pPr>
              <w:pStyle w:val="AERtabletextright"/>
              <w:cnfStyle w:val="000000000000"/>
            </w:pPr>
            <w:r>
              <w:t>100.9</w:t>
            </w:r>
          </w:p>
        </w:tc>
        <w:tc>
          <w:tcPr>
            <w:tcW w:w="876" w:type="dxa"/>
          </w:tcPr>
          <w:p w:rsidR="00AD12FE" w:rsidRPr="00AD12FE" w:rsidRDefault="00AD12FE" w:rsidP="00AD12FE">
            <w:pPr>
              <w:pStyle w:val="AERtabletextright"/>
              <w:cnfStyle w:val="000000000000"/>
            </w:pPr>
            <w:r>
              <w:t>103.4</w:t>
            </w:r>
          </w:p>
        </w:tc>
        <w:tc>
          <w:tcPr>
            <w:tcW w:w="876" w:type="dxa"/>
          </w:tcPr>
          <w:p w:rsidR="00AD12FE" w:rsidRPr="00AD12FE" w:rsidRDefault="00AD12FE" w:rsidP="00AD12FE">
            <w:pPr>
              <w:pStyle w:val="AERtabletextright"/>
              <w:cnfStyle w:val="000000000000"/>
            </w:pPr>
            <w:r>
              <w:t>100.9</w:t>
            </w:r>
          </w:p>
        </w:tc>
        <w:tc>
          <w:tcPr>
            <w:tcW w:w="876" w:type="dxa"/>
          </w:tcPr>
          <w:p w:rsidR="00AD12FE" w:rsidRPr="00AD12FE" w:rsidRDefault="00AD12FE" w:rsidP="00AD12FE">
            <w:pPr>
              <w:pStyle w:val="AERtabletextright"/>
              <w:cnfStyle w:val="000000000000"/>
            </w:pPr>
            <w:r>
              <w:t>305.3</w:t>
            </w:r>
          </w:p>
        </w:tc>
        <w:tc>
          <w:tcPr>
            <w:tcW w:w="876" w:type="dxa"/>
          </w:tcPr>
          <w:p w:rsidR="00AD12FE" w:rsidRPr="00AD12FE" w:rsidRDefault="00AD12FE" w:rsidP="00AD12FE">
            <w:pPr>
              <w:pStyle w:val="AERtabletextright"/>
              <w:cnfStyle w:val="000000000000"/>
            </w:pPr>
            <w:r>
              <w:t>611.7</w:t>
            </w:r>
          </w:p>
        </w:tc>
      </w:tr>
      <w:tr w:rsidR="00AD12FE" w:rsidTr="00D0040B">
        <w:trPr>
          <w:cnfStyle w:val="000000010000"/>
        </w:trPr>
        <w:tc>
          <w:tcPr>
            <w:cnfStyle w:val="001000000000"/>
            <w:tcW w:w="2093" w:type="dxa"/>
            <w:vMerge/>
          </w:tcPr>
          <w:p w:rsidR="00AD12FE" w:rsidRDefault="00AD12FE" w:rsidP="00AD12FE">
            <w:pPr>
              <w:pStyle w:val="AERbodytext"/>
              <w:numPr>
                <w:ilvl w:val="0"/>
                <w:numId w:val="13"/>
              </w:numPr>
            </w:pPr>
          </w:p>
        </w:tc>
        <w:tc>
          <w:tcPr>
            <w:tcW w:w="2693" w:type="dxa"/>
          </w:tcPr>
          <w:p w:rsidR="00AD12FE" w:rsidRDefault="00AD12FE" w:rsidP="00AD12FE">
            <w:pPr>
              <w:pStyle w:val="AERbodytext"/>
              <w:numPr>
                <w:ilvl w:val="0"/>
                <w:numId w:val="13"/>
              </w:numPr>
              <w:cnfStyle w:val="000000010000"/>
            </w:pPr>
            <w:r>
              <w:t>Other costs(incl self insurance, debt/equity raising costs)</w:t>
            </w:r>
          </w:p>
        </w:tc>
        <w:tc>
          <w:tcPr>
            <w:tcW w:w="876" w:type="dxa"/>
          </w:tcPr>
          <w:p w:rsidR="00AD12FE" w:rsidRPr="00AD12FE" w:rsidRDefault="00AD12FE" w:rsidP="00AD12FE">
            <w:pPr>
              <w:pStyle w:val="AERtabletextright"/>
              <w:cnfStyle w:val="000000010000"/>
            </w:pPr>
            <w:r>
              <w:t>9.8</w:t>
            </w:r>
          </w:p>
        </w:tc>
        <w:tc>
          <w:tcPr>
            <w:tcW w:w="876" w:type="dxa"/>
          </w:tcPr>
          <w:p w:rsidR="00AD12FE" w:rsidRPr="00AD12FE" w:rsidRDefault="00AD12FE" w:rsidP="00AD12FE">
            <w:pPr>
              <w:pStyle w:val="AERtabletextright"/>
              <w:cnfStyle w:val="000000010000"/>
            </w:pPr>
            <w:r>
              <w:t>9.8</w:t>
            </w:r>
          </w:p>
        </w:tc>
        <w:tc>
          <w:tcPr>
            <w:tcW w:w="876" w:type="dxa"/>
          </w:tcPr>
          <w:p w:rsidR="00AD12FE" w:rsidRPr="00AD12FE" w:rsidRDefault="00AD12FE" w:rsidP="00AD12FE">
            <w:pPr>
              <w:pStyle w:val="AERtabletextright"/>
              <w:cnfStyle w:val="000000010000"/>
            </w:pPr>
            <w:r>
              <w:t>9.1</w:t>
            </w:r>
          </w:p>
        </w:tc>
        <w:tc>
          <w:tcPr>
            <w:tcW w:w="876" w:type="dxa"/>
          </w:tcPr>
          <w:p w:rsidR="00AD12FE" w:rsidRPr="00AD12FE" w:rsidRDefault="00AD12FE" w:rsidP="00AD12FE">
            <w:pPr>
              <w:pStyle w:val="AERtabletextright"/>
              <w:cnfStyle w:val="000000010000"/>
            </w:pPr>
            <w:r>
              <w:t>28.6</w:t>
            </w:r>
          </w:p>
        </w:tc>
        <w:tc>
          <w:tcPr>
            <w:tcW w:w="876" w:type="dxa"/>
          </w:tcPr>
          <w:p w:rsidR="00AD12FE" w:rsidRPr="00AD12FE" w:rsidRDefault="00AD12FE" w:rsidP="00AD12FE">
            <w:pPr>
              <w:pStyle w:val="AERtabletextright"/>
              <w:cnfStyle w:val="000000010000"/>
            </w:pPr>
            <w:r>
              <w:t>30.6</w:t>
            </w:r>
          </w:p>
        </w:tc>
      </w:tr>
      <w:tr w:rsidR="00AD12FE" w:rsidTr="00D0040B">
        <w:tc>
          <w:tcPr>
            <w:cnfStyle w:val="001000000000"/>
            <w:tcW w:w="2093" w:type="dxa"/>
            <w:vMerge/>
          </w:tcPr>
          <w:p w:rsidR="00AD12FE" w:rsidRDefault="00AD12FE" w:rsidP="00AD12FE">
            <w:pPr>
              <w:pStyle w:val="AERbodytext"/>
              <w:numPr>
                <w:ilvl w:val="0"/>
                <w:numId w:val="13"/>
              </w:numPr>
              <w:rPr>
                <w:rStyle w:val="AERtextbold"/>
              </w:rPr>
            </w:pPr>
          </w:p>
        </w:tc>
        <w:tc>
          <w:tcPr>
            <w:tcW w:w="2693" w:type="dxa"/>
          </w:tcPr>
          <w:p w:rsidR="00AD12FE" w:rsidRPr="00F91C20" w:rsidRDefault="00AD12FE" w:rsidP="00AD12FE">
            <w:pPr>
              <w:pStyle w:val="AERbodytext"/>
              <w:numPr>
                <w:ilvl w:val="0"/>
                <w:numId w:val="13"/>
              </w:numPr>
              <w:cnfStyle w:val="000000000000"/>
              <w:rPr>
                <w:rStyle w:val="AERtextbold"/>
              </w:rPr>
            </w:pPr>
            <w:r>
              <w:rPr>
                <w:rStyle w:val="AERtextbold"/>
              </w:rPr>
              <w:t>Total non–controllable opex</w:t>
            </w:r>
          </w:p>
        </w:tc>
        <w:tc>
          <w:tcPr>
            <w:tcW w:w="876" w:type="dxa"/>
          </w:tcPr>
          <w:p w:rsidR="00AD12FE" w:rsidRPr="00AD12FE" w:rsidRDefault="00AD12FE" w:rsidP="00AD12FE">
            <w:pPr>
              <w:pStyle w:val="AERtabletextright"/>
              <w:cnfStyle w:val="000000000000"/>
              <w:rPr>
                <w:rStyle w:val="AERtextbold"/>
              </w:rPr>
            </w:pPr>
            <w:r>
              <w:rPr>
                <w:rStyle w:val="AERtextbold"/>
              </w:rPr>
              <w:t>11</w:t>
            </w:r>
            <w:r w:rsidRPr="00AD12FE">
              <w:rPr>
                <w:rStyle w:val="AERtextbold"/>
              </w:rPr>
              <w:t>0.7</w:t>
            </w:r>
          </w:p>
        </w:tc>
        <w:tc>
          <w:tcPr>
            <w:tcW w:w="876" w:type="dxa"/>
          </w:tcPr>
          <w:p w:rsidR="00AD12FE" w:rsidRPr="00AD12FE" w:rsidRDefault="00AD12FE" w:rsidP="00AD12FE">
            <w:pPr>
              <w:pStyle w:val="AERtabletextright"/>
              <w:cnfStyle w:val="000000000000"/>
              <w:rPr>
                <w:rStyle w:val="AERtextbold"/>
              </w:rPr>
            </w:pPr>
            <w:r>
              <w:rPr>
                <w:rStyle w:val="AERtextbold"/>
              </w:rPr>
              <w:t>1</w:t>
            </w:r>
            <w:r w:rsidRPr="00AD12FE">
              <w:rPr>
                <w:rStyle w:val="AERtextbold"/>
              </w:rPr>
              <w:t>13.2</w:t>
            </w:r>
          </w:p>
        </w:tc>
        <w:tc>
          <w:tcPr>
            <w:tcW w:w="876" w:type="dxa"/>
          </w:tcPr>
          <w:p w:rsidR="00AD12FE" w:rsidRPr="00AD12FE" w:rsidRDefault="00AD12FE" w:rsidP="00AD12FE">
            <w:pPr>
              <w:pStyle w:val="AERtabletextright"/>
              <w:cnfStyle w:val="000000000000"/>
              <w:rPr>
                <w:rStyle w:val="AERtextbold"/>
              </w:rPr>
            </w:pPr>
            <w:r>
              <w:rPr>
                <w:rStyle w:val="AERtextbold"/>
              </w:rPr>
              <w:t>110.0</w:t>
            </w:r>
          </w:p>
        </w:tc>
        <w:tc>
          <w:tcPr>
            <w:tcW w:w="876" w:type="dxa"/>
          </w:tcPr>
          <w:p w:rsidR="00AD12FE" w:rsidRPr="00AD12FE" w:rsidRDefault="00AD12FE" w:rsidP="00AD12FE">
            <w:pPr>
              <w:pStyle w:val="AERtabletextright"/>
              <w:cnfStyle w:val="000000000000"/>
              <w:rPr>
                <w:rStyle w:val="AERtextbold"/>
              </w:rPr>
            </w:pPr>
            <w:r>
              <w:rPr>
                <w:rStyle w:val="AERtextbold"/>
              </w:rPr>
              <w:t>3</w:t>
            </w:r>
            <w:r w:rsidRPr="00AD12FE">
              <w:rPr>
                <w:rStyle w:val="AERtextbold"/>
              </w:rPr>
              <w:t>33.9</w:t>
            </w:r>
          </w:p>
        </w:tc>
        <w:tc>
          <w:tcPr>
            <w:tcW w:w="876" w:type="dxa"/>
          </w:tcPr>
          <w:p w:rsidR="00AD12FE" w:rsidRPr="00AD12FE" w:rsidRDefault="00AD12FE" w:rsidP="00AD12FE">
            <w:pPr>
              <w:pStyle w:val="AERtabletextright"/>
              <w:cnfStyle w:val="000000000000"/>
              <w:rPr>
                <w:rStyle w:val="AERtextbold"/>
              </w:rPr>
            </w:pPr>
            <w:r>
              <w:rPr>
                <w:rStyle w:val="AERtextbold"/>
              </w:rPr>
              <w:t>642.3</w:t>
            </w:r>
          </w:p>
        </w:tc>
      </w:tr>
      <w:tr w:rsidR="00AD12FE" w:rsidTr="00D0040B">
        <w:trPr>
          <w:cnfStyle w:val="000000010000"/>
        </w:trPr>
        <w:tc>
          <w:tcPr>
            <w:cnfStyle w:val="001000000000"/>
            <w:tcW w:w="2093" w:type="dxa"/>
          </w:tcPr>
          <w:p w:rsidR="00AD12FE" w:rsidRPr="00F91C20" w:rsidRDefault="00AD12FE" w:rsidP="00AD12FE">
            <w:pPr>
              <w:pStyle w:val="AERbodytext"/>
              <w:numPr>
                <w:ilvl w:val="0"/>
                <w:numId w:val="13"/>
              </w:numPr>
              <w:rPr>
                <w:rStyle w:val="AERtextbold"/>
              </w:rPr>
            </w:pPr>
          </w:p>
        </w:tc>
        <w:tc>
          <w:tcPr>
            <w:tcW w:w="2693" w:type="dxa"/>
          </w:tcPr>
          <w:p w:rsidR="00AD12FE" w:rsidRPr="00F91C20" w:rsidRDefault="00AD12FE" w:rsidP="00AD12FE">
            <w:pPr>
              <w:pStyle w:val="AERbodytext"/>
              <w:numPr>
                <w:ilvl w:val="0"/>
                <w:numId w:val="13"/>
              </w:numPr>
              <w:cnfStyle w:val="000000010000"/>
              <w:rPr>
                <w:rStyle w:val="AERtextbold"/>
              </w:rPr>
            </w:pPr>
            <w:r w:rsidRPr="00F91C20">
              <w:rPr>
                <w:rStyle w:val="AERtextbold"/>
              </w:rPr>
              <w:t>Total opex</w:t>
            </w:r>
          </w:p>
        </w:tc>
        <w:tc>
          <w:tcPr>
            <w:tcW w:w="876" w:type="dxa"/>
          </w:tcPr>
          <w:p w:rsidR="00AD12FE" w:rsidRPr="00AD12FE" w:rsidRDefault="00AD12FE" w:rsidP="00AD12FE">
            <w:pPr>
              <w:pStyle w:val="AERtabletextright"/>
              <w:cnfStyle w:val="000000010000"/>
              <w:rPr>
                <w:rStyle w:val="AERtextbold"/>
              </w:rPr>
            </w:pPr>
            <w:r>
              <w:rPr>
                <w:rStyle w:val="AERtextbold"/>
              </w:rPr>
              <w:t>200.2</w:t>
            </w:r>
          </w:p>
        </w:tc>
        <w:tc>
          <w:tcPr>
            <w:tcW w:w="876" w:type="dxa"/>
          </w:tcPr>
          <w:p w:rsidR="00AD12FE" w:rsidRPr="00AD12FE" w:rsidRDefault="00AD12FE" w:rsidP="00AD12FE">
            <w:pPr>
              <w:pStyle w:val="AERtabletextright"/>
              <w:cnfStyle w:val="000000010000"/>
              <w:rPr>
                <w:rStyle w:val="AERtextbold"/>
              </w:rPr>
            </w:pPr>
            <w:r>
              <w:rPr>
                <w:rStyle w:val="AERtextbold"/>
              </w:rPr>
              <w:t>205.8</w:t>
            </w:r>
          </w:p>
        </w:tc>
        <w:tc>
          <w:tcPr>
            <w:tcW w:w="876" w:type="dxa"/>
          </w:tcPr>
          <w:p w:rsidR="00AD12FE" w:rsidRPr="00AD12FE" w:rsidRDefault="00AD12FE" w:rsidP="00AD12FE">
            <w:pPr>
              <w:pStyle w:val="AERtabletextright"/>
              <w:cnfStyle w:val="000000010000"/>
              <w:rPr>
                <w:rStyle w:val="AERtextbold"/>
              </w:rPr>
            </w:pPr>
            <w:r>
              <w:rPr>
                <w:rStyle w:val="AERtextbold"/>
              </w:rPr>
              <w:t>204.6</w:t>
            </w:r>
          </w:p>
        </w:tc>
        <w:tc>
          <w:tcPr>
            <w:tcW w:w="876" w:type="dxa"/>
          </w:tcPr>
          <w:p w:rsidR="00AD12FE" w:rsidRPr="00AD12FE" w:rsidRDefault="00AD12FE" w:rsidP="00AD12FE">
            <w:pPr>
              <w:pStyle w:val="AERtabletextright"/>
              <w:cnfStyle w:val="000000010000"/>
              <w:rPr>
                <w:rStyle w:val="AERtextbold"/>
              </w:rPr>
            </w:pPr>
            <w:r w:rsidRPr="00F91C20">
              <w:rPr>
                <w:rStyle w:val="AERtextbold"/>
              </w:rPr>
              <w:t>6</w:t>
            </w:r>
            <w:r w:rsidRPr="00AD12FE">
              <w:rPr>
                <w:rStyle w:val="AERtextbold"/>
              </w:rPr>
              <w:t>10.6</w:t>
            </w:r>
          </w:p>
        </w:tc>
        <w:tc>
          <w:tcPr>
            <w:tcW w:w="876" w:type="dxa"/>
          </w:tcPr>
          <w:p w:rsidR="00AD12FE" w:rsidRPr="00AD12FE" w:rsidRDefault="00AD12FE" w:rsidP="00AD12FE">
            <w:pPr>
              <w:pStyle w:val="AERtabletextright"/>
              <w:cnfStyle w:val="000000010000"/>
              <w:rPr>
                <w:rStyle w:val="AERtextbold"/>
              </w:rPr>
            </w:pPr>
            <w:r>
              <w:rPr>
                <w:rStyle w:val="AERtextbold"/>
              </w:rPr>
              <w:t>1120.4</w:t>
            </w:r>
          </w:p>
        </w:tc>
      </w:tr>
      <w:tr w:rsidR="00AD12FE" w:rsidTr="00D0040B">
        <w:tc>
          <w:tcPr>
            <w:cnfStyle w:val="001000000000"/>
            <w:tcW w:w="2093" w:type="dxa"/>
          </w:tcPr>
          <w:p w:rsidR="00AD12FE" w:rsidRPr="00F91C20" w:rsidRDefault="00AD12FE" w:rsidP="00AD12FE">
            <w:pPr>
              <w:pStyle w:val="AERbodytext"/>
              <w:numPr>
                <w:ilvl w:val="0"/>
                <w:numId w:val="13"/>
              </w:numPr>
              <w:rPr>
                <w:rStyle w:val="AERtextbold"/>
              </w:rPr>
            </w:pPr>
          </w:p>
        </w:tc>
        <w:tc>
          <w:tcPr>
            <w:tcW w:w="2693" w:type="dxa"/>
          </w:tcPr>
          <w:p w:rsidR="00AD12FE" w:rsidRPr="00F91C20" w:rsidRDefault="00AD12FE" w:rsidP="00AD12FE">
            <w:pPr>
              <w:pStyle w:val="AERbodytext"/>
              <w:numPr>
                <w:ilvl w:val="0"/>
                <w:numId w:val="13"/>
              </w:numPr>
              <w:cnfStyle w:val="000000000000"/>
              <w:rPr>
                <w:rStyle w:val="AERtextbold"/>
              </w:rPr>
            </w:pPr>
            <w:r>
              <w:rPr>
                <w:rStyle w:val="AERtextbold"/>
              </w:rPr>
              <w:t>Total opex (excl easement tax and EBSS payments)</w:t>
            </w:r>
          </w:p>
        </w:tc>
        <w:tc>
          <w:tcPr>
            <w:tcW w:w="876" w:type="dxa"/>
          </w:tcPr>
          <w:p w:rsidR="00AD12FE" w:rsidRPr="00AD12FE" w:rsidRDefault="00AD12FE" w:rsidP="00AD12FE">
            <w:pPr>
              <w:pStyle w:val="AERtabletextright"/>
              <w:cnfStyle w:val="000000000000"/>
              <w:rPr>
                <w:rStyle w:val="AERtextbold"/>
              </w:rPr>
            </w:pPr>
            <w:r>
              <w:rPr>
                <w:rStyle w:val="AERtextbold"/>
              </w:rPr>
              <w:t>99.3</w:t>
            </w:r>
          </w:p>
        </w:tc>
        <w:tc>
          <w:tcPr>
            <w:tcW w:w="876" w:type="dxa"/>
          </w:tcPr>
          <w:p w:rsidR="00AD12FE" w:rsidRPr="00AD12FE" w:rsidRDefault="00AD12FE" w:rsidP="00AD12FE">
            <w:pPr>
              <w:pStyle w:val="AERtabletextright"/>
              <w:cnfStyle w:val="000000000000"/>
              <w:rPr>
                <w:rStyle w:val="AERtextbold"/>
              </w:rPr>
            </w:pPr>
            <w:r>
              <w:rPr>
                <w:rStyle w:val="AERtextbold"/>
              </w:rPr>
              <w:t>102.4</w:t>
            </w:r>
          </w:p>
        </w:tc>
        <w:tc>
          <w:tcPr>
            <w:tcW w:w="876" w:type="dxa"/>
          </w:tcPr>
          <w:p w:rsidR="00AD12FE" w:rsidRPr="00AD12FE" w:rsidRDefault="00AD12FE" w:rsidP="00AD12FE">
            <w:pPr>
              <w:pStyle w:val="AERtabletextright"/>
              <w:cnfStyle w:val="000000000000"/>
              <w:rPr>
                <w:rStyle w:val="AERtextbold"/>
              </w:rPr>
            </w:pPr>
            <w:r>
              <w:rPr>
                <w:rStyle w:val="AERtextbold"/>
              </w:rPr>
              <w:t>103.7</w:t>
            </w:r>
          </w:p>
        </w:tc>
        <w:tc>
          <w:tcPr>
            <w:tcW w:w="876" w:type="dxa"/>
          </w:tcPr>
          <w:p w:rsidR="00AD12FE" w:rsidRPr="00AD12FE" w:rsidRDefault="00AD12FE" w:rsidP="00AD12FE">
            <w:pPr>
              <w:pStyle w:val="AERtabletextright"/>
              <w:cnfStyle w:val="000000000000"/>
              <w:rPr>
                <w:rStyle w:val="AERtextbold"/>
              </w:rPr>
            </w:pPr>
            <w:r>
              <w:rPr>
                <w:rStyle w:val="AERtextbold"/>
              </w:rPr>
              <w:t>305.3</w:t>
            </w:r>
          </w:p>
        </w:tc>
        <w:tc>
          <w:tcPr>
            <w:tcW w:w="876" w:type="dxa"/>
          </w:tcPr>
          <w:p w:rsidR="00AD12FE" w:rsidRPr="00AD12FE" w:rsidRDefault="00AD12FE" w:rsidP="00AD12FE">
            <w:pPr>
              <w:pStyle w:val="AERtabletextright"/>
              <w:cnfStyle w:val="000000000000"/>
              <w:rPr>
                <w:rStyle w:val="AERtextbold"/>
              </w:rPr>
            </w:pPr>
            <w:r>
              <w:rPr>
                <w:rStyle w:val="AERtextbold"/>
              </w:rPr>
              <w:t>508.8</w:t>
            </w:r>
          </w:p>
        </w:tc>
      </w:tr>
    </w:tbl>
    <w:p w:rsidR="00AD12FE" w:rsidRDefault="00AD12FE" w:rsidP="00AD12FE">
      <w:pPr>
        <w:pStyle w:val="AERtablesource"/>
      </w:pPr>
      <w:r>
        <w:t>Source:</w:t>
      </w:r>
      <w:r>
        <w:tab/>
        <w:t xml:space="preserve">SP AusNet's, </w:t>
      </w:r>
      <w:r w:rsidRPr="00193079">
        <w:rPr>
          <w:rStyle w:val="AERtextitalic"/>
        </w:rPr>
        <w:t>Revenue proposal</w:t>
      </w:r>
      <w:r>
        <w:t xml:space="preserve">, Appendix A, Cost information templates. Excludes EBSS payments. </w:t>
      </w:r>
    </w:p>
    <w:p w:rsidR="00AD12FE" w:rsidRDefault="00AD12FE" w:rsidP="00AD12FE">
      <w:pPr>
        <w:pStyle w:val="AERbodytext"/>
        <w:numPr>
          <w:ilvl w:val="0"/>
          <w:numId w:val="13"/>
        </w:numPr>
      </w:pPr>
      <w:r>
        <w:t xml:space="preserve">To forecast its system recurrent opex, SP AusNet has extrapolated the expenditure in the 2011–12 regulatory control year (the 'base year'). This is SP AusNet’s forecast of ‘business as usual’ costs. SP AusNet has then added 'step changes' to reflect new functions or increased activities not captured in the base year. </w:t>
      </w:r>
    </w:p>
    <w:p w:rsidR="00AD12FE" w:rsidRDefault="00AD12FE" w:rsidP="00AD12FE">
      <w:pPr>
        <w:pStyle w:val="AERbodytext"/>
        <w:numPr>
          <w:ilvl w:val="0"/>
          <w:numId w:val="13"/>
        </w:numPr>
      </w:pPr>
      <w:r>
        <w:t xml:space="preserve">To forecast its non–recurrent expenditure, SP AusNet has used a 'bottom–up' forecasting approach. This approach forecasts opex at the project level for each year. This differs from the base year approach used for recurrent expenditure as it is not an extrapolation or trend of expenditure. </w:t>
      </w:r>
    </w:p>
    <w:p w:rsidR="00AD12FE" w:rsidRDefault="00AD12FE" w:rsidP="00AD12FE">
      <w:pPr>
        <w:pStyle w:val="Heading3"/>
      </w:pPr>
      <w:r>
        <w:t>SP AusNet’s historical opex</w:t>
      </w:r>
    </w:p>
    <w:p w:rsidR="00AD12FE" w:rsidRPr="00AD12FE" w:rsidRDefault="00876FFF" w:rsidP="00AD12FE">
      <w:pPr>
        <w:pStyle w:val="AERbodytext"/>
      </w:pPr>
      <w:r>
        <w:fldChar w:fldCharType="begin"/>
      </w:r>
      <w:r w:rsidR="00F65B4D">
        <w:instrText xml:space="preserve"> REF _Ref353286286 \h </w:instrText>
      </w:r>
      <w:r>
        <w:fldChar w:fldCharType="separate"/>
      </w:r>
      <w:r w:rsidR="003F1C4B">
        <w:t xml:space="preserve">Figure </w:t>
      </w:r>
      <w:r w:rsidR="003F1C4B">
        <w:rPr>
          <w:noProof/>
        </w:rPr>
        <w:t>3</w:t>
      </w:r>
      <w:r w:rsidR="003F1C4B">
        <w:t>.</w:t>
      </w:r>
      <w:r w:rsidR="003F1C4B">
        <w:rPr>
          <w:noProof/>
        </w:rPr>
        <w:t>6</w:t>
      </w:r>
      <w:r>
        <w:fldChar w:fldCharType="end"/>
      </w:r>
      <w:r w:rsidR="00F65B4D">
        <w:t xml:space="preserve"> </w:t>
      </w:r>
      <w:r w:rsidR="00AD12FE" w:rsidRPr="00AD12FE">
        <w:t>shows SP Au</w:t>
      </w:r>
      <w:r w:rsidR="00594E19">
        <w:t>sNet's historic</w:t>
      </w:r>
      <w:r w:rsidR="00F15317">
        <w:t>al</w:t>
      </w:r>
      <w:r w:rsidR="00594E19">
        <w:t xml:space="preserve"> opex compared with</w:t>
      </w:r>
      <w:r w:rsidR="00AD12FE" w:rsidRPr="00AD12FE">
        <w:t xml:space="preserve"> the approved opex allowance. </w:t>
      </w:r>
    </w:p>
    <w:p w:rsidR="00AD12FE" w:rsidRDefault="00AD12FE" w:rsidP="00AD12FE">
      <w:pPr>
        <w:pStyle w:val="Caption"/>
      </w:pPr>
      <w:bookmarkStart w:id="46" w:name="_Ref353286286"/>
      <w:r>
        <w:t xml:space="preserve">Figure </w:t>
      </w:r>
      <w:r w:rsidR="00876FFF">
        <w:fldChar w:fldCharType="begin"/>
      </w:r>
      <w:r w:rsidR="00073991">
        <w:instrText xml:space="preserve"> STYLEREF 1 \s </w:instrText>
      </w:r>
      <w:r w:rsidR="00876FFF">
        <w:fldChar w:fldCharType="separate"/>
      </w:r>
      <w:r w:rsidR="003F1C4B">
        <w:rPr>
          <w:noProof/>
        </w:rPr>
        <w:t>3</w:t>
      </w:r>
      <w:r w:rsidR="00876FFF">
        <w:fldChar w:fldCharType="end"/>
      </w:r>
      <w:r w:rsidR="006453C2">
        <w:t>.</w:t>
      </w:r>
      <w:r w:rsidR="00876FFF">
        <w:fldChar w:fldCharType="begin"/>
      </w:r>
      <w:r w:rsidR="006453C2">
        <w:instrText xml:space="preserve"> SEQ Figure \* ARABIC \s 1 </w:instrText>
      </w:r>
      <w:r w:rsidR="00876FFF">
        <w:fldChar w:fldCharType="separate"/>
      </w:r>
      <w:r w:rsidR="003F1C4B">
        <w:rPr>
          <w:noProof/>
        </w:rPr>
        <w:t>6</w:t>
      </w:r>
      <w:r w:rsidR="00876FFF">
        <w:fldChar w:fldCharType="end"/>
      </w:r>
      <w:bookmarkEnd w:id="46"/>
      <w:r>
        <w:tab/>
        <w:t xml:space="preserve">SP AusNet's actual opex </w:t>
      </w:r>
      <w:r w:rsidR="00D319A7">
        <w:t>and AER approved opex allowance</w:t>
      </w:r>
    </w:p>
    <w:p w:rsidR="00AD12FE" w:rsidRPr="00AD12FE" w:rsidRDefault="00AD12FE" w:rsidP="00BB4F77">
      <w:pPr>
        <w:pStyle w:val="AERtablesource"/>
        <w:tabs>
          <w:tab w:val="clear" w:pos="794"/>
          <w:tab w:val="left" w:pos="0"/>
        </w:tabs>
        <w:ind w:left="0" w:firstLine="0"/>
      </w:pPr>
      <w:r w:rsidRPr="008B62BC">
        <w:t xml:space="preserve"> </w:t>
      </w:r>
      <w:bookmarkStart w:id="47" w:name="_Toc352168702"/>
      <w:r w:rsidR="00BB4F77" w:rsidRPr="00BB4F77">
        <w:rPr>
          <w:noProof/>
          <w:lang w:eastAsia="en-AU"/>
        </w:rPr>
        <w:drawing>
          <wp:inline distT="0" distB="0" distL="0" distR="0">
            <wp:extent cx="5619052" cy="3240000"/>
            <wp:effectExtent l="19050" t="0" r="698"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619052" cy="3240000"/>
                    </a:xfrm>
                    <a:prstGeom prst="rect">
                      <a:avLst/>
                    </a:prstGeom>
                    <a:noFill/>
                    <a:ln w="9525">
                      <a:noFill/>
                      <a:miter lim="800000"/>
                      <a:headEnd/>
                      <a:tailEnd/>
                    </a:ln>
                  </pic:spPr>
                </pic:pic>
              </a:graphicData>
            </a:graphic>
          </wp:inline>
        </w:drawing>
      </w:r>
    </w:p>
    <w:p w:rsidR="00AD12FE" w:rsidRDefault="00AD12FE" w:rsidP="00AD12FE">
      <w:pPr>
        <w:pStyle w:val="AERtablesource"/>
      </w:pPr>
      <w:r w:rsidRPr="008B62BC">
        <w:t xml:space="preserve">Source: </w:t>
      </w:r>
      <w:r w:rsidR="00BB4F77">
        <w:tab/>
      </w:r>
      <w:r w:rsidRPr="008B62BC">
        <w:t xml:space="preserve">SP AusNet, </w:t>
      </w:r>
      <w:r w:rsidRPr="00AD12FE">
        <w:rPr>
          <w:rStyle w:val="AERtextitalic"/>
        </w:rPr>
        <w:t>Revenue proposal</w:t>
      </w:r>
      <w:r w:rsidRPr="00AD12FE">
        <w:t xml:space="preserve">, Appendix A, Cost information templates; AER analysis. </w:t>
      </w:r>
    </w:p>
    <w:p w:rsidR="00BB4F77" w:rsidRPr="00BB4F77" w:rsidRDefault="00BB4F77" w:rsidP="00BB4F77">
      <w:pPr>
        <w:pStyle w:val="AERtablesource"/>
      </w:pPr>
      <w:r>
        <w:t xml:space="preserve">Note: </w:t>
      </w:r>
      <w:r>
        <w:tab/>
        <w:t xml:space="preserve">Historical opex and allowances exclude easement tax, debt and equity raising costs and the opex glidepath. Opex forecast excludes easement tax, debt and equity raising costs and EBSS payments. </w:t>
      </w:r>
    </w:p>
    <w:p w:rsidR="00AD12FE" w:rsidRDefault="00AD12FE" w:rsidP="00AD12FE">
      <w:pPr>
        <w:pStyle w:val="AERbodytext"/>
        <w:numPr>
          <w:ilvl w:val="0"/>
          <w:numId w:val="13"/>
        </w:numPr>
      </w:pPr>
      <w:r>
        <w:t>SP AusNet unders</w:t>
      </w:r>
      <w:r w:rsidR="00866764">
        <w:t>pent its opex allowance by $</w:t>
      </w:r>
      <w:r w:rsidR="00DC1413">
        <w:t>16.8</w:t>
      </w:r>
      <w:r>
        <w:t xml:space="preserve"> million (</w:t>
      </w:r>
      <w:r w:rsidR="00594E19">
        <w:t>$</w:t>
      </w:r>
      <w:r>
        <w:t>2</w:t>
      </w:r>
      <w:r w:rsidR="00187B91">
        <w:t>013-14</w:t>
      </w:r>
      <w:r w:rsidR="00866764">
        <w:t>, excluding easement tax</w:t>
      </w:r>
      <w:r w:rsidR="003C6297">
        <w:t xml:space="preserve">), or </w:t>
      </w:r>
      <w:r w:rsidR="00DC1413">
        <w:t>3.2</w:t>
      </w:r>
      <w:r>
        <w:t xml:space="preserve"> per cent during the 2008–14 regulatory control period. </w:t>
      </w:r>
    </w:p>
    <w:p w:rsidR="00AD12FE" w:rsidRPr="00F65B4D" w:rsidRDefault="00AD12FE" w:rsidP="00AD12FE">
      <w:pPr>
        <w:pStyle w:val="AERrevisionbox"/>
        <w:numPr>
          <w:ilvl w:val="0"/>
          <w:numId w:val="13"/>
        </w:numPr>
        <w:rPr>
          <w:rStyle w:val="AERtextbold"/>
        </w:rPr>
      </w:pPr>
      <w:r w:rsidRPr="00F65B4D">
        <w:rPr>
          <w:rStyle w:val="AERtextbold"/>
        </w:rPr>
        <w:t>Questions for stakeholders – historical opex</w:t>
      </w:r>
    </w:p>
    <w:p w:rsidR="00AD12FE" w:rsidRPr="00BB3C19" w:rsidRDefault="00AD12FE" w:rsidP="00AD12FE">
      <w:pPr>
        <w:pStyle w:val="AERrevisionbox"/>
        <w:numPr>
          <w:ilvl w:val="0"/>
          <w:numId w:val="13"/>
        </w:numPr>
      </w:pPr>
      <w:r>
        <w:t xml:space="preserve">1) </w:t>
      </w:r>
      <w:r w:rsidRPr="00BB3C19">
        <w:t>What should be inferred from SP AusNet’s underspend during the 2008–14 regulatory control period?</w:t>
      </w:r>
    </w:p>
    <w:p w:rsidR="00AD12FE" w:rsidRPr="00BB3C19" w:rsidRDefault="00AD12FE" w:rsidP="00AD12FE">
      <w:pPr>
        <w:pStyle w:val="AERrevisionbox"/>
        <w:numPr>
          <w:ilvl w:val="0"/>
          <w:numId w:val="13"/>
        </w:numPr>
      </w:pPr>
      <w:r w:rsidRPr="00BB3C19">
        <w:t xml:space="preserve">2) Has SP AusNet’s opex underspend affected its ability to provide a reliable and safe supply of electricity? (Note: reliability and service standards information is provided in Appendix B). </w:t>
      </w:r>
    </w:p>
    <w:p w:rsidR="00AD12FE" w:rsidRDefault="00AD12FE" w:rsidP="00AD12FE">
      <w:pPr>
        <w:pStyle w:val="Heading3"/>
      </w:pPr>
      <w:r>
        <w:t>Key issues</w:t>
      </w:r>
      <w:bookmarkEnd w:id="47"/>
    </w:p>
    <w:p w:rsidR="00AD12FE" w:rsidRDefault="00AD12FE" w:rsidP="00AD12FE">
      <w:pPr>
        <w:pStyle w:val="AERbodytext"/>
        <w:numPr>
          <w:ilvl w:val="0"/>
          <w:numId w:val="13"/>
        </w:numPr>
      </w:pPr>
      <w:r>
        <w:t xml:space="preserve">The key issues in SP AusNet's opex forecast are the proposed step changes and its asset works. The proposed step changes and asset works represent $32.5 million (11.6 per cent) and $28.4 million (10.1 per cent) respectively of SP AusNet's controllable opex forecast of $281.0 million. </w:t>
      </w:r>
    </w:p>
    <w:p w:rsidR="00AD12FE" w:rsidRDefault="00AD12FE" w:rsidP="00AD12FE">
      <w:pPr>
        <w:pStyle w:val="HeadingBoldBlue"/>
        <w:numPr>
          <w:ilvl w:val="0"/>
          <w:numId w:val="13"/>
        </w:numPr>
      </w:pPr>
      <w:r>
        <w:t>Opex step changes</w:t>
      </w:r>
    </w:p>
    <w:p w:rsidR="00AD12FE" w:rsidRDefault="00AD12FE" w:rsidP="00AD12FE">
      <w:pPr>
        <w:pStyle w:val="AERbodytext"/>
        <w:numPr>
          <w:ilvl w:val="0"/>
          <w:numId w:val="13"/>
        </w:numPr>
      </w:pPr>
      <w:r>
        <w:t>SP AusNet's average annual controllable opex in the 2014–17 regulatory control period will be 19 per cent higher than in the 2008–14 regulatory control period. A large proportion of this increase is driven by proposed 'step changes'. These step changes are additional opex to the base year extrapolated opex forecast. The opex step changes relate to:</w:t>
      </w:r>
    </w:p>
    <w:p w:rsidR="00AD12FE" w:rsidRDefault="00AD12FE" w:rsidP="00AD12FE">
      <w:pPr>
        <w:pStyle w:val="AERbulletlistfirststyle"/>
      </w:pPr>
      <w:r>
        <w:t>SP AusNet's ageing asset profile</w:t>
      </w:r>
    </w:p>
    <w:p w:rsidR="00AD12FE" w:rsidRDefault="00AD12FE" w:rsidP="00AD12FE">
      <w:pPr>
        <w:pStyle w:val="AERbulletlistfirststyle"/>
      </w:pPr>
      <w:r>
        <w:t>changed compliance obligations</w:t>
      </w:r>
    </w:p>
    <w:p w:rsidR="00AD12FE" w:rsidRDefault="00AD12FE" w:rsidP="00AD12FE">
      <w:pPr>
        <w:pStyle w:val="AERbulletlistfirststyle"/>
      </w:pPr>
      <w:r>
        <w:t>regulatory changes and Government policy</w:t>
      </w:r>
    </w:p>
    <w:p w:rsidR="00AD12FE" w:rsidRDefault="00AD12FE" w:rsidP="00AD12FE">
      <w:pPr>
        <w:pStyle w:val="AERbulletlistfirststyle"/>
      </w:pPr>
      <w:r>
        <w:t>recurrent expenditure not reflected in the base year</w:t>
      </w:r>
    </w:p>
    <w:p w:rsidR="00AD12FE" w:rsidRDefault="00AD12FE" w:rsidP="00AD12FE">
      <w:pPr>
        <w:pStyle w:val="AERbulletlistfirststyle"/>
      </w:pPr>
      <w:r>
        <w:t>IT capital works</w:t>
      </w:r>
    </w:p>
    <w:p w:rsidR="00AD12FE" w:rsidRDefault="00AD12FE" w:rsidP="00AD12FE">
      <w:pPr>
        <w:pStyle w:val="AERbulletlistfirststyle"/>
      </w:pPr>
      <w:r>
        <w:t>enhanced efficiency through technology improvements</w:t>
      </w:r>
    </w:p>
    <w:p w:rsidR="00AD12FE" w:rsidRDefault="00AD12FE" w:rsidP="00AD12FE">
      <w:pPr>
        <w:pStyle w:val="AERbodytext"/>
        <w:numPr>
          <w:ilvl w:val="0"/>
          <w:numId w:val="13"/>
        </w:numPr>
      </w:pPr>
      <w:r>
        <w:t>The ageing asset profile, compliance obligations and regulatory change and Government policy step changes are the most material.</w:t>
      </w:r>
    </w:p>
    <w:p w:rsidR="00AD12FE" w:rsidRDefault="00876FFF" w:rsidP="00AD12FE">
      <w:pPr>
        <w:pStyle w:val="AERbodytext"/>
        <w:numPr>
          <w:ilvl w:val="0"/>
          <w:numId w:val="13"/>
        </w:numPr>
      </w:pPr>
      <w:r>
        <w:fldChar w:fldCharType="begin"/>
      </w:r>
      <w:r w:rsidR="00F65B4D">
        <w:instrText xml:space="preserve"> REF _Ref353378188 \h </w:instrText>
      </w:r>
      <w:r>
        <w:fldChar w:fldCharType="separate"/>
      </w:r>
      <w:r w:rsidR="003F1C4B">
        <w:t xml:space="preserve">Figure </w:t>
      </w:r>
      <w:r w:rsidR="003F1C4B">
        <w:rPr>
          <w:noProof/>
        </w:rPr>
        <w:t>3</w:t>
      </w:r>
      <w:r w:rsidR="003F1C4B">
        <w:t>.</w:t>
      </w:r>
      <w:r w:rsidR="003F1C4B">
        <w:rPr>
          <w:noProof/>
        </w:rPr>
        <w:t>7</w:t>
      </w:r>
      <w:r>
        <w:fldChar w:fldCharType="end"/>
      </w:r>
      <w:r w:rsidR="00F65B4D">
        <w:t xml:space="preserve"> </w:t>
      </w:r>
      <w:r w:rsidR="00AD12FE">
        <w:t xml:space="preserve">shows the materiality of the step changes on forecast opex. </w:t>
      </w:r>
    </w:p>
    <w:p w:rsidR="00AD12FE" w:rsidRDefault="00AD12FE" w:rsidP="00AD12FE">
      <w:pPr>
        <w:pStyle w:val="Caption"/>
      </w:pPr>
      <w:bookmarkStart w:id="48" w:name="_Ref353378188"/>
      <w:r>
        <w:t xml:space="preserve">Figure </w:t>
      </w:r>
      <w:fldSimple w:instr=" STYLEREF 1 \s ">
        <w:r w:rsidR="003F1C4B">
          <w:rPr>
            <w:noProof/>
          </w:rPr>
          <w:t>3</w:t>
        </w:r>
      </w:fldSimple>
      <w:r w:rsidR="006453C2">
        <w:t>.</w:t>
      </w:r>
      <w:r w:rsidR="00876FFF">
        <w:fldChar w:fldCharType="begin"/>
      </w:r>
      <w:r w:rsidR="006453C2">
        <w:instrText xml:space="preserve"> SEQ Figure \* ARABIC \s 1 </w:instrText>
      </w:r>
      <w:r w:rsidR="00876FFF">
        <w:fldChar w:fldCharType="separate"/>
      </w:r>
      <w:r w:rsidR="003F1C4B">
        <w:rPr>
          <w:noProof/>
        </w:rPr>
        <w:t>7</w:t>
      </w:r>
      <w:r w:rsidR="00876FFF">
        <w:fldChar w:fldCharType="end"/>
      </w:r>
      <w:bookmarkEnd w:id="48"/>
      <w:r>
        <w:tab/>
        <w:t>SP AusN</w:t>
      </w:r>
      <w:r w:rsidR="00D319A7">
        <w:t>et’s proposed step change opex</w:t>
      </w:r>
    </w:p>
    <w:p w:rsidR="00AD12FE" w:rsidRPr="00AD12FE" w:rsidRDefault="00BB4F77" w:rsidP="00AD12FE">
      <w:pPr>
        <w:pStyle w:val="AERbodytext"/>
      </w:pPr>
      <w:r w:rsidRPr="00BB4F77">
        <w:rPr>
          <w:noProof/>
          <w:lang w:eastAsia="en-AU"/>
        </w:rPr>
        <w:drawing>
          <wp:inline distT="0" distB="0" distL="0" distR="0">
            <wp:extent cx="5286597" cy="3306725"/>
            <wp:effectExtent l="19050" t="0" r="9303"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295030" cy="3312000"/>
                    </a:xfrm>
                    <a:prstGeom prst="rect">
                      <a:avLst/>
                    </a:prstGeom>
                    <a:noFill/>
                    <a:ln w="9525">
                      <a:noFill/>
                      <a:miter lim="800000"/>
                      <a:headEnd/>
                      <a:tailEnd/>
                    </a:ln>
                  </pic:spPr>
                </pic:pic>
              </a:graphicData>
            </a:graphic>
          </wp:inline>
        </w:drawing>
      </w:r>
    </w:p>
    <w:p w:rsidR="00D319A7" w:rsidRDefault="00AD12FE" w:rsidP="00BB4F77">
      <w:pPr>
        <w:pStyle w:val="AERtablesource"/>
      </w:pPr>
      <w:r>
        <w:t xml:space="preserve">Source: </w:t>
      </w:r>
      <w:r w:rsidR="00D319A7">
        <w:tab/>
      </w:r>
      <w:r>
        <w:t xml:space="preserve">SP AusNet, </w:t>
      </w:r>
      <w:r w:rsidRPr="0030557C">
        <w:rPr>
          <w:rStyle w:val="AERtextitalic"/>
        </w:rPr>
        <w:t>Revenue proposal</w:t>
      </w:r>
      <w:r>
        <w:t xml:space="preserve">, Opex forecast model. </w:t>
      </w:r>
    </w:p>
    <w:p w:rsidR="00BB4F77" w:rsidRPr="00BB4F77" w:rsidRDefault="00BB4F77" w:rsidP="00BB4F77">
      <w:pPr>
        <w:pStyle w:val="AERtablesource"/>
      </w:pPr>
      <w:r>
        <w:t xml:space="preserve">Note: </w:t>
      </w:r>
      <w:r w:rsidR="00D319A7">
        <w:tab/>
      </w:r>
      <w:r>
        <w:t xml:space="preserve">all figures exclude easement tax, EBSS payments, and debt and equity raising costs. </w:t>
      </w:r>
    </w:p>
    <w:p w:rsidR="00AD12FE" w:rsidRPr="00D078E7" w:rsidRDefault="00AD12FE" w:rsidP="00AD12FE">
      <w:pPr>
        <w:pStyle w:val="HeadingBoldItalic"/>
        <w:numPr>
          <w:ilvl w:val="0"/>
          <w:numId w:val="13"/>
        </w:numPr>
      </w:pPr>
      <w:r>
        <w:t>Ageing asset profile</w:t>
      </w:r>
    </w:p>
    <w:p w:rsidR="00AD12FE" w:rsidRDefault="00AD12FE" w:rsidP="00AD12FE">
      <w:pPr>
        <w:pStyle w:val="AERbodytext"/>
        <w:numPr>
          <w:ilvl w:val="0"/>
          <w:numId w:val="13"/>
        </w:numPr>
      </w:pPr>
      <w:r>
        <w:t>SP AusNet states that the average age of its assets will increase over the 2014–17 regulatory control period and the number of older assets, particularly towers, will grow. The total opex step change associated with SP AusNet’s ageing asset profile is $13.4 million ($2013–14). SP AusNet considers that changes in operational practices are required to maintain the reliability, safety and security of the transmission system. These include enhanced condition assessment of overhead lines ($3.9 million) and a step change in corrosion risk management practices, such as painting towers and corrosion repairs ($9.5 million). SP AusNet considers that these practices are good i</w:t>
      </w:r>
      <w:r w:rsidR="000604FE">
        <w:t xml:space="preserve">ndustry practice. SP AusNet </w:t>
      </w:r>
      <w:r>
        <w:t xml:space="preserve">also states that it must carry out these works to deliver the Electricity Safety management Scheme (ESMS), which is endorsed by Energy Safe Victoria (ESV). </w:t>
      </w:r>
    </w:p>
    <w:p w:rsidR="00AD12FE" w:rsidRPr="00AD12FE" w:rsidRDefault="00AD12FE" w:rsidP="00AD12FE">
      <w:pPr>
        <w:pStyle w:val="AERbodytext"/>
      </w:pPr>
      <w:r>
        <w:t>These increase</w:t>
      </w:r>
      <w:r w:rsidR="000604FE">
        <w:t>s</w:t>
      </w:r>
      <w:r>
        <w:t xml:space="preserve"> represent a significant increase above maintenance opex trend levels. As such, they are areas which warrant further examination during the review process. </w:t>
      </w:r>
    </w:p>
    <w:p w:rsidR="00AD12FE" w:rsidRPr="00D078E7" w:rsidRDefault="00AD12FE" w:rsidP="00AD12FE">
      <w:pPr>
        <w:pStyle w:val="HeadingBoldItalic"/>
        <w:numPr>
          <w:ilvl w:val="0"/>
          <w:numId w:val="13"/>
        </w:numPr>
      </w:pPr>
      <w:r>
        <w:t>Changes in compliance obligations</w:t>
      </w:r>
    </w:p>
    <w:p w:rsidR="00AD12FE" w:rsidRPr="00D078E7" w:rsidRDefault="00AD12FE" w:rsidP="00AD12FE">
      <w:pPr>
        <w:pStyle w:val="AERbodytext"/>
        <w:numPr>
          <w:ilvl w:val="0"/>
          <w:numId w:val="13"/>
        </w:numPr>
      </w:pPr>
      <w:r>
        <w:t xml:space="preserve">SP AusNet submits that AEMO will require TNSPs to provide a monthly list of outages planned for the next 13 months that will materially affect transfer capabilities. Currently, SP AusNet does not record planned network outages more than 6 months ahead. As such, SP AusNet proposes to hire a new outage planner to undertake long term outage planning ($0.6m over the period). </w:t>
      </w:r>
    </w:p>
    <w:p w:rsidR="00AD12FE" w:rsidRPr="00D078E7" w:rsidRDefault="00AD12FE" w:rsidP="00AD12FE">
      <w:pPr>
        <w:pStyle w:val="AERbodytext"/>
        <w:numPr>
          <w:ilvl w:val="0"/>
          <w:numId w:val="13"/>
        </w:numPr>
      </w:pPr>
      <w:r>
        <w:t xml:space="preserve">SP AusNet also proposed $4.8m to meet requirements under Part 6 of Victoria's </w:t>
      </w:r>
      <w:r w:rsidRPr="00AA7ED3">
        <w:rPr>
          <w:rStyle w:val="AERtextitalic"/>
        </w:rPr>
        <w:t xml:space="preserve">Terrorism </w:t>
      </w:r>
      <w:r>
        <w:rPr>
          <w:rStyle w:val="AERtextitalic"/>
        </w:rPr>
        <w:t>(</w:t>
      </w:r>
      <w:r w:rsidRPr="00AA7ED3">
        <w:rPr>
          <w:rStyle w:val="AERtextitalic"/>
        </w:rPr>
        <w:t>Community Protection</w:t>
      </w:r>
      <w:r>
        <w:rPr>
          <w:rStyle w:val="AERtextitalic"/>
        </w:rPr>
        <w:t>)</w:t>
      </w:r>
      <w:r w:rsidRPr="00AA7ED3">
        <w:rPr>
          <w:rStyle w:val="AERtextitalic"/>
        </w:rPr>
        <w:t xml:space="preserve"> Act</w:t>
      </w:r>
      <w:r>
        <w:t xml:space="preserve"> (2003). In addition, recent assessments by SP AusNet have shown that existing security measures for critical infrastructure should be improved to meet industry standards. To this end, SP AusNet propose</w:t>
      </w:r>
      <w:r w:rsidR="000604FE">
        <w:t>s</w:t>
      </w:r>
      <w:r>
        <w:t xml:space="preserve"> to increase security patrols and perimeter inspections of terminal stations, outsourcing the monitoring of security systems, increased frequency of security assessments of critical sites and an annual statutory counter terrorism exercise. </w:t>
      </w:r>
    </w:p>
    <w:p w:rsidR="00AD12FE" w:rsidRDefault="00AD12FE" w:rsidP="00AD12FE">
      <w:pPr>
        <w:pStyle w:val="HeadingBoldItalic"/>
        <w:numPr>
          <w:ilvl w:val="0"/>
          <w:numId w:val="13"/>
        </w:numPr>
      </w:pPr>
      <w:r>
        <w:t>Regulatory changes and Government policy initiatives</w:t>
      </w:r>
    </w:p>
    <w:p w:rsidR="00AD12FE" w:rsidRDefault="00AD12FE" w:rsidP="00AD12FE">
      <w:pPr>
        <w:pStyle w:val="AERbodytext"/>
        <w:numPr>
          <w:ilvl w:val="0"/>
          <w:numId w:val="13"/>
        </w:numPr>
      </w:pPr>
      <w:r>
        <w:t>This step change is related to:</w:t>
      </w:r>
    </w:p>
    <w:p w:rsidR="00AD12FE" w:rsidRDefault="00AD12FE" w:rsidP="00AD12FE">
      <w:pPr>
        <w:pStyle w:val="AERbulletlistfirststyle"/>
      </w:pPr>
      <w:r>
        <w:t>the introduction of the carbon price under the Australian Government's Clean Energy future Plan, which directly increases expenditure related to a levy on SF</w:t>
      </w:r>
      <w:r w:rsidRPr="001E25C7">
        <w:rPr>
          <w:rStyle w:val="AERsubscript"/>
        </w:rPr>
        <w:t>6</w:t>
      </w:r>
      <w:r>
        <w:t xml:space="preserve"> – $2.5m</w:t>
      </w:r>
    </w:p>
    <w:p w:rsidR="00AD12FE" w:rsidRDefault="00AD12FE" w:rsidP="00AD12FE">
      <w:pPr>
        <w:pStyle w:val="AERbulletlistfirststyle"/>
      </w:pPr>
      <w:r>
        <w:t>the AEMC's transitional provisions for the economic regulation of network service providers, which will require SP AusNet to submit its next revenue proposal in October 2015. Given this will coincide with SP AusNet's electricity distribution regulatory proposal, SP AusNet propose to hire additional staff to deliver the transmission revenue proposal – $2.8m</w:t>
      </w:r>
    </w:p>
    <w:p w:rsidR="00AD12FE" w:rsidRPr="00816DFA" w:rsidRDefault="00AD12FE" w:rsidP="00AD12FE">
      <w:pPr>
        <w:pStyle w:val="AERrevisionbox"/>
        <w:numPr>
          <w:ilvl w:val="0"/>
          <w:numId w:val="13"/>
        </w:numPr>
        <w:rPr>
          <w:rStyle w:val="AERtextbold"/>
        </w:rPr>
      </w:pPr>
      <w:r w:rsidRPr="00816DFA">
        <w:rPr>
          <w:rStyle w:val="AERtextbold"/>
        </w:rPr>
        <w:t>Questions for stakeholders</w:t>
      </w:r>
      <w:r>
        <w:rPr>
          <w:rStyle w:val="AERtextbold"/>
        </w:rPr>
        <w:t xml:space="preserve"> – opex step changes</w:t>
      </w:r>
    </w:p>
    <w:p w:rsidR="00AD12FE" w:rsidRDefault="00AD12FE" w:rsidP="00AD12FE">
      <w:pPr>
        <w:pStyle w:val="AERrevisionbox"/>
        <w:numPr>
          <w:ilvl w:val="0"/>
          <w:numId w:val="13"/>
        </w:numPr>
      </w:pPr>
      <w:r>
        <w:t xml:space="preserve">1) </w:t>
      </w:r>
      <w:r w:rsidRPr="009E1D46">
        <w:t xml:space="preserve"> </w:t>
      </w:r>
      <w:r>
        <w:t xml:space="preserve">Are </w:t>
      </w:r>
      <w:r w:rsidRPr="009E1D46">
        <w:t xml:space="preserve">the </w:t>
      </w:r>
      <w:r>
        <w:t>opex step changes already included in the base year</w:t>
      </w:r>
      <w:r w:rsidRPr="009E1D46">
        <w:t>?</w:t>
      </w:r>
    </w:p>
    <w:p w:rsidR="00AD12FE" w:rsidRPr="009E1D46" w:rsidRDefault="00AD12FE" w:rsidP="00AD12FE">
      <w:pPr>
        <w:pStyle w:val="AERrevisionbox"/>
        <w:numPr>
          <w:ilvl w:val="0"/>
          <w:numId w:val="13"/>
        </w:numPr>
      </w:pPr>
      <w:r>
        <w:t>2) Are the opex step changes necessary?</w:t>
      </w:r>
    </w:p>
    <w:p w:rsidR="00AD12FE" w:rsidRPr="009E1D46" w:rsidRDefault="00AD12FE" w:rsidP="00AD12FE">
      <w:pPr>
        <w:pStyle w:val="AERrevisionbox"/>
        <w:numPr>
          <w:ilvl w:val="0"/>
          <w:numId w:val="13"/>
        </w:numPr>
      </w:pPr>
      <w:r>
        <w:t>2) A</w:t>
      </w:r>
      <w:r w:rsidRPr="009E1D46">
        <w:t xml:space="preserve">re there alternatives </w:t>
      </w:r>
      <w:r>
        <w:t>options that SP AusNet should have considered</w:t>
      </w:r>
      <w:r w:rsidRPr="009E1D46">
        <w:t>?</w:t>
      </w:r>
    </w:p>
    <w:p w:rsidR="00AD12FE" w:rsidRDefault="00AD12FE" w:rsidP="00AD12FE">
      <w:pPr>
        <w:pStyle w:val="AERrevisionbox"/>
        <w:numPr>
          <w:ilvl w:val="0"/>
          <w:numId w:val="13"/>
        </w:numPr>
      </w:pPr>
      <w:r>
        <w:t>3) Are SP AusNet's proposed corrosion management practices good industry practice?</w:t>
      </w:r>
    </w:p>
    <w:p w:rsidR="00AD12FE" w:rsidRDefault="00AD12FE" w:rsidP="00A06EC0">
      <w:pPr>
        <w:pStyle w:val="AERrevisionbox"/>
        <w:numPr>
          <w:ilvl w:val="0"/>
          <w:numId w:val="13"/>
        </w:numPr>
      </w:pPr>
      <w:r>
        <w:t>4) Is there value to consumers in increasing opex to increase security for critical infrastructure?</w:t>
      </w:r>
    </w:p>
    <w:p w:rsidR="00AD12FE" w:rsidRDefault="00AD12FE" w:rsidP="00AD12FE">
      <w:pPr>
        <w:pStyle w:val="HeadingBoldBlue"/>
        <w:numPr>
          <w:ilvl w:val="0"/>
          <w:numId w:val="13"/>
        </w:numPr>
      </w:pPr>
      <w:r>
        <w:t>Asset works opex</w:t>
      </w:r>
    </w:p>
    <w:p w:rsidR="00AD12FE" w:rsidRDefault="00AD12FE" w:rsidP="00AD12FE">
      <w:pPr>
        <w:pStyle w:val="AERbodytext"/>
        <w:numPr>
          <w:ilvl w:val="0"/>
          <w:numId w:val="13"/>
        </w:numPr>
      </w:pPr>
      <w:r>
        <w:t xml:space="preserve">SP AusNet's assets works program is non–recurrent expenditure that is used to manage operational risk within an acceptable band. It includes non–routine repairs and refurbishment, corrosion and transformer condition monitoring. SP AusNet's annual average asset works opex is forecast to remain at a similar level as that during the 2008–14 regulatory control period. </w:t>
      </w:r>
    </w:p>
    <w:p w:rsidR="00AD12FE" w:rsidRDefault="00AD12FE" w:rsidP="00AD12FE">
      <w:pPr>
        <w:pStyle w:val="Caption"/>
      </w:pPr>
      <w:r>
        <w:t xml:space="preserve">Figure </w:t>
      </w:r>
      <w:fldSimple w:instr=" STYLEREF 1 \s ">
        <w:r w:rsidR="003F1C4B">
          <w:rPr>
            <w:noProof/>
          </w:rPr>
          <w:t>3</w:t>
        </w:r>
      </w:fldSimple>
      <w:r w:rsidR="006453C2">
        <w:t>.</w:t>
      </w:r>
      <w:r w:rsidR="00876FFF">
        <w:fldChar w:fldCharType="begin"/>
      </w:r>
      <w:r w:rsidR="006453C2">
        <w:instrText xml:space="preserve"> SEQ Figure \* ARABIC \s 1 </w:instrText>
      </w:r>
      <w:r w:rsidR="00876FFF">
        <w:fldChar w:fldCharType="separate"/>
      </w:r>
      <w:r w:rsidR="003F1C4B">
        <w:rPr>
          <w:noProof/>
        </w:rPr>
        <w:t>8</w:t>
      </w:r>
      <w:r w:rsidR="00876FFF">
        <w:fldChar w:fldCharType="end"/>
      </w:r>
      <w:r>
        <w:tab/>
        <w:t>SP AusNet's actual and forecast asset works opex ($m, 2013–14)</w:t>
      </w:r>
    </w:p>
    <w:p w:rsidR="00AD12FE" w:rsidRPr="00AD12FE" w:rsidRDefault="00D319A7" w:rsidP="00D319A7">
      <w:pPr>
        <w:pStyle w:val="AERtablesource"/>
        <w:tabs>
          <w:tab w:val="clear" w:pos="794"/>
          <w:tab w:val="left" w:pos="0"/>
        </w:tabs>
        <w:ind w:left="0" w:firstLine="0"/>
      </w:pPr>
      <w:r w:rsidRPr="00D319A7">
        <w:rPr>
          <w:noProof/>
          <w:lang w:eastAsia="en-AU"/>
        </w:rPr>
        <w:drawing>
          <wp:inline distT="0" distB="0" distL="0" distR="0">
            <wp:extent cx="5731510" cy="3326399"/>
            <wp:effectExtent l="1905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731510" cy="3326399"/>
                    </a:xfrm>
                    <a:prstGeom prst="rect">
                      <a:avLst/>
                    </a:prstGeom>
                    <a:noFill/>
                    <a:ln w="9525">
                      <a:noFill/>
                      <a:miter lim="800000"/>
                      <a:headEnd/>
                      <a:tailEnd/>
                    </a:ln>
                  </pic:spPr>
                </pic:pic>
              </a:graphicData>
            </a:graphic>
          </wp:inline>
        </w:drawing>
      </w:r>
      <w:r w:rsidR="00AD12FE">
        <w:t xml:space="preserve">Source: </w:t>
      </w:r>
      <w:r>
        <w:tab/>
      </w:r>
      <w:r w:rsidR="00AD12FE">
        <w:t xml:space="preserve">SP AusNet, </w:t>
      </w:r>
      <w:r w:rsidR="00AD12FE" w:rsidRPr="00AD12FE">
        <w:rPr>
          <w:rStyle w:val="AERtextitalic"/>
        </w:rPr>
        <w:t>Revenue proposal</w:t>
      </w:r>
      <w:r w:rsidR="00AD12FE" w:rsidRPr="00AD12FE">
        <w:t xml:space="preserve">, Appendix A, Cost information templates. </w:t>
      </w:r>
    </w:p>
    <w:p w:rsidR="00AD12FE" w:rsidRPr="00D078E7" w:rsidRDefault="00AD12FE" w:rsidP="00AD12FE">
      <w:pPr>
        <w:pStyle w:val="AERbodytext"/>
        <w:numPr>
          <w:ilvl w:val="0"/>
          <w:numId w:val="13"/>
        </w:numPr>
      </w:pPr>
      <w:r>
        <w:t>SP AusNet's asset works program is comprised of:</w:t>
      </w:r>
    </w:p>
    <w:p w:rsidR="00AD12FE" w:rsidRDefault="00AD12FE" w:rsidP="00AD12FE">
      <w:pPr>
        <w:pStyle w:val="AERbulletlistfirststyle"/>
      </w:pPr>
      <w:r>
        <w:t>Condition assessment, repairs, refurbishments and replacements at terminal stations – $11.8m</w:t>
      </w:r>
    </w:p>
    <w:p w:rsidR="00AD12FE" w:rsidRDefault="00AD12FE" w:rsidP="00AD12FE">
      <w:pPr>
        <w:pStyle w:val="AERbulletlistfirststyle"/>
      </w:pPr>
      <w:r>
        <w:t>Corrosion risk condition assessments and replacements of transmission line hardware and tower steelwork replacement – $6.8m</w:t>
      </w:r>
    </w:p>
    <w:p w:rsidR="00AD12FE" w:rsidRDefault="00AD12FE" w:rsidP="00AD12FE">
      <w:pPr>
        <w:pStyle w:val="AERbulletlistfirststyle"/>
      </w:pPr>
      <w:r>
        <w:t>OH&amp;S and environmental compliance – $0.9m</w:t>
      </w:r>
    </w:p>
    <w:p w:rsidR="00AD12FE" w:rsidRDefault="00AD12FE" w:rsidP="00AD12FE">
      <w:pPr>
        <w:pStyle w:val="AERbulletlistfirststyle"/>
      </w:pPr>
      <w:r>
        <w:t>Facilities maintenance, including restoring and maintaining existing buildings – $3.5m</w:t>
      </w:r>
    </w:p>
    <w:p w:rsidR="00AD12FE" w:rsidRDefault="00AD12FE" w:rsidP="00AD12FE">
      <w:pPr>
        <w:pStyle w:val="AERbulletlistfirststyle"/>
      </w:pPr>
      <w:r>
        <w:t>Miscellaneous asset works – $0.9m</w:t>
      </w:r>
    </w:p>
    <w:p w:rsidR="00F6315C" w:rsidRDefault="00AD12FE" w:rsidP="00F6315C">
      <w:pPr>
        <w:pStyle w:val="AERbulletlistfirststyle"/>
        <w:numPr>
          <w:ilvl w:val="0"/>
          <w:numId w:val="0"/>
        </w:numPr>
      </w:pPr>
      <w:r>
        <w:t xml:space="preserve">SP AusNet state that the </w:t>
      </w:r>
      <w:r w:rsidR="00F6315C">
        <w:t xml:space="preserve">asset works </w:t>
      </w:r>
      <w:r>
        <w:t>underspend during the 2008–14 regulatory control period was due to</w:t>
      </w:r>
      <w:r w:rsidR="00F6315C" w:rsidRPr="00AD12FE">
        <w:rPr>
          <w:rStyle w:val="FootnoteReference"/>
        </w:rPr>
        <w:footnoteReference w:id="42"/>
      </w:r>
      <w:r w:rsidR="00F6315C">
        <w:t>:</w:t>
      </w:r>
    </w:p>
    <w:p w:rsidR="00F6315C" w:rsidRPr="00F6315C" w:rsidRDefault="00AD12FE" w:rsidP="00F6315C">
      <w:pPr>
        <w:pStyle w:val="AERbulletlistfirststyle"/>
      </w:pPr>
      <w:r w:rsidRPr="00F6315C">
        <w:t xml:space="preserve"> realised </w:t>
      </w:r>
      <w:r w:rsidR="00F6315C" w:rsidRPr="00F6315C">
        <w:t>cost savings via delivering projects in–house rather than outsourcing</w:t>
      </w:r>
    </w:p>
    <w:p w:rsidR="00F6315C" w:rsidRPr="00F6315C" w:rsidRDefault="00F6315C" w:rsidP="00F6315C">
      <w:pPr>
        <w:pStyle w:val="AERbulletlistfirststyle"/>
      </w:pPr>
      <w:r>
        <w:t>a</w:t>
      </w:r>
      <w:r w:rsidRPr="00F6315C">
        <w:t xml:space="preserve"> number of asset works projects </w:t>
      </w:r>
      <w:r>
        <w:t>being</w:t>
      </w:r>
      <w:r w:rsidRPr="00F6315C">
        <w:t xml:space="preserve"> delivered as capex projects</w:t>
      </w:r>
    </w:p>
    <w:p w:rsidR="00AD12FE" w:rsidRPr="00F6315C" w:rsidRDefault="00F6315C" w:rsidP="00F6315C">
      <w:pPr>
        <w:pStyle w:val="AERbulletlistfirststyle"/>
      </w:pPr>
      <w:r>
        <w:t>c</w:t>
      </w:r>
      <w:r w:rsidRPr="00F6315C">
        <w:t>hanged priorities as the condition of assets was not as poor as initially believed</w:t>
      </w:r>
      <w:r>
        <w:t xml:space="preserve"> when the forecast was initially derived</w:t>
      </w:r>
      <w:r w:rsidRPr="00F6315C">
        <w:t>.</w:t>
      </w:r>
      <w:r w:rsidR="00AD12FE" w:rsidRPr="00F6315C">
        <w:t xml:space="preserve"> </w:t>
      </w:r>
    </w:p>
    <w:p w:rsidR="00AD12FE" w:rsidRPr="00816DFA" w:rsidRDefault="00AD12FE" w:rsidP="00AD12FE">
      <w:pPr>
        <w:pStyle w:val="AERrevisionbox"/>
        <w:numPr>
          <w:ilvl w:val="0"/>
          <w:numId w:val="13"/>
        </w:numPr>
        <w:rPr>
          <w:rStyle w:val="AERtextbold"/>
        </w:rPr>
      </w:pPr>
      <w:r w:rsidRPr="00816DFA">
        <w:rPr>
          <w:rStyle w:val="AERtextbold"/>
        </w:rPr>
        <w:t>Questions for stakeholders – asset works opex</w:t>
      </w:r>
    </w:p>
    <w:p w:rsidR="00AD12FE" w:rsidRDefault="00AD12FE" w:rsidP="00AD12FE">
      <w:pPr>
        <w:pStyle w:val="AERrevisionbox"/>
      </w:pPr>
      <w:r>
        <w:t xml:space="preserve">1) </w:t>
      </w:r>
      <w:r w:rsidRPr="00AD12FE">
        <w:t>Has SP AusNet justified its proposed asset works opex?</w:t>
      </w:r>
    </w:p>
    <w:p w:rsidR="006521B7" w:rsidRPr="00AD12FE" w:rsidRDefault="006521B7" w:rsidP="00AD12FE">
      <w:pPr>
        <w:pStyle w:val="AERrevisionbox"/>
      </w:pPr>
      <w:r>
        <w:t>2) Is SP AusNet’s categorisation of asset works expenditure as opex appropriate?</w:t>
      </w:r>
    </w:p>
    <w:p w:rsidR="00AD12FE" w:rsidRPr="00AD12FE" w:rsidRDefault="00A06EC0" w:rsidP="00AD12FE">
      <w:pPr>
        <w:pStyle w:val="AERrevisionbox"/>
      </w:pPr>
      <w:r>
        <w:t>3</w:t>
      </w:r>
      <w:r w:rsidR="00AD12FE">
        <w:t xml:space="preserve">) </w:t>
      </w:r>
      <w:r w:rsidR="00AD12FE" w:rsidRPr="00AD12FE">
        <w:t xml:space="preserve">What </w:t>
      </w:r>
      <w:r w:rsidR="006521B7">
        <w:t xml:space="preserve">conclusions </w:t>
      </w:r>
      <w:r w:rsidR="00AD12FE" w:rsidRPr="00AD12FE">
        <w:t xml:space="preserve">should be </w:t>
      </w:r>
      <w:r w:rsidR="006521B7">
        <w:t xml:space="preserve">drawn </w:t>
      </w:r>
      <w:r w:rsidR="00AD12FE" w:rsidRPr="00AD12FE">
        <w:t>from SP AusNet's low asset works spend over the 2008–14 regulatory control period?</w:t>
      </w:r>
    </w:p>
    <w:p w:rsidR="00AD12FE" w:rsidRDefault="00AD12FE" w:rsidP="00AD12FE">
      <w:pPr>
        <w:pStyle w:val="Heading2"/>
        <w:sectPr w:rsidR="00AD12FE" w:rsidSect="00D0040B">
          <w:footerReference w:type="even" r:id="rId33"/>
          <w:pgSz w:w="11906" w:h="16838" w:code="9"/>
          <w:pgMar w:top="1440" w:right="1440" w:bottom="1440" w:left="1440" w:header="709" w:footer="709" w:gutter="0"/>
          <w:cols w:space="708"/>
          <w:docGrid w:linePitch="360"/>
        </w:sectPr>
      </w:pPr>
    </w:p>
    <w:p w:rsidR="00AD12FE" w:rsidRDefault="00AD12FE" w:rsidP="00AD12FE">
      <w:pPr>
        <w:pStyle w:val="Heading2"/>
      </w:pPr>
      <w:bookmarkStart w:id="49" w:name="_Toc355186310"/>
      <w:r>
        <w:t>Cost of capital</w:t>
      </w:r>
      <w:bookmarkEnd w:id="49"/>
    </w:p>
    <w:p w:rsidR="00AD12FE" w:rsidRPr="008464E7" w:rsidRDefault="00AD12FE" w:rsidP="00AD12FE">
      <w:pPr>
        <w:pStyle w:val="AERbodytext"/>
        <w:numPr>
          <w:ilvl w:val="0"/>
          <w:numId w:val="13"/>
        </w:numPr>
      </w:pPr>
      <w:r>
        <w:t xml:space="preserve">Significant investment is required to build </w:t>
      </w:r>
      <w:r w:rsidR="003F718C">
        <w:t xml:space="preserve">and augment </w:t>
      </w:r>
      <w:r>
        <w:t>a</w:t>
      </w:r>
      <w:r w:rsidR="00833F9C">
        <w:t>n electricity</w:t>
      </w:r>
      <w:r>
        <w:t xml:space="preserve"> transmission</w:t>
      </w:r>
      <w:r w:rsidRPr="008464E7">
        <w:t xml:space="preserve"> network. </w:t>
      </w:r>
      <w:r>
        <w:t>SP AusNet</w:t>
      </w:r>
      <w:r w:rsidRPr="008464E7">
        <w:t xml:space="preserve"> raise</w:t>
      </w:r>
      <w:r>
        <w:t>s</w:t>
      </w:r>
      <w:r w:rsidRPr="008464E7">
        <w:t xml:space="preserve"> </w:t>
      </w:r>
      <w:r>
        <w:t xml:space="preserve">the </w:t>
      </w:r>
      <w:r w:rsidR="00833F9C">
        <w:t xml:space="preserve">funds </w:t>
      </w:r>
      <w:r>
        <w:t>required</w:t>
      </w:r>
      <w:r w:rsidR="00833F9C">
        <w:t xml:space="preserve"> for this</w:t>
      </w:r>
      <w:r>
        <w:t xml:space="preserve"> investment</w:t>
      </w:r>
      <w:r w:rsidR="003F718C">
        <w:t xml:space="preserve"> in </w:t>
      </w:r>
      <w:r>
        <w:t>two ways:</w:t>
      </w:r>
    </w:p>
    <w:p w:rsidR="003F718C" w:rsidRDefault="003F718C" w:rsidP="00AD12FE">
      <w:pPr>
        <w:pStyle w:val="AERnumberedlistfirststyle"/>
        <w:numPr>
          <w:ilvl w:val="1"/>
          <w:numId w:val="13"/>
        </w:numPr>
      </w:pPr>
      <w:r>
        <w:t>by b</w:t>
      </w:r>
      <w:r w:rsidR="00AD12FE" w:rsidRPr="008464E7">
        <w:t>orrow</w:t>
      </w:r>
      <w:r w:rsidR="00AD12FE">
        <w:t>ing</w:t>
      </w:r>
      <w:r w:rsidR="00AD12FE" w:rsidRPr="008464E7">
        <w:t xml:space="preserve"> money </w:t>
      </w:r>
      <w:r>
        <w:t>(via bank loans or bond issues). SP AusNet must pay interest to the holders of this debt.</w:t>
      </w:r>
    </w:p>
    <w:p w:rsidR="00AD12FE" w:rsidRPr="008464E7" w:rsidRDefault="00AD12FE" w:rsidP="00AD12FE">
      <w:pPr>
        <w:pStyle w:val="AERnumberedlistfirststyle"/>
        <w:numPr>
          <w:ilvl w:val="1"/>
          <w:numId w:val="13"/>
        </w:numPr>
      </w:pPr>
      <w:r w:rsidRPr="008464E7">
        <w:t xml:space="preserve">by </w:t>
      </w:r>
      <w:r w:rsidR="003F718C">
        <w:t>raising equity through the sale of shares. T</w:t>
      </w:r>
      <w:r w:rsidRPr="008464E7">
        <w:t xml:space="preserve">he </w:t>
      </w:r>
      <w:r w:rsidR="003F718C">
        <w:t>owners of these shares</w:t>
      </w:r>
      <w:r w:rsidRPr="008464E7">
        <w:t xml:space="preserve"> expect to receive</w:t>
      </w:r>
      <w:r w:rsidR="003F718C">
        <w:t xml:space="preserve"> regular dividend payments</w:t>
      </w:r>
      <w:r w:rsidRPr="008464E7">
        <w:t>.</w:t>
      </w:r>
    </w:p>
    <w:p w:rsidR="00AD12FE" w:rsidRDefault="003F718C" w:rsidP="00AD12FE">
      <w:pPr>
        <w:pStyle w:val="AERbodytext"/>
        <w:numPr>
          <w:ilvl w:val="0"/>
          <w:numId w:val="13"/>
        </w:numPr>
      </w:pPr>
      <w:r>
        <w:t xml:space="preserve">Investors will only lend money to, or buy shares from, SP AusNet </w:t>
      </w:r>
      <w:r w:rsidR="00AD12FE" w:rsidRPr="008464E7">
        <w:t>if the</w:t>
      </w:r>
      <w:r>
        <w:t>y</w:t>
      </w:r>
      <w:r w:rsidR="00AD12FE" w:rsidRPr="008464E7">
        <w:t xml:space="preserve"> have a</w:t>
      </w:r>
      <w:r>
        <w:t xml:space="preserve"> reasonable assurance they will</w:t>
      </w:r>
      <w:r w:rsidR="00AD12FE" w:rsidRPr="008464E7">
        <w:t xml:space="preserve"> get their money</w:t>
      </w:r>
      <w:r>
        <w:t xml:space="preserve"> back, plus a reasonable return that compensates them for the risk of the investment. It is therefore important that SP AusNet is allowed to earn enough money to be able to pay its </w:t>
      </w:r>
      <w:r w:rsidR="00B74E93">
        <w:t xml:space="preserve">investors. This 'return' to investors is </w:t>
      </w:r>
      <w:r>
        <w:t>in the form of principal and interest repayments on debt</w:t>
      </w:r>
      <w:r w:rsidR="00B74E93">
        <w:t xml:space="preserve"> to lenders</w:t>
      </w:r>
      <w:r w:rsidR="000604FE">
        <w:t>, or dividend payments to share</w:t>
      </w:r>
      <w:r>
        <w:t xml:space="preserve">holders. </w:t>
      </w:r>
      <w:r w:rsidR="00AD12FE" w:rsidRPr="008464E7">
        <w:t xml:space="preserve"> </w:t>
      </w:r>
      <w:r w:rsidR="00AD12FE">
        <w:t xml:space="preserve"> </w:t>
      </w:r>
    </w:p>
    <w:p w:rsidR="00AD12FE" w:rsidRPr="008464E7" w:rsidRDefault="00B74E93" w:rsidP="00AD12FE">
      <w:pPr>
        <w:pStyle w:val="AERbodytext"/>
        <w:numPr>
          <w:ilvl w:val="0"/>
          <w:numId w:val="13"/>
        </w:numPr>
      </w:pPr>
      <w:r>
        <w:t>In the review process, w</w:t>
      </w:r>
      <w:r w:rsidR="00AD12FE" w:rsidRPr="008464E7">
        <w:t xml:space="preserve">e </w:t>
      </w:r>
      <w:r w:rsidR="00AD12FE">
        <w:t>assess the</w:t>
      </w:r>
      <w:r w:rsidR="00AD12FE" w:rsidRPr="008464E7">
        <w:t xml:space="preserve"> return </w:t>
      </w:r>
      <w:r w:rsidR="000604FE">
        <w:t>to lenders and share</w:t>
      </w:r>
      <w:r>
        <w:t xml:space="preserve">holders that </w:t>
      </w:r>
      <w:r w:rsidR="00AD12FE">
        <w:t>SP AusNet</w:t>
      </w:r>
      <w:r w:rsidR="00AD12FE" w:rsidRPr="008464E7">
        <w:t xml:space="preserve"> </w:t>
      </w:r>
      <w:r w:rsidR="00AD12FE">
        <w:t>needs</w:t>
      </w:r>
      <w:r w:rsidR="00AD12FE" w:rsidRPr="008464E7">
        <w:t xml:space="preserve"> to pay. This allowed rate of return is also known as the ‘</w:t>
      </w:r>
      <w:r w:rsidR="000604FE">
        <w:t xml:space="preserve">weighted average </w:t>
      </w:r>
      <w:r w:rsidR="00AD12FE" w:rsidRPr="008464E7">
        <w:t>cost of capital’</w:t>
      </w:r>
      <w:r w:rsidR="000604FE">
        <w:t xml:space="preserve"> (WACC)</w:t>
      </w:r>
      <w:r w:rsidR="00AD12FE" w:rsidRPr="008464E7">
        <w:t>.</w:t>
      </w:r>
      <w:r w:rsidR="000604FE">
        <w:t xml:space="preserve"> It represents a weighted average of the cost of paying debt holders and shareholders. </w:t>
      </w:r>
    </w:p>
    <w:p w:rsidR="00AD12FE" w:rsidRDefault="00AD12FE" w:rsidP="00AD12FE">
      <w:pPr>
        <w:pStyle w:val="AERbodytext"/>
        <w:numPr>
          <w:ilvl w:val="0"/>
          <w:numId w:val="13"/>
        </w:numPr>
      </w:pPr>
      <w:r>
        <w:t xml:space="preserve">Even </w:t>
      </w:r>
      <w:r w:rsidR="00B74E93">
        <w:t>small variations</w:t>
      </w:r>
      <w:r>
        <w:t xml:space="preserve"> in the </w:t>
      </w:r>
      <w:r w:rsidR="000604FE">
        <w:t>WACC</w:t>
      </w:r>
      <w:r>
        <w:t xml:space="preserve"> </w:t>
      </w:r>
      <w:r w:rsidRPr="008464E7">
        <w:t xml:space="preserve">can have a </w:t>
      </w:r>
      <w:r w:rsidR="00B74E93">
        <w:t>significant impact on the revenue that SP AusNet can recover from consumers</w:t>
      </w:r>
      <w:r w:rsidRPr="008464E7">
        <w:t>. This is because</w:t>
      </w:r>
      <w:r>
        <w:t xml:space="preserve"> network businesses like SP AusNet have </w:t>
      </w:r>
      <w:r w:rsidR="00B74E93">
        <w:t>raised money from lenders and shareholders</w:t>
      </w:r>
      <w:r>
        <w:t xml:space="preserve"> in the past––</w:t>
      </w:r>
      <w:r w:rsidRPr="008464E7">
        <w:t xml:space="preserve">which is </w:t>
      </w:r>
      <w:r>
        <w:t>to be expected</w:t>
      </w:r>
      <w:r w:rsidRPr="008464E7">
        <w:t xml:space="preserve"> given the capital intensive nature of </w:t>
      </w:r>
      <w:r>
        <w:t xml:space="preserve">their operations. </w:t>
      </w:r>
      <w:r w:rsidR="00B74E93">
        <w:t>SP AusNet needs to be compensated for the funding costs of these previous c</w:t>
      </w:r>
      <w:r w:rsidR="007E4679">
        <w:t xml:space="preserve">apital raisings as well as the finance costs of </w:t>
      </w:r>
      <w:r w:rsidR="00B74E93">
        <w:t>new capital raising</w:t>
      </w:r>
      <w:r w:rsidR="007E4679">
        <w:t>s</w:t>
      </w:r>
      <w:r>
        <w:t xml:space="preserve">. </w:t>
      </w:r>
    </w:p>
    <w:p w:rsidR="000F7632" w:rsidRDefault="000F7632" w:rsidP="000F7632">
      <w:pPr>
        <w:pStyle w:val="Heading3"/>
      </w:pPr>
      <w:r>
        <w:t>SP AusNet's proposed weighted average cost of capital (WACC)</w:t>
      </w:r>
    </w:p>
    <w:p w:rsidR="00B74E93" w:rsidRDefault="00B74E93" w:rsidP="00AD12FE">
      <w:r>
        <w:t xml:space="preserve">SP AusNet’s proposed </w:t>
      </w:r>
      <w:r w:rsidR="000604FE">
        <w:t>WACC</w:t>
      </w:r>
      <w:r>
        <w:t xml:space="preserve"> of 7.19 per cent is lower than the WACC of 9.76 per cent that applied during the 2008–14 regulatory control period. This lower WACC has put downward pressure on transmission prices. This lower WACC is primarily a result of a lower risk free rate (which is one of the inputs for calculating the WACC). The risk free rate is derived from Australian Government bond yields, which have decreased over recent years.</w:t>
      </w:r>
      <w:r w:rsidR="003D1CDB">
        <w:t xml:space="preserve"> SP AusNet's proposed WACC parameters are set out on page 172 of its revenue proposal.</w:t>
      </w:r>
      <w:r w:rsidR="003D1CDB">
        <w:rPr>
          <w:rStyle w:val="FootnoteReference"/>
        </w:rPr>
        <w:footnoteReference w:id="43"/>
      </w:r>
      <w:r w:rsidR="003D1CDB">
        <w:t xml:space="preserve"> </w:t>
      </w:r>
    </w:p>
    <w:p w:rsidR="007E4679" w:rsidRPr="00AD12FE" w:rsidRDefault="007E4679" w:rsidP="007E4679">
      <w:pPr>
        <w:pStyle w:val="AERbodytext"/>
        <w:numPr>
          <w:ilvl w:val="0"/>
          <w:numId w:val="13"/>
        </w:numPr>
      </w:pPr>
      <w:r>
        <w:t xml:space="preserve">Given the </w:t>
      </w:r>
      <w:r w:rsidR="000604FE">
        <w:t>WACC</w:t>
      </w:r>
      <w:r>
        <w:t xml:space="preserve"> parameters are fixed for </w:t>
      </w:r>
      <w:r w:rsidR="000F7632">
        <w:t xml:space="preserve">electricity </w:t>
      </w:r>
      <w:r>
        <w:t>transmission,</w:t>
      </w:r>
      <w:r>
        <w:rPr>
          <w:rStyle w:val="FootnoteReference"/>
        </w:rPr>
        <w:footnoteReference w:id="44"/>
      </w:r>
      <w:r>
        <w:t xml:space="preserve"> we do not consider the WACC to be contentious. As such, we </w:t>
      </w:r>
      <w:r w:rsidR="000604FE">
        <w:t>prefer if submissions focus on</w:t>
      </w:r>
      <w:r w:rsidR="003D1CDB">
        <w:t xml:space="preserve"> the more contentious issues of capex and opex</w:t>
      </w:r>
      <w:r w:rsidR="000604FE">
        <w:t xml:space="preserve"> rather than the WACC</w:t>
      </w:r>
      <w:r>
        <w:t xml:space="preserve">. </w:t>
      </w:r>
    </w:p>
    <w:p w:rsidR="00B90521" w:rsidRDefault="00AD12FE" w:rsidP="00AD12FE">
      <w:pPr>
        <w:sectPr w:rsidR="00B90521" w:rsidSect="00456081">
          <w:footerReference w:type="even" r:id="rId34"/>
          <w:footerReference w:type="default" r:id="rId35"/>
          <w:pgSz w:w="11906" w:h="16838"/>
          <w:pgMar w:top="1440" w:right="1440" w:bottom="1440" w:left="1440" w:header="708" w:footer="708" w:gutter="0"/>
          <w:cols w:space="708"/>
          <w:docGrid w:linePitch="360"/>
        </w:sectPr>
      </w:pPr>
      <w:r>
        <w:t xml:space="preserve"> </w:t>
      </w:r>
    </w:p>
    <w:p w:rsidR="00AD12FE" w:rsidRDefault="00AD12FE" w:rsidP="00F65B4D">
      <w:pPr>
        <w:pStyle w:val="Heading7"/>
      </w:pPr>
      <w:bookmarkStart w:id="50" w:name="_Toc355186311"/>
      <w:r>
        <w:t>Appendix – Benchmarking</w:t>
      </w:r>
      <w:bookmarkEnd w:id="50"/>
    </w:p>
    <w:p w:rsidR="00AD12FE" w:rsidRDefault="00AD12FE" w:rsidP="00AD12FE">
      <w:pPr>
        <w:pStyle w:val="AERbodytext"/>
        <w:numPr>
          <w:ilvl w:val="0"/>
          <w:numId w:val="13"/>
        </w:numPr>
        <w:rPr>
          <w:rStyle w:val="AERbody"/>
        </w:rPr>
      </w:pPr>
      <w:r>
        <w:rPr>
          <w:rStyle w:val="AERbody"/>
        </w:rPr>
        <w:t xml:space="preserve">We have undertaken benchmarking for informative purposes. This provides an indication of the relative performance of SP AusNet against its peers. </w:t>
      </w:r>
    </w:p>
    <w:p w:rsidR="00AD12FE" w:rsidRDefault="00AD12FE" w:rsidP="00AD12FE">
      <w:pPr>
        <w:pStyle w:val="AERbodytext"/>
        <w:numPr>
          <w:ilvl w:val="0"/>
          <w:numId w:val="13"/>
        </w:numPr>
        <w:rPr>
          <w:rStyle w:val="AERbody"/>
        </w:rPr>
      </w:pPr>
      <w:r>
        <w:rPr>
          <w:rStyle w:val="AERbody"/>
        </w:rPr>
        <w:t>While helpful, benchmarking does have its limitations. These limitations mainly stem from variations in network characteristics such as the age, size and maturity of a transmission network and the market it serves.</w:t>
      </w:r>
      <w:r>
        <w:rPr>
          <w:rStyle w:val="FootnoteReference"/>
        </w:rPr>
        <w:footnoteReference w:id="45"/>
      </w:r>
      <w:r>
        <w:rPr>
          <w:rStyle w:val="AERbody"/>
        </w:rPr>
        <w:t xml:space="preserve"> Differences between purchasing and leasing policies, as well as different capitalisation, cost allocation and other accounting policies, also create limitations on the usefulness of benchmarking.</w:t>
      </w:r>
    </w:p>
    <w:p w:rsidR="00AD12FE" w:rsidRDefault="00AD12FE" w:rsidP="00AD12FE">
      <w:pPr>
        <w:pStyle w:val="AERbodytext"/>
        <w:numPr>
          <w:ilvl w:val="0"/>
          <w:numId w:val="13"/>
        </w:numPr>
      </w:pPr>
      <w:r>
        <w:t>We</w:t>
      </w:r>
      <w:r w:rsidRPr="00BC4A6D">
        <w:t xml:space="preserve"> compared </w:t>
      </w:r>
      <w:r>
        <w:t>SP AusNet's</w:t>
      </w:r>
      <w:r w:rsidRPr="00BC4A6D">
        <w:t xml:space="preserve"> historical </w:t>
      </w:r>
      <w:r>
        <w:t xml:space="preserve">expenditure </w:t>
      </w:r>
      <w:r w:rsidRPr="00BC4A6D">
        <w:t xml:space="preserve">against other </w:t>
      </w:r>
      <w:r>
        <w:t xml:space="preserve">transmission network providers using ratio analysis, and normalised our results using load density (MW/km). Load density is the peak amount of electricity </w:t>
      </w:r>
      <w:r w:rsidR="00110B7E">
        <w:t>transmitted</w:t>
      </w:r>
      <w:r>
        <w:t xml:space="preserve"> per kilometre of line length. We consider this to be an appropriate measure because it accounts for </w:t>
      </w:r>
      <w:r w:rsidR="00110B7E">
        <w:t xml:space="preserve">some of </w:t>
      </w:r>
      <w:r>
        <w:t xml:space="preserve">the varying circumstances of transmission network operators. It </w:t>
      </w:r>
      <w:r w:rsidR="00110B7E">
        <w:t>is</w:t>
      </w:r>
      <w:r>
        <w:t xml:space="preserve"> expected that denser networks would</w:t>
      </w:r>
      <w:r w:rsidR="000604FE">
        <w:t xml:space="preserve"> benefit from economies of scale</w:t>
      </w:r>
      <w:r>
        <w:t xml:space="preserve"> and </w:t>
      </w:r>
      <w:r w:rsidR="00110B7E">
        <w:t xml:space="preserve">would therefore appear </w:t>
      </w:r>
      <w:r>
        <w:t>more efficient.</w:t>
      </w:r>
    </w:p>
    <w:p w:rsidR="00AD12FE" w:rsidRDefault="00AD12FE" w:rsidP="00AD12FE">
      <w:pPr>
        <w:pStyle w:val="AERbodytext"/>
        <w:numPr>
          <w:ilvl w:val="0"/>
          <w:numId w:val="13"/>
        </w:numPr>
      </w:pPr>
      <w:r>
        <w:t xml:space="preserve">We used a three year average for each metric (from 2008-09 to 2010-11) as the basis for comparison.  This provides a less volatile comparison than a single year comparison, since the three year average reduces the likelihood of any single </w:t>
      </w:r>
      <w:r w:rsidR="00110B7E">
        <w:t xml:space="preserve">fluctuation </w:t>
      </w:r>
      <w:r>
        <w:t>year affecting the results.</w:t>
      </w:r>
    </w:p>
    <w:p w:rsidR="00AD12FE" w:rsidRDefault="00AD12FE" w:rsidP="00AD12FE">
      <w:pPr>
        <w:pStyle w:val="HeadingBoldBlue"/>
        <w:numPr>
          <w:ilvl w:val="0"/>
          <w:numId w:val="13"/>
        </w:numPr>
      </w:pPr>
      <w:r>
        <w:t>Load density</w:t>
      </w:r>
    </w:p>
    <w:p w:rsidR="00AD12FE" w:rsidRDefault="00F65B4D" w:rsidP="00F65B4D">
      <w:pPr>
        <w:pStyle w:val="AERbodytext"/>
        <w:numPr>
          <w:ilvl w:val="0"/>
          <w:numId w:val="0"/>
        </w:numPr>
      </w:pPr>
      <w:r>
        <w:t xml:space="preserve">Figure A.1 </w:t>
      </w:r>
      <w:r w:rsidR="00AD12FE" w:rsidRPr="00B12A91">
        <w:t xml:space="preserve">shows that SP AusNet in Victoria, with 6,553 circuit kilometres </w:t>
      </w:r>
      <w:r w:rsidR="00AD12FE">
        <w:t xml:space="preserve">has </w:t>
      </w:r>
      <w:r w:rsidR="00AD12FE" w:rsidRPr="00B12A91">
        <w:t xml:space="preserve">the </w:t>
      </w:r>
      <w:r w:rsidR="00AD12FE">
        <w:t xml:space="preserve">network with the </w:t>
      </w:r>
      <w:r w:rsidR="00AD12FE" w:rsidRPr="00B12A91">
        <w:t xml:space="preserve">highest </w:t>
      </w:r>
      <w:r w:rsidR="00AD12FE">
        <w:t xml:space="preserve">energy </w:t>
      </w:r>
      <w:r w:rsidR="00AD12FE" w:rsidRPr="00B12A91">
        <w:t>density. SP AusNet</w:t>
      </w:r>
      <w:r w:rsidR="00872C51">
        <w:t>’s transmission network</w:t>
      </w:r>
      <w:r w:rsidR="00AD12FE" w:rsidRPr="00B12A91">
        <w:t xml:space="preserve"> is built around a 500 kV high voltage line running from the major generating source in the Latrobe Valley, through Melbourne and across the southern part of the state to Heywood near the South Australian border. </w:t>
      </w:r>
      <w:r w:rsidR="00872C51">
        <w:t>This 500 kV backbone is reinforced by a 220 kV ring around Melbourne, other 200 kV rings in country Victoria supplying regional centres and interconnections with South Australia, New South Wales and Tasmania.</w:t>
      </w:r>
      <w:r w:rsidR="00872C51">
        <w:rPr>
          <w:rStyle w:val="FootnoteReference"/>
        </w:rPr>
        <w:footnoteReference w:id="46"/>
      </w:r>
      <w:r w:rsidR="00872C51">
        <w:t xml:space="preserve"> </w:t>
      </w:r>
      <w:r w:rsidR="00AD12FE" w:rsidRPr="00B12A91">
        <w:t>SP AusNet transmits the most MW per kilometr</w:t>
      </w:r>
      <w:r w:rsidR="00AD12FE">
        <w:t>e</w:t>
      </w:r>
      <w:r w:rsidR="00AD12FE" w:rsidRPr="00B12A91">
        <w:t xml:space="preserve"> of line length at 1.5 MW per kilometre. TransGrid is </w:t>
      </w:r>
      <w:r w:rsidR="00AD12FE">
        <w:t xml:space="preserve">the next largest at just below a </w:t>
      </w:r>
      <w:r w:rsidR="00AD12FE" w:rsidRPr="00B12A91">
        <w:t>MW per kilometre.</w:t>
      </w:r>
    </w:p>
    <w:p w:rsidR="00AD12FE" w:rsidRPr="00AD12FE" w:rsidRDefault="00F65B4D" w:rsidP="00F65B4D">
      <w:pPr>
        <w:pStyle w:val="Caption"/>
      </w:pPr>
      <w:bookmarkStart w:id="51" w:name="_Ref354565425"/>
      <w:r>
        <w:t xml:space="preserve">Figure </w:t>
      </w:r>
      <w:bookmarkEnd w:id="51"/>
      <w:r>
        <w:t>A.1</w:t>
      </w:r>
      <w:r>
        <w:tab/>
      </w:r>
      <w:r w:rsidR="00AD12FE" w:rsidRPr="00AD12FE">
        <w:t>Size of TNSP, by Load density</w:t>
      </w:r>
    </w:p>
    <w:p w:rsidR="00946CB5" w:rsidRDefault="00946CB5" w:rsidP="00872C51">
      <w:pPr>
        <w:pStyle w:val="AERtablesource"/>
      </w:pPr>
      <w:r w:rsidRPr="00946CB5">
        <w:rPr>
          <w:noProof/>
          <w:lang w:eastAsia="en-AU"/>
        </w:rPr>
        <w:drawing>
          <wp:inline distT="0" distB="0" distL="0" distR="0">
            <wp:extent cx="5388004" cy="3240000"/>
            <wp:effectExtent l="19050" t="0" r="3146"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388004" cy="3240000"/>
                    </a:xfrm>
                    <a:prstGeom prst="rect">
                      <a:avLst/>
                    </a:prstGeom>
                    <a:noFill/>
                    <a:ln w="9525">
                      <a:noFill/>
                      <a:miter lim="800000"/>
                      <a:headEnd/>
                      <a:tailEnd/>
                    </a:ln>
                  </pic:spPr>
                </pic:pic>
              </a:graphicData>
            </a:graphic>
          </wp:inline>
        </w:drawing>
      </w:r>
    </w:p>
    <w:p w:rsidR="000604FE" w:rsidRDefault="00872C51" w:rsidP="00872C51">
      <w:pPr>
        <w:pStyle w:val="AERtablesource"/>
      </w:pPr>
      <w:r>
        <w:t xml:space="preserve">Source: AER analysis. </w:t>
      </w:r>
    </w:p>
    <w:p w:rsidR="00AD12FE" w:rsidRDefault="00AD12FE" w:rsidP="00AD12FE">
      <w:pPr>
        <w:pStyle w:val="HeadingBoldBlue"/>
        <w:numPr>
          <w:ilvl w:val="0"/>
          <w:numId w:val="13"/>
        </w:numPr>
      </w:pPr>
      <w:r>
        <w:t xml:space="preserve">Operating expenditure </w:t>
      </w:r>
    </w:p>
    <w:p w:rsidR="00AD12FE" w:rsidRPr="00AD12FE" w:rsidRDefault="00F65B4D" w:rsidP="00AD12FE">
      <w:pPr>
        <w:pStyle w:val="AERbodytext"/>
      </w:pPr>
      <w:r>
        <w:t>Figures A.2, A.3</w:t>
      </w:r>
      <w:r w:rsidR="00AD12FE" w:rsidRPr="00AD12FE">
        <w:t xml:space="preserve"> </w:t>
      </w:r>
      <w:r>
        <w:t>and A.3</w:t>
      </w:r>
      <w:r w:rsidR="00AD12FE" w:rsidRPr="00AD12FE">
        <w:t xml:space="preserve"> show SP AusNet's relative performance in terms of opex/line length, opex/peak demand and opex/electricity distributed, respectively. The trend line in those figures relates to all transmission network operators. Notably on all three indicators SP AusNet's performance is above the trend line, meaning that when load density is taken into account SP AusNet’s opex is higher than the average of its peers.</w:t>
      </w:r>
    </w:p>
    <w:p w:rsidR="00AD12FE" w:rsidRDefault="00AD12FE" w:rsidP="00AD12FE">
      <w:pPr>
        <w:pStyle w:val="AERbodytext"/>
        <w:numPr>
          <w:ilvl w:val="0"/>
          <w:numId w:val="13"/>
        </w:numPr>
      </w:pPr>
      <w:r>
        <w:t xml:space="preserve">SP AusNet is required to pay an easement tax. It is an uncontrollable cost payable to the Victorian government. None of its peers are liable to pay a similar tax so it was removed from SP AusNet’s opex for benchmarking purpose.   </w:t>
      </w:r>
    </w:p>
    <w:p w:rsidR="00AD12FE" w:rsidRDefault="00F65B4D" w:rsidP="00AD12FE">
      <w:pPr>
        <w:pStyle w:val="AERbodytext"/>
        <w:numPr>
          <w:ilvl w:val="0"/>
          <w:numId w:val="13"/>
        </w:numPr>
      </w:pPr>
      <w:r>
        <w:t>Figure A.2</w:t>
      </w:r>
      <w:r w:rsidR="00AD12FE">
        <w:t xml:space="preserve"> illustrates</w:t>
      </w:r>
      <w:r w:rsidR="00AD12FE" w:rsidRPr="007048EF">
        <w:t xml:space="preserve"> opex to line length ratios</w:t>
      </w:r>
      <w:r w:rsidR="00AD12FE" w:rsidRPr="007048EF" w:rsidDel="009367FA">
        <w:t xml:space="preserve"> </w:t>
      </w:r>
      <w:r w:rsidR="00AD12FE" w:rsidRPr="007048EF">
        <w:t xml:space="preserve">for </w:t>
      </w:r>
      <w:r w:rsidR="00AD12FE">
        <w:t>SP AusNet and its peers. It shows</w:t>
      </w:r>
      <w:r w:rsidR="00AD12FE" w:rsidRPr="007048EF">
        <w:t xml:space="preserve"> that the five TNSPs' opex to line length ratio</w:t>
      </w:r>
      <w:r w:rsidR="00AD12FE">
        <w:t>s</w:t>
      </w:r>
      <w:r w:rsidR="00AD12FE" w:rsidRPr="007048EF" w:rsidDel="009367FA">
        <w:t xml:space="preserve"> </w:t>
      </w:r>
      <w:r w:rsidR="00AD12FE" w:rsidRPr="007048EF">
        <w:t>all move together</w:t>
      </w:r>
      <w:r w:rsidR="00AD12FE" w:rsidRPr="007048EF" w:rsidDel="00F17862">
        <w:t xml:space="preserve"> </w:t>
      </w:r>
      <w:r w:rsidR="00AD12FE" w:rsidRPr="007048EF">
        <w:t>closely, and is indicative of the level of opex required by the industry at large to maintain a given length of transmission circuit line</w:t>
      </w:r>
      <w:r w:rsidR="00AD12FE">
        <w:t>.</w:t>
      </w:r>
    </w:p>
    <w:p w:rsidR="00AD12FE" w:rsidRPr="00AD12FE" w:rsidRDefault="00AD12FE" w:rsidP="00AD12FE">
      <w:pPr>
        <w:pStyle w:val="Caption"/>
      </w:pPr>
      <w:bookmarkStart w:id="52" w:name="_Ref352855907"/>
      <w:bookmarkStart w:id="53" w:name="_Ref354419573"/>
      <w:bookmarkStart w:id="54" w:name="_Ref354419498"/>
      <w:r>
        <w:t xml:space="preserve">Figure </w:t>
      </w:r>
      <w:r w:rsidRPr="00AD12FE">
        <w:t>A.</w:t>
      </w:r>
      <w:bookmarkStart w:id="55" w:name="_Ref354419565"/>
      <w:bookmarkEnd w:id="52"/>
      <w:bookmarkEnd w:id="53"/>
      <w:r w:rsidR="00F65B4D">
        <w:t>2</w:t>
      </w:r>
      <w:r w:rsidR="00F65B4D" w:rsidRPr="00AD12FE">
        <w:t xml:space="preserve"> </w:t>
      </w:r>
      <w:r w:rsidR="00F65B4D">
        <w:tab/>
      </w:r>
      <w:r w:rsidRPr="00AD12FE">
        <w:t>Opex/line length ($million, nominal)</w:t>
      </w:r>
      <w:bookmarkEnd w:id="54"/>
      <w:bookmarkEnd w:id="55"/>
    </w:p>
    <w:p w:rsidR="00AD12FE" w:rsidRDefault="00AD12FE" w:rsidP="00AD12FE">
      <w:r w:rsidRPr="00AD12FE">
        <w:rPr>
          <w:noProof/>
          <w:lang w:eastAsia="en-AU"/>
        </w:rPr>
        <w:drawing>
          <wp:inline distT="0" distB="0" distL="0" distR="0">
            <wp:extent cx="5715000" cy="259080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D12FE" w:rsidRDefault="00F65B4D" w:rsidP="00AD12FE">
      <w:pPr>
        <w:pStyle w:val="AERbodytext"/>
        <w:numPr>
          <w:ilvl w:val="0"/>
          <w:numId w:val="13"/>
        </w:numPr>
      </w:pPr>
      <w:r>
        <w:t>Figure A.3</w:t>
      </w:r>
      <w:r w:rsidR="00AD12FE" w:rsidRPr="00AD12FE">
        <w:t xml:space="preserve"> </w:t>
      </w:r>
      <w:r w:rsidR="00AD12FE">
        <w:t>illustrates opex to peak demand ratios for SP AusNet and its peers. Peak demand refers to the highest electricity usage in a transmission network. Opex includes network related expenses such as maintenance and non-network expenses such as management costs. SP AusNet has the lowest opex to peak demand ratio of all its peers. However, this is to be expected since in the NEM as load density increases, there is a tendency that a TNSP’s opex to peak demand ratio will decrease.</w:t>
      </w:r>
    </w:p>
    <w:p w:rsidR="00AD12FE" w:rsidRDefault="00AD12FE" w:rsidP="00AD12FE">
      <w:pPr>
        <w:pStyle w:val="Caption"/>
      </w:pPr>
      <w:bookmarkStart w:id="56" w:name="_Ref354468091"/>
      <w:bookmarkStart w:id="57" w:name="_Ref352855929"/>
      <w:r>
        <w:t>Figure</w:t>
      </w:r>
      <w:bookmarkEnd w:id="56"/>
      <w:bookmarkEnd w:id="57"/>
      <w:r w:rsidR="00F65B4D">
        <w:t xml:space="preserve"> A.3 </w:t>
      </w:r>
      <w:r w:rsidR="00F65B4D">
        <w:tab/>
      </w:r>
      <w:r>
        <w:t>Opex/peak demand ($million, nominal)</w:t>
      </w:r>
    </w:p>
    <w:p w:rsidR="00AD12FE" w:rsidRDefault="00AD12FE" w:rsidP="00AD12FE">
      <w:r w:rsidRPr="00AD12FE">
        <w:rPr>
          <w:noProof/>
          <w:lang w:eastAsia="en-AU"/>
        </w:rPr>
        <w:drawing>
          <wp:inline distT="0" distB="0" distL="0" distR="0">
            <wp:extent cx="5829300" cy="2581275"/>
            <wp:effectExtent l="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58" w:name="_Ref352855909"/>
    </w:p>
    <w:p w:rsidR="00AD12FE" w:rsidRPr="00AD12FE" w:rsidRDefault="00F65B4D" w:rsidP="00F65B4D">
      <w:pPr>
        <w:pStyle w:val="AERbodytext"/>
      </w:pPr>
      <w:r>
        <w:t xml:space="preserve">Figure A.4 </w:t>
      </w:r>
      <w:r w:rsidR="00AD12FE" w:rsidRPr="00AD12FE">
        <w:t>illustrates opex to electricity distributed ratios for SP AusNet and its peers. Electricity distributed is an accumulative measure of the total energy sent out through a transmission network over the course of a year. In this regard it differs to peak demand which is a snapshot in time of ‘peak’ energy use. In the NEM as load density increases, opex to electricity distributed ratios tends to decrease. SP AusNet’s opex to electricity distributed ratio largely reflects this tendency.</w:t>
      </w:r>
    </w:p>
    <w:p w:rsidR="00AD12FE" w:rsidRDefault="00AD12FE" w:rsidP="00AD12FE">
      <w:pPr>
        <w:pStyle w:val="Caption"/>
      </w:pPr>
      <w:r>
        <w:t>Figure A.</w:t>
      </w:r>
      <w:bookmarkEnd w:id="58"/>
      <w:r w:rsidR="00F65B4D">
        <w:t xml:space="preserve">4 </w:t>
      </w:r>
      <w:r w:rsidR="00F65B4D">
        <w:tab/>
      </w:r>
      <w:r>
        <w:t>Opex/electricity distributed ($million, nominal)</w:t>
      </w:r>
    </w:p>
    <w:p w:rsidR="00AD12FE" w:rsidRDefault="00AD12FE" w:rsidP="00AD12FE">
      <w:pPr>
        <w:pStyle w:val="AERbodytext"/>
        <w:numPr>
          <w:ilvl w:val="0"/>
          <w:numId w:val="13"/>
        </w:numPr>
      </w:pPr>
      <w:r w:rsidRPr="00AD12FE">
        <w:rPr>
          <w:noProof/>
          <w:lang w:eastAsia="en-AU"/>
        </w:rPr>
        <w:drawing>
          <wp:inline distT="0" distB="0" distL="0" distR="0">
            <wp:extent cx="5829300" cy="2524125"/>
            <wp:effectExtent l="0" t="0" r="0"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D12FE" w:rsidRPr="00AD12FE" w:rsidRDefault="00AD12FE" w:rsidP="00AD12FE">
      <w:pPr>
        <w:pStyle w:val="HeadingBoldBlue"/>
      </w:pPr>
      <w:r>
        <w:t>Capital expenditure</w:t>
      </w:r>
    </w:p>
    <w:p w:rsidR="00AD12FE" w:rsidRDefault="00F65B4D" w:rsidP="00AD12FE">
      <w:pPr>
        <w:pStyle w:val="AERbodytext"/>
        <w:numPr>
          <w:ilvl w:val="0"/>
          <w:numId w:val="13"/>
        </w:numPr>
      </w:pPr>
      <w:r>
        <w:t>Figures A.5, A.6 and A.7</w:t>
      </w:r>
      <w:r w:rsidR="00AD12FE">
        <w:t xml:space="preserve"> benchmark SP AusNet's historical capital expenditure (capex) against its peers. They show that SP AusNet's capex is (as with its opex) above the trend line on all three indicators. This means that SP AusNet's historical capex is, in general, higher than its peers when load density is considered. </w:t>
      </w:r>
    </w:p>
    <w:p w:rsidR="00AD12FE" w:rsidRDefault="00AD12FE" w:rsidP="00AD12FE">
      <w:pPr>
        <w:pStyle w:val="AERbodytext"/>
        <w:numPr>
          <w:ilvl w:val="0"/>
          <w:numId w:val="13"/>
        </w:numPr>
      </w:pPr>
      <w:r>
        <w:t>We disregard those costs which SP AusNet’s peers incur but it does not. In particular, the revenues we approve for SP AusNet do not include augmentation and connection costs</w:t>
      </w:r>
      <w:r w:rsidRPr="002E7BAD">
        <w:t xml:space="preserve"> </w:t>
      </w:r>
      <w:r>
        <w:t>(see section</w:t>
      </w:r>
      <w:r w:rsidR="000966CA">
        <w:t xml:space="preserve"> 2.3</w:t>
      </w:r>
      <w:r>
        <w:t>), whereas this is an expense for its peers. We therefore disregarded augmentation and connection costs for all transmission businesses.</w:t>
      </w:r>
    </w:p>
    <w:p w:rsidR="00AD12FE" w:rsidRDefault="000966CA" w:rsidP="00AD12FE">
      <w:pPr>
        <w:pStyle w:val="AERbodytext"/>
        <w:numPr>
          <w:ilvl w:val="0"/>
          <w:numId w:val="13"/>
        </w:numPr>
      </w:pPr>
      <w:r>
        <w:t xml:space="preserve">Figure A.5 </w:t>
      </w:r>
      <w:r w:rsidR="00AD12FE">
        <w:t xml:space="preserve">illustrates the non-augmentation capex to </w:t>
      </w:r>
      <w:r w:rsidR="00110B7E">
        <w:t>load density</w:t>
      </w:r>
      <w:r w:rsidR="00AD12FE">
        <w:t xml:space="preserve"> ratios of SP AusNet and its peers. It shows that load density is largely insensitive to the amount spent on non-augmentation capex per 1000 km of line length. More generally, after Powerlink SP AusNet’s spends the most on non-augmentation capex per 1000 km of line length out of all the TNSPs in the NEM we benchmarked. </w:t>
      </w:r>
    </w:p>
    <w:p w:rsidR="00AD12FE" w:rsidRDefault="00AD12FE" w:rsidP="00AD12FE">
      <w:pPr>
        <w:pStyle w:val="Caption"/>
      </w:pPr>
      <w:bookmarkStart w:id="59" w:name="_Ref354468068"/>
      <w:bookmarkStart w:id="60" w:name="_Ref352856973"/>
      <w:r>
        <w:t xml:space="preserve">Figure </w:t>
      </w:r>
      <w:bookmarkEnd w:id="59"/>
      <w:bookmarkEnd w:id="60"/>
      <w:r w:rsidR="00F65B4D">
        <w:t>A.5</w:t>
      </w:r>
      <w:r>
        <w:tab/>
        <w:t>Non-augmentation capex/line length ($million, nominal)</w:t>
      </w:r>
    </w:p>
    <w:p w:rsidR="00AD12FE" w:rsidRPr="008D6AFA" w:rsidRDefault="00AD12FE" w:rsidP="00AD12FE">
      <w:r w:rsidRPr="00AD12FE">
        <w:rPr>
          <w:noProof/>
          <w:lang w:eastAsia="en-AU"/>
        </w:rPr>
        <w:drawing>
          <wp:inline distT="0" distB="0" distL="0" distR="0">
            <wp:extent cx="5524500" cy="2581275"/>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D12FE" w:rsidRDefault="000966CA" w:rsidP="00AD12FE">
      <w:bookmarkStart w:id="61" w:name="_Ref352856987"/>
      <w:r>
        <w:t xml:space="preserve">Figure A.6 </w:t>
      </w:r>
      <w:r w:rsidR="00AD12FE" w:rsidRPr="00A149D0">
        <w:t xml:space="preserve">illustrates the non-augmentation capex to </w:t>
      </w:r>
      <w:r w:rsidR="00AD12FE">
        <w:t>peak demand</w:t>
      </w:r>
      <w:r w:rsidR="00AD12FE" w:rsidRPr="00A149D0">
        <w:t xml:space="preserve"> ratios of SP AusNet and its</w:t>
      </w:r>
      <w:r w:rsidR="00AD12FE">
        <w:t xml:space="preserve"> </w:t>
      </w:r>
      <w:r w:rsidR="00AD12FE" w:rsidRPr="00A149D0">
        <w:t>peers</w:t>
      </w:r>
      <w:r w:rsidR="00AD12FE">
        <w:t xml:space="preserve">. Peak demand is a significant driver of investment for transmission networks. In the NEM as load density increases, the amount spent on non-augmentation capex as a ratio of peak demand tends to decrease. SP AusNet’s expenditure tends to reflect this. However, relative to the other TNSPs we benchmarked its non-augmentation capex to peak demand ratio is higher, when load density is used as a normaliser. </w:t>
      </w:r>
    </w:p>
    <w:p w:rsidR="00AD12FE" w:rsidRPr="00AD12FE" w:rsidRDefault="00AD12FE" w:rsidP="00AD12FE">
      <w:pPr>
        <w:pStyle w:val="Caption"/>
      </w:pPr>
      <w:r>
        <w:t xml:space="preserve">Figure </w:t>
      </w:r>
      <w:r w:rsidRPr="00AD12FE">
        <w:t>A.</w:t>
      </w:r>
      <w:bookmarkEnd w:id="61"/>
      <w:r w:rsidR="00F65B4D">
        <w:t>6</w:t>
      </w:r>
      <w:r w:rsidRPr="00AD12FE">
        <w:tab/>
        <w:t>Non-augmentation capex/peak demand</w:t>
      </w:r>
    </w:p>
    <w:p w:rsidR="00AD12FE" w:rsidRPr="008D6AFA" w:rsidRDefault="00AD12FE" w:rsidP="00AD12FE">
      <w:r w:rsidRPr="00AD12FE">
        <w:rPr>
          <w:noProof/>
          <w:lang w:eastAsia="en-AU"/>
        </w:rPr>
        <w:drawing>
          <wp:inline distT="0" distB="0" distL="0" distR="0">
            <wp:extent cx="5781675" cy="2552700"/>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D12FE" w:rsidRPr="00AD12FE" w:rsidRDefault="000966CA" w:rsidP="00F65B4D">
      <w:pPr>
        <w:pStyle w:val="AERbodytext"/>
      </w:pPr>
      <w:bookmarkStart w:id="62" w:name="_Ref352856988"/>
      <w:r>
        <w:t>Figure A.7</w:t>
      </w:r>
      <w:r w:rsidR="00AD12FE" w:rsidRPr="00AD12FE">
        <w:t xml:space="preserve"> illustrates the non-augmentation capex to electricity distributed ratios of SP AusNet and its peers. As load density increases, the amount spent on non-augmentation capex per electricity distributed tends to decrease. SP AusNet’s expenditure largely reflects this. But compared to other TNSPs we benchmarked its expenditure ratio is marginally higher, when load density is taken into account.</w:t>
      </w:r>
    </w:p>
    <w:p w:rsidR="00AD12FE" w:rsidRDefault="00AD12FE" w:rsidP="00AD12FE">
      <w:pPr>
        <w:pStyle w:val="Caption"/>
      </w:pPr>
      <w:r>
        <w:t>Figure A.</w:t>
      </w:r>
      <w:bookmarkEnd w:id="62"/>
      <w:r w:rsidR="00F65B4D">
        <w:t>7</w:t>
      </w:r>
      <w:r>
        <w:tab/>
        <w:t>Non-augmentation capex/electricity distributed</w:t>
      </w:r>
    </w:p>
    <w:p w:rsidR="00AD12FE" w:rsidRDefault="00AD12FE" w:rsidP="00AD12FE">
      <w:pPr>
        <w:pStyle w:val="AERbodytext"/>
        <w:numPr>
          <w:ilvl w:val="0"/>
          <w:numId w:val="13"/>
        </w:numPr>
      </w:pPr>
      <w:r w:rsidRPr="00AD12FE">
        <w:rPr>
          <w:noProof/>
          <w:lang w:eastAsia="en-AU"/>
        </w:rPr>
        <w:drawing>
          <wp:inline distT="0" distB="0" distL="0" distR="0">
            <wp:extent cx="5848350" cy="2705100"/>
            <wp:effectExtent l="0" t="0" r="0" b="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0521" w:rsidRDefault="00B90521" w:rsidP="00AD12FE">
      <w:pPr>
        <w:pStyle w:val="AERbodytext"/>
        <w:numPr>
          <w:ilvl w:val="0"/>
          <w:numId w:val="13"/>
        </w:numPr>
        <w:sectPr w:rsidR="00B90521" w:rsidSect="00456081">
          <w:footerReference w:type="even" r:id="rId43"/>
          <w:footerReference w:type="default" r:id="rId44"/>
          <w:pgSz w:w="11906" w:h="16838"/>
          <w:pgMar w:top="1440" w:right="1440" w:bottom="1440" w:left="1440" w:header="708" w:footer="708" w:gutter="0"/>
          <w:cols w:space="708"/>
          <w:docGrid w:linePitch="360"/>
        </w:sectPr>
      </w:pPr>
    </w:p>
    <w:p w:rsidR="00AD12FE" w:rsidRDefault="00AD12FE" w:rsidP="00AD12FE">
      <w:pPr>
        <w:pStyle w:val="Heading7"/>
      </w:pPr>
      <w:bookmarkStart w:id="63" w:name="_Toc355186312"/>
      <w:r>
        <w:t>Appendix – Service standards performance</w:t>
      </w:r>
      <w:bookmarkEnd w:id="63"/>
    </w:p>
    <w:p w:rsidR="00AD12FE" w:rsidRPr="00AD12FE" w:rsidRDefault="00AD12FE" w:rsidP="00AD12FE">
      <w:pPr>
        <w:pStyle w:val="AERbodytext"/>
        <w:numPr>
          <w:ilvl w:val="0"/>
          <w:numId w:val="13"/>
        </w:numPr>
      </w:pPr>
      <w:r>
        <w:t>SP AusNet's historic</w:t>
      </w:r>
      <w:r w:rsidR="00F15317">
        <w:t>al</w:t>
      </w:r>
      <w:r>
        <w:t xml:space="preserve"> service </w:t>
      </w:r>
      <w:r w:rsidR="000604FE">
        <w:t xml:space="preserve">standards </w:t>
      </w:r>
      <w:r>
        <w:t xml:space="preserve">performance is shown </w:t>
      </w:r>
      <w:r w:rsidR="000604FE">
        <w:t xml:space="preserve">in the figures </w:t>
      </w:r>
      <w:r>
        <w:t>below. A different set of parameters applied to SP AusNet during the 20</w:t>
      </w:r>
      <w:r w:rsidR="009A0100">
        <w:t xml:space="preserve">08–14 regulatory control period </w:t>
      </w:r>
      <w:r>
        <w:t xml:space="preserve">than will apply during the 2014–17 regulatory control period. However, the below figures show SP AusNet's historical performance against the parameters that will apply in the future. </w:t>
      </w:r>
      <w:r w:rsidR="00946CB5">
        <w:t xml:space="preserve">Targets for the 2014–17 regulatory control period will be derived from an average of performance over the past five years. </w:t>
      </w:r>
    </w:p>
    <w:p w:rsidR="00AD12FE" w:rsidRDefault="00AD12FE" w:rsidP="00AD12FE">
      <w:pPr>
        <w:pStyle w:val="AERbodytext"/>
        <w:numPr>
          <w:ilvl w:val="0"/>
          <w:numId w:val="13"/>
        </w:numPr>
      </w:pPr>
      <w:r>
        <w:t>The TNSP performance reports that can be found on our website (</w:t>
      </w:r>
      <w:hyperlink r:id="rId45" w:history="1">
        <w:r w:rsidRPr="00EA2D74">
          <w:rPr>
            <w:rStyle w:val="Hyperlink"/>
          </w:rPr>
          <w:t>www.aer.gov.au</w:t>
        </w:r>
      </w:hyperlink>
      <w:r>
        <w:t xml:space="preserve">) also compare SP AusNet’s historical service standard performance against other TNSPs in Australia. </w:t>
      </w:r>
    </w:p>
    <w:p w:rsidR="00946CB5" w:rsidRDefault="009A0100" w:rsidP="00AD12FE">
      <w:pPr>
        <w:pStyle w:val="AERbodytext"/>
        <w:numPr>
          <w:ilvl w:val="0"/>
          <w:numId w:val="13"/>
        </w:numPr>
      </w:pPr>
      <w:r>
        <w:t xml:space="preserve">Figure B.1 shows SP AusNet’s historical performance against the circuit availability parameter. This parameter measures the </w:t>
      </w:r>
      <w:r w:rsidR="00946CB5">
        <w:t xml:space="preserve">ratio of the number of outage events to the number of defined circuits (for example, lines, transformers, or reactive plant). It is expressed as a percentage for ease of reading. </w:t>
      </w:r>
    </w:p>
    <w:p w:rsidR="009A0100" w:rsidRPr="00AD12FE" w:rsidRDefault="00946CB5" w:rsidP="00AD12FE">
      <w:pPr>
        <w:pStyle w:val="AERbodytext"/>
        <w:numPr>
          <w:ilvl w:val="0"/>
          <w:numId w:val="13"/>
        </w:numPr>
      </w:pPr>
      <w:r>
        <w:t xml:space="preserve">It should be noted that, as this is a new parameter, SP AusNet did not have targets during the 2008–14 regulatory control period. One observation is that performance </w:t>
      </w:r>
      <w:r w:rsidR="00CB4840">
        <w:t>deteriorated</w:t>
      </w:r>
      <w:r>
        <w:t xml:space="preserve"> somewhat in 2011 and 2012.  </w:t>
      </w:r>
    </w:p>
    <w:p w:rsidR="00AD12FE" w:rsidRDefault="00AD12FE" w:rsidP="00AD12FE">
      <w:pPr>
        <w:pStyle w:val="Caption"/>
      </w:pPr>
      <w:r>
        <w:t>Figure B.1</w:t>
      </w:r>
      <w:r>
        <w:tab/>
        <w:t>SP AusNet circuit availability performance 2008–2012</w:t>
      </w:r>
    </w:p>
    <w:p w:rsidR="00AD12FE" w:rsidRPr="00AD12FE" w:rsidRDefault="004A56A6" w:rsidP="00AD12FE">
      <w:pPr>
        <w:pStyle w:val="AERbodytext"/>
      </w:pPr>
      <w:r w:rsidRPr="004A56A6">
        <w:rPr>
          <w:noProof/>
          <w:lang w:eastAsia="en-AU"/>
        </w:rPr>
        <w:drawing>
          <wp:inline distT="0" distB="0" distL="0" distR="0">
            <wp:extent cx="5940187" cy="3240000"/>
            <wp:effectExtent l="19050" t="0" r="3413"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5940187" cy="3240000"/>
                    </a:xfrm>
                    <a:prstGeom prst="rect">
                      <a:avLst/>
                    </a:prstGeom>
                    <a:noFill/>
                    <a:ln w="9525">
                      <a:noFill/>
                      <a:miter lim="800000"/>
                      <a:headEnd/>
                      <a:tailEnd/>
                    </a:ln>
                  </pic:spPr>
                </pic:pic>
              </a:graphicData>
            </a:graphic>
          </wp:inline>
        </w:drawing>
      </w:r>
    </w:p>
    <w:p w:rsidR="00946CB5" w:rsidRDefault="00946CB5" w:rsidP="00946CB5">
      <w:pPr>
        <w:pStyle w:val="AERbodytext"/>
      </w:pPr>
      <w:r>
        <w:t xml:space="preserve">Figure B.2 shows SP AusNet’s loss of supply event performance. SP AusNet was subject to this parameter in the 2008–14 regulatory control period and therefore had a performance target. </w:t>
      </w:r>
      <w:r w:rsidR="004A56A6">
        <w:t xml:space="preserve">It can be observed that SP AusNet’s loss of supply performance has generally been better than the target. </w:t>
      </w:r>
    </w:p>
    <w:p w:rsidR="00AD12FE" w:rsidRDefault="00AD12FE" w:rsidP="00AD12FE">
      <w:pPr>
        <w:pStyle w:val="Caption"/>
      </w:pPr>
      <w:r>
        <w:t>Figure B.2</w:t>
      </w:r>
      <w:r>
        <w:tab/>
        <w:t>SP AusNet loss of supply event performance 2008–12</w:t>
      </w:r>
    </w:p>
    <w:p w:rsidR="00AD12FE" w:rsidRPr="00AD12FE" w:rsidRDefault="004A56A6" w:rsidP="00AD12FE">
      <w:pPr>
        <w:pStyle w:val="AERbodytext"/>
      </w:pPr>
      <w:r w:rsidRPr="004A56A6">
        <w:rPr>
          <w:noProof/>
          <w:lang w:eastAsia="en-AU"/>
        </w:rPr>
        <w:drawing>
          <wp:inline distT="0" distB="0" distL="0" distR="0">
            <wp:extent cx="5917687" cy="3240000"/>
            <wp:effectExtent l="19050" t="0" r="6863"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917687" cy="3240000"/>
                    </a:xfrm>
                    <a:prstGeom prst="rect">
                      <a:avLst/>
                    </a:prstGeom>
                    <a:noFill/>
                    <a:ln w="9525">
                      <a:noFill/>
                      <a:miter lim="800000"/>
                      <a:headEnd/>
                      <a:tailEnd/>
                    </a:ln>
                  </pic:spPr>
                </pic:pic>
              </a:graphicData>
            </a:graphic>
          </wp:inline>
        </w:drawing>
      </w:r>
    </w:p>
    <w:p w:rsidR="004A56A6" w:rsidRDefault="004A56A6" w:rsidP="004A56A6">
      <w:pPr>
        <w:pStyle w:val="AERbodytext"/>
      </w:pPr>
      <w:r>
        <w:t>Figure B.3 shows SP AusNet’s average outage duration performance. While SP AusNet was subject to an average outage duration performance parameter during the 2008–14 regulatory control period, it was broken into two sub–parameters:</w:t>
      </w:r>
    </w:p>
    <w:p w:rsidR="004A56A6" w:rsidRDefault="004A56A6" w:rsidP="004A56A6">
      <w:pPr>
        <w:pStyle w:val="AERbulletlistfirststyle"/>
      </w:pPr>
      <w:r>
        <w:t xml:space="preserve">average outage duration for lines </w:t>
      </w:r>
    </w:p>
    <w:p w:rsidR="004A56A6" w:rsidRDefault="004A56A6" w:rsidP="004A56A6">
      <w:pPr>
        <w:pStyle w:val="AERbulletlistfirststyle"/>
      </w:pPr>
      <w:r>
        <w:t xml:space="preserve">average outage duration for transformers. </w:t>
      </w:r>
    </w:p>
    <w:p w:rsidR="004A56A6" w:rsidRDefault="004A56A6" w:rsidP="004A56A6">
      <w:pPr>
        <w:pStyle w:val="AERbulletlistfirststyle"/>
        <w:numPr>
          <w:ilvl w:val="0"/>
          <w:numId w:val="0"/>
        </w:numPr>
      </w:pPr>
      <w:r>
        <w:t>For the 2014–17 regulatory control period SP AusNet will be subject to a single average outage duration parameter. Its historical performance against this par</w:t>
      </w:r>
      <w:r w:rsidR="00CB4840">
        <w:t>ameter is shown in Figure B.3. T</w:t>
      </w:r>
      <w:r>
        <w:t xml:space="preserve">his shows that its average outage duration performance has generally been good except for 2012. </w:t>
      </w:r>
    </w:p>
    <w:p w:rsidR="00AD12FE" w:rsidRDefault="00AD12FE" w:rsidP="00AD12FE">
      <w:pPr>
        <w:pStyle w:val="Caption"/>
      </w:pPr>
      <w:r>
        <w:t>Figure B.3</w:t>
      </w:r>
      <w:r>
        <w:tab/>
        <w:t>SP AusNet average outage duration performance 2008–12</w:t>
      </w:r>
    </w:p>
    <w:p w:rsidR="00AD12FE" w:rsidRPr="00AD12FE" w:rsidRDefault="004A56A6" w:rsidP="00AD12FE">
      <w:pPr>
        <w:pStyle w:val="AERbodytext"/>
      </w:pPr>
      <w:r w:rsidRPr="004A56A6">
        <w:rPr>
          <w:noProof/>
          <w:lang w:eastAsia="en-AU"/>
        </w:rPr>
        <w:drawing>
          <wp:inline distT="0" distB="0" distL="0" distR="0">
            <wp:extent cx="5731510" cy="3140764"/>
            <wp:effectExtent l="19050" t="0" r="254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5731510" cy="3140764"/>
                    </a:xfrm>
                    <a:prstGeom prst="rect">
                      <a:avLst/>
                    </a:prstGeom>
                    <a:noFill/>
                    <a:ln w="9525">
                      <a:noFill/>
                      <a:miter lim="800000"/>
                      <a:headEnd/>
                      <a:tailEnd/>
                    </a:ln>
                  </pic:spPr>
                </pic:pic>
              </a:graphicData>
            </a:graphic>
          </wp:inline>
        </w:drawing>
      </w:r>
    </w:p>
    <w:p w:rsidR="00AD12FE" w:rsidRPr="00AD12FE" w:rsidRDefault="00AD12FE" w:rsidP="00AD12FE">
      <w:pPr>
        <w:pStyle w:val="AERtablesource"/>
      </w:pPr>
      <w:r>
        <w:t xml:space="preserve">Source: AER analysis. </w:t>
      </w:r>
    </w:p>
    <w:p w:rsidR="004A56A6" w:rsidRDefault="004A56A6" w:rsidP="004A56A6">
      <w:pPr>
        <w:pStyle w:val="AERbodytext"/>
      </w:pPr>
      <w:r>
        <w:t>Figure B.4 shows SP AusNet’s historical market impact component parameter performance. This parameter incentivise</w:t>
      </w:r>
      <w:r w:rsidR="00741E71">
        <w:t xml:space="preserve">s a TNSP to reduce planned outages that affect the wholesale electricity spot price. SP AusNet has only been subject to the market impact parameter since 2011. </w:t>
      </w:r>
      <w:r>
        <w:t xml:space="preserve"> </w:t>
      </w:r>
      <w:r w:rsidR="00741E71">
        <w:t>The ch</w:t>
      </w:r>
      <w:r w:rsidR="005C5A69">
        <w:t xml:space="preserve">art shows that SP AusNet’s performance has improved since 2011 when it became subject to the market impact parameter. </w:t>
      </w:r>
    </w:p>
    <w:p w:rsidR="00AD12FE" w:rsidRDefault="00AD12FE" w:rsidP="00AD12FE">
      <w:pPr>
        <w:pStyle w:val="Caption"/>
      </w:pPr>
      <w:r>
        <w:t>Figure B.4</w:t>
      </w:r>
      <w:r>
        <w:tab/>
        <w:t>SP AusNet market impact component performance 2008–12</w:t>
      </w:r>
    </w:p>
    <w:p w:rsidR="00AD12FE" w:rsidRDefault="00741E71" w:rsidP="00AD12FE">
      <w:r w:rsidRPr="00741E71">
        <w:rPr>
          <w:noProof/>
          <w:lang w:eastAsia="en-AU"/>
        </w:rPr>
        <w:drawing>
          <wp:inline distT="0" distB="0" distL="0" distR="0">
            <wp:extent cx="5731510" cy="3117667"/>
            <wp:effectExtent l="19050" t="0" r="254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5731510" cy="3117667"/>
                    </a:xfrm>
                    <a:prstGeom prst="rect">
                      <a:avLst/>
                    </a:prstGeom>
                    <a:noFill/>
                    <a:ln w="9525">
                      <a:noFill/>
                      <a:miter lim="800000"/>
                      <a:headEnd/>
                      <a:tailEnd/>
                    </a:ln>
                  </pic:spPr>
                </pic:pic>
              </a:graphicData>
            </a:graphic>
          </wp:inline>
        </w:drawing>
      </w:r>
    </w:p>
    <w:p w:rsidR="000814A6" w:rsidRDefault="000814A6">
      <w:pPr>
        <w:spacing w:after="0" w:line="240" w:lineRule="auto"/>
        <w:jc w:val="left"/>
        <w:rPr>
          <w:rFonts w:eastAsia="Times New Roman"/>
          <w:szCs w:val="24"/>
        </w:rPr>
        <w:sectPr w:rsidR="000814A6" w:rsidSect="00456081">
          <w:footerReference w:type="even" r:id="rId50"/>
          <w:footerReference w:type="default" r:id="rId51"/>
          <w:pgSz w:w="11906" w:h="16838"/>
          <w:pgMar w:top="1440" w:right="1440" w:bottom="1440" w:left="1440" w:header="708" w:footer="708" w:gutter="0"/>
          <w:cols w:space="708"/>
          <w:docGrid w:linePitch="360"/>
        </w:sectPr>
      </w:pPr>
    </w:p>
    <w:p w:rsidR="00EF001F" w:rsidRPr="00D0040B" w:rsidRDefault="00EF001F" w:rsidP="00EF001F">
      <w:pPr>
        <w:pStyle w:val="UnnumberedHeading"/>
      </w:pPr>
      <w:bookmarkStart w:id="64" w:name="_Toc355186313"/>
      <w:r w:rsidRPr="00D0040B">
        <w:t>Attachment – public forum presentation</w:t>
      </w:r>
      <w:bookmarkEnd w:id="64"/>
    </w:p>
    <w:p w:rsidR="0093106C" w:rsidRDefault="00C156D5" w:rsidP="0093106C">
      <w:pPr>
        <w:pStyle w:val="AERbodytext"/>
        <w:numPr>
          <w:ilvl w:val="0"/>
          <w:numId w:val="0"/>
        </w:numPr>
      </w:pPr>
      <w:r w:rsidRPr="00C156D5">
        <w:rPr>
          <w:noProof/>
          <w:lang w:eastAsia="en-AU"/>
        </w:rPr>
        <w:drawing>
          <wp:inline distT="0" distB="0" distL="0" distR="0">
            <wp:extent cx="5220000" cy="390551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5220000" cy="3905511"/>
                    </a:xfrm>
                    <a:prstGeom prst="rect">
                      <a:avLst/>
                    </a:prstGeom>
                    <a:noFill/>
                    <a:ln w="9525">
                      <a:noFill/>
                      <a:miter lim="800000"/>
                      <a:headEnd/>
                      <a:tailEnd/>
                    </a:ln>
                  </pic:spPr>
                </pic:pic>
              </a:graphicData>
            </a:graphic>
          </wp:inline>
        </w:drawing>
      </w:r>
    </w:p>
    <w:p w:rsidR="0093106C" w:rsidRDefault="00C156D5" w:rsidP="0093106C">
      <w:pPr>
        <w:pStyle w:val="AERbodytext"/>
        <w:numPr>
          <w:ilvl w:val="0"/>
          <w:numId w:val="0"/>
        </w:numPr>
      </w:pPr>
      <w:r w:rsidRPr="00C156D5">
        <w:rPr>
          <w:noProof/>
          <w:lang w:eastAsia="en-AU"/>
        </w:rPr>
        <w:drawing>
          <wp:inline distT="0" distB="0" distL="0" distR="0">
            <wp:extent cx="5220000" cy="3896456"/>
            <wp:effectExtent l="19050" t="19050" r="18750" b="27844"/>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5220000" cy="3896456"/>
                    </a:xfrm>
                    <a:prstGeom prst="rect">
                      <a:avLst/>
                    </a:prstGeom>
                    <a:noFill/>
                    <a:ln w="9525">
                      <a:solidFill>
                        <a:schemeClr val="accent1"/>
                      </a:solidFill>
                      <a:miter lim="800000"/>
                      <a:headEnd/>
                      <a:tailEnd/>
                    </a:ln>
                  </pic:spPr>
                </pic:pic>
              </a:graphicData>
            </a:graphic>
          </wp:inline>
        </w:drawing>
      </w:r>
    </w:p>
    <w:p w:rsidR="00C156D5" w:rsidRDefault="00C156D5" w:rsidP="0093106C">
      <w:pPr>
        <w:pStyle w:val="AERbodytext"/>
        <w:numPr>
          <w:ilvl w:val="0"/>
          <w:numId w:val="0"/>
        </w:numPr>
      </w:pPr>
    </w:p>
    <w:p w:rsidR="00C156D5" w:rsidRDefault="00C156D5" w:rsidP="0093106C">
      <w:pPr>
        <w:pStyle w:val="AERbodytext"/>
        <w:numPr>
          <w:ilvl w:val="0"/>
          <w:numId w:val="0"/>
        </w:numPr>
      </w:pPr>
      <w:r w:rsidRPr="00C156D5">
        <w:rPr>
          <w:noProof/>
          <w:lang w:eastAsia="en-AU"/>
        </w:rPr>
        <w:drawing>
          <wp:inline distT="0" distB="0" distL="0" distR="0">
            <wp:extent cx="5202845" cy="3888000"/>
            <wp:effectExtent l="19050" t="19050" r="16855" b="172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a:stretch>
                      <a:fillRect/>
                    </a:stretch>
                  </pic:blipFill>
                  <pic:spPr bwMode="auto">
                    <a:xfrm>
                      <a:off x="0" y="0"/>
                      <a:ext cx="5202845" cy="3888000"/>
                    </a:xfrm>
                    <a:prstGeom prst="rect">
                      <a:avLst/>
                    </a:prstGeom>
                    <a:noFill/>
                    <a:ln w="9525">
                      <a:solidFill>
                        <a:schemeClr val="accent1"/>
                      </a:solidFill>
                      <a:miter lim="800000"/>
                      <a:headEnd/>
                      <a:tailEnd/>
                    </a:ln>
                  </pic:spPr>
                </pic:pic>
              </a:graphicData>
            </a:graphic>
          </wp:inline>
        </w:drawing>
      </w:r>
    </w:p>
    <w:p w:rsidR="00C156D5" w:rsidRDefault="00C156D5" w:rsidP="0093106C">
      <w:pPr>
        <w:pStyle w:val="AERbodytext"/>
        <w:numPr>
          <w:ilvl w:val="0"/>
          <w:numId w:val="0"/>
        </w:numPr>
      </w:pPr>
      <w:r w:rsidRPr="00C156D5">
        <w:rPr>
          <w:noProof/>
          <w:lang w:eastAsia="en-AU"/>
        </w:rPr>
        <w:drawing>
          <wp:inline distT="0" distB="0" distL="0" distR="0">
            <wp:extent cx="5220000" cy="3903174"/>
            <wp:effectExtent l="19050" t="19050" r="18750" b="21126"/>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5220000" cy="3903174"/>
                    </a:xfrm>
                    <a:prstGeom prst="rect">
                      <a:avLst/>
                    </a:prstGeom>
                    <a:noFill/>
                    <a:ln w="9525">
                      <a:solidFill>
                        <a:schemeClr val="accent1"/>
                      </a:solidFill>
                      <a:miter lim="800000"/>
                      <a:headEnd/>
                      <a:tailEnd/>
                    </a:ln>
                  </pic:spPr>
                </pic:pic>
              </a:graphicData>
            </a:graphic>
          </wp:inline>
        </w:drawing>
      </w:r>
    </w:p>
    <w:p w:rsidR="00C156D5" w:rsidRDefault="00C156D5" w:rsidP="0093106C">
      <w:pPr>
        <w:pStyle w:val="AERbodytext"/>
        <w:numPr>
          <w:ilvl w:val="0"/>
          <w:numId w:val="0"/>
        </w:numPr>
      </w:pPr>
      <w:r w:rsidRPr="00C156D5">
        <w:rPr>
          <w:noProof/>
          <w:lang w:eastAsia="en-AU"/>
        </w:rPr>
        <w:drawing>
          <wp:inline distT="0" distB="0" distL="0" distR="0">
            <wp:extent cx="5220000" cy="3893604"/>
            <wp:effectExtent l="19050" t="19050" r="18750" b="11646"/>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srcRect/>
                    <a:stretch>
                      <a:fillRect/>
                    </a:stretch>
                  </pic:blipFill>
                  <pic:spPr bwMode="auto">
                    <a:xfrm>
                      <a:off x="0" y="0"/>
                      <a:ext cx="5220000" cy="3893604"/>
                    </a:xfrm>
                    <a:prstGeom prst="rect">
                      <a:avLst/>
                    </a:prstGeom>
                    <a:noFill/>
                    <a:ln w="9525">
                      <a:solidFill>
                        <a:schemeClr val="accent1"/>
                      </a:solidFill>
                      <a:miter lim="800000"/>
                      <a:headEnd/>
                      <a:tailEnd/>
                    </a:ln>
                  </pic:spPr>
                </pic:pic>
              </a:graphicData>
            </a:graphic>
          </wp:inline>
        </w:drawing>
      </w:r>
    </w:p>
    <w:p w:rsidR="00C156D5" w:rsidRDefault="00C156D5" w:rsidP="0093106C">
      <w:pPr>
        <w:pStyle w:val="AERbodytext"/>
        <w:numPr>
          <w:ilvl w:val="0"/>
          <w:numId w:val="0"/>
        </w:numPr>
      </w:pPr>
      <w:r w:rsidRPr="00C156D5">
        <w:rPr>
          <w:noProof/>
          <w:lang w:eastAsia="en-AU"/>
        </w:rPr>
        <w:drawing>
          <wp:inline distT="0" distB="0" distL="0" distR="0">
            <wp:extent cx="5220000" cy="3893605"/>
            <wp:effectExtent l="19050" t="19050" r="18750" b="116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5220000" cy="3893605"/>
                    </a:xfrm>
                    <a:prstGeom prst="rect">
                      <a:avLst/>
                    </a:prstGeom>
                    <a:noFill/>
                    <a:ln w="9525">
                      <a:solidFill>
                        <a:schemeClr val="accent1"/>
                      </a:solidFill>
                      <a:miter lim="800000"/>
                      <a:headEnd/>
                      <a:tailEnd/>
                    </a:ln>
                  </pic:spPr>
                </pic:pic>
              </a:graphicData>
            </a:graphic>
          </wp:inline>
        </w:drawing>
      </w:r>
    </w:p>
    <w:p w:rsidR="00C156D5" w:rsidRDefault="00C156D5" w:rsidP="0093106C">
      <w:pPr>
        <w:pStyle w:val="AERbodytext"/>
        <w:numPr>
          <w:ilvl w:val="0"/>
          <w:numId w:val="0"/>
        </w:numPr>
      </w:pPr>
    </w:p>
    <w:p w:rsidR="00C156D5" w:rsidRDefault="00C156D5" w:rsidP="0093106C">
      <w:pPr>
        <w:pStyle w:val="AERbodytext"/>
        <w:numPr>
          <w:ilvl w:val="0"/>
          <w:numId w:val="0"/>
        </w:numPr>
      </w:pPr>
      <w:r w:rsidRPr="00C156D5">
        <w:rPr>
          <w:noProof/>
          <w:lang w:eastAsia="en-AU"/>
        </w:rPr>
        <w:drawing>
          <wp:inline distT="0" distB="0" distL="0" distR="0">
            <wp:extent cx="5220000" cy="3893604"/>
            <wp:effectExtent l="19050" t="19050" r="18750" b="11646"/>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5220000" cy="3893604"/>
                    </a:xfrm>
                    <a:prstGeom prst="rect">
                      <a:avLst/>
                    </a:prstGeom>
                    <a:noFill/>
                    <a:ln w="9525">
                      <a:solidFill>
                        <a:schemeClr val="accent1"/>
                      </a:solidFill>
                      <a:miter lim="800000"/>
                      <a:headEnd/>
                      <a:tailEnd/>
                    </a:ln>
                  </pic:spPr>
                </pic:pic>
              </a:graphicData>
            </a:graphic>
          </wp:inline>
        </w:drawing>
      </w:r>
    </w:p>
    <w:p w:rsidR="00C156D5" w:rsidRDefault="00C156D5" w:rsidP="0093106C">
      <w:pPr>
        <w:pStyle w:val="AERbodytext"/>
        <w:numPr>
          <w:ilvl w:val="0"/>
          <w:numId w:val="0"/>
        </w:numPr>
      </w:pPr>
      <w:r w:rsidRPr="00C156D5">
        <w:rPr>
          <w:noProof/>
          <w:lang w:eastAsia="en-AU"/>
        </w:rPr>
        <w:drawing>
          <wp:inline distT="0" distB="0" distL="0" distR="0">
            <wp:extent cx="5220000" cy="3893604"/>
            <wp:effectExtent l="19050" t="19050" r="18750" b="11646"/>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5220000" cy="3893604"/>
                    </a:xfrm>
                    <a:prstGeom prst="rect">
                      <a:avLst/>
                    </a:prstGeom>
                    <a:noFill/>
                    <a:ln w="9525">
                      <a:solidFill>
                        <a:schemeClr val="accent1"/>
                      </a:solidFill>
                      <a:miter lim="800000"/>
                      <a:headEnd/>
                      <a:tailEnd/>
                    </a:ln>
                  </pic:spPr>
                </pic:pic>
              </a:graphicData>
            </a:graphic>
          </wp:inline>
        </w:drawing>
      </w:r>
    </w:p>
    <w:p w:rsidR="00C156D5" w:rsidRDefault="00C156D5" w:rsidP="0093106C">
      <w:pPr>
        <w:pStyle w:val="AERbodytext"/>
        <w:numPr>
          <w:ilvl w:val="0"/>
          <w:numId w:val="0"/>
        </w:numPr>
      </w:pPr>
    </w:p>
    <w:p w:rsidR="00C156D5" w:rsidRDefault="00C156D5" w:rsidP="0093106C">
      <w:pPr>
        <w:pStyle w:val="AERbodytext"/>
        <w:numPr>
          <w:ilvl w:val="0"/>
          <w:numId w:val="0"/>
        </w:numPr>
      </w:pPr>
      <w:r w:rsidRPr="00C156D5">
        <w:rPr>
          <w:noProof/>
          <w:lang w:eastAsia="en-AU"/>
        </w:rPr>
        <w:drawing>
          <wp:inline distT="0" distB="0" distL="0" distR="0">
            <wp:extent cx="5220000" cy="3893604"/>
            <wp:effectExtent l="19050" t="19050" r="18750" b="11646"/>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5220000" cy="3893604"/>
                    </a:xfrm>
                    <a:prstGeom prst="rect">
                      <a:avLst/>
                    </a:prstGeom>
                    <a:noFill/>
                    <a:ln w="9525">
                      <a:solidFill>
                        <a:schemeClr val="accent1"/>
                      </a:solidFill>
                      <a:miter lim="800000"/>
                      <a:headEnd/>
                      <a:tailEnd/>
                    </a:ln>
                  </pic:spPr>
                </pic:pic>
              </a:graphicData>
            </a:graphic>
          </wp:inline>
        </w:drawing>
      </w:r>
    </w:p>
    <w:p w:rsidR="00C156D5" w:rsidRDefault="00C156D5" w:rsidP="0093106C">
      <w:pPr>
        <w:pStyle w:val="AERbodytext"/>
        <w:numPr>
          <w:ilvl w:val="0"/>
          <w:numId w:val="0"/>
        </w:numPr>
      </w:pPr>
      <w:r w:rsidRPr="00C156D5">
        <w:rPr>
          <w:noProof/>
          <w:lang w:eastAsia="en-AU"/>
        </w:rPr>
        <w:drawing>
          <wp:inline distT="0" distB="0" distL="0" distR="0">
            <wp:extent cx="5220000" cy="3893605"/>
            <wp:effectExtent l="19050" t="19050" r="18750" b="11645"/>
            <wp:docPr id="3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srcRect/>
                    <a:stretch>
                      <a:fillRect/>
                    </a:stretch>
                  </pic:blipFill>
                  <pic:spPr bwMode="auto">
                    <a:xfrm>
                      <a:off x="0" y="0"/>
                      <a:ext cx="5220000" cy="3893605"/>
                    </a:xfrm>
                    <a:prstGeom prst="rect">
                      <a:avLst/>
                    </a:prstGeom>
                    <a:noFill/>
                    <a:ln w="9525">
                      <a:solidFill>
                        <a:schemeClr val="accent1"/>
                      </a:solidFill>
                      <a:miter lim="800000"/>
                      <a:headEnd/>
                      <a:tailEnd/>
                    </a:ln>
                  </pic:spPr>
                </pic:pic>
              </a:graphicData>
            </a:graphic>
          </wp:inline>
        </w:drawing>
      </w:r>
    </w:p>
    <w:p w:rsidR="00C156D5" w:rsidRDefault="00C156D5" w:rsidP="0093106C">
      <w:pPr>
        <w:pStyle w:val="AERbodytext"/>
        <w:numPr>
          <w:ilvl w:val="0"/>
          <w:numId w:val="0"/>
        </w:numPr>
      </w:pPr>
    </w:p>
    <w:p w:rsidR="00C156D5" w:rsidRDefault="00C156D5" w:rsidP="0093106C">
      <w:pPr>
        <w:pStyle w:val="AERbodytext"/>
        <w:numPr>
          <w:ilvl w:val="0"/>
          <w:numId w:val="0"/>
        </w:numPr>
      </w:pPr>
    </w:p>
    <w:p w:rsidR="00C156D5" w:rsidRDefault="00C156D5" w:rsidP="0093106C">
      <w:pPr>
        <w:pStyle w:val="AERbodytext"/>
        <w:numPr>
          <w:ilvl w:val="0"/>
          <w:numId w:val="0"/>
        </w:numPr>
      </w:pPr>
      <w:r w:rsidRPr="00C156D5">
        <w:rPr>
          <w:noProof/>
          <w:lang w:eastAsia="en-AU"/>
        </w:rPr>
        <w:drawing>
          <wp:inline distT="0" distB="0" distL="0" distR="0">
            <wp:extent cx="5220000" cy="3893604"/>
            <wp:effectExtent l="19050" t="19050" r="18750" b="11646"/>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5220000" cy="3893604"/>
                    </a:xfrm>
                    <a:prstGeom prst="rect">
                      <a:avLst/>
                    </a:prstGeom>
                    <a:noFill/>
                    <a:ln w="9525">
                      <a:solidFill>
                        <a:schemeClr val="accent1"/>
                      </a:solidFill>
                      <a:miter lim="800000"/>
                      <a:headEnd/>
                      <a:tailEnd/>
                    </a:ln>
                  </pic:spPr>
                </pic:pic>
              </a:graphicData>
            </a:graphic>
          </wp:inline>
        </w:drawing>
      </w:r>
    </w:p>
    <w:p w:rsidR="00C156D5" w:rsidRDefault="00C156D5" w:rsidP="0093106C">
      <w:pPr>
        <w:pStyle w:val="AERbodytext"/>
        <w:numPr>
          <w:ilvl w:val="0"/>
          <w:numId w:val="0"/>
        </w:numPr>
      </w:pPr>
      <w:r w:rsidRPr="00C156D5">
        <w:rPr>
          <w:noProof/>
          <w:lang w:eastAsia="en-AU"/>
        </w:rPr>
        <w:drawing>
          <wp:inline distT="0" distB="0" distL="0" distR="0">
            <wp:extent cx="5220000" cy="3893605"/>
            <wp:effectExtent l="19050" t="19050" r="18750" b="116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5220000" cy="3893605"/>
                    </a:xfrm>
                    <a:prstGeom prst="rect">
                      <a:avLst/>
                    </a:prstGeom>
                    <a:noFill/>
                    <a:ln w="9525">
                      <a:solidFill>
                        <a:schemeClr val="accent1"/>
                      </a:solidFill>
                      <a:miter lim="800000"/>
                      <a:headEnd/>
                      <a:tailEnd/>
                    </a:ln>
                  </pic:spPr>
                </pic:pic>
              </a:graphicData>
            </a:graphic>
          </wp:inline>
        </w:drawing>
      </w:r>
    </w:p>
    <w:p w:rsidR="006A08E7" w:rsidRPr="00AD12FE" w:rsidRDefault="006A08E7" w:rsidP="00AD12FE"/>
    <w:sectPr w:rsidR="006A08E7" w:rsidRPr="00AD12FE" w:rsidSect="00456081">
      <w:footerReference w:type="even"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B01" w:rsidRPr="00AB4345" w:rsidRDefault="003F4B01" w:rsidP="00AB4345">
      <w:r>
        <w:separator/>
      </w:r>
    </w:p>
  </w:endnote>
  <w:endnote w:type="continuationSeparator" w:id="0">
    <w:p w:rsidR="003F4B01" w:rsidRPr="00AB4345" w:rsidRDefault="003F4B01" w:rsidP="00AB43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Default="003F4B01" w:rsidP="00456081">
    <w:pPr>
      <w:pStyle w:val="Footer"/>
      <w:tabs>
        <w:tab w:val="clear" w:pos="4513"/>
      </w:tabs>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Default="003F4B01" w:rsidP="00872C51">
    <w:pPr>
      <w:pStyle w:val="Footer"/>
    </w:pPr>
    <w:r>
      <w:rPr>
        <w:rStyle w:val="AERtextorange"/>
      </w:rPr>
      <w:t xml:space="preserve">AER Issues paper </w:t>
    </w:r>
    <w:r w:rsidRPr="00664307">
      <w:rPr>
        <w:rStyle w:val="AERtextorange"/>
      </w:rPr>
      <w:t>|</w:t>
    </w:r>
    <w:r w:rsidRPr="00DB6A17">
      <w:rPr>
        <w:rStyle w:val="AERtextorange"/>
      </w:rPr>
      <w:t xml:space="preserve"> </w:t>
    </w:r>
    <w:r>
      <w:rPr>
        <w:rStyle w:val="AERtextorange"/>
      </w:rPr>
      <w:t>SP AusNet 2014–17 transmission determination</w:t>
    </w:r>
    <w:r>
      <w:t xml:space="preserve"> </w:t>
    </w:r>
    <w:r>
      <w:rPr>
        <w:rStyle w:val="AERtextblue"/>
      </w:rPr>
      <w:t>| Regulatory framework</w:t>
    </w:r>
    <w:r>
      <w:tab/>
    </w:r>
    <w:fldSimple w:instr=" PAGE   \* MERGEFORMAT ">
      <w:r w:rsidR="008E2F2B" w:rsidRPr="008E2F2B">
        <w:rPr>
          <w:rStyle w:val="AERtextblue"/>
          <w:noProof/>
        </w:rPr>
        <w:t>7</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Default="003F4B01" w:rsidP="00872C51">
    <w:pPr>
      <w:pStyle w:val="Footer"/>
    </w:pPr>
    <w:r>
      <w:rPr>
        <w:rStyle w:val="AERtextorange"/>
      </w:rPr>
      <w:t xml:space="preserve">AER Issues paper </w:t>
    </w:r>
    <w:r w:rsidRPr="00664307">
      <w:rPr>
        <w:rStyle w:val="AERtextorange"/>
      </w:rPr>
      <w:t>|</w:t>
    </w:r>
    <w:r w:rsidRPr="00DB6A17">
      <w:rPr>
        <w:rStyle w:val="AERtextorange"/>
      </w:rPr>
      <w:t xml:space="preserve"> </w:t>
    </w:r>
    <w:r>
      <w:rPr>
        <w:rStyle w:val="AERtextorange"/>
      </w:rPr>
      <w:t>SP AusNet 2014–17 transmission determination</w:t>
    </w:r>
    <w:r>
      <w:t xml:space="preserve"> </w:t>
    </w:r>
    <w:r>
      <w:rPr>
        <w:rStyle w:val="AERtextblue"/>
      </w:rPr>
      <w:t>| Regulatory framework</w:t>
    </w:r>
    <w:r>
      <w:tab/>
    </w:r>
    <w:fldSimple w:instr=" PAGE   \* MERGEFORMAT ">
      <w:r w:rsidR="008E2F2B" w:rsidRPr="008E2F2B">
        <w:rPr>
          <w:rStyle w:val="AERtextblue"/>
          <w:noProof/>
        </w:rPr>
        <w:t>9</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62165"/>
      <w:docPartObj>
        <w:docPartGallery w:val="Page Numbers (Bottom of Page)"/>
        <w:docPartUnique/>
      </w:docPartObj>
    </w:sdtPr>
    <w:sdtContent>
      <w:p w:rsidR="003F4B01" w:rsidRDefault="00876FFF" w:rsidP="00456081">
        <w:pPr>
          <w:pStyle w:val="Footer"/>
          <w:tabs>
            <w:tab w:val="clear" w:pos="4513"/>
          </w:tabs>
        </w:pPr>
        <w:fldSimple w:instr=" PAGE   \* MERGEFORMAT ">
          <w:r w:rsidR="008E2F2B">
            <w:rPr>
              <w:noProof/>
            </w:rPr>
            <w:t>20</w:t>
          </w:r>
        </w:fldSimple>
        <w:r w:rsidR="003F4B01">
          <w:tab/>
        </w:r>
        <w:r w:rsidR="003F4B01">
          <w:rPr>
            <w:rStyle w:val="AERtextorange"/>
          </w:rPr>
          <w:t xml:space="preserve">AER Issues paper </w:t>
        </w:r>
        <w:r w:rsidR="003F4B01" w:rsidRPr="00664307">
          <w:rPr>
            <w:rStyle w:val="AERtextorange"/>
          </w:rPr>
          <w:t>|</w:t>
        </w:r>
        <w:r w:rsidR="003F4B01" w:rsidRPr="00DB6A17">
          <w:rPr>
            <w:rStyle w:val="AERtextorange"/>
          </w:rPr>
          <w:t xml:space="preserve"> </w:t>
        </w:r>
        <w:r w:rsidR="003F4B01">
          <w:rPr>
            <w:rStyle w:val="AERtextorange"/>
          </w:rPr>
          <w:t>SP AusNet 2014–17 transmission determination</w:t>
        </w:r>
        <w:r w:rsidR="003F4B01">
          <w:t xml:space="preserve"> </w:t>
        </w:r>
        <w:r w:rsidR="003F4B01">
          <w:rPr>
            <w:rStyle w:val="AERtextblue"/>
          </w:rPr>
          <w:t>| Key issues</w: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Default="003F4B01" w:rsidP="00872C51">
    <w:pPr>
      <w:pStyle w:val="Footer"/>
    </w:pPr>
    <w:r>
      <w:rPr>
        <w:rStyle w:val="AERtextorange"/>
      </w:rPr>
      <w:t xml:space="preserve">AER Issues paper </w:t>
    </w:r>
    <w:r w:rsidRPr="00664307">
      <w:rPr>
        <w:rStyle w:val="AERtextorange"/>
      </w:rPr>
      <w:t>|</w:t>
    </w:r>
    <w:r w:rsidRPr="00DB6A17">
      <w:rPr>
        <w:rStyle w:val="AERtextorange"/>
      </w:rPr>
      <w:t xml:space="preserve"> </w:t>
    </w:r>
    <w:r>
      <w:rPr>
        <w:rStyle w:val="AERtextorange"/>
      </w:rPr>
      <w:t>SP AusNet 2014–17 transmission determination</w:t>
    </w:r>
    <w:r>
      <w:t xml:space="preserve"> </w:t>
    </w:r>
    <w:r>
      <w:rPr>
        <w:rStyle w:val="AERtextblue"/>
      </w:rPr>
      <w:t>| Key issues</w:t>
    </w:r>
    <w:r>
      <w:tab/>
    </w:r>
    <w:fldSimple w:instr=" PAGE   \* MERGEFORMAT ">
      <w:r w:rsidR="008E2F2B" w:rsidRPr="008E2F2B">
        <w:rPr>
          <w:rStyle w:val="AERtextblue"/>
          <w:noProof/>
        </w:rPr>
        <w:t>25</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28747"/>
      <w:docPartObj>
        <w:docPartGallery w:val="Page Numbers (Bottom of Page)"/>
        <w:docPartUnique/>
      </w:docPartObj>
    </w:sdtPr>
    <w:sdtContent>
      <w:p w:rsidR="003F4B01" w:rsidRDefault="00876FFF" w:rsidP="00456081">
        <w:pPr>
          <w:pStyle w:val="Footer"/>
          <w:tabs>
            <w:tab w:val="clear" w:pos="4513"/>
          </w:tabs>
        </w:pPr>
        <w:fldSimple w:instr=" PAGE   \* MERGEFORMAT ">
          <w:r w:rsidR="008E2F2B">
            <w:rPr>
              <w:noProof/>
            </w:rPr>
            <w:t>26</w:t>
          </w:r>
        </w:fldSimple>
        <w:r w:rsidR="003F4B01">
          <w:tab/>
        </w:r>
        <w:r w:rsidR="003F4B01">
          <w:rPr>
            <w:rStyle w:val="AERtextorange"/>
          </w:rPr>
          <w:t xml:space="preserve">AER Issues paper </w:t>
        </w:r>
        <w:r w:rsidR="003F4B01" w:rsidRPr="00664307">
          <w:rPr>
            <w:rStyle w:val="AERtextorange"/>
          </w:rPr>
          <w:t>|</w:t>
        </w:r>
        <w:r w:rsidR="003F4B01" w:rsidRPr="00DB6A17">
          <w:rPr>
            <w:rStyle w:val="AERtextorange"/>
          </w:rPr>
          <w:t xml:space="preserve"> </w:t>
        </w:r>
        <w:r w:rsidR="003F4B01">
          <w:rPr>
            <w:rStyle w:val="AERtextorange"/>
          </w:rPr>
          <w:t>SP AusNet 2014–17 transmission determination</w:t>
        </w:r>
        <w:r w:rsidR="003F4B01">
          <w:t xml:space="preserve"> </w:t>
        </w:r>
        <w:r w:rsidR="003F4B01">
          <w:rPr>
            <w:rStyle w:val="AERtextblue"/>
          </w:rPr>
          <w:t>| Key issues</w:t>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4882516"/>
      <w:docPartObj>
        <w:docPartGallery w:val="Page Numbers (Bottom of Page)"/>
        <w:docPartUnique/>
      </w:docPartObj>
    </w:sdtPr>
    <w:sdtContent>
      <w:p w:rsidR="003F4B01" w:rsidRDefault="00876FFF" w:rsidP="00456081">
        <w:pPr>
          <w:pStyle w:val="Footer"/>
          <w:tabs>
            <w:tab w:val="clear" w:pos="4513"/>
          </w:tabs>
        </w:pPr>
        <w:fldSimple w:instr=" PAGE   \* MERGEFORMAT ">
          <w:r w:rsidR="001D6CBC">
            <w:rPr>
              <w:noProof/>
            </w:rPr>
            <w:t>30</w:t>
          </w:r>
        </w:fldSimple>
        <w:r w:rsidR="003F4B01">
          <w:tab/>
        </w:r>
        <w:r w:rsidR="003F4B01">
          <w:rPr>
            <w:rStyle w:val="AERtextorange"/>
          </w:rPr>
          <w:t xml:space="preserve">AER Issues paper </w:t>
        </w:r>
        <w:r w:rsidR="003F4B01" w:rsidRPr="00664307">
          <w:rPr>
            <w:rStyle w:val="AERtextorange"/>
          </w:rPr>
          <w:t>|</w:t>
        </w:r>
        <w:r w:rsidR="003F4B01" w:rsidRPr="00DB6A17">
          <w:rPr>
            <w:rStyle w:val="AERtextorange"/>
          </w:rPr>
          <w:t xml:space="preserve"> </w:t>
        </w:r>
        <w:r w:rsidR="003F4B01">
          <w:rPr>
            <w:rStyle w:val="AERtextorange"/>
          </w:rPr>
          <w:t>SP AusNet 2014–17 transmission determination</w:t>
        </w:r>
        <w:r w:rsidR="003F4B01">
          <w:t xml:space="preserve"> </w:t>
        </w:r>
        <w:r w:rsidR="003F4B01">
          <w:rPr>
            <w:rStyle w:val="AERtextblue"/>
          </w:rPr>
          <w:t>| Benchmarking</w:t>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Pr="00210880" w:rsidRDefault="003F4B01" w:rsidP="00456081">
    <w:pPr>
      <w:pStyle w:val="Footer"/>
      <w:tabs>
        <w:tab w:val="clear" w:pos="4513"/>
      </w:tabs>
      <w:rPr>
        <w:rStyle w:val="AERbody"/>
      </w:rPr>
    </w:pPr>
    <w:r>
      <w:rPr>
        <w:rStyle w:val="AERtextorange"/>
      </w:rPr>
      <w:t xml:space="preserve">AER Issues paper </w:t>
    </w:r>
    <w:r w:rsidRPr="00664307">
      <w:rPr>
        <w:rStyle w:val="AERtextorange"/>
      </w:rPr>
      <w:t>|</w:t>
    </w:r>
    <w:r w:rsidRPr="00DB6A17">
      <w:rPr>
        <w:rStyle w:val="AERtextorange"/>
      </w:rPr>
      <w:t xml:space="preserve"> </w:t>
    </w:r>
    <w:r>
      <w:rPr>
        <w:rStyle w:val="AERtextorange"/>
      </w:rPr>
      <w:t>SP AusNet 2014–17 transmission determination</w:t>
    </w:r>
    <w:r>
      <w:t xml:space="preserve"> </w:t>
    </w:r>
    <w:r>
      <w:rPr>
        <w:rStyle w:val="AERtextblue"/>
      </w:rPr>
      <w:t>| Key issues</w:t>
    </w:r>
    <w:r w:rsidRPr="00210880">
      <w:rPr>
        <w:rStyle w:val="AERbody"/>
      </w:rPr>
      <w:tab/>
    </w:r>
    <w:r w:rsidR="00876FFF" w:rsidRPr="00210880">
      <w:rPr>
        <w:rStyle w:val="AERbody"/>
      </w:rPr>
      <w:fldChar w:fldCharType="begin"/>
    </w:r>
    <w:r w:rsidRPr="00210880">
      <w:rPr>
        <w:rStyle w:val="AERbody"/>
      </w:rPr>
      <w:instrText xml:space="preserve"> PAGE   \* MERGEFORMAT </w:instrText>
    </w:r>
    <w:r w:rsidR="00876FFF" w:rsidRPr="00210880">
      <w:rPr>
        <w:rStyle w:val="AERbody"/>
      </w:rPr>
      <w:fldChar w:fldCharType="separate"/>
    </w:r>
    <w:r w:rsidR="008E2F2B">
      <w:rPr>
        <w:rStyle w:val="AERbody"/>
        <w:noProof/>
      </w:rPr>
      <w:t>27</w:t>
    </w:r>
    <w:r w:rsidR="00876FFF" w:rsidRPr="00210880">
      <w:rPr>
        <w:rStyle w:val="AERbody"/>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28771"/>
      <w:docPartObj>
        <w:docPartGallery w:val="Page Numbers (Bottom of Page)"/>
        <w:docPartUnique/>
      </w:docPartObj>
    </w:sdtPr>
    <w:sdtContent>
      <w:p w:rsidR="003F4B01" w:rsidRDefault="00876FFF" w:rsidP="00456081">
        <w:pPr>
          <w:pStyle w:val="Footer"/>
          <w:tabs>
            <w:tab w:val="clear" w:pos="4513"/>
          </w:tabs>
        </w:pPr>
        <w:fldSimple w:instr=" PAGE   \* MERGEFORMAT ">
          <w:r w:rsidR="008E2F2B">
            <w:rPr>
              <w:noProof/>
            </w:rPr>
            <w:t>32</w:t>
          </w:r>
        </w:fldSimple>
        <w:r w:rsidR="003F4B01">
          <w:tab/>
        </w:r>
        <w:r w:rsidR="003F4B01">
          <w:rPr>
            <w:rStyle w:val="AERtextorange"/>
          </w:rPr>
          <w:t xml:space="preserve">AER Issues paper </w:t>
        </w:r>
        <w:r w:rsidR="003F4B01" w:rsidRPr="00664307">
          <w:rPr>
            <w:rStyle w:val="AERtextorange"/>
          </w:rPr>
          <w:t>|</w:t>
        </w:r>
        <w:r w:rsidR="003F4B01" w:rsidRPr="00DB6A17">
          <w:rPr>
            <w:rStyle w:val="AERtextorange"/>
          </w:rPr>
          <w:t xml:space="preserve"> </w:t>
        </w:r>
        <w:r w:rsidR="003F4B01">
          <w:rPr>
            <w:rStyle w:val="AERtextorange"/>
          </w:rPr>
          <w:t>SP AusNet 2014–17 transmission determination</w:t>
        </w:r>
        <w:r w:rsidR="003F4B01">
          <w:t xml:space="preserve"> </w:t>
        </w:r>
        <w:r w:rsidR="003F4B01">
          <w:rPr>
            <w:rStyle w:val="AERtextblue"/>
          </w:rPr>
          <w:t>| Benchmarking</w:t>
        </w: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Pr="00210880" w:rsidRDefault="003F4B01" w:rsidP="00456081">
    <w:pPr>
      <w:pStyle w:val="Footer"/>
      <w:tabs>
        <w:tab w:val="clear" w:pos="4513"/>
      </w:tabs>
      <w:rPr>
        <w:rStyle w:val="AERbody"/>
      </w:rPr>
    </w:pPr>
    <w:r>
      <w:rPr>
        <w:rStyle w:val="AERtextorange"/>
      </w:rPr>
      <w:t xml:space="preserve">AER Issues paper </w:t>
    </w:r>
    <w:r w:rsidRPr="00664307">
      <w:rPr>
        <w:rStyle w:val="AERtextorange"/>
      </w:rPr>
      <w:t>|</w:t>
    </w:r>
    <w:r w:rsidRPr="00DB6A17">
      <w:rPr>
        <w:rStyle w:val="AERtextorange"/>
      </w:rPr>
      <w:t xml:space="preserve"> </w:t>
    </w:r>
    <w:r>
      <w:rPr>
        <w:rStyle w:val="AERtextorange"/>
      </w:rPr>
      <w:t>SP AusNet 2014–17 transmission determination</w:t>
    </w:r>
    <w:r>
      <w:t xml:space="preserve"> </w:t>
    </w:r>
    <w:r>
      <w:rPr>
        <w:rStyle w:val="AERtextblue"/>
      </w:rPr>
      <w:t>| Benchmarking</w:t>
    </w:r>
    <w:r w:rsidRPr="00210880">
      <w:rPr>
        <w:rStyle w:val="AERbody"/>
      </w:rPr>
      <w:tab/>
    </w:r>
    <w:r w:rsidR="00876FFF" w:rsidRPr="00210880">
      <w:rPr>
        <w:rStyle w:val="AERbody"/>
      </w:rPr>
      <w:fldChar w:fldCharType="begin"/>
    </w:r>
    <w:r w:rsidRPr="00210880">
      <w:rPr>
        <w:rStyle w:val="AERbody"/>
      </w:rPr>
      <w:instrText xml:space="preserve"> PAGE   \* MERGEFORMAT </w:instrText>
    </w:r>
    <w:r w:rsidR="00876FFF" w:rsidRPr="00210880">
      <w:rPr>
        <w:rStyle w:val="AERbody"/>
      </w:rPr>
      <w:fldChar w:fldCharType="separate"/>
    </w:r>
    <w:r w:rsidR="008E2F2B">
      <w:rPr>
        <w:rStyle w:val="AERbody"/>
        <w:noProof/>
      </w:rPr>
      <w:t>31</w:t>
    </w:r>
    <w:r w:rsidR="00876FFF" w:rsidRPr="00210880">
      <w:rPr>
        <w:rStyle w:val="AERbody"/>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62192"/>
      <w:docPartObj>
        <w:docPartGallery w:val="Page Numbers (Bottom of Page)"/>
        <w:docPartUnique/>
      </w:docPartObj>
    </w:sdtPr>
    <w:sdtContent>
      <w:p w:rsidR="003F4B01" w:rsidRDefault="00876FFF" w:rsidP="00456081">
        <w:pPr>
          <w:pStyle w:val="Footer"/>
          <w:tabs>
            <w:tab w:val="clear" w:pos="4513"/>
          </w:tabs>
        </w:pPr>
        <w:fldSimple w:instr=" PAGE   \* MERGEFORMAT ">
          <w:r w:rsidR="008E2F2B">
            <w:rPr>
              <w:noProof/>
            </w:rPr>
            <w:t>34</w:t>
          </w:r>
        </w:fldSimple>
        <w:r w:rsidR="003F4B01">
          <w:tab/>
        </w:r>
        <w:r w:rsidR="003F4B01">
          <w:rPr>
            <w:rStyle w:val="AERtextorange"/>
          </w:rPr>
          <w:t xml:space="preserve">AER Issues paper </w:t>
        </w:r>
        <w:r w:rsidR="003F4B01" w:rsidRPr="00664307">
          <w:rPr>
            <w:rStyle w:val="AERtextorange"/>
          </w:rPr>
          <w:t>|</w:t>
        </w:r>
        <w:r w:rsidR="003F4B01" w:rsidRPr="00DB6A17">
          <w:rPr>
            <w:rStyle w:val="AERtextorange"/>
          </w:rPr>
          <w:t xml:space="preserve"> </w:t>
        </w:r>
        <w:r w:rsidR="003F4B01">
          <w:rPr>
            <w:rStyle w:val="AERtextorange"/>
          </w:rPr>
          <w:t>SP AusNet 2014–17 transmission determination</w:t>
        </w:r>
        <w:r w:rsidR="003F4B01">
          <w:t xml:space="preserve"> </w:t>
        </w:r>
        <w:r w:rsidR="003F4B01">
          <w:rPr>
            <w:rStyle w:val="AERtextblue"/>
          </w:rPr>
          <w:t>| Service standards</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Pr="00210880" w:rsidRDefault="003F4B01" w:rsidP="00456081">
    <w:pPr>
      <w:pStyle w:val="Footer"/>
      <w:tabs>
        <w:tab w:val="clear" w:pos="4513"/>
      </w:tabs>
      <w:rPr>
        <w:rStyle w:val="AERbody"/>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Pr="00210880" w:rsidRDefault="003F4B01" w:rsidP="00456081">
    <w:pPr>
      <w:pStyle w:val="Footer"/>
      <w:tabs>
        <w:tab w:val="clear" w:pos="4513"/>
      </w:tabs>
      <w:rPr>
        <w:rStyle w:val="AERbody"/>
      </w:rPr>
    </w:pPr>
    <w:r>
      <w:rPr>
        <w:rStyle w:val="AERtextorange"/>
      </w:rPr>
      <w:t xml:space="preserve">AER Issues paper </w:t>
    </w:r>
    <w:r w:rsidRPr="00664307">
      <w:rPr>
        <w:rStyle w:val="AERtextorange"/>
      </w:rPr>
      <w:t>|</w:t>
    </w:r>
    <w:r w:rsidRPr="00DB6A17">
      <w:rPr>
        <w:rStyle w:val="AERtextorange"/>
      </w:rPr>
      <w:t xml:space="preserve"> </w:t>
    </w:r>
    <w:r>
      <w:rPr>
        <w:rStyle w:val="AERtextorange"/>
      </w:rPr>
      <w:t>SP AusNet 2014–17 transmission determination</w:t>
    </w:r>
    <w:r>
      <w:t xml:space="preserve"> </w:t>
    </w:r>
    <w:r>
      <w:rPr>
        <w:rStyle w:val="AERtextblue"/>
      </w:rPr>
      <w:t>| Service standards</w:t>
    </w:r>
    <w:r w:rsidRPr="00210880">
      <w:rPr>
        <w:rStyle w:val="AERbody"/>
      </w:rPr>
      <w:tab/>
    </w:r>
    <w:r w:rsidR="00876FFF" w:rsidRPr="00210880">
      <w:rPr>
        <w:rStyle w:val="AERbody"/>
      </w:rPr>
      <w:fldChar w:fldCharType="begin"/>
    </w:r>
    <w:r w:rsidRPr="00210880">
      <w:rPr>
        <w:rStyle w:val="AERbody"/>
      </w:rPr>
      <w:instrText xml:space="preserve"> PAGE   \* MERGEFORMAT </w:instrText>
    </w:r>
    <w:r w:rsidR="00876FFF" w:rsidRPr="00210880">
      <w:rPr>
        <w:rStyle w:val="AERbody"/>
      </w:rPr>
      <w:fldChar w:fldCharType="separate"/>
    </w:r>
    <w:r w:rsidR="008E2F2B">
      <w:rPr>
        <w:rStyle w:val="AERbody"/>
        <w:noProof/>
      </w:rPr>
      <w:t>35</w:t>
    </w:r>
    <w:r w:rsidR="00876FFF" w:rsidRPr="00210880">
      <w:rPr>
        <w:rStyle w:val="AERbody"/>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62241"/>
      <w:docPartObj>
        <w:docPartGallery w:val="Page Numbers (Bottom of Page)"/>
        <w:docPartUnique/>
      </w:docPartObj>
    </w:sdtPr>
    <w:sdtContent>
      <w:p w:rsidR="003F4B01" w:rsidRDefault="00876FFF" w:rsidP="00456081">
        <w:pPr>
          <w:pStyle w:val="Footer"/>
          <w:tabs>
            <w:tab w:val="clear" w:pos="4513"/>
          </w:tabs>
        </w:pPr>
        <w:fldSimple w:instr=" PAGE   \* MERGEFORMAT ">
          <w:r w:rsidR="008E2F2B">
            <w:rPr>
              <w:noProof/>
            </w:rPr>
            <w:t>40</w:t>
          </w:r>
        </w:fldSimple>
        <w:r w:rsidR="003F4B01">
          <w:tab/>
        </w:r>
        <w:r w:rsidR="003F4B01">
          <w:rPr>
            <w:rStyle w:val="AERtextorange"/>
          </w:rPr>
          <w:t xml:space="preserve">AER Issues paper </w:t>
        </w:r>
        <w:r w:rsidR="003F4B01" w:rsidRPr="00664307">
          <w:rPr>
            <w:rStyle w:val="AERtextorange"/>
          </w:rPr>
          <w:t>|</w:t>
        </w:r>
        <w:r w:rsidR="003F4B01" w:rsidRPr="00DB6A17">
          <w:rPr>
            <w:rStyle w:val="AERtextorange"/>
          </w:rPr>
          <w:t xml:space="preserve"> </w:t>
        </w:r>
        <w:r w:rsidR="003F4B01">
          <w:rPr>
            <w:rStyle w:val="AERtextorange"/>
          </w:rPr>
          <w:t>SP AusNet 2014–17 transmission determination</w:t>
        </w:r>
        <w:r w:rsidR="003F4B01">
          <w:t xml:space="preserve"> </w:t>
        </w:r>
        <w:r w:rsidR="003F4B01">
          <w:rPr>
            <w:rStyle w:val="AERtextblue"/>
          </w:rPr>
          <w:t>| Public forum presentation</w:t>
        </w:r>
      </w:p>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Pr="00210880" w:rsidRDefault="003F4B01" w:rsidP="00456081">
    <w:pPr>
      <w:pStyle w:val="Footer"/>
      <w:tabs>
        <w:tab w:val="clear" w:pos="4513"/>
      </w:tabs>
      <w:rPr>
        <w:rStyle w:val="AERbody"/>
      </w:rPr>
    </w:pPr>
    <w:r>
      <w:rPr>
        <w:rStyle w:val="AERtextorange"/>
      </w:rPr>
      <w:t xml:space="preserve">AER Issues paper </w:t>
    </w:r>
    <w:r w:rsidRPr="00664307">
      <w:rPr>
        <w:rStyle w:val="AERtextorange"/>
      </w:rPr>
      <w:t>|</w:t>
    </w:r>
    <w:r w:rsidRPr="00DB6A17">
      <w:rPr>
        <w:rStyle w:val="AERtextorange"/>
      </w:rPr>
      <w:t xml:space="preserve"> </w:t>
    </w:r>
    <w:r>
      <w:rPr>
        <w:rStyle w:val="AERtextorange"/>
      </w:rPr>
      <w:t>SP AusNet 2014–17 transmission determination</w:t>
    </w:r>
    <w:r>
      <w:t xml:space="preserve"> </w:t>
    </w:r>
    <w:r>
      <w:rPr>
        <w:rStyle w:val="AERtextblue"/>
      </w:rPr>
      <w:t>| Public forum presentation</w:t>
    </w:r>
    <w:r w:rsidRPr="00210880">
      <w:rPr>
        <w:rStyle w:val="AERbody"/>
      </w:rPr>
      <w:tab/>
    </w:r>
    <w:r w:rsidR="00876FFF" w:rsidRPr="00210880">
      <w:rPr>
        <w:rStyle w:val="AERbody"/>
      </w:rPr>
      <w:fldChar w:fldCharType="begin"/>
    </w:r>
    <w:r w:rsidRPr="00210880">
      <w:rPr>
        <w:rStyle w:val="AERbody"/>
      </w:rPr>
      <w:instrText xml:space="preserve"> PAGE   \* MERGEFORMAT </w:instrText>
    </w:r>
    <w:r w:rsidR="00876FFF" w:rsidRPr="00210880">
      <w:rPr>
        <w:rStyle w:val="AERbody"/>
      </w:rPr>
      <w:fldChar w:fldCharType="separate"/>
    </w:r>
    <w:r w:rsidR="008E2F2B">
      <w:rPr>
        <w:rStyle w:val="AERbody"/>
        <w:noProof/>
      </w:rPr>
      <w:t>41</w:t>
    </w:r>
    <w:r w:rsidR="00876FFF" w:rsidRPr="00210880">
      <w:rPr>
        <w:rStyle w:val="AERbody"/>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Default="003F4B01" w:rsidP="00456081">
    <w:pPr>
      <w:pStyle w:val="Footer"/>
      <w:tabs>
        <w:tab w:val="clear" w:pos="4513"/>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Default="003F4B01" w:rsidP="00872C51">
    <w:pPr>
      <w:pStyle w:val="Footer"/>
    </w:pPr>
    <w:r>
      <w:rPr>
        <w:rStyle w:val="AERtextorange"/>
      </w:rPr>
      <w:t xml:space="preserve">AER Issues paper </w:t>
    </w:r>
    <w:r w:rsidRPr="00664307">
      <w:rPr>
        <w:rStyle w:val="AERtextorange"/>
      </w:rPr>
      <w:t>|</w:t>
    </w:r>
    <w:r w:rsidRPr="00DB6A17">
      <w:rPr>
        <w:rStyle w:val="AERtextorange"/>
      </w:rPr>
      <w:t xml:space="preserve"> </w:t>
    </w:r>
    <w:r>
      <w:rPr>
        <w:rStyle w:val="AERtextorange"/>
      </w:rPr>
      <w:t>ElectraNet 2014–15 to 2016–17</w:t>
    </w:r>
    <w:r>
      <w:t xml:space="preserve"> </w:t>
    </w:r>
    <w:r>
      <w:rPr>
        <w:rStyle w:val="AERtextblue"/>
      </w:rPr>
      <w:t>| Overview</w:t>
    </w:r>
    <w:r>
      <w:tab/>
    </w:r>
    <w:fldSimple w:instr=" PAGE   \* MERGEFORMAT ">
      <w:r w:rsidR="00D31DAC" w:rsidRPr="00D31DAC">
        <w:rPr>
          <w:rStyle w:val="AERtextblue"/>
          <w:noProof/>
        </w:rPr>
        <w:t>v</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28809"/>
      <w:docPartObj>
        <w:docPartGallery w:val="Page Numbers (Bottom of Page)"/>
        <w:docPartUnique/>
      </w:docPartObj>
    </w:sdtPr>
    <w:sdtContent>
      <w:p w:rsidR="003F4B01" w:rsidRDefault="00876FFF" w:rsidP="00456081">
        <w:pPr>
          <w:pStyle w:val="Footer"/>
          <w:tabs>
            <w:tab w:val="clear" w:pos="4513"/>
          </w:tabs>
        </w:pPr>
        <w:fldSimple w:instr=" PAGE   \* MERGEFORMAT ">
          <w:r w:rsidR="008E2F2B">
            <w:rPr>
              <w:noProof/>
            </w:rPr>
            <w:t>2</w:t>
          </w:r>
        </w:fldSimple>
        <w:r w:rsidR="003F4B01">
          <w:tab/>
        </w:r>
        <w:r w:rsidR="003F4B01">
          <w:rPr>
            <w:rStyle w:val="AERtextorange"/>
          </w:rPr>
          <w:t xml:space="preserve">AER Issues paper </w:t>
        </w:r>
        <w:r w:rsidR="003F4B01" w:rsidRPr="00664307">
          <w:rPr>
            <w:rStyle w:val="AERtextorange"/>
          </w:rPr>
          <w:t>|</w:t>
        </w:r>
        <w:r w:rsidR="003F4B01" w:rsidRPr="00DB6A17">
          <w:rPr>
            <w:rStyle w:val="AERtextorange"/>
          </w:rPr>
          <w:t xml:space="preserve"> </w:t>
        </w:r>
        <w:r w:rsidR="003F4B01">
          <w:rPr>
            <w:rStyle w:val="AERtextorange"/>
          </w:rPr>
          <w:t>SP AusNet 2014–17 transmission determination</w:t>
        </w:r>
        <w:r w:rsidR="003F4B01">
          <w:t xml:space="preserve"> </w:t>
        </w:r>
        <w:r w:rsidR="003F4B01">
          <w:rPr>
            <w:rStyle w:val="AERtextblue"/>
          </w:rPr>
          <w:t>| Overview</w: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Default="003F4B01" w:rsidP="00872C51">
    <w:pPr>
      <w:pStyle w:val="Footer"/>
    </w:pPr>
    <w:r>
      <w:rPr>
        <w:rStyle w:val="AERtextorange"/>
      </w:rPr>
      <w:t xml:space="preserve">AER Issues paper </w:t>
    </w:r>
    <w:r w:rsidRPr="00664307">
      <w:rPr>
        <w:rStyle w:val="AERtextorange"/>
      </w:rPr>
      <w:t>|</w:t>
    </w:r>
    <w:r w:rsidRPr="00DB6A17">
      <w:rPr>
        <w:rStyle w:val="AERtextorange"/>
      </w:rPr>
      <w:t xml:space="preserve"> </w:t>
    </w:r>
    <w:r>
      <w:rPr>
        <w:rStyle w:val="AERtextorange"/>
      </w:rPr>
      <w:t>SP AusNet 2014–15 to 2016–17 transmission determination</w:t>
    </w:r>
    <w:r>
      <w:t xml:space="preserve"> </w:t>
    </w:r>
    <w:r>
      <w:rPr>
        <w:rStyle w:val="AERtextblue"/>
      </w:rPr>
      <w:t>| Overview</w:t>
    </w:r>
    <w:r>
      <w:tab/>
    </w:r>
    <w:fldSimple w:instr=" PAGE   \* MERGEFORMAT ">
      <w:r w:rsidR="008E2F2B" w:rsidRPr="008E2F2B">
        <w:rPr>
          <w:rStyle w:val="AERtextblue"/>
          <w:noProof/>
        </w:rPr>
        <w:t>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28867"/>
      <w:docPartObj>
        <w:docPartGallery w:val="Page Numbers (Bottom of Page)"/>
        <w:docPartUnique/>
      </w:docPartObj>
    </w:sdtPr>
    <w:sdtContent>
      <w:p w:rsidR="003F4B01" w:rsidRDefault="00876FFF" w:rsidP="00456081">
        <w:pPr>
          <w:pStyle w:val="Footer"/>
          <w:tabs>
            <w:tab w:val="clear" w:pos="4513"/>
          </w:tabs>
        </w:pPr>
        <w:fldSimple w:instr=" PAGE   \* MERGEFORMAT ">
          <w:r w:rsidR="008E2F2B">
            <w:rPr>
              <w:noProof/>
            </w:rPr>
            <w:t>4</w:t>
          </w:r>
        </w:fldSimple>
        <w:r w:rsidR="003F4B01">
          <w:tab/>
        </w:r>
        <w:r w:rsidR="003F4B01">
          <w:rPr>
            <w:rStyle w:val="AERtextorange"/>
          </w:rPr>
          <w:t xml:space="preserve">AER Issues paper </w:t>
        </w:r>
        <w:r w:rsidR="003F4B01" w:rsidRPr="00664307">
          <w:rPr>
            <w:rStyle w:val="AERtextorange"/>
          </w:rPr>
          <w:t>|</w:t>
        </w:r>
        <w:r w:rsidR="003F4B01" w:rsidRPr="00DB6A17">
          <w:rPr>
            <w:rStyle w:val="AERtextorange"/>
          </w:rPr>
          <w:t xml:space="preserve"> </w:t>
        </w:r>
        <w:r w:rsidR="003F4B01">
          <w:rPr>
            <w:rStyle w:val="AERtextorange"/>
          </w:rPr>
          <w:t>SP AusNet 2014–17  transmission determination</w:t>
        </w:r>
        <w:r w:rsidR="003F4B01">
          <w:t xml:space="preserve"> </w:t>
        </w:r>
        <w:r w:rsidR="003F4B01">
          <w:rPr>
            <w:rStyle w:val="AERtextblue"/>
          </w:rPr>
          <w:t>| Background</w: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01" w:rsidRDefault="003F4B01" w:rsidP="00872C51">
    <w:pPr>
      <w:pStyle w:val="Footer"/>
    </w:pPr>
    <w:r>
      <w:rPr>
        <w:rStyle w:val="AERtextorange"/>
      </w:rPr>
      <w:t xml:space="preserve">AER Issues paper </w:t>
    </w:r>
    <w:r w:rsidRPr="00664307">
      <w:rPr>
        <w:rStyle w:val="AERtextorange"/>
      </w:rPr>
      <w:t>|</w:t>
    </w:r>
    <w:r w:rsidRPr="00DB6A17">
      <w:rPr>
        <w:rStyle w:val="AERtextorange"/>
      </w:rPr>
      <w:t xml:space="preserve"> </w:t>
    </w:r>
    <w:r>
      <w:rPr>
        <w:rStyle w:val="AERtextorange"/>
      </w:rPr>
      <w:t>SP AusNet 2014–17 transmission determination</w:t>
    </w:r>
    <w:r>
      <w:t xml:space="preserve"> </w:t>
    </w:r>
    <w:r>
      <w:rPr>
        <w:rStyle w:val="AERtextblue"/>
      </w:rPr>
      <w:t>| Background</w:t>
    </w:r>
    <w:r>
      <w:tab/>
    </w:r>
    <w:fldSimple w:instr=" PAGE   \* MERGEFORMAT ">
      <w:r w:rsidR="008E2F2B" w:rsidRPr="008E2F2B">
        <w:rPr>
          <w:rStyle w:val="AERtextblue"/>
          <w:noProof/>
        </w:rPr>
        <w:t>5</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28694"/>
      <w:docPartObj>
        <w:docPartGallery w:val="Page Numbers (Bottom of Page)"/>
        <w:docPartUnique/>
      </w:docPartObj>
    </w:sdtPr>
    <w:sdtContent>
      <w:p w:rsidR="003F4B01" w:rsidRDefault="00876FFF" w:rsidP="00456081">
        <w:pPr>
          <w:pStyle w:val="Footer"/>
          <w:tabs>
            <w:tab w:val="clear" w:pos="4513"/>
          </w:tabs>
        </w:pPr>
        <w:fldSimple w:instr=" PAGE   \* MERGEFORMAT ">
          <w:r w:rsidR="008E2F2B">
            <w:rPr>
              <w:noProof/>
            </w:rPr>
            <w:t>10</w:t>
          </w:r>
        </w:fldSimple>
        <w:r w:rsidR="003F4B01">
          <w:tab/>
        </w:r>
        <w:r w:rsidR="003F4B01">
          <w:rPr>
            <w:rStyle w:val="AERtextorange"/>
          </w:rPr>
          <w:t xml:space="preserve">AER Issues paper </w:t>
        </w:r>
        <w:r w:rsidR="003F4B01" w:rsidRPr="00664307">
          <w:rPr>
            <w:rStyle w:val="AERtextorange"/>
          </w:rPr>
          <w:t>|</w:t>
        </w:r>
        <w:r w:rsidR="003F4B01" w:rsidRPr="00DB6A17">
          <w:rPr>
            <w:rStyle w:val="AERtextorange"/>
          </w:rPr>
          <w:t xml:space="preserve"> </w:t>
        </w:r>
        <w:r w:rsidR="003F4B01">
          <w:rPr>
            <w:rStyle w:val="AERtextorange"/>
          </w:rPr>
          <w:t>SP AusNet 2014–17 transmission determination</w:t>
        </w:r>
        <w:r w:rsidR="003F4B01">
          <w:t xml:space="preserve"> </w:t>
        </w:r>
        <w:r w:rsidR="003F4B01">
          <w:rPr>
            <w:rStyle w:val="AERtextblue"/>
          </w:rPr>
          <w:t>| Regulatory framework</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B01" w:rsidRPr="00AB4345" w:rsidRDefault="003F4B01" w:rsidP="00AB4345">
      <w:r>
        <w:separator/>
      </w:r>
    </w:p>
  </w:footnote>
  <w:footnote w:type="continuationSeparator" w:id="0">
    <w:p w:rsidR="003F4B01" w:rsidRPr="00AB4345" w:rsidRDefault="003F4B01" w:rsidP="00AB4345">
      <w:r>
        <w:continuationSeparator/>
      </w:r>
    </w:p>
  </w:footnote>
  <w:footnote w:id="1">
    <w:p w:rsidR="003F4B01" w:rsidRDefault="003F4B01" w:rsidP="00AD12FE">
      <w:pPr>
        <w:pStyle w:val="FootnoteText"/>
      </w:pPr>
      <w:r>
        <w:rPr>
          <w:rStyle w:val="FootnoteReference"/>
        </w:rPr>
        <w:footnoteRef/>
      </w:r>
      <w:r>
        <w:t xml:space="preserve"> </w:t>
      </w:r>
      <w:r>
        <w:tab/>
      </w:r>
      <w:r w:rsidRPr="00FD2E01">
        <w:t>AEMC, Rule determination, National Electricity Amendment (Economic Regulation of network Service Providers) Rule 2012, November 2012, p. 174.</w:t>
      </w:r>
    </w:p>
  </w:footnote>
  <w:footnote w:id="2">
    <w:p w:rsidR="003F4B01" w:rsidRDefault="003F4B01" w:rsidP="00AD12FE">
      <w:pPr>
        <w:pStyle w:val="FootnoteText"/>
      </w:pPr>
      <w:r>
        <w:rPr>
          <w:rStyle w:val="FootnoteReference"/>
        </w:rPr>
        <w:footnoteRef/>
      </w:r>
      <w:r>
        <w:t xml:space="preserve"> </w:t>
      </w:r>
      <w:r>
        <w:tab/>
        <w:t xml:space="preserve">AEMC, </w:t>
      </w:r>
      <w:r w:rsidRPr="001944BE">
        <w:rPr>
          <w:rStyle w:val="AERtextitalic"/>
        </w:rPr>
        <w:t xml:space="preserve">Rule determination </w:t>
      </w:r>
      <w:r w:rsidRPr="001944BE">
        <w:rPr>
          <w:rStyle w:val="AERtextitalic"/>
          <w:rFonts w:hint="eastAsia"/>
        </w:rPr>
        <w:t>–</w:t>
      </w:r>
      <w:r w:rsidRPr="001944BE">
        <w:rPr>
          <w:rStyle w:val="AERtextitalic"/>
        </w:rPr>
        <w:t xml:space="preserve"> National Electricity Amendment (Economic regulation of network service providers) Rule 2012 and National Gas Amendment (Price and revenue regulation of gas services) Rule 2012</w:t>
      </w:r>
      <w:r>
        <w:t xml:space="preserve">, 29 November 2012.  </w:t>
      </w:r>
    </w:p>
  </w:footnote>
  <w:footnote w:id="3">
    <w:p w:rsidR="003F4B01" w:rsidRDefault="003F4B01" w:rsidP="00AD12FE">
      <w:pPr>
        <w:pStyle w:val="FootnoteText"/>
      </w:pPr>
      <w:r>
        <w:rPr>
          <w:rStyle w:val="FootnoteReference"/>
        </w:rPr>
        <w:footnoteRef/>
      </w:r>
      <w:r>
        <w:t xml:space="preserve"> </w:t>
      </w:r>
      <w:r>
        <w:tab/>
        <w:t xml:space="preserve">NER, clause 11.59.3(a). </w:t>
      </w:r>
    </w:p>
  </w:footnote>
  <w:footnote w:id="4">
    <w:p w:rsidR="003F4B01" w:rsidRDefault="003F4B01">
      <w:pPr>
        <w:pStyle w:val="FootnoteText"/>
      </w:pPr>
      <w:r>
        <w:rPr>
          <w:rStyle w:val="FootnoteReference"/>
        </w:rPr>
        <w:footnoteRef/>
      </w:r>
      <w:r>
        <w:t xml:space="preserve"> </w:t>
      </w:r>
      <w:r>
        <w:tab/>
        <w:t xml:space="preserve">AER, </w:t>
      </w:r>
      <w:r w:rsidRPr="007E4679">
        <w:rPr>
          <w:rStyle w:val="AERtextitalic"/>
        </w:rPr>
        <w:t>Electricity transmission and distribution network service providers, Statement of revised WACC parameters (transmission)</w:t>
      </w:r>
      <w:r>
        <w:t xml:space="preserve">, May 2009. </w:t>
      </w:r>
    </w:p>
  </w:footnote>
  <w:footnote w:id="5">
    <w:p w:rsidR="003F4B01" w:rsidRDefault="003F4B01" w:rsidP="00AD12FE">
      <w:pPr>
        <w:pStyle w:val="FootnoteText"/>
      </w:pPr>
      <w:r>
        <w:rPr>
          <w:rStyle w:val="FootnoteReference"/>
        </w:rPr>
        <w:footnoteRef/>
      </w:r>
      <w:r>
        <w:t xml:space="preserve"> </w:t>
      </w:r>
      <w:r>
        <w:tab/>
        <w:t xml:space="preserve">The Victorian distribution network service providers are Jemena, United Energy, Citipower, SP AusNet (distribution) and Powercor. </w:t>
      </w:r>
    </w:p>
  </w:footnote>
  <w:footnote w:id="6">
    <w:p w:rsidR="003F4B01" w:rsidRDefault="003F4B01" w:rsidP="00AD12FE">
      <w:pPr>
        <w:pStyle w:val="FootnoteText"/>
      </w:pPr>
      <w:r>
        <w:rPr>
          <w:rStyle w:val="FootnoteReference"/>
        </w:rPr>
        <w:footnoteRef/>
      </w:r>
      <w:r>
        <w:t xml:space="preserve"> </w:t>
      </w:r>
      <w:r>
        <w:tab/>
        <w:t xml:space="preserve">SP AusNet, </w:t>
      </w:r>
      <w:r w:rsidRPr="00512E62">
        <w:rPr>
          <w:rStyle w:val="AERtextitalic"/>
        </w:rPr>
        <w:t>Revenue proposal</w:t>
      </w:r>
      <w:r>
        <w:t xml:space="preserve">, pp. 31–33. </w:t>
      </w:r>
    </w:p>
  </w:footnote>
  <w:footnote w:id="7">
    <w:p w:rsidR="003F4B01" w:rsidRDefault="003F4B01" w:rsidP="00AD12FE">
      <w:pPr>
        <w:pStyle w:val="FootnoteText"/>
      </w:pPr>
      <w:r>
        <w:rPr>
          <w:rStyle w:val="FootnoteReference"/>
        </w:rPr>
        <w:footnoteRef/>
      </w:r>
      <w:r>
        <w:t xml:space="preserve"> </w:t>
      </w:r>
      <w:r>
        <w:tab/>
        <w:t xml:space="preserve">SP AusNet, </w:t>
      </w:r>
      <w:r w:rsidRPr="00512E62">
        <w:rPr>
          <w:rStyle w:val="AERtextitalic"/>
        </w:rPr>
        <w:t>Revenue proposal</w:t>
      </w:r>
      <w:r>
        <w:t xml:space="preserve">, pp. 32–33. </w:t>
      </w:r>
    </w:p>
  </w:footnote>
  <w:footnote w:id="8">
    <w:p w:rsidR="003F4B01" w:rsidRDefault="003F4B01" w:rsidP="00AD12FE">
      <w:pPr>
        <w:pStyle w:val="FootnoteText"/>
      </w:pPr>
      <w:r>
        <w:rPr>
          <w:rStyle w:val="FootnoteReference"/>
        </w:rPr>
        <w:footnoteRef/>
      </w:r>
      <w:r>
        <w:t xml:space="preserve"> </w:t>
      </w:r>
      <w:r>
        <w:tab/>
        <w:t xml:space="preserve">SP AusNet, </w:t>
      </w:r>
      <w:r w:rsidRPr="00512E62">
        <w:rPr>
          <w:rStyle w:val="AERtextitalic"/>
        </w:rPr>
        <w:t>Revenue proposal</w:t>
      </w:r>
      <w:r>
        <w:t xml:space="preserve">, p. 33. </w:t>
      </w:r>
    </w:p>
  </w:footnote>
  <w:footnote w:id="9">
    <w:p w:rsidR="003F4B01" w:rsidRDefault="003F4B01" w:rsidP="00AD12FE">
      <w:pPr>
        <w:pStyle w:val="FootnoteText"/>
      </w:pPr>
      <w:r>
        <w:rPr>
          <w:rStyle w:val="FootnoteReference"/>
        </w:rPr>
        <w:footnoteRef/>
      </w:r>
      <w:r>
        <w:t xml:space="preserve"> </w:t>
      </w:r>
      <w:r>
        <w:tab/>
        <w:t xml:space="preserve">SP AusNet, </w:t>
      </w:r>
      <w:r w:rsidRPr="00512E62">
        <w:rPr>
          <w:rStyle w:val="AERtextitalic"/>
        </w:rPr>
        <w:t>Revenue proposal</w:t>
      </w:r>
      <w:r>
        <w:t xml:space="preserve">, p. 45. </w:t>
      </w:r>
    </w:p>
  </w:footnote>
  <w:footnote w:id="10">
    <w:p w:rsidR="003F4B01" w:rsidRDefault="003F4B01" w:rsidP="00AD12FE">
      <w:pPr>
        <w:pStyle w:val="FootnoteText"/>
      </w:pPr>
      <w:r>
        <w:rPr>
          <w:rStyle w:val="FootnoteReference"/>
        </w:rPr>
        <w:footnoteRef/>
      </w:r>
      <w:r>
        <w:t xml:space="preserve"> </w:t>
      </w:r>
      <w:r>
        <w:tab/>
        <w:t xml:space="preserve">AEMC, </w:t>
      </w:r>
      <w:r w:rsidRPr="00EE72D6">
        <w:rPr>
          <w:rStyle w:val="AERtextitalic"/>
        </w:rPr>
        <w:t xml:space="preserve">Rule determination </w:t>
      </w:r>
      <w:r w:rsidRPr="00EE72D6">
        <w:rPr>
          <w:rStyle w:val="AERtextitalic"/>
          <w:rFonts w:hint="eastAsia"/>
        </w:rPr>
        <w:t>–</w:t>
      </w:r>
      <w:r w:rsidRPr="00EE72D6">
        <w:rPr>
          <w:rStyle w:val="AERtextitalic"/>
        </w:rPr>
        <w:t xml:space="preserve"> National Electricity Amendment (Economic regulation of network service providers) Rule 2012 and National Gas Amendment (Price and revenue regulation of gas services) Rule 2012</w:t>
      </w:r>
      <w:r>
        <w:t xml:space="preserve">, 29 November 2012.  </w:t>
      </w:r>
    </w:p>
  </w:footnote>
  <w:footnote w:id="11">
    <w:p w:rsidR="003F4B01" w:rsidRDefault="003F4B01" w:rsidP="00AD12FE">
      <w:pPr>
        <w:pStyle w:val="FootnoteText"/>
      </w:pPr>
      <w:r>
        <w:rPr>
          <w:rStyle w:val="FootnoteReference"/>
        </w:rPr>
        <w:footnoteRef/>
      </w:r>
      <w:r>
        <w:t xml:space="preserve"> </w:t>
      </w:r>
      <w:r>
        <w:tab/>
        <w:t xml:space="preserve">NER, clause 11.59.3(a). </w:t>
      </w:r>
    </w:p>
  </w:footnote>
  <w:footnote w:id="12">
    <w:p w:rsidR="003F4B01" w:rsidRDefault="003F4B01" w:rsidP="00AD12FE">
      <w:pPr>
        <w:pStyle w:val="FootnoteText"/>
      </w:pPr>
      <w:r>
        <w:rPr>
          <w:rStyle w:val="FootnoteReference"/>
        </w:rPr>
        <w:footnoteRef/>
      </w:r>
      <w:r>
        <w:t xml:space="preserve"> </w:t>
      </w:r>
      <w:r>
        <w:tab/>
        <w:t xml:space="preserve">NER, clause 11.59.3(b). </w:t>
      </w:r>
    </w:p>
  </w:footnote>
  <w:footnote w:id="13">
    <w:p w:rsidR="003F4B01" w:rsidRDefault="003F4B01">
      <w:pPr>
        <w:pStyle w:val="FootnoteText"/>
      </w:pPr>
      <w:r>
        <w:rPr>
          <w:rStyle w:val="FootnoteReference"/>
        </w:rPr>
        <w:footnoteRef/>
      </w:r>
      <w:r>
        <w:t xml:space="preserve"> </w:t>
      </w:r>
      <w:r>
        <w:tab/>
        <w:t xml:space="preserve">The new version of the NER (version 55) permits use to  exclude inefficient capex from being included in the opening RAB, where the TNSP has spent in excess of its capex allowance. See clause S6A.2.2A. </w:t>
      </w:r>
    </w:p>
  </w:footnote>
  <w:footnote w:id="14">
    <w:p w:rsidR="003F4B01" w:rsidRDefault="003F4B01" w:rsidP="00D56FB8">
      <w:pPr>
        <w:pStyle w:val="FootnoteText"/>
      </w:pPr>
      <w:r>
        <w:rPr>
          <w:rStyle w:val="FootnoteReference"/>
        </w:rPr>
        <w:footnoteRef/>
      </w:r>
      <w:r>
        <w:t xml:space="preserve"> </w:t>
      </w:r>
      <w:r>
        <w:tab/>
        <w:t>NER, clause 6A.5.4(a).</w:t>
      </w:r>
    </w:p>
  </w:footnote>
  <w:footnote w:id="15">
    <w:p w:rsidR="003F4B01" w:rsidRDefault="003F4B01" w:rsidP="00F44B46">
      <w:pPr>
        <w:pStyle w:val="FootnoteText"/>
      </w:pPr>
      <w:r>
        <w:rPr>
          <w:rStyle w:val="FootnoteReference"/>
        </w:rPr>
        <w:footnoteRef/>
      </w:r>
      <w:r>
        <w:t xml:space="preserve"> </w:t>
      </w:r>
      <w:r>
        <w:tab/>
        <w:t>AEMO operates on a cost recovery basis as a corporate entity limited by guarantee under the Corporations Act. AEMO fully recovers its operating costs through fees paid by market participants. AEMO’s ownership structure is split between government and industry representatives across the eastern states of Australia with membership comprising 60% Commonwealth and state government and 40% industry including generators, transmission companies, distribution businesses, resource companies and investment companies.</w:t>
      </w:r>
    </w:p>
  </w:footnote>
  <w:footnote w:id="16">
    <w:p w:rsidR="003F4B01" w:rsidRDefault="003F4B01" w:rsidP="00AD12FE">
      <w:pPr>
        <w:pStyle w:val="FootnoteText"/>
      </w:pPr>
      <w:r>
        <w:rPr>
          <w:rStyle w:val="FootnoteReference"/>
        </w:rPr>
        <w:footnoteRef/>
      </w:r>
      <w:r>
        <w:t xml:space="preserve"> </w:t>
      </w:r>
      <w:r>
        <w:tab/>
        <w:t>National Electricity Law, section 50F</w:t>
      </w:r>
    </w:p>
  </w:footnote>
  <w:footnote w:id="17">
    <w:p w:rsidR="003F4B01" w:rsidRDefault="003F4B01" w:rsidP="00AD12FE">
      <w:pPr>
        <w:pStyle w:val="FootnoteText"/>
      </w:pPr>
      <w:r>
        <w:rPr>
          <w:rStyle w:val="FootnoteReference"/>
        </w:rPr>
        <w:footnoteRef/>
      </w:r>
      <w:r>
        <w:t xml:space="preserve"> </w:t>
      </w:r>
      <w:r>
        <w:tab/>
        <w:t xml:space="preserve">AEMO, Victorian electricity planning approach, July 2012, p.1 available at: </w:t>
      </w:r>
      <w:hyperlink r:id="rId1" w:history="1">
        <w:r w:rsidRPr="00F23AE6">
          <w:rPr>
            <w:rStyle w:val="Hyperlink"/>
          </w:rPr>
          <w:t>http://www.aemo.com.au/Electricity/Policies-and-Procedures/Planning/Victorian-Electricity-Planning-Approach</w:t>
        </w:r>
      </w:hyperlink>
    </w:p>
  </w:footnote>
  <w:footnote w:id="18">
    <w:p w:rsidR="003F4B01" w:rsidRDefault="003F4B01" w:rsidP="00AD12FE">
      <w:pPr>
        <w:pStyle w:val="FootnoteText"/>
      </w:pPr>
      <w:r>
        <w:rPr>
          <w:rStyle w:val="FootnoteReference"/>
        </w:rPr>
        <w:footnoteRef/>
      </w:r>
      <w:r>
        <w:t xml:space="preserve"> </w:t>
      </w:r>
      <w:r>
        <w:tab/>
        <w:t xml:space="preserve">AEMO, Victorian electricity planning approach, July 2012, p.5 available at: </w:t>
      </w:r>
      <w:hyperlink r:id="rId2" w:history="1">
        <w:r w:rsidRPr="00F23AE6">
          <w:rPr>
            <w:rStyle w:val="Hyperlink"/>
          </w:rPr>
          <w:t>http://www.aemo.com.au/Electricity/Policies-and-Procedures/Planning/Victorian-Electricity-Planning-Approach</w:t>
        </w:r>
      </w:hyperlink>
      <w:r>
        <w:t xml:space="preserve">. </w:t>
      </w:r>
    </w:p>
  </w:footnote>
  <w:footnote w:id="19">
    <w:p w:rsidR="003F4B01" w:rsidRDefault="003F4B01" w:rsidP="00BD1766">
      <w:pPr>
        <w:pStyle w:val="FootnoteText"/>
      </w:pPr>
      <w:r>
        <w:rPr>
          <w:rStyle w:val="FootnoteReference"/>
        </w:rPr>
        <w:footnoteRef/>
      </w:r>
      <w:r>
        <w:t xml:space="preserve"> </w:t>
      </w:r>
      <w:r>
        <w:tab/>
        <w:t xml:space="preserve">Productivity Commission, Electricity network regulatory frameworks, October 2012 p 502 available at: </w:t>
      </w:r>
      <w:hyperlink r:id="rId3" w:history="1">
        <w:r w:rsidRPr="00F23AE6">
          <w:rPr>
            <w:rStyle w:val="Hyperlink"/>
          </w:rPr>
          <w:t>http://www.pc.gov.au/projects/inquiry/electricity/draft</w:t>
        </w:r>
      </w:hyperlink>
      <w:r>
        <w:t xml:space="preserve">.  </w:t>
      </w:r>
    </w:p>
  </w:footnote>
  <w:footnote w:id="20">
    <w:p w:rsidR="003F4B01" w:rsidRDefault="003F4B01">
      <w:pPr>
        <w:pStyle w:val="FootnoteText"/>
      </w:pPr>
      <w:r>
        <w:rPr>
          <w:rStyle w:val="FootnoteReference"/>
        </w:rPr>
        <w:footnoteRef/>
      </w:r>
      <w:r>
        <w:t xml:space="preserve"> </w:t>
      </w:r>
      <w:r>
        <w:tab/>
        <w:t xml:space="preserve">In its capacity as the planner of the shared transmission network in Victoria. </w:t>
      </w:r>
    </w:p>
  </w:footnote>
  <w:footnote w:id="21">
    <w:p w:rsidR="003F4B01" w:rsidRDefault="003F4B01">
      <w:pPr>
        <w:pStyle w:val="FootnoteText"/>
      </w:pPr>
      <w:r>
        <w:rPr>
          <w:rStyle w:val="FootnoteReference"/>
        </w:rPr>
        <w:footnoteRef/>
      </w:r>
      <w:r>
        <w:t xml:space="preserve"> </w:t>
      </w:r>
      <w:r>
        <w:tab/>
        <w:t xml:space="preserve">In their capacity as planners of the transmission connection assets that connect the transmission network with the Victorian distribution networks. </w:t>
      </w:r>
    </w:p>
  </w:footnote>
  <w:footnote w:id="22">
    <w:p w:rsidR="003F4B01" w:rsidRDefault="003F4B01" w:rsidP="00AD12FE">
      <w:pPr>
        <w:pStyle w:val="FootnoteText"/>
      </w:pPr>
      <w:r>
        <w:rPr>
          <w:rStyle w:val="FootnoteReference"/>
        </w:rPr>
        <w:footnoteRef/>
      </w:r>
      <w:r>
        <w:t xml:space="preserve"> </w:t>
      </w:r>
      <w:r>
        <w:tab/>
        <w:t xml:space="preserve">NER, clause 6A.24.1(b)(1) and (2). </w:t>
      </w:r>
    </w:p>
  </w:footnote>
  <w:footnote w:id="23">
    <w:p w:rsidR="003F4B01" w:rsidRDefault="003F4B01">
      <w:pPr>
        <w:pStyle w:val="FootnoteText"/>
      </w:pPr>
      <w:r>
        <w:rPr>
          <w:rStyle w:val="FootnoteReference"/>
        </w:rPr>
        <w:footnoteRef/>
      </w:r>
      <w:r>
        <w:t xml:space="preserve"> </w:t>
      </w:r>
      <w:r>
        <w:tab/>
        <w:t xml:space="preserve">SP AusNet, </w:t>
      </w:r>
      <w:r w:rsidRPr="00160486">
        <w:rPr>
          <w:rStyle w:val="AERtextitalic"/>
        </w:rPr>
        <w:t>Revenue proposal</w:t>
      </w:r>
      <w:r>
        <w:t xml:space="preserve">, </w:t>
      </w:r>
      <w:r w:rsidRPr="007E1FBE">
        <w:rPr>
          <w:rStyle w:val="AERtextitalic"/>
        </w:rPr>
        <w:t>Appendix 13A – Pricing methodology</w:t>
      </w:r>
      <w:r>
        <w:t xml:space="preserve">, p.4. </w:t>
      </w:r>
    </w:p>
  </w:footnote>
  <w:footnote w:id="24">
    <w:p w:rsidR="003F4B01" w:rsidRDefault="003F4B01">
      <w:pPr>
        <w:pStyle w:val="FootnoteText"/>
      </w:pPr>
      <w:r>
        <w:rPr>
          <w:rStyle w:val="FootnoteReference"/>
        </w:rPr>
        <w:footnoteRef/>
      </w:r>
      <w:r>
        <w:t xml:space="preserve"> </w:t>
      </w:r>
      <w:r>
        <w:tab/>
        <w:t xml:space="preserve">SP AusNet, </w:t>
      </w:r>
      <w:r w:rsidRPr="00D0340A">
        <w:rPr>
          <w:rStyle w:val="AERtextitalic"/>
        </w:rPr>
        <w:t>Revenue proposal, Appendix 13A</w:t>
      </w:r>
      <w:r>
        <w:t xml:space="preserve">, p. 4. </w:t>
      </w:r>
    </w:p>
  </w:footnote>
  <w:footnote w:id="25">
    <w:p w:rsidR="003F4B01" w:rsidRDefault="003F4B01">
      <w:pPr>
        <w:pStyle w:val="FootnoteText"/>
      </w:pPr>
      <w:r>
        <w:rPr>
          <w:rStyle w:val="FootnoteReference"/>
        </w:rPr>
        <w:footnoteRef/>
      </w:r>
      <w:r>
        <w:t xml:space="preserve"> </w:t>
      </w:r>
      <w:r>
        <w:tab/>
        <w:t>NER, clause SA6A.4.2(f) (version 55).</w:t>
      </w:r>
    </w:p>
  </w:footnote>
  <w:footnote w:id="26">
    <w:p w:rsidR="003F4B01" w:rsidRDefault="003F4B01">
      <w:pPr>
        <w:pStyle w:val="FootnoteText"/>
      </w:pPr>
      <w:r>
        <w:rPr>
          <w:rStyle w:val="FootnoteReference"/>
        </w:rPr>
        <w:footnoteRef/>
      </w:r>
      <w:r>
        <w:t xml:space="preserve"> </w:t>
      </w:r>
      <w:r>
        <w:tab/>
        <w:t xml:space="preserve">NEL, s 7. </w:t>
      </w:r>
    </w:p>
  </w:footnote>
  <w:footnote w:id="27">
    <w:p w:rsidR="003F4B01" w:rsidRDefault="003F4B01" w:rsidP="00AD12FE">
      <w:pPr>
        <w:pStyle w:val="FootnoteText"/>
      </w:pPr>
      <w:r>
        <w:rPr>
          <w:rStyle w:val="FootnoteReference"/>
        </w:rPr>
        <w:footnoteRef/>
      </w:r>
      <w:r>
        <w:t xml:space="preserve"> </w:t>
      </w:r>
      <w:r>
        <w:tab/>
        <w:t xml:space="preserve">NER, clauses 6A.6.6(a) and 6A.6.7(a). </w:t>
      </w:r>
    </w:p>
  </w:footnote>
  <w:footnote w:id="28">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 51.</w:t>
      </w:r>
    </w:p>
  </w:footnote>
  <w:footnote w:id="29">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 51.</w:t>
      </w:r>
    </w:p>
  </w:footnote>
  <w:footnote w:id="30">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 45.</w:t>
      </w:r>
    </w:p>
  </w:footnote>
  <w:footnote w:id="31">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 71.</w:t>
      </w:r>
    </w:p>
  </w:footnote>
  <w:footnote w:id="32">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 76.</w:t>
      </w:r>
    </w:p>
  </w:footnote>
  <w:footnote w:id="33">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pp. 76-77.</w:t>
      </w:r>
    </w:p>
  </w:footnote>
  <w:footnote w:id="34">
    <w:p w:rsidR="003F4B01" w:rsidRDefault="003F4B01" w:rsidP="00AD12FE">
      <w:pPr>
        <w:pStyle w:val="FootnoteText"/>
      </w:pPr>
      <w:r>
        <w:rPr>
          <w:rStyle w:val="FootnoteReference"/>
        </w:rPr>
        <w:footnoteRef/>
      </w:r>
      <w:r>
        <w:t xml:space="preserve"> </w:t>
      </w:r>
      <w:r>
        <w:tab/>
        <w:t xml:space="preserve">SPA AusNet, </w:t>
      </w:r>
      <w:r>
        <w:rPr>
          <w:rStyle w:val="AERtextitalic"/>
        </w:rPr>
        <w:t>Revenue proposal</w:t>
      </w:r>
      <w:r>
        <w:t>, Appendix 4A, pp. 45-47.</w:t>
      </w:r>
    </w:p>
  </w:footnote>
  <w:footnote w:id="35">
    <w:p w:rsidR="003F4B01" w:rsidRDefault="003F4B01" w:rsidP="00AD12FE">
      <w:pPr>
        <w:pStyle w:val="FootnoteText"/>
      </w:pPr>
      <w:r>
        <w:rPr>
          <w:rStyle w:val="FootnoteReference"/>
        </w:rPr>
        <w:footnoteRef/>
      </w:r>
      <w:r>
        <w:t xml:space="preserve"> </w:t>
      </w:r>
      <w:r>
        <w:tab/>
        <w:t xml:space="preserve">SPA AusNet, </w:t>
      </w:r>
      <w:r>
        <w:rPr>
          <w:rStyle w:val="AERtextitalic"/>
        </w:rPr>
        <w:t>Revenue proposal</w:t>
      </w:r>
      <w:r>
        <w:t>, Appendix 4A, pp. 44-45.</w:t>
      </w:r>
    </w:p>
  </w:footnote>
  <w:footnote w:id="36">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 72.</w:t>
      </w:r>
    </w:p>
  </w:footnote>
  <w:footnote w:id="37">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 84.</w:t>
      </w:r>
    </w:p>
  </w:footnote>
  <w:footnote w:id="38">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pp. 94-95.</w:t>
      </w:r>
    </w:p>
  </w:footnote>
  <w:footnote w:id="39">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 97.</w:t>
      </w:r>
    </w:p>
  </w:footnote>
  <w:footnote w:id="40">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 100.</w:t>
      </w:r>
    </w:p>
  </w:footnote>
  <w:footnote w:id="41">
    <w:p w:rsidR="003F4B01" w:rsidRDefault="003F4B01" w:rsidP="00AD12FE">
      <w:pPr>
        <w:pStyle w:val="FootnoteText"/>
      </w:pPr>
      <w:r>
        <w:rPr>
          <w:rStyle w:val="FootnoteReference"/>
        </w:rPr>
        <w:footnoteRef/>
      </w:r>
      <w:r>
        <w:t xml:space="preserve"> </w:t>
      </w:r>
      <w:r>
        <w:tab/>
        <w:t xml:space="preserve">SPA AusNet, </w:t>
      </w:r>
      <w:r w:rsidRPr="00443698">
        <w:rPr>
          <w:rStyle w:val="AERtextitalic"/>
        </w:rPr>
        <w:t>Revenue proposal</w:t>
      </w:r>
      <w:r>
        <w:t>, p. 102.</w:t>
      </w:r>
    </w:p>
  </w:footnote>
  <w:footnote w:id="42">
    <w:p w:rsidR="003F4B01" w:rsidRDefault="003F4B01" w:rsidP="00F6315C">
      <w:pPr>
        <w:pStyle w:val="FootnoteText"/>
      </w:pPr>
      <w:r>
        <w:rPr>
          <w:rStyle w:val="FootnoteReference"/>
        </w:rPr>
        <w:footnoteRef/>
      </w:r>
      <w:r>
        <w:t xml:space="preserve"> </w:t>
      </w:r>
      <w:r>
        <w:tab/>
        <w:t xml:space="preserve">SP AusNet, </w:t>
      </w:r>
      <w:r w:rsidRPr="00DD6382">
        <w:rPr>
          <w:rStyle w:val="AERtextitalic"/>
        </w:rPr>
        <w:t>Revenue proposal</w:t>
      </w:r>
      <w:r>
        <w:t xml:space="preserve">, Appendix A, Cost information templates – historic opex summary. </w:t>
      </w:r>
    </w:p>
  </w:footnote>
  <w:footnote w:id="43">
    <w:p w:rsidR="003F4B01" w:rsidRDefault="003F4B01">
      <w:pPr>
        <w:pStyle w:val="FootnoteText"/>
      </w:pPr>
      <w:r>
        <w:rPr>
          <w:rStyle w:val="FootnoteReference"/>
        </w:rPr>
        <w:footnoteRef/>
      </w:r>
      <w:r>
        <w:t xml:space="preserve"> </w:t>
      </w:r>
      <w:r>
        <w:tab/>
        <w:t xml:space="preserve">SP AusNet, </w:t>
      </w:r>
      <w:r w:rsidRPr="003D1CDB">
        <w:rPr>
          <w:rStyle w:val="AERtextitalic"/>
        </w:rPr>
        <w:t>Revenue proposal</w:t>
      </w:r>
      <w:r>
        <w:t xml:space="preserve">, p. 172. </w:t>
      </w:r>
    </w:p>
  </w:footnote>
  <w:footnote w:id="44">
    <w:p w:rsidR="003F4B01" w:rsidRDefault="003F4B01" w:rsidP="007E4679">
      <w:pPr>
        <w:pStyle w:val="FootnoteText"/>
      </w:pPr>
      <w:r>
        <w:rPr>
          <w:rStyle w:val="FootnoteReference"/>
        </w:rPr>
        <w:footnoteRef/>
      </w:r>
      <w:r>
        <w:t xml:space="preserve"> </w:t>
      </w:r>
      <w:r>
        <w:tab/>
        <w:t xml:space="preserve">AER, </w:t>
      </w:r>
      <w:r w:rsidRPr="007E4679">
        <w:rPr>
          <w:rStyle w:val="AERtextitalic"/>
        </w:rPr>
        <w:t>Electricity transmission and distribution network service providers, Statement of revised WACC parameters (transmission)</w:t>
      </w:r>
      <w:r>
        <w:t xml:space="preserve">, May 2009. </w:t>
      </w:r>
    </w:p>
  </w:footnote>
  <w:footnote w:id="45">
    <w:p w:rsidR="003F4B01" w:rsidRDefault="003F4B01" w:rsidP="00AD12FE">
      <w:pPr>
        <w:pStyle w:val="FootnoteText"/>
      </w:pPr>
      <w:r>
        <w:rPr>
          <w:rStyle w:val="FootnoteReference"/>
        </w:rPr>
        <w:footnoteRef/>
      </w:r>
      <w:r>
        <w:t xml:space="preserve"> </w:t>
      </w:r>
      <w:r>
        <w:tab/>
        <w:t xml:space="preserve">AER, </w:t>
      </w:r>
      <w:r w:rsidRPr="00B308DD">
        <w:rPr>
          <w:rStyle w:val="AERtextitalic"/>
        </w:rPr>
        <w:t>Draft decision, Victorian electricity distribution network service providers: Distribution determination 2011–15</w:t>
      </w:r>
      <w:r>
        <w:t>, Appendix I, pp. 78–9.</w:t>
      </w:r>
    </w:p>
  </w:footnote>
  <w:footnote w:id="46">
    <w:p w:rsidR="003F4B01" w:rsidRDefault="003F4B01">
      <w:pPr>
        <w:pStyle w:val="FootnoteText"/>
      </w:pPr>
      <w:r>
        <w:rPr>
          <w:rStyle w:val="FootnoteReference"/>
        </w:rPr>
        <w:footnoteRef/>
      </w:r>
      <w:r>
        <w:t xml:space="preserve"> </w:t>
      </w:r>
      <w:r>
        <w:tab/>
        <w:t xml:space="preserve">SP AusNet, </w:t>
      </w:r>
      <w:r w:rsidRPr="00872C51">
        <w:rPr>
          <w:rStyle w:val="AERtextitalic"/>
        </w:rPr>
        <w:t>Revenue proposal</w:t>
      </w:r>
      <w:r>
        <w:t xml:space="preserve">, p. 36.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3E63"/>
    <w:multiLevelType w:val="multilevel"/>
    <w:tmpl w:val="950A1C52"/>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B478DFE6"/>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3597CF9"/>
    <w:multiLevelType w:val="multilevel"/>
    <w:tmpl w:val="B478DFE6"/>
    <w:numStyleLink w:val="AERnumberedlist"/>
  </w:abstractNum>
  <w:abstractNum w:abstractNumId="5">
    <w:nsid w:val="176B27A6"/>
    <w:multiLevelType w:val="multilevel"/>
    <w:tmpl w:val="950A1C52"/>
    <w:numStyleLink w:val="AERHeadings"/>
  </w:abstractNum>
  <w:abstractNum w:abstractNumId="6">
    <w:nsid w:val="1972601F"/>
    <w:multiLevelType w:val="multilevel"/>
    <w:tmpl w:val="950A1C52"/>
    <w:numStyleLink w:val="AERHeadings"/>
  </w:abstractNum>
  <w:abstractNum w:abstractNumId="7">
    <w:nsid w:val="1DFA331B"/>
    <w:multiLevelType w:val="multilevel"/>
    <w:tmpl w:val="B478DFE6"/>
    <w:numStyleLink w:val="AERnumberedlist"/>
  </w:abstractNum>
  <w:abstractNum w:abstractNumId="8">
    <w:nsid w:val="233428C7"/>
    <w:multiLevelType w:val="multilevel"/>
    <w:tmpl w:val="B478DFE6"/>
    <w:numStyleLink w:val="AERnumberedlist"/>
  </w:abstractNum>
  <w:abstractNum w:abstractNumId="9">
    <w:nsid w:val="2776270C"/>
    <w:multiLevelType w:val="multilevel"/>
    <w:tmpl w:val="B478DFE6"/>
    <w:numStyleLink w:val="AERnumberedlist"/>
  </w:abstractNum>
  <w:abstractNum w:abstractNumId="10">
    <w:nsid w:val="281977C0"/>
    <w:multiLevelType w:val="multilevel"/>
    <w:tmpl w:val="950A1C52"/>
    <w:numStyleLink w:val="AERHeadings"/>
  </w:abstractNum>
  <w:abstractNum w:abstractNumId="11">
    <w:nsid w:val="295C7239"/>
    <w:multiLevelType w:val="multilevel"/>
    <w:tmpl w:val="950A1C52"/>
    <w:numStyleLink w:val="AERHeadings"/>
  </w:abstractNum>
  <w:abstractNum w:abstractNumId="12">
    <w:nsid w:val="2C2D6B9E"/>
    <w:multiLevelType w:val="multilevel"/>
    <w:tmpl w:val="950A1C52"/>
    <w:numStyleLink w:val="AERHeadings"/>
  </w:abstractNum>
  <w:abstractNum w:abstractNumId="13">
    <w:nsid w:val="2DB12A3A"/>
    <w:multiLevelType w:val="multilevel"/>
    <w:tmpl w:val="950A1C52"/>
    <w:numStyleLink w:val="AERHeadings"/>
  </w:abstractNum>
  <w:abstractNum w:abstractNumId="14">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5">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nsid w:val="333E0E05"/>
    <w:multiLevelType w:val="multilevel"/>
    <w:tmpl w:val="950A1C52"/>
    <w:numStyleLink w:val="AERHeadings"/>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721288"/>
    <w:multiLevelType w:val="multilevel"/>
    <w:tmpl w:val="950A1C52"/>
    <w:numStyleLink w:val="AERHeadings"/>
  </w:abstractNum>
  <w:abstractNum w:abstractNumId="21">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2">
    <w:nsid w:val="4C615CD5"/>
    <w:multiLevelType w:val="hybridMultilevel"/>
    <w:tmpl w:val="B4EEC174"/>
    <w:lvl w:ilvl="0" w:tplc="CD68B07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4F037C49"/>
    <w:multiLevelType w:val="multilevel"/>
    <w:tmpl w:val="B478DFE6"/>
    <w:numStyleLink w:val="AERnumberedlist"/>
  </w:abstractNum>
  <w:abstractNum w:abstractNumId="24">
    <w:nsid w:val="51487971"/>
    <w:multiLevelType w:val="multilevel"/>
    <w:tmpl w:val="B478DFE6"/>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357"/>
        </w:tabs>
        <w:ind w:left="357" w:hanging="357"/>
      </w:pPr>
      <w:rPr>
        <w:rFonts w:hint="default"/>
      </w:rPr>
    </w:lvl>
    <w:lvl w:ilvl="5">
      <w:start w:val="1"/>
      <w:numFmt w:val="lowerLetter"/>
      <w:lvlRestart w:val="2"/>
      <w:pStyle w:val="AERnumberedlist2second"/>
      <w:lvlText w:val="(%6)"/>
      <w:lvlJc w:val="left"/>
      <w:pPr>
        <w:tabs>
          <w:tab w:val="num" w:pos="720"/>
        </w:tabs>
        <w:ind w:left="720" w:hanging="363"/>
      </w:pPr>
      <w:rPr>
        <w:rFonts w:hint="default"/>
      </w:rPr>
    </w:lvl>
    <w:lvl w:ilvl="6">
      <w:start w:val="1"/>
      <w:numFmt w:val="lowerRoman"/>
      <w:lvlRestart w:val="3"/>
      <w:pStyle w:val="AERnumberedlist2third"/>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1807103"/>
    <w:multiLevelType w:val="multilevel"/>
    <w:tmpl w:val="B478DFE6"/>
    <w:numStyleLink w:val="AERnumberedlist"/>
  </w:abstractNum>
  <w:abstractNum w:abstractNumId="26">
    <w:nsid w:val="5D386EA7"/>
    <w:multiLevelType w:val="multilevel"/>
    <w:tmpl w:val="950A1C52"/>
    <w:numStyleLink w:val="AERHeadings"/>
  </w:abstractNum>
  <w:abstractNum w:abstractNumId="27">
    <w:nsid w:val="5DCC1B18"/>
    <w:multiLevelType w:val="multilevel"/>
    <w:tmpl w:val="B478DFE6"/>
    <w:numStyleLink w:val="AERnumberedlist"/>
  </w:abstractNum>
  <w:abstractNum w:abstractNumId="28">
    <w:nsid w:val="68247CF7"/>
    <w:multiLevelType w:val="multilevel"/>
    <w:tmpl w:val="950A1C52"/>
    <w:numStyleLink w:val="AERHeadings"/>
  </w:abstractNum>
  <w:abstractNum w:abstractNumId="29">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4595980"/>
    <w:multiLevelType w:val="multilevel"/>
    <w:tmpl w:val="950A1C52"/>
    <w:numStyleLink w:val="AERHeadings"/>
  </w:abstractNum>
  <w:abstractNum w:abstractNumId="31">
    <w:nsid w:val="74F81DDF"/>
    <w:multiLevelType w:val="multilevel"/>
    <w:tmpl w:val="950A1C52"/>
    <w:numStyleLink w:val="AERHeadings"/>
  </w:abstractNum>
  <w:abstractNum w:abstractNumId="32">
    <w:nsid w:val="787F66A4"/>
    <w:multiLevelType w:val="multilevel"/>
    <w:tmpl w:val="950A1C52"/>
    <w:numStyleLink w:val="AERHeadings"/>
  </w:abstractNum>
  <w:abstractNum w:abstractNumId="33">
    <w:nsid w:val="7AAC6DD7"/>
    <w:multiLevelType w:val="multilevel"/>
    <w:tmpl w:val="950A1C52"/>
    <w:numStyleLink w:val="AERHeadings"/>
  </w:abstractNum>
  <w:abstractNum w:abstractNumId="34">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BE97BF8"/>
    <w:multiLevelType w:val="multilevel"/>
    <w:tmpl w:val="950A1C52"/>
    <w:numStyleLink w:val="AERHeadings"/>
  </w:abstractNum>
  <w:abstractNum w:abstractNumId="36">
    <w:nsid w:val="7CDA0F5F"/>
    <w:multiLevelType w:val="multilevel"/>
    <w:tmpl w:val="950A1C52"/>
    <w:numStyleLink w:val="AERHeadings"/>
  </w:abstractNum>
  <w:num w:numId="1">
    <w:abstractNumId w:val="29"/>
  </w:num>
  <w:num w:numId="2">
    <w:abstractNumId w:val="14"/>
  </w:num>
  <w:num w:numId="3">
    <w:abstractNumId w:val="2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1"/>
    <w:lvlOverride w:ilvl="0">
      <w:startOverride w:val="1"/>
    </w:lvlOverride>
  </w:num>
  <w:num w:numId="7">
    <w:abstractNumId w:val="19"/>
  </w:num>
  <w:num w:numId="8">
    <w:abstractNumId w:val="16"/>
  </w:num>
  <w:num w:numId="9">
    <w:abstractNumId w:val="34"/>
  </w:num>
  <w:num w:numId="10">
    <w:abstractNumId w:val="21"/>
    <w:lvlOverride w:ilvl="0">
      <w:startOverride w:val="1"/>
    </w:lvlOverride>
  </w:num>
  <w:num w:numId="11">
    <w:abstractNumId w:val="1"/>
  </w:num>
  <w:num w:numId="12">
    <w:abstractNumId w:val="21"/>
    <w:lvlOverride w:ilvl="0">
      <w:startOverride w:val="1"/>
    </w:lvlOverride>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
  </w:num>
  <w:num w:numId="17">
    <w:abstractNumId w:val="23"/>
  </w:num>
  <w:num w:numId="18">
    <w:abstractNumId w:val="7"/>
  </w:num>
  <w:num w:numId="19">
    <w:abstractNumId w:val="9"/>
  </w:num>
  <w:num w:numId="20">
    <w:abstractNumId w:val="31"/>
  </w:num>
  <w:num w:numId="21">
    <w:abstractNumId w:val="27"/>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6"/>
  </w:num>
  <w:num w:numId="28">
    <w:abstractNumId w:val="17"/>
  </w:num>
  <w:num w:numId="29">
    <w:abstractNumId w:val="10"/>
  </w:num>
  <w:num w:numId="30">
    <w:abstractNumId w:val="5"/>
  </w:num>
  <w:num w:numId="31">
    <w:abstractNumId w:val="0"/>
  </w:num>
  <w:num w:numId="32">
    <w:abstractNumId w:val="6"/>
  </w:num>
  <w:num w:numId="33">
    <w:abstractNumId w:val="32"/>
  </w:num>
  <w:num w:numId="34">
    <w:abstractNumId w:val="28"/>
  </w:num>
  <w:num w:numId="35">
    <w:abstractNumId w:val="30"/>
  </w:num>
  <w:num w:numId="36">
    <w:abstractNumId w:val="35"/>
  </w:num>
  <w:num w:numId="37">
    <w:abstractNumId w:val="26"/>
  </w:num>
  <w:num w:numId="38">
    <w:abstractNumId w:val="12"/>
  </w:num>
  <w:num w:numId="39">
    <w:abstractNumId w:val="13"/>
  </w:num>
  <w:num w:numId="40">
    <w:abstractNumId w:val="20"/>
  </w:num>
  <w:num w:numId="41">
    <w:abstractNumId w:val="25"/>
  </w:num>
  <w:num w:numId="42">
    <w:abstractNumId w:val="4"/>
  </w:num>
  <w:num w:numId="43">
    <w:abstractNumId w:val="33"/>
  </w:num>
  <w:num w:numId="44">
    <w:abstractNumId w:val="33"/>
    <w:lvlOverride w:ilvl="0">
      <w:lvl w:ilvl="0">
        <w:numFmt w:val="decimal"/>
        <w:pStyle w:val="UnnumberedHeading"/>
        <w:lvlText w:val=""/>
        <w:lvlJc w:val="left"/>
      </w:lvl>
    </w:lvlOverride>
    <w:lvlOverride w:ilvl="1">
      <w:lvl w:ilvl="1">
        <w:numFmt w:val="decimal"/>
        <w:pStyle w:val="Heading1"/>
        <w:lvlText w:val=""/>
        <w:lvlJc w:val="left"/>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num>
  <w:num w:numId="45">
    <w:abstractNumId w:val="22"/>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evenAndOddHeaders/>
  <w:drawingGridHorizontalSpacing w:val="100"/>
  <w:displayHorizontalDrawingGridEvery w:val="2"/>
  <w:characterSpacingControl w:val="doNotCompress"/>
  <w:footnotePr>
    <w:footnote w:id="-1"/>
    <w:footnote w:id="0"/>
  </w:footnotePr>
  <w:endnotePr>
    <w:endnote w:id="-1"/>
    <w:endnote w:id="0"/>
  </w:endnotePr>
  <w:compat/>
  <w:docVars>
    <w:docVar w:name="currentname" w:val="C:\Documents and Settings\smoff\Local Settings\Temporary Internet Files\Content.Outlook\10QP6UWE\SP AusNet 2014-17 transmission determination - issues paper.docx"/>
  </w:docVars>
  <w:rsids>
    <w:rsidRoot w:val="000C052F"/>
    <w:rsid w:val="00000E25"/>
    <w:rsid w:val="00004CD4"/>
    <w:rsid w:val="00022606"/>
    <w:rsid w:val="0003248D"/>
    <w:rsid w:val="0003520C"/>
    <w:rsid w:val="00040599"/>
    <w:rsid w:val="00040749"/>
    <w:rsid w:val="00050F38"/>
    <w:rsid w:val="000604FE"/>
    <w:rsid w:val="00073991"/>
    <w:rsid w:val="00081259"/>
    <w:rsid w:val="000814A6"/>
    <w:rsid w:val="000907AA"/>
    <w:rsid w:val="000966CA"/>
    <w:rsid w:val="000A1CC2"/>
    <w:rsid w:val="000A5342"/>
    <w:rsid w:val="000B15CA"/>
    <w:rsid w:val="000C052F"/>
    <w:rsid w:val="000C3430"/>
    <w:rsid w:val="000D03C2"/>
    <w:rsid w:val="000D04B1"/>
    <w:rsid w:val="000D401F"/>
    <w:rsid w:val="000E1A25"/>
    <w:rsid w:val="000F3A6A"/>
    <w:rsid w:val="000F7632"/>
    <w:rsid w:val="001033B3"/>
    <w:rsid w:val="00105636"/>
    <w:rsid w:val="00106AEE"/>
    <w:rsid w:val="00110B7E"/>
    <w:rsid w:val="001543D2"/>
    <w:rsid w:val="00160486"/>
    <w:rsid w:val="00174026"/>
    <w:rsid w:val="001856AB"/>
    <w:rsid w:val="001856EE"/>
    <w:rsid w:val="00187B91"/>
    <w:rsid w:val="00194C3C"/>
    <w:rsid w:val="001C12E5"/>
    <w:rsid w:val="001D6CBC"/>
    <w:rsid w:val="0020711E"/>
    <w:rsid w:val="00210880"/>
    <w:rsid w:val="002257B9"/>
    <w:rsid w:val="0023137D"/>
    <w:rsid w:val="00266710"/>
    <w:rsid w:val="002805B8"/>
    <w:rsid w:val="002938CE"/>
    <w:rsid w:val="002B6640"/>
    <w:rsid w:val="002C7D0A"/>
    <w:rsid w:val="002D61AC"/>
    <w:rsid w:val="00303452"/>
    <w:rsid w:val="00322BB6"/>
    <w:rsid w:val="003324F7"/>
    <w:rsid w:val="00334F88"/>
    <w:rsid w:val="003707DB"/>
    <w:rsid w:val="00375AEC"/>
    <w:rsid w:val="00376236"/>
    <w:rsid w:val="0037652C"/>
    <w:rsid w:val="003800E4"/>
    <w:rsid w:val="00380FF5"/>
    <w:rsid w:val="003854FA"/>
    <w:rsid w:val="003A6174"/>
    <w:rsid w:val="003A6207"/>
    <w:rsid w:val="003C6297"/>
    <w:rsid w:val="003D1CDB"/>
    <w:rsid w:val="003F0C4B"/>
    <w:rsid w:val="003F1C4B"/>
    <w:rsid w:val="003F4B01"/>
    <w:rsid w:val="003F718C"/>
    <w:rsid w:val="004030AB"/>
    <w:rsid w:val="00412282"/>
    <w:rsid w:val="004256BA"/>
    <w:rsid w:val="00431999"/>
    <w:rsid w:val="00435682"/>
    <w:rsid w:val="004436F6"/>
    <w:rsid w:val="00456081"/>
    <w:rsid w:val="00464F5D"/>
    <w:rsid w:val="00465457"/>
    <w:rsid w:val="00474FBD"/>
    <w:rsid w:val="00491D7D"/>
    <w:rsid w:val="004A56A6"/>
    <w:rsid w:val="004C3F45"/>
    <w:rsid w:val="004D3DCA"/>
    <w:rsid w:val="004E40EF"/>
    <w:rsid w:val="004E73F7"/>
    <w:rsid w:val="004F76A0"/>
    <w:rsid w:val="00500E7F"/>
    <w:rsid w:val="005015CC"/>
    <w:rsid w:val="00501AC1"/>
    <w:rsid w:val="00507DCC"/>
    <w:rsid w:val="0052179D"/>
    <w:rsid w:val="00535E75"/>
    <w:rsid w:val="005456A9"/>
    <w:rsid w:val="00555D52"/>
    <w:rsid w:val="005566D7"/>
    <w:rsid w:val="00561F7F"/>
    <w:rsid w:val="00566B35"/>
    <w:rsid w:val="005732CC"/>
    <w:rsid w:val="00575422"/>
    <w:rsid w:val="00581B65"/>
    <w:rsid w:val="00587F0F"/>
    <w:rsid w:val="005938C6"/>
    <w:rsid w:val="00594E19"/>
    <w:rsid w:val="005972F6"/>
    <w:rsid w:val="005A0431"/>
    <w:rsid w:val="005A334D"/>
    <w:rsid w:val="005B3752"/>
    <w:rsid w:val="005B61C2"/>
    <w:rsid w:val="005C5A69"/>
    <w:rsid w:val="005D26B7"/>
    <w:rsid w:val="005D4AA1"/>
    <w:rsid w:val="0060146C"/>
    <w:rsid w:val="0060207D"/>
    <w:rsid w:val="006039F2"/>
    <w:rsid w:val="006061B0"/>
    <w:rsid w:val="00606621"/>
    <w:rsid w:val="0060732E"/>
    <w:rsid w:val="006076A9"/>
    <w:rsid w:val="006453C2"/>
    <w:rsid w:val="006521B7"/>
    <w:rsid w:val="006544EA"/>
    <w:rsid w:val="0066569F"/>
    <w:rsid w:val="00670BAD"/>
    <w:rsid w:val="0069004B"/>
    <w:rsid w:val="006A08E7"/>
    <w:rsid w:val="006B08EB"/>
    <w:rsid w:val="006B481F"/>
    <w:rsid w:val="006C0F27"/>
    <w:rsid w:val="006E2337"/>
    <w:rsid w:val="006F638E"/>
    <w:rsid w:val="00703E42"/>
    <w:rsid w:val="00712B03"/>
    <w:rsid w:val="007368AD"/>
    <w:rsid w:val="00741E71"/>
    <w:rsid w:val="00751D2A"/>
    <w:rsid w:val="00755095"/>
    <w:rsid w:val="00796A07"/>
    <w:rsid w:val="007A257E"/>
    <w:rsid w:val="007C1ACA"/>
    <w:rsid w:val="007E1FBE"/>
    <w:rsid w:val="007E4679"/>
    <w:rsid w:val="007F10E3"/>
    <w:rsid w:val="007F2C0E"/>
    <w:rsid w:val="00804AEB"/>
    <w:rsid w:val="00810255"/>
    <w:rsid w:val="00833F9C"/>
    <w:rsid w:val="00836D17"/>
    <w:rsid w:val="00840A55"/>
    <w:rsid w:val="00841E25"/>
    <w:rsid w:val="00845C23"/>
    <w:rsid w:val="008464CD"/>
    <w:rsid w:val="008515EE"/>
    <w:rsid w:val="00861C4E"/>
    <w:rsid w:val="00866764"/>
    <w:rsid w:val="00866D21"/>
    <w:rsid w:val="00872C51"/>
    <w:rsid w:val="00876FFF"/>
    <w:rsid w:val="00883DDA"/>
    <w:rsid w:val="00891FF9"/>
    <w:rsid w:val="00893367"/>
    <w:rsid w:val="008B0AC7"/>
    <w:rsid w:val="008C3B67"/>
    <w:rsid w:val="008C3F48"/>
    <w:rsid w:val="008D49B4"/>
    <w:rsid w:val="008D7498"/>
    <w:rsid w:val="008E2F2B"/>
    <w:rsid w:val="0093106C"/>
    <w:rsid w:val="00932E96"/>
    <w:rsid w:val="009418E6"/>
    <w:rsid w:val="0094235F"/>
    <w:rsid w:val="0094279F"/>
    <w:rsid w:val="00946B98"/>
    <w:rsid w:val="00946CB5"/>
    <w:rsid w:val="0095052A"/>
    <w:rsid w:val="009658F0"/>
    <w:rsid w:val="00971C63"/>
    <w:rsid w:val="009A0100"/>
    <w:rsid w:val="009A4AE9"/>
    <w:rsid w:val="009A687F"/>
    <w:rsid w:val="009C71D5"/>
    <w:rsid w:val="009E4969"/>
    <w:rsid w:val="009F095C"/>
    <w:rsid w:val="009F7CE4"/>
    <w:rsid w:val="00A05505"/>
    <w:rsid w:val="00A06EC0"/>
    <w:rsid w:val="00A11162"/>
    <w:rsid w:val="00A32919"/>
    <w:rsid w:val="00A41D91"/>
    <w:rsid w:val="00A43227"/>
    <w:rsid w:val="00A46CCD"/>
    <w:rsid w:val="00A534AF"/>
    <w:rsid w:val="00A65133"/>
    <w:rsid w:val="00A652C5"/>
    <w:rsid w:val="00A71877"/>
    <w:rsid w:val="00A85C5A"/>
    <w:rsid w:val="00A96A08"/>
    <w:rsid w:val="00AA0161"/>
    <w:rsid w:val="00AB1D08"/>
    <w:rsid w:val="00AB4345"/>
    <w:rsid w:val="00AB5BD7"/>
    <w:rsid w:val="00AB6721"/>
    <w:rsid w:val="00AC0135"/>
    <w:rsid w:val="00AC070D"/>
    <w:rsid w:val="00AD0616"/>
    <w:rsid w:val="00AD12FE"/>
    <w:rsid w:val="00AD34FF"/>
    <w:rsid w:val="00AD4DE6"/>
    <w:rsid w:val="00AF3E95"/>
    <w:rsid w:val="00B04C92"/>
    <w:rsid w:val="00B15FE9"/>
    <w:rsid w:val="00B51883"/>
    <w:rsid w:val="00B61FD4"/>
    <w:rsid w:val="00B674DB"/>
    <w:rsid w:val="00B74E93"/>
    <w:rsid w:val="00B75F32"/>
    <w:rsid w:val="00B82E8D"/>
    <w:rsid w:val="00B90521"/>
    <w:rsid w:val="00B9264D"/>
    <w:rsid w:val="00BA0607"/>
    <w:rsid w:val="00BB3FA1"/>
    <w:rsid w:val="00BB4F77"/>
    <w:rsid w:val="00BB62BB"/>
    <w:rsid w:val="00BB6CDB"/>
    <w:rsid w:val="00BC05C5"/>
    <w:rsid w:val="00BD04BE"/>
    <w:rsid w:val="00BD1766"/>
    <w:rsid w:val="00BE6F28"/>
    <w:rsid w:val="00BF29FA"/>
    <w:rsid w:val="00C04D2B"/>
    <w:rsid w:val="00C156D5"/>
    <w:rsid w:val="00C16061"/>
    <w:rsid w:val="00C24630"/>
    <w:rsid w:val="00C255F4"/>
    <w:rsid w:val="00C57E44"/>
    <w:rsid w:val="00C737C5"/>
    <w:rsid w:val="00C843F8"/>
    <w:rsid w:val="00CA3540"/>
    <w:rsid w:val="00CA6DED"/>
    <w:rsid w:val="00CB4840"/>
    <w:rsid w:val="00CC49D4"/>
    <w:rsid w:val="00CE6F5A"/>
    <w:rsid w:val="00CF42CF"/>
    <w:rsid w:val="00D0040B"/>
    <w:rsid w:val="00D0340A"/>
    <w:rsid w:val="00D102E9"/>
    <w:rsid w:val="00D1688F"/>
    <w:rsid w:val="00D2117F"/>
    <w:rsid w:val="00D25317"/>
    <w:rsid w:val="00D319A7"/>
    <w:rsid w:val="00D31DAC"/>
    <w:rsid w:val="00D56FB8"/>
    <w:rsid w:val="00D66E8B"/>
    <w:rsid w:val="00D85715"/>
    <w:rsid w:val="00D8706C"/>
    <w:rsid w:val="00DA4C62"/>
    <w:rsid w:val="00DB6A17"/>
    <w:rsid w:val="00DC1413"/>
    <w:rsid w:val="00DD235C"/>
    <w:rsid w:val="00DD5520"/>
    <w:rsid w:val="00DE1048"/>
    <w:rsid w:val="00DE6585"/>
    <w:rsid w:val="00E00F76"/>
    <w:rsid w:val="00E05B62"/>
    <w:rsid w:val="00E16441"/>
    <w:rsid w:val="00E21E75"/>
    <w:rsid w:val="00E519DC"/>
    <w:rsid w:val="00E555D0"/>
    <w:rsid w:val="00E6592C"/>
    <w:rsid w:val="00E807DA"/>
    <w:rsid w:val="00E84E3A"/>
    <w:rsid w:val="00E9180F"/>
    <w:rsid w:val="00EA05AF"/>
    <w:rsid w:val="00EB1500"/>
    <w:rsid w:val="00EC339C"/>
    <w:rsid w:val="00EC43B9"/>
    <w:rsid w:val="00ED3E8A"/>
    <w:rsid w:val="00ED4D69"/>
    <w:rsid w:val="00EE0B9C"/>
    <w:rsid w:val="00EE362F"/>
    <w:rsid w:val="00EE6F5C"/>
    <w:rsid w:val="00EF001F"/>
    <w:rsid w:val="00EF0E19"/>
    <w:rsid w:val="00F114AE"/>
    <w:rsid w:val="00F15317"/>
    <w:rsid w:val="00F43CA0"/>
    <w:rsid w:val="00F44B46"/>
    <w:rsid w:val="00F55030"/>
    <w:rsid w:val="00F559C0"/>
    <w:rsid w:val="00F6315C"/>
    <w:rsid w:val="00F65B4D"/>
    <w:rsid w:val="00F7696F"/>
    <w:rsid w:val="00F80294"/>
    <w:rsid w:val="00F8209B"/>
    <w:rsid w:val="00FA0576"/>
    <w:rsid w:val="00FB50B4"/>
    <w:rsid w:val="00FD4B97"/>
    <w:rsid w:val="00FE55E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City"/>
  <w:smartTagType w:namespaceuri="urn:schemas-microsoft-com:office:smarttags" w:name="address"/>
  <w:smartTagType w:namespaceuri="urn:schemas-microsoft-com:office:smarttags" w:name="place"/>
  <w:smartTagType w:namespaceuri="urn:schemas-microsoft-com:office:smarttags" w:name="State"/>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locked="0" w:semiHidden="0" w:uiPriority="9" w:unhideWhenUsed="0"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locked="0"/>
    <w:lsdException w:name="footer" w:locked="0" w:qFormat="1"/>
    <w:lsdException w:name="caption" w:locked="0" w:uiPriority="35" w:qFormat="1"/>
    <w:lsdException w:name="footnote reference" w:locked="0"/>
    <w:lsdException w:name="page number" w:locked="0" w:uiPriority="0"/>
    <w:lsdException w:name="Title" w:uiPriority="10"/>
    <w:lsdException w:name="Default Paragraph Font" w:locked="0" w:uiPriority="1"/>
    <w:lsdException w:name="Subtitle" w:uiPriority="11" w:qFormat="1"/>
    <w:lsdException w:name="Hyperlink" w:locked="0"/>
    <w:lsdException w:name="Strong" w:uiPriority="22" w:qFormat="1"/>
    <w:lsdException w:name="Emphasis" w:uiPriority="20" w:qFormat="1"/>
    <w:lsdException w:name="HTML Top of Form" w:locked="0"/>
    <w:lsdException w:name="HTML Bottom of Form" w:locked="0"/>
    <w:lsdException w:name="Normal Table" w:locked="0"/>
    <w:lsdException w:name="No List" w:locked="0"/>
    <w:lsdException w:name="Table Grid" w:locked="0" w:semiHidden="0" w:uiPriority="0"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D0340A"/>
    <w:pPr>
      <w:spacing w:after="240" w:line="288" w:lineRule="auto"/>
      <w:jc w:val="both"/>
    </w:pPr>
    <w:rPr>
      <w:lang w:eastAsia="en-US"/>
    </w:rPr>
  </w:style>
  <w:style w:type="paragraph" w:styleId="Heading1">
    <w:name w:val="heading 1"/>
    <w:next w:val="AERbodytext"/>
    <w:link w:val="Heading1Char"/>
    <w:uiPriority w:val="9"/>
    <w:qFormat/>
    <w:rsid w:val="004E73F7"/>
    <w:pPr>
      <w:keepNext/>
      <w:keepLines/>
      <w:pageBreakBefore/>
      <w:numPr>
        <w:ilvl w:val="1"/>
        <w:numId w:val="43"/>
      </w:numPr>
      <w:spacing w:before="120" w:after="120" w:line="288" w:lineRule="auto"/>
      <w:jc w:val="both"/>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2"/>
      </w:numPr>
    </w:pPr>
  </w:style>
  <w:style w:type="character" w:customStyle="1" w:styleId="Heading1Char">
    <w:name w:val="Heading 1 Char"/>
    <w:basedOn w:val="DefaultParagraphFont"/>
    <w:link w:val="Heading1"/>
    <w:uiPriority w:val="9"/>
    <w:rsid w:val="004E73F7"/>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rsid w:val="005A0431"/>
    <w:rPr>
      <w:rFonts w:eastAsia="Times New Roman"/>
      <w:b/>
      <w:iCs/>
      <w:color w:val="FF0000"/>
      <w:sz w:val="22"/>
      <w:szCs w:val="24"/>
      <w:lang w:eastAsia="en-US"/>
    </w:rPr>
  </w:style>
  <w:style w:type="character" w:customStyle="1" w:styleId="Heading5Char">
    <w:name w:val="Heading 5 Char"/>
    <w:basedOn w:val="DefaultParagraphFont"/>
    <w:link w:val="Heading5"/>
    <w:uiPriority w:val="9"/>
    <w:rsid w:val="005A0431"/>
    <w:rPr>
      <w:rFonts w:eastAsia="Times New Roman"/>
      <w:b/>
      <w:i/>
      <w:iCs/>
      <w:color w:val="FF0000"/>
      <w:szCs w:val="24"/>
      <w:lang w:eastAsia="en-US"/>
    </w:rPr>
  </w:style>
  <w:style w:type="character" w:customStyle="1" w:styleId="Heading6Char">
    <w:name w:val="Heading 6 Char"/>
    <w:basedOn w:val="DefaultParagraphFont"/>
    <w:link w:val="Heading6"/>
    <w:uiPriority w:val="9"/>
    <w:rsid w:val="005A0431"/>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0E1A25"/>
    <w:pPr>
      <w:numPr>
        <w:numId w:val="42"/>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3800E4"/>
    <w:rPr>
      <w:vertAlign w:val="superscript"/>
    </w:rPr>
  </w:style>
  <w:style w:type="paragraph" w:styleId="Header">
    <w:name w:val="header"/>
    <w:basedOn w:val="Normal"/>
    <w:link w:val="HeaderChar"/>
    <w:uiPriority w:val="99"/>
    <w:semiHidden/>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4E73F7"/>
    <w:pPr>
      <w:numPr>
        <w:ilvl w:val="0"/>
      </w:numPr>
    </w:pPr>
  </w:style>
  <w:style w:type="table" w:styleId="TableGrid">
    <w:name w:val="Table Grid"/>
    <w:basedOn w:val="TableNormal"/>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locked/>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4E73F7"/>
    <w:rPr>
      <w:b/>
      <w:bC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locked/>
    <w:rsid w:val="00AF3E95"/>
    <w:pPr>
      <w:pageBreakBefore w:val="0"/>
      <w:numPr>
        <w:ilvl w:val="0"/>
        <w:numId w:val="0"/>
      </w:numPr>
      <w:spacing w:before="480" w:after="0" w:line="276" w:lineRule="auto"/>
      <w:jc w:val="left"/>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lock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locked/>
    <w:rsid w:val="00BE6F28"/>
    <w:rPr>
      <w:sz w:val="16"/>
      <w:szCs w:val="16"/>
    </w:rPr>
  </w:style>
  <w:style w:type="paragraph" w:styleId="CommentText">
    <w:name w:val="annotation text"/>
    <w:basedOn w:val="Normal"/>
    <w:link w:val="CommentTextChar"/>
    <w:uiPriority w:val="99"/>
    <w:semiHidden/>
    <w:unhideWhenUsed/>
    <w:lock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lock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BD04BE"/>
    <w:pPr>
      <w:keepNext/>
    </w:pPr>
    <w:rPr>
      <w:b/>
      <w:color w:val="365F91" w:themeColor="accent1" w:themeShade="BF"/>
      <w:sz w:val="22"/>
    </w:rPr>
  </w:style>
  <w:style w:type="paragraph" w:customStyle="1" w:styleId="HeadingBoldItalic">
    <w:name w:val="Heading Bold Italic"/>
    <w:basedOn w:val="AERbodytext"/>
    <w:next w:val="AERbodytext"/>
    <w:qFormat/>
    <w:rsid w:val="00A46CCD"/>
    <w:rPr>
      <w:b/>
      <w:i/>
    </w:rPr>
  </w:style>
  <w:style w:type="character" w:customStyle="1" w:styleId="AERbodytextChar">
    <w:name w:val="AER body text Char"/>
    <w:basedOn w:val="DefaultParagraphFont"/>
    <w:link w:val="AERbodytext"/>
    <w:rsid w:val="00BD04BE"/>
    <w:rPr>
      <w:rFonts w:eastAsia="Times New Roman"/>
      <w:szCs w:val="24"/>
      <w:lang w:eastAsia="en-US"/>
    </w:rPr>
  </w:style>
  <w:style w:type="character" w:customStyle="1" w:styleId="HeadingBoldBlueChar">
    <w:name w:val="Heading Bold Blue Char"/>
    <w:basedOn w:val="AERbodytextChar"/>
    <w:link w:val="HeadingBoldBlue"/>
    <w:rsid w:val="00BD04BE"/>
  </w:style>
  <w:style w:type="paragraph" w:customStyle="1" w:styleId="HeadingItalic">
    <w:name w:val="Heading Italic"/>
    <w:basedOn w:val="AERbodytext"/>
    <w:next w:val="AERbodytext"/>
    <w:qFormat/>
    <w:rsid w:val="00A46CCD"/>
    <w:rPr>
      <w:i/>
    </w:rPr>
  </w:style>
  <w:style w:type="character" w:styleId="PageNumber">
    <w:name w:val="page number"/>
    <w:basedOn w:val="DefaultParagraphFont"/>
    <w:rsid w:val="00CC49D4"/>
    <w:rPr>
      <w:rFonts w:ascii="Gautami" w:hAnsi="Gautami"/>
      <w:sz w:val="18"/>
    </w:rPr>
  </w:style>
  <w:style w:type="paragraph" w:customStyle="1" w:styleId="AERtabletext">
    <w:name w:val="AER table text"/>
    <w:basedOn w:val="Normal"/>
    <w:rsid w:val="00872C51"/>
    <w:pPr>
      <w:widowControl w:val="0"/>
      <w:spacing w:before="120" w:after="120" w:line="276" w:lineRule="auto"/>
      <w:jc w:val="left"/>
    </w:pPr>
    <w:rPr>
      <w:rFonts w:ascii="Calibri" w:hAnsi="Calibri"/>
      <w:sz w:val="16"/>
      <w:szCs w:val="22"/>
    </w:rPr>
  </w:style>
  <w:style w:type="paragraph" w:customStyle="1" w:styleId="AERtabletextheading">
    <w:name w:val="AER table text heading"/>
    <w:rsid w:val="00872C51"/>
    <w:pPr>
      <w:spacing w:before="120" w:after="120" w:line="276" w:lineRule="auto"/>
    </w:pPr>
    <w:rPr>
      <w:rFonts w:eastAsia="Times New Roman"/>
      <w:b/>
      <w:sz w:val="22"/>
      <w:szCs w:val="24"/>
      <w:lang w:eastAsia="en-US"/>
    </w:rPr>
  </w:style>
</w:styles>
</file>

<file path=word/webSettings.xml><?xml version="1.0" encoding="utf-8"?>
<w:webSettings xmlns:r="http://schemas.openxmlformats.org/officeDocument/2006/relationships" xmlns:w="http://schemas.openxmlformats.org/wordprocessingml/2006/main">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2.xml"/><Relationship Id="rId39" Type="http://schemas.openxmlformats.org/officeDocument/2006/relationships/chart" Target="charts/chart3.xml"/><Relationship Id="rId21" Type="http://schemas.openxmlformats.org/officeDocument/2006/relationships/image" Target="media/image3.png"/><Relationship Id="rId34" Type="http://schemas.openxmlformats.org/officeDocument/2006/relationships/footer" Target="footer15.xml"/><Relationship Id="rId42" Type="http://schemas.openxmlformats.org/officeDocument/2006/relationships/chart" Target="charts/chart6.xml"/><Relationship Id="rId47" Type="http://schemas.openxmlformats.org/officeDocument/2006/relationships/image" Target="media/image14.emf"/><Relationship Id="rId50" Type="http://schemas.openxmlformats.org/officeDocument/2006/relationships/footer" Target="footer19.xml"/><Relationship Id="rId55" Type="http://schemas.openxmlformats.org/officeDocument/2006/relationships/image" Target="media/image20.emf"/><Relationship Id="rId63"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1.emf"/><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http://www.aer.gov.au" TargetMode="External"/><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2.emf"/><Relationship Id="rId49" Type="http://schemas.openxmlformats.org/officeDocument/2006/relationships/image" Target="media/image16.emf"/><Relationship Id="rId57" Type="http://schemas.openxmlformats.org/officeDocument/2006/relationships/image" Target="media/image22.emf"/><Relationship Id="rId61"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image" Target="media/image10.emf"/><Relationship Id="rId44" Type="http://schemas.openxmlformats.org/officeDocument/2006/relationships/footer" Target="footer18.xml"/><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yperlink" Target="mailto:AERInquiry@aer.gov.au" TargetMode="External"/><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3.xml"/><Relationship Id="rId30" Type="http://schemas.openxmlformats.org/officeDocument/2006/relationships/image" Target="media/image9.emf"/><Relationship Id="rId35" Type="http://schemas.openxmlformats.org/officeDocument/2006/relationships/footer" Target="footer16.xml"/><Relationship Id="rId43" Type="http://schemas.openxmlformats.org/officeDocument/2006/relationships/footer" Target="footer17.xml"/><Relationship Id="rId48" Type="http://schemas.openxmlformats.org/officeDocument/2006/relationships/image" Target="media/image15.emf"/><Relationship Id="rId56" Type="http://schemas.openxmlformats.org/officeDocument/2006/relationships/image" Target="media/image21.emf"/><Relationship Id="rId64"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6.emf"/><Relationship Id="rId33" Type="http://schemas.openxmlformats.org/officeDocument/2006/relationships/footer" Target="footer14.xml"/><Relationship Id="rId38" Type="http://schemas.openxmlformats.org/officeDocument/2006/relationships/chart" Target="charts/chart2.xml"/><Relationship Id="rId46" Type="http://schemas.openxmlformats.org/officeDocument/2006/relationships/image" Target="media/image13.emf"/><Relationship Id="rId59" Type="http://schemas.openxmlformats.org/officeDocument/2006/relationships/image" Target="media/image24.emf"/><Relationship Id="rId67" Type="http://schemas.openxmlformats.org/officeDocument/2006/relationships/theme" Target="theme/theme1.xml"/><Relationship Id="rId20" Type="http://schemas.openxmlformats.org/officeDocument/2006/relationships/footer" Target="footer10.xml"/><Relationship Id="rId41" Type="http://schemas.openxmlformats.org/officeDocument/2006/relationships/chart" Target="charts/chart5.xml"/><Relationship Id="rId54" Type="http://schemas.openxmlformats.org/officeDocument/2006/relationships/image" Target="media/image19.emf"/><Relationship Id="rId62" Type="http://schemas.openxmlformats.org/officeDocument/2006/relationships/image" Target="media/image27.emf"/></Relationships>
</file>

<file path=word/_rels/footnotes.xml.rels><?xml version="1.0" encoding="UTF-8" standalone="yes"?>
<Relationships xmlns="http://schemas.openxmlformats.org/package/2006/relationships"><Relationship Id="rId3" Type="http://schemas.openxmlformats.org/officeDocument/2006/relationships/hyperlink" Target="http://www.pc.gov.au/projects/inquiry/electricity/draft" TargetMode="External"/><Relationship Id="rId2" Type="http://schemas.openxmlformats.org/officeDocument/2006/relationships/hyperlink" Target="http://www.aemo.com.au/Electricity/Policies-and-Procedures/Planning/Victorian-Electricity-Planning-Approach" TargetMode="External"/><Relationship Id="rId1" Type="http://schemas.openxmlformats.org/officeDocument/2006/relationships/hyperlink" Target="http://www.aemo.com.au/Electricity/Policies-and-Procedures/Planning/Victorian-Electricity-Planning-Approach"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brvpwxfs01\home$\smoff\sp%20ausnet%20transmission%202014%20-%20(AER2013-00176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brvpwxfs01\home$\smoff\sp%20ausnet%20transmission%202014%20-%20(AER2013-00176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brvpwxfs01\home$\smoff\sp%20ausnet%20transmission%202014%20-%20(AER2013-001767).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brvpwxfs01\home$\smoff\sp%20ausnet%20transmission%202014%20-%20(AER2013-001767).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brvpwxfs01\home$\smoff\sp%20ausnet%20transmission%202014%20-%20(AER2013-00176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brvpwxfs01\home$\smoff\sp%20ausnet%20transmission%202014%20-%20(AER2013-00176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21241885389326645"/>
          <c:y val="5.1400554097404488E-2"/>
          <c:w val="0.73240069991251089"/>
          <c:h val="0.73444808982210552"/>
        </c:manualLayout>
      </c:layout>
      <c:scatterChart>
        <c:scatterStyle val="lineMarker"/>
        <c:ser>
          <c:idx val="0"/>
          <c:order val="0"/>
          <c:tx>
            <c:strRef>
              <c:f>Sheet2!$B$93</c:f>
              <c:strCache>
                <c:ptCount val="1"/>
                <c:pt idx="0">
                  <c:v>Opex/line length</c:v>
                </c:pt>
              </c:strCache>
            </c:strRef>
          </c:tx>
          <c:spPr>
            <a:ln w="28575">
              <a:noFill/>
            </a:ln>
          </c:spPr>
          <c:dPt>
            <c:idx val="2"/>
            <c:marker>
              <c:spPr>
                <a:solidFill>
                  <a:srgbClr val="FF0000"/>
                </a:solidFill>
              </c:spPr>
            </c:marker>
          </c:dPt>
          <c:trendline>
            <c:trendlineType val="linear"/>
          </c:trendline>
          <c:xVal>
            <c:numRef>
              <c:f>Sheet2!$C$92:$G$92</c:f>
              <c:numCache>
                <c:formatCode>0.00</c:formatCode>
                <c:ptCount val="5"/>
                <c:pt idx="0">
                  <c:v>0.61797028570175316</c:v>
                </c:pt>
                <c:pt idx="1">
                  <c:v>0.60099212397435908</c:v>
                </c:pt>
                <c:pt idx="2">
                  <c:v>1.5676128222188281</c:v>
                </c:pt>
                <c:pt idx="3">
                  <c:v>0.39407009273143512</c:v>
                </c:pt>
                <c:pt idx="4">
                  <c:v>0.97585473272465861</c:v>
                </c:pt>
              </c:numCache>
            </c:numRef>
          </c:xVal>
          <c:yVal>
            <c:numRef>
              <c:f>Sheet2!$C$93:$G$93</c:f>
              <c:numCache>
                <c:formatCode>0.00</c:formatCode>
                <c:ptCount val="5"/>
                <c:pt idx="0">
                  <c:v>10.54260330332122</c:v>
                </c:pt>
                <c:pt idx="1">
                  <c:v>11.219596173237274</c:v>
                </c:pt>
                <c:pt idx="2">
                  <c:v>11.858232870441125</c:v>
                </c:pt>
                <c:pt idx="3">
                  <c:v>13.045248450078653</c:v>
                </c:pt>
                <c:pt idx="4">
                  <c:v>9.806365726733631</c:v>
                </c:pt>
              </c:numCache>
            </c:numRef>
          </c:yVal>
        </c:ser>
        <c:axId val="240668672"/>
        <c:axId val="262129152"/>
      </c:scatterChart>
      <c:valAx>
        <c:axId val="240668672"/>
        <c:scaling>
          <c:orientation val="minMax"/>
        </c:scaling>
        <c:axPos val="b"/>
        <c:title>
          <c:tx>
            <c:rich>
              <a:bodyPr/>
              <a:lstStyle/>
              <a:p>
                <a:pPr>
                  <a:defRPr/>
                </a:pPr>
                <a:r>
                  <a:rPr lang="en-AU"/>
                  <a:t>Load</a:t>
                </a:r>
                <a:r>
                  <a:rPr lang="en-AU" baseline="0"/>
                  <a:t> density (MW/km)</a:t>
                </a:r>
                <a:endParaRPr lang="en-AU"/>
              </a:p>
            </c:rich>
          </c:tx>
        </c:title>
        <c:numFmt formatCode="0.00" sourceLinked="1"/>
        <c:tickLblPos val="nextTo"/>
        <c:crossAx val="262129152"/>
        <c:crosses val="autoZero"/>
        <c:crossBetween val="midCat"/>
      </c:valAx>
      <c:valAx>
        <c:axId val="262129152"/>
        <c:scaling>
          <c:orientation val="minMax"/>
        </c:scaling>
        <c:axPos val="l"/>
        <c:majorGridlines/>
        <c:title>
          <c:tx>
            <c:rich>
              <a:bodyPr rot="0" vert="horz"/>
              <a:lstStyle/>
              <a:p>
                <a:pPr>
                  <a:defRPr/>
                </a:pPr>
                <a:r>
                  <a:rPr lang="en-AU"/>
                  <a:t>$million/</a:t>
                </a:r>
              </a:p>
              <a:p>
                <a:pPr>
                  <a:defRPr/>
                </a:pPr>
                <a:r>
                  <a:rPr lang="en-AU"/>
                  <a:t>1000km</a:t>
                </a:r>
              </a:p>
            </c:rich>
          </c:tx>
        </c:title>
        <c:numFmt formatCode="0.00" sourceLinked="1"/>
        <c:tickLblPos val="nextTo"/>
        <c:crossAx val="240668672"/>
        <c:crosses val="autoZero"/>
        <c:crossBetween val="midCat"/>
      </c:valAx>
    </c:plotArea>
    <c:plotVisOnly val="1"/>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21289107611548574"/>
          <c:y val="5.1400554097404488E-2"/>
          <c:w val="0.73192847769030112"/>
          <c:h val="0.73444808982210552"/>
        </c:manualLayout>
      </c:layout>
      <c:scatterChart>
        <c:scatterStyle val="lineMarker"/>
        <c:ser>
          <c:idx val="0"/>
          <c:order val="0"/>
          <c:tx>
            <c:strRef>
              <c:f>Sheet2!$B$101</c:f>
              <c:strCache>
                <c:ptCount val="1"/>
                <c:pt idx="0">
                  <c:v>Opex/peak demand</c:v>
                </c:pt>
              </c:strCache>
            </c:strRef>
          </c:tx>
          <c:spPr>
            <a:ln w="28575">
              <a:noFill/>
            </a:ln>
          </c:spPr>
          <c:dPt>
            <c:idx val="2"/>
            <c:marker>
              <c:spPr>
                <a:solidFill>
                  <a:srgbClr val="FF0000"/>
                </a:solidFill>
              </c:spPr>
            </c:marker>
          </c:dPt>
          <c:trendline>
            <c:trendlineType val="linear"/>
          </c:trendline>
          <c:xVal>
            <c:numRef>
              <c:f>Sheet2!$C$100:$G$100</c:f>
              <c:numCache>
                <c:formatCode>0.00</c:formatCode>
                <c:ptCount val="5"/>
                <c:pt idx="0">
                  <c:v>0.61797028570175316</c:v>
                </c:pt>
                <c:pt idx="1">
                  <c:v>0.60099212397435908</c:v>
                </c:pt>
                <c:pt idx="2">
                  <c:v>1.5676128222188281</c:v>
                </c:pt>
                <c:pt idx="3">
                  <c:v>0.39407009273143512</c:v>
                </c:pt>
                <c:pt idx="4">
                  <c:v>0.97585473272465884</c:v>
                </c:pt>
              </c:numCache>
            </c:numRef>
          </c:xVal>
          <c:yVal>
            <c:numRef>
              <c:f>Sheet2!$C$101:$G$101</c:f>
              <c:numCache>
                <c:formatCode>0.00</c:formatCode>
                <c:ptCount val="5"/>
                <c:pt idx="0">
                  <c:v>17.060015438054808</c:v>
                </c:pt>
                <c:pt idx="1">
                  <c:v>18.679113949965089</c:v>
                </c:pt>
                <c:pt idx="2">
                  <c:v>7.5645163795333783</c:v>
                </c:pt>
                <c:pt idx="3">
                  <c:v>33.125000000000163</c:v>
                </c:pt>
                <c:pt idx="4">
                  <c:v>10.057592532830357</c:v>
                </c:pt>
              </c:numCache>
            </c:numRef>
          </c:yVal>
        </c:ser>
        <c:axId val="262181248"/>
        <c:axId val="262183552"/>
      </c:scatterChart>
      <c:valAx>
        <c:axId val="262181248"/>
        <c:scaling>
          <c:orientation val="minMax"/>
        </c:scaling>
        <c:axPos val="b"/>
        <c:title>
          <c:tx>
            <c:rich>
              <a:bodyPr/>
              <a:lstStyle/>
              <a:p>
                <a:pPr>
                  <a:defRPr/>
                </a:pPr>
                <a:r>
                  <a:rPr lang="en-AU"/>
                  <a:t>Load density (MW/km)</a:t>
                </a:r>
              </a:p>
            </c:rich>
          </c:tx>
        </c:title>
        <c:numFmt formatCode="0.00" sourceLinked="1"/>
        <c:tickLblPos val="nextTo"/>
        <c:crossAx val="262183552"/>
        <c:crosses val="autoZero"/>
        <c:crossBetween val="midCat"/>
      </c:valAx>
      <c:valAx>
        <c:axId val="262183552"/>
        <c:scaling>
          <c:orientation val="minMax"/>
        </c:scaling>
        <c:axPos val="l"/>
        <c:majorGridlines/>
        <c:title>
          <c:tx>
            <c:rich>
              <a:bodyPr rot="0" vert="horz"/>
              <a:lstStyle/>
              <a:p>
                <a:pPr>
                  <a:defRPr/>
                </a:pPr>
                <a:r>
                  <a:rPr lang="en-US"/>
                  <a:t>$million/</a:t>
                </a:r>
              </a:p>
              <a:p>
                <a:pPr>
                  <a:defRPr/>
                </a:pPr>
                <a:r>
                  <a:rPr lang="en-US"/>
                  <a:t>GW</a:t>
                </a:r>
              </a:p>
            </c:rich>
          </c:tx>
        </c:title>
        <c:numFmt formatCode="0.00" sourceLinked="1"/>
        <c:tickLblPos val="nextTo"/>
        <c:crossAx val="262181248"/>
        <c:crosses val="autoZero"/>
        <c:crossBetween val="midCat"/>
      </c:valAx>
    </c:plotArea>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21381239740325114"/>
          <c:y val="5.5940676745631933E-2"/>
          <c:w val="0.7418871337903401"/>
          <c:h val="0.75633935751656101"/>
        </c:manualLayout>
      </c:layout>
      <c:scatterChart>
        <c:scatterStyle val="lineMarker"/>
        <c:ser>
          <c:idx val="0"/>
          <c:order val="0"/>
          <c:tx>
            <c:strRef>
              <c:f>Sheet2!$B$97</c:f>
              <c:strCache>
                <c:ptCount val="1"/>
                <c:pt idx="0">
                  <c:v>Opex/electricity distributed</c:v>
                </c:pt>
              </c:strCache>
            </c:strRef>
          </c:tx>
          <c:spPr>
            <a:ln w="28575">
              <a:noFill/>
            </a:ln>
          </c:spPr>
          <c:dPt>
            <c:idx val="2"/>
            <c:marker>
              <c:spPr>
                <a:solidFill>
                  <a:srgbClr val="FF0000"/>
                </a:solidFill>
              </c:spPr>
            </c:marker>
          </c:dPt>
          <c:trendline>
            <c:trendlineType val="linear"/>
          </c:trendline>
          <c:xVal>
            <c:numRef>
              <c:f>Sheet2!$C$96:$G$96</c:f>
              <c:numCache>
                <c:formatCode>0.00</c:formatCode>
                <c:ptCount val="5"/>
                <c:pt idx="0">
                  <c:v>0.61797028570175316</c:v>
                </c:pt>
                <c:pt idx="1">
                  <c:v>0.60099212397435908</c:v>
                </c:pt>
                <c:pt idx="2">
                  <c:v>1.5676128222188281</c:v>
                </c:pt>
                <c:pt idx="3">
                  <c:v>0.39407009273143512</c:v>
                </c:pt>
                <c:pt idx="4">
                  <c:v>0.97585473272465884</c:v>
                </c:pt>
              </c:numCache>
            </c:numRef>
          </c:xVal>
          <c:yVal>
            <c:numRef>
              <c:f>Sheet2!$C$97:$G$97</c:f>
              <c:numCache>
                <c:formatCode>0.00</c:formatCode>
                <c:ptCount val="5"/>
                <c:pt idx="0">
                  <c:v>4.5499227997942091</c:v>
                </c:pt>
                <c:pt idx="1">
                  <c:v>3.1531438129401952</c:v>
                </c:pt>
                <c:pt idx="2">
                  <c:v>1.4861344859241001</c:v>
                </c:pt>
                <c:pt idx="3">
                  <c:v>4.2726391077706962</c:v>
                </c:pt>
                <c:pt idx="4">
                  <c:v>1.8878606575710017</c:v>
                </c:pt>
              </c:numCache>
            </c:numRef>
          </c:yVal>
        </c:ser>
        <c:axId val="158429952"/>
        <c:axId val="158431872"/>
      </c:scatterChart>
      <c:valAx>
        <c:axId val="158429952"/>
        <c:scaling>
          <c:orientation val="minMax"/>
        </c:scaling>
        <c:axPos val="b"/>
        <c:title>
          <c:tx>
            <c:rich>
              <a:bodyPr/>
              <a:lstStyle/>
              <a:p>
                <a:pPr>
                  <a:defRPr/>
                </a:pPr>
                <a:r>
                  <a:rPr lang="en-AU"/>
                  <a:t>Load density (MW/km)</a:t>
                </a:r>
              </a:p>
            </c:rich>
          </c:tx>
        </c:title>
        <c:numFmt formatCode="0.00" sourceLinked="1"/>
        <c:tickLblPos val="nextTo"/>
        <c:crossAx val="158431872"/>
        <c:crosses val="autoZero"/>
        <c:crossBetween val="midCat"/>
      </c:valAx>
      <c:valAx>
        <c:axId val="158431872"/>
        <c:scaling>
          <c:orientation val="minMax"/>
        </c:scaling>
        <c:axPos val="l"/>
        <c:majorGridlines/>
        <c:title>
          <c:tx>
            <c:rich>
              <a:bodyPr rot="0" vert="horz"/>
              <a:lstStyle/>
              <a:p>
                <a:pPr>
                  <a:defRPr/>
                </a:pPr>
                <a:r>
                  <a:rPr lang="en-AU"/>
                  <a:t>$million/</a:t>
                </a:r>
              </a:p>
              <a:p>
                <a:pPr>
                  <a:defRPr/>
                </a:pPr>
                <a:r>
                  <a:rPr lang="en-AU"/>
                  <a:t>GWh</a:t>
                </a:r>
              </a:p>
            </c:rich>
          </c:tx>
        </c:title>
        <c:numFmt formatCode="0.00" sourceLinked="1"/>
        <c:tickLblPos val="nextTo"/>
        <c:crossAx val="158429952"/>
        <c:crosses val="autoZero"/>
        <c:crossBetween val="midCat"/>
      </c:valAx>
      <c:spPr>
        <a:ln>
          <a:noFill/>
        </a:ln>
      </c:spPr>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21844663167104386"/>
          <c:y val="5.1400554097404488E-2"/>
          <c:w val="0.72637292213473315"/>
          <c:h val="0.77611475648878492"/>
        </c:manualLayout>
      </c:layout>
      <c:scatterChart>
        <c:scatterStyle val="lineMarker"/>
        <c:ser>
          <c:idx val="0"/>
          <c:order val="0"/>
          <c:tx>
            <c:strRef>
              <c:f>Sheet2!$B$77</c:f>
              <c:strCache>
                <c:ptCount val="1"/>
                <c:pt idx="0">
                  <c:v>Capex/line length</c:v>
                </c:pt>
              </c:strCache>
            </c:strRef>
          </c:tx>
          <c:spPr>
            <a:ln w="28575">
              <a:noFill/>
            </a:ln>
          </c:spPr>
          <c:dPt>
            <c:idx val="2"/>
            <c:marker>
              <c:spPr>
                <a:solidFill>
                  <a:srgbClr val="FF0000"/>
                </a:solidFill>
              </c:spPr>
            </c:marker>
          </c:dPt>
          <c:trendline>
            <c:trendlineType val="linear"/>
          </c:trendline>
          <c:xVal>
            <c:numRef>
              <c:f>Sheet2!$C$76:$G$76</c:f>
              <c:numCache>
                <c:formatCode>0.00</c:formatCode>
                <c:ptCount val="5"/>
                <c:pt idx="0">
                  <c:v>0.59326582188905608</c:v>
                </c:pt>
                <c:pt idx="1">
                  <c:v>0.60408130964581963</c:v>
                </c:pt>
                <c:pt idx="2">
                  <c:v>1.5623155271376941</c:v>
                </c:pt>
                <c:pt idx="3">
                  <c:v>0.39974937838204788</c:v>
                </c:pt>
                <c:pt idx="4">
                  <c:v>1.0169461733849392</c:v>
                </c:pt>
              </c:numCache>
            </c:numRef>
          </c:xVal>
          <c:yVal>
            <c:numRef>
              <c:f>Sheet2!$C$77:$G$77</c:f>
              <c:numCache>
                <c:formatCode>0.00</c:formatCode>
                <c:ptCount val="5"/>
                <c:pt idx="0">
                  <c:v>11.702939598115806</c:v>
                </c:pt>
                <c:pt idx="1">
                  <c:v>18.17761491355353</c:v>
                </c:pt>
                <c:pt idx="2">
                  <c:v>15.814639605269981</c:v>
                </c:pt>
                <c:pt idx="3">
                  <c:v>13.992319792726954</c:v>
                </c:pt>
                <c:pt idx="4">
                  <c:v>10.746702166283431</c:v>
                </c:pt>
              </c:numCache>
            </c:numRef>
          </c:yVal>
        </c:ser>
        <c:axId val="158645248"/>
        <c:axId val="158651520"/>
      </c:scatterChart>
      <c:valAx>
        <c:axId val="158645248"/>
        <c:scaling>
          <c:orientation val="minMax"/>
        </c:scaling>
        <c:axPos val="b"/>
        <c:title>
          <c:tx>
            <c:rich>
              <a:bodyPr/>
              <a:lstStyle/>
              <a:p>
                <a:pPr>
                  <a:defRPr/>
                </a:pPr>
                <a:r>
                  <a:rPr lang="en-AU"/>
                  <a:t>Load density (MW/km)</a:t>
                </a:r>
              </a:p>
            </c:rich>
          </c:tx>
        </c:title>
        <c:numFmt formatCode="0.00" sourceLinked="1"/>
        <c:tickLblPos val="nextTo"/>
        <c:crossAx val="158651520"/>
        <c:crosses val="autoZero"/>
        <c:crossBetween val="midCat"/>
      </c:valAx>
      <c:valAx>
        <c:axId val="158651520"/>
        <c:scaling>
          <c:orientation val="minMax"/>
        </c:scaling>
        <c:axPos val="l"/>
        <c:majorGridlines/>
        <c:title>
          <c:tx>
            <c:rich>
              <a:bodyPr rot="0" vert="horz"/>
              <a:lstStyle/>
              <a:p>
                <a:pPr>
                  <a:defRPr/>
                </a:pPr>
                <a:r>
                  <a:rPr lang="en-AU"/>
                  <a:t>$million/</a:t>
                </a:r>
              </a:p>
              <a:p>
                <a:pPr>
                  <a:defRPr/>
                </a:pPr>
                <a:r>
                  <a:rPr lang="en-AU"/>
                  <a:t>1000km</a:t>
                </a:r>
              </a:p>
            </c:rich>
          </c:tx>
        </c:title>
        <c:numFmt formatCode="0.00" sourceLinked="1"/>
        <c:tickLblPos val="nextTo"/>
        <c:crossAx val="158645248"/>
        <c:crosses val="autoZero"/>
        <c:crossBetween val="midCat"/>
      </c:valAx>
    </c:plotArea>
    <c:plotVisOnly val="1"/>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21844663167104386"/>
          <c:y val="5.1400554097404488E-2"/>
          <c:w val="0.74026181102362265"/>
          <c:h val="0.76685549722952717"/>
        </c:manualLayout>
      </c:layout>
      <c:scatterChart>
        <c:scatterStyle val="lineMarker"/>
        <c:ser>
          <c:idx val="0"/>
          <c:order val="0"/>
          <c:tx>
            <c:strRef>
              <c:f>Sheet2!$B$85</c:f>
              <c:strCache>
                <c:ptCount val="1"/>
                <c:pt idx="0">
                  <c:v>Capex/peak demand</c:v>
                </c:pt>
              </c:strCache>
            </c:strRef>
          </c:tx>
          <c:spPr>
            <a:ln w="28575">
              <a:noFill/>
            </a:ln>
          </c:spPr>
          <c:dPt>
            <c:idx val="2"/>
            <c:marker>
              <c:spPr>
                <a:solidFill>
                  <a:srgbClr val="FF0000"/>
                </a:solidFill>
              </c:spPr>
            </c:marker>
          </c:dPt>
          <c:trendline>
            <c:trendlineType val="linear"/>
          </c:trendline>
          <c:xVal>
            <c:numRef>
              <c:f>Sheet2!$C$84:$G$84</c:f>
              <c:numCache>
                <c:formatCode>0.00</c:formatCode>
                <c:ptCount val="5"/>
                <c:pt idx="0">
                  <c:v>0.61797028570175316</c:v>
                </c:pt>
                <c:pt idx="1">
                  <c:v>0.60099212397435908</c:v>
                </c:pt>
                <c:pt idx="2">
                  <c:v>1.5676128222188281</c:v>
                </c:pt>
                <c:pt idx="3">
                  <c:v>0.39407009273143512</c:v>
                </c:pt>
                <c:pt idx="4">
                  <c:v>0.97585473272465884</c:v>
                </c:pt>
              </c:numCache>
            </c:numRef>
          </c:xVal>
          <c:yVal>
            <c:numRef>
              <c:f>Sheet2!$C$85:$G$85</c:f>
              <c:numCache>
                <c:formatCode>0.00</c:formatCode>
                <c:ptCount val="5"/>
                <c:pt idx="0">
                  <c:v>18.937668853724436</c:v>
                </c:pt>
                <c:pt idx="1">
                  <c:v>30.263276419768189</c:v>
                </c:pt>
                <c:pt idx="2">
                  <c:v>10.088358159054444</c:v>
                </c:pt>
                <c:pt idx="3">
                  <c:v>35.529840225563909</c:v>
                </c:pt>
                <c:pt idx="4">
                  <c:v>11.022019214060522</c:v>
                </c:pt>
              </c:numCache>
            </c:numRef>
          </c:yVal>
        </c:ser>
        <c:axId val="163345536"/>
        <c:axId val="163347456"/>
      </c:scatterChart>
      <c:valAx>
        <c:axId val="163345536"/>
        <c:scaling>
          <c:orientation val="minMax"/>
        </c:scaling>
        <c:axPos val="b"/>
        <c:title>
          <c:tx>
            <c:rich>
              <a:bodyPr/>
              <a:lstStyle/>
              <a:p>
                <a:pPr>
                  <a:defRPr/>
                </a:pPr>
                <a:r>
                  <a:rPr lang="en-AU"/>
                  <a:t>Load density (MW/km)</a:t>
                </a:r>
              </a:p>
            </c:rich>
          </c:tx>
        </c:title>
        <c:numFmt formatCode="0.00" sourceLinked="1"/>
        <c:tickLblPos val="nextTo"/>
        <c:crossAx val="163347456"/>
        <c:crosses val="autoZero"/>
        <c:crossBetween val="midCat"/>
      </c:valAx>
      <c:valAx>
        <c:axId val="163347456"/>
        <c:scaling>
          <c:orientation val="minMax"/>
        </c:scaling>
        <c:axPos val="l"/>
        <c:majorGridlines/>
        <c:title>
          <c:tx>
            <c:rich>
              <a:bodyPr rot="0" vert="horz"/>
              <a:lstStyle/>
              <a:p>
                <a:pPr>
                  <a:defRPr/>
                </a:pPr>
                <a:r>
                  <a:rPr lang="en-AU"/>
                  <a:t>$million/</a:t>
                </a:r>
              </a:p>
              <a:p>
                <a:pPr>
                  <a:defRPr/>
                </a:pPr>
                <a:r>
                  <a:rPr lang="en-AU"/>
                  <a:t>GW</a:t>
                </a:r>
              </a:p>
            </c:rich>
          </c:tx>
        </c:title>
        <c:numFmt formatCode="0.00" sourceLinked="1"/>
        <c:tickLblPos val="nextTo"/>
        <c:crossAx val="163345536"/>
        <c:crosses val="autoZero"/>
        <c:crossBetween val="midCat"/>
      </c:valAx>
    </c:plotArea>
    <c:plotVisOnly val="1"/>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20668379145147694"/>
          <c:y val="5.7575289852764513E-2"/>
          <c:w val="0.74992602661492025"/>
          <c:h val="0.73884790620833363"/>
        </c:manualLayout>
      </c:layout>
      <c:scatterChart>
        <c:scatterStyle val="lineMarker"/>
        <c:ser>
          <c:idx val="0"/>
          <c:order val="0"/>
          <c:tx>
            <c:strRef>
              <c:f>Sheet2!$B$81</c:f>
              <c:strCache>
                <c:ptCount val="1"/>
                <c:pt idx="0">
                  <c:v>Capex/electricity distributed</c:v>
                </c:pt>
              </c:strCache>
            </c:strRef>
          </c:tx>
          <c:spPr>
            <a:ln w="28575">
              <a:noFill/>
            </a:ln>
          </c:spPr>
          <c:dPt>
            <c:idx val="2"/>
            <c:marker>
              <c:spPr>
                <a:solidFill>
                  <a:srgbClr val="FF0000"/>
                </a:solidFill>
              </c:spPr>
            </c:marker>
          </c:dPt>
          <c:trendline>
            <c:trendlineType val="linear"/>
          </c:trendline>
          <c:xVal>
            <c:numRef>
              <c:f>Sheet2!$C$80:$G$80</c:f>
              <c:numCache>
                <c:formatCode>0.00</c:formatCode>
                <c:ptCount val="5"/>
                <c:pt idx="0">
                  <c:v>0.61797028570175316</c:v>
                </c:pt>
                <c:pt idx="1">
                  <c:v>0.60099212397435908</c:v>
                </c:pt>
                <c:pt idx="2">
                  <c:v>1.5676128222188281</c:v>
                </c:pt>
                <c:pt idx="3">
                  <c:v>0.39407009273143512</c:v>
                </c:pt>
                <c:pt idx="4">
                  <c:v>0.97585473272465884</c:v>
                </c:pt>
              </c:numCache>
            </c:numRef>
          </c:xVal>
          <c:yVal>
            <c:numRef>
              <c:f>Sheet2!$C$81:$G$81</c:f>
              <c:numCache>
                <c:formatCode>0.00</c:formatCode>
                <c:ptCount val="5"/>
                <c:pt idx="0">
                  <c:v>5.0506948018528064</c:v>
                </c:pt>
                <c:pt idx="1">
                  <c:v>5.1086182705400045</c:v>
                </c:pt>
                <c:pt idx="2">
                  <c:v>1.9819716442268462</c:v>
                </c:pt>
                <c:pt idx="3">
                  <c:v>4.5828282216026182</c:v>
                </c:pt>
                <c:pt idx="4">
                  <c:v>2.0688883918586427</c:v>
                </c:pt>
              </c:numCache>
            </c:numRef>
          </c:yVal>
        </c:ser>
        <c:axId val="163458432"/>
        <c:axId val="163497472"/>
      </c:scatterChart>
      <c:valAx>
        <c:axId val="163458432"/>
        <c:scaling>
          <c:orientation val="minMax"/>
        </c:scaling>
        <c:axPos val="b"/>
        <c:title>
          <c:tx>
            <c:rich>
              <a:bodyPr/>
              <a:lstStyle/>
              <a:p>
                <a:pPr>
                  <a:defRPr/>
                </a:pPr>
                <a:r>
                  <a:rPr lang="en-US"/>
                  <a:t>Load density</a:t>
                </a:r>
                <a:r>
                  <a:rPr lang="en-US" baseline="0"/>
                  <a:t> (MW/km)</a:t>
                </a:r>
                <a:endParaRPr lang="en-US"/>
              </a:p>
            </c:rich>
          </c:tx>
        </c:title>
        <c:numFmt formatCode="0.00" sourceLinked="1"/>
        <c:tickLblPos val="nextTo"/>
        <c:crossAx val="163497472"/>
        <c:crosses val="autoZero"/>
        <c:crossBetween val="midCat"/>
      </c:valAx>
      <c:valAx>
        <c:axId val="163497472"/>
        <c:scaling>
          <c:orientation val="minMax"/>
        </c:scaling>
        <c:axPos val="l"/>
        <c:majorGridlines/>
        <c:title>
          <c:tx>
            <c:rich>
              <a:bodyPr rot="0" vert="horz"/>
              <a:lstStyle/>
              <a:p>
                <a:pPr>
                  <a:defRPr/>
                </a:pPr>
                <a:r>
                  <a:rPr lang="en-AU"/>
                  <a:t>$million/</a:t>
                </a:r>
              </a:p>
              <a:p>
                <a:pPr>
                  <a:defRPr/>
                </a:pPr>
                <a:r>
                  <a:rPr lang="en-AU"/>
                  <a:t>GWh</a:t>
                </a:r>
              </a:p>
            </c:rich>
          </c:tx>
        </c:title>
        <c:numFmt formatCode="0.00" sourceLinked="1"/>
        <c:tickLblPos val="nextTo"/>
        <c:crossAx val="163458432"/>
        <c:crosses val="autoZero"/>
        <c:crossBetween val="midCat"/>
      </c:valAx>
    </c:plotArea>
    <c:plotVisOnly val="1"/>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0.75998</cdr:x>
      <cdr:y>0.05605</cdr:y>
    </cdr:from>
    <cdr:to>
      <cdr:x>0.92972</cdr:x>
      <cdr:y>0.18006</cdr:y>
    </cdr:to>
    <cdr:sp macro="" textlink="">
      <cdr:nvSpPr>
        <cdr:cNvPr id="2" name="TextBox 1"/>
        <cdr:cNvSpPr txBox="1"/>
      </cdr:nvSpPr>
      <cdr:spPr>
        <a:xfrm xmlns:a="http://schemas.openxmlformats.org/drawingml/2006/main">
          <a:off x="3472542" y="153761"/>
          <a:ext cx="775607" cy="3401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rgbClr val="FF0000"/>
              </a:solidFill>
            </a:rPr>
            <a:t>SP</a:t>
          </a:r>
          <a:r>
            <a:rPr lang="en-AU" sz="1000" baseline="0">
              <a:solidFill>
                <a:srgbClr val="FF0000"/>
              </a:solidFill>
            </a:rPr>
            <a:t> AusNet</a:t>
          </a:r>
          <a:endParaRPr lang="en-AU" sz="1000">
            <a:solidFill>
              <a:srgbClr val="FF0000"/>
            </a:solidFill>
          </a:endParaRPr>
        </a:p>
      </cdr:txBody>
    </cdr:sp>
  </cdr:relSizeAnchor>
  <cdr:relSizeAnchor xmlns:cdr="http://schemas.openxmlformats.org/drawingml/2006/chartDrawing">
    <cdr:from>
      <cdr:x>0.5277</cdr:x>
      <cdr:y>0.27826</cdr:y>
    </cdr:from>
    <cdr:to>
      <cdr:x>0.69148</cdr:x>
      <cdr:y>0.45288</cdr:y>
    </cdr:to>
    <cdr:sp macro="" textlink="">
      <cdr:nvSpPr>
        <cdr:cNvPr id="3" name="TextBox 2"/>
        <cdr:cNvSpPr txBox="1"/>
      </cdr:nvSpPr>
      <cdr:spPr>
        <a:xfrm xmlns:a="http://schemas.openxmlformats.org/drawingml/2006/main">
          <a:off x="2412644" y="763325"/>
          <a:ext cx="748803" cy="4790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TransGrid</a:t>
          </a:r>
        </a:p>
      </cdr:txBody>
    </cdr:sp>
  </cdr:relSizeAnchor>
  <cdr:relSizeAnchor xmlns:cdr="http://schemas.openxmlformats.org/drawingml/2006/chartDrawing">
    <cdr:from>
      <cdr:x>0.30137</cdr:x>
      <cdr:y>0.24928</cdr:y>
    </cdr:from>
    <cdr:to>
      <cdr:x>0.47111</cdr:x>
      <cdr:y>0.44296</cdr:y>
    </cdr:to>
    <cdr:sp macro="" textlink="">
      <cdr:nvSpPr>
        <cdr:cNvPr id="4" name="TextBox 3"/>
        <cdr:cNvSpPr txBox="1"/>
      </cdr:nvSpPr>
      <cdr:spPr>
        <a:xfrm xmlns:a="http://schemas.openxmlformats.org/drawingml/2006/main">
          <a:off x="1377864" y="683812"/>
          <a:ext cx="776051" cy="5313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ElectraNet</a:t>
          </a:r>
        </a:p>
      </cdr:txBody>
    </cdr:sp>
  </cdr:relSizeAnchor>
  <cdr:relSizeAnchor xmlns:cdr="http://schemas.openxmlformats.org/drawingml/2006/chartDrawing">
    <cdr:from>
      <cdr:x>0.38957</cdr:x>
      <cdr:y>0.07246</cdr:y>
    </cdr:from>
    <cdr:to>
      <cdr:x>0.59023</cdr:x>
      <cdr:y>0.21478</cdr:y>
    </cdr:to>
    <cdr:sp macro="" textlink="">
      <cdr:nvSpPr>
        <cdr:cNvPr id="5" name="TextBox 4"/>
        <cdr:cNvSpPr txBox="1"/>
      </cdr:nvSpPr>
      <cdr:spPr>
        <a:xfrm xmlns:a="http://schemas.openxmlformats.org/drawingml/2006/main">
          <a:off x="1781092" y="198783"/>
          <a:ext cx="917440" cy="3904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Powerlink</a:t>
          </a:r>
        </a:p>
      </cdr:txBody>
    </cdr:sp>
  </cdr:relSizeAnchor>
  <cdr:relSizeAnchor xmlns:cdr="http://schemas.openxmlformats.org/drawingml/2006/chartDrawing">
    <cdr:from>
      <cdr:x>0.20174</cdr:x>
      <cdr:y>0.07589</cdr:y>
    </cdr:from>
    <cdr:to>
      <cdr:x>0.36174</cdr:x>
      <cdr:y>0.18998</cdr:y>
    </cdr:to>
    <cdr:sp macro="" textlink="">
      <cdr:nvSpPr>
        <cdr:cNvPr id="6" name="TextBox 5"/>
        <cdr:cNvSpPr txBox="1"/>
      </cdr:nvSpPr>
      <cdr:spPr>
        <a:xfrm xmlns:a="http://schemas.openxmlformats.org/drawingml/2006/main">
          <a:off x="922351" y="208181"/>
          <a:ext cx="731520" cy="3129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Transend</a:t>
          </a:r>
        </a:p>
      </cdr:txBody>
    </cdr:sp>
  </cdr:relSizeAnchor>
</c:userShapes>
</file>

<file path=word/drawings/drawing2.xml><?xml version="1.0" encoding="utf-8"?>
<c:userShapes xmlns:c="http://schemas.openxmlformats.org/drawingml/2006/chart">
  <cdr:relSizeAnchor xmlns:cdr="http://schemas.openxmlformats.org/drawingml/2006/chartDrawing">
    <cdr:from>
      <cdr:x>0.73049</cdr:x>
      <cdr:y>0.53571</cdr:y>
    </cdr:from>
    <cdr:to>
      <cdr:x>0.94193</cdr:x>
      <cdr:y>0.64484</cdr:y>
    </cdr:to>
    <cdr:sp macro="" textlink="">
      <cdr:nvSpPr>
        <cdr:cNvPr id="2" name="TextBox 1"/>
        <cdr:cNvSpPr txBox="1"/>
      </cdr:nvSpPr>
      <cdr:spPr>
        <a:xfrm xmlns:a="http://schemas.openxmlformats.org/drawingml/2006/main">
          <a:off x="3337833" y="1469571"/>
          <a:ext cx="966107" cy="299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rgbClr val="FF0000"/>
              </a:solidFill>
            </a:rPr>
            <a:t>SP AusNet</a:t>
          </a:r>
        </a:p>
      </cdr:txBody>
    </cdr:sp>
  </cdr:relSizeAnchor>
  <cdr:relSizeAnchor xmlns:cdr="http://schemas.openxmlformats.org/drawingml/2006/chartDrawing">
    <cdr:from>
      <cdr:x>0.39994</cdr:x>
      <cdr:y>0.6002</cdr:y>
    </cdr:from>
    <cdr:to>
      <cdr:x>0.60244</cdr:x>
      <cdr:y>0.79861</cdr:y>
    </cdr:to>
    <cdr:sp macro="" textlink="">
      <cdr:nvSpPr>
        <cdr:cNvPr id="3" name="TextBox 2"/>
        <cdr:cNvSpPr txBox="1"/>
      </cdr:nvSpPr>
      <cdr:spPr>
        <a:xfrm xmlns:a="http://schemas.openxmlformats.org/drawingml/2006/main">
          <a:off x="1827436" y="1646464"/>
          <a:ext cx="925289" cy="544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TransGrid</a:t>
          </a:r>
        </a:p>
      </cdr:txBody>
    </cdr:sp>
  </cdr:relSizeAnchor>
  <cdr:relSizeAnchor xmlns:cdr="http://schemas.openxmlformats.org/drawingml/2006/chartDrawing">
    <cdr:from>
      <cdr:x>0.30762</cdr:x>
      <cdr:y>0.48115</cdr:y>
    </cdr:from>
    <cdr:to>
      <cdr:x>0.48928</cdr:x>
      <cdr:y>0.64484</cdr:y>
    </cdr:to>
    <cdr:sp macro="" textlink="">
      <cdr:nvSpPr>
        <cdr:cNvPr id="4" name="TextBox 3"/>
        <cdr:cNvSpPr txBox="1"/>
      </cdr:nvSpPr>
      <cdr:spPr>
        <a:xfrm xmlns:a="http://schemas.openxmlformats.org/drawingml/2006/main">
          <a:off x="1405618" y="1319894"/>
          <a:ext cx="830036" cy="449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ElectraNet</a:t>
          </a:r>
        </a:p>
      </cdr:txBody>
    </cdr:sp>
  </cdr:relSizeAnchor>
  <cdr:relSizeAnchor xmlns:cdr="http://schemas.openxmlformats.org/drawingml/2006/chartDrawing">
    <cdr:from>
      <cdr:x>0.28174</cdr:x>
      <cdr:y>0.30145</cdr:y>
    </cdr:from>
    <cdr:to>
      <cdr:x>0.4713</cdr:x>
      <cdr:y>0.48611</cdr:y>
    </cdr:to>
    <cdr:sp macro="" textlink="">
      <cdr:nvSpPr>
        <cdr:cNvPr id="5" name="TextBox 4"/>
        <cdr:cNvSpPr txBox="1"/>
      </cdr:nvSpPr>
      <cdr:spPr>
        <a:xfrm xmlns:a="http://schemas.openxmlformats.org/drawingml/2006/main">
          <a:off x="1288111" y="826936"/>
          <a:ext cx="866691" cy="506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Powerlink</a:t>
          </a:r>
        </a:p>
      </cdr:txBody>
    </cdr:sp>
  </cdr:relSizeAnchor>
  <cdr:relSizeAnchor xmlns:cdr="http://schemas.openxmlformats.org/drawingml/2006/chartDrawing">
    <cdr:from>
      <cdr:x>0.37909</cdr:x>
      <cdr:y>0.07936</cdr:y>
    </cdr:from>
    <cdr:to>
      <cdr:x>0.62627</cdr:x>
      <cdr:y>0.19841</cdr:y>
    </cdr:to>
    <cdr:sp macro="" textlink="">
      <cdr:nvSpPr>
        <cdr:cNvPr id="6" name="TextBox 5"/>
        <cdr:cNvSpPr txBox="1"/>
      </cdr:nvSpPr>
      <cdr:spPr>
        <a:xfrm xmlns:a="http://schemas.openxmlformats.org/drawingml/2006/main">
          <a:off x="1732190" y="217714"/>
          <a:ext cx="1129393" cy="32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Transend</a:t>
          </a:r>
        </a:p>
      </cdr:txBody>
    </cdr:sp>
  </cdr:relSizeAnchor>
</c:userShapes>
</file>

<file path=word/drawings/drawing3.xml><?xml version="1.0" encoding="utf-8"?>
<c:userShapes xmlns:c="http://schemas.openxmlformats.org/drawingml/2006/chart">
  <cdr:relSizeAnchor xmlns:cdr="http://schemas.openxmlformats.org/drawingml/2006/chartDrawing">
    <cdr:from>
      <cdr:x>0.75543</cdr:x>
      <cdr:y>0.47173</cdr:y>
    </cdr:from>
    <cdr:to>
      <cdr:x>0.93097</cdr:x>
      <cdr:y>0.64038</cdr:y>
    </cdr:to>
    <cdr:sp macro="" textlink="">
      <cdr:nvSpPr>
        <cdr:cNvPr id="2" name="TextBox 1"/>
        <cdr:cNvSpPr txBox="1"/>
      </cdr:nvSpPr>
      <cdr:spPr>
        <a:xfrm xmlns:a="http://schemas.openxmlformats.org/drawingml/2006/main">
          <a:off x="3454854" y="1294040"/>
          <a:ext cx="802808" cy="462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rgbClr val="FF0000"/>
              </a:solidFill>
            </a:rPr>
            <a:t>SP AusNet</a:t>
          </a:r>
        </a:p>
      </cdr:txBody>
    </cdr:sp>
  </cdr:relSizeAnchor>
  <cdr:relSizeAnchor xmlns:cdr="http://schemas.openxmlformats.org/drawingml/2006/chartDrawing">
    <cdr:from>
      <cdr:x>0.40035</cdr:x>
      <cdr:y>0.45426</cdr:y>
    </cdr:from>
    <cdr:to>
      <cdr:x>0.56294</cdr:x>
      <cdr:y>0.64534</cdr:y>
    </cdr:to>
    <cdr:sp macro="" textlink="">
      <cdr:nvSpPr>
        <cdr:cNvPr id="3" name="TextBox 2"/>
        <cdr:cNvSpPr txBox="1"/>
      </cdr:nvSpPr>
      <cdr:spPr>
        <a:xfrm xmlns:a="http://schemas.openxmlformats.org/drawingml/2006/main">
          <a:off x="1820849" y="1144989"/>
          <a:ext cx="739470" cy="4816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TransGrid</a:t>
          </a:r>
        </a:p>
      </cdr:txBody>
    </cdr:sp>
  </cdr:relSizeAnchor>
  <cdr:relSizeAnchor xmlns:cdr="http://schemas.openxmlformats.org/drawingml/2006/chartDrawing">
    <cdr:from>
      <cdr:x>0.27938</cdr:x>
      <cdr:y>0.39236</cdr:y>
    </cdr:from>
    <cdr:to>
      <cdr:x>0.47575</cdr:x>
      <cdr:y>0.49157</cdr:y>
    </cdr:to>
    <cdr:sp macro="" textlink="">
      <cdr:nvSpPr>
        <cdr:cNvPr id="4" name="TextBox 3"/>
        <cdr:cNvSpPr txBox="1"/>
      </cdr:nvSpPr>
      <cdr:spPr>
        <a:xfrm xmlns:a="http://schemas.openxmlformats.org/drawingml/2006/main">
          <a:off x="1277710" y="1076326"/>
          <a:ext cx="898071" cy="272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000"/>
        </a:p>
      </cdr:txBody>
    </cdr:sp>
  </cdr:relSizeAnchor>
  <cdr:relSizeAnchor xmlns:cdr="http://schemas.openxmlformats.org/drawingml/2006/chartDrawing">
    <cdr:from>
      <cdr:x>0.29426</cdr:x>
      <cdr:y>0.25237</cdr:y>
    </cdr:from>
    <cdr:to>
      <cdr:x>0.46385</cdr:x>
      <cdr:y>0.49653</cdr:y>
    </cdr:to>
    <cdr:sp macro="" textlink="">
      <cdr:nvSpPr>
        <cdr:cNvPr id="5" name="TextBox 4"/>
        <cdr:cNvSpPr txBox="1"/>
      </cdr:nvSpPr>
      <cdr:spPr>
        <a:xfrm xmlns:a="http://schemas.openxmlformats.org/drawingml/2006/main">
          <a:off x="1338337" y="636104"/>
          <a:ext cx="771321" cy="6154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Powerlink</a:t>
          </a:r>
        </a:p>
      </cdr:txBody>
    </cdr:sp>
  </cdr:relSizeAnchor>
  <cdr:relSizeAnchor xmlns:cdr="http://schemas.openxmlformats.org/drawingml/2006/chartDrawing">
    <cdr:from>
      <cdr:x>0.48776</cdr:x>
      <cdr:y>0.04416</cdr:y>
    </cdr:from>
    <cdr:to>
      <cdr:x>0.65385</cdr:x>
      <cdr:y>0.14826</cdr:y>
    </cdr:to>
    <cdr:sp macro="" textlink="">
      <cdr:nvSpPr>
        <cdr:cNvPr id="6" name="TextBox 5"/>
        <cdr:cNvSpPr txBox="1"/>
      </cdr:nvSpPr>
      <cdr:spPr>
        <a:xfrm xmlns:a="http://schemas.openxmlformats.org/drawingml/2006/main">
          <a:off x="2218413" y="111318"/>
          <a:ext cx="755375" cy="2623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ElectraNet</a:t>
          </a:r>
        </a:p>
      </cdr:txBody>
    </cdr:sp>
  </cdr:relSizeAnchor>
  <cdr:relSizeAnchor xmlns:cdr="http://schemas.openxmlformats.org/drawingml/2006/chartDrawing">
    <cdr:from>
      <cdr:x>0.25</cdr:x>
      <cdr:y>0.05506</cdr:y>
    </cdr:from>
    <cdr:to>
      <cdr:x>0.3986</cdr:x>
      <cdr:y>0.13939</cdr:y>
    </cdr:to>
    <cdr:sp macro="" textlink="">
      <cdr:nvSpPr>
        <cdr:cNvPr id="7" name="TextBox 6"/>
        <cdr:cNvSpPr txBox="1"/>
      </cdr:nvSpPr>
      <cdr:spPr>
        <a:xfrm xmlns:a="http://schemas.openxmlformats.org/drawingml/2006/main">
          <a:off x="1137037" y="138782"/>
          <a:ext cx="675860" cy="2125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Transend</a:t>
          </a:r>
        </a:p>
      </cdr:txBody>
    </cdr:sp>
  </cdr:relSizeAnchor>
</c:userShapes>
</file>

<file path=word/drawings/drawing4.xml><?xml version="1.0" encoding="utf-8"?>
<c:userShapes xmlns:c="http://schemas.openxmlformats.org/drawingml/2006/chart">
  <cdr:relSizeAnchor xmlns:cdr="http://schemas.openxmlformats.org/drawingml/2006/chartDrawing">
    <cdr:from>
      <cdr:x>0.79363</cdr:x>
      <cdr:y>0.12401</cdr:y>
    </cdr:from>
    <cdr:to>
      <cdr:x>0.97528</cdr:x>
      <cdr:y>0.23314</cdr:y>
    </cdr:to>
    <cdr:sp macro="" textlink="">
      <cdr:nvSpPr>
        <cdr:cNvPr id="2" name="TextBox 1"/>
        <cdr:cNvSpPr txBox="1"/>
      </cdr:nvSpPr>
      <cdr:spPr>
        <a:xfrm xmlns:a="http://schemas.openxmlformats.org/drawingml/2006/main">
          <a:off x="3626304" y="340178"/>
          <a:ext cx="830036" cy="299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rgbClr val="FF0000"/>
              </a:solidFill>
            </a:rPr>
            <a:t>SP</a:t>
          </a:r>
          <a:r>
            <a:rPr lang="en-AU" sz="1000" baseline="0">
              <a:solidFill>
                <a:srgbClr val="FF0000"/>
              </a:solidFill>
            </a:rPr>
            <a:t> AusNet</a:t>
          </a:r>
          <a:endParaRPr lang="en-AU" sz="1000">
            <a:solidFill>
              <a:srgbClr val="FF0000"/>
            </a:solidFill>
          </a:endParaRPr>
        </a:p>
      </cdr:txBody>
    </cdr:sp>
  </cdr:relSizeAnchor>
  <cdr:relSizeAnchor xmlns:cdr="http://schemas.openxmlformats.org/drawingml/2006/chartDrawing">
    <cdr:from>
      <cdr:x>0.24568</cdr:x>
      <cdr:y>0.29275</cdr:y>
    </cdr:from>
    <cdr:to>
      <cdr:x>0.39757</cdr:x>
      <cdr:y>0.39683</cdr:y>
    </cdr:to>
    <cdr:sp macro="" textlink="">
      <cdr:nvSpPr>
        <cdr:cNvPr id="3" name="TextBox 2"/>
        <cdr:cNvSpPr txBox="1"/>
      </cdr:nvSpPr>
      <cdr:spPr>
        <a:xfrm xmlns:a="http://schemas.openxmlformats.org/drawingml/2006/main">
          <a:off x="1123250" y="803081"/>
          <a:ext cx="694452" cy="2855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Transend</a:t>
          </a:r>
        </a:p>
      </cdr:txBody>
    </cdr:sp>
  </cdr:relSizeAnchor>
  <cdr:relSizeAnchor xmlns:cdr="http://schemas.openxmlformats.org/drawingml/2006/chartDrawing">
    <cdr:from>
      <cdr:x>0.28453</cdr:x>
      <cdr:y>0.04464</cdr:y>
    </cdr:from>
    <cdr:to>
      <cdr:x>0.55</cdr:x>
      <cdr:y>0.18849</cdr:y>
    </cdr:to>
    <cdr:sp macro="" textlink="">
      <cdr:nvSpPr>
        <cdr:cNvPr id="4" name="TextBox 3"/>
        <cdr:cNvSpPr txBox="1"/>
      </cdr:nvSpPr>
      <cdr:spPr>
        <a:xfrm xmlns:a="http://schemas.openxmlformats.org/drawingml/2006/main">
          <a:off x="1300867" y="122456"/>
          <a:ext cx="1213733" cy="3946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Powerlink</a:t>
          </a:r>
        </a:p>
      </cdr:txBody>
    </cdr:sp>
  </cdr:relSizeAnchor>
  <cdr:relSizeAnchor xmlns:cdr="http://schemas.openxmlformats.org/drawingml/2006/chartDrawing">
    <cdr:from>
      <cdr:x>0.3112</cdr:x>
      <cdr:y>0.41739</cdr:y>
    </cdr:from>
    <cdr:to>
      <cdr:x>0.49583</cdr:x>
      <cdr:y>0.53623</cdr:y>
    </cdr:to>
    <cdr:sp macro="" textlink="">
      <cdr:nvSpPr>
        <cdr:cNvPr id="5" name="TextBox 4"/>
        <cdr:cNvSpPr txBox="1"/>
      </cdr:nvSpPr>
      <cdr:spPr>
        <a:xfrm xmlns:a="http://schemas.openxmlformats.org/drawingml/2006/main">
          <a:off x="1422806" y="1144988"/>
          <a:ext cx="844129" cy="3260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ElectraNet</a:t>
          </a:r>
        </a:p>
      </cdr:txBody>
    </cdr:sp>
  </cdr:relSizeAnchor>
  <cdr:relSizeAnchor xmlns:cdr="http://schemas.openxmlformats.org/drawingml/2006/chartDrawing">
    <cdr:from>
      <cdr:x>0.55625</cdr:x>
      <cdr:y>0.41667</cdr:y>
    </cdr:from>
    <cdr:to>
      <cdr:x>0.72917</cdr:x>
      <cdr:y>0.53075</cdr:y>
    </cdr:to>
    <cdr:sp macro="" textlink="">
      <cdr:nvSpPr>
        <cdr:cNvPr id="6" name="TextBox 5"/>
        <cdr:cNvSpPr txBox="1"/>
      </cdr:nvSpPr>
      <cdr:spPr>
        <a:xfrm xmlns:a="http://schemas.openxmlformats.org/drawingml/2006/main">
          <a:off x="2541661" y="1143000"/>
          <a:ext cx="790105" cy="312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TransGrid</a:t>
          </a:r>
        </a:p>
      </cdr:txBody>
    </cdr:sp>
  </cdr:relSizeAnchor>
</c:userShapes>
</file>

<file path=word/drawings/drawing5.xml><?xml version="1.0" encoding="utf-8"?>
<c:userShapes xmlns:c="http://schemas.openxmlformats.org/drawingml/2006/chart">
  <cdr:relSizeAnchor xmlns:cdr="http://schemas.openxmlformats.org/drawingml/2006/chartDrawing">
    <cdr:from>
      <cdr:x>0.71042</cdr:x>
      <cdr:y>0.49454</cdr:y>
    </cdr:from>
    <cdr:to>
      <cdr:x>0.9125</cdr:x>
      <cdr:y>0.64236</cdr:y>
    </cdr:to>
    <cdr:sp macro="" textlink="">
      <cdr:nvSpPr>
        <cdr:cNvPr id="2" name="TextBox 1"/>
        <cdr:cNvSpPr txBox="1"/>
      </cdr:nvSpPr>
      <cdr:spPr>
        <a:xfrm xmlns:a="http://schemas.openxmlformats.org/drawingml/2006/main">
          <a:off x="3246092" y="1356632"/>
          <a:ext cx="923375" cy="4054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rgbClr val="FF0000"/>
              </a:solidFill>
            </a:rPr>
            <a:t>SP AusNet</a:t>
          </a:r>
        </a:p>
      </cdr:txBody>
    </cdr:sp>
  </cdr:relSizeAnchor>
  <cdr:relSizeAnchor xmlns:cdr="http://schemas.openxmlformats.org/drawingml/2006/chartDrawing">
    <cdr:from>
      <cdr:x>0.42292</cdr:x>
      <cdr:y>0.60367</cdr:y>
    </cdr:from>
    <cdr:to>
      <cdr:x>0.625</cdr:x>
      <cdr:y>0.82639</cdr:y>
    </cdr:to>
    <cdr:sp macro="" textlink="">
      <cdr:nvSpPr>
        <cdr:cNvPr id="3" name="TextBox 2"/>
        <cdr:cNvSpPr txBox="1"/>
      </cdr:nvSpPr>
      <cdr:spPr>
        <a:xfrm xmlns:a="http://schemas.openxmlformats.org/drawingml/2006/main">
          <a:off x="1932424" y="1655989"/>
          <a:ext cx="923375" cy="6109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TransGrid</a:t>
          </a:r>
        </a:p>
      </cdr:txBody>
    </cdr:sp>
  </cdr:relSizeAnchor>
  <cdr:relSizeAnchor xmlns:cdr="http://schemas.openxmlformats.org/drawingml/2006/chartDrawing">
    <cdr:from>
      <cdr:x>0.27874</cdr:x>
      <cdr:y>0.43998</cdr:y>
    </cdr:from>
    <cdr:to>
      <cdr:x>0.45742</cdr:x>
      <cdr:y>0.69792</cdr:y>
    </cdr:to>
    <cdr:sp macro="" textlink="">
      <cdr:nvSpPr>
        <cdr:cNvPr id="4" name="TextBox 3"/>
        <cdr:cNvSpPr txBox="1"/>
      </cdr:nvSpPr>
      <cdr:spPr>
        <a:xfrm xmlns:a="http://schemas.openxmlformats.org/drawingml/2006/main">
          <a:off x="1273629" y="1206954"/>
          <a:ext cx="816428" cy="707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ElectraNet</a:t>
          </a:r>
        </a:p>
      </cdr:txBody>
    </cdr:sp>
  </cdr:relSizeAnchor>
  <cdr:relSizeAnchor xmlns:cdr="http://schemas.openxmlformats.org/drawingml/2006/chartDrawing">
    <cdr:from>
      <cdr:x>0.42168</cdr:x>
      <cdr:y>0.1374</cdr:y>
    </cdr:from>
    <cdr:to>
      <cdr:x>0.60208</cdr:x>
      <cdr:y>0.31101</cdr:y>
    </cdr:to>
    <cdr:sp macro="" textlink="">
      <cdr:nvSpPr>
        <cdr:cNvPr id="5" name="TextBox 4"/>
        <cdr:cNvSpPr txBox="1"/>
      </cdr:nvSpPr>
      <cdr:spPr>
        <a:xfrm xmlns:a="http://schemas.openxmlformats.org/drawingml/2006/main">
          <a:off x="1926772" y="376918"/>
          <a:ext cx="824315"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Powerlink</a:t>
          </a:r>
        </a:p>
      </cdr:txBody>
    </cdr:sp>
  </cdr:relSizeAnchor>
  <cdr:relSizeAnchor xmlns:cdr="http://schemas.openxmlformats.org/drawingml/2006/chartDrawing">
    <cdr:from>
      <cdr:x>0.19238</cdr:x>
      <cdr:y>0.05804</cdr:y>
    </cdr:from>
    <cdr:to>
      <cdr:x>0.35616</cdr:x>
      <cdr:y>0.33333</cdr:y>
    </cdr:to>
    <cdr:sp macro="" textlink="">
      <cdr:nvSpPr>
        <cdr:cNvPr id="6" name="TextBox 5"/>
        <cdr:cNvSpPr txBox="1"/>
      </cdr:nvSpPr>
      <cdr:spPr>
        <a:xfrm xmlns:a="http://schemas.openxmlformats.org/drawingml/2006/main">
          <a:off x="879021" y="159203"/>
          <a:ext cx="748393" cy="7551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Transend</a:t>
          </a:r>
        </a:p>
      </cdr:txBody>
    </cdr:sp>
  </cdr:relSizeAnchor>
</c:userShapes>
</file>

<file path=word/drawings/drawing6.xml><?xml version="1.0" encoding="utf-8"?>
<c:userShapes xmlns:c="http://schemas.openxmlformats.org/drawingml/2006/chart">
  <cdr:relSizeAnchor xmlns:cdr="http://schemas.openxmlformats.org/drawingml/2006/chartDrawing">
    <cdr:from>
      <cdr:x>0.76495</cdr:x>
      <cdr:y>0.44941</cdr:y>
    </cdr:from>
    <cdr:to>
      <cdr:x>0.95417</cdr:x>
      <cdr:y>0.62153</cdr:y>
    </cdr:to>
    <cdr:sp macro="" textlink="">
      <cdr:nvSpPr>
        <cdr:cNvPr id="2" name="TextBox 1"/>
        <cdr:cNvSpPr txBox="1"/>
      </cdr:nvSpPr>
      <cdr:spPr>
        <a:xfrm xmlns:a="http://schemas.openxmlformats.org/drawingml/2006/main">
          <a:off x="3498395" y="1232810"/>
          <a:ext cx="865354" cy="472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rgbClr val="FF0000"/>
              </a:solidFill>
            </a:rPr>
            <a:t>SP AusNet</a:t>
          </a:r>
        </a:p>
      </cdr:txBody>
    </cdr:sp>
  </cdr:relSizeAnchor>
  <cdr:relSizeAnchor xmlns:cdr="http://schemas.openxmlformats.org/drawingml/2006/chartDrawing">
    <cdr:from>
      <cdr:x>0.42577</cdr:x>
      <cdr:y>0.55853</cdr:y>
    </cdr:from>
    <cdr:to>
      <cdr:x>0.58643</cdr:x>
      <cdr:y>0.67262</cdr:y>
    </cdr:to>
    <cdr:sp macro="" textlink="">
      <cdr:nvSpPr>
        <cdr:cNvPr id="3" name="TextBox 2"/>
        <cdr:cNvSpPr txBox="1"/>
      </cdr:nvSpPr>
      <cdr:spPr>
        <a:xfrm xmlns:a="http://schemas.openxmlformats.org/drawingml/2006/main">
          <a:off x="1947181" y="1532166"/>
          <a:ext cx="734785" cy="312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TransGrid</a:t>
          </a:r>
        </a:p>
      </cdr:txBody>
    </cdr:sp>
  </cdr:relSizeAnchor>
  <cdr:relSizeAnchor xmlns:cdr="http://schemas.openxmlformats.org/drawingml/2006/chartDrawing">
    <cdr:from>
      <cdr:x>0.19667</cdr:x>
      <cdr:y>0.22619</cdr:y>
    </cdr:from>
    <cdr:to>
      <cdr:x>0.35436</cdr:x>
      <cdr:y>0.3254</cdr:y>
    </cdr:to>
    <cdr:sp macro="" textlink="">
      <cdr:nvSpPr>
        <cdr:cNvPr id="4" name="TextBox 3"/>
        <cdr:cNvSpPr txBox="1"/>
      </cdr:nvSpPr>
      <cdr:spPr>
        <a:xfrm xmlns:a="http://schemas.openxmlformats.org/drawingml/2006/main">
          <a:off x="899431" y="620487"/>
          <a:ext cx="721179" cy="272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Transend</a:t>
          </a:r>
        </a:p>
      </cdr:txBody>
    </cdr:sp>
  </cdr:relSizeAnchor>
  <cdr:relSizeAnchor xmlns:cdr="http://schemas.openxmlformats.org/drawingml/2006/chartDrawing">
    <cdr:from>
      <cdr:x>0.32286</cdr:x>
      <cdr:y>0.08341</cdr:y>
    </cdr:from>
    <cdr:to>
      <cdr:x>0.44266</cdr:x>
      <cdr:y>0.15804</cdr:y>
    </cdr:to>
    <cdr:sp macro="" textlink="">
      <cdr:nvSpPr>
        <cdr:cNvPr id="5" name="TextBox 4"/>
        <cdr:cNvSpPr txBox="1"/>
      </cdr:nvSpPr>
      <cdr:spPr>
        <a:xfrm xmlns:a="http://schemas.openxmlformats.org/drawingml/2006/main">
          <a:off x="1888177" y="225631"/>
          <a:ext cx="700644" cy="2018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Powerlink</a:t>
          </a:r>
        </a:p>
      </cdr:txBody>
    </cdr:sp>
  </cdr:relSizeAnchor>
  <cdr:relSizeAnchor xmlns:cdr="http://schemas.openxmlformats.org/drawingml/2006/chartDrawing">
    <cdr:from>
      <cdr:x>0.47515</cdr:x>
      <cdr:y>0.07024</cdr:y>
    </cdr:from>
    <cdr:to>
      <cdr:x>0.65587</cdr:x>
      <cdr:y>0.41319</cdr:y>
    </cdr:to>
    <cdr:sp macro="" textlink="">
      <cdr:nvSpPr>
        <cdr:cNvPr id="6" name="TextBox 5"/>
        <cdr:cNvSpPr txBox="1"/>
      </cdr:nvSpPr>
      <cdr:spPr>
        <a:xfrm xmlns:a="http://schemas.openxmlformats.org/drawingml/2006/main">
          <a:off x="2778826" y="190005"/>
          <a:ext cx="1056903" cy="9277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ElectraNet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4772F-2A97-4B40-98C9-DCEA35B0C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8912</Words>
  <Characters>50802</Characters>
  <Application>Microsoft Office Word</Application>
  <DocSecurity>4</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59595</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dc:creator>
  <cp:keywords/>
  <cp:lastModifiedBy>smoff</cp:lastModifiedBy>
  <cp:revision>2</cp:revision>
  <cp:lastPrinted>2013-05-01T05:39:00Z</cp:lastPrinted>
  <dcterms:created xsi:type="dcterms:W3CDTF">2013-05-01T06:10:00Z</dcterms:created>
  <dcterms:modified xsi:type="dcterms:W3CDTF">2013-05-01T06:10:00Z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