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85B" w:rsidRDefault="00FE1004">
      <w:pPr>
        <w:ind w:firstLine="720"/>
        <w:rPr>
          <w:rFonts w:ascii="Arial" w:hAnsi="Arial"/>
          <w:sz w:val="16"/>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55pt;margin-top:-45.55pt;width:107.4pt;height:87.2pt;z-index:251660288;mso-position-horizontal-relative:margin;mso-position-vertical-relative:margin">
            <v:imagedata r:id="rId8" o:title="RIT Logo_Green"/>
            <w10:wrap anchorx="margin" anchory="margin"/>
          </v:shape>
        </w:pict>
      </w:r>
      <w:r>
        <w:rPr>
          <w:rFonts w:ascii="Arial" w:hAnsi="Arial"/>
          <w:noProof/>
          <w:sz w:val="16"/>
          <w:lang w:eastAsia="en-AU"/>
        </w:rPr>
        <w:pict>
          <v:shape id="_x0000_s1026" type="#_x0000_t75" style="position:absolute;left:0;text-align:left;margin-left:78.6pt;margin-top:-55.95pt;width:434.25pt;height:129.75pt;z-index:251657216" o:cliptowrap="t">
            <v:imagedata r:id="rId9" o:title="new letterhead"/>
          </v:shape>
        </w:pict>
      </w:r>
    </w:p>
    <w:p w:rsidR="004D6E55" w:rsidRDefault="004D6E55">
      <w:pPr>
        <w:ind w:firstLine="720"/>
        <w:rPr>
          <w:rFonts w:ascii="Arial" w:hAnsi="Arial"/>
          <w:sz w:val="16"/>
        </w:rPr>
      </w:pPr>
    </w:p>
    <w:p w:rsidR="004D6E55" w:rsidRDefault="004D6E55">
      <w:pPr>
        <w:ind w:firstLine="720"/>
        <w:rPr>
          <w:rFonts w:ascii="Arial" w:hAnsi="Arial"/>
          <w:sz w:val="16"/>
        </w:rPr>
      </w:pPr>
    </w:p>
    <w:p w:rsidR="004D6E55" w:rsidRDefault="004D6E55">
      <w:pPr>
        <w:ind w:firstLine="720"/>
        <w:rPr>
          <w:rFonts w:ascii="Arial" w:hAnsi="Arial"/>
          <w:sz w:val="16"/>
        </w:rPr>
      </w:pPr>
    </w:p>
    <w:p w:rsidR="004D6E55" w:rsidRDefault="004D6E55">
      <w:pPr>
        <w:ind w:firstLine="720"/>
        <w:rPr>
          <w:rFonts w:ascii="Arial" w:hAnsi="Arial"/>
          <w:sz w:val="16"/>
        </w:rPr>
      </w:pPr>
    </w:p>
    <w:p w:rsidR="004D6E55" w:rsidRDefault="004D6E55">
      <w:pPr>
        <w:ind w:firstLine="720"/>
        <w:rPr>
          <w:rFonts w:ascii="Arial" w:hAnsi="Arial"/>
          <w:sz w:val="16"/>
        </w:rPr>
      </w:pPr>
    </w:p>
    <w:p w:rsidR="004D6E55" w:rsidRDefault="004D6E55">
      <w:pPr>
        <w:ind w:firstLine="720"/>
        <w:rPr>
          <w:rFonts w:ascii="Arial" w:hAnsi="Arial"/>
          <w:sz w:val="16"/>
        </w:rPr>
      </w:pPr>
    </w:p>
    <w:p w:rsidR="004D6E55" w:rsidRDefault="004D6E55">
      <w:pPr>
        <w:ind w:firstLine="720"/>
        <w:rPr>
          <w:rFonts w:ascii="Arial" w:hAnsi="Arial"/>
          <w:sz w:val="16"/>
        </w:rPr>
      </w:pPr>
    </w:p>
    <w:p w:rsidR="004D6E55" w:rsidRDefault="004D6E55">
      <w:pPr>
        <w:ind w:firstLine="720"/>
        <w:rPr>
          <w:rFonts w:ascii="Arial" w:hAnsi="Arial"/>
          <w:sz w:val="16"/>
        </w:rPr>
      </w:pPr>
    </w:p>
    <w:p w:rsidR="004D6E55" w:rsidRDefault="004D6E55">
      <w:pPr>
        <w:ind w:firstLine="720"/>
        <w:rPr>
          <w:rFonts w:ascii="Arial" w:hAnsi="Arial"/>
          <w:sz w:val="16"/>
        </w:rPr>
      </w:pPr>
    </w:p>
    <w:p w:rsidR="0050385B" w:rsidRDefault="0050385B" w:rsidP="00B60E21">
      <w:pPr>
        <w:pStyle w:val="Heading1"/>
        <w:tabs>
          <w:tab w:val="left" w:pos="142"/>
          <w:tab w:val="left" w:pos="567"/>
          <w:tab w:val="left" w:pos="1134"/>
          <w:tab w:val="left" w:pos="1560"/>
        </w:tabs>
      </w:pPr>
    </w:p>
    <w:p w:rsidR="00B60E21" w:rsidRPr="004D6E55" w:rsidRDefault="00647BB6" w:rsidP="00B60E21">
      <w:pPr>
        <w:rPr>
          <w:rFonts w:ascii="Calibri" w:hAnsi="Calibri"/>
          <w:sz w:val="24"/>
          <w:szCs w:val="24"/>
        </w:rPr>
      </w:pPr>
      <w:r w:rsidRPr="004D6E55">
        <w:rPr>
          <w:rFonts w:ascii="Calibri" w:hAnsi="Calibri"/>
          <w:sz w:val="24"/>
          <w:szCs w:val="24"/>
        </w:rPr>
        <w:fldChar w:fldCharType="begin"/>
      </w:r>
      <w:r w:rsidR="00B60E21" w:rsidRPr="004D6E55">
        <w:rPr>
          <w:rFonts w:ascii="Calibri" w:hAnsi="Calibri"/>
          <w:sz w:val="24"/>
          <w:szCs w:val="24"/>
        </w:rPr>
        <w:instrText xml:space="preserve"> DATE  \@ "d MMMM yyyy"  \* MERGEFORMAT </w:instrText>
      </w:r>
      <w:r w:rsidRPr="004D6E55">
        <w:rPr>
          <w:rFonts w:ascii="Calibri" w:hAnsi="Calibri"/>
          <w:sz w:val="24"/>
          <w:szCs w:val="24"/>
        </w:rPr>
        <w:fldChar w:fldCharType="separate"/>
      </w:r>
      <w:r w:rsidR="00FE1004">
        <w:rPr>
          <w:rFonts w:ascii="Calibri" w:hAnsi="Calibri"/>
          <w:noProof/>
          <w:sz w:val="24"/>
          <w:szCs w:val="24"/>
        </w:rPr>
        <w:t>4 February 2015</w:t>
      </w:r>
      <w:r w:rsidRPr="004D6E55">
        <w:rPr>
          <w:rFonts w:ascii="Calibri" w:hAnsi="Calibri"/>
          <w:sz w:val="24"/>
          <w:szCs w:val="24"/>
        </w:rPr>
        <w:fldChar w:fldCharType="end"/>
      </w:r>
    </w:p>
    <w:p w:rsidR="004D6E55" w:rsidRPr="004D6E55" w:rsidRDefault="004D6E55" w:rsidP="00B60E21">
      <w:pPr>
        <w:rPr>
          <w:rFonts w:ascii="Calibri" w:hAnsi="Calibri"/>
          <w:sz w:val="24"/>
          <w:szCs w:val="24"/>
        </w:rPr>
      </w:pPr>
    </w:p>
    <w:p w:rsidR="004D6E55" w:rsidRDefault="004D6E55" w:rsidP="00B60E21">
      <w:pPr>
        <w:rPr>
          <w:sz w:val="24"/>
          <w:szCs w:val="24"/>
        </w:rPr>
      </w:pPr>
    </w:p>
    <w:p w:rsidR="00603ACC" w:rsidRDefault="0068031C" w:rsidP="00B60E21">
      <w:pPr>
        <w:rPr>
          <w:sz w:val="24"/>
          <w:szCs w:val="24"/>
        </w:rPr>
      </w:pPr>
      <w:r>
        <w:rPr>
          <w:sz w:val="24"/>
          <w:szCs w:val="24"/>
        </w:rPr>
        <w:t>Mr Sebastian Roberts</w:t>
      </w:r>
    </w:p>
    <w:p w:rsidR="0068031C" w:rsidRDefault="0068031C" w:rsidP="00B60E21">
      <w:pPr>
        <w:rPr>
          <w:sz w:val="24"/>
          <w:szCs w:val="24"/>
        </w:rPr>
      </w:pPr>
      <w:r>
        <w:rPr>
          <w:sz w:val="24"/>
          <w:szCs w:val="24"/>
        </w:rPr>
        <w:t>General Manager</w:t>
      </w:r>
    </w:p>
    <w:p w:rsidR="0068031C" w:rsidRDefault="0068031C" w:rsidP="00B60E21">
      <w:pPr>
        <w:rPr>
          <w:sz w:val="24"/>
          <w:szCs w:val="24"/>
        </w:rPr>
      </w:pPr>
      <w:r>
        <w:rPr>
          <w:sz w:val="24"/>
          <w:szCs w:val="24"/>
        </w:rPr>
        <w:t>Australian Energy Regulator</w:t>
      </w:r>
    </w:p>
    <w:p w:rsidR="0068031C" w:rsidRDefault="0068031C" w:rsidP="00B60E21">
      <w:pPr>
        <w:rPr>
          <w:sz w:val="24"/>
          <w:szCs w:val="24"/>
        </w:rPr>
      </w:pPr>
      <w:r>
        <w:rPr>
          <w:sz w:val="24"/>
          <w:szCs w:val="24"/>
        </w:rPr>
        <w:t>GPO Box 520</w:t>
      </w:r>
    </w:p>
    <w:p w:rsidR="0068031C" w:rsidRDefault="0068031C" w:rsidP="00B60E21">
      <w:pPr>
        <w:rPr>
          <w:sz w:val="24"/>
          <w:szCs w:val="24"/>
        </w:rPr>
      </w:pPr>
      <w:r>
        <w:rPr>
          <w:sz w:val="24"/>
          <w:szCs w:val="24"/>
        </w:rPr>
        <w:t>Melbourne Vic 3001</w:t>
      </w:r>
    </w:p>
    <w:p w:rsidR="0055753B" w:rsidRDefault="0055753B" w:rsidP="00B60E21">
      <w:pPr>
        <w:rPr>
          <w:sz w:val="24"/>
          <w:szCs w:val="24"/>
        </w:rPr>
      </w:pPr>
    </w:p>
    <w:p w:rsidR="0055753B" w:rsidRDefault="0055753B" w:rsidP="00B60E21">
      <w:pPr>
        <w:rPr>
          <w:sz w:val="24"/>
          <w:szCs w:val="24"/>
        </w:rPr>
      </w:pPr>
    </w:p>
    <w:p w:rsidR="0055753B" w:rsidRPr="00190F86" w:rsidRDefault="0068031C" w:rsidP="00B60E21">
      <w:pPr>
        <w:rPr>
          <w:b/>
          <w:sz w:val="24"/>
          <w:szCs w:val="24"/>
          <w:u w:val="single"/>
        </w:rPr>
      </w:pPr>
      <w:r>
        <w:rPr>
          <w:b/>
          <w:sz w:val="24"/>
          <w:szCs w:val="24"/>
          <w:u w:val="single"/>
        </w:rPr>
        <w:t>Re: SA Power Networks Regulatory Proposal 2015-20</w:t>
      </w:r>
    </w:p>
    <w:p w:rsidR="0055753B" w:rsidRDefault="0055753B" w:rsidP="00B60E21">
      <w:pPr>
        <w:rPr>
          <w:sz w:val="24"/>
          <w:szCs w:val="24"/>
        </w:rPr>
      </w:pPr>
    </w:p>
    <w:p w:rsidR="00603ACC" w:rsidRDefault="00603ACC" w:rsidP="00B60E21">
      <w:pPr>
        <w:rPr>
          <w:sz w:val="24"/>
          <w:szCs w:val="24"/>
        </w:rPr>
      </w:pPr>
    </w:p>
    <w:p w:rsidR="00603ACC" w:rsidRDefault="00603ACC" w:rsidP="00B60E21">
      <w:pPr>
        <w:rPr>
          <w:sz w:val="24"/>
          <w:szCs w:val="24"/>
        </w:rPr>
      </w:pPr>
    </w:p>
    <w:p w:rsidR="0080331A" w:rsidRDefault="00DA39BE" w:rsidP="00B60E21">
      <w:pPr>
        <w:rPr>
          <w:sz w:val="24"/>
          <w:szCs w:val="24"/>
        </w:rPr>
      </w:pPr>
      <w:r>
        <w:rPr>
          <w:sz w:val="24"/>
          <w:szCs w:val="24"/>
        </w:rPr>
        <w:t>The Renmark Irrigation Trust is an Irrigation Infrastructure Operator supplying irrigation water pumped from the Murray River to around 550 irrigators in the Renmark district horticultural industry</w:t>
      </w:r>
      <w:r w:rsidR="00761033">
        <w:rPr>
          <w:sz w:val="24"/>
          <w:szCs w:val="24"/>
        </w:rPr>
        <w:t xml:space="preserve"> located within the larger Riverland region of South Australia</w:t>
      </w:r>
      <w:r>
        <w:rPr>
          <w:sz w:val="24"/>
          <w:szCs w:val="24"/>
        </w:rPr>
        <w:t xml:space="preserve">. Crops </w:t>
      </w:r>
      <w:r w:rsidR="00761033">
        <w:rPr>
          <w:sz w:val="24"/>
          <w:szCs w:val="24"/>
        </w:rPr>
        <w:t xml:space="preserve">grown in the region </w:t>
      </w:r>
      <w:r>
        <w:rPr>
          <w:sz w:val="24"/>
          <w:szCs w:val="24"/>
        </w:rPr>
        <w:t xml:space="preserve">predominantly consist of vines, citrus and nuts. </w:t>
      </w:r>
      <w:r w:rsidR="007B4FB1">
        <w:rPr>
          <w:sz w:val="24"/>
          <w:szCs w:val="24"/>
        </w:rPr>
        <w:t>The irrigated horticulture industry underpins the whole of the region’s economy.</w:t>
      </w:r>
    </w:p>
    <w:p w:rsidR="0080331A" w:rsidRDefault="0080331A" w:rsidP="00B60E21">
      <w:pPr>
        <w:rPr>
          <w:sz w:val="24"/>
          <w:szCs w:val="24"/>
        </w:rPr>
      </w:pPr>
    </w:p>
    <w:p w:rsidR="00ED3D52" w:rsidRDefault="00DA39BE" w:rsidP="00B60E21">
      <w:pPr>
        <w:rPr>
          <w:sz w:val="24"/>
          <w:szCs w:val="24"/>
        </w:rPr>
      </w:pPr>
      <w:r>
        <w:rPr>
          <w:sz w:val="24"/>
          <w:szCs w:val="24"/>
        </w:rPr>
        <w:t xml:space="preserve">As pumping irrigation water is </w:t>
      </w:r>
      <w:r w:rsidR="007D3400">
        <w:rPr>
          <w:sz w:val="24"/>
          <w:szCs w:val="24"/>
        </w:rPr>
        <w:t>the</w:t>
      </w:r>
      <w:r>
        <w:rPr>
          <w:sz w:val="24"/>
          <w:szCs w:val="24"/>
        </w:rPr>
        <w:t xml:space="preserve"> </w:t>
      </w:r>
      <w:r w:rsidR="000C1E1F">
        <w:rPr>
          <w:sz w:val="24"/>
          <w:szCs w:val="24"/>
        </w:rPr>
        <w:t xml:space="preserve">Trust’s </w:t>
      </w:r>
      <w:r>
        <w:rPr>
          <w:sz w:val="24"/>
          <w:szCs w:val="24"/>
        </w:rPr>
        <w:t>primary function</w:t>
      </w:r>
      <w:r w:rsidR="000C1E1F">
        <w:rPr>
          <w:sz w:val="24"/>
          <w:szCs w:val="24"/>
        </w:rPr>
        <w:t>,</w:t>
      </w:r>
      <w:r>
        <w:rPr>
          <w:sz w:val="24"/>
          <w:szCs w:val="24"/>
        </w:rPr>
        <w:t xml:space="preserve"> the cost of electricity to drive pumps is a </w:t>
      </w:r>
      <w:r w:rsidR="000C1E1F">
        <w:rPr>
          <w:sz w:val="24"/>
          <w:szCs w:val="24"/>
        </w:rPr>
        <w:t xml:space="preserve">very </w:t>
      </w:r>
      <w:r>
        <w:rPr>
          <w:sz w:val="24"/>
          <w:szCs w:val="24"/>
        </w:rPr>
        <w:t>large part of our operating expenditure</w:t>
      </w:r>
      <w:r w:rsidR="0080331A">
        <w:rPr>
          <w:sz w:val="24"/>
          <w:szCs w:val="24"/>
        </w:rPr>
        <w:t xml:space="preserve"> that </w:t>
      </w:r>
      <w:r w:rsidR="00894D0A">
        <w:rPr>
          <w:sz w:val="24"/>
          <w:szCs w:val="24"/>
        </w:rPr>
        <w:t>is</w:t>
      </w:r>
      <w:r w:rsidR="0080331A">
        <w:rPr>
          <w:sz w:val="24"/>
          <w:szCs w:val="24"/>
        </w:rPr>
        <w:t xml:space="preserve"> largely impacted by network charges</w:t>
      </w:r>
      <w:r>
        <w:rPr>
          <w:sz w:val="24"/>
          <w:szCs w:val="24"/>
        </w:rPr>
        <w:t xml:space="preserve">. </w:t>
      </w:r>
      <w:r w:rsidR="007B4FB1">
        <w:rPr>
          <w:sz w:val="24"/>
          <w:szCs w:val="24"/>
        </w:rPr>
        <w:t xml:space="preserve">Electricity prices that allow irrigators to remain viable and keep rises to sustainable levels are critical to the Trust, its member irrigators and the community they support. </w:t>
      </w:r>
      <w:r>
        <w:rPr>
          <w:sz w:val="24"/>
          <w:szCs w:val="24"/>
        </w:rPr>
        <w:t>The Trust thanks the AER for the opportunity to make this submission regarding the SA Power Networks (SAPN) regulatory proposal.</w:t>
      </w:r>
    </w:p>
    <w:p w:rsidR="000C1E1F" w:rsidRDefault="000C1E1F" w:rsidP="00B60E21">
      <w:pPr>
        <w:rPr>
          <w:sz w:val="24"/>
          <w:szCs w:val="24"/>
        </w:rPr>
      </w:pPr>
    </w:p>
    <w:p w:rsidR="000C1E1F" w:rsidRDefault="000C1E1F" w:rsidP="00B60E21">
      <w:pPr>
        <w:rPr>
          <w:sz w:val="24"/>
          <w:szCs w:val="24"/>
        </w:rPr>
      </w:pPr>
      <w:r>
        <w:rPr>
          <w:sz w:val="24"/>
          <w:szCs w:val="24"/>
        </w:rPr>
        <w:t xml:space="preserve">SAPN’s proposal is suggesting increases of around CPI for the period. This would normally be pleasing but </w:t>
      </w:r>
      <w:r w:rsidR="001878EF">
        <w:rPr>
          <w:sz w:val="24"/>
          <w:szCs w:val="24"/>
        </w:rPr>
        <w:t xml:space="preserve">instead </w:t>
      </w:r>
      <w:r w:rsidR="006D6C9D">
        <w:rPr>
          <w:sz w:val="24"/>
          <w:szCs w:val="24"/>
        </w:rPr>
        <w:t xml:space="preserve">provides only resentment </w:t>
      </w:r>
      <w:r>
        <w:rPr>
          <w:sz w:val="24"/>
          <w:szCs w:val="24"/>
        </w:rPr>
        <w:t xml:space="preserve">when </w:t>
      </w:r>
      <w:r w:rsidR="006D6C9D">
        <w:rPr>
          <w:sz w:val="24"/>
          <w:szCs w:val="24"/>
        </w:rPr>
        <w:t>considering</w:t>
      </w:r>
      <w:r>
        <w:rPr>
          <w:sz w:val="24"/>
          <w:szCs w:val="24"/>
        </w:rPr>
        <w:t xml:space="preserve"> the </w:t>
      </w:r>
      <w:r w:rsidR="006D6C9D">
        <w:rPr>
          <w:sz w:val="24"/>
          <w:szCs w:val="24"/>
        </w:rPr>
        <w:t xml:space="preserve">extremely </w:t>
      </w:r>
      <w:r>
        <w:rPr>
          <w:sz w:val="24"/>
          <w:szCs w:val="24"/>
        </w:rPr>
        <w:t>harsh rises in network charges by SAPN over the last 5 years</w:t>
      </w:r>
      <w:r w:rsidR="006D6C9D">
        <w:rPr>
          <w:sz w:val="24"/>
          <w:szCs w:val="24"/>
        </w:rPr>
        <w:t xml:space="preserve">. </w:t>
      </w:r>
    </w:p>
    <w:p w:rsidR="005C5A2C" w:rsidRDefault="005C5A2C" w:rsidP="00B60E21">
      <w:pPr>
        <w:rPr>
          <w:sz w:val="24"/>
          <w:szCs w:val="24"/>
        </w:rPr>
      </w:pPr>
    </w:p>
    <w:p w:rsidR="005C5A2C" w:rsidRDefault="005C5A2C" w:rsidP="00B60E21">
      <w:pPr>
        <w:rPr>
          <w:sz w:val="24"/>
          <w:szCs w:val="24"/>
        </w:rPr>
      </w:pPr>
      <w:r>
        <w:rPr>
          <w:sz w:val="24"/>
          <w:szCs w:val="24"/>
        </w:rPr>
        <w:t xml:space="preserve">In 2009-2010 network charges for the Trust </w:t>
      </w:r>
      <w:r w:rsidR="00DE3312">
        <w:rPr>
          <w:sz w:val="24"/>
          <w:szCs w:val="24"/>
        </w:rPr>
        <w:t xml:space="preserve">at our main pumping station </w:t>
      </w:r>
      <w:r>
        <w:rPr>
          <w:sz w:val="24"/>
          <w:szCs w:val="24"/>
        </w:rPr>
        <w:t xml:space="preserve">totalled near $113k, in 2013-2014 it was near $216k. This is a rise of over 91%! CPI in the same period went from 95.8 to 105.9 </w:t>
      </w:r>
      <w:r w:rsidR="0080331A">
        <w:rPr>
          <w:sz w:val="24"/>
          <w:szCs w:val="24"/>
        </w:rPr>
        <w:t xml:space="preserve">(sourced from ABS) </w:t>
      </w:r>
      <w:r>
        <w:rPr>
          <w:sz w:val="24"/>
          <w:szCs w:val="24"/>
        </w:rPr>
        <w:t>rising by just over 10.5%</w:t>
      </w:r>
      <w:r w:rsidR="0080331A">
        <w:rPr>
          <w:sz w:val="24"/>
          <w:szCs w:val="24"/>
        </w:rPr>
        <w:t>.</w:t>
      </w:r>
    </w:p>
    <w:p w:rsidR="00CA2644" w:rsidRDefault="00CA2644" w:rsidP="00B60E21">
      <w:pPr>
        <w:rPr>
          <w:sz w:val="24"/>
          <w:szCs w:val="24"/>
        </w:rPr>
      </w:pPr>
      <w:r>
        <w:rPr>
          <w:sz w:val="24"/>
          <w:szCs w:val="24"/>
        </w:rPr>
        <w:br w:type="page"/>
      </w:r>
    </w:p>
    <w:p w:rsidR="00354970" w:rsidRDefault="00354970" w:rsidP="00B60E21">
      <w:pPr>
        <w:rPr>
          <w:sz w:val="24"/>
          <w:szCs w:val="24"/>
        </w:rPr>
      </w:pPr>
    </w:p>
    <w:p w:rsidR="00354970" w:rsidRPr="00354970" w:rsidRDefault="00354970" w:rsidP="00B60E21">
      <w:pPr>
        <w:rPr>
          <w:b/>
          <w:sz w:val="24"/>
          <w:szCs w:val="24"/>
        </w:rPr>
      </w:pPr>
      <w:r>
        <w:rPr>
          <w:b/>
          <w:sz w:val="24"/>
          <w:szCs w:val="24"/>
        </w:rPr>
        <w:t>Main Pumping Station Electricity Use and Cost</w:t>
      </w:r>
    </w:p>
    <w:p w:rsidR="008C4CB1" w:rsidRDefault="008C4CB1" w:rsidP="00B60E21">
      <w:pPr>
        <w:rPr>
          <w:sz w:val="24"/>
          <w:szCs w:val="24"/>
        </w:rPr>
      </w:pPr>
    </w:p>
    <w:tbl>
      <w:tblPr>
        <w:tblStyle w:val="TableGrid"/>
        <w:tblW w:w="0" w:type="auto"/>
        <w:tblLook w:val="04A0" w:firstRow="1" w:lastRow="0" w:firstColumn="1" w:lastColumn="0" w:noHBand="0" w:noVBand="1"/>
      </w:tblPr>
      <w:tblGrid>
        <w:gridCol w:w="790"/>
        <w:gridCol w:w="1084"/>
        <w:gridCol w:w="1283"/>
        <w:gridCol w:w="1283"/>
        <w:gridCol w:w="1283"/>
        <w:gridCol w:w="1316"/>
        <w:gridCol w:w="1219"/>
        <w:gridCol w:w="985"/>
      </w:tblGrid>
      <w:tr w:rsidR="00354970" w:rsidTr="006A427E">
        <w:tc>
          <w:tcPr>
            <w:tcW w:w="817" w:type="dxa"/>
            <w:shd w:val="clear" w:color="auto" w:fill="BFBFBF" w:themeFill="background1" w:themeFillShade="BF"/>
          </w:tcPr>
          <w:p w:rsidR="008C4CB1" w:rsidRPr="00354970" w:rsidRDefault="008C4CB1" w:rsidP="00B60E21">
            <w:pPr>
              <w:rPr>
                <w:b/>
                <w:sz w:val="24"/>
                <w:szCs w:val="24"/>
              </w:rPr>
            </w:pPr>
            <w:r w:rsidRPr="00354970">
              <w:rPr>
                <w:b/>
                <w:sz w:val="24"/>
                <w:szCs w:val="24"/>
              </w:rPr>
              <w:t>Year</w:t>
            </w:r>
          </w:p>
        </w:tc>
        <w:tc>
          <w:tcPr>
            <w:tcW w:w="1133" w:type="dxa"/>
            <w:shd w:val="clear" w:color="auto" w:fill="BFBFBF" w:themeFill="background1" w:themeFillShade="BF"/>
          </w:tcPr>
          <w:p w:rsidR="008C4CB1" w:rsidRPr="00354970" w:rsidRDefault="008C4CB1" w:rsidP="00B60E21">
            <w:pPr>
              <w:rPr>
                <w:b/>
                <w:sz w:val="24"/>
                <w:szCs w:val="24"/>
              </w:rPr>
            </w:pPr>
            <w:r w:rsidRPr="00354970">
              <w:rPr>
                <w:b/>
                <w:sz w:val="24"/>
                <w:szCs w:val="24"/>
              </w:rPr>
              <w:t>Water pumped (ML)</w:t>
            </w:r>
          </w:p>
        </w:tc>
        <w:tc>
          <w:tcPr>
            <w:tcW w:w="1283" w:type="dxa"/>
            <w:shd w:val="clear" w:color="auto" w:fill="BFBFBF" w:themeFill="background1" w:themeFillShade="BF"/>
          </w:tcPr>
          <w:p w:rsidR="008C4CB1" w:rsidRPr="00354970" w:rsidRDefault="008C4CB1" w:rsidP="00B60E21">
            <w:pPr>
              <w:rPr>
                <w:b/>
                <w:sz w:val="24"/>
                <w:szCs w:val="24"/>
              </w:rPr>
            </w:pPr>
            <w:r w:rsidRPr="00354970">
              <w:rPr>
                <w:b/>
                <w:sz w:val="24"/>
                <w:szCs w:val="24"/>
              </w:rPr>
              <w:t>Electricity Use (kWh)</w:t>
            </w:r>
          </w:p>
        </w:tc>
        <w:tc>
          <w:tcPr>
            <w:tcW w:w="1283" w:type="dxa"/>
            <w:shd w:val="clear" w:color="auto" w:fill="BFBFBF" w:themeFill="background1" w:themeFillShade="BF"/>
          </w:tcPr>
          <w:p w:rsidR="008C4CB1" w:rsidRPr="00354970" w:rsidRDefault="008C4CB1" w:rsidP="00B60E21">
            <w:pPr>
              <w:rPr>
                <w:b/>
                <w:sz w:val="24"/>
                <w:szCs w:val="24"/>
              </w:rPr>
            </w:pPr>
            <w:r w:rsidRPr="00354970">
              <w:rPr>
                <w:b/>
                <w:sz w:val="24"/>
                <w:szCs w:val="24"/>
              </w:rPr>
              <w:t>Total Electricity Cost ($)</w:t>
            </w:r>
          </w:p>
        </w:tc>
        <w:tc>
          <w:tcPr>
            <w:tcW w:w="1283" w:type="dxa"/>
            <w:shd w:val="clear" w:color="auto" w:fill="BFBFBF" w:themeFill="background1" w:themeFillShade="BF"/>
          </w:tcPr>
          <w:p w:rsidR="008C4CB1" w:rsidRPr="00354970" w:rsidRDefault="008C4CB1" w:rsidP="00B60E21">
            <w:pPr>
              <w:rPr>
                <w:b/>
                <w:sz w:val="24"/>
                <w:szCs w:val="24"/>
              </w:rPr>
            </w:pPr>
            <w:r w:rsidRPr="00354970">
              <w:rPr>
                <w:b/>
                <w:sz w:val="24"/>
                <w:szCs w:val="24"/>
              </w:rPr>
              <w:t>Electricity Cost ($/ML)</w:t>
            </w:r>
          </w:p>
        </w:tc>
        <w:tc>
          <w:tcPr>
            <w:tcW w:w="1680" w:type="dxa"/>
            <w:tcBorders>
              <w:bottom w:val="single" w:sz="4" w:space="0" w:color="auto"/>
            </w:tcBorders>
            <w:shd w:val="clear" w:color="auto" w:fill="BFBFBF" w:themeFill="background1" w:themeFillShade="BF"/>
          </w:tcPr>
          <w:p w:rsidR="008C4CB1" w:rsidRPr="00354970" w:rsidRDefault="008C4CB1" w:rsidP="00B60E21">
            <w:pPr>
              <w:rPr>
                <w:b/>
                <w:sz w:val="24"/>
                <w:szCs w:val="24"/>
              </w:rPr>
            </w:pPr>
            <w:r w:rsidRPr="00354970">
              <w:rPr>
                <w:b/>
                <w:sz w:val="24"/>
                <w:szCs w:val="24"/>
              </w:rPr>
              <w:t>Total Network Charges ($)</w:t>
            </w:r>
          </w:p>
        </w:tc>
        <w:tc>
          <w:tcPr>
            <w:tcW w:w="1418" w:type="dxa"/>
            <w:shd w:val="clear" w:color="auto" w:fill="BFBFBF" w:themeFill="background1" w:themeFillShade="BF"/>
          </w:tcPr>
          <w:p w:rsidR="008C4CB1" w:rsidRPr="00354970" w:rsidRDefault="008C4CB1" w:rsidP="00B60E21">
            <w:pPr>
              <w:rPr>
                <w:b/>
                <w:sz w:val="24"/>
                <w:szCs w:val="24"/>
              </w:rPr>
            </w:pPr>
            <w:r w:rsidRPr="00354970">
              <w:rPr>
                <w:b/>
                <w:sz w:val="24"/>
                <w:szCs w:val="24"/>
              </w:rPr>
              <w:t>Network Cost</w:t>
            </w:r>
          </w:p>
          <w:p w:rsidR="008C4CB1" w:rsidRPr="00354970" w:rsidRDefault="00BC0EB6" w:rsidP="00B60E21">
            <w:pPr>
              <w:rPr>
                <w:b/>
                <w:sz w:val="24"/>
                <w:szCs w:val="24"/>
              </w:rPr>
            </w:pPr>
            <w:r w:rsidRPr="00354970">
              <w:rPr>
                <w:b/>
                <w:sz w:val="24"/>
                <w:szCs w:val="24"/>
              </w:rPr>
              <w:t>% of Total</w:t>
            </w:r>
          </w:p>
        </w:tc>
        <w:tc>
          <w:tcPr>
            <w:tcW w:w="1134" w:type="dxa"/>
            <w:shd w:val="clear" w:color="auto" w:fill="BFBFBF" w:themeFill="background1" w:themeFillShade="BF"/>
          </w:tcPr>
          <w:p w:rsidR="008C4CB1" w:rsidRPr="00354970" w:rsidRDefault="00354970" w:rsidP="00B60E21">
            <w:pPr>
              <w:rPr>
                <w:b/>
                <w:sz w:val="24"/>
                <w:szCs w:val="24"/>
              </w:rPr>
            </w:pPr>
            <w:r w:rsidRPr="00354970">
              <w:rPr>
                <w:b/>
                <w:sz w:val="24"/>
                <w:szCs w:val="24"/>
              </w:rPr>
              <w:t>CPI</w:t>
            </w:r>
          </w:p>
        </w:tc>
      </w:tr>
      <w:tr w:rsidR="00354970" w:rsidTr="006A427E">
        <w:tc>
          <w:tcPr>
            <w:tcW w:w="817" w:type="dxa"/>
          </w:tcPr>
          <w:p w:rsidR="008C4CB1" w:rsidRPr="00354970" w:rsidRDefault="008C4CB1" w:rsidP="00B60E21">
            <w:pPr>
              <w:rPr>
                <w:b/>
                <w:sz w:val="24"/>
                <w:szCs w:val="24"/>
              </w:rPr>
            </w:pPr>
            <w:r w:rsidRPr="00354970">
              <w:rPr>
                <w:b/>
                <w:sz w:val="24"/>
                <w:szCs w:val="24"/>
              </w:rPr>
              <w:t>2009-2010</w:t>
            </w:r>
          </w:p>
        </w:tc>
        <w:tc>
          <w:tcPr>
            <w:tcW w:w="1133" w:type="dxa"/>
          </w:tcPr>
          <w:p w:rsidR="008C4CB1" w:rsidRDefault="008C4CB1" w:rsidP="00B60E21">
            <w:pPr>
              <w:rPr>
                <w:sz w:val="24"/>
                <w:szCs w:val="24"/>
              </w:rPr>
            </w:pPr>
            <w:r>
              <w:rPr>
                <w:sz w:val="24"/>
                <w:szCs w:val="24"/>
              </w:rPr>
              <w:t>25,377</w:t>
            </w:r>
          </w:p>
        </w:tc>
        <w:tc>
          <w:tcPr>
            <w:tcW w:w="1283" w:type="dxa"/>
          </w:tcPr>
          <w:p w:rsidR="008C4CB1" w:rsidRDefault="008C4CB1" w:rsidP="00B60E21">
            <w:pPr>
              <w:rPr>
                <w:sz w:val="24"/>
                <w:szCs w:val="24"/>
              </w:rPr>
            </w:pPr>
            <w:r>
              <w:rPr>
                <w:sz w:val="24"/>
                <w:szCs w:val="24"/>
              </w:rPr>
              <w:t>1,967,820</w:t>
            </w:r>
          </w:p>
        </w:tc>
        <w:tc>
          <w:tcPr>
            <w:tcW w:w="1283" w:type="dxa"/>
          </w:tcPr>
          <w:p w:rsidR="008C4CB1" w:rsidRDefault="008C4CB1" w:rsidP="00B52C38">
            <w:pPr>
              <w:rPr>
                <w:sz w:val="24"/>
                <w:szCs w:val="24"/>
              </w:rPr>
            </w:pPr>
            <w:r>
              <w:rPr>
                <w:sz w:val="24"/>
                <w:szCs w:val="24"/>
              </w:rPr>
              <w:t>$</w:t>
            </w:r>
            <w:r w:rsidR="00B52C38">
              <w:rPr>
                <w:sz w:val="24"/>
                <w:szCs w:val="24"/>
              </w:rPr>
              <w:t>269,181</w:t>
            </w:r>
          </w:p>
        </w:tc>
        <w:tc>
          <w:tcPr>
            <w:tcW w:w="1283" w:type="dxa"/>
          </w:tcPr>
          <w:p w:rsidR="008C4CB1" w:rsidRDefault="008C4CB1" w:rsidP="00B60E21">
            <w:pPr>
              <w:rPr>
                <w:sz w:val="24"/>
                <w:szCs w:val="24"/>
              </w:rPr>
            </w:pPr>
            <w:r>
              <w:rPr>
                <w:sz w:val="24"/>
                <w:szCs w:val="24"/>
              </w:rPr>
              <w:t>11.17</w:t>
            </w:r>
          </w:p>
        </w:tc>
        <w:tc>
          <w:tcPr>
            <w:tcW w:w="1680" w:type="dxa"/>
            <w:shd w:val="clear" w:color="auto" w:fill="D9D9D9" w:themeFill="background1" w:themeFillShade="D9"/>
          </w:tcPr>
          <w:p w:rsidR="008C4CB1" w:rsidRDefault="00B52C38" w:rsidP="00B60E21">
            <w:pPr>
              <w:rPr>
                <w:sz w:val="24"/>
                <w:szCs w:val="24"/>
              </w:rPr>
            </w:pPr>
            <w:r>
              <w:rPr>
                <w:sz w:val="24"/>
                <w:szCs w:val="24"/>
              </w:rPr>
              <w:t>$112,736</w:t>
            </w:r>
          </w:p>
        </w:tc>
        <w:tc>
          <w:tcPr>
            <w:tcW w:w="1418" w:type="dxa"/>
          </w:tcPr>
          <w:p w:rsidR="008C4CB1" w:rsidRDefault="00BC0EB6" w:rsidP="00B60E21">
            <w:pPr>
              <w:rPr>
                <w:sz w:val="24"/>
                <w:szCs w:val="24"/>
              </w:rPr>
            </w:pPr>
            <w:r>
              <w:rPr>
                <w:sz w:val="24"/>
                <w:szCs w:val="24"/>
              </w:rPr>
              <w:t>42%</w:t>
            </w:r>
          </w:p>
        </w:tc>
        <w:tc>
          <w:tcPr>
            <w:tcW w:w="1134" w:type="dxa"/>
          </w:tcPr>
          <w:p w:rsidR="008C4CB1" w:rsidRDefault="00354970" w:rsidP="00B60E21">
            <w:pPr>
              <w:rPr>
                <w:sz w:val="24"/>
                <w:szCs w:val="24"/>
              </w:rPr>
            </w:pPr>
            <w:r>
              <w:rPr>
                <w:sz w:val="24"/>
                <w:szCs w:val="24"/>
              </w:rPr>
              <w:t>95.8</w:t>
            </w:r>
          </w:p>
        </w:tc>
      </w:tr>
      <w:tr w:rsidR="00354970" w:rsidTr="006A427E">
        <w:tc>
          <w:tcPr>
            <w:tcW w:w="817" w:type="dxa"/>
          </w:tcPr>
          <w:p w:rsidR="008C4CB1" w:rsidRPr="00354970" w:rsidRDefault="008C4CB1" w:rsidP="00B60E21">
            <w:pPr>
              <w:rPr>
                <w:b/>
                <w:sz w:val="24"/>
                <w:szCs w:val="24"/>
              </w:rPr>
            </w:pPr>
            <w:r w:rsidRPr="00354970">
              <w:rPr>
                <w:b/>
                <w:sz w:val="24"/>
                <w:szCs w:val="24"/>
              </w:rPr>
              <w:t>2013-2014</w:t>
            </w:r>
          </w:p>
        </w:tc>
        <w:tc>
          <w:tcPr>
            <w:tcW w:w="1133" w:type="dxa"/>
          </w:tcPr>
          <w:p w:rsidR="008C4CB1" w:rsidRDefault="008C4CB1" w:rsidP="00B60E21">
            <w:pPr>
              <w:rPr>
                <w:sz w:val="24"/>
                <w:szCs w:val="24"/>
              </w:rPr>
            </w:pPr>
            <w:r>
              <w:rPr>
                <w:sz w:val="24"/>
                <w:szCs w:val="24"/>
              </w:rPr>
              <w:t>29,470</w:t>
            </w:r>
          </w:p>
        </w:tc>
        <w:tc>
          <w:tcPr>
            <w:tcW w:w="1283" w:type="dxa"/>
          </w:tcPr>
          <w:p w:rsidR="008C4CB1" w:rsidRDefault="008C4CB1" w:rsidP="00B60E21">
            <w:pPr>
              <w:rPr>
                <w:sz w:val="24"/>
                <w:szCs w:val="24"/>
              </w:rPr>
            </w:pPr>
            <w:r>
              <w:rPr>
                <w:sz w:val="24"/>
                <w:szCs w:val="24"/>
              </w:rPr>
              <w:t>2,298,531</w:t>
            </w:r>
          </w:p>
        </w:tc>
        <w:tc>
          <w:tcPr>
            <w:tcW w:w="1283" w:type="dxa"/>
          </w:tcPr>
          <w:p w:rsidR="008C4CB1" w:rsidRDefault="008C4CB1" w:rsidP="00B52C38">
            <w:pPr>
              <w:rPr>
                <w:sz w:val="24"/>
                <w:szCs w:val="24"/>
              </w:rPr>
            </w:pPr>
            <w:r>
              <w:rPr>
                <w:sz w:val="24"/>
                <w:szCs w:val="24"/>
              </w:rPr>
              <w:t>$4</w:t>
            </w:r>
            <w:r w:rsidR="00B52C38">
              <w:rPr>
                <w:sz w:val="24"/>
                <w:szCs w:val="24"/>
              </w:rPr>
              <w:t>04</w:t>
            </w:r>
            <w:r>
              <w:rPr>
                <w:sz w:val="24"/>
                <w:szCs w:val="24"/>
              </w:rPr>
              <w:t>,</w:t>
            </w:r>
            <w:r w:rsidR="00B52C38">
              <w:rPr>
                <w:sz w:val="24"/>
                <w:szCs w:val="24"/>
              </w:rPr>
              <w:t xml:space="preserve">595 </w:t>
            </w:r>
            <w:r w:rsidR="00B52C38" w:rsidRPr="00354970">
              <w:rPr>
                <w:sz w:val="18"/>
                <w:szCs w:val="24"/>
              </w:rPr>
              <w:t>(+50.3%)</w:t>
            </w:r>
          </w:p>
        </w:tc>
        <w:tc>
          <w:tcPr>
            <w:tcW w:w="1283" w:type="dxa"/>
          </w:tcPr>
          <w:p w:rsidR="008C4CB1" w:rsidRDefault="008C4CB1" w:rsidP="00B60E21">
            <w:pPr>
              <w:rPr>
                <w:sz w:val="24"/>
                <w:szCs w:val="24"/>
              </w:rPr>
            </w:pPr>
            <w:r>
              <w:rPr>
                <w:sz w:val="24"/>
                <w:szCs w:val="24"/>
              </w:rPr>
              <w:t>14.61</w:t>
            </w:r>
            <w:r w:rsidR="00B52C38">
              <w:rPr>
                <w:sz w:val="24"/>
                <w:szCs w:val="24"/>
              </w:rPr>
              <w:t xml:space="preserve"> </w:t>
            </w:r>
            <w:r w:rsidR="00B52C38" w:rsidRPr="00354970">
              <w:rPr>
                <w:sz w:val="18"/>
                <w:szCs w:val="24"/>
              </w:rPr>
              <w:t>(+30.8%)</w:t>
            </w:r>
          </w:p>
        </w:tc>
        <w:tc>
          <w:tcPr>
            <w:tcW w:w="1680" w:type="dxa"/>
            <w:shd w:val="clear" w:color="auto" w:fill="D9D9D9" w:themeFill="background1" w:themeFillShade="D9"/>
          </w:tcPr>
          <w:p w:rsidR="008C4CB1" w:rsidRDefault="00B52C38" w:rsidP="00B60E21">
            <w:pPr>
              <w:rPr>
                <w:sz w:val="24"/>
                <w:szCs w:val="24"/>
              </w:rPr>
            </w:pPr>
            <w:r>
              <w:rPr>
                <w:sz w:val="24"/>
                <w:szCs w:val="24"/>
              </w:rPr>
              <w:t xml:space="preserve">$215,852 </w:t>
            </w:r>
            <w:r w:rsidRPr="00354970">
              <w:rPr>
                <w:sz w:val="18"/>
                <w:szCs w:val="24"/>
              </w:rPr>
              <w:t>(+91</w:t>
            </w:r>
            <w:r w:rsidR="00354970">
              <w:rPr>
                <w:sz w:val="18"/>
                <w:szCs w:val="24"/>
              </w:rPr>
              <w:t>.1</w:t>
            </w:r>
            <w:r w:rsidRPr="00354970">
              <w:rPr>
                <w:sz w:val="18"/>
                <w:szCs w:val="24"/>
              </w:rPr>
              <w:t>%)</w:t>
            </w:r>
          </w:p>
        </w:tc>
        <w:tc>
          <w:tcPr>
            <w:tcW w:w="1418" w:type="dxa"/>
          </w:tcPr>
          <w:p w:rsidR="008C4CB1" w:rsidRDefault="00BC0EB6" w:rsidP="00B60E21">
            <w:pPr>
              <w:rPr>
                <w:sz w:val="24"/>
                <w:szCs w:val="24"/>
              </w:rPr>
            </w:pPr>
            <w:r>
              <w:rPr>
                <w:sz w:val="24"/>
                <w:szCs w:val="24"/>
              </w:rPr>
              <w:t>53%</w:t>
            </w:r>
          </w:p>
        </w:tc>
        <w:tc>
          <w:tcPr>
            <w:tcW w:w="1134" w:type="dxa"/>
          </w:tcPr>
          <w:p w:rsidR="008C4CB1" w:rsidRDefault="00354970" w:rsidP="00354970">
            <w:pPr>
              <w:rPr>
                <w:sz w:val="24"/>
                <w:szCs w:val="24"/>
              </w:rPr>
            </w:pPr>
            <w:r>
              <w:rPr>
                <w:sz w:val="24"/>
                <w:szCs w:val="24"/>
              </w:rPr>
              <w:t xml:space="preserve">105.9 </w:t>
            </w:r>
            <w:r w:rsidRPr="00354970">
              <w:rPr>
                <w:sz w:val="18"/>
                <w:szCs w:val="24"/>
              </w:rPr>
              <w:t>(+10.5%)</w:t>
            </w:r>
          </w:p>
        </w:tc>
      </w:tr>
    </w:tbl>
    <w:p w:rsidR="008C4CB1" w:rsidRDefault="008C4CB1" w:rsidP="00B60E21">
      <w:pPr>
        <w:rPr>
          <w:sz w:val="24"/>
          <w:szCs w:val="24"/>
        </w:rPr>
      </w:pPr>
    </w:p>
    <w:p w:rsidR="00DA39BE" w:rsidRDefault="00DA39BE" w:rsidP="00B60E21">
      <w:pPr>
        <w:rPr>
          <w:sz w:val="24"/>
          <w:szCs w:val="24"/>
        </w:rPr>
      </w:pPr>
    </w:p>
    <w:p w:rsidR="00DA39BE" w:rsidRDefault="001A49AE" w:rsidP="00B60E21">
      <w:pPr>
        <w:rPr>
          <w:sz w:val="24"/>
          <w:szCs w:val="24"/>
        </w:rPr>
      </w:pPr>
      <w:r>
        <w:rPr>
          <w:sz w:val="24"/>
          <w:szCs w:val="24"/>
        </w:rPr>
        <w:t xml:space="preserve">Operating as a not-for-profit organisation, these network charge rises have put price pressures on the Trust </w:t>
      </w:r>
      <w:r w:rsidR="00B9781A">
        <w:rPr>
          <w:sz w:val="24"/>
          <w:szCs w:val="24"/>
        </w:rPr>
        <w:t>that</w:t>
      </w:r>
      <w:r>
        <w:rPr>
          <w:sz w:val="24"/>
          <w:szCs w:val="24"/>
        </w:rPr>
        <w:t xml:space="preserve"> must be subsequently passed on to irrigators. Irrigators using efficient irrigation systems are also required to operate their own pumps and therefore face associated additional electricity costs. Incentives for irrigators to install water efficient systems have </w:t>
      </w:r>
      <w:r w:rsidR="006C6085">
        <w:rPr>
          <w:sz w:val="24"/>
          <w:szCs w:val="24"/>
        </w:rPr>
        <w:t xml:space="preserve">therefore </w:t>
      </w:r>
      <w:r>
        <w:rPr>
          <w:sz w:val="24"/>
          <w:szCs w:val="24"/>
        </w:rPr>
        <w:t>been significantly eroded by the cost of electricity required to operate such systems. The growing number of irrigators struggling to pay Trust bills is indicative of the reduced viability caused by rising costs, especially those like SAPN that have been continually above CPI by large amounts.</w:t>
      </w:r>
    </w:p>
    <w:p w:rsidR="006C6085" w:rsidRDefault="006C6085" w:rsidP="00B60E21">
      <w:pPr>
        <w:rPr>
          <w:sz w:val="24"/>
          <w:szCs w:val="24"/>
        </w:rPr>
      </w:pPr>
    </w:p>
    <w:p w:rsidR="00705911" w:rsidRDefault="00705911" w:rsidP="00B60E21">
      <w:pPr>
        <w:rPr>
          <w:sz w:val="24"/>
          <w:szCs w:val="24"/>
        </w:rPr>
      </w:pPr>
      <w:r>
        <w:rPr>
          <w:b/>
          <w:sz w:val="24"/>
          <w:szCs w:val="24"/>
        </w:rPr>
        <w:t>CAPEX &amp; OPEX</w:t>
      </w:r>
    </w:p>
    <w:p w:rsidR="00D24191" w:rsidRDefault="006C6085" w:rsidP="00B60E21">
      <w:pPr>
        <w:rPr>
          <w:sz w:val="24"/>
          <w:szCs w:val="24"/>
        </w:rPr>
      </w:pPr>
      <w:r>
        <w:rPr>
          <w:sz w:val="24"/>
          <w:szCs w:val="24"/>
        </w:rPr>
        <w:t xml:space="preserve">SAPN have tried to justify the recent price hikes suggesting a need for CAPEX and OPEX increases in the coming regulatory period of </w:t>
      </w:r>
      <w:r w:rsidR="00C75A4A">
        <w:rPr>
          <w:sz w:val="24"/>
          <w:szCs w:val="24"/>
        </w:rPr>
        <w:t xml:space="preserve">over 50% and 33% respectively. They have used a flawed consumer engagement process that asked questions about road safety, bushfire prevention, </w:t>
      </w:r>
      <w:r w:rsidR="00D24191">
        <w:rPr>
          <w:sz w:val="24"/>
          <w:szCs w:val="24"/>
        </w:rPr>
        <w:t>and reliability</w:t>
      </w:r>
      <w:r w:rsidR="00C75A4A">
        <w:rPr>
          <w:sz w:val="24"/>
          <w:szCs w:val="24"/>
        </w:rPr>
        <w:t xml:space="preserve"> </w:t>
      </w:r>
      <w:r w:rsidR="00D24191">
        <w:rPr>
          <w:sz w:val="24"/>
          <w:szCs w:val="24"/>
        </w:rPr>
        <w:t>during</w:t>
      </w:r>
      <w:r w:rsidR="00C75A4A">
        <w:rPr>
          <w:sz w:val="24"/>
          <w:szCs w:val="24"/>
        </w:rPr>
        <w:t xml:space="preserve"> storms </w:t>
      </w:r>
      <w:r w:rsidR="00D24191">
        <w:rPr>
          <w:sz w:val="24"/>
          <w:szCs w:val="24"/>
        </w:rPr>
        <w:t>(</w:t>
      </w:r>
      <w:r w:rsidR="00C75A4A">
        <w:rPr>
          <w:sz w:val="24"/>
          <w:szCs w:val="24"/>
        </w:rPr>
        <w:t xml:space="preserve">that </w:t>
      </w:r>
      <w:r w:rsidR="00D24191">
        <w:rPr>
          <w:sz w:val="24"/>
          <w:szCs w:val="24"/>
        </w:rPr>
        <w:t xml:space="preserve">everybody desires) to further justify these expenses but </w:t>
      </w:r>
      <w:r w:rsidR="00C75A4A">
        <w:rPr>
          <w:sz w:val="24"/>
          <w:szCs w:val="24"/>
        </w:rPr>
        <w:t>did not indicate</w:t>
      </w:r>
      <w:r w:rsidR="00D24191">
        <w:rPr>
          <w:sz w:val="24"/>
          <w:szCs w:val="24"/>
        </w:rPr>
        <w:t xml:space="preserve"> to consumers what costs are incurred and what profits SAPN is already making from price rises. Many consumers are complaining about the increasing cost of electricity but are not aware of the part played by SAPN in those increases.</w:t>
      </w:r>
    </w:p>
    <w:p w:rsidR="006A427E" w:rsidRDefault="006A427E" w:rsidP="00B60E21">
      <w:pPr>
        <w:rPr>
          <w:sz w:val="24"/>
          <w:szCs w:val="24"/>
        </w:rPr>
      </w:pPr>
    </w:p>
    <w:p w:rsidR="006A427E" w:rsidRDefault="006A427E" w:rsidP="00B60E21">
      <w:pPr>
        <w:rPr>
          <w:sz w:val="24"/>
          <w:szCs w:val="24"/>
        </w:rPr>
      </w:pPr>
      <w:r>
        <w:rPr>
          <w:sz w:val="24"/>
          <w:szCs w:val="24"/>
        </w:rPr>
        <w:t xml:space="preserve">Page 6 of SAPN’s proposal overview document shows the outcomes achieved in the last 5 years and a chart (Figure 8) that shows revenue, capex and </w:t>
      </w:r>
      <w:proofErr w:type="spellStart"/>
      <w:r>
        <w:rPr>
          <w:sz w:val="24"/>
          <w:szCs w:val="24"/>
        </w:rPr>
        <w:t>opex</w:t>
      </w:r>
      <w:proofErr w:type="spellEnd"/>
      <w:r>
        <w:rPr>
          <w:sz w:val="24"/>
          <w:szCs w:val="24"/>
        </w:rPr>
        <w:t xml:space="preserve">. SAPN have achieved quite notable outcomes in asset replacement, reliability and operationally without noticeable increases in either capex or </w:t>
      </w:r>
      <w:proofErr w:type="spellStart"/>
      <w:r>
        <w:rPr>
          <w:sz w:val="24"/>
          <w:szCs w:val="24"/>
        </w:rPr>
        <w:t>opex</w:t>
      </w:r>
      <w:proofErr w:type="spellEnd"/>
      <w:r>
        <w:rPr>
          <w:sz w:val="24"/>
          <w:szCs w:val="24"/>
        </w:rPr>
        <w:t>. In the same period revenue appears to have risen by around $200m (28%).</w:t>
      </w:r>
    </w:p>
    <w:p w:rsidR="008A1378" w:rsidRDefault="008A1378" w:rsidP="00B60E21">
      <w:pPr>
        <w:rPr>
          <w:sz w:val="24"/>
          <w:szCs w:val="24"/>
        </w:rPr>
      </w:pPr>
    </w:p>
    <w:p w:rsidR="008A1378" w:rsidRDefault="008A1378" w:rsidP="00B60E21">
      <w:pPr>
        <w:rPr>
          <w:sz w:val="24"/>
          <w:szCs w:val="24"/>
        </w:rPr>
      </w:pPr>
      <w:r>
        <w:rPr>
          <w:sz w:val="24"/>
          <w:szCs w:val="24"/>
        </w:rPr>
        <w:t>Also from the document and at their presentation, SAPN have indicated that reliability of their network is very high by performance indicators. The Trust has not experienced any issues with reliability and is not aware of any in our region. There appears to be no real justification for a substantial increase in the rate of asset replacement programs.</w:t>
      </w:r>
    </w:p>
    <w:p w:rsidR="00705911" w:rsidRDefault="00705911" w:rsidP="00B60E21">
      <w:pPr>
        <w:rPr>
          <w:sz w:val="24"/>
          <w:szCs w:val="24"/>
        </w:rPr>
      </w:pPr>
    </w:p>
    <w:p w:rsidR="00705911" w:rsidRDefault="00705911" w:rsidP="00B60E21">
      <w:pPr>
        <w:rPr>
          <w:sz w:val="24"/>
          <w:szCs w:val="24"/>
        </w:rPr>
      </w:pPr>
      <w:r>
        <w:rPr>
          <w:sz w:val="24"/>
          <w:szCs w:val="24"/>
        </w:rPr>
        <w:t xml:space="preserve">As with all business, any capex should be subject to a cost benefit analysis. SAPN should make significant savings in future </w:t>
      </w:r>
      <w:proofErr w:type="spellStart"/>
      <w:r>
        <w:rPr>
          <w:sz w:val="24"/>
          <w:szCs w:val="24"/>
        </w:rPr>
        <w:t>opex</w:t>
      </w:r>
      <w:proofErr w:type="spellEnd"/>
      <w:r>
        <w:rPr>
          <w:sz w:val="24"/>
          <w:szCs w:val="24"/>
        </w:rPr>
        <w:t xml:space="preserve"> for any enhancements or ‘hardening’ of the network. For instance, a network more resistant to storm damage will reduce repair</w:t>
      </w:r>
      <w:r w:rsidR="009068E4">
        <w:rPr>
          <w:sz w:val="24"/>
          <w:szCs w:val="24"/>
        </w:rPr>
        <w:t>, insurance</w:t>
      </w:r>
      <w:r>
        <w:rPr>
          <w:sz w:val="24"/>
          <w:szCs w:val="24"/>
        </w:rPr>
        <w:t xml:space="preserve"> and compensation costs</w:t>
      </w:r>
      <w:r w:rsidR="009068E4">
        <w:rPr>
          <w:sz w:val="24"/>
          <w:szCs w:val="24"/>
        </w:rPr>
        <w:t xml:space="preserve"> whereby any capex should be easily recovered over the long life expectancy of network infrastructure.</w:t>
      </w:r>
    </w:p>
    <w:p w:rsidR="00D24191" w:rsidRDefault="00D24191" w:rsidP="00B60E21">
      <w:pPr>
        <w:rPr>
          <w:sz w:val="24"/>
          <w:szCs w:val="24"/>
        </w:rPr>
      </w:pPr>
    </w:p>
    <w:p w:rsidR="009068E4" w:rsidRDefault="009068E4" w:rsidP="00B60E21">
      <w:pPr>
        <w:rPr>
          <w:sz w:val="24"/>
          <w:szCs w:val="24"/>
        </w:rPr>
      </w:pPr>
      <w:r>
        <w:rPr>
          <w:sz w:val="24"/>
          <w:szCs w:val="24"/>
        </w:rPr>
        <w:lastRenderedPageBreak/>
        <w:t>The Regulated Asset Base method of calculating ‘appropriate’ charges for distribution network service providers appears to provide incentive for large capex which will in turn be used to justify future increases.</w:t>
      </w:r>
    </w:p>
    <w:p w:rsidR="006C6085" w:rsidRDefault="006C6085" w:rsidP="00B60E21">
      <w:pPr>
        <w:rPr>
          <w:sz w:val="24"/>
          <w:szCs w:val="24"/>
        </w:rPr>
      </w:pPr>
    </w:p>
    <w:p w:rsidR="008E6B88" w:rsidRDefault="0081477B" w:rsidP="00B60E21">
      <w:pPr>
        <w:rPr>
          <w:sz w:val="24"/>
          <w:szCs w:val="24"/>
        </w:rPr>
      </w:pPr>
      <w:r>
        <w:rPr>
          <w:b/>
          <w:sz w:val="24"/>
          <w:szCs w:val="24"/>
        </w:rPr>
        <w:t>Rate of Return</w:t>
      </w:r>
    </w:p>
    <w:p w:rsidR="0081477B" w:rsidRPr="0081477B" w:rsidRDefault="0081477B" w:rsidP="00B60E21">
      <w:pPr>
        <w:rPr>
          <w:sz w:val="24"/>
          <w:szCs w:val="24"/>
        </w:rPr>
      </w:pPr>
      <w:r>
        <w:rPr>
          <w:sz w:val="24"/>
          <w:szCs w:val="24"/>
        </w:rPr>
        <w:t>The Trust is pleased to see that the AER is investigating the proposed rate of return. Based on their previous 5 year return it seems likely that SAPN will achieve better than their proposal. A monopoly provider supplying an essential service should not be expecting or allowed to achieve excessive rates of return. The proposed figure appears to be very high in the current economy compared to average business models</w:t>
      </w:r>
      <w:r w:rsidR="00D30F17">
        <w:rPr>
          <w:sz w:val="24"/>
          <w:szCs w:val="24"/>
        </w:rPr>
        <w:t xml:space="preserve"> and allowing for the high rate of return in recent years</w:t>
      </w:r>
      <w:r>
        <w:rPr>
          <w:sz w:val="24"/>
          <w:szCs w:val="24"/>
        </w:rPr>
        <w:t>.</w:t>
      </w:r>
      <w:r w:rsidR="00D30F17">
        <w:rPr>
          <w:sz w:val="24"/>
          <w:szCs w:val="24"/>
        </w:rPr>
        <w:t xml:space="preserve"> The rate of r</w:t>
      </w:r>
      <w:r w:rsidR="007102D3">
        <w:rPr>
          <w:sz w:val="24"/>
          <w:szCs w:val="24"/>
        </w:rPr>
        <w:t>eturn should be compared to similar businesses overseas rather than interstate where similar high rates are occurring.</w:t>
      </w:r>
    </w:p>
    <w:p w:rsidR="00190F86" w:rsidRDefault="00190F86" w:rsidP="00B60E21">
      <w:pPr>
        <w:rPr>
          <w:sz w:val="24"/>
          <w:szCs w:val="24"/>
        </w:rPr>
      </w:pPr>
    </w:p>
    <w:p w:rsidR="00F138E8" w:rsidRDefault="007102D3" w:rsidP="00B60E21">
      <w:pPr>
        <w:rPr>
          <w:b/>
          <w:sz w:val="24"/>
          <w:szCs w:val="24"/>
        </w:rPr>
      </w:pPr>
      <w:r>
        <w:rPr>
          <w:b/>
          <w:sz w:val="24"/>
          <w:szCs w:val="24"/>
        </w:rPr>
        <w:t>Alternative Tariffs</w:t>
      </w:r>
    </w:p>
    <w:p w:rsidR="007102D3" w:rsidRPr="007102D3" w:rsidRDefault="007102D3" w:rsidP="00B60E21">
      <w:pPr>
        <w:rPr>
          <w:sz w:val="24"/>
          <w:szCs w:val="24"/>
        </w:rPr>
      </w:pPr>
      <w:r>
        <w:rPr>
          <w:sz w:val="24"/>
          <w:szCs w:val="24"/>
        </w:rPr>
        <w:t xml:space="preserve">The Trust is pleased that SAPN are considering other tariff options. Irrigators throughout Australia have been asking for a “Food &amp; Fibre” tariff that provides discounted tariffs to an industry </w:t>
      </w:r>
      <w:r w:rsidR="00CA2644">
        <w:rPr>
          <w:sz w:val="24"/>
          <w:szCs w:val="24"/>
        </w:rPr>
        <w:t>struggling to remain viable against</w:t>
      </w:r>
      <w:r>
        <w:rPr>
          <w:sz w:val="24"/>
          <w:szCs w:val="24"/>
        </w:rPr>
        <w:t xml:space="preserve"> high levels of international competition.</w:t>
      </w:r>
      <w:r w:rsidR="00CA2644">
        <w:rPr>
          <w:sz w:val="24"/>
          <w:szCs w:val="24"/>
        </w:rPr>
        <w:t xml:space="preserve"> </w:t>
      </w:r>
      <w:r>
        <w:rPr>
          <w:sz w:val="24"/>
          <w:szCs w:val="24"/>
        </w:rPr>
        <w:t>However, SAPN must ensure that tariffs are simplified and allow consumers to easily select the most appropriate.</w:t>
      </w:r>
    </w:p>
    <w:p w:rsidR="00F138E8" w:rsidRDefault="00F138E8" w:rsidP="00B60E21">
      <w:pPr>
        <w:rPr>
          <w:sz w:val="24"/>
          <w:szCs w:val="24"/>
        </w:rPr>
      </w:pPr>
    </w:p>
    <w:p w:rsidR="00F138E8" w:rsidRDefault="00D30F17" w:rsidP="00B60E21">
      <w:pPr>
        <w:rPr>
          <w:sz w:val="24"/>
          <w:szCs w:val="24"/>
        </w:rPr>
      </w:pPr>
      <w:r>
        <w:rPr>
          <w:b/>
          <w:sz w:val="24"/>
          <w:szCs w:val="24"/>
        </w:rPr>
        <w:t>Conclusion</w:t>
      </w:r>
    </w:p>
    <w:p w:rsidR="00D30F17" w:rsidRDefault="00D30F17" w:rsidP="00B60E21">
      <w:pPr>
        <w:rPr>
          <w:sz w:val="24"/>
          <w:szCs w:val="24"/>
        </w:rPr>
      </w:pPr>
      <w:r>
        <w:rPr>
          <w:sz w:val="24"/>
          <w:szCs w:val="24"/>
        </w:rPr>
        <w:t xml:space="preserve">The Trust is convinced that </w:t>
      </w:r>
      <w:r w:rsidR="00CA2644">
        <w:rPr>
          <w:sz w:val="24"/>
          <w:szCs w:val="24"/>
        </w:rPr>
        <w:t>the proposal by SAPN is not acceptable in the light of excessive price rises over the last 5 years. SAPN network charges need to be heavily reduced to help irrigators and many other businesses in our region remain viable</w:t>
      </w:r>
      <w:r w:rsidR="00761033">
        <w:rPr>
          <w:sz w:val="24"/>
          <w:szCs w:val="24"/>
        </w:rPr>
        <w:t xml:space="preserve"> for the future and in addition provide confidence for new investments.</w:t>
      </w:r>
    </w:p>
    <w:p w:rsidR="00761033" w:rsidRDefault="00761033" w:rsidP="00B60E21">
      <w:pPr>
        <w:rPr>
          <w:sz w:val="24"/>
          <w:szCs w:val="24"/>
        </w:rPr>
      </w:pPr>
    </w:p>
    <w:p w:rsidR="00743D82" w:rsidRDefault="00761033" w:rsidP="00B60E21">
      <w:pPr>
        <w:rPr>
          <w:sz w:val="24"/>
          <w:szCs w:val="24"/>
        </w:rPr>
      </w:pPr>
      <w:r>
        <w:rPr>
          <w:sz w:val="24"/>
          <w:szCs w:val="24"/>
        </w:rPr>
        <w:t xml:space="preserve">The Trust would </w:t>
      </w:r>
      <w:r w:rsidR="00743D82">
        <w:rPr>
          <w:sz w:val="24"/>
          <w:szCs w:val="24"/>
        </w:rPr>
        <w:t xml:space="preserve">also </w:t>
      </w:r>
      <w:r>
        <w:rPr>
          <w:sz w:val="24"/>
          <w:szCs w:val="24"/>
        </w:rPr>
        <w:t>like to draw the attention of the AER to the submis</w:t>
      </w:r>
      <w:r w:rsidR="00743D82">
        <w:rPr>
          <w:sz w:val="24"/>
          <w:szCs w:val="24"/>
        </w:rPr>
        <w:t>sions of related organisations including:</w:t>
      </w:r>
    </w:p>
    <w:p w:rsidR="00761033" w:rsidRDefault="00761033" w:rsidP="00743D82">
      <w:pPr>
        <w:numPr>
          <w:ilvl w:val="0"/>
          <w:numId w:val="1"/>
        </w:numPr>
        <w:rPr>
          <w:sz w:val="24"/>
          <w:szCs w:val="24"/>
        </w:rPr>
      </w:pPr>
      <w:r>
        <w:rPr>
          <w:sz w:val="24"/>
          <w:szCs w:val="24"/>
        </w:rPr>
        <w:t>Central Irrigation Trust which is also an Irrigation Infrastructure Operator in the Riverland of South Australia</w:t>
      </w:r>
    </w:p>
    <w:p w:rsidR="00743D82" w:rsidRPr="00D30F17" w:rsidRDefault="00743D82" w:rsidP="00743D82">
      <w:pPr>
        <w:numPr>
          <w:ilvl w:val="0"/>
          <w:numId w:val="1"/>
        </w:numPr>
        <w:rPr>
          <w:sz w:val="24"/>
          <w:szCs w:val="24"/>
        </w:rPr>
      </w:pPr>
      <w:r>
        <w:rPr>
          <w:sz w:val="24"/>
          <w:szCs w:val="24"/>
        </w:rPr>
        <w:t>National Irrigators Council which represents irrigators throughout Australia</w:t>
      </w:r>
    </w:p>
    <w:p w:rsidR="00F138E8" w:rsidRDefault="00F138E8" w:rsidP="00B60E21">
      <w:pPr>
        <w:rPr>
          <w:sz w:val="24"/>
          <w:szCs w:val="24"/>
        </w:rPr>
      </w:pPr>
    </w:p>
    <w:p w:rsidR="00F138E8" w:rsidRDefault="00F138E8" w:rsidP="00B60E21">
      <w:pPr>
        <w:rPr>
          <w:sz w:val="24"/>
          <w:szCs w:val="24"/>
        </w:rPr>
      </w:pPr>
    </w:p>
    <w:p w:rsidR="00743D82" w:rsidRDefault="00743D82" w:rsidP="00B60E21">
      <w:pPr>
        <w:rPr>
          <w:sz w:val="24"/>
          <w:szCs w:val="24"/>
        </w:rPr>
      </w:pPr>
      <w:r>
        <w:rPr>
          <w:sz w:val="24"/>
          <w:szCs w:val="24"/>
        </w:rPr>
        <w:t>Thank you for your consideration of this submission.</w:t>
      </w:r>
    </w:p>
    <w:p w:rsidR="00743D82" w:rsidRDefault="00743D82" w:rsidP="00B60E21">
      <w:pPr>
        <w:rPr>
          <w:sz w:val="24"/>
          <w:szCs w:val="24"/>
        </w:rPr>
      </w:pPr>
    </w:p>
    <w:p w:rsidR="00F138E8" w:rsidRDefault="00F138E8" w:rsidP="00B60E21">
      <w:pPr>
        <w:rPr>
          <w:sz w:val="24"/>
          <w:szCs w:val="24"/>
        </w:rPr>
      </w:pPr>
    </w:p>
    <w:p w:rsidR="00ED3D52" w:rsidRDefault="00603ACC" w:rsidP="00B60E21">
      <w:pPr>
        <w:rPr>
          <w:sz w:val="24"/>
          <w:szCs w:val="24"/>
        </w:rPr>
      </w:pPr>
      <w:r>
        <w:rPr>
          <w:sz w:val="24"/>
          <w:szCs w:val="24"/>
        </w:rPr>
        <w:t xml:space="preserve">Yours </w:t>
      </w:r>
      <w:r w:rsidR="00ED3D52">
        <w:rPr>
          <w:sz w:val="24"/>
          <w:szCs w:val="24"/>
        </w:rPr>
        <w:t>Faithfully</w:t>
      </w:r>
    </w:p>
    <w:p w:rsidR="00F1220A" w:rsidRDefault="00F1220A" w:rsidP="00B60E21">
      <w:pPr>
        <w:rPr>
          <w:sz w:val="24"/>
          <w:szCs w:val="24"/>
        </w:rPr>
      </w:pPr>
    </w:p>
    <w:p w:rsidR="00190F86" w:rsidRDefault="00FE1004" w:rsidP="00B60E21">
      <w:pPr>
        <w:rPr>
          <w:sz w:val="24"/>
          <w:szCs w:val="24"/>
        </w:rPr>
      </w:pPr>
      <w:r>
        <w:rPr>
          <w:sz w:val="24"/>
          <w:szCs w:val="24"/>
        </w:rPr>
        <w:pict>
          <v:shape id="_x0000_i1025" type="#_x0000_t75" style="width:124.2pt;height:35.65pt">
            <v:imagedata r:id="rId10" o:title="BarrySchier-Signature"/>
          </v:shape>
        </w:pict>
      </w:r>
    </w:p>
    <w:p w:rsidR="00603ACC" w:rsidRDefault="00603ACC" w:rsidP="00B60E21">
      <w:pPr>
        <w:rPr>
          <w:sz w:val="24"/>
          <w:szCs w:val="24"/>
        </w:rPr>
      </w:pPr>
    </w:p>
    <w:p w:rsidR="00603ACC" w:rsidRDefault="00603ACC" w:rsidP="00B60E21">
      <w:pPr>
        <w:rPr>
          <w:sz w:val="24"/>
          <w:szCs w:val="24"/>
        </w:rPr>
      </w:pPr>
    </w:p>
    <w:p w:rsidR="00190F86" w:rsidRDefault="00190F86" w:rsidP="00B60E21">
      <w:pPr>
        <w:rPr>
          <w:sz w:val="24"/>
          <w:szCs w:val="24"/>
        </w:rPr>
      </w:pPr>
      <w:r>
        <w:rPr>
          <w:sz w:val="24"/>
          <w:szCs w:val="24"/>
        </w:rPr>
        <w:t xml:space="preserve">Barry </w:t>
      </w:r>
      <w:proofErr w:type="spellStart"/>
      <w:r>
        <w:rPr>
          <w:sz w:val="24"/>
          <w:szCs w:val="24"/>
        </w:rPr>
        <w:t>Schier</w:t>
      </w:r>
      <w:proofErr w:type="spellEnd"/>
    </w:p>
    <w:p w:rsidR="00B143EA" w:rsidRDefault="00190F86" w:rsidP="00B60E21">
      <w:pPr>
        <w:rPr>
          <w:sz w:val="24"/>
          <w:szCs w:val="24"/>
        </w:rPr>
      </w:pPr>
      <w:r>
        <w:rPr>
          <w:sz w:val="24"/>
          <w:szCs w:val="24"/>
        </w:rPr>
        <w:t>General Manager</w:t>
      </w:r>
    </w:p>
    <w:p w:rsidR="00B143EA" w:rsidRPr="00DB33C9" w:rsidRDefault="00B143EA" w:rsidP="00B60E21">
      <w:pPr>
        <w:rPr>
          <w:sz w:val="24"/>
          <w:szCs w:val="24"/>
        </w:rPr>
      </w:pPr>
    </w:p>
    <w:p w:rsidR="00B60E21" w:rsidRPr="00DB33C9" w:rsidRDefault="00B60E21" w:rsidP="00B60E21">
      <w:pPr>
        <w:rPr>
          <w:sz w:val="24"/>
          <w:szCs w:val="24"/>
        </w:rPr>
      </w:pPr>
    </w:p>
    <w:p w:rsidR="00B60E21" w:rsidRPr="00DB33C9" w:rsidRDefault="00B60E21" w:rsidP="00B60E21">
      <w:pPr>
        <w:rPr>
          <w:sz w:val="24"/>
          <w:szCs w:val="24"/>
        </w:rPr>
      </w:pPr>
    </w:p>
    <w:p w:rsidR="00DB33C9" w:rsidRDefault="00DB33C9" w:rsidP="00B60E21">
      <w:pPr>
        <w:rPr>
          <w:sz w:val="24"/>
          <w:szCs w:val="24"/>
        </w:rPr>
      </w:pPr>
    </w:p>
    <w:p w:rsidR="00DB33C9" w:rsidRPr="00DB33C9" w:rsidRDefault="00DB33C9" w:rsidP="00B60E21">
      <w:pPr>
        <w:rPr>
          <w:sz w:val="24"/>
          <w:szCs w:val="24"/>
        </w:rPr>
      </w:pPr>
    </w:p>
    <w:sectPr w:rsidR="00DB33C9" w:rsidRPr="00DB33C9" w:rsidSect="00957A2F">
      <w:headerReference w:type="default" r:id="rId11"/>
      <w:footerReference w:type="default" r:id="rId12"/>
      <w:type w:val="continuous"/>
      <w:pgSz w:w="11907" w:h="16840" w:code="9"/>
      <w:pgMar w:top="1440" w:right="1440" w:bottom="1440" w:left="1440" w:header="0" w:footer="309" w:gutter="0"/>
      <w:cols w:space="720"/>
      <w:formProt w:val="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966" w:rsidRDefault="00D71966">
      <w:r>
        <w:separator/>
      </w:r>
    </w:p>
  </w:endnote>
  <w:endnote w:type="continuationSeparator" w:id="0">
    <w:p w:rsidR="00D71966" w:rsidRDefault="00D7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oisterBlack BT">
    <w:altName w:val="Times New Roman"/>
    <w:charset w:val="00"/>
    <w:family w:val="auto"/>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644" w:rsidRDefault="00CA2644" w:rsidP="00A807A0">
    <w:pPr>
      <w:pStyle w:val="Footer"/>
      <w:jc w:val="center"/>
    </w:pPr>
    <w:r>
      <w:rPr>
        <w:rStyle w:val="PageNumber"/>
      </w:rPr>
      <w:fldChar w:fldCharType="begin"/>
    </w:r>
    <w:r>
      <w:rPr>
        <w:rStyle w:val="PageNumber"/>
      </w:rPr>
      <w:instrText xml:space="preserve"> PAGE </w:instrText>
    </w:r>
    <w:r>
      <w:rPr>
        <w:rStyle w:val="PageNumber"/>
      </w:rPr>
      <w:fldChar w:fldCharType="separate"/>
    </w:r>
    <w:r w:rsidR="00FE1004">
      <w:rPr>
        <w:rStyle w:val="PageNumber"/>
        <w:noProof/>
      </w:rPr>
      <w:t>1</w:t>
    </w:r>
    <w:r>
      <w:rPr>
        <w:rStyle w:val="PageNumber"/>
      </w:rPr>
      <w:fldChar w:fldCharType="end"/>
    </w:r>
    <w:r>
      <w:rPr>
        <w:rStyle w:val="PageNumber"/>
      </w:rPr>
      <w:t xml:space="preserve"> of </w:t>
    </w:r>
    <w:r w:rsidR="00FE1004">
      <w:fldChar w:fldCharType="begin"/>
    </w:r>
    <w:r w:rsidR="00FE1004">
      <w:instrText xml:space="preserve"> NUMPAGES   \* MERGEFORMAT </w:instrText>
    </w:r>
    <w:r w:rsidR="00FE1004">
      <w:fldChar w:fldCharType="separate"/>
    </w:r>
    <w:r w:rsidR="00FE1004" w:rsidRPr="00FE1004">
      <w:rPr>
        <w:rStyle w:val="PageNumber"/>
        <w:noProof/>
      </w:rPr>
      <w:t>3</w:t>
    </w:r>
    <w:r w:rsidR="00FE1004">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966" w:rsidRDefault="00D71966">
      <w:r>
        <w:separator/>
      </w:r>
    </w:p>
  </w:footnote>
  <w:footnote w:type="continuationSeparator" w:id="0">
    <w:p w:rsidR="00D71966" w:rsidRDefault="00D71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644" w:rsidRDefault="00CA2644" w:rsidP="00B60E2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D3962"/>
    <w:multiLevelType w:val="hybridMultilevel"/>
    <w:tmpl w:val="5CCEB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Users\sogil\AppData\Local\Microsoft\Windows\Temporary Internet Files\Content.Outlook\8LCTV1RW\Submission to AER re-SA Power Networks Regulatory Proposal 2015-20.docx"/>
  </w:docVars>
  <w:rsids>
    <w:rsidRoot w:val="00DA39BE"/>
    <w:rsid w:val="000C1E1F"/>
    <w:rsid w:val="00184E30"/>
    <w:rsid w:val="001878EF"/>
    <w:rsid w:val="00190F86"/>
    <w:rsid w:val="001A49AE"/>
    <w:rsid w:val="00207157"/>
    <w:rsid w:val="002C6822"/>
    <w:rsid w:val="002D7052"/>
    <w:rsid w:val="002E7452"/>
    <w:rsid w:val="003434EE"/>
    <w:rsid w:val="00354970"/>
    <w:rsid w:val="003C64E3"/>
    <w:rsid w:val="004D6E55"/>
    <w:rsid w:val="0050385B"/>
    <w:rsid w:val="00507C09"/>
    <w:rsid w:val="0055753B"/>
    <w:rsid w:val="005C5A2C"/>
    <w:rsid w:val="005E6050"/>
    <w:rsid w:val="00603ACC"/>
    <w:rsid w:val="00647BB6"/>
    <w:rsid w:val="00650DCA"/>
    <w:rsid w:val="0068031C"/>
    <w:rsid w:val="006A427E"/>
    <w:rsid w:val="006C6085"/>
    <w:rsid w:val="006D6C9D"/>
    <w:rsid w:val="00705911"/>
    <w:rsid w:val="007102D3"/>
    <w:rsid w:val="00743D82"/>
    <w:rsid w:val="00761033"/>
    <w:rsid w:val="007A2B47"/>
    <w:rsid w:val="007A5A84"/>
    <w:rsid w:val="007B4FB1"/>
    <w:rsid w:val="007B5C09"/>
    <w:rsid w:val="007D3400"/>
    <w:rsid w:val="0080331A"/>
    <w:rsid w:val="0081477B"/>
    <w:rsid w:val="0086110D"/>
    <w:rsid w:val="00873846"/>
    <w:rsid w:val="00894D0A"/>
    <w:rsid w:val="008A1378"/>
    <w:rsid w:val="008C4CB1"/>
    <w:rsid w:val="008E6B88"/>
    <w:rsid w:val="009068E4"/>
    <w:rsid w:val="00957A2F"/>
    <w:rsid w:val="00967ADB"/>
    <w:rsid w:val="00A6459F"/>
    <w:rsid w:val="00A807A0"/>
    <w:rsid w:val="00B143EA"/>
    <w:rsid w:val="00B52C38"/>
    <w:rsid w:val="00B60E21"/>
    <w:rsid w:val="00B91E75"/>
    <w:rsid w:val="00B9781A"/>
    <w:rsid w:val="00BC0EB6"/>
    <w:rsid w:val="00BD3477"/>
    <w:rsid w:val="00C37142"/>
    <w:rsid w:val="00C75A4A"/>
    <w:rsid w:val="00C92BF3"/>
    <w:rsid w:val="00CA2644"/>
    <w:rsid w:val="00CB662C"/>
    <w:rsid w:val="00CF4017"/>
    <w:rsid w:val="00D01B5B"/>
    <w:rsid w:val="00D24191"/>
    <w:rsid w:val="00D30F17"/>
    <w:rsid w:val="00D71966"/>
    <w:rsid w:val="00DA39AA"/>
    <w:rsid w:val="00DA39BE"/>
    <w:rsid w:val="00DB33C9"/>
    <w:rsid w:val="00DE3312"/>
    <w:rsid w:val="00E25C9A"/>
    <w:rsid w:val="00ED3D52"/>
    <w:rsid w:val="00F1220A"/>
    <w:rsid w:val="00F138E8"/>
    <w:rsid w:val="00FE09C7"/>
    <w:rsid w:val="00FE10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allowincell="f" fillcolor="#396" stroke="f">
      <v:fill color="#396" opacity="32113f"/>
      <v:stroke on="f"/>
      <o:colormru v:ext="edit" colors="#6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050"/>
    <w:rPr>
      <w:lang w:eastAsia="en-US"/>
    </w:rPr>
  </w:style>
  <w:style w:type="paragraph" w:styleId="Heading1">
    <w:name w:val="heading 1"/>
    <w:basedOn w:val="Normal"/>
    <w:next w:val="Normal"/>
    <w:qFormat/>
    <w:rsid w:val="005E6050"/>
    <w:pPr>
      <w:keepNext/>
      <w:outlineLvl w:val="0"/>
    </w:pPr>
    <w:rPr>
      <w:rFonts w:ascii="CloisterBlack BT" w:hAnsi="CloisterBlack BT"/>
      <w:b/>
      <w:color w:val="0000FF"/>
      <w:sz w:val="56"/>
    </w:rPr>
  </w:style>
  <w:style w:type="paragraph" w:styleId="Heading2">
    <w:name w:val="heading 2"/>
    <w:basedOn w:val="Normal"/>
    <w:next w:val="Normal"/>
    <w:qFormat/>
    <w:rsid w:val="005E6050"/>
    <w:pPr>
      <w:keepNext/>
      <w:outlineLvl w:val="1"/>
    </w:pPr>
    <w:rPr>
      <w:b/>
      <w:sz w:val="22"/>
      <w:u w:val="single"/>
    </w:rPr>
  </w:style>
  <w:style w:type="paragraph" w:styleId="Heading3">
    <w:name w:val="heading 3"/>
    <w:basedOn w:val="Normal"/>
    <w:next w:val="Normal"/>
    <w:qFormat/>
    <w:rsid w:val="005E6050"/>
    <w:pPr>
      <w:keepNext/>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6050"/>
    <w:rPr>
      <w:color w:val="0000FF"/>
      <w:u w:val="single"/>
    </w:rPr>
  </w:style>
  <w:style w:type="paragraph" w:styleId="Header">
    <w:name w:val="header"/>
    <w:basedOn w:val="Normal"/>
    <w:rsid w:val="005E6050"/>
    <w:pPr>
      <w:tabs>
        <w:tab w:val="center" w:pos="4153"/>
        <w:tab w:val="right" w:pos="8306"/>
      </w:tabs>
    </w:pPr>
  </w:style>
  <w:style w:type="paragraph" w:styleId="BodyText">
    <w:name w:val="Body Text"/>
    <w:basedOn w:val="Normal"/>
    <w:rsid w:val="005E6050"/>
    <w:rPr>
      <w:sz w:val="24"/>
    </w:rPr>
  </w:style>
  <w:style w:type="paragraph" w:styleId="Footer">
    <w:name w:val="footer"/>
    <w:basedOn w:val="Normal"/>
    <w:rsid w:val="00B60E21"/>
    <w:pPr>
      <w:tabs>
        <w:tab w:val="center" w:pos="4320"/>
        <w:tab w:val="right" w:pos="8640"/>
      </w:tabs>
    </w:pPr>
  </w:style>
  <w:style w:type="character" w:styleId="PageNumber">
    <w:name w:val="page number"/>
    <w:basedOn w:val="DefaultParagraphFont"/>
    <w:rsid w:val="00B60E21"/>
  </w:style>
  <w:style w:type="paragraph" w:styleId="BalloonText">
    <w:name w:val="Balloon Text"/>
    <w:basedOn w:val="Normal"/>
    <w:link w:val="BalloonTextChar"/>
    <w:rsid w:val="0055753B"/>
    <w:rPr>
      <w:rFonts w:ascii="Tahoma" w:hAnsi="Tahoma" w:cs="Tahoma"/>
      <w:sz w:val="16"/>
      <w:szCs w:val="16"/>
    </w:rPr>
  </w:style>
  <w:style w:type="character" w:customStyle="1" w:styleId="BalloonTextChar">
    <w:name w:val="Balloon Text Char"/>
    <w:basedOn w:val="DefaultParagraphFont"/>
    <w:link w:val="BalloonText"/>
    <w:rsid w:val="0055753B"/>
    <w:rPr>
      <w:rFonts w:ascii="Tahoma" w:hAnsi="Tahoma" w:cs="Tahoma"/>
      <w:sz w:val="16"/>
      <w:szCs w:val="16"/>
      <w:lang w:eastAsia="en-US"/>
    </w:rPr>
  </w:style>
  <w:style w:type="table" w:styleId="TableGrid">
    <w:name w:val="Table Grid"/>
    <w:basedOn w:val="TableNormal"/>
    <w:rsid w:val="008C4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Common%20Use\Templates\RI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RIT Letterhead</Template>
  <TotalTime>1</TotalTime>
  <Pages>3</Pages>
  <Words>984</Words>
  <Characters>5429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fax cover sheet</vt:lpstr>
    </vt:vector>
  </TitlesOfParts>
  <Company>The Renmark Irrigation Trust</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creator>Barry Schier</dc:creator>
  <cp:lastModifiedBy>Ogilvie, Sarah</cp:lastModifiedBy>
  <cp:revision>2</cp:revision>
  <cp:lastPrinted>2015-01-30T06:27:00Z</cp:lastPrinted>
  <dcterms:created xsi:type="dcterms:W3CDTF">2015-02-04T02:58:00Z</dcterms:created>
  <dcterms:modified xsi:type="dcterms:W3CDTF">2015-02-04T02:58:00Z</dcterms:modified>
</cp:coreProperties>
</file>