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6A9" w:rsidRDefault="00112A44" w:rsidP="001066A9">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0pt;margin-top:-1in;width:678pt;height:850pt;z-index:-251658752">
            <v:imagedata r:id="rId7" o:title="AER-final-orange"/>
          </v:shape>
        </w:pict>
      </w:r>
    </w:p>
    <w:p w:rsidR="001066A9" w:rsidRDefault="001066A9" w:rsidP="001066A9"/>
    <w:p w:rsidR="001066A9" w:rsidRDefault="001066A9" w:rsidP="001066A9">
      <w:pPr>
        <w:pStyle w:val="AERTitle1"/>
      </w:pPr>
      <w:bookmarkStart w:id="0" w:name="OLE_LINK1"/>
      <w:bookmarkStart w:id="1" w:name="OLE_LINK2"/>
    </w:p>
    <w:p w:rsidR="001066A9" w:rsidRDefault="001066A9" w:rsidP="001066A9">
      <w:pPr>
        <w:pStyle w:val="AERTitle1"/>
      </w:pPr>
    </w:p>
    <w:p w:rsidR="001066A9" w:rsidRDefault="001066A9" w:rsidP="001066A9">
      <w:pPr>
        <w:pStyle w:val="AERTitle1"/>
      </w:pPr>
    </w:p>
    <w:p w:rsidR="001066A9" w:rsidRDefault="001066A9" w:rsidP="001066A9">
      <w:pPr>
        <w:pStyle w:val="AERTitle1"/>
      </w:pPr>
    </w:p>
    <w:p w:rsidR="001066A9" w:rsidRDefault="001066A9" w:rsidP="001066A9">
      <w:pPr>
        <w:pStyle w:val="AERTitle1"/>
      </w:pPr>
    </w:p>
    <w:p w:rsidR="001066A9" w:rsidRDefault="001066A9" w:rsidP="001066A9">
      <w:pPr>
        <w:pStyle w:val="AERTitle1"/>
      </w:pPr>
    </w:p>
    <w:p w:rsidR="001066A9" w:rsidRDefault="001066A9" w:rsidP="001066A9">
      <w:pPr>
        <w:pStyle w:val="AERTitle1"/>
      </w:pPr>
      <w:r>
        <w:t xml:space="preserve">Cost Thresholds Review for the Regulatory Investment Test for Transmission </w:t>
      </w:r>
    </w:p>
    <w:p w:rsidR="001066A9" w:rsidRDefault="00D01440" w:rsidP="001066A9">
      <w:pPr>
        <w:pStyle w:val="AERTitle1"/>
      </w:pPr>
      <w:r>
        <w:t>Final</w:t>
      </w:r>
      <w:r w:rsidR="009B7C9D">
        <w:t xml:space="preserve"> de</w:t>
      </w:r>
      <w:r w:rsidR="007C52C5">
        <w:t>termination</w:t>
      </w:r>
      <w:r w:rsidR="001078C1">
        <w:t xml:space="preserve"> </w:t>
      </w:r>
    </w:p>
    <w:p w:rsidR="001066A9" w:rsidRDefault="001066A9" w:rsidP="001066A9"/>
    <w:p w:rsidR="001066A9" w:rsidRDefault="001066A9" w:rsidP="001066A9"/>
    <w:p w:rsidR="001066A9" w:rsidRPr="00F6235D" w:rsidRDefault="001066A9" w:rsidP="001066A9"/>
    <w:bookmarkEnd w:id="0"/>
    <w:bookmarkEnd w:id="1"/>
    <w:p w:rsidR="001066A9" w:rsidRPr="00F6235D" w:rsidRDefault="00F73C94" w:rsidP="001066A9">
      <w:pPr>
        <w:pStyle w:val="AERTitle2"/>
      </w:pPr>
      <w:r>
        <w:t>November</w:t>
      </w:r>
      <w:r w:rsidR="001066A9">
        <w:t xml:space="preserve"> 2012</w:t>
      </w:r>
    </w:p>
    <w:p w:rsidR="001066A9" w:rsidRPr="00F6235D" w:rsidRDefault="001066A9" w:rsidP="001066A9">
      <w:pPr>
        <w:pStyle w:val="AERbodytext"/>
      </w:pPr>
      <w:r w:rsidRPr="00F6235D">
        <w:t xml:space="preserve"> </w:t>
      </w:r>
    </w:p>
    <w:p w:rsidR="001066A9" w:rsidRPr="00F6235D" w:rsidRDefault="001066A9" w:rsidP="001066A9">
      <w:pPr>
        <w:pStyle w:val="TOC1"/>
      </w:pPr>
      <w:r>
        <w:br w:type="page"/>
      </w:r>
      <w:r w:rsidRPr="00F6235D">
        <w:lastRenderedPageBreak/>
        <w:t>© Commonwealth of Australia 201</w:t>
      </w:r>
      <w:r>
        <w:t>2</w:t>
      </w:r>
    </w:p>
    <w:p w:rsidR="001066A9" w:rsidRPr="00F6235D" w:rsidRDefault="001066A9" w:rsidP="001066A9">
      <w:pPr>
        <w:pStyle w:val="AERbodytext"/>
      </w:pPr>
      <w:r w:rsidRPr="00F6235D">
        <w:t xml:space="preserve">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w:t>
      </w:r>
      <w:smartTag w:uri="urn:schemas-microsoft-com:office:smarttags" w:element="City">
        <w:smartTag w:uri="urn:schemas-microsoft-com:office:smarttags" w:element="place">
          <w:r w:rsidRPr="00F6235D">
            <w:t>Canberra</w:t>
          </w:r>
        </w:smartTag>
      </w:smartTag>
      <w:r w:rsidRPr="00F6235D">
        <w:t xml:space="preserve"> ACT 2601.</w:t>
      </w:r>
    </w:p>
    <w:p w:rsidR="001066A9" w:rsidRDefault="001066A9" w:rsidP="001066A9">
      <w:pPr>
        <w:pStyle w:val="AERbodytext"/>
      </w:pPr>
      <w:r>
        <w:t>Inquiries about th</w:t>
      </w:r>
      <w:r w:rsidR="0099628F">
        <w:t>i</w:t>
      </w:r>
      <w:r>
        <w:t xml:space="preserve">s </w:t>
      </w:r>
      <w:r w:rsidR="00D97E02">
        <w:t xml:space="preserve">review </w:t>
      </w:r>
      <w:r>
        <w:t>should be addressed to:</w:t>
      </w:r>
    </w:p>
    <w:p w:rsidR="001066A9" w:rsidRDefault="001066A9" w:rsidP="001066A9">
      <w:pPr>
        <w:pStyle w:val="AERbodytext"/>
        <w:spacing w:after="0"/>
      </w:pPr>
      <w:r>
        <w:t>Australian Energy Regulator</w:t>
      </w:r>
    </w:p>
    <w:p w:rsidR="001066A9" w:rsidRDefault="001066A9" w:rsidP="001066A9">
      <w:pPr>
        <w:pStyle w:val="AERbodytext"/>
        <w:spacing w:after="0"/>
      </w:pPr>
      <w:r>
        <w:t xml:space="preserve">GPO </w:t>
      </w:r>
      <w:smartTag w:uri="urn:schemas-microsoft-com:office:smarttags" w:element="address">
        <w:smartTag w:uri="urn:schemas-microsoft-com:office:smarttags" w:element="Street">
          <w:r>
            <w:t>Box</w:t>
          </w:r>
        </w:smartTag>
        <w:r>
          <w:t xml:space="preserve"> 520</w:t>
        </w:r>
      </w:smartTag>
    </w:p>
    <w:p w:rsidR="001066A9" w:rsidRDefault="001066A9" w:rsidP="001066A9">
      <w:pPr>
        <w:pStyle w:val="AERbodytext"/>
        <w:spacing w:after="0"/>
      </w:pPr>
      <w:proofErr w:type="gramStart"/>
      <w:r>
        <w:t>Melbourne  Vic</w:t>
      </w:r>
      <w:proofErr w:type="gramEnd"/>
      <w:r>
        <w:t xml:space="preserve">  3001</w:t>
      </w:r>
    </w:p>
    <w:p w:rsidR="001066A9" w:rsidRDefault="001066A9" w:rsidP="001066A9">
      <w:pPr>
        <w:pStyle w:val="AERbodytext"/>
        <w:spacing w:after="0"/>
      </w:pPr>
      <w:r>
        <w:t>Tel: (03) 9290 1444</w:t>
      </w:r>
    </w:p>
    <w:p w:rsidR="001066A9" w:rsidRDefault="001066A9" w:rsidP="001066A9">
      <w:pPr>
        <w:pStyle w:val="AERbodytext"/>
        <w:spacing w:after="0"/>
      </w:pPr>
      <w:r>
        <w:t>Fax: (03) 9290 1457</w:t>
      </w:r>
    </w:p>
    <w:p w:rsidR="001066A9" w:rsidRDefault="001066A9" w:rsidP="001066A9">
      <w:pPr>
        <w:pStyle w:val="AERbodytext"/>
      </w:pPr>
      <w:r>
        <w:t xml:space="preserve">Email: </w:t>
      </w:r>
      <w:hyperlink r:id="rId8" w:history="1">
        <w:r w:rsidRPr="003E184A">
          <w:rPr>
            <w:rStyle w:val="Hyperlink"/>
          </w:rPr>
          <w:t>AERInquiry@aer.gov.au</w:t>
        </w:r>
      </w:hyperlink>
    </w:p>
    <w:p w:rsidR="001066A9" w:rsidRPr="00A03505" w:rsidRDefault="001066A9" w:rsidP="001066A9">
      <w:pPr>
        <w:pStyle w:val="AERbodytext"/>
        <w:rPr>
          <w:lang w:eastAsia="en-AU"/>
        </w:rPr>
      </w:pPr>
    </w:p>
    <w:p w:rsidR="001066A9" w:rsidRDefault="001066A9" w:rsidP="001066A9">
      <w:pPr>
        <w:pStyle w:val="AERbodytext"/>
      </w:pPr>
      <w:r>
        <w:t xml:space="preserve">AER reference:   </w:t>
      </w:r>
      <w:r w:rsidR="00A87713" w:rsidRPr="00A87713">
        <w:rPr>
          <w:rFonts w:cs="Gautami"/>
          <w:szCs w:val="20"/>
        </w:rPr>
        <w:t>49538</w:t>
      </w:r>
      <w:r w:rsidR="00F86A73">
        <w:rPr>
          <w:rFonts w:cs="Gautami"/>
          <w:szCs w:val="20"/>
        </w:rPr>
        <w:t xml:space="preserve"> – D12/167458</w:t>
      </w:r>
    </w:p>
    <w:p w:rsidR="006E5DB2" w:rsidRDefault="006E5DB2" w:rsidP="001E38F7">
      <w:pPr>
        <w:pStyle w:val="UnnumberedHeading"/>
        <w:numPr>
          <w:ilvl w:val="0"/>
          <w:numId w:val="8"/>
        </w:numPr>
      </w:pPr>
      <w:bookmarkStart w:id="2" w:name="_Toc341188845"/>
      <w:r>
        <w:lastRenderedPageBreak/>
        <w:t>Contents</w:t>
      </w:r>
      <w:bookmarkEnd w:id="2"/>
    </w:p>
    <w:p w:rsidR="00317F7A" w:rsidRDefault="00112A44">
      <w:pPr>
        <w:pStyle w:val="TOC1"/>
        <w:tabs>
          <w:tab w:val="right" w:leader="dot" w:pos="8302"/>
        </w:tabs>
        <w:rPr>
          <w:rFonts w:asciiTheme="minorHAnsi" w:eastAsiaTheme="minorEastAsia" w:hAnsiTheme="minorHAnsi" w:cstheme="minorBidi"/>
          <w:b w:val="0"/>
          <w:bCs w:val="0"/>
          <w:noProof/>
          <w:sz w:val="22"/>
          <w:szCs w:val="22"/>
          <w:lang w:eastAsia="en-AU"/>
        </w:rPr>
      </w:pPr>
      <w:r w:rsidRPr="00112A44">
        <w:fldChar w:fldCharType="begin"/>
      </w:r>
      <w:r w:rsidR="006E5DB2">
        <w:instrText xml:space="preserve"> TOC \o "1-2" \h \z \u \t "Heading 7,1,Heading 8,2" </w:instrText>
      </w:r>
      <w:r w:rsidRPr="00112A44">
        <w:fldChar w:fldCharType="separate"/>
      </w:r>
      <w:hyperlink w:anchor="_Toc341188845" w:history="1">
        <w:r w:rsidR="00317F7A" w:rsidRPr="00870634">
          <w:rPr>
            <w:rStyle w:val="Hyperlink"/>
            <w:noProof/>
          </w:rPr>
          <w:t>Contents</w:t>
        </w:r>
        <w:r w:rsidR="00317F7A">
          <w:rPr>
            <w:noProof/>
            <w:webHidden/>
          </w:rPr>
          <w:tab/>
        </w:r>
        <w:r>
          <w:rPr>
            <w:noProof/>
            <w:webHidden/>
          </w:rPr>
          <w:fldChar w:fldCharType="begin"/>
        </w:r>
        <w:r w:rsidR="00317F7A">
          <w:rPr>
            <w:noProof/>
            <w:webHidden/>
          </w:rPr>
          <w:instrText xml:space="preserve"> PAGEREF _Toc341188845 \h </w:instrText>
        </w:r>
        <w:r>
          <w:rPr>
            <w:noProof/>
            <w:webHidden/>
          </w:rPr>
        </w:r>
        <w:r>
          <w:rPr>
            <w:noProof/>
            <w:webHidden/>
          </w:rPr>
          <w:fldChar w:fldCharType="separate"/>
        </w:r>
        <w:r w:rsidR="00A85CBC">
          <w:rPr>
            <w:noProof/>
            <w:webHidden/>
          </w:rPr>
          <w:t>3</w:t>
        </w:r>
        <w:r>
          <w:rPr>
            <w:noProof/>
            <w:webHidden/>
          </w:rPr>
          <w:fldChar w:fldCharType="end"/>
        </w:r>
      </w:hyperlink>
    </w:p>
    <w:p w:rsidR="00317F7A" w:rsidRDefault="00112A44">
      <w:pPr>
        <w:pStyle w:val="TOC1"/>
        <w:tabs>
          <w:tab w:val="right" w:leader="dot" w:pos="8302"/>
        </w:tabs>
        <w:rPr>
          <w:rFonts w:asciiTheme="minorHAnsi" w:eastAsiaTheme="minorEastAsia" w:hAnsiTheme="minorHAnsi" w:cstheme="minorBidi"/>
          <w:b w:val="0"/>
          <w:bCs w:val="0"/>
          <w:noProof/>
          <w:sz w:val="22"/>
          <w:szCs w:val="22"/>
          <w:lang w:eastAsia="en-AU"/>
        </w:rPr>
      </w:pPr>
      <w:hyperlink w:anchor="_Toc341188846" w:history="1">
        <w:r w:rsidR="00317F7A" w:rsidRPr="00870634">
          <w:rPr>
            <w:rStyle w:val="Hyperlink"/>
            <w:noProof/>
          </w:rPr>
          <w:t>Shortened forms</w:t>
        </w:r>
        <w:r w:rsidR="00317F7A">
          <w:rPr>
            <w:noProof/>
            <w:webHidden/>
          </w:rPr>
          <w:tab/>
        </w:r>
        <w:r>
          <w:rPr>
            <w:noProof/>
            <w:webHidden/>
          </w:rPr>
          <w:fldChar w:fldCharType="begin"/>
        </w:r>
        <w:r w:rsidR="00317F7A">
          <w:rPr>
            <w:noProof/>
            <w:webHidden/>
          </w:rPr>
          <w:instrText xml:space="preserve"> PAGEREF _Toc341188846 \h </w:instrText>
        </w:r>
        <w:r>
          <w:rPr>
            <w:noProof/>
            <w:webHidden/>
          </w:rPr>
        </w:r>
        <w:r>
          <w:rPr>
            <w:noProof/>
            <w:webHidden/>
          </w:rPr>
          <w:fldChar w:fldCharType="separate"/>
        </w:r>
        <w:r w:rsidR="00A85CBC">
          <w:rPr>
            <w:noProof/>
            <w:webHidden/>
          </w:rPr>
          <w:t>4</w:t>
        </w:r>
        <w:r>
          <w:rPr>
            <w:noProof/>
            <w:webHidden/>
          </w:rPr>
          <w:fldChar w:fldCharType="end"/>
        </w:r>
      </w:hyperlink>
    </w:p>
    <w:p w:rsidR="00317F7A" w:rsidRDefault="00112A44">
      <w:pPr>
        <w:pStyle w:val="TOC1"/>
        <w:tabs>
          <w:tab w:val="left" w:pos="440"/>
          <w:tab w:val="right" w:leader="dot" w:pos="8302"/>
        </w:tabs>
        <w:rPr>
          <w:rFonts w:asciiTheme="minorHAnsi" w:eastAsiaTheme="minorEastAsia" w:hAnsiTheme="minorHAnsi" w:cstheme="minorBidi"/>
          <w:b w:val="0"/>
          <w:bCs w:val="0"/>
          <w:noProof/>
          <w:sz w:val="22"/>
          <w:szCs w:val="22"/>
          <w:lang w:eastAsia="en-AU"/>
        </w:rPr>
      </w:pPr>
      <w:hyperlink w:anchor="_Toc341188847" w:history="1">
        <w:r w:rsidR="00317F7A" w:rsidRPr="00870634">
          <w:rPr>
            <w:rStyle w:val="Hyperlink"/>
            <w:noProof/>
          </w:rPr>
          <w:t>1</w:t>
        </w:r>
        <w:r w:rsidR="00317F7A">
          <w:rPr>
            <w:rFonts w:asciiTheme="minorHAnsi" w:eastAsiaTheme="minorEastAsia" w:hAnsiTheme="minorHAnsi" w:cstheme="minorBidi"/>
            <w:b w:val="0"/>
            <w:bCs w:val="0"/>
            <w:noProof/>
            <w:sz w:val="22"/>
            <w:szCs w:val="22"/>
            <w:lang w:eastAsia="en-AU"/>
          </w:rPr>
          <w:tab/>
        </w:r>
        <w:r w:rsidR="00317F7A" w:rsidRPr="00870634">
          <w:rPr>
            <w:rStyle w:val="Hyperlink"/>
            <w:noProof/>
          </w:rPr>
          <w:t>Summary</w:t>
        </w:r>
        <w:r w:rsidR="00317F7A">
          <w:rPr>
            <w:noProof/>
            <w:webHidden/>
          </w:rPr>
          <w:tab/>
        </w:r>
        <w:r>
          <w:rPr>
            <w:noProof/>
            <w:webHidden/>
          </w:rPr>
          <w:fldChar w:fldCharType="begin"/>
        </w:r>
        <w:r w:rsidR="00317F7A">
          <w:rPr>
            <w:noProof/>
            <w:webHidden/>
          </w:rPr>
          <w:instrText xml:space="preserve"> PAGEREF _Toc341188847 \h </w:instrText>
        </w:r>
        <w:r>
          <w:rPr>
            <w:noProof/>
            <w:webHidden/>
          </w:rPr>
        </w:r>
        <w:r>
          <w:rPr>
            <w:noProof/>
            <w:webHidden/>
          </w:rPr>
          <w:fldChar w:fldCharType="separate"/>
        </w:r>
        <w:r w:rsidR="00A85CBC">
          <w:rPr>
            <w:noProof/>
            <w:webHidden/>
          </w:rPr>
          <w:t>5</w:t>
        </w:r>
        <w:r>
          <w:rPr>
            <w:noProof/>
            <w:webHidden/>
          </w:rPr>
          <w:fldChar w:fldCharType="end"/>
        </w:r>
      </w:hyperlink>
    </w:p>
    <w:p w:rsidR="00317F7A" w:rsidRDefault="00112A44">
      <w:pPr>
        <w:pStyle w:val="TOC1"/>
        <w:tabs>
          <w:tab w:val="left" w:pos="440"/>
          <w:tab w:val="right" w:leader="dot" w:pos="8302"/>
        </w:tabs>
        <w:rPr>
          <w:rFonts w:asciiTheme="minorHAnsi" w:eastAsiaTheme="minorEastAsia" w:hAnsiTheme="minorHAnsi" w:cstheme="minorBidi"/>
          <w:b w:val="0"/>
          <w:bCs w:val="0"/>
          <w:noProof/>
          <w:sz w:val="22"/>
          <w:szCs w:val="22"/>
          <w:lang w:eastAsia="en-AU"/>
        </w:rPr>
      </w:pPr>
      <w:hyperlink w:anchor="_Toc341188848" w:history="1">
        <w:r w:rsidR="00317F7A" w:rsidRPr="00870634">
          <w:rPr>
            <w:rStyle w:val="Hyperlink"/>
            <w:noProof/>
          </w:rPr>
          <w:t>2</w:t>
        </w:r>
        <w:r w:rsidR="00317F7A">
          <w:rPr>
            <w:rFonts w:asciiTheme="minorHAnsi" w:eastAsiaTheme="minorEastAsia" w:hAnsiTheme="minorHAnsi" w:cstheme="minorBidi"/>
            <w:b w:val="0"/>
            <w:bCs w:val="0"/>
            <w:noProof/>
            <w:sz w:val="22"/>
            <w:szCs w:val="22"/>
            <w:lang w:eastAsia="en-AU"/>
          </w:rPr>
          <w:tab/>
        </w:r>
        <w:r w:rsidR="00317F7A" w:rsidRPr="00870634">
          <w:rPr>
            <w:rStyle w:val="Hyperlink"/>
            <w:noProof/>
          </w:rPr>
          <w:t>Introduction</w:t>
        </w:r>
        <w:r w:rsidR="00317F7A">
          <w:rPr>
            <w:noProof/>
            <w:webHidden/>
          </w:rPr>
          <w:tab/>
        </w:r>
        <w:r>
          <w:rPr>
            <w:noProof/>
            <w:webHidden/>
          </w:rPr>
          <w:fldChar w:fldCharType="begin"/>
        </w:r>
        <w:r w:rsidR="00317F7A">
          <w:rPr>
            <w:noProof/>
            <w:webHidden/>
          </w:rPr>
          <w:instrText xml:space="preserve"> PAGEREF _Toc341188848 \h </w:instrText>
        </w:r>
        <w:r>
          <w:rPr>
            <w:noProof/>
            <w:webHidden/>
          </w:rPr>
        </w:r>
        <w:r>
          <w:rPr>
            <w:noProof/>
            <w:webHidden/>
          </w:rPr>
          <w:fldChar w:fldCharType="separate"/>
        </w:r>
        <w:r w:rsidR="00A85CBC">
          <w:rPr>
            <w:noProof/>
            <w:webHidden/>
          </w:rPr>
          <w:t>5</w:t>
        </w:r>
        <w:r>
          <w:rPr>
            <w:noProof/>
            <w:webHidden/>
          </w:rPr>
          <w:fldChar w:fldCharType="end"/>
        </w:r>
      </w:hyperlink>
    </w:p>
    <w:p w:rsidR="00317F7A" w:rsidRDefault="00112A44">
      <w:pPr>
        <w:pStyle w:val="TOC1"/>
        <w:tabs>
          <w:tab w:val="left" w:pos="440"/>
          <w:tab w:val="right" w:leader="dot" w:pos="8302"/>
        </w:tabs>
        <w:rPr>
          <w:rFonts w:asciiTheme="minorHAnsi" w:eastAsiaTheme="minorEastAsia" w:hAnsiTheme="minorHAnsi" w:cstheme="minorBidi"/>
          <w:b w:val="0"/>
          <w:bCs w:val="0"/>
          <w:noProof/>
          <w:sz w:val="22"/>
          <w:szCs w:val="22"/>
          <w:lang w:eastAsia="en-AU"/>
        </w:rPr>
      </w:pPr>
      <w:hyperlink w:anchor="_Toc341188849" w:history="1">
        <w:r w:rsidR="00317F7A" w:rsidRPr="00870634">
          <w:rPr>
            <w:rStyle w:val="Hyperlink"/>
            <w:noProof/>
          </w:rPr>
          <w:t>3</w:t>
        </w:r>
        <w:r w:rsidR="00317F7A">
          <w:rPr>
            <w:rFonts w:asciiTheme="minorHAnsi" w:eastAsiaTheme="minorEastAsia" w:hAnsiTheme="minorHAnsi" w:cstheme="minorBidi"/>
            <w:b w:val="0"/>
            <w:bCs w:val="0"/>
            <w:noProof/>
            <w:sz w:val="22"/>
            <w:szCs w:val="22"/>
            <w:lang w:eastAsia="en-AU"/>
          </w:rPr>
          <w:tab/>
        </w:r>
        <w:r w:rsidR="00317F7A" w:rsidRPr="00870634">
          <w:rPr>
            <w:rStyle w:val="Hyperlink"/>
            <w:noProof/>
          </w:rPr>
          <w:t>Rule requirements</w:t>
        </w:r>
        <w:r w:rsidR="00317F7A">
          <w:rPr>
            <w:noProof/>
            <w:webHidden/>
          </w:rPr>
          <w:tab/>
        </w:r>
        <w:r>
          <w:rPr>
            <w:noProof/>
            <w:webHidden/>
          </w:rPr>
          <w:fldChar w:fldCharType="begin"/>
        </w:r>
        <w:r w:rsidR="00317F7A">
          <w:rPr>
            <w:noProof/>
            <w:webHidden/>
          </w:rPr>
          <w:instrText xml:space="preserve"> PAGEREF _Toc341188849 \h </w:instrText>
        </w:r>
        <w:r>
          <w:rPr>
            <w:noProof/>
            <w:webHidden/>
          </w:rPr>
        </w:r>
        <w:r>
          <w:rPr>
            <w:noProof/>
            <w:webHidden/>
          </w:rPr>
          <w:fldChar w:fldCharType="separate"/>
        </w:r>
        <w:r w:rsidR="00A85CBC">
          <w:rPr>
            <w:noProof/>
            <w:webHidden/>
          </w:rPr>
          <w:t>6</w:t>
        </w:r>
        <w:r>
          <w:rPr>
            <w:noProof/>
            <w:webHidden/>
          </w:rPr>
          <w:fldChar w:fldCharType="end"/>
        </w:r>
      </w:hyperlink>
    </w:p>
    <w:p w:rsidR="00317F7A" w:rsidRDefault="00112A44">
      <w:pPr>
        <w:pStyle w:val="TOC1"/>
        <w:tabs>
          <w:tab w:val="left" w:pos="440"/>
          <w:tab w:val="right" w:leader="dot" w:pos="8302"/>
        </w:tabs>
        <w:rPr>
          <w:rFonts w:asciiTheme="minorHAnsi" w:eastAsiaTheme="minorEastAsia" w:hAnsiTheme="minorHAnsi" w:cstheme="minorBidi"/>
          <w:b w:val="0"/>
          <w:bCs w:val="0"/>
          <w:noProof/>
          <w:sz w:val="22"/>
          <w:szCs w:val="22"/>
          <w:lang w:eastAsia="en-AU"/>
        </w:rPr>
      </w:pPr>
      <w:hyperlink w:anchor="_Toc341188850" w:history="1">
        <w:r w:rsidR="00317F7A" w:rsidRPr="00870634">
          <w:rPr>
            <w:rStyle w:val="Hyperlink"/>
            <w:noProof/>
          </w:rPr>
          <w:t>4</w:t>
        </w:r>
        <w:r w:rsidR="00317F7A">
          <w:rPr>
            <w:rFonts w:asciiTheme="minorHAnsi" w:eastAsiaTheme="minorEastAsia" w:hAnsiTheme="minorHAnsi" w:cstheme="minorBidi"/>
            <w:b w:val="0"/>
            <w:bCs w:val="0"/>
            <w:noProof/>
            <w:sz w:val="22"/>
            <w:szCs w:val="22"/>
            <w:lang w:eastAsia="en-AU"/>
          </w:rPr>
          <w:tab/>
        </w:r>
        <w:r w:rsidR="00317F7A" w:rsidRPr="00870634">
          <w:rPr>
            <w:rStyle w:val="Hyperlink"/>
            <w:noProof/>
          </w:rPr>
          <w:t>Cost threshold determination</w:t>
        </w:r>
        <w:r w:rsidR="00317F7A">
          <w:rPr>
            <w:noProof/>
            <w:webHidden/>
          </w:rPr>
          <w:tab/>
        </w:r>
        <w:r>
          <w:rPr>
            <w:noProof/>
            <w:webHidden/>
          </w:rPr>
          <w:fldChar w:fldCharType="begin"/>
        </w:r>
        <w:r w:rsidR="00317F7A">
          <w:rPr>
            <w:noProof/>
            <w:webHidden/>
          </w:rPr>
          <w:instrText xml:space="preserve"> PAGEREF _Toc341188850 \h </w:instrText>
        </w:r>
        <w:r>
          <w:rPr>
            <w:noProof/>
            <w:webHidden/>
          </w:rPr>
        </w:r>
        <w:r>
          <w:rPr>
            <w:noProof/>
            <w:webHidden/>
          </w:rPr>
          <w:fldChar w:fldCharType="separate"/>
        </w:r>
        <w:r w:rsidR="00A85CBC">
          <w:rPr>
            <w:noProof/>
            <w:webHidden/>
          </w:rPr>
          <w:t>7</w:t>
        </w:r>
        <w:r>
          <w:rPr>
            <w:noProof/>
            <w:webHidden/>
          </w:rPr>
          <w:fldChar w:fldCharType="end"/>
        </w:r>
      </w:hyperlink>
    </w:p>
    <w:p w:rsidR="00317F7A" w:rsidRDefault="00112A44">
      <w:pPr>
        <w:pStyle w:val="TOC1"/>
        <w:tabs>
          <w:tab w:val="left" w:pos="660"/>
          <w:tab w:val="right" w:leader="dot" w:pos="8302"/>
        </w:tabs>
        <w:rPr>
          <w:rFonts w:asciiTheme="minorHAnsi" w:eastAsiaTheme="minorEastAsia" w:hAnsiTheme="minorHAnsi" w:cstheme="minorBidi"/>
          <w:b w:val="0"/>
          <w:bCs w:val="0"/>
          <w:noProof/>
          <w:sz w:val="22"/>
          <w:szCs w:val="22"/>
          <w:lang w:eastAsia="en-AU"/>
        </w:rPr>
      </w:pPr>
      <w:hyperlink w:anchor="_Toc341188851" w:history="1">
        <w:r w:rsidR="00317F7A" w:rsidRPr="00870634">
          <w:rPr>
            <w:rStyle w:val="Hyperlink"/>
            <w:noProof/>
          </w:rPr>
          <w:t>4.1</w:t>
        </w:r>
        <w:r w:rsidR="00317F7A">
          <w:rPr>
            <w:rFonts w:asciiTheme="minorHAnsi" w:eastAsiaTheme="minorEastAsia" w:hAnsiTheme="minorHAnsi" w:cstheme="minorBidi"/>
            <w:b w:val="0"/>
            <w:bCs w:val="0"/>
            <w:noProof/>
            <w:sz w:val="22"/>
            <w:szCs w:val="22"/>
            <w:lang w:eastAsia="en-AU"/>
          </w:rPr>
          <w:tab/>
        </w:r>
        <w:r w:rsidR="00317F7A" w:rsidRPr="00870634">
          <w:rPr>
            <w:rStyle w:val="Hyperlink"/>
            <w:noProof/>
          </w:rPr>
          <w:t>Draft determination</w:t>
        </w:r>
        <w:r w:rsidR="00317F7A">
          <w:rPr>
            <w:noProof/>
            <w:webHidden/>
          </w:rPr>
          <w:tab/>
        </w:r>
        <w:r>
          <w:rPr>
            <w:noProof/>
            <w:webHidden/>
          </w:rPr>
          <w:fldChar w:fldCharType="begin"/>
        </w:r>
        <w:r w:rsidR="00317F7A">
          <w:rPr>
            <w:noProof/>
            <w:webHidden/>
          </w:rPr>
          <w:instrText xml:space="preserve"> PAGEREF _Toc341188851 \h </w:instrText>
        </w:r>
        <w:r>
          <w:rPr>
            <w:noProof/>
            <w:webHidden/>
          </w:rPr>
        </w:r>
        <w:r>
          <w:rPr>
            <w:noProof/>
            <w:webHidden/>
          </w:rPr>
          <w:fldChar w:fldCharType="separate"/>
        </w:r>
        <w:r w:rsidR="00A85CBC">
          <w:rPr>
            <w:noProof/>
            <w:webHidden/>
          </w:rPr>
          <w:t>7</w:t>
        </w:r>
        <w:r>
          <w:rPr>
            <w:noProof/>
            <w:webHidden/>
          </w:rPr>
          <w:fldChar w:fldCharType="end"/>
        </w:r>
      </w:hyperlink>
    </w:p>
    <w:p w:rsidR="00317F7A" w:rsidRDefault="00112A44">
      <w:pPr>
        <w:pStyle w:val="TOC1"/>
        <w:tabs>
          <w:tab w:val="left" w:pos="660"/>
          <w:tab w:val="right" w:leader="dot" w:pos="8302"/>
        </w:tabs>
        <w:rPr>
          <w:rFonts w:asciiTheme="minorHAnsi" w:eastAsiaTheme="minorEastAsia" w:hAnsiTheme="minorHAnsi" w:cstheme="minorBidi"/>
          <w:b w:val="0"/>
          <w:bCs w:val="0"/>
          <w:noProof/>
          <w:sz w:val="22"/>
          <w:szCs w:val="22"/>
          <w:lang w:eastAsia="en-AU"/>
        </w:rPr>
      </w:pPr>
      <w:hyperlink w:anchor="_Toc341188852" w:history="1">
        <w:r w:rsidR="00317F7A" w:rsidRPr="00870634">
          <w:rPr>
            <w:rStyle w:val="Hyperlink"/>
            <w:noProof/>
          </w:rPr>
          <w:t>4.2</w:t>
        </w:r>
        <w:r w:rsidR="00317F7A">
          <w:rPr>
            <w:rFonts w:asciiTheme="minorHAnsi" w:eastAsiaTheme="minorEastAsia" w:hAnsiTheme="minorHAnsi" w:cstheme="minorBidi"/>
            <w:b w:val="0"/>
            <w:bCs w:val="0"/>
            <w:noProof/>
            <w:sz w:val="22"/>
            <w:szCs w:val="22"/>
            <w:lang w:eastAsia="en-AU"/>
          </w:rPr>
          <w:tab/>
        </w:r>
        <w:r w:rsidR="00317F7A" w:rsidRPr="00870634">
          <w:rPr>
            <w:rStyle w:val="Hyperlink"/>
            <w:noProof/>
          </w:rPr>
          <w:t>Final determination</w:t>
        </w:r>
        <w:r w:rsidR="00317F7A">
          <w:rPr>
            <w:noProof/>
            <w:webHidden/>
          </w:rPr>
          <w:tab/>
        </w:r>
        <w:r>
          <w:rPr>
            <w:noProof/>
            <w:webHidden/>
          </w:rPr>
          <w:fldChar w:fldCharType="begin"/>
        </w:r>
        <w:r w:rsidR="00317F7A">
          <w:rPr>
            <w:noProof/>
            <w:webHidden/>
          </w:rPr>
          <w:instrText xml:space="preserve"> PAGEREF _Toc341188852 \h </w:instrText>
        </w:r>
        <w:r>
          <w:rPr>
            <w:noProof/>
            <w:webHidden/>
          </w:rPr>
        </w:r>
        <w:r>
          <w:rPr>
            <w:noProof/>
            <w:webHidden/>
          </w:rPr>
          <w:fldChar w:fldCharType="separate"/>
        </w:r>
        <w:r w:rsidR="00A85CBC">
          <w:rPr>
            <w:noProof/>
            <w:webHidden/>
          </w:rPr>
          <w:t>8</w:t>
        </w:r>
        <w:r>
          <w:rPr>
            <w:noProof/>
            <w:webHidden/>
          </w:rPr>
          <w:fldChar w:fldCharType="end"/>
        </w:r>
      </w:hyperlink>
    </w:p>
    <w:p w:rsidR="00317F7A" w:rsidRDefault="00112A44">
      <w:pPr>
        <w:pStyle w:val="TOC1"/>
        <w:tabs>
          <w:tab w:val="right" w:leader="dot" w:pos="8302"/>
        </w:tabs>
        <w:rPr>
          <w:rFonts w:asciiTheme="minorHAnsi" w:eastAsiaTheme="minorEastAsia" w:hAnsiTheme="minorHAnsi" w:cstheme="minorBidi"/>
          <w:b w:val="0"/>
          <w:bCs w:val="0"/>
          <w:noProof/>
          <w:sz w:val="22"/>
          <w:szCs w:val="22"/>
          <w:lang w:eastAsia="en-AU"/>
        </w:rPr>
      </w:pPr>
      <w:hyperlink w:anchor="_Toc341188853" w:history="1">
        <w:r w:rsidR="00317F7A" w:rsidRPr="00870634">
          <w:rPr>
            <w:rStyle w:val="Hyperlink"/>
            <w:noProof/>
          </w:rPr>
          <w:t>Appendix A – indexes considered by the AER</w:t>
        </w:r>
        <w:r w:rsidR="00317F7A">
          <w:rPr>
            <w:noProof/>
            <w:webHidden/>
          </w:rPr>
          <w:tab/>
        </w:r>
        <w:r>
          <w:rPr>
            <w:noProof/>
            <w:webHidden/>
          </w:rPr>
          <w:fldChar w:fldCharType="begin"/>
        </w:r>
        <w:r w:rsidR="00317F7A">
          <w:rPr>
            <w:noProof/>
            <w:webHidden/>
          </w:rPr>
          <w:instrText xml:space="preserve"> PAGEREF _Toc341188853 \h </w:instrText>
        </w:r>
        <w:r>
          <w:rPr>
            <w:noProof/>
            <w:webHidden/>
          </w:rPr>
        </w:r>
        <w:r>
          <w:rPr>
            <w:noProof/>
            <w:webHidden/>
          </w:rPr>
          <w:fldChar w:fldCharType="separate"/>
        </w:r>
        <w:r w:rsidR="00A85CBC">
          <w:rPr>
            <w:noProof/>
            <w:webHidden/>
          </w:rPr>
          <w:t>9</w:t>
        </w:r>
        <w:r>
          <w:rPr>
            <w:noProof/>
            <w:webHidden/>
          </w:rPr>
          <w:fldChar w:fldCharType="end"/>
        </w:r>
      </w:hyperlink>
    </w:p>
    <w:p w:rsidR="006E5DB2" w:rsidRPr="00AF3E95" w:rsidRDefault="00112A44" w:rsidP="001E38F7">
      <w:pPr>
        <w:pStyle w:val="AERbodytext"/>
        <w:numPr>
          <w:ilvl w:val="0"/>
          <w:numId w:val="9"/>
        </w:numPr>
      </w:pPr>
      <w:r>
        <w:fldChar w:fldCharType="end"/>
      </w:r>
    </w:p>
    <w:p w:rsidR="006E5DB2" w:rsidRDefault="006E5DB2" w:rsidP="001E38F7">
      <w:pPr>
        <w:pStyle w:val="AERbodytext"/>
        <w:numPr>
          <w:ilvl w:val="0"/>
          <w:numId w:val="9"/>
        </w:numPr>
      </w:pPr>
    </w:p>
    <w:p w:rsidR="006E5DB2" w:rsidRDefault="006E5DB2" w:rsidP="006E5DB2">
      <w:pPr>
        <w:pStyle w:val="AERbodytext"/>
      </w:pPr>
    </w:p>
    <w:p w:rsidR="006E5DB2" w:rsidRDefault="006E5DB2" w:rsidP="006F3BC6">
      <w:pPr>
        <w:pStyle w:val="UnnumberedHeading"/>
        <w:numPr>
          <w:ilvl w:val="0"/>
          <w:numId w:val="0"/>
        </w:numPr>
        <w:ind w:left="720" w:hanging="720"/>
      </w:pPr>
      <w:bookmarkStart w:id="3" w:name="_Toc341188846"/>
      <w:r>
        <w:t>Shortened forms</w:t>
      </w:r>
      <w:bookmarkEnd w:id="3"/>
      <w:r>
        <w:t xml:space="preserve"> </w:t>
      </w:r>
    </w:p>
    <w:p w:rsidR="006E5DB2" w:rsidRPr="00760CB3" w:rsidRDefault="006E5DB2" w:rsidP="006E5DB2">
      <w:pPr>
        <w:pStyle w:val="AERbodytext"/>
      </w:pPr>
    </w:p>
    <w:p w:rsidR="006E5DB2" w:rsidRPr="00757A1C" w:rsidRDefault="006E5DB2" w:rsidP="001E38F7">
      <w:pPr>
        <w:pStyle w:val="AERbodytext"/>
        <w:numPr>
          <w:ilvl w:val="0"/>
          <w:numId w:val="9"/>
        </w:numPr>
      </w:pPr>
      <w:r w:rsidRPr="00757A1C">
        <w:t>AEMC</w:t>
      </w:r>
      <w:r w:rsidRPr="00757A1C">
        <w:tab/>
      </w:r>
      <w:r w:rsidRPr="00757A1C">
        <w:tab/>
      </w:r>
      <w:r w:rsidRPr="00757A1C">
        <w:tab/>
        <w:t>Australian Energy Market Commission</w:t>
      </w:r>
    </w:p>
    <w:p w:rsidR="006E5DB2" w:rsidRDefault="006E5DB2" w:rsidP="001E38F7">
      <w:pPr>
        <w:pStyle w:val="AERbodytext"/>
        <w:numPr>
          <w:ilvl w:val="0"/>
          <w:numId w:val="9"/>
        </w:numPr>
      </w:pPr>
      <w:r w:rsidRPr="00757A1C">
        <w:t>AER</w:t>
      </w:r>
      <w:r w:rsidRPr="00757A1C">
        <w:tab/>
      </w:r>
      <w:r w:rsidRPr="00757A1C">
        <w:tab/>
      </w:r>
      <w:r w:rsidRPr="00757A1C">
        <w:tab/>
        <w:t>Australian Energy Regulator</w:t>
      </w:r>
    </w:p>
    <w:p w:rsidR="006E5DB2" w:rsidRPr="00757A1C" w:rsidRDefault="006E5DB2" w:rsidP="001E38F7">
      <w:pPr>
        <w:pStyle w:val="AERbodytext"/>
        <w:numPr>
          <w:ilvl w:val="0"/>
          <w:numId w:val="9"/>
        </w:numPr>
      </w:pPr>
      <w:r>
        <w:t>APR</w:t>
      </w:r>
      <w:r>
        <w:tab/>
      </w:r>
      <w:r>
        <w:tab/>
      </w:r>
      <w:r>
        <w:tab/>
        <w:t>annual planning report</w:t>
      </w:r>
    </w:p>
    <w:p w:rsidR="006E5DB2" w:rsidRPr="00757A1C" w:rsidRDefault="006E5DB2" w:rsidP="001E38F7">
      <w:pPr>
        <w:pStyle w:val="AERbodytext"/>
        <w:numPr>
          <w:ilvl w:val="0"/>
          <w:numId w:val="9"/>
        </w:numPr>
      </w:pPr>
      <w:r w:rsidRPr="00757A1C">
        <w:t>DNSP</w:t>
      </w:r>
      <w:r w:rsidRPr="00757A1C">
        <w:tab/>
      </w:r>
      <w:r w:rsidRPr="00757A1C">
        <w:tab/>
      </w:r>
      <w:r w:rsidRPr="00757A1C">
        <w:tab/>
        <w:t>distribution network service provider</w:t>
      </w:r>
    </w:p>
    <w:p w:rsidR="006E5DB2" w:rsidRPr="00757A1C" w:rsidRDefault="006E5DB2" w:rsidP="001E38F7">
      <w:pPr>
        <w:pStyle w:val="AERbodytext"/>
        <w:numPr>
          <w:ilvl w:val="0"/>
          <w:numId w:val="9"/>
        </w:numPr>
      </w:pPr>
      <w:r w:rsidRPr="00757A1C">
        <w:t>Electricity Rules</w:t>
      </w:r>
      <w:r w:rsidRPr="00757A1C">
        <w:tab/>
      </w:r>
      <w:r>
        <w:tab/>
      </w:r>
      <w:r w:rsidRPr="00757A1C">
        <w:t>National Electricity Rules</w:t>
      </w:r>
      <w:r>
        <w:tab/>
      </w:r>
      <w:r>
        <w:tab/>
      </w:r>
      <w:r>
        <w:tab/>
      </w:r>
    </w:p>
    <w:p w:rsidR="006E5DB2" w:rsidRPr="00757A1C" w:rsidRDefault="006E5DB2" w:rsidP="001E38F7">
      <w:pPr>
        <w:pStyle w:val="AERbodytext"/>
        <w:numPr>
          <w:ilvl w:val="0"/>
          <w:numId w:val="9"/>
        </w:numPr>
      </w:pPr>
      <w:r w:rsidRPr="00757A1C">
        <w:t>MCE</w:t>
      </w:r>
      <w:r w:rsidRPr="00757A1C">
        <w:tab/>
      </w:r>
      <w:r w:rsidRPr="00757A1C">
        <w:tab/>
      </w:r>
      <w:r w:rsidRPr="00757A1C">
        <w:tab/>
        <w:t>Ministerial Council on Energy</w:t>
      </w:r>
    </w:p>
    <w:p w:rsidR="006E5DB2" w:rsidRPr="00757A1C" w:rsidRDefault="006E5DB2" w:rsidP="001E38F7">
      <w:pPr>
        <w:pStyle w:val="AERbodytext"/>
        <w:numPr>
          <w:ilvl w:val="0"/>
          <w:numId w:val="9"/>
        </w:numPr>
      </w:pPr>
      <w:r w:rsidRPr="00757A1C">
        <w:t>NEM</w:t>
      </w:r>
      <w:r w:rsidRPr="00757A1C">
        <w:tab/>
      </w:r>
      <w:r w:rsidRPr="00757A1C">
        <w:tab/>
      </w:r>
      <w:r w:rsidRPr="00757A1C">
        <w:tab/>
        <w:t>National Electricity Market</w:t>
      </w:r>
    </w:p>
    <w:p w:rsidR="006E5DB2" w:rsidRDefault="006E5DB2" w:rsidP="001E38F7">
      <w:pPr>
        <w:pStyle w:val="AERbodytext"/>
        <w:numPr>
          <w:ilvl w:val="0"/>
          <w:numId w:val="9"/>
        </w:numPr>
      </w:pPr>
      <w:r>
        <w:t>NSP</w:t>
      </w:r>
      <w:r>
        <w:tab/>
      </w:r>
      <w:r>
        <w:tab/>
      </w:r>
      <w:r>
        <w:tab/>
      </w:r>
      <w:r w:rsidRPr="00757A1C">
        <w:t>network service provider</w:t>
      </w:r>
    </w:p>
    <w:p w:rsidR="006E5DB2" w:rsidRDefault="006E5DB2" w:rsidP="001E38F7">
      <w:pPr>
        <w:pStyle w:val="AERbodytext"/>
        <w:numPr>
          <w:ilvl w:val="0"/>
          <w:numId w:val="9"/>
        </w:numPr>
      </w:pPr>
      <w:r>
        <w:t>NTNDP</w:t>
      </w:r>
      <w:r>
        <w:tab/>
      </w:r>
      <w:r>
        <w:tab/>
      </w:r>
      <w:r>
        <w:tab/>
        <w:t>National Transmission Network Development Plan</w:t>
      </w:r>
    </w:p>
    <w:p w:rsidR="006E5DB2" w:rsidRPr="00757A1C" w:rsidRDefault="006E5DB2" w:rsidP="001E38F7">
      <w:pPr>
        <w:pStyle w:val="AERbodytext"/>
        <w:numPr>
          <w:ilvl w:val="0"/>
          <w:numId w:val="9"/>
        </w:numPr>
      </w:pPr>
      <w:r>
        <w:t xml:space="preserve">NTPA </w:t>
      </w:r>
      <w:r>
        <w:tab/>
      </w:r>
      <w:r>
        <w:tab/>
      </w:r>
      <w:r>
        <w:tab/>
        <w:t>National Transmission Planning Arrangement</w:t>
      </w:r>
    </w:p>
    <w:p w:rsidR="006E5DB2" w:rsidRPr="00757A1C" w:rsidRDefault="006E5DB2" w:rsidP="001E38F7">
      <w:pPr>
        <w:pStyle w:val="AERbodytext"/>
        <w:numPr>
          <w:ilvl w:val="0"/>
          <w:numId w:val="9"/>
        </w:numPr>
      </w:pPr>
      <w:r w:rsidRPr="00757A1C">
        <w:t>RIT-D</w:t>
      </w:r>
      <w:r w:rsidRPr="00757A1C">
        <w:tab/>
      </w:r>
      <w:r w:rsidRPr="00757A1C">
        <w:tab/>
      </w:r>
      <w:r w:rsidRPr="00757A1C">
        <w:tab/>
        <w:t>regulatory investment test for distribution</w:t>
      </w:r>
    </w:p>
    <w:p w:rsidR="006E5DB2" w:rsidRPr="00757A1C" w:rsidRDefault="006E5DB2" w:rsidP="001E38F7">
      <w:pPr>
        <w:pStyle w:val="AERbodytext"/>
        <w:numPr>
          <w:ilvl w:val="0"/>
          <w:numId w:val="9"/>
        </w:numPr>
      </w:pPr>
      <w:r w:rsidRPr="00757A1C">
        <w:t>RIT-T</w:t>
      </w:r>
      <w:r w:rsidRPr="00757A1C">
        <w:tab/>
      </w:r>
      <w:r w:rsidRPr="00757A1C">
        <w:tab/>
      </w:r>
      <w:r w:rsidRPr="00757A1C">
        <w:tab/>
        <w:t>regulatory investment test for transmission</w:t>
      </w:r>
    </w:p>
    <w:p w:rsidR="006E5DB2" w:rsidRDefault="006E5DB2" w:rsidP="001E38F7">
      <w:pPr>
        <w:pStyle w:val="AERbodytext"/>
        <w:numPr>
          <w:ilvl w:val="0"/>
          <w:numId w:val="9"/>
        </w:numPr>
      </w:pPr>
      <w:r w:rsidRPr="00757A1C">
        <w:t>TNSP</w:t>
      </w:r>
      <w:r w:rsidRPr="00757A1C">
        <w:tab/>
      </w:r>
      <w:r w:rsidRPr="00757A1C">
        <w:tab/>
      </w:r>
      <w:r w:rsidRPr="00757A1C">
        <w:tab/>
        <w:t>transmission network service provider</w:t>
      </w:r>
    </w:p>
    <w:p w:rsidR="006E5DB2" w:rsidRPr="00760CB3" w:rsidRDefault="006E5DB2" w:rsidP="001E38F7">
      <w:pPr>
        <w:pStyle w:val="AERbodytext"/>
        <w:numPr>
          <w:ilvl w:val="0"/>
          <w:numId w:val="9"/>
        </w:numPr>
      </w:pPr>
    </w:p>
    <w:p w:rsidR="006E5DB2" w:rsidRPr="000A1CC2" w:rsidRDefault="00907EAB" w:rsidP="006E5DB2">
      <w:pPr>
        <w:pStyle w:val="AERheading1"/>
      </w:pPr>
      <w:bookmarkStart w:id="4" w:name="_Toc341188847"/>
      <w:r>
        <w:t>Summary</w:t>
      </w:r>
      <w:bookmarkEnd w:id="4"/>
    </w:p>
    <w:p w:rsidR="006E5DB2" w:rsidRDefault="006E5DB2" w:rsidP="001E38F7">
      <w:pPr>
        <w:pStyle w:val="AERbodytext"/>
        <w:numPr>
          <w:ilvl w:val="0"/>
          <w:numId w:val="9"/>
        </w:numPr>
      </w:pPr>
      <w:r>
        <w:t>The regulatory investment test for transmission (RIT-T) is a cost-benefit test that transmission companies must apply before building electricity transmission infrastructure.  The test applies for only transmission investments abo</w:t>
      </w:r>
      <w:r w:rsidR="009B7C9D">
        <w:t>ve certain cost thresholds. The National Electricity Ru</w:t>
      </w:r>
      <w:r w:rsidR="002F714A">
        <w:t>les (Electricity Rules) require</w:t>
      </w:r>
      <w:r w:rsidR="009B7C9D">
        <w:t xml:space="preserve"> the </w:t>
      </w:r>
      <w:r w:rsidR="00901F04">
        <w:t>Australian Energy Regulator (</w:t>
      </w:r>
      <w:r w:rsidR="009B7C9D">
        <w:t>AER</w:t>
      </w:r>
      <w:r w:rsidR="00901F04">
        <w:t>)</w:t>
      </w:r>
      <w:r w:rsidR="009B7C9D">
        <w:t xml:space="preserve"> to review </w:t>
      </w:r>
      <w:r w:rsidR="001078C1">
        <w:t>changes in input costs</w:t>
      </w:r>
      <w:r w:rsidR="005432A3">
        <w:t xml:space="preserve"> every three years and adjust the cost</w:t>
      </w:r>
      <w:r w:rsidR="001078C1">
        <w:t xml:space="preserve"> thresholds </w:t>
      </w:r>
      <w:r w:rsidR="005432A3">
        <w:t>to reflect these changes</w:t>
      </w:r>
      <w:r w:rsidR="001078C1">
        <w:t xml:space="preserve">. </w:t>
      </w:r>
    </w:p>
    <w:p w:rsidR="004530C8" w:rsidRDefault="00907EAB" w:rsidP="00907EAB">
      <w:pPr>
        <w:pStyle w:val="AERbodytext"/>
        <w:numPr>
          <w:ilvl w:val="0"/>
          <w:numId w:val="9"/>
        </w:numPr>
      </w:pPr>
      <w:r>
        <w:t>Th</w:t>
      </w:r>
      <w:r w:rsidR="004530C8">
        <w:t>e AER published a</w:t>
      </w:r>
      <w:r w:rsidR="008F496F">
        <w:t xml:space="preserve"> draft determination on the review of </w:t>
      </w:r>
      <w:r w:rsidR="005364A4">
        <w:t xml:space="preserve">the </w:t>
      </w:r>
      <w:r w:rsidR="00F73C94">
        <w:t>cost thresholds on 11 September. The AER received one submission.</w:t>
      </w:r>
      <w:r w:rsidR="008F496F">
        <w:t xml:space="preserve">    </w:t>
      </w:r>
    </w:p>
    <w:p w:rsidR="004530C8" w:rsidRDefault="00734B4D" w:rsidP="00907EAB">
      <w:pPr>
        <w:pStyle w:val="AERbodytext"/>
        <w:numPr>
          <w:ilvl w:val="0"/>
          <w:numId w:val="9"/>
        </w:numPr>
      </w:pPr>
      <w:r>
        <w:t>After considering the submission, t</w:t>
      </w:r>
      <w:r w:rsidR="004530C8">
        <w:t xml:space="preserve">he AER’s </w:t>
      </w:r>
      <w:r w:rsidR="008F496F">
        <w:t>final</w:t>
      </w:r>
      <w:r w:rsidR="00DD27E0">
        <w:t xml:space="preserve"> determination upholds the AER’s</w:t>
      </w:r>
      <w:r w:rsidR="008F496F">
        <w:t xml:space="preserve"> draft determination</w:t>
      </w:r>
      <w:r w:rsidR="00DD27E0">
        <w:t xml:space="preserve"> that</w:t>
      </w:r>
      <w:r w:rsidR="00C67ED4">
        <w:t xml:space="preserve">: </w:t>
      </w:r>
      <w:r w:rsidR="004530C8">
        <w:t xml:space="preserve"> </w:t>
      </w:r>
    </w:p>
    <w:p w:rsidR="00C67ED4" w:rsidRDefault="00D5677F" w:rsidP="00C67ED4">
      <w:pPr>
        <w:pStyle w:val="AERbulletlistfirststyle"/>
      </w:pPr>
      <w:r>
        <w:t>t</w:t>
      </w:r>
      <w:r w:rsidR="00C67ED4">
        <w:t>he $5 million cost threshold</w:t>
      </w:r>
      <w:r w:rsidR="00A14929">
        <w:t>s</w:t>
      </w:r>
      <w:r w:rsidR="00C67ED4">
        <w:t xml:space="preserve"> in clause</w:t>
      </w:r>
      <w:r>
        <w:t xml:space="preserve"> 5.6.5C, in relation to the definition of replacement transmission network asset and transmission investment</w:t>
      </w:r>
      <w:r w:rsidR="008F47EE">
        <w:t>,</w:t>
      </w:r>
      <w:r>
        <w:t xml:space="preserve"> as referred to in the definition of new network investment</w:t>
      </w:r>
      <w:r w:rsidR="006F3BC6">
        <w:t>,</w:t>
      </w:r>
      <w:r>
        <w:t xml:space="preserve"> be maintained</w:t>
      </w:r>
      <w:r w:rsidR="006F3BC6">
        <w:t xml:space="preserve"> at $5 million</w:t>
      </w:r>
      <w:r w:rsidR="001078C1">
        <w:t xml:space="preserve">; and </w:t>
      </w:r>
    </w:p>
    <w:p w:rsidR="003F5983" w:rsidRDefault="00D5677F">
      <w:pPr>
        <w:pStyle w:val="AERbulletlistfirststyle"/>
      </w:pPr>
      <w:proofErr w:type="gramStart"/>
      <w:r>
        <w:t>the</w:t>
      </w:r>
      <w:proofErr w:type="gramEnd"/>
      <w:r>
        <w:t xml:space="preserve"> $35 million cost threshold in clause 5.6.6(y) be increased to $38 million. The revised cost threshold will take effect on 1 January 2013. </w:t>
      </w:r>
    </w:p>
    <w:p w:rsidR="00907EAB" w:rsidRDefault="00907EAB" w:rsidP="00907EAB">
      <w:pPr>
        <w:pStyle w:val="AERbodytext"/>
      </w:pPr>
    </w:p>
    <w:p w:rsidR="006E5DB2" w:rsidRDefault="006E5DB2" w:rsidP="006E5DB2">
      <w:pPr>
        <w:pStyle w:val="AERheading1"/>
        <w:pageBreakBefore w:val="0"/>
        <w:ind w:left="358" w:hanging="1072"/>
        <w:rPr>
          <w:rStyle w:val="AERtextorange"/>
        </w:rPr>
      </w:pPr>
      <w:bookmarkStart w:id="5" w:name="_Toc341188848"/>
      <w:r>
        <w:rPr>
          <w:rStyle w:val="AERtextorange"/>
        </w:rPr>
        <w:t>Introduction</w:t>
      </w:r>
      <w:bookmarkEnd w:id="5"/>
      <w:r>
        <w:rPr>
          <w:rStyle w:val="AERtextorange"/>
        </w:rPr>
        <w:t xml:space="preserve"> </w:t>
      </w:r>
    </w:p>
    <w:p w:rsidR="0020655F" w:rsidRDefault="00DD27E0" w:rsidP="00793FE6">
      <w:pPr>
        <w:pStyle w:val="AERbodytext"/>
        <w:numPr>
          <w:ilvl w:val="0"/>
          <w:numId w:val="9"/>
        </w:numPr>
      </w:pPr>
      <w:r w:rsidRPr="00757A1C">
        <w:t xml:space="preserve">The </w:t>
      </w:r>
      <w:r>
        <w:t>AER</w:t>
      </w:r>
      <w:r w:rsidR="006E5DB2" w:rsidRPr="00757A1C">
        <w:t xml:space="preserve"> is responsible for the economic regulation of electricity transmission and distribution services in the national electricity market (NEM) as well as some gas transportation services. The AER also monitors </w:t>
      </w:r>
      <w:r w:rsidR="006E5DB2">
        <w:t xml:space="preserve">compliance in </w:t>
      </w:r>
      <w:r w:rsidR="006E5DB2" w:rsidRPr="00757A1C">
        <w:t>the wholesale electricity and gas markets and is responsible for enforcement o</w:t>
      </w:r>
      <w:r w:rsidR="00B07ED1">
        <w:t>f the National Electricity Law and National Gas Law</w:t>
      </w:r>
      <w:r w:rsidR="006E5DB2" w:rsidRPr="00757A1C">
        <w:t xml:space="preserve">. </w:t>
      </w:r>
    </w:p>
    <w:p w:rsidR="006E5DB2" w:rsidRDefault="006E5DB2" w:rsidP="001E38F7">
      <w:pPr>
        <w:pStyle w:val="AERbodytext"/>
        <w:numPr>
          <w:ilvl w:val="0"/>
          <w:numId w:val="9"/>
        </w:numPr>
      </w:pPr>
      <w:r>
        <w:t xml:space="preserve">The RIT-T is a cost-benefit analysis used to identify the transmission investment option (the preferred option) that maximises </w:t>
      </w:r>
      <w:r w:rsidRPr="00760CB3">
        <w:t>the net economic benefits and, where applicable, meets the relevant jurisdictional reliability standards.</w:t>
      </w:r>
      <w:r w:rsidRPr="00757A1C">
        <w:rPr>
          <w:rStyle w:val="FootnoteReference"/>
        </w:rPr>
        <w:footnoteReference w:id="1"/>
      </w:r>
      <w:r w:rsidRPr="00760CB3">
        <w:t xml:space="preserve"> </w:t>
      </w:r>
    </w:p>
    <w:p w:rsidR="00DD27E0" w:rsidRDefault="006E5DB2" w:rsidP="001E38F7">
      <w:pPr>
        <w:pStyle w:val="AERbodytext"/>
        <w:numPr>
          <w:ilvl w:val="0"/>
          <w:numId w:val="9"/>
        </w:numPr>
      </w:pPr>
      <w:r>
        <w:t>A</w:t>
      </w:r>
      <w:r w:rsidRPr="00760CB3">
        <w:t>ll transmission investment is subject to both the RIT-T and RIT-T consultation procedures unless exempted by clause 5</w:t>
      </w:r>
      <w:r w:rsidR="00DD27E0">
        <w:t xml:space="preserve">.6.5C of the Electricity Rules. </w:t>
      </w:r>
      <w:r w:rsidR="00DD27E0" w:rsidRPr="00760CB3">
        <w:t>Several of the categories of exemption exclude a class of transmission investment where the estimated capital cost does not exceed a cost threshold</w:t>
      </w:r>
      <w:r w:rsidR="00DD27E0">
        <w:t xml:space="preserve"> of $5 million. </w:t>
      </w:r>
    </w:p>
    <w:p w:rsidR="006E5DB2" w:rsidRDefault="006E5DB2" w:rsidP="001E38F7">
      <w:pPr>
        <w:pStyle w:val="AERbodytext"/>
        <w:numPr>
          <w:ilvl w:val="0"/>
          <w:numId w:val="9"/>
        </w:numPr>
      </w:pPr>
      <w:r>
        <w:t xml:space="preserve">Similarly, the definition of replacement transmission network asset and transmission investment as referred to in the definition of new network investment include cost thresholds of $5 million as part of their definition. </w:t>
      </w:r>
    </w:p>
    <w:p w:rsidR="006E5DB2" w:rsidRDefault="006E5DB2" w:rsidP="001E38F7">
      <w:pPr>
        <w:pStyle w:val="AERbodytext"/>
        <w:numPr>
          <w:ilvl w:val="0"/>
          <w:numId w:val="9"/>
        </w:numPr>
      </w:pPr>
      <w:r>
        <w:t>Further, where transmission investment is subject to the RIT-T and the preferred option does not exceed a cost threshold of $35 million, the network service provider preparing the RIT-T may be exempted from parts of the RIT-T consultation procedures.</w:t>
      </w:r>
      <w:r>
        <w:rPr>
          <w:rStyle w:val="FootnoteReference"/>
        </w:rPr>
        <w:footnoteReference w:id="2"/>
      </w:r>
    </w:p>
    <w:p w:rsidR="00AD38A2" w:rsidRDefault="006E5DB2" w:rsidP="003F5983">
      <w:pPr>
        <w:pStyle w:val="AERbodytext"/>
        <w:numPr>
          <w:ilvl w:val="0"/>
          <w:numId w:val="9"/>
        </w:numPr>
      </w:pPr>
      <w:r>
        <w:t>The AER must review the appropriateness of these cost thresholds every three years by ass</w:t>
      </w:r>
      <w:r w:rsidR="00AD38A2">
        <w:t xml:space="preserve">essing changes in input costs. </w:t>
      </w:r>
      <w:r w:rsidR="003F5983">
        <w:t xml:space="preserve">On 11 September 2012, the AER published its draft determination on the cost thresholds review. </w:t>
      </w:r>
      <w:r w:rsidR="00C976C4">
        <w:t xml:space="preserve">The AER received one submission. </w:t>
      </w:r>
      <w:r w:rsidR="00AD38A2">
        <w:t xml:space="preserve">Consistent with the requirements of clause 5.6.6E, this document </w:t>
      </w:r>
      <w:r w:rsidR="00CD364F">
        <w:t>represents</w:t>
      </w:r>
      <w:r w:rsidR="00AD38A2">
        <w:t xml:space="preserve"> the AER’s </w:t>
      </w:r>
      <w:r w:rsidR="003F5983">
        <w:t xml:space="preserve">final </w:t>
      </w:r>
      <w:r w:rsidR="007C52C5">
        <w:t xml:space="preserve">determination </w:t>
      </w:r>
      <w:r w:rsidR="00AD38A2">
        <w:t>on the cost thresholds review</w:t>
      </w:r>
      <w:r w:rsidR="003F5983">
        <w:t>.</w:t>
      </w:r>
      <w:r w:rsidR="001078C1">
        <w:t xml:space="preserve">  </w:t>
      </w:r>
    </w:p>
    <w:p w:rsidR="006E5DB2" w:rsidRDefault="006E5DB2" w:rsidP="006E5DB2">
      <w:pPr>
        <w:pStyle w:val="AERheading1"/>
        <w:pageBreakBefore w:val="0"/>
        <w:ind w:left="358" w:hanging="1072"/>
      </w:pPr>
      <w:bookmarkStart w:id="6" w:name="_Toc341188849"/>
      <w:r>
        <w:t>Rule requirements</w:t>
      </w:r>
      <w:bookmarkEnd w:id="6"/>
      <w:r>
        <w:t xml:space="preserve"> </w:t>
      </w:r>
    </w:p>
    <w:p w:rsidR="006E5DB2" w:rsidRPr="00714683" w:rsidRDefault="006E5DB2" w:rsidP="006E5DB2">
      <w:pPr>
        <w:pStyle w:val="AERbodytext"/>
      </w:pPr>
      <w:r w:rsidRPr="00714683">
        <w:t>Clause 5.6.5E of the Electricity Rules states:</w:t>
      </w:r>
    </w:p>
    <w:p w:rsidR="006E5DB2" w:rsidRPr="00714683" w:rsidRDefault="006E5DB2" w:rsidP="006E5DB2">
      <w:pPr>
        <w:pStyle w:val="AERbodytext"/>
      </w:pPr>
      <w:r w:rsidRPr="00760CB3">
        <w:t xml:space="preserve"> (a)     Every 3 years the AER must undertake a review (the cost threshold review) of the changes in the input costs used to calculate the estimated capital costs in relation to replacement transmission network assets and in relation to transmission investment as referred to in the definition of new network investment and referred to in clauses 5.6.2A(b)(6), 5.6.5C(a)(2), (4) and (5) and 5.6.6(y)(1) for the purposes of determining whether the amounts:</w:t>
      </w:r>
      <w:r w:rsidRPr="00714683">
        <w:t xml:space="preserve"> </w:t>
      </w:r>
    </w:p>
    <w:p w:rsidR="006E5DB2" w:rsidRPr="00760CB3" w:rsidRDefault="006E5DB2" w:rsidP="006E5DB2">
      <w:pPr>
        <w:pStyle w:val="AERbodytext"/>
      </w:pPr>
      <w:r>
        <w:t xml:space="preserve">           </w:t>
      </w:r>
      <w:r w:rsidRPr="00760CB3">
        <w:t xml:space="preserve">(1)     </w:t>
      </w:r>
      <w:proofErr w:type="gramStart"/>
      <w:r w:rsidRPr="00760CB3">
        <w:t>in</w:t>
      </w:r>
      <w:proofErr w:type="gramEnd"/>
      <w:r w:rsidRPr="00760CB3">
        <w:t xml:space="preserve"> relation to replacement transmission network assets; </w:t>
      </w:r>
    </w:p>
    <w:p w:rsidR="006E5DB2" w:rsidRPr="00760CB3" w:rsidRDefault="006E5DB2" w:rsidP="006E5DB2">
      <w:pPr>
        <w:pStyle w:val="AERbodytext"/>
      </w:pPr>
      <w:r>
        <w:t xml:space="preserve">           </w:t>
      </w:r>
      <w:r w:rsidRPr="00760CB3">
        <w:t xml:space="preserve">(2)     </w:t>
      </w:r>
      <w:proofErr w:type="gramStart"/>
      <w:r w:rsidRPr="00760CB3">
        <w:t>of</w:t>
      </w:r>
      <w:proofErr w:type="gramEnd"/>
      <w:r w:rsidRPr="00760CB3">
        <w:t xml:space="preserve"> less than $5 million referred to in clause 5.6.5C(a)(2); </w:t>
      </w:r>
    </w:p>
    <w:p w:rsidR="006E5DB2" w:rsidRPr="00760CB3" w:rsidRDefault="006E5DB2" w:rsidP="006E5DB2">
      <w:pPr>
        <w:pStyle w:val="AERbodytext"/>
      </w:pPr>
      <w:r>
        <w:t xml:space="preserve">           </w:t>
      </w:r>
      <w:r w:rsidRPr="00760CB3">
        <w:t xml:space="preserve">(3)     </w:t>
      </w:r>
      <w:proofErr w:type="gramStart"/>
      <w:r w:rsidRPr="00760CB3">
        <w:t>of</w:t>
      </w:r>
      <w:proofErr w:type="gramEnd"/>
      <w:r w:rsidRPr="00760CB3">
        <w:t xml:space="preserve"> less than $5 million referred to in clause 5.6.5C(a)(4); </w:t>
      </w:r>
    </w:p>
    <w:p w:rsidR="006E5DB2" w:rsidRPr="00760CB3" w:rsidRDefault="006E5DB2" w:rsidP="006E5DB2">
      <w:pPr>
        <w:pStyle w:val="AERbodytext"/>
      </w:pPr>
      <w:r>
        <w:t xml:space="preserve">           </w:t>
      </w:r>
      <w:r w:rsidRPr="00760CB3">
        <w:t xml:space="preserve">(4)     </w:t>
      </w:r>
      <w:proofErr w:type="gramStart"/>
      <w:r w:rsidRPr="00760CB3">
        <w:t>of</w:t>
      </w:r>
      <w:proofErr w:type="gramEnd"/>
      <w:r w:rsidRPr="00760CB3">
        <w:t xml:space="preserve"> less than $5 million referred to in clause 5.6.5C(a)(5); </w:t>
      </w:r>
    </w:p>
    <w:p w:rsidR="006E5DB2" w:rsidRPr="00760CB3" w:rsidRDefault="006E5DB2" w:rsidP="006E5DB2">
      <w:pPr>
        <w:pStyle w:val="AERbodytext"/>
      </w:pPr>
      <w:r>
        <w:t xml:space="preserve">           </w:t>
      </w:r>
      <w:r w:rsidRPr="00760CB3">
        <w:t xml:space="preserve">(5)     </w:t>
      </w:r>
      <w:proofErr w:type="gramStart"/>
      <w:r w:rsidRPr="00760CB3">
        <w:t>of</w:t>
      </w:r>
      <w:proofErr w:type="gramEnd"/>
      <w:r w:rsidRPr="00760CB3">
        <w:t xml:space="preserve"> less than $35 million referred to in clause 5.6.6(y)(1); and </w:t>
      </w:r>
    </w:p>
    <w:p w:rsidR="006E5DB2" w:rsidRPr="00760CB3" w:rsidRDefault="006E5DB2" w:rsidP="006E5DB2">
      <w:pPr>
        <w:pStyle w:val="AERbodytext"/>
      </w:pPr>
      <w:r>
        <w:t xml:space="preserve">            </w:t>
      </w:r>
      <w:r w:rsidRPr="00760CB3">
        <w:t xml:space="preserve">(6)     </w:t>
      </w:r>
      <w:proofErr w:type="gramStart"/>
      <w:r w:rsidRPr="00760CB3">
        <w:t>in</w:t>
      </w:r>
      <w:proofErr w:type="gramEnd"/>
      <w:r w:rsidRPr="00760CB3">
        <w:t xml:space="preserve"> excess of $5 million in relation to transmission investment as referred to in the </w:t>
      </w:r>
      <w:r>
        <w:t xml:space="preserve">      </w:t>
      </w:r>
      <w:r w:rsidRPr="00760CB3">
        <w:t xml:space="preserve">definition of new network investment, </w:t>
      </w:r>
    </w:p>
    <w:p w:rsidR="006E5DB2" w:rsidRPr="00714683" w:rsidRDefault="006E5DB2" w:rsidP="006E5DB2">
      <w:pPr>
        <w:pStyle w:val="AERbodytext"/>
      </w:pPr>
      <w:r w:rsidRPr="00760CB3">
        <w:t>(each a cost threshold) need to be changed to maintain the appropriateness of the cost thresholds over time by adjusting those cost thresholds to reflect any increase or decrease in the input costs since 1 July 2009 in respect of the first cost threshold review and since the date of the previous review in respect of every subsequent cost threshold review.</w:t>
      </w:r>
      <w:r w:rsidRPr="00714683">
        <w:t xml:space="preserve"> </w:t>
      </w:r>
    </w:p>
    <w:p w:rsidR="006E5DB2" w:rsidRPr="00714683" w:rsidRDefault="006E5DB2" w:rsidP="006E5DB2">
      <w:pPr>
        <w:pStyle w:val="AERbodytext"/>
      </w:pPr>
      <w:r w:rsidRPr="00760CB3">
        <w:t>(b)     Each cost threshold review is to be commenced by the AER on 31 July of the relevant year, with the first such review to be initiated in 2012.</w:t>
      </w:r>
      <w:r w:rsidRPr="00714683">
        <w:t xml:space="preserve"> </w:t>
      </w:r>
    </w:p>
    <w:p w:rsidR="006E5DB2" w:rsidRPr="00714683" w:rsidRDefault="006E5DB2" w:rsidP="006E5DB2">
      <w:pPr>
        <w:pStyle w:val="AERbodytext"/>
      </w:pPr>
      <w:r w:rsidRPr="00760CB3">
        <w:t>(c)     Within 6 weeks following the commencement of a cost threshold review, the AER must publish a draft determination outlining:</w:t>
      </w:r>
      <w:r w:rsidRPr="00714683">
        <w:t xml:space="preserve"> </w:t>
      </w:r>
    </w:p>
    <w:p w:rsidR="006E5DB2" w:rsidRPr="00760CB3" w:rsidRDefault="006E5DB2" w:rsidP="006E5DB2">
      <w:pPr>
        <w:pStyle w:val="AERbodytext"/>
      </w:pPr>
      <w:r>
        <w:t xml:space="preserve">         </w:t>
      </w:r>
      <w:r w:rsidRPr="00760CB3">
        <w:t xml:space="preserve">(1)     </w:t>
      </w:r>
      <w:proofErr w:type="gramStart"/>
      <w:r w:rsidRPr="00760CB3">
        <w:t>whether</w:t>
      </w:r>
      <w:proofErr w:type="gramEnd"/>
      <w:r w:rsidRPr="00760CB3">
        <w:t xml:space="preserve"> the AER has formed the view that any of the cost thresholds need to be amended to reflect increases or decreases in the input costs to ensure that the appropriateness of the cost thresholds is maintained over time; </w:t>
      </w:r>
    </w:p>
    <w:p w:rsidR="006E5DB2" w:rsidRPr="00760CB3" w:rsidRDefault="006E5DB2" w:rsidP="006E5DB2">
      <w:pPr>
        <w:pStyle w:val="AERbodytext"/>
      </w:pPr>
      <w:r>
        <w:t xml:space="preserve">         </w:t>
      </w:r>
      <w:r w:rsidRPr="00760CB3">
        <w:t xml:space="preserve">(2)     </w:t>
      </w:r>
      <w:proofErr w:type="gramStart"/>
      <w:r w:rsidRPr="00760CB3">
        <w:t>its</w:t>
      </w:r>
      <w:proofErr w:type="gramEnd"/>
      <w:r w:rsidRPr="00760CB3">
        <w:t xml:space="preserve"> reasons for determining whether the cost thresholds need to be varied to reflect increases or decreases in the input costs; </w:t>
      </w:r>
    </w:p>
    <w:p w:rsidR="006E5DB2" w:rsidRPr="00760CB3" w:rsidRDefault="006E5DB2" w:rsidP="006E5DB2">
      <w:pPr>
        <w:pStyle w:val="AERbodytext"/>
      </w:pPr>
      <w:r>
        <w:t xml:space="preserve">         </w:t>
      </w:r>
      <w:r w:rsidRPr="00760CB3">
        <w:t xml:space="preserve">(3)     if there is to be a variation in a cost threshold, the amount of the new cost threshold and the date the new cost threshold will take effect; and </w:t>
      </w:r>
    </w:p>
    <w:p w:rsidR="006E5DB2" w:rsidRPr="00760CB3" w:rsidRDefault="006E5DB2" w:rsidP="006E5DB2">
      <w:pPr>
        <w:pStyle w:val="AERbodytext"/>
      </w:pPr>
      <w:r>
        <w:t xml:space="preserve">         </w:t>
      </w:r>
      <w:r w:rsidRPr="00760CB3">
        <w:t xml:space="preserve">(4)     </w:t>
      </w:r>
      <w:proofErr w:type="gramStart"/>
      <w:r w:rsidRPr="00760CB3">
        <w:t>its</w:t>
      </w:r>
      <w:proofErr w:type="gramEnd"/>
      <w:r w:rsidRPr="00760CB3">
        <w:t xml:space="preserve"> reasons for determining the amount of the new cost threshold. </w:t>
      </w:r>
    </w:p>
    <w:p w:rsidR="006E5DB2" w:rsidRPr="00714683" w:rsidRDefault="006E5DB2" w:rsidP="006E5DB2">
      <w:pPr>
        <w:pStyle w:val="AERbodytext"/>
      </w:pPr>
      <w:r w:rsidRPr="00760CB3">
        <w:t>(d)     At the same time as it publishes the draft determination under paragraph (c), the AER must publish a notice seeking submissions on the draft determination and which specifies the period within which written submissions can be made (the cost threshold consultation period) which must be no less than 5 weeks from the date of the notice.</w:t>
      </w:r>
      <w:r w:rsidRPr="00714683">
        <w:t xml:space="preserve"> </w:t>
      </w:r>
    </w:p>
    <w:p w:rsidR="006E5DB2" w:rsidRPr="00714683" w:rsidRDefault="006E5DB2" w:rsidP="006E5DB2">
      <w:pPr>
        <w:pStyle w:val="AERbodytext"/>
      </w:pPr>
      <w:r w:rsidRPr="00760CB3">
        <w:t>(e)     The AER must consider any written submissions received during the cost threshold consultation period in making its final determination in respect of the matters outlined in paragraph (c).</w:t>
      </w:r>
      <w:r w:rsidRPr="00714683">
        <w:t xml:space="preserve"> </w:t>
      </w:r>
    </w:p>
    <w:p w:rsidR="006E5DB2" w:rsidRPr="00714683" w:rsidRDefault="006E5DB2" w:rsidP="006E5DB2">
      <w:pPr>
        <w:pStyle w:val="AERbodytext"/>
      </w:pPr>
      <w:r w:rsidRPr="00760CB3">
        <w:t xml:space="preserve">(f)      The final determination must be made and published by the AER within 5 weeks following the end of the cost threshold consultation period (the cost threshold determination). </w:t>
      </w:r>
    </w:p>
    <w:p w:rsidR="006E5DB2" w:rsidRDefault="00C976C4" w:rsidP="006E5DB2">
      <w:pPr>
        <w:pStyle w:val="AERheading1"/>
        <w:pageBreakBefore w:val="0"/>
        <w:ind w:left="358" w:hanging="1072"/>
      </w:pPr>
      <w:bookmarkStart w:id="7" w:name="_Toc341188850"/>
      <w:r>
        <w:t>Cost threshold</w:t>
      </w:r>
      <w:r w:rsidR="00D01440">
        <w:t xml:space="preserve"> </w:t>
      </w:r>
      <w:r w:rsidR="004C6E56">
        <w:t>determination</w:t>
      </w:r>
      <w:bookmarkEnd w:id="7"/>
    </w:p>
    <w:p w:rsidR="00BB4BC7" w:rsidRDefault="00BB4BC7" w:rsidP="00BB4BC7">
      <w:pPr>
        <w:pStyle w:val="AERbodytext"/>
        <w:numPr>
          <w:ilvl w:val="0"/>
          <w:numId w:val="9"/>
        </w:numPr>
      </w:pPr>
      <w:r>
        <w:t xml:space="preserve">Clause 5.6.5E requires the AER to </w:t>
      </w:r>
      <w:r w:rsidR="001D47C8">
        <w:t>review</w:t>
      </w:r>
      <w:r>
        <w:t xml:space="preserve"> the change in the inputs costs used to calculate estimated capital costs in relation to transmission investment since 1 July 2009 to determine whether the cost thresholds should be changed to maintain their appropriateness. This section of the document outlines the AER’s </w:t>
      </w:r>
      <w:r w:rsidR="001D47C8">
        <w:t xml:space="preserve">final </w:t>
      </w:r>
      <w:r>
        <w:t>determination</w:t>
      </w:r>
      <w:r w:rsidR="001D47C8">
        <w:t xml:space="preserve"> on whether the cost thresholds should be amended to reflect changes in input costs. </w:t>
      </w:r>
      <w:r>
        <w:t xml:space="preserve"> </w:t>
      </w:r>
    </w:p>
    <w:p w:rsidR="00BB4BC7" w:rsidRDefault="001D47C8" w:rsidP="00BB4BC7">
      <w:pPr>
        <w:pStyle w:val="AERheading2"/>
      </w:pPr>
      <w:bookmarkStart w:id="8" w:name="_Toc341188851"/>
      <w:r>
        <w:t>Draft determination</w:t>
      </w:r>
      <w:bookmarkEnd w:id="8"/>
      <w:r>
        <w:t xml:space="preserve"> </w:t>
      </w:r>
      <w:r w:rsidR="00BB4BC7">
        <w:t xml:space="preserve"> </w:t>
      </w:r>
    </w:p>
    <w:p w:rsidR="00D658A7" w:rsidRDefault="003F5983" w:rsidP="00B07ED1">
      <w:pPr>
        <w:pStyle w:val="AERbodytext"/>
      </w:pPr>
      <w:r>
        <w:t xml:space="preserve">In the draft determination, the AER proposed not to undertake a full scale review of the precise changes in capital input costs for TNSP network projects as </w:t>
      </w:r>
      <w:r w:rsidR="00930486">
        <w:t xml:space="preserve">such a process would involve unnecessary regulatory burden on both TNSPs and the AER. The AER proposed instead to examine a board range of possible indexes to obtain a range of values that represent a reasonable approximation of changes in capital input costs since 1 July 2009. </w:t>
      </w:r>
    </w:p>
    <w:p w:rsidR="00057199" w:rsidRPr="00057199" w:rsidRDefault="00B07ED1" w:rsidP="00B07ED1">
      <w:pPr>
        <w:pStyle w:val="AERbodytext"/>
      </w:pPr>
      <w:r>
        <w:t>P</w:t>
      </w:r>
      <w:r w:rsidR="00930486">
        <w:t xml:space="preserve">otentially relevant indexes </w:t>
      </w:r>
      <w:r>
        <w:t xml:space="preserve">are </w:t>
      </w:r>
      <w:r w:rsidR="00930486">
        <w:t xml:space="preserve">listed in the </w:t>
      </w:r>
      <w:r w:rsidR="00AF23EB" w:rsidRPr="00AF23EB">
        <w:rPr>
          <w:b/>
        </w:rPr>
        <w:t>Appendix A</w:t>
      </w:r>
      <w:r>
        <w:t>.</w:t>
      </w:r>
      <w:r w:rsidR="00D658A7">
        <w:t xml:space="preserve"> </w:t>
      </w:r>
      <w:r>
        <w:t>T</w:t>
      </w:r>
      <w:r w:rsidR="00930486">
        <w:t xml:space="preserve">he AER considered it was most appropriate to use </w:t>
      </w:r>
      <w:r w:rsidR="005F6397">
        <w:t xml:space="preserve">the available indexes as a rough guide to the range of </w:t>
      </w:r>
      <w:r>
        <w:t>cost increases</w:t>
      </w:r>
      <w:r w:rsidR="005F6397">
        <w:t xml:space="preserve"> and to give gr</w:t>
      </w:r>
      <w:r>
        <w:t>eater weight to broader economy-</w:t>
      </w:r>
      <w:r w:rsidR="005F6397">
        <w:t>wide inde</w:t>
      </w:r>
      <w:r>
        <w:t>xes. The use of broader economy-</w:t>
      </w:r>
      <w:r w:rsidR="005F6397">
        <w:t>wide indexes was prefer</w:t>
      </w:r>
      <w:r w:rsidR="00057199">
        <w:t xml:space="preserve">red as they </w:t>
      </w:r>
      <w:r w:rsidR="00635822">
        <w:t xml:space="preserve">are </w:t>
      </w:r>
      <w:r w:rsidR="00057199">
        <w:t xml:space="preserve">arguably a good </w:t>
      </w:r>
      <w:r w:rsidR="00635822">
        <w:rPr>
          <w:color w:val="000000"/>
        </w:rPr>
        <w:t>measure of overall cost</w:t>
      </w:r>
      <w:r w:rsidR="00057199">
        <w:rPr>
          <w:color w:val="000000"/>
        </w:rPr>
        <w:t xml:space="preserve"> movements across the entire economy, are commonly used and understood, and in t</w:t>
      </w:r>
      <w:r w:rsidR="00D658A7">
        <w:rPr>
          <w:color w:val="000000"/>
        </w:rPr>
        <w:t>he absence of a precise measure</w:t>
      </w:r>
      <w:r w:rsidR="00057199">
        <w:rPr>
          <w:color w:val="000000"/>
        </w:rPr>
        <w:t xml:space="preserve"> provide a reasonable proxy for changes in input capital costs over the period. </w:t>
      </w:r>
    </w:p>
    <w:p w:rsidR="00057199" w:rsidRPr="00DF7BCF" w:rsidRDefault="00057199" w:rsidP="00057199">
      <w:pPr>
        <w:pStyle w:val="AERbodytext"/>
        <w:numPr>
          <w:ilvl w:val="0"/>
          <w:numId w:val="9"/>
        </w:numPr>
      </w:pPr>
      <w:r>
        <w:rPr>
          <w:color w:val="000000"/>
        </w:rPr>
        <w:t xml:space="preserve">On this basis, the AER considered that </w:t>
      </w:r>
      <w:r>
        <w:t>capital input costs</w:t>
      </w:r>
      <w:r w:rsidRPr="00DC2668">
        <w:t xml:space="preserve"> have </w:t>
      </w:r>
      <w:r>
        <w:t xml:space="preserve">likely </w:t>
      </w:r>
      <w:r w:rsidRPr="00DC2668">
        <w:t>increase</w:t>
      </w:r>
      <w:r>
        <w:t xml:space="preserve">d by approximately 10 per cent.  </w:t>
      </w:r>
    </w:p>
    <w:p w:rsidR="003F5983" w:rsidRDefault="00C976C4" w:rsidP="00BB4BC7">
      <w:pPr>
        <w:pStyle w:val="AERbodytext"/>
      </w:pPr>
      <w:r>
        <w:t>The AER also considered</w:t>
      </w:r>
      <w:r w:rsidR="00057199">
        <w:t xml:space="preserve"> that for the purposes of administrative simplicity, any change in the cost thresholds to reflect changes in capital input cos</w:t>
      </w:r>
      <w:r w:rsidR="006C1F45">
        <w:t xml:space="preserve">ts should be rounded to the </w:t>
      </w:r>
      <w:r w:rsidR="00734B4D">
        <w:t xml:space="preserve">nearest </w:t>
      </w:r>
      <w:r w:rsidR="006C1F45">
        <w:t>million. W</w:t>
      </w:r>
      <w:r w:rsidR="00057199">
        <w:t>here</w:t>
      </w:r>
      <w:r w:rsidR="006C1F45">
        <w:t xml:space="preserve"> the approximate </w:t>
      </w:r>
      <w:r w:rsidR="006C1F45" w:rsidRPr="003739A1">
        <w:t xml:space="preserve">change </w:t>
      </w:r>
      <w:r w:rsidR="006C1F45" w:rsidRPr="005364A4">
        <w:t>results in a pre-rounded variation figure of approximately $500 000, or $1.5m, $2.5m</w:t>
      </w:r>
      <w:r w:rsidR="006C1F45">
        <w:t xml:space="preserve"> etc (i.e. half way between two rounded figures), then it should be rounded down rathe</w:t>
      </w:r>
      <w:r w:rsidR="005364A4">
        <w:t>r than up. This reflects the</w:t>
      </w:r>
      <w:r w:rsidR="006C1F45">
        <w:t xml:space="preserve"> importance of the RIT-T in ensuring transparency and competitive neutrality </w:t>
      </w:r>
      <w:proofErr w:type="spellStart"/>
      <w:r w:rsidR="006C1F45">
        <w:t>vis</w:t>
      </w:r>
      <w:proofErr w:type="spellEnd"/>
      <w:r w:rsidR="006C1F45">
        <w:t>-a-</w:t>
      </w:r>
      <w:proofErr w:type="spellStart"/>
      <w:r w:rsidR="006C1F45">
        <w:t>vis</w:t>
      </w:r>
      <w:proofErr w:type="spellEnd"/>
      <w:r w:rsidR="006C1F45">
        <w:t xml:space="preserve"> non-network options.</w:t>
      </w:r>
    </w:p>
    <w:p w:rsidR="006C1F45" w:rsidRDefault="00635822" w:rsidP="006C1F45">
      <w:pPr>
        <w:pStyle w:val="AERbodytext"/>
      </w:pPr>
      <w:r>
        <w:t>As capital costs have</w:t>
      </w:r>
      <w:r w:rsidR="006C1F45">
        <w:t xml:space="preserve"> increased by approximately 10 per cent, the AER considered the cost thresholds should be amended to reflect this increase. On this basis, the draft determination concluded that: </w:t>
      </w:r>
    </w:p>
    <w:p w:rsidR="006C1F45" w:rsidRDefault="006C1F45" w:rsidP="006C1F45">
      <w:pPr>
        <w:pStyle w:val="AERbodytext"/>
        <w:numPr>
          <w:ilvl w:val="0"/>
          <w:numId w:val="17"/>
        </w:numPr>
      </w:pPr>
      <w:proofErr w:type="gramStart"/>
      <w:r>
        <w:t>the</w:t>
      </w:r>
      <w:proofErr w:type="gramEnd"/>
      <w:r>
        <w:t xml:space="preserve"> $5 million cost threshold would move to approximately $5.5 million.  Given the AER’s proposed approach to rounding, the AER considered that the $5 million threshold remain at $5 million. </w:t>
      </w:r>
    </w:p>
    <w:p w:rsidR="006C1F45" w:rsidRDefault="006C1F45" w:rsidP="006C1F45">
      <w:pPr>
        <w:pStyle w:val="AERbodytext"/>
        <w:numPr>
          <w:ilvl w:val="0"/>
          <w:numId w:val="17"/>
        </w:numPr>
      </w:pPr>
      <w:proofErr w:type="gramStart"/>
      <w:r>
        <w:t>the</w:t>
      </w:r>
      <w:proofErr w:type="gramEnd"/>
      <w:r>
        <w:t xml:space="preserve"> $35 million cost threshold would </w:t>
      </w:r>
      <w:r w:rsidR="00635822">
        <w:t xml:space="preserve">move </w:t>
      </w:r>
      <w:r>
        <w:t xml:space="preserve">to approximately $38.5 million.  Given the proposed approach to rounding, the AER considered that the $35 million threshold be changed to $38 million. The AER proposed that the revised cost threshold for clause 5.6.6(y) take effect on 1 January 2013. </w:t>
      </w:r>
    </w:p>
    <w:p w:rsidR="00793FE6" w:rsidRDefault="002F714A" w:rsidP="00DD27E0">
      <w:pPr>
        <w:pStyle w:val="AERbodytext"/>
      </w:pPr>
      <w:r w:rsidRPr="002F714A">
        <w:t>As noted in the draft determination, when the next cost thresholds review takes places, the AER will consider changes to the cost thresholds using the un-rounded</w:t>
      </w:r>
      <w:r>
        <w:rPr>
          <w:color w:val="1F497D"/>
        </w:rPr>
        <w:t xml:space="preserve"> </w:t>
      </w:r>
      <w:r w:rsidR="00E02348">
        <w:t>cost thresholds</w:t>
      </w:r>
      <w:r w:rsidR="00C705ED">
        <w:t xml:space="preserve"> figures of $5</w:t>
      </w:r>
      <w:r w:rsidR="00734B4D">
        <w:t>.</w:t>
      </w:r>
      <w:r w:rsidR="00C705ED">
        <w:t xml:space="preserve">5 million and $38.5 million as the starting </w:t>
      </w:r>
      <w:r w:rsidR="008F47EE">
        <w:t>point</w:t>
      </w:r>
      <w:r>
        <w:t>,</w:t>
      </w:r>
      <w:r w:rsidR="008F47EE">
        <w:t xml:space="preserve"> </w:t>
      </w:r>
      <w:r w:rsidR="00C705ED">
        <w:t>rather than the rounded cost thresholds.</w:t>
      </w:r>
    </w:p>
    <w:p w:rsidR="00793FE6" w:rsidRDefault="00793FE6" w:rsidP="00793FE6">
      <w:pPr>
        <w:pStyle w:val="AERheading2"/>
      </w:pPr>
      <w:bookmarkStart w:id="9" w:name="_Toc341188852"/>
      <w:r>
        <w:t>Final determination</w:t>
      </w:r>
      <w:bookmarkEnd w:id="9"/>
      <w:r>
        <w:t xml:space="preserve"> </w:t>
      </w:r>
    </w:p>
    <w:p w:rsidR="008F47EE" w:rsidRDefault="00DD27E0" w:rsidP="00734B4D">
      <w:pPr>
        <w:pStyle w:val="AERbodytext"/>
      </w:pPr>
      <w:r>
        <w:t xml:space="preserve">The AER received one submission on the draft determination from Grid Australia. </w:t>
      </w:r>
      <w:r w:rsidR="00734B4D">
        <w:t xml:space="preserve">Grid Australia is the organisation which represents the owners of Australia’s electricity transmission networks in the National Electricity Market (NEM), and Western Australia. </w:t>
      </w:r>
    </w:p>
    <w:p w:rsidR="00DD27E0" w:rsidRPr="00DD27E0" w:rsidRDefault="00DD27E0" w:rsidP="00734B4D">
      <w:pPr>
        <w:pStyle w:val="AERbodytext"/>
      </w:pPr>
      <w:r>
        <w:t>Grid Australia supported the AER’s proposed methodology of determining the changes in capital input costs and agree</w:t>
      </w:r>
      <w:r w:rsidR="008F47EE">
        <w:t>d</w:t>
      </w:r>
      <w:r>
        <w:t xml:space="preserve"> with the AER’s revised cost thresholds.  </w:t>
      </w:r>
    </w:p>
    <w:p w:rsidR="00D01440" w:rsidRDefault="008F47EE" w:rsidP="00D01440">
      <w:pPr>
        <w:pStyle w:val="AERbodytext"/>
        <w:spacing w:after="120"/>
      </w:pPr>
      <w:r>
        <w:t xml:space="preserve">Given the </w:t>
      </w:r>
      <w:r w:rsidR="00D01440">
        <w:t xml:space="preserve">submission raised </w:t>
      </w:r>
      <w:r>
        <w:t xml:space="preserve">no </w:t>
      </w:r>
      <w:r w:rsidR="00D01440">
        <w:t xml:space="preserve">concerns with the </w:t>
      </w:r>
      <w:r w:rsidR="00C976C4">
        <w:t xml:space="preserve">AER’s draft determination, the </w:t>
      </w:r>
      <w:r w:rsidR="00D01440">
        <w:t>AER’s final determination maintain</w:t>
      </w:r>
      <w:r w:rsidR="00D100C4">
        <w:t>s</w:t>
      </w:r>
      <w:r w:rsidR="00D01440">
        <w:t xml:space="preserve"> the AER’s draft </w:t>
      </w:r>
      <w:r>
        <w:t xml:space="preserve">decision </w:t>
      </w:r>
      <w:r w:rsidR="00D01440">
        <w:t>that:</w:t>
      </w:r>
    </w:p>
    <w:p w:rsidR="00D01440" w:rsidRDefault="00D01440" w:rsidP="00D01440">
      <w:pPr>
        <w:pStyle w:val="AERbodytext"/>
        <w:numPr>
          <w:ilvl w:val="0"/>
          <w:numId w:val="14"/>
        </w:numPr>
      </w:pPr>
      <w:r>
        <w:t xml:space="preserve">The $5 million threshold referred to in </w:t>
      </w:r>
      <w:r w:rsidRPr="00760CB3">
        <w:t>clauses 5.6.5C(a)(2), (4) and (5)</w:t>
      </w:r>
      <w:r>
        <w:t>, in relation to replacement transmission network assets and in relation to transmission investment as referred to in the definition of new network investment not be changed</w:t>
      </w:r>
    </w:p>
    <w:p w:rsidR="00793FE6" w:rsidRPr="00793FE6" w:rsidRDefault="00D01440" w:rsidP="00793FE6">
      <w:pPr>
        <w:pStyle w:val="AERbodytext"/>
        <w:numPr>
          <w:ilvl w:val="0"/>
          <w:numId w:val="14"/>
        </w:numPr>
      </w:pPr>
      <w:r>
        <w:t xml:space="preserve">The $35 million threshold in clause 5.6.6(y) </w:t>
      </w:r>
      <w:proofErr w:type="gramStart"/>
      <w:r>
        <w:t>be</w:t>
      </w:r>
      <w:proofErr w:type="gramEnd"/>
      <w:r>
        <w:t xml:space="preserve"> changed to $38 million</w:t>
      </w:r>
      <w:r w:rsidR="004B7CA0">
        <w:t>. The</w:t>
      </w:r>
      <w:r>
        <w:t xml:space="preserve"> revised cost threshold for clause 5.6.6(y) </w:t>
      </w:r>
      <w:r w:rsidR="004B7CA0">
        <w:t xml:space="preserve">will </w:t>
      </w:r>
      <w:r>
        <w:t xml:space="preserve">take effect on 1 January 2013. </w:t>
      </w:r>
    </w:p>
    <w:p w:rsidR="00D01440" w:rsidRDefault="00D01440" w:rsidP="005364A4">
      <w:pPr>
        <w:pStyle w:val="UnnumberedHeading"/>
        <w:numPr>
          <w:ilvl w:val="0"/>
          <w:numId w:val="0"/>
        </w:numPr>
      </w:pPr>
      <w:bookmarkStart w:id="10" w:name="_Toc341188853"/>
      <w:bookmarkStart w:id="11" w:name="_Ref330302269"/>
      <w:r>
        <w:t xml:space="preserve">Appendix </w:t>
      </w:r>
      <w:proofErr w:type="gramStart"/>
      <w:r>
        <w:t>A</w:t>
      </w:r>
      <w:proofErr w:type="gramEnd"/>
      <w:r>
        <w:t xml:space="preserve"> – indexes considered by the AER</w:t>
      </w:r>
      <w:bookmarkEnd w:id="10"/>
    </w:p>
    <w:p w:rsidR="00AE6C53" w:rsidRPr="00274924" w:rsidRDefault="00D01440" w:rsidP="00D01440">
      <w:pPr>
        <w:pStyle w:val="AERtabletextheading"/>
      </w:pPr>
      <w:r>
        <w:t xml:space="preserve">Table </w:t>
      </w:r>
      <w:proofErr w:type="gramStart"/>
      <w:r>
        <w:t>A</w:t>
      </w:r>
      <w:proofErr w:type="gramEnd"/>
      <w:r>
        <w:t xml:space="preserve"> – C</w:t>
      </w:r>
      <w:r w:rsidR="00AE6C53" w:rsidRPr="00274924">
        <w:t>hange in</w:t>
      </w:r>
      <w:r w:rsidR="00AE6C53">
        <w:t xml:space="preserve"> potentially</w:t>
      </w:r>
      <w:r w:rsidR="00AE6C53" w:rsidRPr="00274924">
        <w:t xml:space="preserve"> rel</w:t>
      </w:r>
      <w:r w:rsidR="00AE6C53">
        <w:t>evant</w:t>
      </w:r>
      <w:r w:rsidR="00AE6C53" w:rsidRPr="00274924">
        <w:t xml:space="preserve"> indexes Jun</w:t>
      </w:r>
      <w:r w:rsidR="00AE6C53">
        <w:t>e</w:t>
      </w:r>
      <w:r w:rsidR="00AE6C53" w:rsidRPr="00274924">
        <w:t xml:space="preserve"> 2009</w:t>
      </w:r>
      <w:r w:rsidR="00AE6C53">
        <w:t xml:space="preserve"> to </w:t>
      </w:r>
      <w:r w:rsidR="00AE6C53" w:rsidRPr="00274924">
        <w:t>June</w:t>
      </w:r>
      <w:r w:rsidR="00AE6C53">
        <w:t xml:space="preserve"> </w:t>
      </w:r>
      <w:r w:rsidR="00AE6C53" w:rsidRPr="00274924">
        <w:t>2012</w:t>
      </w:r>
      <w:bookmarkEnd w:id="11"/>
    </w:p>
    <w:tbl>
      <w:tblPr>
        <w:tblW w:w="0" w:type="auto"/>
        <w:tblBorders>
          <w:top w:val="single" w:sz="4" w:space="0" w:color="auto"/>
          <w:bottom w:val="single" w:sz="4" w:space="0" w:color="auto"/>
        </w:tblBorders>
        <w:tblLayout w:type="fixed"/>
        <w:tblLook w:val="0020"/>
      </w:tblPr>
      <w:tblGrid>
        <w:gridCol w:w="4644"/>
        <w:gridCol w:w="3544"/>
      </w:tblGrid>
      <w:tr w:rsidR="00AE6C53" w:rsidTr="008F496F">
        <w:trPr>
          <w:trHeight w:val="465"/>
        </w:trPr>
        <w:tc>
          <w:tcPr>
            <w:tcW w:w="4644"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AE6C53" w:rsidRPr="0089368C" w:rsidRDefault="00AE6C53" w:rsidP="008F496F">
            <w:pPr>
              <w:pStyle w:val="AERtabletext"/>
              <w:keepNext/>
              <w:rPr>
                <w:rStyle w:val="AERtextbold"/>
              </w:rPr>
            </w:pPr>
            <w:r w:rsidRPr="0089368C">
              <w:rPr>
                <w:rStyle w:val="AERtextbold"/>
              </w:rPr>
              <w:t>Index</w:t>
            </w:r>
          </w:p>
        </w:tc>
        <w:tc>
          <w:tcPr>
            <w:tcW w:w="3544"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AE6C53" w:rsidRPr="0089368C" w:rsidRDefault="00AE6C53" w:rsidP="008F496F">
            <w:pPr>
              <w:pStyle w:val="AERtabletext-numbers"/>
              <w:rPr>
                <w:rStyle w:val="AERtextbold"/>
              </w:rPr>
            </w:pPr>
            <w:r>
              <w:rPr>
                <w:rStyle w:val="AERtextbold"/>
              </w:rPr>
              <w:t xml:space="preserve">Percentage </w:t>
            </w:r>
            <w:r w:rsidRPr="0089368C">
              <w:rPr>
                <w:rStyle w:val="AERtextbold"/>
              </w:rPr>
              <w:t xml:space="preserve">change </w:t>
            </w:r>
            <w:r>
              <w:rPr>
                <w:rStyle w:val="AERtextbold"/>
              </w:rPr>
              <w:t xml:space="preserve">June </w:t>
            </w:r>
            <w:r w:rsidRPr="0089368C">
              <w:rPr>
                <w:rStyle w:val="AERtextbold"/>
              </w:rPr>
              <w:t>2009</w:t>
            </w:r>
            <w:r>
              <w:rPr>
                <w:rStyle w:val="AERtextbold"/>
              </w:rPr>
              <w:t xml:space="preserve"> to June 20</w:t>
            </w:r>
            <w:r w:rsidRPr="0089368C">
              <w:rPr>
                <w:rStyle w:val="AERtextbold"/>
              </w:rPr>
              <w:t>12</w:t>
            </w:r>
          </w:p>
        </w:tc>
      </w:tr>
      <w:tr w:rsidR="00AE6C53" w:rsidTr="008F496F">
        <w:trPr>
          <w:trHeight w:val="465"/>
        </w:trPr>
        <w:tc>
          <w:tcPr>
            <w:tcW w:w="4644" w:type="dxa"/>
            <w:tcBorders>
              <w:top w:val="nil"/>
              <w:bottom w:val="nil"/>
            </w:tcBorders>
            <w:shd w:val="clear" w:color="auto" w:fill="FABF8F" w:themeFill="accent6" w:themeFillTint="99"/>
            <w:noWrap/>
            <w:tcMar>
              <w:top w:w="0" w:type="dxa"/>
              <w:bottom w:w="0" w:type="dxa"/>
            </w:tcMar>
            <w:vAlign w:val="center"/>
          </w:tcPr>
          <w:p w:rsidR="00AE6C53" w:rsidRPr="00181814" w:rsidRDefault="00AE6C53" w:rsidP="005364A4">
            <w:pPr>
              <w:pStyle w:val="AERtabletext"/>
              <w:keepNext/>
            </w:pPr>
            <w:r>
              <w:t>CPI</w:t>
            </w:r>
          </w:p>
        </w:tc>
        <w:tc>
          <w:tcPr>
            <w:tcW w:w="3544" w:type="dxa"/>
            <w:tcBorders>
              <w:top w:val="nil"/>
              <w:bottom w:val="nil"/>
            </w:tcBorders>
            <w:shd w:val="clear" w:color="auto" w:fill="FABF8F" w:themeFill="accent6" w:themeFillTint="99"/>
            <w:noWrap/>
            <w:tcMar>
              <w:top w:w="0" w:type="dxa"/>
              <w:bottom w:w="0" w:type="dxa"/>
            </w:tcMar>
            <w:vAlign w:val="center"/>
          </w:tcPr>
          <w:p w:rsidR="00AE6C53" w:rsidRPr="00274924" w:rsidRDefault="00AE6C53" w:rsidP="008F496F">
            <w:pPr>
              <w:pStyle w:val="AERtabletext-numbers"/>
            </w:pPr>
            <w:r>
              <w:t>8.0 per </w:t>
            </w:r>
            <w:r w:rsidRPr="00181814">
              <w:t>cent</w:t>
            </w:r>
          </w:p>
        </w:tc>
      </w:tr>
      <w:tr w:rsidR="00AE6C53" w:rsidTr="008F496F">
        <w:trPr>
          <w:trHeight w:val="465"/>
        </w:trPr>
        <w:tc>
          <w:tcPr>
            <w:tcW w:w="4644" w:type="dxa"/>
            <w:tcBorders>
              <w:top w:val="nil"/>
            </w:tcBorders>
            <w:shd w:val="clear" w:color="auto" w:fill="auto"/>
            <w:noWrap/>
            <w:tcMar>
              <w:top w:w="0" w:type="dxa"/>
              <w:bottom w:w="0" w:type="dxa"/>
            </w:tcMar>
            <w:vAlign w:val="center"/>
          </w:tcPr>
          <w:p w:rsidR="00AE6C53" w:rsidRDefault="00AE6C53" w:rsidP="008F496F">
            <w:pPr>
              <w:pStyle w:val="AERtabletext"/>
              <w:keepNext/>
            </w:pPr>
            <w:r>
              <w:t>Core inflation</w:t>
            </w:r>
            <w:r>
              <w:rPr>
                <w:rStyle w:val="FootnoteReference"/>
              </w:rPr>
              <w:footnoteReference w:id="3"/>
            </w:r>
          </w:p>
        </w:tc>
        <w:tc>
          <w:tcPr>
            <w:tcW w:w="3544" w:type="dxa"/>
            <w:tcBorders>
              <w:top w:val="nil"/>
            </w:tcBorders>
            <w:shd w:val="clear" w:color="auto" w:fill="auto"/>
            <w:noWrap/>
            <w:tcMar>
              <w:top w:w="0" w:type="dxa"/>
              <w:bottom w:w="0" w:type="dxa"/>
            </w:tcMar>
            <w:vAlign w:val="center"/>
          </w:tcPr>
          <w:p w:rsidR="00AE6C53" w:rsidRDefault="00AE6C53" w:rsidP="008F496F">
            <w:pPr>
              <w:pStyle w:val="AERtabletext-numbers"/>
            </w:pPr>
            <w:r>
              <w:t>8.0 per cent</w:t>
            </w:r>
          </w:p>
        </w:tc>
      </w:tr>
      <w:tr w:rsidR="00AE6C53" w:rsidTr="008F496F">
        <w:trPr>
          <w:trHeight w:val="465"/>
        </w:trPr>
        <w:tc>
          <w:tcPr>
            <w:tcW w:w="4644" w:type="dxa"/>
            <w:tcBorders>
              <w:top w:val="nil"/>
            </w:tcBorders>
            <w:shd w:val="clear" w:color="auto" w:fill="FABF8F" w:themeFill="accent6" w:themeFillTint="99"/>
            <w:noWrap/>
            <w:tcMar>
              <w:top w:w="0" w:type="dxa"/>
              <w:bottom w:w="0" w:type="dxa"/>
            </w:tcMar>
            <w:vAlign w:val="center"/>
          </w:tcPr>
          <w:p w:rsidR="00AE6C53" w:rsidRDefault="00AE6C53" w:rsidP="008F496F">
            <w:pPr>
              <w:pStyle w:val="AERtabletext"/>
              <w:keepNext/>
            </w:pPr>
            <w:r>
              <w:t>GDP chain price index</w:t>
            </w:r>
          </w:p>
        </w:tc>
        <w:tc>
          <w:tcPr>
            <w:tcW w:w="3544" w:type="dxa"/>
            <w:tcBorders>
              <w:top w:val="nil"/>
            </w:tcBorders>
            <w:shd w:val="clear" w:color="auto" w:fill="FABF8F" w:themeFill="accent6" w:themeFillTint="99"/>
            <w:noWrap/>
            <w:tcMar>
              <w:top w:w="0" w:type="dxa"/>
              <w:bottom w:w="0" w:type="dxa"/>
            </w:tcMar>
            <w:vAlign w:val="center"/>
          </w:tcPr>
          <w:p w:rsidR="00AE6C53" w:rsidRDefault="00AE6C53" w:rsidP="008F496F">
            <w:pPr>
              <w:pStyle w:val="AERtabletext-numbers"/>
            </w:pPr>
            <w:r>
              <w:t>9.8 per cent</w:t>
            </w:r>
          </w:p>
        </w:tc>
      </w:tr>
      <w:tr w:rsidR="00AE6C53" w:rsidTr="008F496F">
        <w:trPr>
          <w:trHeight w:val="465"/>
        </w:trPr>
        <w:tc>
          <w:tcPr>
            <w:tcW w:w="4644" w:type="dxa"/>
            <w:shd w:val="clear" w:color="auto" w:fill="auto"/>
            <w:noWrap/>
            <w:tcMar>
              <w:top w:w="0" w:type="dxa"/>
              <w:bottom w:w="0" w:type="dxa"/>
            </w:tcMar>
            <w:vAlign w:val="center"/>
          </w:tcPr>
          <w:p w:rsidR="00AE6C53" w:rsidRDefault="00AE6C53" w:rsidP="008F496F">
            <w:pPr>
              <w:pStyle w:val="AERtabletext"/>
              <w:keepNext/>
            </w:pPr>
            <w:r>
              <w:t>GDP deflator</w:t>
            </w:r>
          </w:p>
        </w:tc>
        <w:tc>
          <w:tcPr>
            <w:tcW w:w="3544" w:type="dxa"/>
            <w:shd w:val="clear" w:color="auto" w:fill="auto"/>
            <w:noWrap/>
            <w:tcMar>
              <w:top w:w="0" w:type="dxa"/>
              <w:bottom w:w="0" w:type="dxa"/>
            </w:tcMar>
            <w:vAlign w:val="center"/>
          </w:tcPr>
          <w:p w:rsidR="00AE6C53" w:rsidRDefault="00AE6C53" w:rsidP="008F496F">
            <w:pPr>
              <w:pStyle w:val="AERtabletext-numbers"/>
            </w:pPr>
            <w:r>
              <w:t>10.4 per cent</w:t>
            </w:r>
          </w:p>
        </w:tc>
      </w:tr>
      <w:tr w:rsidR="00AE6C53" w:rsidTr="008F496F">
        <w:trPr>
          <w:trHeight w:val="465"/>
        </w:trPr>
        <w:tc>
          <w:tcPr>
            <w:tcW w:w="4644" w:type="dxa"/>
            <w:shd w:val="clear" w:color="auto" w:fill="FABF8F" w:themeFill="accent6" w:themeFillTint="99"/>
            <w:noWrap/>
            <w:tcMar>
              <w:top w:w="0" w:type="dxa"/>
              <w:bottom w:w="0" w:type="dxa"/>
            </w:tcMar>
            <w:vAlign w:val="center"/>
          </w:tcPr>
          <w:p w:rsidR="00AE6C53" w:rsidRDefault="00AE6C53" w:rsidP="008F496F">
            <w:pPr>
              <w:pStyle w:val="AERtabletext"/>
              <w:keepNext/>
            </w:pPr>
            <w:r>
              <w:t>GDP deflator – final consumption</w:t>
            </w:r>
          </w:p>
        </w:tc>
        <w:tc>
          <w:tcPr>
            <w:tcW w:w="3544" w:type="dxa"/>
            <w:shd w:val="clear" w:color="auto" w:fill="FABF8F" w:themeFill="accent6" w:themeFillTint="99"/>
            <w:noWrap/>
            <w:tcMar>
              <w:top w:w="0" w:type="dxa"/>
              <w:bottom w:w="0" w:type="dxa"/>
            </w:tcMar>
            <w:vAlign w:val="center"/>
          </w:tcPr>
          <w:p w:rsidR="00AE6C53" w:rsidRDefault="00AE6C53" w:rsidP="008F496F">
            <w:pPr>
              <w:pStyle w:val="AERtabletext-numbers"/>
            </w:pPr>
            <w:r>
              <w:t>7.9 per cent</w:t>
            </w:r>
          </w:p>
        </w:tc>
      </w:tr>
      <w:tr w:rsidR="00AE6C53" w:rsidTr="008F496F">
        <w:trPr>
          <w:trHeight w:val="465"/>
        </w:trPr>
        <w:tc>
          <w:tcPr>
            <w:tcW w:w="4644" w:type="dxa"/>
            <w:shd w:val="clear" w:color="auto" w:fill="auto"/>
            <w:noWrap/>
            <w:tcMar>
              <w:top w:w="0" w:type="dxa"/>
              <w:bottom w:w="0" w:type="dxa"/>
            </w:tcMar>
            <w:vAlign w:val="center"/>
          </w:tcPr>
          <w:p w:rsidR="00AE6C53" w:rsidRDefault="00AE6C53" w:rsidP="008F496F">
            <w:pPr>
              <w:pStyle w:val="AERtabletext"/>
              <w:keepNext/>
            </w:pPr>
            <w:r>
              <w:t>GDP deflator – new engineering construction capital formation</w:t>
            </w:r>
          </w:p>
        </w:tc>
        <w:tc>
          <w:tcPr>
            <w:tcW w:w="3544" w:type="dxa"/>
            <w:shd w:val="clear" w:color="auto" w:fill="auto"/>
            <w:noWrap/>
            <w:tcMar>
              <w:top w:w="0" w:type="dxa"/>
              <w:bottom w:w="0" w:type="dxa"/>
            </w:tcMar>
            <w:vAlign w:val="center"/>
          </w:tcPr>
          <w:p w:rsidR="00AE6C53" w:rsidRDefault="00AE6C53" w:rsidP="008F496F">
            <w:pPr>
              <w:pStyle w:val="AERtabletext-numbers"/>
            </w:pPr>
            <w:r>
              <w:t>5.6 per cent</w:t>
            </w:r>
          </w:p>
        </w:tc>
      </w:tr>
      <w:tr w:rsidR="00AE6C53" w:rsidTr="008F496F">
        <w:trPr>
          <w:trHeight w:val="465"/>
        </w:trPr>
        <w:tc>
          <w:tcPr>
            <w:tcW w:w="4644" w:type="dxa"/>
            <w:shd w:val="clear" w:color="auto" w:fill="FABF8F" w:themeFill="accent6" w:themeFillTint="99"/>
            <w:noWrap/>
            <w:tcMar>
              <w:top w:w="0" w:type="dxa"/>
              <w:bottom w:w="0" w:type="dxa"/>
            </w:tcMar>
            <w:vAlign w:val="center"/>
          </w:tcPr>
          <w:p w:rsidR="00AE6C53" w:rsidRDefault="00AE6C53" w:rsidP="008F496F">
            <w:pPr>
              <w:pStyle w:val="AERtabletext"/>
              <w:keepNext/>
            </w:pPr>
            <w:r>
              <w:t>GDP deflator – all capital formation</w:t>
            </w:r>
          </w:p>
        </w:tc>
        <w:tc>
          <w:tcPr>
            <w:tcW w:w="3544" w:type="dxa"/>
            <w:shd w:val="clear" w:color="auto" w:fill="FABF8F" w:themeFill="accent6" w:themeFillTint="99"/>
            <w:noWrap/>
            <w:tcMar>
              <w:top w:w="0" w:type="dxa"/>
              <w:bottom w:w="0" w:type="dxa"/>
            </w:tcMar>
            <w:vAlign w:val="center"/>
          </w:tcPr>
          <w:p w:rsidR="00AE6C53" w:rsidRDefault="00AE6C53" w:rsidP="008F496F">
            <w:pPr>
              <w:pStyle w:val="AERtabletext-numbers"/>
            </w:pPr>
            <w:r>
              <w:t>–0.7 per cent</w:t>
            </w:r>
          </w:p>
        </w:tc>
      </w:tr>
      <w:tr w:rsidR="00AE6C53" w:rsidTr="008F496F">
        <w:trPr>
          <w:trHeight w:val="465"/>
        </w:trPr>
        <w:tc>
          <w:tcPr>
            <w:tcW w:w="4644" w:type="dxa"/>
            <w:shd w:val="clear" w:color="auto" w:fill="auto"/>
            <w:noWrap/>
            <w:tcMar>
              <w:top w:w="0" w:type="dxa"/>
              <w:bottom w:w="0" w:type="dxa"/>
            </w:tcMar>
            <w:vAlign w:val="center"/>
          </w:tcPr>
          <w:p w:rsidR="00AE6C53" w:rsidRDefault="00AE6C53" w:rsidP="008F496F">
            <w:pPr>
              <w:pStyle w:val="AERtabletext"/>
              <w:keepNext/>
            </w:pPr>
            <w:r>
              <w:t>PPI stage of production – final goods</w:t>
            </w:r>
          </w:p>
        </w:tc>
        <w:tc>
          <w:tcPr>
            <w:tcW w:w="3544" w:type="dxa"/>
            <w:shd w:val="clear" w:color="auto" w:fill="auto"/>
            <w:noWrap/>
            <w:tcMar>
              <w:top w:w="0" w:type="dxa"/>
              <w:bottom w:w="0" w:type="dxa"/>
            </w:tcMar>
            <w:vAlign w:val="center"/>
          </w:tcPr>
          <w:p w:rsidR="00AE6C53" w:rsidRDefault="00AE6C53" w:rsidP="008F496F">
            <w:pPr>
              <w:pStyle w:val="AERtabletext-numbers"/>
            </w:pPr>
            <w:r>
              <w:t>5.6 per cent</w:t>
            </w:r>
          </w:p>
        </w:tc>
      </w:tr>
      <w:tr w:rsidR="00AE6C53" w:rsidTr="008F496F">
        <w:trPr>
          <w:trHeight w:val="465"/>
        </w:trPr>
        <w:tc>
          <w:tcPr>
            <w:tcW w:w="4644" w:type="dxa"/>
            <w:shd w:val="clear" w:color="auto" w:fill="FABF8F" w:themeFill="accent6" w:themeFillTint="99"/>
            <w:noWrap/>
            <w:tcMar>
              <w:top w:w="0" w:type="dxa"/>
              <w:bottom w:w="0" w:type="dxa"/>
            </w:tcMar>
            <w:vAlign w:val="center"/>
          </w:tcPr>
          <w:p w:rsidR="00AE6C53" w:rsidRDefault="00AE6C53" w:rsidP="008F496F">
            <w:pPr>
              <w:pStyle w:val="AERtabletext"/>
              <w:keepNext/>
            </w:pPr>
            <w:r>
              <w:t>PPI stage of production – final capital goods</w:t>
            </w:r>
          </w:p>
        </w:tc>
        <w:tc>
          <w:tcPr>
            <w:tcW w:w="3544" w:type="dxa"/>
            <w:shd w:val="clear" w:color="auto" w:fill="FABF8F" w:themeFill="accent6" w:themeFillTint="99"/>
            <w:noWrap/>
            <w:tcMar>
              <w:top w:w="0" w:type="dxa"/>
              <w:bottom w:w="0" w:type="dxa"/>
            </w:tcMar>
            <w:vAlign w:val="center"/>
          </w:tcPr>
          <w:p w:rsidR="00AE6C53" w:rsidRDefault="00AE6C53" w:rsidP="008F496F">
            <w:pPr>
              <w:pStyle w:val="AERtabletext-numbers"/>
            </w:pPr>
            <w:r>
              <w:t>2.3 per cent</w:t>
            </w:r>
          </w:p>
        </w:tc>
      </w:tr>
      <w:tr w:rsidR="00AE6C53" w:rsidTr="008F496F">
        <w:trPr>
          <w:trHeight w:val="465"/>
        </w:trPr>
        <w:tc>
          <w:tcPr>
            <w:tcW w:w="4644" w:type="dxa"/>
            <w:shd w:val="clear" w:color="auto" w:fill="FFFFFF" w:themeFill="background1"/>
            <w:noWrap/>
            <w:tcMar>
              <w:top w:w="0" w:type="dxa"/>
              <w:bottom w:w="0" w:type="dxa"/>
            </w:tcMar>
            <w:vAlign w:val="center"/>
          </w:tcPr>
          <w:p w:rsidR="00AE6C53" w:rsidRPr="00181814" w:rsidRDefault="00AE6C53" w:rsidP="008F496F">
            <w:pPr>
              <w:pStyle w:val="AERtabletext"/>
              <w:keepNext/>
            </w:pPr>
            <w:r w:rsidRPr="006148E5">
              <w:t>Communication equipment manufacturing</w:t>
            </w:r>
          </w:p>
        </w:tc>
        <w:tc>
          <w:tcPr>
            <w:tcW w:w="3544" w:type="dxa"/>
            <w:shd w:val="clear" w:color="auto" w:fill="FFFFFF" w:themeFill="background1"/>
            <w:noWrap/>
            <w:tcMar>
              <w:top w:w="0" w:type="dxa"/>
              <w:bottom w:w="0" w:type="dxa"/>
            </w:tcMar>
            <w:vAlign w:val="center"/>
          </w:tcPr>
          <w:p w:rsidR="00AE6C53" w:rsidRPr="00274924" w:rsidRDefault="00AE6C53" w:rsidP="008F496F">
            <w:pPr>
              <w:pStyle w:val="AERtabletext-numbers"/>
            </w:pPr>
            <w:r>
              <w:t>2.9 </w:t>
            </w:r>
            <w:r w:rsidRPr="00181814">
              <w:t>per cent</w:t>
            </w:r>
          </w:p>
        </w:tc>
      </w:tr>
      <w:tr w:rsidR="00AE6C53" w:rsidTr="008F496F">
        <w:trPr>
          <w:trHeight w:val="465"/>
        </w:trPr>
        <w:tc>
          <w:tcPr>
            <w:tcW w:w="4644" w:type="dxa"/>
            <w:shd w:val="clear" w:color="auto" w:fill="FABF8F" w:themeFill="accent6" w:themeFillTint="99"/>
            <w:noWrap/>
            <w:tcMar>
              <w:top w:w="0" w:type="dxa"/>
              <w:bottom w:w="0" w:type="dxa"/>
            </w:tcMar>
            <w:vAlign w:val="center"/>
          </w:tcPr>
          <w:p w:rsidR="00AE6C53" w:rsidRPr="00181814" w:rsidRDefault="00AE6C53" w:rsidP="008F496F">
            <w:pPr>
              <w:pStyle w:val="AERtabletext"/>
              <w:keepNext/>
            </w:pPr>
            <w:r w:rsidRPr="006148E5">
              <w:t>Electric cable and wire manufacturing</w:t>
            </w:r>
          </w:p>
        </w:tc>
        <w:tc>
          <w:tcPr>
            <w:tcW w:w="3544" w:type="dxa"/>
            <w:shd w:val="clear" w:color="auto" w:fill="FABF8F" w:themeFill="accent6" w:themeFillTint="99"/>
            <w:noWrap/>
            <w:tcMar>
              <w:top w:w="0" w:type="dxa"/>
              <w:bottom w:w="0" w:type="dxa"/>
            </w:tcMar>
            <w:vAlign w:val="center"/>
          </w:tcPr>
          <w:p w:rsidR="00AE6C53" w:rsidRPr="00274924" w:rsidRDefault="00AE6C53" w:rsidP="008F496F">
            <w:pPr>
              <w:pStyle w:val="AERtabletext-numbers"/>
            </w:pPr>
            <w:r>
              <w:t>17.9 </w:t>
            </w:r>
            <w:r w:rsidRPr="00181814">
              <w:t>per cent</w:t>
            </w:r>
          </w:p>
        </w:tc>
      </w:tr>
      <w:tr w:rsidR="00AE6C53" w:rsidTr="008F496F">
        <w:trPr>
          <w:trHeight w:val="465"/>
        </w:trPr>
        <w:tc>
          <w:tcPr>
            <w:tcW w:w="4644" w:type="dxa"/>
            <w:shd w:val="clear" w:color="auto" w:fill="FFFFFF" w:themeFill="background1"/>
            <w:noWrap/>
            <w:tcMar>
              <w:top w:w="0" w:type="dxa"/>
              <w:bottom w:w="0" w:type="dxa"/>
            </w:tcMar>
            <w:vAlign w:val="center"/>
          </w:tcPr>
          <w:p w:rsidR="00AE6C53" w:rsidRPr="00181814" w:rsidRDefault="00AE6C53" w:rsidP="008F496F">
            <w:pPr>
              <w:pStyle w:val="AERtabletext"/>
              <w:keepNext/>
            </w:pPr>
            <w:r w:rsidRPr="006148E5">
              <w:t>Other electrical equipment manufacturing</w:t>
            </w:r>
          </w:p>
        </w:tc>
        <w:tc>
          <w:tcPr>
            <w:tcW w:w="3544" w:type="dxa"/>
            <w:shd w:val="clear" w:color="auto" w:fill="FFFFFF" w:themeFill="background1"/>
            <w:noWrap/>
            <w:tcMar>
              <w:top w:w="0" w:type="dxa"/>
              <w:bottom w:w="0" w:type="dxa"/>
            </w:tcMar>
            <w:vAlign w:val="center"/>
          </w:tcPr>
          <w:p w:rsidR="00AE6C53" w:rsidRPr="00274924" w:rsidRDefault="00AE6C53" w:rsidP="008F496F">
            <w:pPr>
              <w:pStyle w:val="AERtabletext-numbers"/>
            </w:pPr>
            <w:r>
              <w:t>–1.6 </w:t>
            </w:r>
            <w:r w:rsidRPr="00181814">
              <w:t>per cent</w:t>
            </w:r>
          </w:p>
        </w:tc>
      </w:tr>
      <w:tr w:rsidR="00AE6C53" w:rsidTr="008F496F">
        <w:trPr>
          <w:trHeight w:val="465"/>
        </w:trPr>
        <w:tc>
          <w:tcPr>
            <w:tcW w:w="4644" w:type="dxa"/>
            <w:shd w:val="clear" w:color="auto" w:fill="FABF8F" w:themeFill="accent6" w:themeFillTint="99"/>
            <w:noWrap/>
            <w:tcMar>
              <w:top w:w="0" w:type="dxa"/>
              <w:bottom w:w="0" w:type="dxa"/>
            </w:tcMar>
            <w:vAlign w:val="center"/>
          </w:tcPr>
          <w:p w:rsidR="00AE6C53" w:rsidRPr="00951AAD" w:rsidRDefault="00AE6C53" w:rsidP="008F496F">
            <w:pPr>
              <w:pStyle w:val="AERtabletext"/>
              <w:keepNext/>
            </w:pPr>
            <w:r w:rsidRPr="00951AAD">
              <w:t>Copper materials in distribution transformers</w:t>
            </w:r>
          </w:p>
        </w:tc>
        <w:tc>
          <w:tcPr>
            <w:tcW w:w="3544" w:type="dxa"/>
            <w:shd w:val="clear" w:color="auto" w:fill="FABF8F" w:themeFill="accent6" w:themeFillTint="99"/>
            <w:noWrap/>
            <w:tcMar>
              <w:top w:w="0" w:type="dxa"/>
              <w:bottom w:w="0" w:type="dxa"/>
            </w:tcMar>
            <w:vAlign w:val="center"/>
          </w:tcPr>
          <w:p w:rsidR="00AE6C53" w:rsidRPr="00274924" w:rsidRDefault="00AE6C53" w:rsidP="008F496F">
            <w:pPr>
              <w:pStyle w:val="AERtabletext-numbers"/>
            </w:pPr>
            <w:r>
              <w:t>13.6 per cent</w:t>
            </w:r>
          </w:p>
        </w:tc>
      </w:tr>
      <w:tr w:rsidR="00AE6C53" w:rsidTr="008F496F">
        <w:trPr>
          <w:trHeight w:val="465"/>
        </w:trPr>
        <w:tc>
          <w:tcPr>
            <w:tcW w:w="4644" w:type="dxa"/>
            <w:shd w:val="clear" w:color="auto" w:fill="FFFFFF" w:themeFill="background1"/>
            <w:noWrap/>
            <w:tcMar>
              <w:top w:w="0" w:type="dxa"/>
              <w:bottom w:w="0" w:type="dxa"/>
            </w:tcMar>
            <w:vAlign w:val="center"/>
          </w:tcPr>
          <w:p w:rsidR="00AE6C53" w:rsidRPr="00951AAD" w:rsidRDefault="00AE6C53" w:rsidP="008F496F">
            <w:pPr>
              <w:pStyle w:val="AERtabletext"/>
              <w:keepNext/>
            </w:pPr>
            <w:r w:rsidRPr="00951AAD">
              <w:t>Copper materials in power transformers</w:t>
            </w:r>
          </w:p>
        </w:tc>
        <w:tc>
          <w:tcPr>
            <w:tcW w:w="3544" w:type="dxa"/>
            <w:shd w:val="clear" w:color="auto" w:fill="FFFFFF" w:themeFill="background1"/>
            <w:noWrap/>
            <w:tcMar>
              <w:top w:w="0" w:type="dxa"/>
              <w:bottom w:w="0" w:type="dxa"/>
            </w:tcMar>
            <w:vAlign w:val="center"/>
          </w:tcPr>
          <w:p w:rsidR="00AE6C53" w:rsidRPr="00274924" w:rsidRDefault="00AE6C53" w:rsidP="008F496F">
            <w:pPr>
              <w:pStyle w:val="AERtabletext-numbers"/>
            </w:pPr>
            <w:r>
              <w:t>31.6 per cent</w:t>
            </w:r>
          </w:p>
        </w:tc>
      </w:tr>
      <w:tr w:rsidR="00AE6C53" w:rsidTr="008F496F">
        <w:trPr>
          <w:trHeight w:val="465"/>
        </w:trPr>
        <w:tc>
          <w:tcPr>
            <w:tcW w:w="4644" w:type="dxa"/>
            <w:shd w:val="clear" w:color="auto" w:fill="FABF8F" w:themeFill="accent6" w:themeFillTint="99"/>
            <w:noWrap/>
            <w:tcMar>
              <w:top w:w="0" w:type="dxa"/>
              <w:bottom w:w="0" w:type="dxa"/>
            </w:tcMar>
            <w:vAlign w:val="center"/>
          </w:tcPr>
          <w:p w:rsidR="00AE6C53" w:rsidRPr="00181814" w:rsidRDefault="00AE6C53" w:rsidP="008F496F">
            <w:pPr>
              <w:pStyle w:val="AERtabletext"/>
              <w:keepNext/>
            </w:pPr>
            <w:r w:rsidRPr="00626E24">
              <w:t>Road and Bridge Construction</w:t>
            </w:r>
          </w:p>
        </w:tc>
        <w:tc>
          <w:tcPr>
            <w:tcW w:w="3544" w:type="dxa"/>
            <w:shd w:val="clear" w:color="auto" w:fill="FABF8F" w:themeFill="accent6" w:themeFillTint="99"/>
            <w:noWrap/>
            <w:tcMar>
              <w:top w:w="0" w:type="dxa"/>
              <w:bottom w:w="0" w:type="dxa"/>
            </w:tcMar>
            <w:vAlign w:val="center"/>
          </w:tcPr>
          <w:p w:rsidR="00AE6C53" w:rsidRPr="00274924" w:rsidRDefault="00AE6C53" w:rsidP="008F496F">
            <w:pPr>
              <w:pStyle w:val="AERtabletext-numbers"/>
            </w:pPr>
            <w:r>
              <w:t>12.3 </w:t>
            </w:r>
            <w:r w:rsidRPr="00181814">
              <w:t>per cent</w:t>
            </w:r>
          </w:p>
        </w:tc>
      </w:tr>
      <w:tr w:rsidR="00AE6C53" w:rsidTr="008F496F">
        <w:trPr>
          <w:trHeight w:val="465"/>
        </w:trPr>
        <w:tc>
          <w:tcPr>
            <w:tcW w:w="4644" w:type="dxa"/>
            <w:shd w:val="clear" w:color="auto" w:fill="FFFFFF" w:themeFill="background1"/>
            <w:noWrap/>
            <w:tcMar>
              <w:top w:w="0" w:type="dxa"/>
              <w:bottom w:w="0" w:type="dxa"/>
            </w:tcMar>
            <w:vAlign w:val="center"/>
          </w:tcPr>
          <w:p w:rsidR="00AE6C53" w:rsidRPr="00626E24" w:rsidRDefault="00AE6C53" w:rsidP="008F496F">
            <w:pPr>
              <w:pStyle w:val="AERtabletext"/>
              <w:keepNext/>
            </w:pPr>
            <w:r w:rsidRPr="00951AAD">
              <w:t>Non-residential building construction</w:t>
            </w:r>
          </w:p>
        </w:tc>
        <w:tc>
          <w:tcPr>
            <w:tcW w:w="3544" w:type="dxa"/>
            <w:shd w:val="clear" w:color="auto" w:fill="FFFFFF" w:themeFill="background1"/>
            <w:noWrap/>
            <w:tcMar>
              <w:top w:w="0" w:type="dxa"/>
              <w:bottom w:w="0" w:type="dxa"/>
            </w:tcMar>
            <w:vAlign w:val="center"/>
          </w:tcPr>
          <w:p w:rsidR="00AE6C53" w:rsidRPr="00274924" w:rsidRDefault="00AE6C53" w:rsidP="008F496F">
            <w:pPr>
              <w:pStyle w:val="AERtabletext-numbers"/>
            </w:pPr>
            <w:r>
              <w:t>3.2 per cent</w:t>
            </w:r>
          </w:p>
        </w:tc>
      </w:tr>
      <w:tr w:rsidR="00AE6C53" w:rsidTr="008F496F">
        <w:trPr>
          <w:trHeight w:val="465"/>
        </w:trPr>
        <w:tc>
          <w:tcPr>
            <w:tcW w:w="4644" w:type="dxa"/>
            <w:shd w:val="clear" w:color="auto" w:fill="FABF8F" w:themeFill="accent6" w:themeFillTint="99"/>
            <w:noWrap/>
            <w:tcMar>
              <w:top w:w="0" w:type="dxa"/>
              <w:bottom w:w="0" w:type="dxa"/>
            </w:tcMar>
            <w:vAlign w:val="center"/>
          </w:tcPr>
          <w:p w:rsidR="00AE6C53" w:rsidRPr="00951AAD" w:rsidRDefault="00AE6C53" w:rsidP="008F496F">
            <w:pPr>
              <w:pStyle w:val="AERtabletext"/>
              <w:keepNext/>
            </w:pPr>
            <w:r w:rsidRPr="00951AAD">
              <w:t>Building construction in Australia</w:t>
            </w:r>
          </w:p>
        </w:tc>
        <w:tc>
          <w:tcPr>
            <w:tcW w:w="3544" w:type="dxa"/>
            <w:shd w:val="clear" w:color="auto" w:fill="FABF8F" w:themeFill="accent6" w:themeFillTint="99"/>
            <w:noWrap/>
            <w:tcMar>
              <w:top w:w="0" w:type="dxa"/>
              <w:bottom w:w="0" w:type="dxa"/>
            </w:tcMar>
            <w:vAlign w:val="center"/>
          </w:tcPr>
          <w:p w:rsidR="00AE6C53" w:rsidRPr="00274924" w:rsidRDefault="00AE6C53" w:rsidP="008F496F">
            <w:pPr>
              <w:pStyle w:val="AERtabletext-numbers"/>
            </w:pPr>
            <w:r>
              <w:t>4.2 per cent</w:t>
            </w:r>
          </w:p>
        </w:tc>
      </w:tr>
      <w:tr w:rsidR="00AE6C53" w:rsidTr="008F496F">
        <w:trPr>
          <w:trHeight w:val="465"/>
        </w:trPr>
        <w:tc>
          <w:tcPr>
            <w:tcW w:w="4644" w:type="dxa"/>
            <w:shd w:val="clear" w:color="auto" w:fill="FFFFFF" w:themeFill="background1"/>
            <w:noWrap/>
            <w:tcMar>
              <w:top w:w="0" w:type="dxa"/>
              <w:bottom w:w="0" w:type="dxa"/>
            </w:tcMar>
            <w:vAlign w:val="center"/>
          </w:tcPr>
          <w:p w:rsidR="00AE6C53" w:rsidRPr="00951AAD" w:rsidRDefault="00AE6C53" w:rsidP="008F496F">
            <w:pPr>
              <w:pStyle w:val="AERtabletext"/>
              <w:keepNext/>
            </w:pPr>
            <w:r w:rsidRPr="00951AAD">
              <w:t>Iron and steel</w:t>
            </w:r>
          </w:p>
        </w:tc>
        <w:tc>
          <w:tcPr>
            <w:tcW w:w="3544" w:type="dxa"/>
            <w:shd w:val="clear" w:color="auto" w:fill="FFFFFF" w:themeFill="background1"/>
            <w:noWrap/>
            <w:tcMar>
              <w:top w:w="0" w:type="dxa"/>
              <w:bottom w:w="0" w:type="dxa"/>
            </w:tcMar>
            <w:vAlign w:val="center"/>
          </w:tcPr>
          <w:p w:rsidR="00AE6C53" w:rsidRPr="00274924" w:rsidRDefault="00AE6C53" w:rsidP="008F496F">
            <w:pPr>
              <w:pStyle w:val="AERtabletext-numbers"/>
            </w:pPr>
            <w:r>
              <w:t>–13.5 per cent</w:t>
            </w:r>
          </w:p>
        </w:tc>
      </w:tr>
      <w:tr w:rsidR="00AE6C53" w:rsidTr="008F496F">
        <w:trPr>
          <w:trHeight w:val="465"/>
        </w:trPr>
        <w:tc>
          <w:tcPr>
            <w:tcW w:w="4644" w:type="dxa"/>
            <w:shd w:val="clear" w:color="auto" w:fill="FABF8F" w:themeFill="accent6" w:themeFillTint="99"/>
            <w:noWrap/>
            <w:tcMar>
              <w:top w:w="0" w:type="dxa"/>
              <w:bottom w:w="0" w:type="dxa"/>
            </w:tcMar>
            <w:vAlign w:val="center"/>
          </w:tcPr>
          <w:p w:rsidR="00AE6C53" w:rsidRPr="00951AAD" w:rsidRDefault="00AE6C53" w:rsidP="008F496F">
            <w:pPr>
              <w:pStyle w:val="AERtabletext"/>
              <w:keepNext/>
            </w:pPr>
            <w:r w:rsidRPr="00951AAD">
              <w:t>Aluminium</w:t>
            </w:r>
          </w:p>
        </w:tc>
        <w:tc>
          <w:tcPr>
            <w:tcW w:w="3544" w:type="dxa"/>
            <w:shd w:val="clear" w:color="auto" w:fill="FABF8F" w:themeFill="accent6" w:themeFillTint="99"/>
            <w:noWrap/>
            <w:tcMar>
              <w:top w:w="0" w:type="dxa"/>
              <w:bottom w:w="0" w:type="dxa"/>
            </w:tcMar>
            <w:vAlign w:val="center"/>
          </w:tcPr>
          <w:p w:rsidR="00AE6C53" w:rsidRPr="00274924" w:rsidRDefault="00AE6C53" w:rsidP="008F496F">
            <w:pPr>
              <w:pStyle w:val="AERtabletext-numbers"/>
            </w:pPr>
            <w:r>
              <w:t>12.9 per cent</w:t>
            </w:r>
          </w:p>
        </w:tc>
      </w:tr>
      <w:tr w:rsidR="00AE6C53" w:rsidTr="008F496F">
        <w:trPr>
          <w:trHeight w:val="465"/>
        </w:trPr>
        <w:tc>
          <w:tcPr>
            <w:tcW w:w="4644" w:type="dxa"/>
            <w:shd w:val="clear" w:color="auto" w:fill="FFFFFF" w:themeFill="background1"/>
            <w:noWrap/>
            <w:tcMar>
              <w:top w:w="0" w:type="dxa"/>
              <w:bottom w:w="0" w:type="dxa"/>
            </w:tcMar>
            <w:vAlign w:val="center"/>
          </w:tcPr>
          <w:p w:rsidR="00AE6C53" w:rsidRPr="00951AAD" w:rsidRDefault="00AE6C53" w:rsidP="008F496F">
            <w:pPr>
              <w:pStyle w:val="AERtabletext"/>
              <w:keepNext/>
            </w:pPr>
            <w:r w:rsidRPr="00951AAD">
              <w:t>Copper and brass</w:t>
            </w:r>
          </w:p>
        </w:tc>
        <w:tc>
          <w:tcPr>
            <w:tcW w:w="3544" w:type="dxa"/>
            <w:shd w:val="clear" w:color="auto" w:fill="FFFFFF" w:themeFill="background1"/>
            <w:noWrap/>
            <w:tcMar>
              <w:top w:w="0" w:type="dxa"/>
              <w:bottom w:w="0" w:type="dxa"/>
            </w:tcMar>
            <w:vAlign w:val="center"/>
          </w:tcPr>
          <w:p w:rsidR="00AE6C53" w:rsidRPr="00274924" w:rsidRDefault="00AE6C53" w:rsidP="008F496F">
            <w:pPr>
              <w:pStyle w:val="AERtabletext-numbers"/>
            </w:pPr>
            <w:r>
              <w:t>12.6 per cent</w:t>
            </w:r>
          </w:p>
        </w:tc>
      </w:tr>
      <w:tr w:rsidR="00AE6C53" w:rsidTr="008F496F">
        <w:trPr>
          <w:trHeight w:val="465"/>
        </w:trPr>
        <w:tc>
          <w:tcPr>
            <w:tcW w:w="4644" w:type="dxa"/>
            <w:shd w:val="clear" w:color="auto" w:fill="FABF8F" w:themeFill="accent6" w:themeFillTint="99"/>
            <w:noWrap/>
            <w:tcMar>
              <w:top w:w="0" w:type="dxa"/>
              <w:bottom w:w="0" w:type="dxa"/>
            </w:tcMar>
            <w:vAlign w:val="center"/>
          </w:tcPr>
          <w:p w:rsidR="00AE6C53" w:rsidRPr="00951AAD" w:rsidRDefault="00AE6C53" w:rsidP="008F496F">
            <w:pPr>
              <w:pStyle w:val="AERtabletext"/>
              <w:keepNext/>
            </w:pPr>
            <w:r w:rsidRPr="00951AAD">
              <w:t>Electricity, gas, water, and waste services labour</w:t>
            </w:r>
          </w:p>
        </w:tc>
        <w:tc>
          <w:tcPr>
            <w:tcW w:w="3544" w:type="dxa"/>
            <w:shd w:val="clear" w:color="auto" w:fill="FABF8F" w:themeFill="accent6" w:themeFillTint="99"/>
            <w:noWrap/>
            <w:tcMar>
              <w:top w:w="0" w:type="dxa"/>
              <w:bottom w:w="0" w:type="dxa"/>
            </w:tcMar>
            <w:vAlign w:val="center"/>
          </w:tcPr>
          <w:p w:rsidR="00AE6C53" w:rsidRPr="00274924" w:rsidRDefault="00AE6C53" w:rsidP="008F496F">
            <w:pPr>
              <w:pStyle w:val="AERtabletext-numbers"/>
            </w:pPr>
            <w:r>
              <w:t>12.8 per cent</w:t>
            </w:r>
          </w:p>
        </w:tc>
      </w:tr>
    </w:tbl>
    <w:p w:rsidR="005364A4" w:rsidRPr="005364A4" w:rsidRDefault="00AE6C53" w:rsidP="007E344B">
      <w:pPr>
        <w:pStyle w:val="FootnoteText"/>
      </w:pPr>
      <w:r>
        <w:t xml:space="preserve">Source: </w:t>
      </w:r>
      <w:r>
        <w:tab/>
        <w:t>ABS</w:t>
      </w:r>
      <w:r w:rsidR="005364A4">
        <w:t xml:space="preserve"> </w:t>
      </w:r>
      <w:r w:rsidR="005364A4" w:rsidRPr="00482DB4">
        <w:t>Australian and New Zealand Standard Industrial Classification (ANZSIC), 2006; catalogue number 1292.0; Producer</w:t>
      </w:r>
      <w:r w:rsidR="005364A4">
        <w:t xml:space="preserve"> Price Indexes, Australia, June</w:t>
      </w:r>
      <w:r w:rsidR="005364A4" w:rsidRPr="00482DB4">
        <w:t xml:space="preserve"> 2012, catalogue number 6427.0, and Cons</w:t>
      </w:r>
      <w:r w:rsidR="005364A4">
        <w:t>umer Price Index, Australia, June</w:t>
      </w:r>
      <w:r w:rsidR="005364A4" w:rsidRPr="00482DB4">
        <w:t xml:space="preserve"> 2012, catalogue number 6401.0.</w:t>
      </w:r>
    </w:p>
    <w:p w:rsidR="003F5983" w:rsidRDefault="003F5983" w:rsidP="007E344B">
      <w:pPr>
        <w:pStyle w:val="AERbodytext"/>
      </w:pPr>
    </w:p>
    <w:sectPr w:rsidR="003F5983" w:rsidSect="00793FE6">
      <w:headerReference w:type="even" r:id="rId9"/>
      <w:headerReference w:type="default" r:id="rId10"/>
      <w:footerReference w:type="even" r:id="rId11"/>
      <w:footerReference w:type="default" r:id="rId12"/>
      <w:type w:val="continuous"/>
      <w:pgSz w:w="11906" w:h="16838" w:code="9"/>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ED1" w:rsidRDefault="00B07ED1" w:rsidP="00BB640B">
      <w:r>
        <w:separator/>
      </w:r>
    </w:p>
    <w:p w:rsidR="00B07ED1" w:rsidRDefault="00B07ED1"/>
    <w:p w:rsidR="00B07ED1" w:rsidRDefault="00B07ED1"/>
  </w:endnote>
  <w:endnote w:type="continuationSeparator" w:id="0">
    <w:p w:rsidR="00B07ED1" w:rsidRDefault="00B07ED1" w:rsidP="00BB640B">
      <w:r>
        <w:continuationSeparator/>
      </w:r>
    </w:p>
    <w:p w:rsidR="00B07ED1" w:rsidRDefault="00B07ED1"/>
    <w:p w:rsidR="00B07ED1" w:rsidRDefault="00B07ED1"/>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Bold">
    <w:altName w:val="Arial"/>
    <w:panose1 w:val="020B0704020202020204"/>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ED1" w:rsidRDefault="00112A44" w:rsidP="001A7245">
    <w:r>
      <w:rPr>
        <w:rStyle w:val="PageNumber"/>
      </w:rPr>
      <w:fldChar w:fldCharType="begin"/>
    </w:r>
    <w:r w:rsidR="00B07ED1">
      <w:rPr>
        <w:rStyle w:val="PageNumber"/>
      </w:rPr>
      <w:instrText xml:space="preserve"> PAGE </w:instrText>
    </w:r>
    <w:r>
      <w:rPr>
        <w:rStyle w:val="PageNumber"/>
      </w:rPr>
      <w:fldChar w:fldCharType="separate"/>
    </w:r>
    <w:r w:rsidR="00B07ED1" w:rsidRPr="001A7245">
      <w:rPr>
        <w:rStyle w:val="PageNumber"/>
      </w:rPr>
      <w:t>2</w:t>
    </w:r>
    <w:r>
      <w:rPr>
        <w:rStyle w:val="PageNumber"/>
      </w:rPr>
      <w:fldChar w:fldCharType="end"/>
    </w:r>
    <w:r w:rsidR="00B07ED1">
      <w:rPr>
        <w:rStyle w:val="PageNumber"/>
      </w:rPr>
      <w:tab/>
    </w:r>
    <w:r w:rsidR="00B07ED1" w:rsidRPr="001A7245">
      <w:t>Chapter Heading</w:t>
    </w:r>
    <w:r w:rsidR="00B07ED1">
      <w:t xml:space="preserve"> | </w:t>
    </w:r>
    <w:proofErr w:type="spellStart"/>
    <w:r w:rsidR="00B07ED1">
      <w:t>Aer</w:t>
    </w:r>
    <w:proofErr w:type="spellEnd"/>
    <w:r w:rsidR="00B07ED1">
      <w:t xml:space="preserve"> Determination Heading</w:t>
    </w:r>
  </w:p>
  <w:p w:rsidR="00B07ED1" w:rsidRDefault="00B07ED1"/>
  <w:p w:rsidR="00B07ED1" w:rsidRDefault="00B07ED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ED1" w:rsidRDefault="00B07ED1" w:rsidP="0094243D"/>
  <w:p w:rsidR="00B07ED1" w:rsidRPr="002904C0" w:rsidRDefault="00B07ED1" w:rsidP="002904C0">
    <w:pPr>
      <w:rPr>
        <w:color w:val="365F91"/>
      </w:rPr>
    </w:pPr>
    <w:r>
      <w:tab/>
    </w:r>
    <w:r>
      <w:tab/>
    </w:r>
    <w:r>
      <w:tab/>
    </w:r>
    <w:r>
      <w:tab/>
    </w:r>
    <w:r>
      <w:tab/>
    </w:r>
    <w:r>
      <w:tab/>
    </w:r>
  </w:p>
  <w:p w:rsidR="00B07ED1" w:rsidRPr="00EE362F" w:rsidRDefault="00F3560B" w:rsidP="002904C0">
    <w:pPr>
      <w:pStyle w:val="Footer"/>
    </w:pPr>
    <w:r>
      <w:rPr>
        <w:rStyle w:val="AERtextorange"/>
      </w:rPr>
      <w:t>AER final</w:t>
    </w:r>
    <w:r w:rsidR="00B07ED1">
      <w:rPr>
        <w:rStyle w:val="AERtextorange"/>
      </w:rPr>
      <w:t xml:space="preserve"> determination – Cost Thresholds review</w:t>
    </w:r>
    <w:r w:rsidR="00B07ED1">
      <w:tab/>
    </w:r>
    <w:r w:rsidR="00B07ED1">
      <w:tab/>
    </w:r>
    <w:r w:rsidR="00112A44" w:rsidRPr="00D25317">
      <w:rPr>
        <w:rStyle w:val="AERtextblue"/>
      </w:rPr>
      <w:fldChar w:fldCharType="begin"/>
    </w:r>
    <w:r w:rsidR="00B07ED1" w:rsidRPr="00AB5BD7">
      <w:rPr>
        <w:rStyle w:val="AERtextblue"/>
      </w:rPr>
      <w:instrText xml:space="preserve"> PAGE   \* MERGEFORMAT </w:instrText>
    </w:r>
    <w:r w:rsidR="00112A44" w:rsidRPr="00D25317">
      <w:rPr>
        <w:rStyle w:val="AERtextblue"/>
      </w:rPr>
      <w:fldChar w:fldCharType="separate"/>
    </w:r>
    <w:r w:rsidR="00002CE0">
      <w:rPr>
        <w:rStyle w:val="AERtextblue"/>
        <w:noProof/>
      </w:rPr>
      <w:t>1</w:t>
    </w:r>
    <w:r w:rsidR="00112A44" w:rsidRPr="00D25317">
      <w:rPr>
        <w:rStyle w:val="AERtextblue"/>
      </w:rPr>
      <w:fldChar w:fldCharType="end"/>
    </w:r>
  </w:p>
  <w:p w:rsidR="00B07ED1" w:rsidRDefault="00B07ED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ED1" w:rsidRDefault="00B07ED1" w:rsidP="00BB640B">
      <w:r>
        <w:separator/>
      </w:r>
    </w:p>
    <w:p w:rsidR="00B07ED1" w:rsidRDefault="00B07ED1"/>
    <w:p w:rsidR="00B07ED1" w:rsidRDefault="00B07ED1"/>
  </w:footnote>
  <w:footnote w:type="continuationSeparator" w:id="0">
    <w:p w:rsidR="00B07ED1" w:rsidRDefault="00B07ED1" w:rsidP="00BB640B">
      <w:r>
        <w:continuationSeparator/>
      </w:r>
    </w:p>
    <w:p w:rsidR="00B07ED1" w:rsidRDefault="00B07ED1"/>
    <w:p w:rsidR="00B07ED1" w:rsidRDefault="00B07ED1"/>
  </w:footnote>
  <w:footnote w:id="1">
    <w:p w:rsidR="00B07ED1" w:rsidRPr="006012B9" w:rsidRDefault="00B07ED1" w:rsidP="006E5DB2">
      <w:pPr>
        <w:pStyle w:val="FootnoteText"/>
      </w:pPr>
      <w:r>
        <w:rPr>
          <w:rStyle w:val="FootnoteReference"/>
        </w:rPr>
        <w:footnoteRef/>
      </w:r>
      <w:r>
        <w:t xml:space="preserve"> </w:t>
      </w:r>
      <w:r>
        <w:tab/>
      </w:r>
      <w:r w:rsidRPr="006012B9">
        <w:t>The exist</w:t>
      </w:r>
      <w:r w:rsidRPr="00DC6D63">
        <w:t xml:space="preserve">ing regulatory test </w:t>
      </w:r>
      <w:r>
        <w:t>applies</w:t>
      </w:r>
      <w:r w:rsidRPr="00DC6D63">
        <w:t xml:space="preserve"> to projects which address a need on the network. The Ministerial Council on </w:t>
      </w:r>
      <w:proofErr w:type="gramStart"/>
      <w:r w:rsidRPr="00DC6D63">
        <w:t>Energy</w:t>
      </w:r>
      <w:r>
        <w:t>,</w:t>
      </w:r>
      <w:proofErr w:type="gramEnd"/>
      <w:r>
        <w:t xml:space="preserve"> now referred to as the </w:t>
      </w:r>
      <w:r w:rsidRPr="00D97E02">
        <w:t>Standing Council on Energy and Resources</w:t>
      </w:r>
      <w:r>
        <w:t xml:space="preserve"> (SCER),</w:t>
      </w:r>
      <w:r w:rsidRPr="00DC6D63">
        <w:t xml:space="preserve"> </w:t>
      </w:r>
      <w:r>
        <w:t xml:space="preserve">in March 2011 </w:t>
      </w:r>
      <w:r w:rsidRPr="00DC6D63">
        <w:t>proposed a new project assessment process for distribution, the regulatory investment test for distribution (RIT-D)</w:t>
      </w:r>
      <w:r>
        <w:t xml:space="preserve">. This rule change proposal </w:t>
      </w:r>
      <w:r w:rsidRPr="003F203D">
        <w:t xml:space="preserve">is currently </w:t>
      </w:r>
      <w:r>
        <w:t xml:space="preserve">was </w:t>
      </w:r>
      <w:r w:rsidRPr="003F203D">
        <w:t>considered by the AEMC</w:t>
      </w:r>
      <w:r>
        <w:t xml:space="preserve"> and the</w:t>
      </w:r>
      <w:r w:rsidRPr="003F203D">
        <w:t xml:space="preserve"> Final Rule Determination </w:t>
      </w:r>
      <w:r>
        <w:t xml:space="preserve">was made on 11 October 2011.  From 31 August 2013, the </w:t>
      </w:r>
      <w:r w:rsidRPr="00DC6D63">
        <w:t>RIT-D will replace the regulatory test for distribution network service providers.</w:t>
      </w:r>
    </w:p>
  </w:footnote>
  <w:footnote w:id="2">
    <w:p w:rsidR="00B07ED1" w:rsidRDefault="00B07ED1" w:rsidP="006E5DB2">
      <w:pPr>
        <w:pStyle w:val="FootnoteText"/>
      </w:pPr>
      <w:r>
        <w:rPr>
          <w:rStyle w:val="FootnoteReference"/>
        </w:rPr>
        <w:footnoteRef/>
      </w:r>
      <w:r>
        <w:t xml:space="preserve"> </w:t>
      </w:r>
      <w:r>
        <w:tab/>
      </w:r>
      <w:proofErr w:type="gramStart"/>
      <w:r>
        <w:t>cl. 5.6.6(y) National Electricity Rules.</w:t>
      </w:r>
      <w:proofErr w:type="gramEnd"/>
      <w:r>
        <w:t xml:space="preserve"> </w:t>
      </w:r>
    </w:p>
  </w:footnote>
  <w:footnote w:id="3">
    <w:p w:rsidR="00B07ED1" w:rsidRDefault="00B07ED1" w:rsidP="00AE6C53">
      <w:pPr>
        <w:pStyle w:val="FootnoteText"/>
      </w:pPr>
      <w:r>
        <w:rPr>
          <w:rStyle w:val="FootnoteReference"/>
        </w:rPr>
        <w:footnoteRef/>
      </w:r>
      <w:r>
        <w:t xml:space="preserve"> </w:t>
      </w:r>
      <w:r>
        <w:tab/>
      </w:r>
      <w:proofErr w:type="gramStart"/>
      <w:r>
        <w:t>Calculated as the average of the weighted median and trimmed mean measures of consumer price inflation.</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ED1" w:rsidRDefault="00B07ED1"/>
  <w:p w:rsidR="00B07ED1" w:rsidRDefault="00B07ED1"/>
  <w:p w:rsidR="00B07ED1" w:rsidRDefault="00B07ED1"/>
  <w:p w:rsidR="00B07ED1" w:rsidRDefault="00B07ED1"/>
  <w:p w:rsidR="00B07ED1" w:rsidRDefault="00B07ED1"/>
  <w:p w:rsidR="00B07ED1" w:rsidRDefault="00B07ED1"/>
  <w:p w:rsidR="00B07ED1" w:rsidRDefault="00B07ED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ED1" w:rsidRDefault="00B07ED1"/>
  <w:p w:rsidR="00B07ED1" w:rsidRDefault="00B07ED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2193B"/>
    <w:multiLevelType w:val="hybridMultilevel"/>
    <w:tmpl w:val="E08E4E1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D517D24"/>
    <w:multiLevelType w:val="hybridMultilevel"/>
    <w:tmpl w:val="66B0C8D4"/>
    <w:lvl w:ilvl="0" w:tplc="551CAE4A">
      <w:start w:val="1"/>
      <w:numFmt w:val="lowerRoman"/>
      <w:pStyle w:val="AERnumberedlistthirdstyle"/>
      <w:lvlText w:val="%1."/>
      <w:lvlJc w:val="left"/>
      <w:pPr>
        <w:tabs>
          <w:tab w:val="num" w:pos="1440"/>
        </w:tabs>
        <w:ind w:left="1440" w:hanging="360"/>
      </w:pPr>
      <w:rPr>
        <w:rFonts w:cs="Times New Roman" w:hint="default"/>
        <w:b w:val="0"/>
        <w:i w:val="0"/>
        <w:sz w:val="22"/>
      </w:rPr>
    </w:lvl>
    <w:lvl w:ilvl="1" w:tplc="F0967290" w:tentative="1">
      <w:start w:val="1"/>
      <w:numFmt w:val="bullet"/>
      <w:lvlText w:val="o"/>
      <w:lvlJc w:val="left"/>
      <w:pPr>
        <w:tabs>
          <w:tab w:val="num" w:pos="1806"/>
        </w:tabs>
        <w:ind w:left="1806" w:hanging="360"/>
      </w:pPr>
      <w:rPr>
        <w:rFonts w:ascii="Courier New" w:hAnsi="Courier New" w:hint="default"/>
      </w:rPr>
    </w:lvl>
    <w:lvl w:ilvl="2" w:tplc="9B467014" w:tentative="1">
      <w:start w:val="1"/>
      <w:numFmt w:val="bullet"/>
      <w:lvlText w:val=""/>
      <w:lvlJc w:val="left"/>
      <w:pPr>
        <w:tabs>
          <w:tab w:val="num" w:pos="2526"/>
        </w:tabs>
        <w:ind w:left="2526" w:hanging="360"/>
      </w:pPr>
      <w:rPr>
        <w:rFonts w:ascii="Wingdings" w:hAnsi="Wingdings" w:hint="default"/>
      </w:rPr>
    </w:lvl>
    <w:lvl w:ilvl="3" w:tplc="40FA280C" w:tentative="1">
      <w:start w:val="1"/>
      <w:numFmt w:val="bullet"/>
      <w:lvlText w:val=""/>
      <w:lvlJc w:val="left"/>
      <w:pPr>
        <w:tabs>
          <w:tab w:val="num" w:pos="3246"/>
        </w:tabs>
        <w:ind w:left="3246" w:hanging="360"/>
      </w:pPr>
      <w:rPr>
        <w:rFonts w:ascii="Symbol" w:hAnsi="Symbol" w:hint="default"/>
      </w:rPr>
    </w:lvl>
    <w:lvl w:ilvl="4" w:tplc="B1B62AD2" w:tentative="1">
      <w:start w:val="1"/>
      <w:numFmt w:val="bullet"/>
      <w:lvlText w:val="o"/>
      <w:lvlJc w:val="left"/>
      <w:pPr>
        <w:tabs>
          <w:tab w:val="num" w:pos="3966"/>
        </w:tabs>
        <w:ind w:left="3966" w:hanging="360"/>
      </w:pPr>
      <w:rPr>
        <w:rFonts w:ascii="Courier New" w:hAnsi="Courier New" w:hint="default"/>
      </w:rPr>
    </w:lvl>
    <w:lvl w:ilvl="5" w:tplc="3E64E846" w:tentative="1">
      <w:start w:val="1"/>
      <w:numFmt w:val="bullet"/>
      <w:lvlText w:val=""/>
      <w:lvlJc w:val="left"/>
      <w:pPr>
        <w:tabs>
          <w:tab w:val="num" w:pos="4686"/>
        </w:tabs>
        <w:ind w:left="4686" w:hanging="360"/>
      </w:pPr>
      <w:rPr>
        <w:rFonts w:ascii="Wingdings" w:hAnsi="Wingdings" w:hint="default"/>
      </w:rPr>
    </w:lvl>
    <w:lvl w:ilvl="6" w:tplc="445CCEB0" w:tentative="1">
      <w:start w:val="1"/>
      <w:numFmt w:val="bullet"/>
      <w:lvlText w:val=""/>
      <w:lvlJc w:val="left"/>
      <w:pPr>
        <w:tabs>
          <w:tab w:val="num" w:pos="5406"/>
        </w:tabs>
        <w:ind w:left="5406" w:hanging="360"/>
      </w:pPr>
      <w:rPr>
        <w:rFonts w:ascii="Symbol" w:hAnsi="Symbol" w:hint="default"/>
      </w:rPr>
    </w:lvl>
    <w:lvl w:ilvl="7" w:tplc="F41A20B0" w:tentative="1">
      <w:start w:val="1"/>
      <w:numFmt w:val="bullet"/>
      <w:lvlText w:val="o"/>
      <w:lvlJc w:val="left"/>
      <w:pPr>
        <w:tabs>
          <w:tab w:val="num" w:pos="6126"/>
        </w:tabs>
        <w:ind w:left="6126" w:hanging="360"/>
      </w:pPr>
      <w:rPr>
        <w:rFonts w:ascii="Courier New" w:hAnsi="Courier New" w:hint="default"/>
      </w:rPr>
    </w:lvl>
    <w:lvl w:ilvl="8" w:tplc="8BD04CAA" w:tentative="1">
      <w:start w:val="1"/>
      <w:numFmt w:val="bullet"/>
      <w:lvlText w:val=""/>
      <w:lvlJc w:val="left"/>
      <w:pPr>
        <w:tabs>
          <w:tab w:val="num" w:pos="6846"/>
        </w:tabs>
        <w:ind w:left="6846" w:hanging="360"/>
      </w:pPr>
      <w:rPr>
        <w:rFonts w:ascii="Wingdings" w:hAnsi="Wingdings" w:hint="default"/>
      </w:rPr>
    </w:lvl>
  </w:abstractNum>
  <w:abstractNum w:abstractNumId="2">
    <w:nsid w:val="1A3A6266"/>
    <w:multiLevelType w:val="multilevel"/>
    <w:tmpl w:val="A93864D8"/>
    <w:lvl w:ilvl="0">
      <w:start w:val="1"/>
      <w:numFmt w:val="bullet"/>
      <w:pStyle w:val="AERbulletlistsecondstyle"/>
      <w:lvlText w:val=""/>
      <w:lvlJc w:val="left"/>
      <w:pPr>
        <w:tabs>
          <w:tab w:val="num" w:pos="714"/>
        </w:tabs>
        <w:ind w:left="714" w:hanging="357"/>
      </w:pPr>
      <w:rPr>
        <w:rFonts w:ascii="Wingdings" w:hAnsi="Wingdings" w:hint="default"/>
        <w:sz w:val="24"/>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nsid w:val="1AE213A4"/>
    <w:multiLevelType w:val="multilevel"/>
    <w:tmpl w:val="FEB87F62"/>
    <w:lvl w:ilvl="0">
      <w:start w:val="1"/>
      <w:numFmt w:val="none"/>
      <w:lvlText w:val="%1"/>
      <w:lvlJc w:val="left"/>
      <w:pPr>
        <w:tabs>
          <w:tab w:val="num" w:pos="0"/>
        </w:tabs>
        <w:ind w:left="0" w:firstLine="0"/>
      </w:pPr>
      <w:rPr>
        <w:rFonts w:hint="default"/>
      </w:rPr>
    </w:lvl>
    <w:lvl w:ilvl="1">
      <w:start w:val="1"/>
      <w:numFmt w:val="lowerLetter"/>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264D0088"/>
    <w:multiLevelType w:val="multilevel"/>
    <w:tmpl w:val="00ECA27A"/>
    <w:lvl w:ilvl="0">
      <w:start w:val="1"/>
      <w:numFmt w:val="decimal"/>
      <w:pStyle w:val="UnnumberedHead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2FAB6622"/>
    <w:multiLevelType w:val="hybridMultilevel"/>
    <w:tmpl w:val="FFDC3D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FB612CC"/>
    <w:multiLevelType w:val="multilevel"/>
    <w:tmpl w:val="1492709C"/>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7">
    <w:nsid w:val="301B31FF"/>
    <w:multiLevelType w:val="multilevel"/>
    <w:tmpl w:val="6B1233FC"/>
    <w:lvl w:ilvl="0">
      <w:start w:val="1"/>
      <w:numFmt w:val="lowerLetter"/>
      <w:pStyle w:val="AERnumberedlistsecondstyle"/>
      <w:lvlText w:val="%1."/>
      <w:lvlJc w:val="left"/>
      <w:pPr>
        <w:tabs>
          <w:tab w:val="num" w:pos="720"/>
        </w:tabs>
        <w:ind w:left="72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8">
    <w:nsid w:val="3E0C1589"/>
    <w:multiLevelType w:val="hybridMultilevel"/>
    <w:tmpl w:val="B80652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1C13C85"/>
    <w:multiLevelType w:val="hybridMultilevel"/>
    <w:tmpl w:val="C7B4D8B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43F74CB"/>
    <w:multiLevelType w:val="hybridMultilevel"/>
    <w:tmpl w:val="550AFBE6"/>
    <w:lvl w:ilvl="0" w:tplc="9552D844">
      <w:start w:val="1"/>
      <w:numFmt w:val="decimal"/>
      <w:pStyle w:val="AERnumberedlistfirststyle"/>
      <w:lvlText w:val="%1."/>
      <w:lvlJc w:val="left"/>
      <w:pPr>
        <w:tabs>
          <w:tab w:val="num" w:pos="357"/>
        </w:tabs>
        <w:ind w:left="357" w:hanging="357"/>
      </w:pPr>
      <w:rPr>
        <w:rFonts w:ascii="Gautami" w:hAnsi="Gautami" w:cs="Times New Roman" w:hint="default"/>
        <w:b w:val="0"/>
        <w:i w:val="0"/>
        <w:sz w:val="22"/>
      </w:rPr>
    </w:lvl>
    <w:lvl w:ilvl="1" w:tplc="47642FB4">
      <w:start w:val="1"/>
      <w:numFmt w:val="bullet"/>
      <w:lvlText w:val=""/>
      <w:lvlJc w:val="left"/>
      <w:pPr>
        <w:tabs>
          <w:tab w:val="num" w:pos="4498"/>
        </w:tabs>
        <w:ind w:left="4498" w:hanging="358"/>
      </w:pPr>
      <w:rPr>
        <w:rFonts w:ascii="Wingdings" w:hAnsi="Wingdings" w:hint="default"/>
        <w:b w:val="0"/>
        <w:i w:val="0"/>
        <w:sz w:val="22"/>
      </w:rPr>
    </w:lvl>
    <w:lvl w:ilvl="2" w:tplc="6598FE5A" w:tentative="1">
      <w:start w:val="1"/>
      <w:numFmt w:val="lowerRoman"/>
      <w:lvlText w:val="%3."/>
      <w:lvlJc w:val="right"/>
      <w:pPr>
        <w:tabs>
          <w:tab w:val="num" w:pos="5220"/>
        </w:tabs>
        <w:ind w:left="5220" w:hanging="180"/>
      </w:pPr>
      <w:rPr>
        <w:rFonts w:cs="Times New Roman"/>
      </w:rPr>
    </w:lvl>
    <w:lvl w:ilvl="3" w:tplc="6EFAD194" w:tentative="1">
      <w:start w:val="1"/>
      <w:numFmt w:val="decimal"/>
      <w:lvlText w:val="%4."/>
      <w:lvlJc w:val="left"/>
      <w:pPr>
        <w:tabs>
          <w:tab w:val="num" w:pos="5940"/>
        </w:tabs>
        <w:ind w:left="5940" w:hanging="360"/>
      </w:pPr>
      <w:rPr>
        <w:rFonts w:cs="Times New Roman"/>
      </w:rPr>
    </w:lvl>
    <w:lvl w:ilvl="4" w:tplc="DB7E0E78">
      <w:start w:val="1"/>
      <w:numFmt w:val="lowerLetter"/>
      <w:lvlText w:val="%5."/>
      <w:lvlJc w:val="left"/>
      <w:pPr>
        <w:tabs>
          <w:tab w:val="num" w:pos="6660"/>
        </w:tabs>
        <w:ind w:left="6660" w:hanging="360"/>
      </w:pPr>
      <w:rPr>
        <w:rFonts w:cs="Times New Roman"/>
      </w:rPr>
    </w:lvl>
    <w:lvl w:ilvl="5" w:tplc="6248C5C4">
      <w:start w:val="1"/>
      <w:numFmt w:val="lowerRoman"/>
      <w:lvlText w:val="%6."/>
      <w:lvlJc w:val="right"/>
      <w:pPr>
        <w:tabs>
          <w:tab w:val="num" w:pos="7380"/>
        </w:tabs>
        <w:ind w:left="7380" w:hanging="180"/>
      </w:pPr>
      <w:rPr>
        <w:rFonts w:cs="Times New Roman"/>
      </w:rPr>
    </w:lvl>
    <w:lvl w:ilvl="6" w:tplc="655E23B4" w:tentative="1">
      <w:start w:val="1"/>
      <w:numFmt w:val="decimal"/>
      <w:lvlText w:val="%7."/>
      <w:lvlJc w:val="left"/>
      <w:pPr>
        <w:tabs>
          <w:tab w:val="num" w:pos="8100"/>
        </w:tabs>
        <w:ind w:left="8100" w:hanging="360"/>
      </w:pPr>
      <w:rPr>
        <w:rFonts w:cs="Times New Roman"/>
      </w:rPr>
    </w:lvl>
    <w:lvl w:ilvl="7" w:tplc="3440E26C" w:tentative="1">
      <w:start w:val="1"/>
      <w:numFmt w:val="lowerLetter"/>
      <w:lvlText w:val="%8."/>
      <w:lvlJc w:val="left"/>
      <w:pPr>
        <w:tabs>
          <w:tab w:val="num" w:pos="8820"/>
        </w:tabs>
        <w:ind w:left="8820" w:hanging="360"/>
      </w:pPr>
      <w:rPr>
        <w:rFonts w:cs="Times New Roman"/>
      </w:rPr>
    </w:lvl>
    <w:lvl w:ilvl="8" w:tplc="C67E4BBA" w:tentative="1">
      <w:start w:val="1"/>
      <w:numFmt w:val="lowerRoman"/>
      <w:lvlText w:val="%9."/>
      <w:lvlJc w:val="right"/>
      <w:pPr>
        <w:tabs>
          <w:tab w:val="num" w:pos="9540"/>
        </w:tabs>
        <w:ind w:left="9540" w:hanging="180"/>
      </w:pPr>
      <w:rPr>
        <w:rFonts w:cs="Times New Roman"/>
      </w:rPr>
    </w:lvl>
  </w:abstractNum>
  <w:abstractNum w:abstractNumId="11">
    <w:nsid w:val="51487971"/>
    <w:multiLevelType w:val="multilevel"/>
    <w:tmpl w:val="B1FCC85A"/>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62BF0570"/>
    <w:multiLevelType w:val="hybridMultilevel"/>
    <w:tmpl w:val="2C38EE7E"/>
    <w:lvl w:ilvl="0" w:tplc="807697B0">
      <w:start w:val="1"/>
      <w:numFmt w:val="bullet"/>
      <w:pStyle w:val="AERbulletlistthirdstyle"/>
      <w:lvlText w:val=""/>
      <w:lvlJc w:val="left"/>
      <w:pPr>
        <w:tabs>
          <w:tab w:val="num" w:pos="870"/>
        </w:tabs>
        <w:ind w:left="870" w:hanging="360"/>
      </w:pPr>
      <w:rPr>
        <w:rFonts w:ascii="Wingdings" w:hAnsi="Wingdings" w:hint="default"/>
        <w:color w:val="auto"/>
        <w:sz w:val="16"/>
      </w:rPr>
    </w:lvl>
    <w:lvl w:ilvl="1" w:tplc="A3F20208" w:tentative="1">
      <w:start w:val="1"/>
      <w:numFmt w:val="bullet"/>
      <w:lvlText w:val="o"/>
      <w:lvlJc w:val="left"/>
      <w:pPr>
        <w:tabs>
          <w:tab w:val="num" w:pos="1590"/>
        </w:tabs>
        <w:ind w:left="1590" w:hanging="360"/>
      </w:pPr>
      <w:rPr>
        <w:rFonts w:ascii="Courier New" w:hAnsi="Courier New" w:hint="default"/>
      </w:rPr>
    </w:lvl>
    <w:lvl w:ilvl="2" w:tplc="4F7EF45A" w:tentative="1">
      <w:start w:val="1"/>
      <w:numFmt w:val="bullet"/>
      <w:lvlText w:val=""/>
      <w:lvlJc w:val="left"/>
      <w:pPr>
        <w:tabs>
          <w:tab w:val="num" w:pos="2310"/>
        </w:tabs>
        <w:ind w:left="2310" w:hanging="360"/>
      </w:pPr>
      <w:rPr>
        <w:rFonts w:ascii="Wingdings" w:hAnsi="Wingdings" w:hint="default"/>
      </w:rPr>
    </w:lvl>
    <w:lvl w:ilvl="3" w:tplc="A28C4F96" w:tentative="1">
      <w:start w:val="1"/>
      <w:numFmt w:val="bullet"/>
      <w:lvlText w:val=""/>
      <w:lvlJc w:val="left"/>
      <w:pPr>
        <w:tabs>
          <w:tab w:val="num" w:pos="3030"/>
        </w:tabs>
        <w:ind w:left="3030" w:hanging="360"/>
      </w:pPr>
      <w:rPr>
        <w:rFonts w:ascii="Symbol" w:hAnsi="Symbol" w:hint="default"/>
      </w:rPr>
    </w:lvl>
    <w:lvl w:ilvl="4" w:tplc="B0C630AE" w:tentative="1">
      <w:start w:val="1"/>
      <w:numFmt w:val="bullet"/>
      <w:lvlText w:val="o"/>
      <w:lvlJc w:val="left"/>
      <w:pPr>
        <w:tabs>
          <w:tab w:val="num" w:pos="3750"/>
        </w:tabs>
        <w:ind w:left="3750" w:hanging="360"/>
      </w:pPr>
      <w:rPr>
        <w:rFonts w:ascii="Courier New" w:hAnsi="Courier New" w:hint="default"/>
      </w:rPr>
    </w:lvl>
    <w:lvl w:ilvl="5" w:tplc="DFBCDD78" w:tentative="1">
      <w:start w:val="1"/>
      <w:numFmt w:val="bullet"/>
      <w:lvlText w:val=""/>
      <w:lvlJc w:val="left"/>
      <w:pPr>
        <w:tabs>
          <w:tab w:val="num" w:pos="4470"/>
        </w:tabs>
        <w:ind w:left="4470" w:hanging="360"/>
      </w:pPr>
      <w:rPr>
        <w:rFonts w:ascii="Wingdings" w:hAnsi="Wingdings" w:hint="default"/>
      </w:rPr>
    </w:lvl>
    <w:lvl w:ilvl="6" w:tplc="E1A05E6E" w:tentative="1">
      <w:start w:val="1"/>
      <w:numFmt w:val="bullet"/>
      <w:lvlText w:val=""/>
      <w:lvlJc w:val="left"/>
      <w:pPr>
        <w:tabs>
          <w:tab w:val="num" w:pos="5190"/>
        </w:tabs>
        <w:ind w:left="5190" w:hanging="360"/>
      </w:pPr>
      <w:rPr>
        <w:rFonts w:ascii="Symbol" w:hAnsi="Symbol" w:hint="default"/>
      </w:rPr>
    </w:lvl>
    <w:lvl w:ilvl="7" w:tplc="046C21B0" w:tentative="1">
      <w:start w:val="1"/>
      <w:numFmt w:val="bullet"/>
      <w:lvlText w:val="o"/>
      <w:lvlJc w:val="left"/>
      <w:pPr>
        <w:tabs>
          <w:tab w:val="num" w:pos="5910"/>
        </w:tabs>
        <w:ind w:left="5910" w:hanging="360"/>
      </w:pPr>
      <w:rPr>
        <w:rFonts w:ascii="Courier New" w:hAnsi="Courier New" w:hint="default"/>
      </w:rPr>
    </w:lvl>
    <w:lvl w:ilvl="8" w:tplc="A8D0A772" w:tentative="1">
      <w:start w:val="1"/>
      <w:numFmt w:val="bullet"/>
      <w:lvlText w:val=""/>
      <w:lvlJc w:val="left"/>
      <w:pPr>
        <w:tabs>
          <w:tab w:val="num" w:pos="6630"/>
        </w:tabs>
        <w:ind w:left="6630" w:hanging="360"/>
      </w:pPr>
      <w:rPr>
        <w:rFonts w:ascii="Wingdings" w:hAnsi="Wingdings" w:hint="default"/>
      </w:rPr>
    </w:lvl>
  </w:abstractNum>
  <w:abstractNum w:abstractNumId="13">
    <w:nsid w:val="691A4A90"/>
    <w:multiLevelType w:val="hybridMultilevel"/>
    <w:tmpl w:val="079E735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76A149FE"/>
    <w:multiLevelType w:val="multilevel"/>
    <w:tmpl w:val="0B7A857C"/>
    <w:lvl w:ilvl="0">
      <w:start w:val="1"/>
      <w:numFmt w:val="decimal"/>
      <w:pStyle w:val="AERheading1"/>
      <w:lvlText w:val="%1"/>
      <w:lvlJc w:val="left"/>
      <w:pPr>
        <w:tabs>
          <w:tab w:val="num" w:pos="-357"/>
        </w:tabs>
        <w:ind w:left="357" w:hanging="1071"/>
      </w:pPr>
      <w:rPr>
        <w:rFonts w:cs="Times New Roman" w:hint="default"/>
      </w:rPr>
    </w:lvl>
    <w:lvl w:ilvl="1">
      <w:start w:val="1"/>
      <w:numFmt w:val="decimal"/>
      <w:pStyle w:val="AERheading2"/>
      <w:lvlText w:val="%1.%2"/>
      <w:lvlJc w:val="left"/>
      <w:pPr>
        <w:tabs>
          <w:tab w:val="num" w:pos="-357"/>
        </w:tabs>
        <w:ind w:left="-357" w:hanging="357"/>
      </w:pPr>
      <w:rPr>
        <w:rFonts w:cs="Times New Roman" w:hint="default"/>
      </w:rPr>
    </w:lvl>
    <w:lvl w:ilvl="2">
      <w:start w:val="1"/>
      <w:numFmt w:val="decimal"/>
      <w:pStyle w:val="AERheading3"/>
      <w:lvlText w:val="%1.%2.%3"/>
      <w:lvlJc w:val="left"/>
      <w:pPr>
        <w:tabs>
          <w:tab w:val="num" w:pos="-357"/>
        </w:tabs>
        <w:ind w:left="-357" w:hanging="357"/>
      </w:pPr>
      <w:rPr>
        <w:rFonts w:cs="Times New Roman" w:hint="default"/>
      </w:rPr>
    </w:lvl>
    <w:lvl w:ilvl="3">
      <w:start w:val="1"/>
      <w:numFmt w:val="decimal"/>
      <w:lvlRestart w:val="0"/>
      <w:pStyle w:val="AERfigureheading"/>
      <w:lvlText w:val="Figure %1.%4"/>
      <w:lvlJc w:val="left"/>
      <w:pPr>
        <w:tabs>
          <w:tab w:val="num" w:pos="357"/>
        </w:tabs>
        <w:ind w:left="357" w:hanging="357"/>
      </w:pPr>
      <w:rPr>
        <w:rFonts w:cs="Times New Roman" w:hint="default"/>
      </w:rPr>
    </w:lvl>
    <w:lvl w:ilvl="4">
      <w:start w:val="1"/>
      <w:numFmt w:val="decimal"/>
      <w:lvlRestart w:val="0"/>
      <w:pStyle w:val="AERtabletitle"/>
      <w:lvlText w:val="Table %1.%5"/>
      <w:lvlJc w:val="left"/>
      <w:pPr>
        <w:tabs>
          <w:tab w:val="num" w:pos="357"/>
        </w:tabs>
        <w:ind w:left="357" w:hanging="357"/>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5">
    <w:nsid w:val="7AEF67FF"/>
    <w:multiLevelType w:val="multilevel"/>
    <w:tmpl w:val="E1F4D8C6"/>
    <w:lvl w:ilvl="0">
      <w:start w:val="1"/>
      <w:numFmt w:val="bullet"/>
      <w:pStyle w:val="AERbulletlistfirststyle"/>
      <w:lvlText w:val=""/>
      <w:lvlJc w:val="left"/>
      <w:pPr>
        <w:tabs>
          <w:tab w:val="num" w:pos="1071"/>
        </w:tabs>
        <w:ind w:left="1071" w:hanging="357"/>
      </w:pPr>
      <w:rPr>
        <w:rFonts w:ascii="Wingdings" w:hAnsi="Wingdings" w:hint="default"/>
        <w:sz w:val="28"/>
      </w:rPr>
    </w:lvl>
    <w:lvl w:ilvl="1">
      <w:start w:val="1"/>
      <w:numFmt w:val="bullet"/>
      <w:lvlText w:val=""/>
      <w:lvlJc w:val="left"/>
      <w:pPr>
        <w:tabs>
          <w:tab w:val="num" w:pos="2154"/>
        </w:tabs>
        <w:ind w:left="2154" w:hanging="360"/>
      </w:pPr>
      <w:rPr>
        <w:rFonts w:ascii="Wingdings" w:hAnsi="Wingdings" w:hint="default"/>
      </w:rPr>
    </w:lvl>
    <w:lvl w:ilvl="2">
      <w:start w:val="1"/>
      <w:numFmt w:val="bullet"/>
      <w:lvlText w:val="—"/>
      <w:lvlJc w:val="left"/>
      <w:pPr>
        <w:tabs>
          <w:tab w:val="num" w:pos="2874"/>
        </w:tabs>
        <w:ind w:left="2874" w:hanging="360"/>
      </w:pPr>
      <w:rPr>
        <w:rFonts w:ascii="Times New Roman" w:hAnsi="Times New Roman" w:hint="default"/>
      </w:rPr>
    </w:lvl>
    <w:lvl w:ilvl="3">
      <w:start w:val="1"/>
      <w:numFmt w:val="bullet"/>
      <w:lvlText w:val=""/>
      <w:lvlJc w:val="left"/>
      <w:pPr>
        <w:tabs>
          <w:tab w:val="num" w:pos="3594"/>
        </w:tabs>
        <w:ind w:left="3594" w:hanging="360"/>
      </w:pPr>
      <w:rPr>
        <w:rFonts w:ascii="Symbol" w:hAnsi="Symbol" w:hint="default"/>
      </w:rPr>
    </w:lvl>
    <w:lvl w:ilvl="4">
      <w:start w:val="1"/>
      <w:numFmt w:val="bullet"/>
      <w:lvlText w:val="o"/>
      <w:lvlJc w:val="left"/>
      <w:pPr>
        <w:tabs>
          <w:tab w:val="num" w:pos="4314"/>
        </w:tabs>
        <w:ind w:left="4314" w:hanging="360"/>
      </w:pPr>
      <w:rPr>
        <w:rFonts w:ascii="Courier New" w:hAnsi="Courier New" w:hint="default"/>
      </w:rPr>
    </w:lvl>
    <w:lvl w:ilvl="5">
      <w:start w:val="1"/>
      <w:numFmt w:val="bullet"/>
      <w:lvlText w:val=""/>
      <w:lvlJc w:val="left"/>
      <w:pPr>
        <w:tabs>
          <w:tab w:val="num" w:pos="5034"/>
        </w:tabs>
        <w:ind w:left="5034" w:hanging="360"/>
      </w:pPr>
      <w:rPr>
        <w:rFonts w:ascii="Wingdings" w:hAnsi="Wingdings" w:hint="default"/>
      </w:rPr>
    </w:lvl>
    <w:lvl w:ilvl="6">
      <w:start w:val="1"/>
      <w:numFmt w:val="bullet"/>
      <w:lvlText w:val=""/>
      <w:lvlJc w:val="left"/>
      <w:pPr>
        <w:tabs>
          <w:tab w:val="num" w:pos="5754"/>
        </w:tabs>
        <w:ind w:left="5754" w:hanging="360"/>
      </w:pPr>
      <w:rPr>
        <w:rFonts w:ascii="Symbol" w:hAnsi="Symbol" w:hint="default"/>
      </w:rPr>
    </w:lvl>
    <w:lvl w:ilvl="7">
      <w:start w:val="1"/>
      <w:numFmt w:val="bullet"/>
      <w:lvlText w:val="o"/>
      <w:lvlJc w:val="left"/>
      <w:pPr>
        <w:tabs>
          <w:tab w:val="num" w:pos="6474"/>
        </w:tabs>
        <w:ind w:left="6474" w:hanging="360"/>
      </w:pPr>
      <w:rPr>
        <w:rFonts w:ascii="Courier New" w:hAnsi="Courier New" w:hint="default"/>
      </w:rPr>
    </w:lvl>
    <w:lvl w:ilvl="8">
      <w:start w:val="1"/>
      <w:numFmt w:val="bullet"/>
      <w:lvlText w:val=""/>
      <w:lvlJc w:val="left"/>
      <w:pPr>
        <w:tabs>
          <w:tab w:val="num" w:pos="7194"/>
        </w:tabs>
        <w:ind w:left="7194" w:hanging="360"/>
      </w:pPr>
      <w:rPr>
        <w:rFonts w:ascii="Wingdings" w:hAnsi="Wingdings" w:hint="default"/>
      </w:rPr>
    </w:lvl>
  </w:abstractNum>
  <w:num w:numId="1">
    <w:abstractNumId w:val="15"/>
  </w:num>
  <w:num w:numId="2">
    <w:abstractNumId w:val="2"/>
  </w:num>
  <w:num w:numId="3">
    <w:abstractNumId w:val="12"/>
  </w:num>
  <w:num w:numId="4">
    <w:abstractNumId w:val="1"/>
  </w:num>
  <w:num w:numId="5">
    <w:abstractNumId w:val="1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6"/>
    <w:lvlOverride w:ilvl="0">
      <w:lvl w:ilvl="0">
        <w:numFmt w:val="decimal"/>
        <w:lvlText w:val=""/>
        <w:lvlJc w:val="left"/>
      </w:lvl>
    </w:lvlOverride>
    <w:lvlOverride w:ilvl="1">
      <w:lvl w:ilvl="1">
        <w:start w:val="1"/>
        <w:numFmt w:val="decimal"/>
        <w:lvlText w:val="%1%2"/>
        <w:lvlJc w:val="left"/>
        <w:pPr>
          <w:tabs>
            <w:tab w:val="num" w:pos="0"/>
          </w:tabs>
          <w:ind w:left="0" w:hanging="851"/>
        </w:pPr>
        <w:rPr>
          <w:rFonts w:hint="default"/>
        </w:rPr>
      </w:lvl>
    </w:lvlOverride>
  </w:num>
  <w:num w:numId="9">
    <w:abstractNumId w:val="11"/>
  </w:num>
  <w:num w:numId="10">
    <w:abstractNumId w:val="3"/>
  </w:num>
  <w:num w:numId="11">
    <w:abstractNumId w:val="13"/>
  </w:num>
  <w:num w:numId="12">
    <w:abstractNumId w:val="5"/>
  </w:num>
  <w:num w:numId="13">
    <w:abstractNumId w:val="8"/>
  </w:num>
  <w:num w:numId="14">
    <w:abstractNumId w:val="0"/>
  </w:num>
  <w:num w:numId="15">
    <w:abstractNumId w:val="4"/>
  </w:num>
  <w:num w:numId="16">
    <w:abstractNumId w:val="6"/>
  </w:num>
  <w:num w:numId="17">
    <w:abstractNumId w:val="9"/>
  </w:num>
  <w:num w:numId="18">
    <w:abstractNumId w:val="14"/>
  </w:num>
  <w:num w:numId="19">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5"/>
  <w:removePersonalInformation/>
  <w:removeDateAndTime/>
  <w:proofState w:spelling="clean" w:grammar="clean"/>
  <w:stylePaneFormatFilter w:val="3001"/>
  <w:doNotTrackMoves/>
  <w:defaultTabStop w:val="720"/>
  <w:characterSpacingControl w:val="doNotCompress"/>
  <w:hdrShapeDefaults>
    <o:shapedefaults v:ext="edit" spidmax="6041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urrentname" w:val="\\cbrvpwxfs01\home$\ghuang\RIT-T cost thresholds review final determination - for web upload.docx"/>
  </w:docVars>
  <w:rsids>
    <w:rsidRoot w:val="00F75FBD"/>
    <w:rsid w:val="000018CD"/>
    <w:rsid w:val="00002B0C"/>
    <w:rsid w:val="00002CE0"/>
    <w:rsid w:val="00014696"/>
    <w:rsid w:val="00014ED8"/>
    <w:rsid w:val="000153A8"/>
    <w:rsid w:val="0001579F"/>
    <w:rsid w:val="000264B4"/>
    <w:rsid w:val="0003617E"/>
    <w:rsid w:val="0004206A"/>
    <w:rsid w:val="00043B4F"/>
    <w:rsid w:val="000458F1"/>
    <w:rsid w:val="00052088"/>
    <w:rsid w:val="00055D50"/>
    <w:rsid w:val="00057199"/>
    <w:rsid w:val="0005723D"/>
    <w:rsid w:val="00060AFA"/>
    <w:rsid w:val="000757F8"/>
    <w:rsid w:val="0008626F"/>
    <w:rsid w:val="00090D49"/>
    <w:rsid w:val="000941F1"/>
    <w:rsid w:val="000957B4"/>
    <w:rsid w:val="000A105F"/>
    <w:rsid w:val="000C3EE2"/>
    <w:rsid w:val="000D31E8"/>
    <w:rsid w:val="000E0BF3"/>
    <w:rsid w:val="000E240F"/>
    <w:rsid w:val="000E67A0"/>
    <w:rsid w:val="000E6A1B"/>
    <w:rsid w:val="000F0DE0"/>
    <w:rsid w:val="000F1C85"/>
    <w:rsid w:val="000F1E4C"/>
    <w:rsid w:val="001066A9"/>
    <w:rsid w:val="001078C1"/>
    <w:rsid w:val="00112A44"/>
    <w:rsid w:val="0012073E"/>
    <w:rsid w:val="00125CDC"/>
    <w:rsid w:val="00133057"/>
    <w:rsid w:val="001342DF"/>
    <w:rsid w:val="00142F28"/>
    <w:rsid w:val="00152708"/>
    <w:rsid w:val="001528C3"/>
    <w:rsid w:val="00156896"/>
    <w:rsid w:val="001646E8"/>
    <w:rsid w:val="00180576"/>
    <w:rsid w:val="0018648B"/>
    <w:rsid w:val="00190389"/>
    <w:rsid w:val="001919FB"/>
    <w:rsid w:val="001936A2"/>
    <w:rsid w:val="0019449D"/>
    <w:rsid w:val="001A34D2"/>
    <w:rsid w:val="001A7245"/>
    <w:rsid w:val="001B0977"/>
    <w:rsid w:val="001B6124"/>
    <w:rsid w:val="001B6680"/>
    <w:rsid w:val="001B6745"/>
    <w:rsid w:val="001C6206"/>
    <w:rsid w:val="001C7F5A"/>
    <w:rsid w:val="001D3A83"/>
    <w:rsid w:val="001D41E0"/>
    <w:rsid w:val="001D47C8"/>
    <w:rsid w:val="001E3855"/>
    <w:rsid w:val="001E38F7"/>
    <w:rsid w:val="001F07C2"/>
    <w:rsid w:val="001F09AD"/>
    <w:rsid w:val="0020655F"/>
    <w:rsid w:val="00214D60"/>
    <w:rsid w:val="002167C6"/>
    <w:rsid w:val="00224675"/>
    <w:rsid w:val="00226583"/>
    <w:rsid w:val="00237805"/>
    <w:rsid w:val="00240C57"/>
    <w:rsid w:val="00243186"/>
    <w:rsid w:val="00244287"/>
    <w:rsid w:val="002552B3"/>
    <w:rsid w:val="00272BE8"/>
    <w:rsid w:val="00274924"/>
    <w:rsid w:val="00275B85"/>
    <w:rsid w:val="0028559F"/>
    <w:rsid w:val="002904C0"/>
    <w:rsid w:val="00296605"/>
    <w:rsid w:val="002976C0"/>
    <w:rsid w:val="002A55F1"/>
    <w:rsid w:val="002C14D2"/>
    <w:rsid w:val="002C390B"/>
    <w:rsid w:val="002E02AF"/>
    <w:rsid w:val="002E3A1B"/>
    <w:rsid w:val="002F714A"/>
    <w:rsid w:val="0030689F"/>
    <w:rsid w:val="003115E3"/>
    <w:rsid w:val="00317F7A"/>
    <w:rsid w:val="00321CED"/>
    <w:rsid w:val="00323B70"/>
    <w:rsid w:val="00333C2F"/>
    <w:rsid w:val="00334015"/>
    <w:rsid w:val="003410E8"/>
    <w:rsid w:val="00344FBA"/>
    <w:rsid w:val="00350E90"/>
    <w:rsid w:val="00356017"/>
    <w:rsid w:val="003572D0"/>
    <w:rsid w:val="003676E3"/>
    <w:rsid w:val="00372950"/>
    <w:rsid w:val="003739A1"/>
    <w:rsid w:val="003779B9"/>
    <w:rsid w:val="0038124C"/>
    <w:rsid w:val="003837EE"/>
    <w:rsid w:val="00384546"/>
    <w:rsid w:val="0038508D"/>
    <w:rsid w:val="0039170C"/>
    <w:rsid w:val="0039505C"/>
    <w:rsid w:val="003A228F"/>
    <w:rsid w:val="003B4C1B"/>
    <w:rsid w:val="003B7528"/>
    <w:rsid w:val="003C46AE"/>
    <w:rsid w:val="003D0B3A"/>
    <w:rsid w:val="003E082C"/>
    <w:rsid w:val="003F0A5C"/>
    <w:rsid w:val="003F203D"/>
    <w:rsid w:val="003F318B"/>
    <w:rsid w:val="003F5983"/>
    <w:rsid w:val="003F719E"/>
    <w:rsid w:val="00417411"/>
    <w:rsid w:val="00421D18"/>
    <w:rsid w:val="004235F3"/>
    <w:rsid w:val="00430216"/>
    <w:rsid w:val="004350CA"/>
    <w:rsid w:val="00445828"/>
    <w:rsid w:val="004474C6"/>
    <w:rsid w:val="004530C8"/>
    <w:rsid w:val="00456305"/>
    <w:rsid w:val="004639C8"/>
    <w:rsid w:val="00464B14"/>
    <w:rsid w:val="004712A6"/>
    <w:rsid w:val="00476FFC"/>
    <w:rsid w:val="0048030E"/>
    <w:rsid w:val="00482500"/>
    <w:rsid w:val="00483E36"/>
    <w:rsid w:val="00491B8E"/>
    <w:rsid w:val="004A601C"/>
    <w:rsid w:val="004B0FF1"/>
    <w:rsid w:val="004B395E"/>
    <w:rsid w:val="004B7CA0"/>
    <w:rsid w:val="004C6E56"/>
    <w:rsid w:val="004D0306"/>
    <w:rsid w:val="004D0D54"/>
    <w:rsid w:val="004D4169"/>
    <w:rsid w:val="004E09C7"/>
    <w:rsid w:val="004E281B"/>
    <w:rsid w:val="004E51E2"/>
    <w:rsid w:val="004F0FF4"/>
    <w:rsid w:val="004F45FB"/>
    <w:rsid w:val="00506A6C"/>
    <w:rsid w:val="00512953"/>
    <w:rsid w:val="00512F4F"/>
    <w:rsid w:val="00513009"/>
    <w:rsid w:val="00515FA3"/>
    <w:rsid w:val="00523F5E"/>
    <w:rsid w:val="00530AA2"/>
    <w:rsid w:val="005364A4"/>
    <w:rsid w:val="00540A4A"/>
    <w:rsid w:val="00540A85"/>
    <w:rsid w:val="005432A3"/>
    <w:rsid w:val="0054349D"/>
    <w:rsid w:val="00545035"/>
    <w:rsid w:val="0054783D"/>
    <w:rsid w:val="00552DFE"/>
    <w:rsid w:val="005550D5"/>
    <w:rsid w:val="00564A62"/>
    <w:rsid w:val="0056611C"/>
    <w:rsid w:val="00591ED5"/>
    <w:rsid w:val="005940C0"/>
    <w:rsid w:val="005962DF"/>
    <w:rsid w:val="005A10EC"/>
    <w:rsid w:val="005A62D7"/>
    <w:rsid w:val="005B6EF1"/>
    <w:rsid w:val="005C22DB"/>
    <w:rsid w:val="005C27BF"/>
    <w:rsid w:val="005C37EE"/>
    <w:rsid w:val="005D612C"/>
    <w:rsid w:val="005E1C09"/>
    <w:rsid w:val="005F0870"/>
    <w:rsid w:val="005F6085"/>
    <w:rsid w:val="005F6397"/>
    <w:rsid w:val="00602692"/>
    <w:rsid w:val="00606522"/>
    <w:rsid w:val="00607771"/>
    <w:rsid w:val="00611CE8"/>
    <w:rsid w:val="00612F8A"/>
    <w:rsid w:val="00616918"/>
    <w:rsid w:val="006254B2"/>
    <w:rsid w:val="00634CA6"/>
    <w:rsid w:val="00635822"/>
    <w:rsid w:val="006402EE"/>
    <w:rsid w:val="00651B69"/>
    <w:rsid w:val="0065318D"/>
    <w:rsid w:val="00653E0A"/>
    <w:rsid w:val="00662E0A"/>
    <w:rsid w:val="00662EFC"/>
    <w:rsid w:val="00664FCB"/>
    <w:rsid w:val="006666CA"/>
    <w:rsid w:val="006668E3"/>
    <w:rsid w:val="006732C8"/>
    <w:rsid w:val="00690CD1"/>
    <w:rsid w:val="00694F2F"/>
    <w:rsid w:val="00697F5C"/>
    <w:rsid w:val="006B1F6A"/>
    <w:rsid w:val="006B2EC0"/>
    <w:rsid w:val="006B4544"/>
    <w:rsid w:val="006B6C9D"/>
    <w:rsid w:val="006C1F45"/>
    <w:rsid w:val="006C6618"/>
    <w:rsid w:val="006D3626"/>
    <w:rsid w:val="006E5DB2"/>
    <w:rsid w:val="006F0473"/>
    <w:rsid w:val="006F21D5"/>
    <w:rsid w:val="006F3BC6"/>
    <w:rsid w:val="006F4DA6"/>
    <w:rsid w:val="00702D30"/>
    <w:rsid w:val="007159FA"/>
    <w:rsid w:val="0072377A"/>
    <w:rsid w:val="007250FE"/>
    <w:rsid w:val="00730994"/>
    <w:rsid w:val="00732F35"/>
    <w:rsid w:val="00734B4D"/>
    <w:rsid w:val="00755BE5"/>
    <w:rsid w:val="00755C57"/>
    <w:rsid w:val="0076222D"/>
    <w:rsid w:val="00782451"/>
    <w:rsid w:val="007900CD"/>
    <w:rsid w:val="00793FE6"/>
    <w:rsid w:val="007A4ABE"/>
    <w:rsid w:val="007A7AC4"/>
    <w:rsid w:val="007B3C3D"/>
    <w:rsid w:val="007C499F"/>
    <w:rsid w:val="007C52C5"/>
    <w:rsid w:val="007D22FB"/>
    <w:rsid w:val="007D4C5E"/>
    <w:rsid w:val="007D7799"/>
    <w:rsid w:val="007E2907"/>
    <w:rsid w:val="007E344B"/>
    <w:rsid w:val="007E75C7"/>
    <w:rsid w:val="007E7E18"/>
    <w:rsid w:val="007F2BF4"/>
    <w:rsid w:val="007F38E9"/>
    <w:rsid w:val="007F7FE3"/>
    <w:rsid w:val="00800F7D"/>
    <w:rsid w:val="008036A0"/>
    <w:rsid w:val="00804C70"/>
    <w:rsid w:val="00811E4E"/>
    <w:rsid w:val="00813853"/>
    <w:rsid w:val="008235F7"/>
    <w:rsid w:val="00823B5C"/>
    <w:rsid w:val="00843476"/>
    <w:rsid w:val="00856DEF"/>
    <w:rsid w:val="008655D3"/>
    <w:rsid w:val="008669C8"/>
    <w:rsid w:val="00872326"/>
    <w:rsid w:val="00881528"/>
    <w:rsid w:val="00885039"/>
    <w:rsid w:val="0089151E"/>
    <w:rsid w:val="0089368C"/>
    <w:rsid w:val="00896316"/>
    <w:rsid w:val="008974A1"/>
    <w:rsid w:val="008A05B1"/>
    <w:rsid w:val="008A1A28"/>
    <w:rsid w:val="008A5661"/>
    <w:rsid w:val="008A61A2"/>
    <w:rsid w:val="008A7D84"/>
    <w:rsid w:val="008C69CF"/>
    <w:rsid w:val="008C7FAD"/>
    <w:rsid w:val="008D77C5"/>
    <w:rsid w:val="008E2E67"/>
    <w:rsid w:val="008E386C"/>
    <w:rsid w:val="008F3D94"/>
    <w:rsid w:val="008F47EE"/>
    <w:rsid w:val="008F496F"/>
    <w:rsid w:val="008F51EB"/>
    <w:rsid w:val="008F5308"/>
    <w:rsid w:val="00901F04"/>
    <w:rsid w:val="00901FCB"/>
    <w:rsid w:val="00902C45"/>
    <w:rsid w:val="009070EF"/>
    <w:rsid w:val="00907EAB"/>
    <w:rsid w:val="00914E13"/>
    <w:rsid w:val="00915BB8"/>
    <w:rsid w:val="009210C6"/>
    <w:rsid w:val="00926FA1"/>
    <w:rsid w:val="00930486"/>
    <w:rsid w:val="0094243D"/>
    <w:rsid w:val="0094754B"/>
    <w:rsid w:val="0095287A"/>
    <w:rsid w:val="0095312C"/>
    <w:rsid w:val="0095409A"/>
    <w:rsid w:val="00954C4E"/>
    <w:rsid w:val="00964B58"/>
    <w:rsid w:val="009678BF"/>
    <w:rsid w:val="00967F17"/>
    <w:rsid w:val="00976D54"/>
    <w:rsid w:val="00981BDE"/>
    <w:rsid w:val="00992D0F"/>
    <w:rsid w:val="00993004"/>
    <w:rsid w:val="0099628F"/>
    <w:rsid w:val="00996479"/>
    <w:rsid w:val="00996B19"/>
    <w:rsid w:val="009A2C29"/>
    <w:rsid w:val="009B2149"/>
    <w:rsid w:val="009B7C9D"/>
    <w:rsid w:val="009C0778"/>
    <w:rsid w:val="009C40B9"/>
    <w:rsid w:val="009D232C"/>
    <w:rsid w:val="009D2E17"/>
    <w:rsid w:val="009D7602"/>
    <w:rsid w:val="009E0F39"/>
    <w:rsid w:val="009E252E"/>
    <w:rsid w:val="009E5AE0"/>
    <w:rsid w:val="009F1C59"/>
    <w:rsid w:val="009F693C"/>
    <w:rsid w:val="00A011FC"/>
    <w:rsid w:val="00A07F27"/>
    <w:rsid w:val="00A14929"/>
    <w:rsid w:val="00A2112E"/>
    <w:rsid w:val="00A2222D"/>
    <w:rsid w:val="00A3420B"/>
    <w:rsid w:val="00A43C71"/>
    <w:rsid w:val="00A451BB"/>
    <w:rsid w:val="00A52594"/>
    <w:rsid w:val="00A73DD2"/>
    <w:rsid w:val="00A74F49"/>
    <w:rsid w:val="00A80EAC"/>
    <w:rsid w:val="00A830CC"/>
    <w:rsid w:val="00A85CBC"/>
    <w:rsid w:val="00A87713"/>
    <w:rsid w:val="00A92FD0"/>
    <w:rsid w:val="00AB2A50"/>
    <w:rsid w:val="00AC528F"/>
    <w:rsid w:val="00AC624F"/>
    <w:rsid w:val="00AD0B69"/>
    <w:rsid w:val="00AD2DF1"/>
    <w:rsid w:val="00AD38A2"/>
    <w:rsid w:val="00AE2928"/>
    <w:rsid w:val="00AE57C4"/>
    <w:rsid w:val="00AE6C53"/>
    <w:rsid w:val="00AF23EB"/>
    <w:rsid w:val="00AF3CA1"/>
    <w:rsid w:val="00B0710A"/>
    <w:rsid w:val="00B07ED1"/>
    <w:rsid w:val="00B115F1"/>
    <w:rsid w:val="00B1435E"/>
    <w:rsid w:val="00B17207"/>
    <w:rsid w:val="00B2138E"/>
    <w:rsid w:val="00B275EE"/>
    <w:rsid w:val="00B27F07"/>
    <w:rsid w:val="00B332A6"/>
    <w:rsid w:val="00B37A84"/>
    <w:rsid w:val="00B40011"/>
    <w:rsid w:val="00B549C3"/>
    <w:rsid w:val="00B55785"/>
    <w:rsid w:val="00B55D0B"/>
    <w:rsid w:val="00B56AEF"/>
    <w:rsid w:val="00B60501"/>
    <w:rsid w:val="00B760AE"/>
    <w:rsid w:val="00B80C2A"/>
    <w:rsid w:val="00B85E79"/>
    <w:rsid w:val="00B92489"/>
    <w:rsid w:val="00B930A3"/>
    <w:rsid w:val="00BA3A4A"/>
    <w:rsid w:val="00BA57FF"/>
    <w:rsid w:val="00BB285F"/>
    <w:rsid w:val="00BB348C"/>
    <w:rsid w:val="00BB48DB"/>
    <w:rsid w:val="00BB4BC7"/>
    <w:rsid w:val="00BB5E95"/>
    <w:rsid w:val="00BB640B"/>
    <w:rsid w:val="00BC153B"/>
    <w:rsid w:val="00BC58A6"/>
    <w:rsid w:val="00BC7446"/>
    <w:rsid w:val="00BD0327"/>
    <w:rsid w:val="00BD2201"/>
    <w:rsid w:val="00BD26A4"/>
    <w:rsid w:val="00BD524E"/>
    <w:rsid w:val="00BF06FC"/>
    <w:rsid w:val="00BF434F"/>
    <w:rsid w:val="00C03799"/>
    <w:rsid w:val="00C075EE"/>
    <w:rsid w:val="00C251AF"/>
    <w:rsid w:val="00C25D7D"/>
    <w:rsid w:val="00C34077"/>
    <w:rsid w:val="00C34F7B"/>
    <w:rsid w:val="00C37101"/>
    <w:rsid w:val="00C41275"/>
    <w:rsid w:val="00C432A0"/>
    <w:rsid w:val="00C4384B"/>
    <w:rsid w:val="00C44C81"/>
    <w:rsid w:val="00C45414"/>
    <w:rsid w:val="00C65217"/>
    <w:rsid w:val="00C6624F"/>
    <w:rsid w:val="00C67ED4"/>
    <w:rsid w:val="00C705ED"/>
    <w:rsid w:val="00C72113"/>
    <w:rsid w:val="00C7486F"/>
    <w:rsid w:val="00C76C0E"/>
    <w:rsid w:val="00C82D56"/>
    <w:rsid w:val="00C95B52"/>
    <w:rsid w:val="00C976C4"/>
    <w:rsid w:val="00C97BCF"/>
    <w:rsid w:val="00CA11B1"/>
    <w:rsid w:val="00CB07C9"/>
    <w:rsid w:val="00CB210E"/>
    <w:rsid w:val="00CB6144"/>
    <w:rsid w:val="00CC4127"/>
    <w:rsid w:val="00CD185E"/>
    <w:rsid w:val="00CD364F"/>
    <w:rsid w:val="00CE3E00"/>
    <w:rsid w:val="00CE7A0C"/>
    <w:rsid w:val="00CF0EAE"/>
    <w:rsid w:val="00CF28F4"/>
    <w:rsid w:val="00D01440"/>
    <w:rsid w:val="00D03336"/>
    <w:rsid w:val="00D100C4"/>
    <w:rsid w:val="00D1069A"/>
    <w:rsid w:val="00D232AA"/>
    <w:rsid w:val="00D27813"/>
    <w:rsid w:val="00D30409"/>
    <w:rsid w:val="00D347C0"/>
    <w:rsid w:val="00D35660"/>
    <w:rsid w:val="00D51E84"/>
    <w:rsid w:val="00D51ED1"/>
    <w:rsid w:val="00D53F89"/>
    <w:rsid w:val="00D54DF8"/>
    <w:rsid w:val="00D5677F"/>
    <w:rsid w:val="00D56E8E"/>
    <w:rsid w:val="00D658A7"/>
    <w:rsid w:val="00D65A6E"/>
    <w:rsid w:val="00D7649A"/>
    <w:rsid w:val="00D97E02"/>
    <w:rsid w:val="00DA1901"/>
    <w:rsid w:val="00DA1994"/>
    <w:rsid w:val="00DB06F6"/>
    <w:rsid w:val="00DB1691"/>
    <w:rsid w:val="00DB707C"/>
    <w:rsid w:val="00DC2668"/>
    <w:rsid w:val="00DC47BF"/>
    <w:rsid w:val="00DD27E0"/>
    <w:rsid w:val="00DD7EEB"/>
    <w:rsid w:val="00DE689E"/>
    <w:rsid w:val="00DF7BCF"/>
    <w:rsid w:val="00E02348"/>
    <w:rsid w:val="00E14202"/>
    <w:rsid w:val="00E171C4"/>
    <w:rsid w:val="00E2441B"/>
    <w:rsid w:val="00E34B19"/>
    <w:rsid w:val="00E55683"/>
    <w:rsid w:val="00E56F7D"/>
    <w:rsid w:val="00E6133A"/>
    <w:rsid w:val="00E65720"/>
    <w:rsid w:val="00E65F45"/>
    <w:rsid w:val="00E66EBA"/>
    <w:rsid w:val="00E71F27"/>
    <w:rsid w:val="00E729A5"/>
    <w:rsid w:val="00E82DBF"/>
    <w:rsid w:val="00E90B47"/>
    <w:rsid w:val="00E90FA1"/>
    <w:rsid w:val="00EA0E38"/>
    <w:rsid w:val="00EA43EE"/>
    <w:rsid w:val="00EA597C"/>
    <w:rsid w:val="00EA7FD5"/>
    <w:rsid w:val="00EB2ED0"/>
    <w:rsid w:val="00EB320B"/>
    <w:rsid w:val="00EB77A3"/>
    <w:rsid w:val="00EC1FE3"/>
    <w:rsid w:val="00EC2840"/>
    <w:rsid w:val="00ED10B4"/>
    <w:rsid w:val="00ED10FB"/>
    <w:rsid w:val="00ED136C"/>
    <w:rsid w:val="00ED2ED9"/>
    <w:rsid w:val="00ED5001"/>
    <w:rsid w:val="00F03762"/>
    <w:rsid w:val="00F249C5"/>
    <w:rsid w:val="00F2788E"/>
    <w:rsid w:val="00F33267"/>
    <w:rsid w:val="00F3560B"/>
    <w:rsid w:val="00F530D8"/>
    <w:rsid w:val="00F613DB"/>
    <w:rsid w:val="00F63246"/>
    <w:rsid w:val="00F66D82"/>
    <w:rsid w:val="00F72436"/>
    <w:rsid w:val="00F73C94"/>
    <w:rsid w:val="00F75FBD"/>
    <w:rsid w:val="00F80F12"/>
    <w:rsid w:val="00F81E1B"/>
    <w:rsid w:val="00F86A73"/>
    <w:rsid w:val="00FA079B"/>
    <w:rsid w:val="00FA186E"/>
    <w:rsid w:val="00FB00FE"/>
    <w:rsid w:val="00FC37D7"/>
    <w:rsid w:val="00FC40C7"/>
    <w:rsid w:val="00FD6106"/>
    <w:rsid w:val="00FD7B02"/>
    <w:rsid w:val="00FE01B7"/>
    <w:rsid w:val="00FE542F"/>
    <w:rsid w:val="00FF1F91"/>
    <w:rsid w:val="00FF622F"/>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604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1" w:defUIPriority="0" w:defSemiHidden="0" w:defUnhideWhenUsed="0" w:defQFormat="0" w:count="267">
    <w:lsdException w:name="Normal" w:locked="0" w:qFormat="1"/>
    <w:lsdException w:name="heading 1" w:locked="0"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locked="0" w:qFormat="1"/>
    <w:lsdException w:name="heading 6" w:locked="0"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locked="0" w:uiPriority="39" w:qFormat="1"/>
    <w:lsdException w:name="toc 2" w:locked="0" w:uiPriority="39" w:qFormat="1"/>
    <w:lsdException w:name="toc 3" w:locked="0"/>
    <w:lsdException w:name="footnote text" w:locked="0" w:qFormat="1"/>
    <w:lsdException w:name="footer" w:locked="0" w:qFormat="1"/>
    <w:lsdException w:name="caption" w:semiHidden="1" w:unhideWhenUsed="1" w:qFormat="1"/>
    <w:lsdException w:name="footnote reference" w:locked="0" w:uiPriority="99"/>
    <w:lsdException w:name="page number" w:locked="0"/>
    <w:lsdException w:name="Title" w:qFormat="1"/>
    <w:lsdException w:name="Default Paragraph Font" w:locked="0"/>
    <w:lsdException w:name="Subtitle" w:qFormat="1"/>
    <w:lsdException w:name="Hyperlink" w:locked="0" w:uiPriority="99"/>
    <w:lsdException w:name="Strong" w:qFormat="1"/>
    <w:lsdException w:name="Emphasis" w:qFormat="1"/>
    <w:lsdException w:name="HTML Top of Form" w:locked="0"/>
    <w:lsdException w:name="HTML Bottom of Form" w:locked="0"/>
    <w:lsdException w:name="Normal Table" w:locked="0"/>
    <w:lsdException w:name="No List" w:locked="0"/>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next w:val="AERbodytext"/>
    <w:qFormat/>
    <w:rsid w:val="009E0F39"/>
    <w:pPr>
      <w:spacing w:line="288" w:lineRule="auto"/>
      <w:jc w:val="both"/>
    </w:pPr>
    <w:rPr>
      <w:rFonts w:ascii="Gautami" w:hAnsi="Gautami"/>
      <w:szCs w:val="24"/>
    </w:rPr>
  </w:style>
  <w:style w:type="paragraph" w:styleId="Heading1">
    <w:name w:val="heading 1"/>
    <w:basedOn w:val="Normal"/>
    <w:next w:val="Normal"/>
    <w:uiPriority w:val="9"/>
    <w:qFormat/>
    <w:locked/>
    <w:rsid w:val="009E0F39"/>
    <w:pPr>
      <w:keepNext/>
      <w:keepLines/>
      <w:spacing w:before="480"/>
      <w:outlineLvl w:val="0"/>
    </w:pPr>
    <w:rPr>
      <w:rFonts w:ascii="Cambria" w:hAnsi="Cambria"/>
      <w:b/>
      <w:bCs/>
      <w:color w:val="365F91"/>
      <w:sz w:val="28"/>
      <w:szCs w:val="28"/>
    </w:rPr>
  </w:style>
  <w:style w:type="paragraph" w:styleId="Heading2">
    <w:name w:val="heading 2"/>
    <w:basedOn w:val="Heading1"/>
    <w:next w:val="AERbodytext"/>
    <w:link w:val="Heading2Char"/>
    <w:uiPriority w:val="9"/>
    <w:qFormat/>
    <w:locked/>
    <w:rsid w:val="006E5DB2"/>
    <w:pPr>
      <w:tabs>
        <w:tab w:val="num" w:pos="0"/>
      </w:tabs>
      <w:spacing w:before="120" w:after="120"/>
      <w:ind w:hanging="851"/>
      <w:outlineLvl w:val="1"/>
    </w:pPr>
    <w:rPr>
      <w:rFonts w:ascii="Gautami" w:eastAsia="Times New Roman" w:hAnsi="Gautami"/>
      <w:bCs w:val="0"/>
      <w:color w:val="E36C0A"/>
      <w:szCs w:val="26"/>
      <w:lang w:eastAsia="en-US"/>
    </w:rPr>
  </w:style>
  <w:style w:type="paragraph" w:styleId="Heading3">
    <w:name w:val="heading 3"/>
    <w:basedOn w:val="Heading2"/>
    <w:next w:val="AERbodytext"/>
    <w:link w:val="Heading3Char"/>
    <w:uiPriority w:val="9"/>
    <w:qFormat/>
    <w:locked/>
    <w:rsid w:val="006E5DB2"/>
    <w:pPr>
      <w:outlineLvl w:val="2"/>
    </w:pPr>
    <w:rPr>
      <w:bCs/>
      <w:sz w:val="24"/>
    </w:rPr>
  </w:style>
  <w:style w:type="paragraph" w:styleId="Heading5">
    <w:name w:val="heading 5"/>
    <w:basedOn w:val="Normal"/>
    <w:next w:val="Normal"/>
    <w:qFormat/>
    <w:locked/>
    <w:rsid w:val="009E0F39"/>
    <w:pPr>
      <w:keepNext/>
      <w:keepLines/>
      <w:spacing w:before="200"/>
      <w:outlineLvl w:val="4"/>
    </w:pPr>
    <w:rPr>
      <w:rFonts w:ascii="Cambria" w:hAnsi="Cambria"/>
      <w:color w:val="243F60"/>
    </w:rPr>
  </w:style>
  <w:style w:type="paragraph" w:styleId="Heading6">
    <w:name w:val="heading 6"/>
    <w:basedOn w:val="Normal"/>
    <w:next w:val="Normal"/>
    <w:qFormat/>
    <w:locked/>
    <w:rsid w:val="009E0F39"/>
    <w:pPr>
      <w:keepNext/>
      <w:keepLines/>
      <w:spacing w:before="200"/>
      <w:outlineLvl w:val="5"/>
    </w:pPr>
    <w:rPr>
      <w:rFonts w:ascii="Cambria" w:hAnsi="Cambria"/>
      <w:i/>
      <w:iCs/>
      <w:color w:val="243F60"/>
    </w:rPr>
  </w:style>
  <w:style w:type="paragraph" w:styleId="Heading7">
    <w:name w:val="heading 7"/>
    <w:basedOn w:val="UnnumberedHeading"/>
    <w:next w:val="AERbodytext"/>
    <w:link w:val="Heading7Char"/>
    <w:uiPriority w:val="9"/>
    <w:qFormat/>
    <w:locked/>
    <w:rsid w:val="006E5DB2"/>
    <w:pPr>
      <w:numPr>
        <w:numId w:val="0"/>
      </w:numPr>
      <w:tabs>
        <w:tab w:val="num" w:pos="360"/>
        <w:tab w:val="num" w:pos="2880"/>
      </w:tabs>
      <w:ind w:left="2880" w:hanging="360"/>
      <w:outlineLvl w:val="6"/>
    </w:pPr>
    <w:rPr>
      <w:iCs/>
      <w:szCs w:val="24"/>
    </w:rPr>
  </w:style>
  <w:style w:type="paragraph" w:styleId="Heading8">
    <w:name w:val="heading 8"/>
    <w:basedOn w:val="Heading7"/>
    <w:next w:val="AERbodytext"/>
    <w:link w:val="Heading8Char"/>
    <w:uiPriority w:val="9"/>
    <w:qFormat/>
    <w:locked/>
    <w:rsid w:val="006E5DB2"/>
    <w:pPr>
      <w:pageBreakBefore w:val="0"/>
      <w:tabs>
        <w:tab w:val="clear" w:pos="2880"/>
        <w:tab w:val="num" w:pos="3240"/>
      </w:tabs>
      <w:ind w:left="3240"/>
      <w:outlineLvl w:val="7"/>
    </w:pPr>
    <w:rPr>
      <w:sz w:val="28"/>
      <w:szCs w:val="20"/>
    </w:rPr>
  </w:style>
  <w:style w:type="paragraph" w:styleId="Heading9">
    <w:name w:val="heading 9"/>
    <w:basedOn w:val="Heading8"/>
    <w:next w:val="AERbodytext"/>
    <w:link w:val="Heading9Char"/>
    <w:uiPriority w:val="9"/>
    <w:qFormat/>
    <w:locked/>
    <w:rsid w:val="006E5DB2"/>
    <w:pPr>
      <w:tabs>
        <w:tab w:val="clear" w:pos="3240"/>
        <w:tab w:val="num" w:pos="3600"/>
      </w:tabs>
      <w:ind w:left="3600"/>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locked/>
    <w:rsid w:val="009E0F39"/>
    <w:rPr>
      <w:rFonts w:ascii="Tahoma" w:hAnsi="Tahoma" w:cs="Tahoma"/>
      <w:sz w:val="16"/>
      <w:szCs w:val="16"/>
    </w:rPr>
  </w:style>
  <w:style w:type="paragraph" w:customStyle="1" w:styleId="AERbodytext">
    <w:name w:val="AER body text"/>
    <w:link w:val="AERbodytextChar"/>
    <w:qFormat/>
    <w:rsid w:val="009E0F39"/>
    <w:pPr>
      <w:spacing w:after="240" w:line="288" w:lineRule="auto"/>
      <w:jc w:val="both"/>
    </w:pPr>
    <w:rPr>
      <w:rFonts w:ascii="Gautami" w:hAnsi="Gautami"/>
      <w:szCs w:val="24"/>
      <w:lang w:eastAsia="en-US"/>
    </w:rPr>
  </w:style>
  <w:style w:type="paragraph" w:customStyle="1" w:styleId="AERtabletitle">
    <w:name w:val="AER table title"/>
    <w:basedOn w:val="AERfigureheading"/>
    <w:next w:val="Normal"/>
    <w:rsid w:val="00B275EE"/>
    <w:pPr>
      <w:numPr>
        <w:ilvl w:val="4"/>
      </w:numPr>
    </w:pPr>
  </w:style>
  <w:style w:type="paragraph" w:customStyle="1" w:styleId="AERfigureheading">
    <w:name w:val="AER figure heading"/>
    <w:basedOn w:val="Normal"/>
    <w:next w:val="AERbodytext"/>
    <w:rsid w:val="00B275EE"/>
    <w:pPr>
      <w:keepNext/>
      <w:numPr>
        <w:ilvl w:val="3"/>
        <w:numId w:val="18"/>
      </w:numPr>
      <w:spacing w:before="240" w:after="120"/>
      <w:outlineLvl w:val="3"/>
    </w:pPr>
    <w:rPr>
      <w:b/>
      <w:lang w:eastAsia="en-US"/>
    </w:rPr>
  </w:style>
  <w:style w:type="paragraph" w:customStyle="1" w:styleId="AERrevisionbox">
    <w:name w:val="AER revision box"/>
    <w:basedOn w:val="AERbodytext"/>
    <w:qFormat/>
    <w:rsid w:val="006B1F6A"/>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textbolditalics">
    <w:name w:val="AER text bold italics"/>
    <w:basedOn w:val="AERtextbold"/>
    <w:rsid w:val="009E0F39"/>
    <w:rPr>
      <w:rFonts w:cs="Times New Roman"/>
      <w:i/>
    </w:rPr>
  </w:style>
  <w:style w:type="character" w:customStyle="1" w:styleId="AERtextbold">
    <w:name w:val="AER text bold"/>
    <w:rsid w:val="009E0F39"/>
    <w:rPr>
      <w:b/>
    </w:rPr>
  </w:style>
  <w:style w:type="paragraph" w:customStyle="1" w:styleId="AERbulletlistfirststyle">
    <w:name w:val="AER bullet list (first style)"/>
    <w:basedOn w:val="AERbodytext"/>
    <w:qFormat/>
    <w:rsid w:val="008F51EB"/>
    <w:pPr>
      <w:numPr>
        <w:numId w:val="1"/>
      </w:numPr>
      <w:tabs>
        <w:tab w:val="num" w:pos="357"/>
      </w:tabs>
      <w:spacing w:after="200" w:line="240" w:lineRule="atLeast"/>
      <w:ind w:left="357"/>
    </w:pPr>
  </w:style>
  <w:style w:type="paragraph" w:customStyle="1" w:styleId="AERbulletlistsecondstyle">
    <w:name w:val="AER bullet list (second style)"/>
    <w:basedOn w:val="AERbodytext"/>
    <w:qFormat/>
    <w:rsid w:val="009E0F39"/>
    <w:pPr>
      <w:numPr>
        <w:numId w:val="2"/>
      </w:numPr>
      <w:tabs>
        <w:tab w:val="clear" w:pos="714"/>
        <w:tab w:val="left" w:pos="720"/>
      </w:tabs>
      <w:spacing w:after="200"/>
      <w:ind w:left="720" w:hanging="363"/>
    </w:pPr>
  </w:style>
  <w:style w:type="paragraph" w:customStyle="1" w:styleId="AERbulletlistthirdstyle">
    <w:name w:val="AER bullet list (third style)"/>
    <w:basedOn w:val="AERbodytext"/>
    <w:rsid w:val="009E0F39"/>
    <w:pPr>
      <w:numPr>
        <w:numId w:val="3"/>
      </w:numPr>
      <w:tabs>
        <w:tab w:val="left" w:pos="1077"/>
      </w:tabs>
      <w:spacing w:after="200"/>
      <w:ind w:left="1077" w:hanging="357"/>
    </w:pPr>
  </w:style>
  <w:style w:type="paragraph" w:customStyle="1" w:styleId="AERheading1">
    <w:name w:val="AER heading 1"/>
    <w:basedOn w:val="Heading1"/>
    <w:next w:val="AERbodytext"/>
    <w:rsid w:val="00B275EE"/>
    <w:pPr>
      <w:keepLines w:val="0"/>
      <w:pageBreakBefore/>
      <w:numPr>
        <w:numId w:val="18"/>
      </w:numPr>
      <w:tabs>
        <w:tab w:val="left" w:pos="0"/>
      </w:tabs>
      <w:spacing w:before="240" w:after="240"/>
    </w:pPr>
    <w:rPr>
      <w:rFonts w:ascii="Gautami" w:hAnsi="Gautami" w:cs="Arial"/>
      <w:color w:val="F2750E"/>
      <w:kern w:val="32"/>
      <w:sz w:val="36"/>
      <w:szCs w:val="32"/>
      <w:lang w:eastAsia="en-US"/>
    </w:rPr>
  </w:style>
  <w:style w:type="paragraph" w:customStyle="1" w:styleId="AERheading2">
    <w:name w:val="AER heading 2"/>
    <w:basedOn w:val="AERheading1"/>
    <w:next w:val="AERbodytext"/>
    <w:rsid w:val="00B275EE"/>
    <w:pPr>
      <w:pageBreakBefore w:val="0"/>
      <w:numPr>
        <w:ilvl w:val="1"/>
      </w:numPr>
      <w:tabs>
        <w:tab w:val="clear" w:pos="0"/>
      </w:tabs>
      <w:spacing w:after="360"/>
    </w:pPr>
    <w:rPr>
      <w:sz w:val="28"/>
      <w:szCs w:val="30"/>
    </w:rPr>
  </w:style>
  <w:style w:type="paragraph" w:customStyle="1" w:styleId="AERheading3">
    <w:name w:val="AER heading 3"/>
    <w:basedOn w:val="AERheading2"/>
    <w:next w:val="AERbodytext"/>
    <w:rsid w:val="00B275EE"/>
    <w:pPr>
      <w:numPr>
        <w:ilvl w:val="2"/>
      </w:numPr>
      <w:spacing w:before="120" w:after="240"/>
    </w:pPr>
    <w:rPr>
      <w:color w:val="auto"/>
      <w:sz w:val="24"/>
      <w:szCs w:val="24"/>
    </w:rPr>
  </w:style>
  <w:style w:type="paragraph" w:customStyle="1" w:styleId="AERnumberedlistfirststyle">
    <w:name w:val="AER numbered list (first style)"/>
    <w:basedOn w:val="AERbodytext"/>
    <w:qFormat/>
    <w:rsid w:val="009E0F39"/>
    <w:pPr>
      <w:numPr>
        <w:numId w:val="5"/>
      </w:numPr>
      <w:spacing w:after="200" w:line="200" w:lineRule="atLeast"/>
    </w:pPr>
  </w:style>
  <w:style w:type="paragraph" w:customStyle="1" w:styleId="AERnumberedlistsecondstyle">
    <w:name w:val="AER numbered list (second style)"/>
    <w:basedOn w:val="AERnumberedlistfirststyle"/>
    <w:qFormat/>
    <w:rsid w:val="009E0F39"/>
    <w:pPr>
      <w:numPr>
        <w:numId w:val="6"/>
      </w:numPr>
    </w:pPr>
  </w:style>
  <w:style w:type="paragraph" w:customStyle="1" w:styleId="AERnumberedlistthirdstyle">
    <w:name w:val="AER numbered list (third style)"/>
    <w:basedOn w:val="AERbodytext"/>
    <w:qFormat/>
    <w:rsid w:val="009E0F39"/>
    <w:pPr>
      <w:numPr>
        <w:numId w:val="4"/>
      </w:numPr>
      <w:tabs>
        <w:tab w:val="left" w:pos="1077"/>
      </w:tabs>
      <w:spacing w:after="200"/>
      <w:ind w:left="1077" w:hanging="357"/>
    </w:pPr>
  </w:style>
  <w:style w:type="paragraph" w:customStyle="1" w:styleId="AERquote">
    <w:name w:val="AER quote"/>
    <w:basedOn w:val="AERbodytextindent1"/>
    <w:next w:val="AERbodytext"/>
    <w:qFormat/>
    <w:rsid w:val="009E0F39"/>
    <w:pPr>
      <w:spacing w:after="160"/>
      <w:ind w:right="1077"/>
    </w:pPr>
    <w:rPr>
      <w:color w:val="000000"/>
      <w:sz w:val="16"/>
    </w:rPr>
  </w:style>
  <w:style w:type="paragraph" w:customStyle="1" w:styleId="AERbodytextindent1">
    <w:name w:val="AER body text (indent 1)"/>
    <w:basedOn w:val="AERbodytext"/>
    <w:rsid w:val="009E0F39"/>
    <w:pPr>
      <w:ind w:left="357"/>
    </w:pPr>
  </w:style>
  <w:style w:type="paragraph" w:customStyle="1" w:styleId="AERquotebullet1">
    <w:name w:val="AER quote bullet 1"/>
    <w:basedOn w:val="AERnumberedlistfirststyle"/>
    <w:rsid w:val="009E0F39"/>
    <w:pPr>
      <w:numPr>
        <w:numId w:val="0"/>
      </w:numPr>
    </w:pPr>
    <w:rPr>
      <w:sz w:val="16"/>
      <w:szCs w:val="16"/>
    </w:rPr>
  </w:style>
  <w:style w:type="character" w:customStyle="1" w:styleId="AERsubscript">
    <w:name w:val="AER subscript"/>
    <w:qFormat/>
    <w:rsid w:val="009E0F39"/>
    <w:rPr>
      <w:rFonts w:ascii="Gautami" w:hAnsi="Gautami"/>
      <w:vertAlign w:val="subscript"/>
    </w:rPr>
  </w:style>
  <w:style w:type="character" w:customStyle="1" w:styleId="AERsuperscript">
    <w:name w:val="AER superscript"/>
    <w:rsid w:val="009E0F39"/>
    <w:rPr>
      <w:rFonts w:ascii="Gautami" w:hAnsi="Gautami"/>
      <w:vertAlign w:val="superscript"/>
    </w:rPr>
  </w:style>
  <w:style w:type="table" w:customStyle="1" w:styleId="3">
    <w:name w:val="3"/>
    <w:rsid w:val="00804C70"/>
    <w:pPr>
      <w:widowControl w:val="0"/>
      <w:autoSpaceDE w:val="0"/>
      <w:autoSpaceDN w:val="0"/>
      <w:adjustRightInd w:val="0"/>
    </w:pPr>
    <w:rPr>
      <w:rFonts w:ascii="Times New Roman" w:hAnsi="Times New Roman"/>
      <w:sz w:val="24"/>
      <w:szCs w:val="24"/>
    </w:rPr>
    <w:tblPr>
      <w:tblStyleRowBandSize w:val="1"/>
      <w:tblInd w:w="0" w:type="dxa"/>
      <w:tblBorders>
        <w:top w:val="single" w:sz="4" w:space="0" w:color="auto"/>
        <w:bottom w:val="single" w:sz="4" w:space="0" w:color="auto"/>
      </w:tblBorders>
      <w:tblCellMar>
        <w:top w:w="0" w:type="dxa"/>
        <w:left w:w="108" w:type="dxa"/>
        <w:bottom w:w="0" w:type="dxa"/>
        <w:right w:w="108" w:type="dxa"/>
      </w:tblCellMar>
    </w:tblPr>
  </w:style>
  <w:style w:type="paragraph" w:customStyle="1" w:styleId="AERtablesource">
    <w:name w:val="AER table source"/>
    <w:next w:val="AERbodytext"/>
    <w:rsid w:val="009E0F39"/>
    <w:pPr>
      <w:tabs>
        <w:tab w:val="left" w:pos="1361"/>
      </w:tabs>
      <w:spacing w:before="40" w:after="240"/>
      <w:ind w:left="794" w:right="1077" w:hanging="794"/>
      <w:contextualSpacing/>
    </w:pPr>
    <w:rPr>
      <w:rFonts w:ascii="Gautami" w:hAnsi="Gautami"/>
      <w:sz w:val="16"/>
      <w:szCs w:val="24"/>
      <w:lang w:eastAsia="en-US"/>
    </w:rPr>
  </w:style>
  <w:style w:type="paragraph" w:customStyle="1" w:styleId="AERtabletext">
    <w:name w:val="AER table text"/>
    <w:basedOn w:val="Normal"/>
    <w:rsid w:val="009E0F39"/>
    <w:pPr>
      <w:widowControl w:val="0"/>
      <w:spacing w:before="120" w:after="120"/>
      <w:jc w:val="left"/>
    </w:pPr>
    <w:rPr>
      <w:sz w:val="16"/>
      <w:lang w:eastAsia="en-US"/>
    </w:rPr>
  </w:style>
  <w:style w:type="paragraph" w:customStyle="1" w:styleId="AERtabletextheading">
    <w:name w:val="AER table text heading"/>
    <w:rsid w:val="009E0F39"/>
    <w:pPr>
      <w:spacing w:before="120" w:after="120"/>
    </w:pPr>
    <w:rPr>
      <w:rFonts w:ascii="Gautami" w:hAnsi="Gautami"/>
      <w:b/>
      <w:szCs w:val="24"/>
      <w:lang w:eastAsia="en-US"/>
    </w:rPr>
  </w:style>
  <w:style w:type="paragraph" w:customStyle="1" w:styleId="AERheading4">
    <w:name w:val="AER heading 4"/>
    <w:next w:val="AERbodytext"/>
    <w:rsid w:val="009E0F39"/>
    <w:pPr>
      <w:spacing w:after="240"/>
    </w:pPr>
    <w:rPr>
      <w:rFonts w:ascii="Gautami" w:hAnsi="Gautami" w:cs="Arial"/>
      <w:b/>
      <w:bCs/>
      <w:kern w:val="32"/>
      <w:sz w:val="22"/>
      <w:szCs w:val="24"/>
      <w:lang w:eastAsia="en-US"/>
    </w:rPr>
  </w:style>
  <w:style w:type="paragraph" w:styleId="Footer">
    <w:name w:val="footer"/>
    <w:basedOn w:val="Normal"/>
    <w:link w:val="FooterChar"/>
    <w:qFormat/>
    <w:rsid w:val="009E0F39"/>
    <w:pPr>
      <w:tabs>
        <w:tab w:val="center" w:pos="4153"/>
        <w:tab w:val="right" w:pos="8306"/>
      </w:tabs>
    </w:pPr>
  </w:style>
  <w:style w:type="character" w:styleId="PageNumber">
    <w:name w:val="page number"/>
    <w:basedOn w:val="DefaultParagraphFont"/>
    <w:rsid w:val="009E0F39"/>
    <w:rPr>
      <w:rFonts w:ascii="Gautami" w:hAnsi="Gautami" w:cs="Times New Roman"/>
      <w:sz w:val="18"/>
    </w:rPr>
  </w:style>
  <w:style w:type="table" w:customStyle="1" w:styleId="31">
    <w:name w:val="31"/>
    <w:rsid w:val="00804C70"/>
    <w:pPr>
      <w:widowControl w:val="0"/>
      <w:autoSpaceDE w:val="0"/>
      <w:autoSpaceDN w:val="0"/>
      <w:adjustRightInd w:val="0"/>
    </w:pPr>
    <w:rPr>
      <w:rFonts w:ascii="Times New Roman" w:hAnsi="Times New Roman"/>
      <w:sz w:val="24"/>
      <w:szCs w:val="24"/>
    </w:rPr>
    <w:tblPr>
      <w:tblStyleRowBandSize w:val="1"/>
      <w:tblInd w:w="0" w:type="dxa"/>
      <w:tblBorders>
        <w:top w:val="single" w:sz="4" w:space="0" w:color="auto"/>
        <w:bottom w:val="single" w:sz="4" w:space="0" w:color="auto"/>
      </w:tblBorders>
      <w:tblCellMar>
        <w:top w:w="0" w:type="dxa"/>
        <w:left w:w="108" w:type="dxa"/>
        <w:bottom w:w="0" w:type="dxa"/>
        <w:right w:w="108" w:type="dxa"/>
      </w:tblCellMar>
    </w:tblPr>
  </w:style>
  <w:style w:type="paragraph" w:customStyle="1" w:styleId="AERquoteindent1">
    <w:name w:val="AER quote (indent 1)"/>
    <w:basedOn w:val="AERquote"/>
    <w:rsid w:val="009E0F39"/>
    <w:pPr>
      <w:ind w:left="720" w:right="1440"/>
    </w:pPr>
  </w:style>
  <w:style w:type="paragraph" w:customStyle="1" w:styleId="AERbodytextindent2">
    <w:name w:val="AER body text (indent 2)"/>
    <w:basedOn w:val="AERbodytext"/>
    <w:rsid w:val="009E0F39"/>
    <w:pPr>
      <w:ind w:left="720"/>
    </w:pPr>
  </w:style>
  <w:style w:type="paragraph" w:customStyle="1" w:styleId="AERbodytextindent3">
    <w:name w:val="AER body text (indent 3)"/>
    <w:basedOn w:val="AERbodytext"/>
    <w:rsid w:val="009E0F39"/>
    <w:pPr>
      <w:ind w:left="1077"/>
    </w:pPr>
  </w:style>
  <w:style w:type="paragraph" w:customStyle="1" w:styleId="AERquoteindent2">
    <w:name w:val="AER quote (indent 2)"/>
    <w:basedOn w:val="AERquoteindent1"/>
    <w:rsid w:val="009E0F39"/>
    <w:pPr>
      <w:ind w:left="1077" w:right="1797"/>
    </w:pPr>
  </w:style>
  <w:style w:type="paragraph" w:customStyle="1" w:styleId="AERquoteindent3">
    <w:name w:val="AER quote (indent 3)"/>
    <w:basedOn w:val="AERquoteindent2"/>
    <w:rsid w:val="009E0F39"/>
    <w:pPr>
      <w:ind w:left="1440" w:right="2160"/>
    </w:pPr>
  </w:style>
  <w:style w:type="character" w:customStyle="1" w:styleId="AERtexthighlight">
    <w:name w:val="AER text highlight"/>
    <w:rsid w:val="009E0F39"/>
    <w:rPr>
      <w:shd w:val="clear" w:color="auto" w:fill="FFFF99"/>
    </w:rPr>
  </w:style>
  <w:style w:type="paragraph" w:customStyle="1" w:styleId="NER-RC-Para">
    <w:name w:val="NER-RC-Para"/>
    <w:basedOn w:val="Normal"/>
    <w:rsid w:val="009E0F39"/>
    <w:pPr>
      <w:autoSpaceDE w:val="0"/>
      <w:autoSpaceDN w:val="0"/>
      <w:adjustRightInd w:val="0"/>
      <w:spacing w:before="120" w:after="120"/>
      <w:ind w:left="357"/>
    </w:pPr>
    <w:rPr>
      <w:color w:val="000000"/>
      <w:sz w:val="18"/>
    </w:rPr>
  </w:style>
  <w:style w:type="paragraph" w:customStyle="1" w:styleId="NER-RC-List-1-MNum">
    <w:name w:val="NER-RC-List-1-MNum"/>
    <w:basedOn w:val="Normal"/>
    <w:rsid w:val="009E0F39"/>
    <w:pPr>
      <w:tabs>
        <w:tab w:val="left" w:pos="1701"/>
      </w:tabs>
      <w:autoSpaceDE w:val="0"/>
      <w:autoSpaceDN w:val="0"/>
      <w:adjustRightInd w:val="0"/>
      <w:spacing w:before="120" w:after="120"/>
      <w:ind w:left="924" w:hanging="567"/>
    </w:pPr>
    <w:rPr>
      <w:color w:val="000000"/>
      <w:sz w:val="18"/>
    </w:rPr>
  </w:style>
  <w:style w:type="paragraph" w:customStyle="1" w:styleId="NER-RC-List-2-MNum">
    <w:name w:val="NER-RC-List-2-MNum"/>
    <w:basedOn w:val="Normal"/>
    <w:rsid w:val="009E0F39"/>
    <w:pPr>
      <w:tabs>
        <w:tab w:val="left" w:pos="2268"/>
      </w:tabs>
      <w:autoSpaceDE w:val="0"/>
      <w:autoSpaceDN w:val="0"/>
      <w:adjustRightInd w:val="0"/>
      <w:spacing w:before="120" w:after="120"/>
      <w:ind w:left="1287" w:hanging="567"/>
    </w:pPr>
    <w:rPr>
      <w:color w:val="000000"/>
      <w:sz w:val="18"/>
    </w:rPr>
  </w:style>
  <w:style w:type="paragraph" w:customStyle="1" w:styleId="NER-RC-Text-In-1">
    <w:name w:val="NER-RC-Text-In-1"/>
    <w:basedOn w:val="Normal"/>
    <w:rsid w:val="009E0F39"/>
    <w:pPr>
      <w:autoSpaceDE w:val="0"/>
      <w:autoSpaceDN w:val="0"/>
      <w:adjustRightInd w:val="0"/>
      <w:spacing w:before="120" w:after="120"/>
      <w:ind w:left="720"/>
    </w:pPr>
    <w:rPr>
      <w:color w:val="000000"/>
      <w:sz w:val="18"/>
    </w:rPr>
  </w:style>
  <w:style w:type="paragraph" w:customStyle="1" w:styleId="NER-Cl-Title-Lvl-4">
    <w:name w:val="NER-Cl-Title-Lvl-4"/>
    <w:basedOn w:val="Normal"/>
    <w:rsid w:val="009E0F39"/>
    <w:pPr>
      <w:keepNext/>
      <w:keepLines/>
      <w:tabs>
        <w:tab w:val="left" w:pos="1134"/>
      </w:tabs>
      <w:autoSpaceDE w:val="0"/>
      <w:autoSpaceDN w:val="0"/>
      <w:adjustRightInd w:val="0"/>
      <w:spacing w:before="240" w:after="60"/>
      <w:ind w:left="1134" w:hanging="1134"/>
    </w:pPr>
    <w:rPr>
      <w:rFonts w:cs="Arial Bold"/>
      <w:b/>
      <w:bCs/>
      <w:color w:val="000000"/>
    </w:rPr>
  </w:style>
  <w:style w:type="character" w:customStyle="1" w:styleId="AERconfidentialtext">
    <w:name w:val="AER confidential text"/>
    <w:rsid w:val="009E0F39"/>
    <w:rPr>
      <w:shd w:val="clear" w:color="auto" w:fill="CCFFFF"/>
    </w:rPr>
  </w:style>
  <w:style w:type="paragraph" w:customStyle="1" w:styleId="AERheading5">
    <w:name w:val="AER heading 5"/>
    <w:basedOn w:val="Heading5"/>
    <w:next w:val="AERbodytext"/>
    <w:rsid w:val="009E0F39"/>
    <w:pPr>
      <w:keepLines w:val="0"/>
      <w:spacing w:before="120" w:after="240" w:line="240" w:lineRule="atLeast"/>
      <w:ind w:left="720"/>
    </w:pPr>
    <w:rPr>
      <w:rFonts w:ascii="Gautami" w:hAnsi="Gautami" w:cs="Arial"/>
      <w:b/>
      <w:bCs/>
      <w:color w:val="auto"/>
      <w:kern w:val="32"/>
      <w:lang w:eastAsia="en-US"/>
    </w:rPr>
  </w:style>
  <w:style w:type="paragraph" w:customStyle="1" w:styleId="AERheading6">
    <w:name w:val="AER heading 6"/>
    <w:basedOn w:val="Heading6"/>
    <w:next w:val="AERbodytext"/>
    <w:rsid w:val="009E0F39"/>
    <w:pPr>
      <w:keepNext w:val="0"/>
      <w:keepLines w:val="0"/>
      <w:spacing w:before="120" w:after="120"/>
      <w:ind w:left="1440"/>
    </w:pPr>
    <w:rPr>
      <w:rFonts w:ascii="Gautami" w:hAnsi="Gautami" w:cs="Arial"/>
      <w:bCs/>
      <w:iCs w:val="0"/>
      <w:color w:val="auto"/>
      <w:szCs w:val="22"/>
      <w:lang w:eastAsia="en-US"/>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semiHidden/>
    <w:rsid w:val="009E0F39"/>
    <w:rPr>
      <w:rFonts w:cs="Times New Roman"/>
      <w:vertAlign w:val="superscript"/>
    </w:rPr>
  </w:style>
  <w:style w:type="paragraph" w:styleId="Header">
    <w:name w:val="header"/>
    <w:basedOn w:val="Normal"/>
    <w:locked/>
    <w:rsid w:val="009E0F39"/>
    <w:pPr>
      <w:tabs>
        <w:tab w:val="center" w:pos="4153"/>
        <w:tab w:val="right" w:pos="8306"/>
      </w:tabs>
    </w:pPr>
  </w:style>
  <w:style w:type="character" w:styleId="CommentReference">
    <w:name w:val="annotation reference"/>
    <w:basedOn w:val="DefaultParagraphFont"/>
    <w:semiHidden/>
    <w:locked/>
    <w:rsid w:val="009E0F39"/>
    <w:rPr>
      <w:rFonts w:cs="Times New Roman"/>
      <w:sz w:val="16"/>
      <w:szCs w:val="16"/>
    </w:rPr>
  </w:style>
  <w:style w:type="paragraph" w:styleId="CommentText">
    <w:name w:val="annotation text"/>
    <w:basedOn w:val="Normal"/>
    <w:semiHidden/>
    <w:locked/>
    <w:rsid w:val="009E0F39"/>
    <w:rPr>
      <w:szCs w:val="20"/>
    </w:rPr>
  </w:style>
  <w:style w:type="paragraph" w:styleId="CommentSubject">
    <w:name w:val="annotation subject"/>
    <w:basedOn w:val="CommentText"/>
    <w:next w:val="CommentText"/>
    <w:semiHidden/>
    <w:locked/>
    <w:rsid w:val="009E0F39"/>
    <w:rPr>
      <w:b/>
      <w:bCs/>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
    <w:basedOn w:val="Normal"/>
    <w:link w:val="FootnoteTextChar"/>
    <w:qFormat/>
    <w:rsid w:val="009E0F39"/>
    <w:pPr>
      <w:tabs>
        <w:tab w:val="left" w:pos="454"/>
      </w:tabs>
      <w:ind w:left="454" w:hanging="454"/>
    </w:pPr>
    <w:rPr>
      <w:sz w:val="16"/>
      <w:szCs w:val="20"/>
    </w:rPr>
  </w:style>
  <w:style w:type="character" w:customStyle="1" w:styleId="AERbody">
    <w:name w:val="AER body"/>
    <w:basedOn w:val="DefaultParagraphFont"/>
    <w:rsid w:val="009E0F39"/>
    <w:rPr>
      <w:rFonts w:ascii="Gautami" w:hAnsi="Gautami" w:cs="Times New Roman"/>
      <w:color w:val="auto"/>
      <w:sz w:val="20"/>
    </w:rPr>
  </w:style>
  <w:style w:type="paragraph" w:customStyle="1" w:styleId="AERtabletext-numbers">
    <w:name w:val="AER table text - numbers"/>
    <w:basedOn w:val="AERtabletext"/>
    <w:rsid w:val="009E0F39"/>
    <w:pPr>
      <w:keepNext/>
      <w:jc w:val="right"/>
    </w:pPr>
  </w:style>
  <w:style w:type="character" w:customStyle="1" w:styleId="AERtextboldunderline">
    <w:name w:val="AER text bold underline"/>
    <w:rsid w:val="009E0F39"/>
    <w:rPr>
      <w:b/>
      <w:u w:val="single"/>
    </w:rPr>
  </w:style>
  <w:style w:type="character" w:customStyle="1" w:styleId="AERtextunderline">
    <w:name w:val="AER text underline"/>
    <w:rsid w:val="009E0F39"/>
    <w:rPr>
      <w:u w:val="single"/>
    </w:rPr>
  </w:style>
  <w:style w:type="character" w:customStyle="1" w:styleId="AERtextitalic">
    <w:name w:val="AER text italic"/>
    <w:rsid w:val="009E0F39"/>
    <w:rPr>
      <w:i/>
    </w:rPr>
  </w:style>
  <w:style w:type="character" w:customStyle="1" w:styleId="Heading2Char">
    <w:name w:val="Heading 2 Char"/>
    <w:basedOn w:val="DefaultParagraphFont"/>
    <w:link w:val="Heading2"/>
    <w:uiPriority w:val="9"/>
    <w:rsid w:val="006E5DB2"/>
    <w:rPr>
      <w:rFonts w:ascii="Gautami" w:eastAsia="Times New Roman" w:hAnsi="Gautami"/>
      <w:b/>
      <w:color w:val="E36C0A"/>
      <w:sz w:val="28"/>
      <w:szCs w:val="26"/>
      <w:lang w:eastAsia="en-US"/>
    </w:rPr>
  </w:style>
  <w:style w:type="character" w:customStyle="1" w:styleId="Heading3Char">
    <w:name w:val="Heading 3 Char"/>
    <w:basedOn w:val="DefaultParagraphFont"/>
    <w:link w:val="Heading3"/>
    <w:uiPriority w:val="9"/>
    <w:rsid w:val="006E5DB2"/>
    <w:rPr>
      <w:rFonts w:ascii="Gautami" w:eastAsia="Times New Roman" w:hAnsi="Gautami"/>
      <w:b/>
      <w:bCs/>
      <w:color w:val="E36C0A"/>
      <w:sz w:val="24"/>
      <w:szCs w:val="26"/>
      <w:lang w:eastAsia="en-US"/>
    </w:rPr>
  </w:style>
  <w:style w:type="character" w:customStyle="1" w:styleId="Heading7Char">
    <w:name w:val="Heading 7 Char"/>
    <w:basedOn w:val="DefaultParagraphFont"/>
    <w:link w:val="Heading7"/>
    <w:uiPriority w:val="9"/>
    <w:rsid w:val="006E5DB2"/>
    <w:rPr>
      <w:rFonts w:ascii="Gautami" w:eastAsia="Times New Roman" w:hAnsi="Gautami"/>
      <w:b/>
      <w:bCs/>
      <w:iCs/>
      <w:color w:val="E36C0A"/>
      <w:sz w:val="36"/>
      <w:szCs w:val="24"/>
      <w:lang w:eastAsia="en-US"/>
    </w:rPr>
  </w:style>
  <w:style w:type="character" w:customStyle="1" w:styleId="Heading8Char">
    <w:name w:val="Heading 8 Char"/>
    <w:basedOn w:val="DefaultParagraphFont"/>
    <w:link w:val="Heading8"/>
    <w:uiPriority w:val="9"/>
    <w:rsid w:val="006E5DB2"/>
    <w:rPr>
      <w:rFonts w:ascii="Gautami" w:eastAsia="Times New Roman" w:hAnsi="Gautami"/>
      <w:b/>
      <w:bCs/>
      <w:iCs/>
      <w:color w:val="E36C0A"/>
      <w:sz w:val="28"/>
      <w:lang w:eastAsia="en-US"/>
    </w:rPr>
  </w:style>
  <w:style w:type="character" w:customStyle="1" w:styleId="Heading9Char">
    <w:name w:val="Heading 9 Char"/>
    <w:basedOn w:val="DefaultParagraphFont"/>
    <w:link w:val="Heading9"/>
    <w:uiPriority w:val="9"/>
    <w:rsid w:val="006E5DB2"/>
    <w:rPr>
      <w:rFonts w:ascii="Gautami" w:eastAsia="Times New Roman" w:hAnsi="Gautami"/>
      <w:b/>
      <w:bCs/>
      <w:color w:val="E36C0A"/>
      <w:sz w:val="24"/>
      <w:lang w:eastAsia="en-US"/>
    </w:rPr>
  </w:style>
  <w:style w:type="numbering" w:customStyle="1" w:styleId="AERHeadings">
    <w:name w:val="AER Headings"/>
    <w:uiPriority w:val="99"/>
    <w:rsid w:val="006E5DB2"/>
    <w:pPr>
      <w:numPr>
        <w:numId w:val="16"/>
      </w:numPr>
    </w:pPr>
  </w:style>
  <w:style w:type="table" w:customStyle="1" w:styleId="AERtable-text">
    <w:name w:val="AER table - text"/>
    <w:basedOn w:val="TableNormal"/>
    <w:uiPriority w:val="99"/>
    <w:rsid w:val="006E5DB2"/>
    <w:pPr>
      <w:spacing w:before="120" w:after="80"/>
    </w:pPr>
    <w:rPr>
      <w:rFonts w:ascii="Gautami" w:hAnsi="Gautami"/>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
    <w:basedOn w:val="DefaultParagraphFont"/>
    <w:link w:val="FootnoteText"/>
    <w:rsid w:val="006E5DB2"/>
    <w:rPr>
      <w:rFonts w:ascii="Gautami" w:hAnsi="Gautami"/>
      <w:sz w:val="16"/>
    </w:rPr>
  </w:style>
  <w:style w:type="paragraph" w:customStyle="1" w:styleId="UnnumberedHeading">
    <w:name w:val="Unnumbered Heading"/>
    <w:basedOn w:val="Heading1"/>
    <w:next w:val="AERbodytext"/>
    <w:link w:val="UnnumberedHeadingChar"/>
    <w:qFormat/>
    <w:rsid w:val="006E5DB2"/>
    <w:pPr>
      <w:pageBreakBefore/>
      <w:numPr>
        <w:numId w:val="15"/>
      </w:numPr>
      <w:spacing w:before="120" w:after="120"/>
    </w:pPr>
    <w:rPr>
      <w:rFonts w:ascii="Gautami" w:eastAsia="Times New Roman" w:hAnsi="Gautami"/>
      <w:color w:val="E36C0A"/>
      <w:sz w:val="36"/>
      <w:lang w:eastAsia="en-US"/>
    </w:rPr>
  </w:style>
  <w:style w:type="numbering" w:customStyle="1" w:styleId="AERnumberedlist">
    <w:name w:val="AER numbered list"/>
    <w:uiPriority w:val="99"/>
    <w:rsid w:val="006E5DB2"/>
    <w:pPr>
      <w:numPr>
        <w:numId w:val="9"/>
      </w:numPr>
    </w:pPr>
  </w:style>
  <w:style w:type="character" w:customStyle="1" w:styleId="AERtextorange">
    <w:name w:val="AER text orange"/>
    <w:uiPriority w:val="1"/>
    <w:qFormat/>
    <w:rsid w:val="006E5DB2"/>
    <w:rPr>
      <w:color w:val="E36C0A"/>
    </w:rPr>
  </w:style>
  <w:style w:type="character" w:customStyle="1" w:styleId="UnnumberedHeadingChar">
    <w:name w:val="Unnumbered Heading Char"/>
    <w:basedOn w:val="DefaultParagraphFont"/>
    <w:link w:val="UnnumberedHeading"/>
    <w:rsid w:val="006E5DB2"/>
    <w:rPr>
      <w:rFonts w:ascii="Gautami" w:eastAsia="Times New Roman" w:hAnsi="Gautami"/>
      <w:b/>
      <w:bCs/>
      <w:color w:val="E36C0A"/>
      <w:sz w:val="36"/>
      <w:szCs w:val="28"/>
      <w:lang w:eastAsia="en-US"/>
    </w:rPr>
  </w:style>
  <w:style w:type="paragraph" w:customStyle="1" w:styleId="AERbodytextnospace">
    <w:name w:val="AER body text no space"/>
    <w:basedOn w:val="AERbodytext"/>
    <w:qFormat/>
    <w:rsid w:val="006E5DB2"/>
    <w:pPr>
      <w:tabs>
        <w:tab w:val="num" w:pos="0"/>
      </w:tabs>
      <w:spacing w:after="0"/>
    </w:pPr>
    <w:rPr>
      <w:rFonts w:eastAsia="Times New Roman"/>
    </w:rPr>
  </w:style>
  <w:style w:type="paragraph" w:styleId="TOC1">
    <w:name w:val="toc 1"/>
    <w:basedOn w:val="Normal"/>
    <w:next w:val="Normal"/>
    <w:autoRedefine/>
    <w:uiPriority w:val="39"/>
    <w:unhideWhenUsed/>
    <w:qFormat/>
    <w:rsid w:val="006E5DB2"/>
    <w:pPr>
      <w:spacing w:before="240" w:after="120"/>
      <w:jc w:val="left"/>
    </w:pPr>
    <w:rPr>
      <w:b/>
      <w:bCs/>
      <w:szCs w:val="20"/>
      <w:lang w:eastAsia="en-US"/>
    </w:rPr>
  </w:style>
  <w:style w:type="paragraph" w:styleId="TOC2">
    <w:name w:val="toc 2"/>
    <w:basedOn w:val="Normal"/>
    <w:next w:val="Normal"/>
    <w:autoRedefine/>
    <w:uiPriority w:val="39"/>
    <w:unhideWhenUsed/>
    <w:qFormat/>
    <w:rsid w:val="006E5DB2"/>
    <w:pPr>
      <w:spacing w:before="120"/>
      <w:ind w:left="200"/>
      <w:jc w:val="left"/>
    </w:pPr>
    <w:rPr>
      <w:iCs/>
      <w:szCs w:val="20"/>
      <w:lang w:eastAsia="en-US"/>
    </w:rPr>
  </w:style>
  <w:style w:type="character" w:styleId="Hyperlink">
    <w:name w:val="Hyperlink"/>
    <w:basedOn w:val="DefaultParagraphFont"/>
    <w:uiPriority w:val="99"/>
    <w:unhideWhenUsed/>
    <w:rsid w:val="006E5DB2"/>
    <w:rPr>
      <w:color w:val="0000FF"/>
      <w:u w:val="single"/>
    </w:rPr>
  </w:style>
  <w:style w:type="paragraph" w:customStyle="1" w:styleId="AERTitle1">
    <w:name w:val="AER Title 1"/>
    <w:basedOn w:val="AERheading4"/>
    <w:rsid w:val="001066A9"/>
    <w:pPr>
      <w:keepNext/>
      <w:jc w:val="center"/>
    </w:pPr>
    <w:rPr>
      <w:rFonts w:eastAsia="Times New Roman"/>
      <w:sz w:val="40"/>
    </w:rPr>
  </w:style>
  <w:style w:type="paragraph" w:customStyle="1" w:styleId="AERTitle2">
    <w:name w:val="AER Title 2"/>
    <w:basedOn w:val="AERTitle1"/>
    <w:rsid w:val="001066A9"/>
    <w:pPr>
      <w:spacing w:before="1680"/>
    </w:pPr>
    <w:rPr>
      <w:b w:val="0"/>
      <w:sz w:val="32"/>
    </w:rPr>
  </w:style>
  <w:style w:type="table" w:styleId="TableGrid">
    <w:name w:val="Table Grid"/>
    <w:basedOn w:val="TableNormal"/>
    <w:locked/>
    <w:rsid w:val="001066A9"/>
    <w:pPr>
      <w:spacing w:line="288"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rsid w:val="002904C0"/>
    <w:rPr>
      <w:rFonts w:ascii="Gautami" w:hAnsi="Gautami"/>
      <w:szCs w:val="24"/>
    </w:rPr>
  </w:style>
  <w:style w:type="character" w:customStyle="1" w:styleId="AERtextblue">
    <w:name w:val="AER text blue"/>
    <w:uiPriority w:val="1"/>
    <w:qFormat/>
    <w:rsid w:val="002904C0"/>
    <w:rPr>
      <w:color w:val="365F91"/>
    </w:rPr>
  </w:style>
  <w:style w:type="character" w:customStyle="1" w:styleId="AERbodytextChar">
    <w:name w:val="AER body text Char"/>
    <w:basedOn w:val="DefaultParagraphFont"/>
    <w:link w:val="AERbodytext"/>
    <w:rsid w:val="00055D50"/>
    <w:rPr>
      <w:rFonts w:ascii="Gautami" w:hAnsi="Gautami"/>
      <w:szCs w:val="24"/>
      <w:lang w:val="en-AU" w:eastAsia="en-US" w:bidi="ar-SA"/>
    </w:rPr>
  </w:style>
  <w:style w:type="paragraph" w:styleId="Quote">
    <w:name w:val="Quote"/>
    <w:basedOn w:val="Normal"/>
    <w:next w:val="Normal"/>
    <w:link w:val="QuoteChar"/>
    <w:uiPriority w:val="29"/>
    <w:qFormat/>
    <w:rsid w:val="00055D50"/>
    <w:pPr>
      <w:spacing w:line="240" w:lineRule="auto"/>
      <w:jc w:val="left"/>
    </w:pPr>
    <w:rPr>
      <w:rFonts w:ascii="Times New Roman" w:eastAsia="Times New Roman" w:hAnsi="Times New Roman"/>
      <w:i/>
      <w:iCs/>
      <w:color w:val="000000"/>
      <w:sz w:val="24"/>
      <w:lang w:eastAsia="en-US"/>
    </w:rPr>
  </w:style>
  <w:style w:type="character" w:customStyle="1" w:styleId="QuoteChar">
    <w:name w:val="Quote Char"/>
    <w:basedOn w:val="DefaultParagraphFont"/>
    <w:link w:val="Quote"/>
    <w:uiPriority w:val="29"/>
    <w:rsid w:val="00055D50"/>
    <w:rPr>
      <w:rFonts w:ascii="Times New Roman" w:eastAsia="Times New Roman" w:hAnsi="Times New Roman"/>
      <w:i/>
      <w:iCs/>
      <w:color w:val="000000"/>
      <w:sz w:val="24"/>
      <w:szCs w:val="24"/>
      <w:lang w:eastAsia="en-US"/>
    </w:rPr>
  </w:style>
  <w:style w:type="character" w:styleId="FollowedHyperlink">
    <w:name w:val="FollowedHyperlink"/>
    <w:basedOn w:val="DefaultParagraphFont"/>
    <w:locked/>
    <w:rsid w:val="00B27F0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301114667">
      <w:bodyDiv w:val="1"/>
      <w:marLeft w:val="0"/>
      <w:marRight w:val="0"/>
      <w:marTop w:val="0"/>
      <w:marBottom w:val="0"/>
      <w:divBdr>
        <w:top w:val="none" w:sz="0" w:space="0" w:color="auto"/>
        <w:left w:val="none" w:sz="0" w:space="0" w:color="auto"/>
        <w:bottom w:val="none" w:sz="0" w:space="0" w:color="auto"/>
        <w:right w:val="none" w:sz="0" w:space="0" w:color="auto"/>
      </w:divBdr>
    </w:div>
    <w:div w:id="1764954446">
      <w:bodyDiv w:val="1"/>
      <w:marLeft w:val="0"/>
      <w:marRight w:val="0"/>
      <w:marTop w:val="0"/>
      <w:marBottom w:val="0"/>
      <w:divBdr>
        <w:top w:val="none" w:sz="0" w:space="0" w:color="auto"/>
        <w:left w:val="none" w:sz="0" w:space="0" w:color="auto"/>
        <w:bottom w:val="none" w:sz="0" w:space="0" w:color="auto"/>
        <w:right w:val="none" w:sz="0" w:space="0" w:color="auto"/>
      </w:divBdr>
    </w:div>
    <w:div w:id="196098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ERInquiry@aer.gov.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1959</Words>
  <Characters>11633</Characters>
  <Application>Microsoft Office Word</Application>
  <DocSecurity>0</DocSecurity>
  <Lines>96</Lines>
  <Paragraphs>27</Paragraphs>
  <ScaleCrop>false</ScaleCrop>
  <Company/>
  <LinksUpToDate>false</LinksUpToDate>
  <CharactersWithSpaces>13565</CharactersWithSpaces>
  <SharedDoc>false</SharedDoc>
  <HLinks>
    <vt:vector size="72" baseType="variant">
      <vt:variant>
        <vt:i4>2555972</vt:i4>
      </vt:variant>
      <vt:variant>
        <vt:i4>57</vt:i4>
      </vt:variant>
      <vt:variant>
        <vt:i4>0</vt:i4>
      </vt:variant>
      <vt:variant>
        <vt:i4>5</vt:i4>
      </vt:variant>
      <vt:variant>
        <vt:lpwstr>mailto:aerinquiry@aer.gov.au</vt:lpwstr>
      </vt:variant>
      <vt:variant>
        <vt:lpwstr/>
      </vt:variant>
      <vt:variant>
        <vt:i4>7536679</vt:i4>
      </vt:variant>
      <vt:variant>
        <vt:i4>54</vt:i4>
      </vt:variant>
      <vt:variant>
        <vt:i4>0</vt:i4>
      </vt:variant>
      <vt:variant>
        <vt:i4>5</vt:i4>
      </vt:variant>
      <vt:variant>
        <vt:lpwstr>http://www.aer.gov.au/sites/www.aer.gov.au/files/ACCC%C3%A2%E2%82%AC%E2%80%9CAER information policy.pdf</vt:lpwstr>
      </vt:variant>
      <vt:variant>
        <vt:lpwstr/>
      </vt:variant>
      <vt:variant>
        <vt:i4>1441844</vt:i4>
      </vt:variant>
      <vt:variant>
        <vt:i4>47</vt:i4>
      </vt:variant>
      <vt:variant>
        <vt:i4>0</vt:i4>
      </vt:variant>
      <vt:variant>
        <vt:i4>5</vt:i4>
      </vt:variant>
      <vt:variant>
        <vt:lpwstr/>
      </vt:variant>
      <vt:variant>
        <vt:lpwstr>_Toc331500679</vt:lpwstr>
      </vt:variant>
      <vt:variant>
        <vt:i4>1441844</vt:i4>
      </vt:variant>
      <vt:variant>
        <vt:i4>41</vt:i4>
      </vt:variant>
      <vt:variant>
        <vt:i4>0</vt:i4>
      </vt:variant>
      <vt:variant>
        <vt:i4>5</vt:i4>
      </vt:variant>
      <vt:variant>
        <vt:lpwstr/>
      </vt:variant>
      <vt:variant>
        <vt:lpwstr>_Toc331500678</vt:lpwstr>
      </vt:variant>
      <vt:variant>
        <vt:i4>1441844</vt:i4>
      </vt:variant>
      <vt:variant>
        <vt:i4>35</vt:i4>
      </vt:variant>
      <vt:variant>
        <vt:i4>0</vt:i4>
      </vt:variant>
      <vt:variant>
        <vt:i4>5</vt:i4>
      </vt:variant>
      <vt:variant>
        <vt:lpwstr/>
      </vt:variant>
      <vt:variant>
        <vt:lpwstr>_Toc331500677</vt:lpwstr>
      </vt:variant>
      <vt:variant>
        <vt:i4>1441844</vt:i4>
      </vt:variant>
      <vt:variant>
        <vt:i4>29</vt:i4>
      </vt:variant>
      <vt:variant>
        <vt:i4>0</vt:i4>
      </vt:variant>
      <vt:variant>
        <vt:i4>5</vt:i4>
      </vt:variant>
      <vt:variant>
        <vt:lpwstr/>
      </vt:variant>
      <vt:variant>
        <vt:lpwstr>_Toc331500676</vt:lpwstr>
      </vt:variant>
      <vt:variant>
        <vt:i4>1441844</vt:i4>
      </vt:variant>
      <vt:variant>
        <vt:i4>23</vt:i4>
      </vt:variant>
      <vt:variant>
        <vt:i4>0</vt:i4>
      </vt:variant>
      <vt:variant>
        <vt:i4>5</vt:i4>
      </vt:variant>
      <vt:variant>
        <vt:lpwstr/>
      </vt:variant>
      <vt:variant>
        <vt:lpwstr>_Toc331500675</vt:lpwstr>
      </vt:variant>
      <vt:variant>
        <vt:i4>1441844</vt:i4>
      </vt:variant>
      <vt:variant>
        <vt:i4>17</vt:i4>
      </vt:variant>
      <vt:variant>
        <vt:i4>0</vt:i4>
      </vt:variant>
      <vt:variant>
        <vt:i4>5</vt:i4>
      </vt:variant>
      <vt:variant>
        <vt:lpwstr/>
      </vt:variant>
      <vt:variant>
        <vt:lpwstr>_Toc331500674</vt:lpwstr>
      </vt:variant>
      <vt:variant>
        <vt:i4>1441844</vt:i4>
      </vt:variant>
      <vt:variant>
        <vt:i4>11</vt:i4>
      </vt:variant>
      <vt:variant>
        <vt:i4>0</vt:i4>
      </vt:variant>
      <vt:variant>
        <vt:i4>5</vt:i4>
      </vt:variant>
      <vt:variant>
        <vt:lpwstr/>
      </vt:variant>
      <vt:variant>
        <vt:lpwstr>_Toc331500673</vt:lpwstr>
      </vt:variant>
      <vt:variant>
        <vt:i4>1441844</vt:i4>
      </vt:variant>
      <vt:variant>
        <vt:i4>5</vt:i4>
      </vt:variant>
      <vt:variant>
        <vt:i4>0</vt:i4>
      </vt:variant>
      <vt:variant>
        <vt:i4>5</vt:i4>
      </vt:variant>
      <vt:variant>
        <vt:lpwstr/>
      </vt:variant>
      <vt:variant>
        <vt:lpwstr>_Toc331500672</vt:lpwstr>
      </vt:variant>
      <vt:variant>
        <vt:i4>2555972</vt:i4>
      </vt:variant>
      <vt:variant>
        <vt:i4>0</vt:i4>
      </vt:variant>
      <vt:variant>
        <vt:i4>0</vt:i4>
      </vt:variant>
      <vt:variant>
        <vt:i4>5</vt:i4>
      </vt:variant>
      <vt:variant>
        <vt:lpwstr>mailto:AERInquiry@aer.gov.au</vt:lpwstr>
      </vt:variant>
      <vt:variant>
        <vt:lpwstr/>
      </vt:variant>
      <vt:variant>
        <vt:i4>5570564</vt:i4>
      </vt:variant>
      <vt:variant>
        <vt:i4>0</vt:i4>
      </vt:variant>
      <vt:variant>
        <vt:i4>0</vt:i4>
      </vt:variant>
      <vt:variant>
        <vt:i4>5</vt:i4>
      </vt:variant>
      <vt:variant>
        <vt:lpwstr>http://www.aer.gov.au/node/17099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2012-11-20T04:35:00Z</dcterms:created>
  <dcterms:modified xsi:type="dcterms:W3CDTF">2012-11-20T04:35:00Z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7886484</vt:lpwstr>
  </property>
</Properties>
</file>