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C7EF7" w14:textId="547289AD" w:rsidR="00C330B2" w:rsidRDefault="002F08ED" w:rsidP="00673DED">
      <w:pPr>
        <w:pStyle w:val="NumberedHeading1"/>
        <w:numPr>
          <w:ilvl w:val="0"/>
          <w:numId w:val="0"/>
        </w:numPr>
        <w:ind w:left="851"/>
      </w:pPr>
      <w:bookmarkStart w:id="0" w:name="_GoBack"/>
      <w:bookmarkEnd w:id="0"/>
      <w:r>
        <w:t xml:space="preserve"> </w:t>
      </w:r>
    </w:p>
    <w:p w14:paraId="1E9F7471" w14:textId="77777777" w:rsidR="00C330B2" w:rsidRDefault="00C330B2">
      <w:pPr>
        <w:ind w:left="-567"/>
      </w:pPr>
    </w:p>
    <w:p w14:paraId="6642DB0E" w14:textId="77777777" w:rsidR="00C330B2" w:rsidRDefault="00C330B2">
      <w:pPr>
        <w:ind w:left="-567"/>
      </w:pPr>
    </w:p>
    <w:p w14:paraId="2DDA9748" w14:textId="77777777" w:rsidR="00C330B2" w:rsidRDefault="00517B2D">
      <w:pPr>
        <w:ind w:left="-567"/>
      </w:pPr>
      <w:r>
        <w:rPr>
          <w:noProof/>
          <w:lang w:val="en-AU" w:eastAsia="en-AU"/>
        </w:rPr>
        <mc:AlternateContent>
          <mc:Choice Requires="wps">
            <w:drawing>
              <wp:anchor distT="0" distB="0" distL="114300" distR="114300" simplePos="0" relativeHeight="251656704" behindDoc="0" locked="0" layoutInCell="1" allowOverlap="1" wp14:anchorId="751FC336" wp14:editId="1D06D3B8">
                <wp:simplePos x="0" y="0"/>
                <wp:positionH relativeFrom="column">
                  <wp:posOffset>622935</wp:posOffset>
                </wp:positionH>
                <wp:positionV relativeFrom="paragraph">
                  <wp:posOffset>65405</wp:posOffset>
                </wp:positionV>
                <wp:extent cx="5029200" cy="1649730"/>
                <wp:effectExtent l="0" t="0" r="25400" b="266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49730"/>
                        </a:xfrm>
                        <a:prstGeom prst="rect">
                          <a:avLst/>
                        </a:prstGeom>
                        <a:solidFill>
                          <a:srgbClr val="FFFFFF"/>
                        </a:solidFill>
                        <a:ln w="9525">
                          <a:solidFill>
                            <a:srgbClr val="000000"/>
                          </a:solidFill>
                          <a:miter lim="800000"/>
                          <a:headEnd/>
                          <a:tailEnd/>
                        </a:ln>
                      </wps:spPr>
                      <wps:txbx>
                        <w:txbxContent>
                          <w:p w14:paraId="41F6134D" w14:textId="29E7A032" w:rsidR="00654F17" w:rsidRDefault="00654F17" w:rsidP="00620A78">
                            <w:pPr>
                              <w:pStyle w:val="Titleofsubmission"/>
                              <w:rPr>
                                <w:rFonts w:cs="Helvetica"/>
                                <w:szCs w:val="22"/>
                                <w:lang w:val="en-US"/>
                              </w:rPr>
                            </w:pPr>
                            <w:r>
                              <w:rPr>
                                <w:rFonts w:cs="Helvetica"/>
                                <w:szCs w:val="22"/>
                                <w:lang w:val="en-US"/>
                              </w:rPr>
                              <w:t>Striking a just balance: regulating alternative energy sellers in an evolving market</w:t>
                            </w:r>
                          </w:p>
                          <w:p w14:paraId="184F4F16" w14:textId="7F38DA4F" w:rsidR="00654F17" w:rsidRPr="00EC7B6E" w:rsidRDefault="00654F17" w:rsidP="00C710E1">
                            <w:pPr>
                              <w:pStyle w:val="Titleofsubmission"/>
                              <w:spacing w:line="480" w:lineRule="auto"/>
                            </w:pPr>
                            <w:r>
                              <w:rPr>
                                <w:rFonts w:cs="Helvetica"/>
                                <w:szCs w:val="22"/>
                                <w:lang w:val="en-US"/>
                              </w:rPr>
                              <w:t>9 November 2015</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left:0;text-align:left;margin-left:49.05pt;margin-top:5.15pt;width:396pt;height:12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">
                <v:textbox inset="5mm,,5mm">
                  <w:txbxContent>
                    <w:p w14:paraId="41F6134D" w14:textId="29E7A032" w:rsidR="00654F17" w:rsidRDefault="00654F17" w:rsidP="00620A78">
                      <w:pPr>
                        <w:pStyle w:val="Titleofsubmission"/>
                        <w:rPr>
                          <w:rFonts w:cs="Helvetica"/>
                          <w:szCs w:val="22"/>
                          <w:lang w:val="en-US"/>
                        </w:rPr>
                      </w:pPr>
                      <w:r>
                        <w:rPr>
                          <w:rFonts w:cs="Helvetica"/>
                          <w:szCs w:val="22"/>
                          <w:lang w:val="en-US"/>
                        </w:rPr>
                        <w:t>Striking a just balance: regulating alternative energy sellers in an evolving market</w:t>
                      </w:r>
                    </w:p>
                    <w:p w14:paraId="184F4F16" w14:textId="7F38DA4F" w:rsidR="00654F17" w:rsidRPr="00EC7B6E" w:rsidRDefault="00654F17" w:rsidP="00C710E1">
                      <w:pPr>
                        <w:pStyle w:val="Titleofsubmission"/>
                        <w:spacing w:line="480" w:lineRule="auto"/>
                      </w:pPr>
                      <w:r>
                        <w:rPr>
                          <w:rFonts w:cs="Helvetica"/>
                          <w:szCs w:val="22"/>
                          <w:lang w:val="en-US"/>
                        </w:rPr>
                        <w:t>9 November 2015</w:t>
                      </w:r>
                    </w:p>
                  </w:txbxContent>
                </v:textbox>
              </v:shape>
            </w:pict>
          </mc:Fallback>
        </mc:AlternateContent>
      </w:r>
    </w:p>
    <w:p w14:paraId="35EA6DEA" w14:textId="77777777" w:rsidR="00C330B2" w:rsidRDefault="00C330B2">
      <w:pPr>
        <w:ind w:left="-567"/>
      </w:pPr>
    </w:p>
    <w:p w14:paraId="7D876BCB" w14:textId="77777777" w:rsidR="00C330B2" w:rsidRDefault="00C330B2">
      <w:pPr>
        <w:ind w:left="-567"/>
      </w:pPr>
    </w:p>
    <w:p w14:paraId="4F3F3704" w14:textId="77777777" w:rsidR="00C330B2" w:rsidRDefault="00C330B2">
      <w:pPr>
        <w:ind w:left="-567"/>
      </w:pPr>
    </w:p>
    <w:p w14:paraId="472E806D" w14:textId="77777777" w:rsidR="00C330B2" w:rsidRDefault="00C330B2">
      <w:pPr>
        <w:ind w:left="-567"/>
      </w:pPr>
    </w:p>
    <w:p w14:paraId="5E01A59F" w14:textId="77777777" w:rsidR="00C330B2" w:rsidRDefault="00C330B2">
      <w:pPr>
        <w:ind w:left="-567"/>
      </w:pPr>
    </w:p>
    <w:p w14:paraId="003B9E4E" w14:textId="77777777" w:rsidR="00C330B2" w:rsidRDefault="00C330B2">
      <w:pPr>
        <w:ind w:left="-567"/>
      </w:pPr>
    </w:p>
    <w:p w14:paraId="0A34CC23" w14:textId="77777777" w:rsidR="00C330B2" w:rsidRDefault="00C330B2">
      <w:pPr>
        <w:ind w:left="-567"/>
      </w:pPr>
    </w:p>
    <w:p w14:paraId="26881E3B" w14:textId="77777777" w:rsidR="00C330B2" w:rsidRDefault="00517B2D">
      <w:pPr>
        <w:ind w:left="-567"/>
      </w:pPr>
      <w:r>
        <w:rPr>
          <w:noProof/>
          <w:lang w:val="en-AU" w:eastAsia="en-AU"/>
        </w:rPr>
        <mc:AlternateContent>
          <mc:Choice Requires="wps">
            <w:drawing>
              <wp:anchor distT="0" distB="0" distL="114300" distR="114300" simplePos="0" relativeHeight="251657728" behindDoc="1" locked="0" layoutInCell="1" allowOverlap="1" wp14:anchorId="78C7E460" wp14:editId="2791331C">
                <wp:simplePos x="0" y="0"/>
                <wp:positionH relativeFrom="column">
                  <wp:posOffset>-291465</wp:posOffset>
                </wp:positionH>
                <wp:positionV relativeFrom="paragraph">
                  <wp:posOffset>167640</wp:posOffset>
                </wp:positionV>
                <wp:extent cx="52578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890029"/>
                        </a:solidFill>
                        <a:ln w="9525">
                          <a:solidFill>
                            <a:srgbClr val="890029"/>
                          </a:solidFill>
                          <a:miter lim="800000"/>
                          <a:headEnd/>
                          <a:tailEnd/>
                        </a:ln>
                      </wps:spPr>
                      <wps:txbx>
                        <w:txbxContent>
                          <w:p w14:paraId="652F6DF4" w14:textId="77777777" w:rsidR="00654F17" w:rsidRDefault="00654F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27" type="#_x0000_t202" style="position:absolute;left:0;text-align:left;margin-left:-22.9pt;margin-top:13.2pt;width:414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" fillcolor="#890029" strokecolor="#890029">
                <v:textbox>
                  <w:txbxContent>
                    <w:p w14:paraId="652F6DF4" w14:textId="77777777" w:rsidR="00AB4ACA" w:rsidRDefault="00AB4ACA"/>
                  </w:txbxContent>
                </v:textbox>
              </v:shape>
            </w:pict>
          </mc:Fallback>
        </mc:AlternateContent>
      </w:r>
    </w:p>
    <w:p w14:paraId="4EFC722C" w14:textId="77777777" w:rsidR="00C330B2" w:rsidRDefault="00C330B2">
      <w:pPr>
        <w:ind w:left="-567"/>
      </w:pPr>
    </w:p>
    <w:p w14:paraId="45B4EE25" w14:textId="77777777" w:rsidR="00C330B2" w:rsidRDefault="00C330B2">
      <w:pPr>
        <w:ind w:left="-567"/>
      </w:pPr>
    </w:p>
    <w:p w14:paraId="4920CFAB" w14:textId="77777777" w:rsidR="00C330B2" w:rsidRDefault="00C330B2">
      <w:pPr>
        <w:ind w:left="-567"/>
      </w:pPr>
    </w:p>
    <w:p w14:paraId="0ACB9EE1" w14:textId="77777777" w:rsidR="00C330B2" w:rsidRDefault="00C330B2">
      <w:pPr>
        <w:ind w:left="-567"/>
      </w:pPr>
    </w:p>
    <w:p w14:paraId="409AC35A" w14:textId="77777777" w:rsidR="00C330B2" w:rsidRDefault="00C330B2">
      <w:pPr>
        <w:ind w:left="-567"/>
      </w:pPr>
    </w:p>
    <w:p w14:paraId="0C453495" w14:textId="77777777" w:rsidR="00C330B2" w:rsidRDefault="00C330B2">
      <w:pPr>
        <w:ind w:left="-567"/>
      </w:pPr>
    </w:p>
    <w:p w14:paraId="55FEE649" w14:textId="77777777" w:rsidR="00C330B2" w:rsidRDefault="00C330B2">
      <w:pPr>
        <w:ind w:left="-567"/>
      </w:pPr>
    </w:p>
    <w:p w14:paraId="2ED5542A" w14:textId="77777777" w:rsidR="00C330B2" w:rsidRDefault="00C330B2">
      <w:pPr>
        <w:ind w:left="-567"/>
      </w:pPr>
    </w:p>
    <w:p w14:paraId="490A9A56" w14:textId="77777777" w:rsidR="00C330B2" w:rsidRDefault="00C330B2">
      <w:pPr>
        <w:ind w:left="-567"/>
      </w:pPr>
    </w:p>
    <w:p w14:paraId="36CFAF3B" w14:textId="77777777" w:rsidR="00C330B2" w:rsidRDefault="00C330B2">
      <w:pPr>
        <w:ind w:left="-567"/>
      </w:pPr>
    </w:p>
    <w:p w14:paraId="58824A0A" w14:textId="77777777" w:rsidR="00C330B2" w:rsidRDefault="00C330B2">
      <w:pPr>
        <w:ind w:left="-567"/>
      </w:pPr>
    </w:p>
    <w:p w14:paraId="195F5925" w14:textId="77777777" w:rsidR="00C330B2" w:rsidRDefault="00517B2D">
      <w:pPr>
        <w:ind w:left="-567"/>
      </w:pPr>
      <w:r>
        <w:rPr>
          <w:noProof/>
          <w:lang w:val="en-AU" w:eastAsia="en-AU"/>
        </w:rPr>
        <mc:AlternateContent>
          <mc:Choice Requires="wps">
            <w:drawing>
              <wp:anchor distT="0" distB="0" distL="114300" distR="114300" simplePos="0" relativeHeight="251658752" behindDoc="0" locked="0" layoutInCell="1" allowOverlap="1" wp14:anchorId="086272F2" wp14:editId="621C212F">
                <wp:simplePos x="0" y="0"/>
                <wp:positionH relativeFrom="column">
                  <wp:posOffset>622935</wp:posOffset>
                </wp:positionH>
                <wp:positionV relativeFrom="paragraph">
                  <wp:posOffset>167005</wp:posOffset>
                </wp:positionV>
                <wp:extent cx="5029200" cy="571500"/>
                <wp:effectExtent l="0" t="0" r="25400" b="381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w="9525">
                          <a:solidFill>
                            <a:srgbClr val="000000"/>
                          </a:solidFill>
                          <a:miter lim="800000"/>
                          <a:headEnd/>
                          <a:tailEnd/>
                        </a:ln>
                      </wps:spPr>
                      <wps:txbx>
                        <w:txbxContent>
                          <w:p w14:paraId="725B3F9E" w14:textId="6551EFFD" w:rsidR="00654F17" w:rsidRDefault="00654F17" w:rsidP="000653D9">
                            <w:pPr>
                              <w:pStyle w:val="DateAuthor"/>
                              <w:spacing w:before="0" w:after="120"/>
                            </w:pPr>
                            <w:r>
                              <w:t>Tina Jelenic, Senior Policy Officer</w:t>
                            </w:r>
                          </w:p>
                          <w:p w14:paraId="1BFA068C" w14:textId="31A47447" w:rsidR="00654F17" w:rsidRDefault="00654F17" w:rsidP="000653D9">
                            <w:pPr>
                              <w:pStyle w:val="DateAuthor"/>
                              <w:spacing w:before="0" w:after="120"/>
                            </w:pPr>
                            <w:r>
                              <w:t>Energy + Water Consumers’ Advocacy Program</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 o:spid="_x0000_s1028" type="#_x0000_t202" style="position:absolute;left:0;text-align:left;margin-left:49.05pt;margin-top:13.15pt;width:396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">
                <v:textbox inset="5mm,,5mm">
                  <w:txbxContent>
                    <w:p w14:paraId="725B3F9E" w14:textId="6551EFFD" w:rsidR="00AB4ACA" w:rsidRDefault="00AB4ACA" w:rsidP="000653D9">
                      <w:pPr>
                        <w:pStyle w:val="DateAuthor"/>
                        <w:spacing w:before="0" w:after="120"/>
                      </w:pPr>
                      <w:r>
                        <w:t>Tina Jelenic, Senior P</w:t>
                      </w:r>
                      <w:r w:rsidR="00223885">
                        <w:t>olicy Officer</w:t>
                      </w:r>
                    </w:p>
                    <w:p w14:paraId="1BFA068C" w14:textId="31A47447" w:rsidR="00AB4ACA" w:rsidRDefault="00AB4ACA" w:rsidP="000653D9">
                      <w:pPr>
                        <w:pStyle w:val="DateAuthor"/>
                        <w:spacing w:before="0" w:after="120"/>
                      </w:pPr>
                      <w:r>
                        <w:t>Energy + Water Consumers’ Advocacy Program</w:t>
                      </w:r>
                    </w:p>
                  </w:txbxContent>
                </v:textbox>
              </v:shape>
            </w:pict>
          </mc:Fallback>
        </mc:AlternateContent>
      </w:r>
    </w:p>
    <w:p w14:paraId="79EBAF6A" w14:textId="77777777" w:rsidR="00C330B2" w:rsidRDefault="00C330B2">
      <w:pPr>
        <w:ind w:left="-567"/>
      </w:pPr>
    </w:p>
    <w:p w14:paraId="61B56094" w14:textId="77777777" w:rsidR="00C330B2" w:rsidRDefault="00C330B2">
      <w:pPr>
        <w:ind w:left="-567"/>
      </w:pPr>
    </w:p>
    <w:p w14:paraId="0646FD56" w14:textId="77777777" w:rsidR="00C330B2" w:rsidRDefault="00C330B2">
      <w:pPr>
        <w:ind w:left="-567"/>
      </w:pPr>
    </w:p>
    <w:p w14:paraId="6C719179" w14:textId="77777777" w:rsidR="00C330B2" w:rsidRDefault="00C330B2">
      <w:pPr>
        <w:ind w:left="-567"/>
      </w:pPr>
    </w:p>
    <w:p w14:paraId="5BE6C8DD" w14:textId="77777777" w:rsidR="00C330B2" w:rsidRDefault="00C330B2">
      <w:pPr>
        <w:ind w:left="-567"/>
      </w:pPr>
    </w:p>
    <w:p w14:paraId="3FB4B481" w14:textId="77777777" w:rsidR="00C330B2" w:rsidRDefault="00C330B2">
      <w:pPr>
        <w:ind w:left="-567"/>
      </w:pPr>
    </w:p>
    <w:p w14:paraId="127D9A20" w14:textId="77777777" w:rsidR="00C330B2" w:rsidRDefault="00C330B2">
      <w:pPr>
        <w:ind w:left="-567"/>
      </w:pPr>
    </w:p>
    <w:p w14:paraId="778E6842" w14:textId="77777777" w:rsidR="00C330B2" w:rsidRDefault="00C330B2">
      <w:pPr>
        <w:ind w:left="-567"/>
      </w:pPr>
    </w:p>
    <w:p w14:paraId="2D429361" w14:textId="77777777" w:rsidR="00C330B2" w:rsidRDefault="00C330B2">
      <w:pPr>
        <w:ind w:left="-567"/>
      </w:pPr>
    </w:p>
    <w:p w14:paraId="6E1CBD30" w14:textId="77777777" w:rsidR="00C330B2" w:rsidRDefault="00C330B2">
      <w:pPr>
        <w:ind w:left="-567"/>
      </w:pPr>
    </w:p>
    <w:p w14:paraId="5F92C92E" w14:textId="77777777" w:rsidR="00C330B2" w:rsidRDefault="00C330B2">
      <w:pPr>
        <w:ind w:left="-567"/>
      </w:pPr>
    </w:p>
    <w:p w14:paraId="1D3CD589" w14:textId="77777777" w:rsidR="00C330B2" w:rsidRDefault="00C330B2">
      <w:pPr>
        <w:ind w:left="-567"/>
      </w:pPr>
    </w:p>
    <w:p w14:paraId="41D8AADB" w14:textId="77777777" w:rsidR="00C330B2" w:rsidRDefault="00C330B2">
      <w:pPr>
        <w:ind w:left="-567"/>
      </w:pPr>
    </w:p>
    <w:p w14:paraId="301F7557" w14:textId="77777777" w:rsidR="00C330B2" w:rsidRDefault="00521EFA" w:rsidP="00521EFA">
      <w:pPr>
        <w:tabs>
          <w:tab w:val="left" w:pos="427"/>
        </w:tabs>
        <w:ind w:left="-567"/>
      </w:pPr>
      <w:r>
        <w:tab/>
      </w:r>
    </w:p>
    <w:p w14:paraId="41E56605" w14:textId="77777777" w:rsidR="00521EFA" w:rsidRDefault="00521EFA" w:rsidP="00521EFA">
      <w:pPr>
        <w:tabs>
          <w:tab w:val="left" w:pos="427"/>
        </w:tabs>
        <w:ind w:left="-567"/>
      </w:pPr>
    </w:p>
    <w:p w14:paraId="1887985F" w14:textId="77777777" w:rsidR="00521EFA" w:rsidRDefault="00521EFA" w:rsidP="00521EFA">
      <w:pPr>
        <w:tabs>
          <w:tab w:val="left" w:pos="427"/>
        </w:tabs>
        <w:ind w:left="-567"/>
      </w:pPr>
    </w:p>
    <w:p w14:paraId="24ED4416" w14:textId="77777777" w:rsidR="00521EFA" w:rsidRDefault="00521EFA" w:rsidP="00521EFA">
      <w:pPr>
        <w:tabs>
          <w:tab w:val="left" w:pos="427"/>
        </w:tabs>
        <w:ind w:left="-567"/>
      </w:pPr>
    </w:p>
    <w:p w14:paraId="3D59D616" w14:textId="77777777" w:rsidR="00521EFA" w:rsidRDefault="00521EFA" w:rsidP="00521EFA">
      <w:pPr>
        <w:tabs>
          <w:tab w:val="left" w:pos="427"/>
        </w:tabs>
        <w:ind w:left="-567"/>
      </w:pPr>
    </w:p>
    <w:p w14:paraId="3A76D885" w14:textId="77777777" w:rsidR="00521EFA" w:rsidRDefault="00521EFA" w:rsidP="00521EFA">
      <w:pPr>
        <w:tabs>
          <w:tab w:val="left" w:pos="427"/>
        </w:tabs>
        <w:ind w:left="-567"/>
      </w:pPr>
    </w:p>
    <w:p w14:paraId="7C5D2793" w14:textId="77777777" w:rsidR="00521EFA" w:rsidRDefault="00521EFA" w:rsidP="00521EFA">
      <w:pPr>
        <w:tabs>
          <w:tab w:val="left" w:pos="427"/>
        </w:tabs>
        <w:ind w:left="-567"/>
      </w:pPr>
    </w:p>
    <w:p w14:paraId="1CC43AA0" w14:textId="77777777" w:rsidR="00C330B2" w:rsidRDefault="00C330B2">
      <w:pPr>
        <w:ind w:left="-567"/>
      </w:pPr>
    </w:p>
    <w:p w14:paraId="2F09C84B" w14:textId="77777777" w:rsidR="00C330B2" w:rsidRDefault="00C330B2">
      <w:pPr>
        <w:ind w:left="-567"/>
      </w:pPr>
    </w:p>
    <w:p w14:paraId="2555B99E" w14:textId="77777777" w:rsidR="00C330B2" w:rsidRDefault="00C330B2">
      <w:pPr>
        <w:ind w:left="-567"/>
      </w:pPr>
    </w:p>
    <w:p w14:paraId="64BEAA1A" w14:textId="77777777" w:rsidR="00C330B2" w:rsidRDefault="00C330B2">
      <w:pPr>
        <w:ind w:left="-567"/>
      </w:pPr>
    </w:p>
    <w:p w14:paraId="0190A122" w14:textId="77777777" w:rsidR="00C330B2" w:rsidRDefault="00C330B2">
      <w:pPr>
        <w:ind w:left="-567"/>
      </w:pPr>
    </w:p>
    <w:p w14:paraId="2482483B" w14:textId="77777777" w:rsidR="00C330B2" w:rsidRDefault="00C330B2"/>
    <w:p w14:paraId="3519BFB9" w14:textId="77777777" w:rsidR="00C330B2" w:rsidRDefault="00C330B2">
      <w:pPr>
        <w:sectPr w:rsidR="00C330B2">
          <w:headerReference w:type="default" r:id="rId9"/>
          <w:footerReference w:type="default" r:id="rId10"/>
          <w:pgSz w:w="11901" w:h="16840"/>
          <w:pgMar w:top="4253" w:right="992" w:bottom="1134" w:left="1418" w:header="851" w:footer="822" w:gutter="0"/>
          <w:cols w:space="720"/>
        </w:sectPr>
      </w:pPr>
    </w:p>
    <w:p w14:paraId="37DCFBB4" w14:textId="443B50F2" w:rsidR="00C330B2" w:rsidRDefault="00C330B2" w:rsidP="00BF6ACB">
      <w:pPr>
        <w:pStyle w:val="Heading1"/>
        <w:spacing w:before="0" w:after="0" w:line="240" w:lineRule="auto"/>
      </w:pPr>
      <w:r w:rsidRPr="00705E1E">
        <w:lastRenderedPageBreak/>
        <w:t>Introduction</w:t>
      </w:r>
    </w:p>
    <w:p w14:paraId="78AF2368" w14:textId="77777777" w:rsidR="00BF6ACB" w:rsidRPr="00BF6ACB" w:rsidRDefault="00BF6ACB" w:rsidP="00BF6ACB"/>
    <w:p w14:paraId="521B110E" w14:textId="2B3D5CF2" w:rsidR="00D93382" w:rsidRDefault="00A40D03" w:rsidP="00BF6ACB">
      <w:pPr>
        <w:pStyle w:val="Heading2"/>
        <w:spacing w:before="0" w:after="0" w:line="240" w:lineRule="auto"/>
      </w:pPr>
      <w:r>
        <w:t>T</w:t>
      </w:r>
      <w:r w:rsidR="00C330B2" w:rsidRPr="00E14658">
        <w:t xml:space="preserve">he Public </w:t>
      </w:r>
      <w:r w:rsidR="00C330B2" w:rsidRPr="00705E1E">
        <w:t>Interest</w:t>
      </w:r>
      <w:r w:rsidR="00C330B2" w:rsidRPr="00E14658">
        <w:t xml:space="preserve"> Advocacy Centr</w:t>
      </w:r>
      <w:r w:rsidR="00D93382">
        <w:t>e</w:t>
      </w:r>
    </w:p>
    <w:p w14:paraId="28B0D301" w14:textId="678AD44D" w:rsidR="00C330B2" w:rsidRDefault="00C330B2" w:rsidP="00BF6ACB">
      <w:pPr>
        <w:spacing w:line="240" w:lineRule="auto"/>
      </w:pPr>
      <w:r>
        <w:t>The Public Interest Advocacy Centre (PIAC) is an independent, non-profit law and policy organisation that works for a fair, just and democratic society, empowering citizens, consumers and communities by taking strategic action on public interest issues.</w:t>
      </w:r>
    </w:p>
    <w:p w14:paraId="229BA136" w14:textId="77777777" w:rsidR="00C330B2" w:rsidRDefault="00C330B2"/>
    <w:p w14:paraId="478451E9" w14:textId="77777777" w:rsidR="00C330B2" w:rsidRDefault="00C330B2">
      <w:r>
        <w:t>PIAC identifies public interest issues and, where possible and appropriate, works co-operatively with other organisations to advocate for individuals and groups affected. PIAC seeks to:</w:t>
      </w:r>
    </w:p>
    <w:p w14:paraId="3A472173" w14:textId="77777777" w:rsidR="00C330B2" w:rsidRDefault="00C330B2"/>
    <w:p w14:paraId="55DB0F65" w14:textId="77777777" w:rsidR="00C330B2" w:rsidRDefault="00C330B2">
      <w:pPr>
        <w:pStyle w:val="BullettedList"/>
      </w:pPr>
      <w:r>
        <w:t>expose and redress unjust or unsafe practices, deficient laws or policies;</w:t>
      </w:r>
    </w:p>
    <w:p w14:paraId="4FEA6EA1" w14:textId="77777777" w:rsidR="00C330B2" w:rsidRDefault="00C330B2">
      <w:pPr>
        <w:pStyle w:val="BullettedList"/>
      </w:pPr>
      <w:r>
        <w:t>promote accountable, transparent and responsive government;</w:t>
      </w:r>
    </w:p>
    <w:p w14:paraId="6FA307A1" w14:textId="77777777" w:rsidR="00C330B2" w:rsidRDefault="00C330B2" w:rsidP="00C330B2">
      <w:pPr>
        <w:pStyle w:val="BullettedList"/>
      </w:pPr>
      <w:r>
        <w:t xml:space="preserve">encourage, influence and inform public debate on issues affecting </w:t>
      </w:r>
      <w:r w:rsidR="004B4501">
        <w:t>legal and democratic rights;</w:t>
      </w:r>
    </w:p>
    <w:p w14:paraId="5C688FF7" w14:textId="77777777" w:rsidR="00C330B2" w:rsidRDefault="00C330B2">
      <w:pPr>
        <w:pStyle w:val="BullettedList"/>
      </w:pPr>
      <w:r>
        <w:t>promote the development of law that reflects the public interest;</w:t>
      </w:r>
    </w:p>
    <w:p w14:paraId="3267E6E6" w14:textId="77777777" w:rsidR="00C330B2" w:rsidRDefault="00C330B2">
      <w:pPr>
        <w:pStyle w:val="BullettedList"/>
      </w:pPr>
      <w:r>
        <w:t>develop and assist community organisations with a public interest focus to pursue the interests of the communities they represent;</w:t>
      </w:r>
    </w:p>
    <w:p w14:paraId="5711DC2C" w14:textId="77777777" w:rsidR="00C330B2" w:rsidRDefault="00C330B2">
      <w:pPr>
        <w:pStyle w:val="BullettedList"/>
      </w:pPr>
      <w:r>
        <w:t>develop models to respond to unmet legal need; and</w:t>
      </w:r>
    </w:p>
    <w:p w14:paraId="63385CEC" w14:textId="77777777" w:rsidR="00C330B2" w:rsidRPr="00EC7B6E" w:rsidRDefault="00C330B2" w:rsidP="00C330B2">
      <w:pPr>
        <w:pStyle w:val="BullettedList"/>
      </w:pPr>
      <w:proofErr w:type="gramStart"/>
      <w:r w:rsidRPr="00EC7B6E">
        <w:t>maintain</w:t>
      </w:r>
      <w:proofErr w:type="gramEnd"/>
      <w:r w:rsidRPr="00EC7B6E">
        <w:t xml:space="preserve"> an effective and sustainable organisation.</w:t>
      </w:r>
    </w:p>
    <w:p w14:paraId="0451BAE1" w14:textId="77777777" w:rsidR="00C330B2" w:rsidRDefault="00C330B2"/>
    <w:p w14:paraId="71D5B38B" w14:textId="20D28E36" w:rsidR="00B2160C" w:rsidRDefault="00C330B2" w:rsidP="00C330B2">
      <w:r>
        <w:t>Established in July 1982 as an initiative of the (then) Law Foundation of New South Wales, with support from the NSW Legal Aid Commission, PIAC was the first, and remains the only broadly based public inter</w:t>
      </w:r>
      <w:r w:rsidR="00A147C1">
        <w:t xml:space="preserve">est legal centre in Australia. </w:t>
      </w:r>
      <w:r>
        <w:t>Financial support for PIAC comes primarily from the NSW Public Purpose Fund and the Commonwealth and State Com</w:t>
      </w:r>
      <w:r w:rsidR="0092479F">
        <w:t xml:space="preserve">munity Legal Services Program. </w:t>
      </w:r>
      <w:r>
        <w:t xml:space="preserve">PIAC also receives funding from </w:t>
      </w:r>
      <w:r w:rsidR="004B4501">
        <w:t>NSW</w:t>
      </w:r>
      <w:r w:rsidR="003D7878">
        <w:t xml:space="preserve"> Trade</w:t>
      </w:r>
      <w:r>
        <w:t xml:space="preserve"> and Investment</w:t>
      </w:r>
      <w:r w:rsidR="003D7878">
        <w:t xml:space="preserve"> </w:t>
      </w:r>
      <w:r>
        <w:t xml:space="preserve">for its work on energy and water, and from </w:t>
      </w:r>
      <w:proofErr w:type="spellStart"/>
      <w:r>
        <w:t>Allens</w:t>
      </w:r>
      <w:proofErr w:type="spellEnd"/>
      <w:r>
        <w:t xml:space="preserve"> for i</w:t>
      </w:r>
      <w:r w:rsidR="00EF30BE">
        <w:t xml:space="preserve">ts Indigenous Justice Program. </w:t>
      </w:r>
      <w:r>
        <w:t>PIAC also generates income from project and case grants, seminars, consultancy fees, donations and recovery of costs in legal actions.</w:t>
      </w:r>
    </w:p>
    <w:p w14:paraId="2F57C289" w14:textId="77777777" w:rsidR="00D23305" w:rsidRDefault="00D23305" w:rsidP="00DF3A74"/>
    <w:p w14:paraId="0B46A49A" w14:textId="178BAE72" w:rsidR="00866C77" w:rsidRPr="001B2EA2" w:rsidRDefault="00866C77" w:rsidP="00D23305">
      <w:pPr>
        <w:pStyle w:val="Heading2"/>
        <w:spacing w:before="0" w:after="0"/>
      </w:pPr>
      <w:r>
        <w:t xml:space="preserve">Energy and </w:t>
      </w:r>
      <w:r w:rsidRPr="001B2EA2">
        <w:t xml:space="preserve">Water Consumers’ </w:t>
      </w:r>
      <w:r w:rsidR="00D93382" w:rsidRPr="001B2EA2">
        <w:t>Advocacy Program</w:t>
      </w:r>
    </w:p>
    <w:p w14:paraId="251A31B2" w14:textId="77777777" w:rsidR="00204077" w:rsidRDefault="00B2160C" w:rsidP="00DF3A74">
      <w:r w:rsidRPr="00204077">
        <w:rPr>
          <w:lang w:val="en-US"/>
        </w:rPr>
        <w:t>The Energy + Water Consumers’ Advocacy Program (EWCAP) represents the interests of low-income and other residential consumers of electricity, gas and water in</w:t>
      </w:r>
      <w:r w:rsidR="001B2EA2" w:rsidRPr="00204077">
        <w:rPr>
          <w:lang w:val="en-US"/>
        </w:rPr>
        <w:t xml:space="preserve"> New South Wales. </w:t>
      </w:r>
      <w:r w:rsidR="00204077" w:rsidRPr="00204077">
        <w:t xml:space="preserve">The aim of the program is to develop policy and advocate in the interests of low-income and other residential consumers in the NSW energy and water markets. PIAC receives policy input to the program from a community-based reference group whose members include: </w:t>
      </w:r>
    </w:p>
    <w:p w14:paraId="57705ACA" w14:textId="77777777" w:rsidR="00174D62" w:rsidRPr="00204077" w:rsidRDefault="00174D62" w:rsidP="00DF3A74"/>
    <w:p w14:paraId="78F14FAE" w14:textId="77777777" w:rsidR="00204077" w:rsidRPr="00204077" w:rsidRDefault="00204077" w:rsidP="00DF3A74">
      <w:pPr>
        <w:pStyle w:val="BullettedList"/>
      </w:pPr>
      <w:r w:rsidRPr="00204077">
        <w:t xml:space="preserve">Council of Social Service of NSW (NCOSS); </w:t>
      </w:r>
    </w:p>
    <w:p w14:paraId="5C8AB421" w14:textId="77777777" w:rsidR="00204077" w:rsidRPr="00204077" w:rsidRDefault="00204077" w:rsidP="00DF3A74">
      <w:pPr>
        <w:pStyle w:val="BullettedList"/>
      </w:pPr>
      <w:r w:rsidRPr="00204077">
        <w:t xml:space="preserve">Combined Pensioners and Superannuants Association of NSW; </w:t>
      </w:r>
    </w:p>
    <w:p w14:paraId="502D41CF" w14:textId="77777777" w:rsidR="00204077" w:rsidRPr="00204077" w:rsidRDefault="00204077" w:rsidP="00DF3A74">
      <w:pPr>
        <w:pStyle w:val="BullettedList"/>
      </w:pPr>
      <w:r w:rsidRPr="00204077">
        <w:t xml:space="preserve">Ethnic Communities Council NSW; </w:t>
      </w:r>
    </w:p>
    <w:p w14:paraId="73428AA5" w14:textId="77777777" w:rsidR="00204077" w:rsidRPr="00204077" w:rsidRDefault="00204077" w:rsidP="00DF3A74">
      <w:pPr>
        <w:pStyle w:val="BullettedList"/>
      </w:pPr>
      <w:r w:rsidRPr="00204077">
        <w:t xml:space="preserve">Salvation Army; </w:t>
      </w:r>
    </w:p>
    <w:p w14:paraId="5ACDE416" w14:textId="77777777" w:rsidR="00204077" w:rsidRPr="00204077" w:rsidRDefault="00204077" w:rsidP="00DF3A74">
      <w:pPr>
        <w:pStyle w:val="BullettedList"/>
      </w:pPr>
      <w:r w:rsidRPr="00204077">
        <w:t xml:space="preserve">St Vincent de Paul Society; </w:t>
      </w:r>
    </w:p>
    <w:p w14:paraId="27B3FB7B" w14:textId="77777777" w:rsidR="00204077" w:rsidRPr="00204077" w:rsidRDefault="00204077" w:rsidP="00DF3A74">
      <w:pPr>
        <w:pStyle w:val="BullettedList"/>
      </w:pPr>
      <w:r w:rsidRPr="00204077">
        <w:t xml:space="preserve">Physical Disability Council NSW; and </w:t>
      </w:r>
    </w:p>
    <w:p w14:paraId="3EC36F35" w14:textId="77777777" w:rsidR="00204077" w:rsidRPr="00204077" w:rsidRDefault="00204077" w:rsidP="00DF3A74">
      <w:pPr>
        <w:pStyle w:val="BullettedList"/>
      </w:pPr>
      <w:r w:rsidRPr="00204077">
        <w:t xml:space="preserve">Tenants Union. </w:t>
      </w:r>
    </w:p>
    <w:p w14:paraId="1720C000" w14:textId="5398B9BC" w:rsidR="0003130A" w:rsidRDefault="0003130A" w:rsidP="00C330B2">
      <w:pPr>
        <w:rPr>
          <w:rFonts w:cs="Arial"/>
          <w:szCs w:val="22"/>
          <w:lang w:val="en-US"/>
        </w:rPr>
      </w:pPr>
    </w:p>
    <w:p w14:paraId="5E728259" w14:textId="77777777" w:rsidR="0003130A" w:rsidRDefault="0003130A" w:rsidP="0003130A">
      <w:pPr>
        <w:rPr>
          <w:rFonts w:cs="Arial"/>
          <w:szCs w:val="22"/>
        </w:rPr>
      </w:pPr>
    </w:p>
    <w:p w14:paraId="4734DC55" w14:textId="275A2D79" w:rsidR="00C330B2" w:rsidRDefault="003A143A" w:rsidP="00DF3A74">
      <w:pPr>
        <w:pStyle w:val="Heading1"/>
      </w:pPr>
      <w:r>
        <w:t xml:space="preserve">Supporting innovation </w:t>
      </w:r>
      <w:r w:rsidR="00A037D6">
        <w:t>+</w:t>
      </w:r>
      <w:r>
        <w:t xml:space="preserve"> ensuring</w:t>
      </w:r>
      <w:r w:rsidR="005744C7">
        <w:t xml:space="preserve"> adequate</w:t>
      </w:r>
      <w:r w:rsidR="0035584D">
        <w:t xml:space="preserve"> consumer </w:t>
      </w:r>
      <w:r w:rsidR="00A037D6">
        <w:t>protection</w:t>
      </w:r>
    </w:p>
    <w:p w14:paraId="3D83FF52" w14:textId="77777777" w:rsidR="000E2936" w:rsidRDefault="00E051C8" w:rsidP="00E051C8">
      <w:pPr>
        <w:rPr>
          <w:rFonts w:cs="Arial"/>
          <w:szCs w:val="22"/>
        </w:rPr>
      </w:pPr>
      <w:r w:rsidRPr="00A81E0B">
        <w:rPr>
          <w:rFonts w:cs="Arial"/>
          <w:szCs w:val="22"/>
          <w:lang w:val="en-US"/>
        </w:rPr>
        <w:t xml:space="preserve">The Public Interest Advocacy Centre (PIAC) welcomes the opportunity to provide comment on the Australian Energy Regulator’s (AER) revised </w:t>
      </w:r>
      <w:r w:rsidRPr="00A81E0B">
        <w:rPr>
          <w:rFonts w:cs="Arial"/>
          <w:i/>
          <w:szCs w:val="22"/>
          <w:lang w:val="en-US"/>
        </w:rPr>
        <w:t>Draft Exempt Selling Guideline version</w:t>
      </w:r>
      <w:r w:rsidRPr="00A81E0B">
        <w:rPr>
          <w:rFonts w:cs="Arial"/>
          <w:szCs w:val="22"/>
          <w:lang w:val="en-US"/>
        </w:rPr>
        <w:t xml:space="preserve"> </w:t>
      </w:r>
      <w:r w:rsidRPr="00A81E0B">
        <w:rPr>
          <w:rFonts w:cs="Arial"/>
          <w:i/>
          <w:szCs w:val="22"/>
          <w:lang w:val="en-US"/>
        </w:rPr>
        <w:t>4</w:t>
      </w:r>
      <w:r>
        <w:rPr>
          <w:rFonts w:cs="Arial"/>
          <w:szCs w:val="22"/>
          <w:lang w:val="en-US"/>
        </w:rPr>
        <w:t xml:space="preserve"> (the Guideline).</w:t>
      </w:r>
      <w:r w:rsidRPr="00A81E0B">
        <w:rPr>
          <w:rStyle w:val="FootnoteReference"/>
          <w:rFonts w:cs="Arial"/>
          <w:szCs w:val="22"/>
          <w:lang w:val="en-US"/>
        </w:rPr>
        <w:footnoteReference w:id="1"/>
      </w:r>
      <w:r w:rsidRPr="00A81E0B">
        <w:rPr>
          <w:rFonts w:cs="Arial"/>
          <w:szCs w:val="22"/>
          <w:lang w:val="en-US"/>
        </w:rPr>
        <w:t xml:space="preserve"> </w:t>
      </w:r>
      <w:r w:rsidRPr="00FC1BE0">
        <w:rPr>
          <w:rFonts w:cs="Arial"/>
          <w:szCs w:val="22"/>
        </w:rPr>
        <w:t>PIAC has previously made submissions to the AER’s proposed revisions</w:t>
      </w:r>
      <w:r>
        <w:rPr>
          <w:rFonts w:cs="Arial"/>
          <w:szCs w:val="22"/>
        </w:rPr>
        <w:t xml:space="preserve"> to the Guideline</w:t>
      </w:r>
      <w:r w:rsidRPr="00FC1BE0">
        <w:rPr>
          <w:rFonts w:cs="Arial"/>
          <w:szCs w:val="22"/>
        </w:rPr>
        <w:t xml:space="preserve"> in which it has explained the principles on which it bases its views. </w:t>
      </w:r>
    </w:p>
    <w:p w14:paraId="31364AF4" w14:textId="77777777" w:rsidR="000E2936" w:rsidRDefault="000E2936" w:rsidP="00E051C8">
      <w:pPr>
        <w:rPr>
          <w:rFonts w:cs="Arial"/>
          <w:szCs w:val="22"/>
        </w:rPr>
      </w:pPr>
    </w:p>
    <w:p w14:paraId="415AFBA7" w14:textId="536DCFDA" w:rsidR="00E051C8" w:rsidRDefault="00E051C8" w:rsidP="00E051C8">
      <w:pPr>
        <w:rPr>
          <w:rFonts w:cs="Arial"/>
          <w:szCs w:val="22"/>
        </w:rPr>
      </w:pPr>
      <w:r w:rsidRPr="00FC1BE0">
        <w:rPr>
          <w:rFonts w:cs="Arial"/>
          <w:szCs w:val="22"/>
        </w:rPr>
        <w:t>In brief, PIAC’s priority is to ensure residential consumers are effectively and adequately protected. At the same time, PIAC believes it is important that regulation does not create barriers to innovative business models especially those that are likely to reduce energy use and</w:t>
      </w:r>
      <w:r w:rsidR="000E2936">
        <w:rPr>
          <w:rFonts w:cs="Arial"/>
          <w:szCs w:val="22"/>
        </w:rPr>
        <w:t>,</w:t>
      </w:r>
      <w:r w:rsidRPr="00FC1BE0">
        <w:rPr>
          <w:rFonts w:cs="Arial"/>
          <w:szCs w:val="22"/>
        </w:rPr>
        <w:t xml:space="preserve"> therefore</w:t>
      </w:r>
      <w:r w:rsidR="000E2936">
        <w:rPr>
          <w:rFonts w:cs="Arial"/>
          <w:szCs w:val="22"/>
        </w:rPr>
        <w:t>,</w:t>
      </w:r>
      <w:r w:rsidRPr="00FC1BE0">
        <w:rPr>
          <w:rFonts w:cs="Arial"/>
          <w:szCs w:val="22"/>
        </w:rPr>
        <w:t xml:space="preserve"> costs to consumers. In this vein, </w:t>
      </w:r>
      <w:r w:rsidR="00A2277F">
        <w:rPr>
          <w:rFonts w:cs="Arial"/>
          <w:szCs w:val="22"/>
        </w:rPr>
        <w:t xml:space="preserve">and </w:t>
      </w:r>
      <w:r w:rsidR="00D43B00">
        <w:rPr>
          <w:rFonts w:cs="Arial"/>
          <w:szCs w:val="22"/>
        </w:rPr>
        <w:t>particularly</w:t>
      </w:r>
      <w:r w:rsidRPr="00FC1BE0">
        <w:rPr>
          <w:rFonts w:cs="Arial"/>
          <w:szCs w:val="22"/>
        </w:rPr>
        <w:t xml:space="preserve"> in the context of alternative energy sellers, it is important that compliance requirements do not present a barrier for new competitors to enter the market and</w:t>
      </w:r>
      <w:r w:rsidR="00174D62">
        <w:rPr>
          <w:rFonts w:cs="Arial"/>
          <w:szCs w:val="22"/>
        </w:rPr>
        <w:t>,</w:t>
      </w:r>
      <w:r w:rsidRPr="00FC1BE0">
        <w:rPr>
          <w:rFonts w:cs="Arial"/>
          <w:szCs w:val="22"/>
        </w:rPr>
        <w:t xml:space="preserve"> therefore</w:t>
      </w:r>
      <w:r w:rsidR="00174D62">
        <w:rPr>
          <w:rFonts w:cs="Arial"/>
          <w:szCs w:val="22"/>
        </w:rPr>
        <w:t>,</w:t>
      </w:r>
      <w:r w:rsidRPr="00FC1BE0">
        <w:rPr>
          <w:rFonts w:cs="Arial"/>
          <w:szCs w:val="22"/>
        </w:rPr>
        <w:t xml:space="preserve"> regulatory divergence is necessary to reflect the different circumstances of exempt sellers. Certain requirements under the Retail Law and Retail Rules may be more onerous or inappropriate for exempt sellers, for example</w:t>
      </w:r>
      <w:r w:rsidR="000E2936">
        <w:rPr>
          <w:rFonts w:cs="Arial"/>
          <w:szCs w:val="22"/>
        </w:rPr>
        <w:t>,</w:t>
      </w:r>
      <w:r w:rsidRPr="00FC1BE0">
        <w:rPr>
          <w:rFonts w:cs="Arial"/>
          <w:szCs w:val="22"/>
        </w:rPr>
        <w:t xml:space="preserve"> the price disclosure requirements for retailers’ standing offer and market offer prices</w:t>
      </w:r>
      <w:r w:rsidR="00A81E0B">
        <w:rPr>
          <w:rFonts w:cs="Arial"/>
          <w:szCs w:val="22"/>
        </w:rPr>
        <w:t>.</w:t>
      </w:r>
      <w:r w:rsidRPr="00FC1BE0">
        <w:rPr>
          <w:rStyle w:val="FootnoteReference"/>
          <w:rFonts w:cs="Arial"/>
          <w:szCs w:val="22"/>
        </w:rPr>
        <w:footnoteReference w:id="2"/>
      </w:r>
      <w:r w:rsidRPr="00FC1BE0">
        <w:rPr>
          <w:rFonts w:cs="Arial"/>
          <w:szCs w:val="22"/>
        </w:rPr>
        <w:t xml:space="preserve"> The regulatory costs for a small energy seller that lacks the economies of scale and scope of an authorised retailer can be substantial. An individual exemption is</w:t>
      </w:r>
      <w:r w:rsidR="000E2936">
        <w:rPr>
          <w:rFonts w:cs="Arial"/>
          <w:szCs w:val="22"/>
        </w:rPr>
        <w:t>,</w:t>
      </w:r>
      <w:r w:rsidRPr="00FC1BE0">
        <w:rPr>
          <w:rFonts w:cs="Arial"/>
          <w:szCs w:val="22"/>
        </w:rPr>
        <w:t xml:space="preserve"> therefore</w:t>
      </w:r>
      <w:r w:rsidR="000E2936">
        <w:rPr>
          <w:rFonts w:cs="Arial"/>
          <w:szCs w:val="22"/>
        </w:rPr>
        <w:t>,</w:t>
      </w:r>
      <w:r w:rsidRPr="00FC1BE0">
        <w:rPr>
          <w:rFonts w:cs="Arial"/>
          <w:szCs w:val="22"/>
        </w:rPr>
        <w:t xml:space="preserve"> preferable to an authorisation where these costs are likely to exceed the customer benefits, as long as the exempt customers receive protections similar to those that retail customers receive</w:t>
      </w:r>
      <w:r w:rsidR="00391574">
        <w:rPr>
          <w:rFonts w:cs="Arial"/>
          <w:szCs w:val="22"/>
        </w:rPr>
        <w:t>,</w:t>
      </w:r>
      <w:r w:rsidRPr="00FC1BE0">
        <w:rPr>
          <w:rFonts w:cs="Arial"/>
          <w:szCs w:val="22"/>
        </w:rPr>
        <w:t xml:space="preserve"> as a condition of the exemption. </w:t>
      </w:r>
    </w:p>
    <w:p w14:paraId="2C390F0E" w14:textId="77777777" w:rsidR="000E2936" w:rsidRPr="00FC1BE0" w:rsidRDefault="000E2936" w:rsidP="00E051C8">
      <w:pPr>
        <w:rPr>
          <w:rFonts w:cs="Arial"/>
          <w:szCs w:val="22"/>
        </w:rPr>
      </w:pPr>
    </w:p>
    <w:p w14:paraId="5A750C35" w14:textId="79D75CF7" w:rsidR="00E051C8" w:rsidRDefault="00E051C8" w:rsidP="00DF3A74">
      <w:r w:rsidRPr="00FC1BE0">
        <w:t xml:space="preserve">In PIAC’s view, the retail NEM-related contract is the primary contract because it enables the </w:t>
      </w:r>
      <w:r w:rsidR="00C52A85">
        <w:t>National Energy Market (</w:t>
      </w:r>
      <w:r w:rsidRPr="00FC1BE0">
        <w:t>NEM</w:t>
      </w:r>
      <w:r w:rsidR="00C52A85">
        <w:t>)</w:t>
      </w:r>
      <w:r w:rsidRPr="00FC1BE0">
        <w:t xml:space="preserve"> connection and, as such, the provision of an essential service and associated consumer protections. As the AER has also previously made clear, a key difference is the impact disconnection of energy services would have on a customer. It is appropriate that retailers have additional requirements, given their unique role in providing a connection to the NEM (and/or a sole supply of electricity). It follows that in cases where an alternative energy seller will be the consumer’s only energy supply without the option of reconnecting to the NEM, it would be reasonable to require the alternative energy seller to obtain a retailer authorisation. </w:t>
      </w:r>
    </w:p>
    <w:p w14:paraId="24034C00" w14:textId="77777777" w:rsidR="000E2936" w:rsidRPr="00FC1BE0" w:rsidRDefault="000E2936" w:rsidP="00DF3A74"/>
    <w:p w14:paraId="57624596" w14:textId="2B0640A1" w:rsidR="00E051C8" w:rsidRDefault="00391574" w:rsidP="00DF3A74">
      <w:r>
        <w:t>F</w:t>
      </w:r>
      <w:r w:rsidR="00E051C8" w:rsidRPr="00FC1BE0">
        <w:t>ull retailers are required to have a larger range of consumer protections in place because they are in a position where they have a great deal of control over the provision of an essential service</w:t>
      </w:r>
      <w:r>
        <w:t>. E</w:t>
      </w:r>
      <w:r w:rsidR="00E051C8" w:rsidRPr="00FC1BE0">
        <w:t xml:space="preserve">xempt sellers selling innovative products and services usually increase consumer control over their energy supply and management as well as </w:t>
      </w:r>
      <w:r>
        <w:t xml:space="preserve">their </w:t>
      </w:r>
      <w:r w:rsidR="00E051C8" w:rsidRPr="00FC1BE0">
        <w:t xml:space="preserve">consumption. If consumers are able to exercise more discretion in relation to their energy supply, which is usually the case with alternative energy selling arrangements, then it is less necessary that they and their providers are subject to obligations intended to protect them from </w:t>
      </w:r>
      <w:r>
        <w:t xml:space="preserve">the risk of </w:t>
      </w:r>
      <w:r w:rsidR="00E051C8" w:rsidRPr="00FC1BE0">
        <w:t xml:space="preserve">oligopolistic behaviour, unfair practices and information asymmetry. </w:t>
      </w:r>
    </w:p>
    <w:p w14:paraId="2D877385" w14:textId="77777777" w:rsidR="000E2936" w:rsidRPr="00FC1BE0" w:rsidRDefault="000E2936" w:rsidP="00DF3A74"/>
    <w:p w14:paraId="701480C1" w14:textId="29EA1A42" w:rsidR="00E051C8" w:rsidRPr="00FC1BE0" w:rsidRDefault="00E051C8" w:rsidP="00DF3A74">
      <w:r w:rsidRPr="00FC1BE0">
        <w:t>PIAC agrees with the AER that conditions for exemptions should take into account that a customer may not need the level of protection an authorisation would require a retailer to offer in relation to its customers and that there exists a risk of duplication if additional consumer protection requirements are placed on exempt sellers. It remains PIAC’s view that the exempt seller framework is adequate until such time as a significant number of consumers begin to leave the NEM.</w:t>
      </w:r>
      <w:r w:rsidRPr="00FC1BE0">
        <w:rPr>
          <w:rStyle w:val="FootnoteReference"/>
          <w:rFonts w:cs="Arial"/>
          <w:szCs w:val="22"/>
        </w:rPr>
        <w:footnoteReference w:id="3"/>
      </w:r>
      <w:r w:rsidRPr="00FC1BE0">
        <w:t xml:space="preserve"> </w:t>
      </w:r>
    </w:p>
    <w:p w14:paraId="4774A8C3" w14:textId="60B41828" w:rsidR="00DA7E61" w:rsidRDefault="00CF70C3" w:rsidP="007025E3">
      <w:pPr>
        <w:spacing w:before="100" w:beforeAutospacing="1" w:after="100" w:afterAutospacing="1"/>
        <w:rPr>
          <w:rFonts w:eastAsiaTheme="minorEastAsia" w:cs="Arial"/>
          <w:szCs w:val="22"/>
          <w:lang w:val="en-AU"/>
        </w:rPr>
      </w:pPr>
      <w:r>
        <w:rPr>
          <w:rFonts w:cs="Arial"/>
          <w:szCs w:val="22"/>
        </w:rPr>
        <w:t xml:space="preserve">Notwithstanding these views, </w:t>
      </w:r>
      <w:r w:rsidR="00E051C8" w:rsidRPr="00FC1BE0">
        <w:rPr>
          <w:rFonts w:cs="Arial"/>
          <w:szCs w:val="22"/>
        </w:rPr>
        <w:t>PIAC notes that it is possible that the exemptions framework could be used to circumvent the obligation to consumer protections that are required under a retail authorisation. Some energy retailers have set up subsidiary companies to provide solar and other energy management services, and have obtained exemptions for these companies. Alternative energy sellers whose energy sales are significant in terms of scale and/or scope should be subject to additional regulatory requirements that allow the AER to appropriate</w:t>
      </w:r>
      <w:r w:rsidR="00D40ED8">
        <w:rPr>
          <w:rFonts w:cs="Arial"/>
          <w:szCs w:val="22"/>
        </w:rPr>
        <w:t>ly</w:t>
      </w:r>
      <w:r w:rsidR="00E051C8" w:rsidRPr="00FC1BE0">
        <w:rPr>
          <w:rFonts w:cs="Arial"/>
          <w:szCs w:val="22"/>
        </w:rPr>
        <w:t xml:space="preserve"> monitor their activities, gather data and have a stronger regulatory role to ensure that adequate consumer protections are afforded wherever possible.</w:t>
      </w:r>
    </w:p>
    <w:p w14:paraId="4B41AD38" w14:textId="10FD49B4" w:rsidR="00F33406" w:rsidRPr="00F33406" w:rsidRDefault="00F33406" w:rsidP="007025E3">
      <w:pPr>
        <w:spacing w:before="100" w:beforeAutospacing="1" w:after="100" w:afterAutospacing="1"/>
        <w:rPr>
          <w:rFonts w:cs="Arial"/>
          <w:szCs w:val="22"/>
        </w:rPr>
      </w:pPr>
      <w:r w:rsidRPr="00F33406">
        <w:rPr>
          <w:rFonts w:eastAsiaTheme="minorEastAsia" w:cs="Arial"/>
          <w:szCs w:val="22"/>
          <w:lang w:val="en-AU"/>
        </w:rPr>
        <w:t xml:space="preserve">PIAC </w:t>
      </w:r>
      <w:r w:rsidR="00773242">
        <w:rPr>
          <w:rFonts w:eastAsiaTheme="minorEastAsia" w:cs="Arial"/>
          <w:szCs w:val="22"/>
          <w:lang w:val="en-AU"/>
        </w:rPr>
        <w:t>continues to advocate</w:t>
      </w:r>
      <w:r w:rsidRPr="00F33406">
        <w:rPr>
          <w:rFonts w:eastAsiaTheme="minorEastAsia" w:cs="Arial"/>
          <w:szCs w:val="22"/>
          <w:lang w:val="en-AU"/>
        </w:rPr>
        <w:t xml:space="preserve"> for a transparent energy market and </w:t>
      </w:r>
      <w:r w:rsidR="00DA7E61">
        <w:rPr>
          <w:rFonts w:cs="Arial"/>
          <w:szCs w:val="22"/>
        </w:rPr>
        <w:t xml:space="preserve">is wary of the </w:t>
      </w:r>
      <w:r w:rsidR="00DA7E61" w:rsidRPr="00AA6FB3">
        <w:rPr>
          <w:rFonts w:eastAsiaTheme="minorEastAsia" w:cs="Arial"/>
          <w:szCs w:val="22"/>
          <w:lang w:val="en-AU"/>
        </w:rPr>
        <w:t>potential for the</w:t>
      </w:r>
      <w:r w:rsidR="00DA7E61" w:rsidRPr="00F33406">
        <w:rPr>
          <w:rFonts w:eastAsiaTheme="minorEastAsia" w:cs="Arial"/>
          <w:szCs w:val="22"/>
          <w:lang w:val="en-AU"/>
        </w:rPr>
        <w:t xml:space="preserve"> development of a hidden market</w:t>
      </w:r>
      <w:r w:rsidR="00DA7E61">
        <w:rPr>
          <w:rFonts w:eastAsiaTheme="minorEastAsia" w:cs="Arial"/>
          <w:szCs w:val="22"/>
          <w:lang w:val="en-AU"/>
        </w:rPr>
        <w:t>. PIAC</w:t>
      </w:r>
      <w:r w:rsidR="00DA7E61" w:rsidRPr="00F33406">
        <w:rPr>
          <w:rFonts w:eastAsiaTheme="minorEastAsia" w:cs="Arial"/>
          <w:szCs w:val="22"/>
          <w:lang w:val="en-AU"/>
        </w:rPr>
        <w:t xml:space="preserve"> </w:t>
      </w:r>
      <w:r w:rsidRPr="00F33406">
        <w:rPr>
          <w:rFonts w:eastAsiaTheme="minorEastAsia" w:cs="Arial"/>
          <w:szCs w:val="22"/>
          <w:lang w:val="en-AU"/>
        </w:rPr>
        <w:t>contends that</w:t>
      </w:r>
      <w:r w:rsidR="00B44541">
        <w:rPr>
          <w:rFonts w:eastAsiaTheme="minorEastAsia" w:cs="Arial"/>
          <w:szCs w:val="22"/>
          <w:lang w:val="en-AU"/>
        </w:rPr>
        <w:t xml:space="preserve"> arrangements such as</w:t>
      </w:r>
      <w:r w:rsidRPr="00F33406">
        <w:rPr>
          <w:rFonts w:eastAsiaTheme="minorEastAsia" w:cs="Arial"/>
          <w:szCs w:val="22"/>
          <w:lang w:val="en-AU"/>
        </w:rPr>
        <w:t xml:space="preserve"> automatic deemed exemptions </w:t>
      </w:r>
      <w:r w:rsidR="00C97B2E">
        <w:rPr>
          <w:rFonts w:eastAsiaTheme="minorEastAsia" w:cs="Arial"/>
          <w:szCs w:val="22"/>
          <w:lang w:val="en-AU"/>
        </w:rPr>
        <w:t>can</w:t>
      </w:r>
      <w:r w:rsidRPr="00F33406">
        <w:rPr>
          <w:rFonts w:eastAsiaTheme="minorEastAsia" w:cs="Arial"/>
          <w:szCs w:val="22"/>
          <w:lang w:val="en-AU"/>
        </w:rPr>
        <w:t xml:space="preserve"> lead to certain categories of suppliers being invisible in the </w:t>
      </w:r>
      <w:r w:rsidR="00C52A85">
        <w:rPr>
          <w:rFonts w:eastAsiaTheme="minorEastAsia" w:cs="Arial"/>
          <w:szCs w:val="22"/>
          <w:lang w:val="en-AU"/>
        </w:rPr>
        <w:t>NEM</w:t>
      </w:r>
      <w:r w:rsidR="0068753C">
        <w:rPr>
          <w:rFonts w:eastAsiaTheme="minorEastAsia" w:cs="Arial"/>
          <w:szCs w:val="22"/>
          <w:lang w:val="en-AU"/>
        </w:rPr>
        <w:t xml:space="preserve">. This </w:t>
      </w:r>
      <w:r w:rsidR="00C70FF7">
        <w:rPr>
          <w:rFonts w:eastAsiaTheme="minorEastAsia" w:cs="Arial"/>
          <w:szCs w:val="22"/>
          <w:lang w:val="en-AU"/>
        </w:rPr>
        <w:t xml:space="preserve">can </w:t>
      </w:r>
      <w:r w:rsidR="0068753C">
        <w:rPr>
          <w:rFonts w:eastAsiaTheme="minorEastAsia" w:cs="Arial"/>
          <w:szCs w:val="22"/>
          <w:lang w:val="en-AU"/>
        </w:rPr>
        <w:t xml:space="preserve">limit the </w:t>
      </w:r>
      <w:r w:rsidRPr="00F33406">
        <w:rPr>
          <w:rFonts w:eastAsiaTheme="minorEastAsia" w:cs="Arial"/>
          <w:szCs w:val="22"/>
          <w:lang w:val="en-AU"/>
        </w:rPr>
        <w:t>understanding of the significance of these suppliers in a national context. Similarly, scrutiny of their practices with regard to the supply of an essential service and the resulting outcomes f</w:t>
      </w:r>
      <w:r w:rsidR="00463A75">
        <w:rPr>
          <w:rFonts w:eastAsiaTheme="minorEastAsia" w:cs="Arial"/>
          <w:szCs w:val="22"/>
          <w:lang w:val="en-AU"/>
        </w:rPr>
        <w:t xml:space="preserve">or consumers </w:t>
      </w:r>
      <w:r w:rsidR="002C3CA1">
        <w:rPr>
          <w:rFonts w:eastAsiaTheme="minorEastAsia" w:cs="Arial"/>
          <w:szCs w:val="22"/>
          <w:lang w:val="en-AU"/>
        </w:rPr>
        <w:t>would</w:t>
      </w:r>
      <w:r w:rsidR="00463A75">
        <w:rPr>
          <w:rFonts w:eastAsiaTheme="minorEastAsia" w:cs="Arial"/>
          <w:szCs w:val="22"/>
          <w:lang w:val="en-AU"/>
        </w:rPr>
        <w:t xml:space="preserve"> be impossible. PIAC urges the AER to </w:t>
      </w:r>
      <w:r w:rsidR="00AC5DFA">
        <w:rPr>
          <w:rFonts w:eastAsiaTheme="minorEastAsia" w:cs="Arial"/>
          <w:szCs w:val="22"/>
          <w:lang w:val="en-AU"/>
        </w:rPr>
        <w:t>keep</w:t>
      </w:r>
      <w:r w:rsidR="0068753C">
        <w:rPr>
          <w:rFonts w:eastAsiaTheme="minorEastAsia" w:cs="Arial"/>
          <w:szCs w:val="22"/>
          <w:lang w:val="en-AU"/>
        </w:rPr>
        <w:t xml:space="preserve"> such considerations </w:t>
      </w:r>
      <w:r w:rsidR="00AC5DFA">
        <w:rPr>
          <w:rFonts w:eastAsiaTheme="minorEastAsia" w:cs="Arial"/>
          <w:szCs w:val="22"/>
          <w:lang w:val="en-AU"/>
        </w:rPr>
        <w:t xml:space="preserve">in mind </w:t>
      </w:r>
      <w:r w:rsidR="00BF0893">
        <w:rPr>
          <w:rFonts w:eastAsiaTheme="minorEastAsia" w:cs="Arial"/>
          <w:szCs w:val="22"/>
          <w:lang w:val="en-AU"/>
        </w:rPr>
        <w:t xml:space="preserve">when undertaking </w:t>
      </w:r>
      <w:r w:rsidR="00431C5D">
        <w:rPr>
          <w:rFonts w:eastAsiaTheme="minorEastAsia" w:cs="Arial"/>
          <w:szCs w:val="22"/>
          <w:lang w:val="en-AU"/>
        </w:rPr>
        <w:t>its</w:t>
      </w:r>
      <w:r w:rsidR="00BF0893">
        <w:rPr>
          <w:rFonts w:eastAsiaTheme="minorEastAsia" w:cs="Arial"/>
          <w:szCs w:val="22"/>
          <w:lang w:val="en-AU"/>
        </w:rPr>
        <w:t xml:space="preserve"> balancing exercise</w:t>
      </w:r>
      <w:r w:rsidR="00722478">
        <w:rPr>
          <w:rFonts w:eastAsiaTheme="minorEastAsia" w:cs="Arial"/>
          <w:szCs w:val="22"/>
          <w:lang w:val="en-AU"/>
        </w:rPr>
        <w:t xml:space="preserve"> </w:t>
      </w:r>
      <w:r w:rsidR="00D07C44">
        <w:rPr>
          <w:rFonts w:eastAsiaTheme="minorEastAsia" w:cs="Arial"/>
          <w:szCs w:val="22"/>
          <w:lang w:val="en-AU"/>
        </w:rPr>
        <w:t xml:space="preserve">and </w:t>
      </w:r>
      <w:r w:rsidR="00722478">
        <w:rPr>
          <w:rFonts w:eastAsiaTheme="minorEastAsia" w:cs="Arial"/>
          <w:szCs w:val="22"/>
          <w:lang w:val="en-AU"/>
        </w:rPr>
        <w:t xml:space="preserve">determining appropriate </w:t>
      </w:r>
      <w:r w:rsidR="00057460">
        <w:rPr>
          <w:rFonts w:eastAsiaTheme="minorEastAsia" w:cs="Arial"/>
          <w:szCs w:val="22"/>
          <w:lang w:val="en-AU"/>
        </w:rPr>
        <w:t xml:space="preserve">exemption </w:t>
      </w:r>
      <w:r w:rsidR="00722478">
        <w:rPr>
          <w:rFonts w:eastAsiaTheme="minorEastAsia" w:cs="Arial"/>
          <w:szCs w:val="22"/>
          <w:lang w:val="en-AU"/>
        </w:rPr>
        <w:t>conditions</w:t>
      </w:r>
      <w:r w:rsidR="00BF0893">
        <w:rPr>
          <w:rFonts w:eastAsiaTheme="minorEastAsia" w:cs="Arial"/>
          <w:szCs w:val="22"/>
          <w:lang w:val="en-AU"/>
        </w:rPr>
        <w:t>.</w:t>
      </w:r>
    </w:p>
    <w:p w14:paraId="50BE4198" w14:textId="60013DDA" w:rsidR="00E051C8" w:rsidRPr="00FC1BE0" w:rsidRDefault="00E051C8" w:rsidP="00E051C8">
      <w:pPr>
        <w:spacing w:before="100" w:beforeAutospacing="1" w:after="100" w:afterAutospacing="1"/>
        <w:rPr>
          <w:rFonts w:cs="Arial"/>
          <w:szCs w:val="22"/>
        </w:rPr>
      </w:pPr>
      <w:r w:rsidRPr="00FC1BE0">
        <w:rPr>
          <w:rFonts w:cs="Arial"/>
          <w:szCs w:val="22"/>
        </w:rPr>
        <w:t xml:space="preserve">A previously emphasised, PIAC recommends that every effort should be made to offer exempt customers protections that mirror, as closely as possible, the protections offered to the customers of retailers. PIAC supports the retention of the </w:t>
      </w:r>
      <w:r>
        <w:rPr>
          <w:rFonts w:cs="Arial"/>
          <w:szCs w:val="22"/>
        </w:rPr>
        <w:t>electricity</w:t>
      </w:r>
      <w:r w:rsidRPr="00FC1BE0">
        <w:rPr>
          <w:rFonts w:cs="Arial"/>
          <w:szCs w:val="22"/>
        </w:rPr>
        <w:t xml:space="preserve"> tariff cap that exempt sellers may charge small customers, as well as new Condition </w:t>
      </w:r>
      <w:r>
        <w:rPr>
          <w:rFonts w:cs="Arial"/>
          <w:szCs w:val="22"/>
        </w:rPr>
        <w:t>clause</w:t>
      </w:r>
      <w:r w:rsidRPr="00FC1BE0">
        <w:rPr>
          <w:rFonts w:cs="Arial"/>
          <w:szCs w:val="22"/>
        </w:rPr>
        <w:t xml:space="preserve"> 3(2) that </w:t>
      </w:r>
      <w:r>
        <w:rPr>
          <w:rFonts w:cs="Arial"/>
          <w:szCs w:val="22"/>
        </w:rPr>
        <w:t>provides</w:t>
      </w:r>
      <w:r w:rsidRPr="00FC1BE0">
        <w:rPr>
          <w:rFonts w:cs="Arial"/>
          <w:szCs w:val="22"/>
        </w:rPr>
        <w:t xml:space="preserve"> for a minimum of two payment options. PIAC also supports the AER’s proposed </w:t>
      </w:r>
      <w:r>
        <w:rPr>
          <w:rFonts w:cs="Arial"/>
          <w:szCs w:val="22"/>
        </w:rPr>
        <w:t>amendments that</w:t>
      </w:r>
      <w:r w:rsidRPr="00FC1BE0">
        <w:rPr>
          <w:rFonts w:cs="Arial"/>
          <w:szCs w:val="22"/>
        </w:rPr>
        <w:t xml:space="preserve"> remove unnecessary ambiguity</w:t>
      </w:r>
      <w:r w:rsidR="00311EF1">
        <w:rPr>
          <w:rFonts w:cs="Arial"/>
          <w:szCs w:val="22"/>
        </w:rPr>
        <w:t xml:space="preserve"> and vagueness</w:t>
      </w:r>
      <w:r w:rsidRPr="00FC1BE0">
        <w:rPr>
          <w:rFonts w:cs="Arial"/>
          <w:szCs w:val="22"/>
        </w:rPr>
        <w:t xml:space="preserve"> from the drafting. PIAC </w:t>
      </w:r>
      <w:r w:rsidR="00C52A85">
        <w:rPr>
          <w:rFonts w:cs="Arial"/>
          <w:szCs w:val="22"/>
        </w:rPr>
        <w:t xml:space="preserve">also </w:t>
      </w:r>
      <w:r w:rsidRPr="00FC1BE0">
        <w:rPr>
          <w:rFonts w:cs="Arial"/>
          <w:szCs w:val="22"/>
        </w:rPr>
        <w:t xml:space="preserve">supports the removal of the term ‘as soon as </w:t>
      </w:r>
      <w:r w:rsidR="000B1C7A">
        <w:rPr>
          <w:rFonts w:cs="Arial"/>
          <w:szCs w:val="22"/>
        </w:rPr>
        <w:t>possible</w:t>
      </w:r>
      <w:r w:rsidR="001B503E">
        <w:rPr>
          <w:rFonts w:cs="Arial"/>
          <w:szCs w:val="22"/>
        </w:rPr>
        <w:t>’</w:t>
      </w:r>
      <w:r w:rsidRPr="00FC1BE0">
        <w:rPr>
          <w:rFonts w:cs="Arial"/>
          <w:szCs w:val="22"/>
        </w:rPr>
        <w:t xml:space="preserve"> in Condition 11 and replacing it with a defined timeframe. PIAC is of the view that it would be reasonable to adopt the same timeframe as provided for in the National Electricity Rules, where the wording is also similar to that of condition 11.</w:t>
      </w:r>
      <w:r w:rsidR="00A50D2D">
        <w:rPr>
          <w:rStyle w:val="FootnoteReference"/>
          <w:rFonts w:cs="Arial"/>
          <w:szCs w:val="22"/>
        </w:rPr>
        <w:footnoteReference w:id="4"/>
      </w:r>
      <w:r w:rsidRPr="00FC1BE0">
        <w:rPr>
          <w:rFonts w:cs="Arial"/>
          <w:szCs w:val="22"/>
        </w:rPr>
        <w:t xml:space="preserve"> </w:t>
      </w:r>
    </w:p>
    <w:p w14:paraId="2DE74879" w14:textId="36D4C561" w:rsidR="00E051C8" w:rsidRPr="00FC1BE0" w:rsidRDefault="004D5BBB" w:rsidP="00E051C8">
      <w:pPr>
        <w:spacing w:before="100" w:beforeAutospacing="1" w:after="100" w:afterAutospacing="1"/>
        <w:rPr>
          <w:rFonts w:cs="Arial"/>
          <w:szCs w:val="22"/>
        </w:rPr>
      </w:pPr>
      <w:r>
        <w:rPr>
          <w:rFonts w:cs="Arial"/>
          <w:szCs w:val="22"/>
        </w:rPr>
        <w:t>PIAC reiterates that a</w:t>
      </w:r>
      <w:r w:rsidR="00E051C8" w:rsidRPr="00FC1BE0">
        <w:rPr>
          <w:rFonts w:cs="Arial"/>
          <w:szCs w:val="22"/>
        </w:rPr>
        <w:t xml:space="preserve"> </w:t>
      </w:r>
      <w:r w:rsidR="00E051C8">
        <w:rPr>
          <w:rFonts w:cs="Arial"/>
          <w:szCs w:val="22"/>
        </w:rPr>
        <w:t xml:space="preserve">current </w:t>
      </w:r>
      <w:r w:rsidR="00C52A85">
        <w:rPr>
          <w:rFonts w:cs="Arial"/>
          <w:szCs w:val="22"/>
        </w:rPr>
        <w:t>weakness of</w:t>
      </w:r>
      <w:r w:rsidR="00E051C8" w:rsidRPr="00FC1BE0">
        <w:rPr>
          <w:rFonts w:cs="Arial"/>
          <w:szCs w:val="22"/>
        </w:rPr>
        <w:t xml:space="preserve"> the exemptions framework in most NEM states is that customers of exempt sellers do not have access to the services of the jurisdictional energy ombudsman (or similar) for dispute resolution. PIAC is of the view that access to a free, independent and an impartial dispute resolution scheme is a basic consumer right. NSW is currently the only jurisdiction where the Energy Ombudsman has jurisdiction to investigate disputes between customers and an exempt seller</w:t>
      </w:r>
      <w:r w:rsidR="00285AA2">
        <w:rPr>
          <w:rFonts w:cs="Arial"/>
          <w:szCs w:val="22"/>
        </w:rPr>
        <w:t>.</w:t>
      </w:r>
      <w:r w:rsidR="00E051C8" w:rsidRPr="00FC1BE0">
        <w:rPr>
          <w:rFonts w:cs="Arial"/>
          <w:szCs w:val="22"/>
        </w:rPr>
        <w:t xml:space="preserve"> </w:t>
      </w:r>
      <w:r w:rsidR="00285AA2">
        <w:rPr>
          <w:rFonts w:cs="Arial"/>
          <w:szCs w:val="22"/>
        </w:rPr>
        <w:t>U</w:t>
      </w:r>
      <w:r w:rsidR="00285AA2" w:rsidRPr="00FC1BE0">
        <w:rPr>
          <w:rFonts w:cs="Arial"/>
          <w:szCs w:val="22"/>
        </w:rPr>
        <w:t xml:space="preserve">nder </w:t>
      </w:r>
      <w:r w:rsidR="00E051C8" w:rsidRPr="00FC1BE0">
        <w:rPr>
          <w:rFonts w:cs="Arial"/>
          <w:szCs w:val="22"/>
        </w:rPr>
        <w:t xml:space="preserve">the National Energy Retail Law (NSW) customers have the right to apply to EWON for a review of a decision arising from any matter relating to the supply of electricity or gas by the exempt person to the customer. Currently EWON handles these disputes </w:t>
      </w:r>
      <w:r w:rsidR="00285AA2">
        <w:rPr>
          <w:rFonts w:cs="Arial"/>
          <w:szCs w:val="22"/>
        </w:rPr>
        <w:t xml:space="preserve">free </w:t>
      </w:r>
      <w:r w:rsidR="00E051C8" w:rsidRPr="00FC1BE0">
        <w:rPr>
          <w:rFonts w:cs="Arial"/>
          <w:szCs w:val="22"/>
        </w:rPr>
        <w:t xml:space="preserve">of charge and does not require these exempt sellers to become members of EWON. In future it might be appropriate for jurisdictions to legislate that exempt sellers over a particular size be required to become members of an Ombudsman scheme. </w:t>
      </w:r>
    </w:p>
    <w:p w14:paraId="1CD42526" w14:textId="41C35FA3" w:rsidR="00E051C8" w:rsidRDefault="00E051C8" w:rsidP="00DF3A74">
      <w:r w:rsidRPr="00FC1BE0">
        <w:t xml:space="preserve">In addition, while PIAC recognises that the creation of hardship programs can be a significant cost to an energy seller, it is important that hardship programs are available in situations where energy sellers have a significant number of customers </w:t>
      </w:r>
      <w:r w:rsidR="00654F17">
        <w:t>for</w:t>
      </w:r>
      <w:r w:rsidR="00654F17" w:rsidRPr="00FC1BE0">
        <w:t xml:space="preserve"> </w:t>
      </w:r>
      <w:r w:rsidRPr="00FC1BE0">
        <w:t xml:space="preserve">whom they are </w:t>
      </w:r>
      <w:r w:rsidR="00654F17">
        <w:t>the major energy supplier</w:t>
      </w:r>
      <w:r w:rsidRPr="00FC1BE0">
        <w:t xml:space="preserve">. PIAC suggests the AER monitor industry developments in this area and consider the cases where it might be necessary to require exempt sellers to develop hardship plans. </w:t>
      </w:r>
    </w:p>
    <w:p w14:paraId="40676EC9" w14:textId="77777777" w:rsidR="000E2936" w:rsidRPr="00FC1BE0" w:rsidRDefault="000E2936" w:rsidP="00DF3A74"/>
    <w:p w14:paraId="2A14A9E5" w14:textId="41EDFB2E" w:rsidR="00E051C8" w:rsidRDefault="00E051C8" w:rsidP="00DF3A74">
      <w:pPr>
        <w:rPr>
          <w:iCs/>
        </w:rPr>
      </w:pPr>
      <w:r w:rsidRPr="00FC1BE0">
        <w:rPr>
          <w:iCs/>
        </w:rPr>
        <w:t>PIAC recommends that the AER continue to monitor industry developments with respect to the desirability of imposing conditi</w:t>
      </w:r>
      <w:r w:rsidR="00DB5F8B">
        <w:rPr>
          <w:iCs/>
        </w:rPr>
        <w:t xml:space="preserve">ons on exempt sellers requiring </w:t>
      </w:r>
      <w:r w:rsidRPr="00FC1BE0">
        <w:rPr>
          <w:iCs/>
        </w:rPr>
        <w:t>fee payment to the customer’s authorised retailer to contribute towards the cost of providing hardship, life support and concession/reb</w:t>
      </w:r>
      <w:r w:rsidR="00DB5F8B">
        <w:rPr>
          <w:iCs/>
        </w:rPr>
        <w:t xml:space="preserve">ate services for that customer; </w:t>
      </w:r>
      <w:r w:rsidRPr="00FC1BE0">
        <w:rPr>
          <w:iCs/>
        </w:rPr>
        <w:t>members</w:t>
      </w:r>
      <w:r w:rsidR="00DB5F8B">
        <w:rPr>
          <w:iCs/>
        </w:rPr>
        <w:t xml:space="preserve">hip of Ombudsman scheme; and/or </w:t>
      </w:r>
      <w:r w:rsidRPr="00FC1BE0">
        <w:rPr>
          <w:iCs/>
        </w:rPr>
        <w:t xml:space="preserve">the development of hardship plans for businesses over a particular size. </w:t>
      </w:r>
    </w:p>
    <w:p w14:paraId="5B11FB12" w14:textId="77777777" w:rsidR="000E2936" w:rsidRPr="00FC1BE0" w:rsidRDefault="000E2936" w:rsidP="00DF3A74"/>
    <w:p w14:paraId="75C68384" w14:textId="77777777" w:rsidR="00E051C8" w:rsidRPr="00A76A0F" w:rsidRDefault="00E051C8" w:rsidP="00E051C8">
      <w:pPr>
        <w:rPr>
          <w:rFonts w:cs="Arial"/>
          <w:szCs w:val="22"/>
        </w:rPr>
      </w:pPr>
      <w:r w:rsidRPr="00FC1BE0">
        <w:rPr>
          <w:rFonts w:cs="Arial"/>
          <w:szCs w:val="22"/>
        </w:rPr>
        <w:t xml:space="preserve">PIAC also reiterates its recommendation that </w:t>
      </w:r>
      <w:r w:rsidRPr="00A76A0F">
        <w:rPr>
          <w:rFonts w:cs="Arial"/>
          <w:iCs/>
          <w:szCs w:val="22"/>
        </w:rPr>
        <w:t>the AER write to the COAG Energy Council to initiate an overarching review of the National Electricity Law and Retail Law when customers begin to disconnect from the National Electricity Market in significant numbers.</w:t>
      </w:r>
      <w:r w:rsidRPr="00A76A0F">
        <w:rPr>
          <w:rFonts w:cs="Arial"/>
          <w:i/>
          <w:iCs/>
          <w:szCs w:val="22"/>
        </w:rPr>
        <w:t xml:space="preserve"> </w:t>
      </w:r>
    </w:p>
    <w:p w14:paraId="5BB04A2D" w14:textId="77777777" w:rsidR="00E051C8" w:rsidRPr="00FC1BE0" w:rsidRDefault="00E051C8" w:rsidP="00E051C8">
      <w:pPr>
        <w:rPr>
          <w:rFonts w:cs="Arial"/>
          <w:szCs w:val="22"/>
        </w:rPr>
      </w:pPr>
    </w:p>
    <w:p w14:paraId="1544A6E8" w14:textId="2C477A4A" w:rsidR="00315286" w:rsidRPr="00EC7B6E" w:rsidRDefault="00315286" w:rsidP="00315286">
      <w:pPr>
        <w:pStyle w:val="Recommendation"/>
      </w:pPr>
      <w:r>
        <w:t>Recommendations</w:t>
      </w:r>
    </w:p>
    <w:p w14:paraId="52B310C7" w14:textId="77777777" w:rsidR="001B2EA2" w:rsidRPr="00C14C6E" w:rsidRDefault="001B2EA2" w:rsidP="00DF3A74">
      <w:pPr>
        <w:pStyle w:val="Recommendationtext"/>
      </w:pPr>
      <w:r>
        <w:t>Overall, PIAC makes the following recommendations:</w:t>
      </w:r>
    </w:p>
    <w:p w14:paraId="3A9795E8" w14:textId="7A7C9F98" w:rsidR="001B2EA2" w:rsidRDefault="009B3EAC" w:rsidP="00DF3A74">
      <w:pPr>
        <w:pStyle w:val="Recommendationtext"/>
        <w:numPr>
          <w:ilvl w:val="0"/>
          <w:numId w:val="17"/>
        </w:numPr>
      </w:pPr>
      <w:r>
        <w:t xml:space="preserve">The </w:t>
      </w:r>
      <w:r w:rsidR="006A6368">
        <w:t>electricity</w:t>
      </w:r>
      <w:r>
        <w:t xml:space="preserve"> tariff cap that exempt sellers may cha</w:t>
      </w:r>
      <w:r w:rsidR="000D7D28">
        <w:t>r</w:t>
      </w:r>
      <w:r>
        <w:t>ge small custom</w:t>
      </w:r>
      <w:r w:rsidR="000362C5">
        <w:t>ers (i.e. rel</w:t>
      </w:r>
      <w:r w:rsidR="000D7D28">
        <w:t>e</w:t>
      </w:r>
      <w:r w:rsidR="000362C5">
        <w:t>vant retailer standing offer) should be retained.</w:t>
      </w:r>
    </w:p>
    <w:p w14:paraId="278CA704" w14:textId="77777777" w:rsidR="0010169A" w:rsidRDefault="00AB4ACA" w:rsidP="00DF3A74">
      <w:pPr>
        <w:pStyle w:val="Recommendationtext"/>
        <w:numPr>
          <w:ilvl w:val="0"/>
          <w:numId w:val="17"/>
        </w:numPr>
      </w:pPr>
      <w:r>
        <w:t xml:space="preserve">An exempt person should be required to offer an exempt customer at least two payment options for the nominated exemption classes so that customers, particularly small customers, are </w:t>
      </w:r>
      <w:r w:rsidR="00E25DE1">
        <w:t>given greater choice in how they pay their energy bills.</w:t>
      </w:r>
    </w:p>
    <w:p w14:paraId="1A544064" w14:textId="09DA1901" w:rsidR="002336F5" w:rsidRPr="00994898" w:rsidRDefault="0010169A" w:rsidP="00DF3A74">
      <w:pPr>
        <w:pStyle w:val="Recommendationtext"/>
        <w:numPr>
          <w:ilvl w:val="0"/>
          <w:numId w:val="17"/>
        </w:numPr>
      </w:pPr>
      <w:r w:rsidRPr="00994898">
        <w:rPr>
          <w:iCs/>
        </w:rPr>
        <w:t>The AER continue to monitor industry developments with respect to the desirability of imposing conditions on exempt sellers requiring fee payment to the customer’s authorised retailer to contribute towards the cost of providing hardship, life support and concession/rebate services for that customer; membership of Ombudsman scheme; and/or the development of hardship plans for businesses over a particular size</w:t>
      </w:r>
      <w:r w:rsidR="00994898" w:rsidRPr="00994898">
        <w:rPr>
          <w:iCs/>
        </w:rPr>
        <w:t>.</w:t>
      </w:r>
    </w:p>
    <w:p w14:paraId="422B7806" w14:textId="10166309" w:rsidR="00994898" w:rsidRPr="00994898" w:rsidRDefault="00994898" w:rsidP="00DF3A74">
      <w:pPr>
        <w:pStyle w:val="Recommendationtext"/>
        <w:numPr>
          <w:ilvl w:val="0"/>
          <w:numId w:val="17"/>
        </w:numPr>
      </w:pPr>
      <w:r w:rsidRPr="00994898">
        <w:rPr>
          <w:iCs/>
        </w:rPr>
        <w:t>T</w:t>
      </w:r>
      <w:r w:rsidR="00932744">
        <w:rPr>
          <w:iCs/>
        </w:rPr>
        <w:t xml:space="preserve">he </w:t>
      </w:r>
      <w:r w:rsidRPr="00994898">
        <w:rPr>
          <w:iCs/>
        </w:rPr>
        <w:t>AER write to the COAG Energy Council to initiate an overarching review of the National Electricity Law and Retail Law when customers begin to disconnect from the National Electricity Market in significant numbers.</w:t>
      </w:r>
    </w:p>
    <w:p w14:paraId="51F57767" w14:textId="77777777" w:rsidR="00C330B2" w:rsidRDefault="00C330B2"/>
    <w:p w14:paraId="175CF4E5" w14:textId="77777777" w:rsidR="00C330B2" w:rsidRDefault="00C330B2"/>
    <w:p w14:paraId="3E926EC3" w14:textId="77777777" w:rsidR="00C330B2" w:rsidRDefault="00C330B2"/>
    <w:p w14:paraId="12B0023D" w14:textId="77777777" w:rsidR="00C330B2" w:rsidRDefault="00C330B2"/>
    <w:p w14:paraId="05529802" w14:textId="77777777" w:rsidR="00C330B2" w:rsidRDefault="00C330B2"/>
    <w:p w14:paraId="4C9E40E5" w14:textId="77777777" w:rsidR="00C330B2" w:rsidRDefault="00C330B2"/>
    <w:p w14:paraId="6E2C658F" w14:textId="77777777" w:rsidR="00C330B2" w:rsidRDefault="00C330B2"/>
    <w:p w14:paraId="38410D05" w14:textId="77777777" w:rsidR="00C330B2" w:rsidRDefault="00C330B2"/>
    <w:p w14:paraId="329D4C36" w14:textId="77777777" w:rsidR="00C330B2" w:rsidRDefault="00C330B2"/>
    <w:p w14:paraId="578193D3" w14:textId="77777777" w:rsidR="00C330B2" w:rsidRDefault="00C330B2"/>
    <w:p w14:paraId="2110E82F" w14:textId="77777777" w:rsidR="00C330B2" w:rsidRDefault="00C330B2"/>
    <w:p w14:paraId="3564BFD3" w14:textId="77777777" w:rsidR="00C330B2" w:rsidRDefault="00C330B2"/>
    <w:sectPr w:rsidR="00C330B2">
      <w:headerReference w:type="default" r:id="rId11"/>
      <w:footerReference w:type="even" r:id="rId12"/>
      <w:footerReference w:type="default" r:id="rId13"/>
      <w:pgSz w:w="11901" w:h="16840"/>
      <w:pgMar w:top="1701" w:right="992" w:bottom="1701" w:left="1418" w:header="851" w:footer="82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3916F" w14:textId="77777777" w:rsidR="00654F17" w:rsidRDefault="00654F17">
      <w:r>
        <w:separator/>
      </w:r>
    </w:p>
  </w:endnote>
  <w:endnote w:type="continuationSeparator" w:id="0">
    <w:p w14:paraId="1DCE8FD8" w14:textId="77777777" w:rsidR="00654F17" w:rsidRDefault="0065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9714D" w14:textId="77777777" w:rsidR="00654F17" w:rsidRDefault="00654F17">
    <w:pPr>
      <w:pStyle w:val="Footer"/>
    </w:pPr>
    <w:r>
      <w:rPr>
        <w:noProof/>
        <w:lang w:val="en-AU" w:eastAsia="en-AU"/>
      </w:rPr>
      <mc:AlternateContent>
        <mc:Choice Requires="wps">
          <w:drawing>
            <wp:anchor distT="0" distB="0" distL="114300" distR="114300" simplePos="0" relativeHeight="251657728" behindDoc="0" locked="0" layoutInCell="1" allowOverlap="0" wp14:anchorId="1A85CBF8" wp14:editId="19EEB18D">
              <wp:simplePos x="0" y="0"/>
              <wp:positionH relativeFrom="column">
                <wp:posOffset>-163195</wp:posOffset>
              </wp:positionH>
              <wp:positionV relativeFrom="page">
                <wp:posOffset>9718040</wp:posOffset>
              </wp:positionV>
              <wp:extent cx="4114800"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4C335" w14:textId="77777777" w:rsidR="00654F17" w:rsidRDefault="00654F17" w:rsidP="00521EFA">
                          <w:pPr>
                            <w:rPr>
                              <w:sz w:val="20"/>
                            </w:rPr>
                          </w:pPr>
                          <w:r>
                            <w:rPr>
                              <w:sz w:val="20"/>
                            </w:rPr>
                            <w:t>Level 5, 175 Liverpool Street, Sydney NSW 2000</w:t>
                          </w:r>
                        </w:p>
                        <w:p w14:paraId="5D61A563" w14:textId="77777777" w:rsidR="00654F17" w:rsidRPr="00EC7B6E" w:rsidRDefault="00654F17">
                          <w:pPr>
                            <w:rPr>
                              <w:sz w:val="20"/>
                            </w:rPr>
                          </w:pPr>
                          <w:r w:rsidRPr="00EC7B6E">
                            <w:rPr>
                              <w:sz w:val="20"/>
                            </w:rPr>
                            <w:t xml:space="preserve">Phone: 61 2 8898 6500 </w:t>
                          </w:r>
                          <w:r w:rsidRPr="00EC7B6E">
                            <w:rPr>
                              <w:sz w:val="20"/>
                            </w:rPr>
                            <w:sym w:font="Symbol" w:char="F0B7"/>
                          </w:r>
                          <w:r w:rsidRPr="00EC7B6E">
                            <w:rPr>
                              <w:sz w:val="20"/>
                            </w:rPr>
                            <w:t xml:space="preserve"> Fax: 61 2 8898 6555 </w:t>
                          </w:r>
                          <w:r w:rsidRPr="00EC7B6E">
                            <w:rPr>
                              <w:sz w:val="20"/>
                            </w:rPr>
                            <w:sym w:font="Symbol" w:char="F0B7"/>
                          </w:r>
                          <w:r w:rsidRPr="00EC7B6E">
                            <w:rPr>
                              <w:sz w:val="20"/>
                            </w:rPr>
                            <w:t xml:space="preserve"> www.piac.asn.au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30" type="#_x0000_t202" style="position:absolute;margin-left:-12.8pt;margin-top:765.2pt;width:32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" o:allowoverlap="f" stroked="f">
              <v:textbox>
                <w:txbxContent>
                  <w:p w14:paraId="4024C335" w14:textId="77777777" w:rsidR="00AB4ACA" w:rsidRDefault="00AB4ACA" w:rsidP="00521EFA">
                    <w:pPr>
                      <w:rPr>
                        <w:sz w:val="20"/>
                      </w:rPr>
                    </w:pPr>
                    <w:r>
                      <w:rPr>
                        <w:sz w:val="20"/>
                      </w:rPr>
                      <w:t>Level 5, 175 Liverpool Street, Sydney NSW 2000</w:t>
                    </w:r>
                  </w:p>
                  <w:p w14:paraId="5D61A563" w14:textId="77777777" w:rsidR="00AB4ACA" w:rsidRPr="00EC7B6E" w:rsidRDefault="00AB4ACA">
                    <w:pPr>
                      <w:rPr>
                        <w:sz w:val="20"/>
                      </w:rPr>
                    </w:pPr>
                    <w:r w:rsidRPr="00EC7B6E">
                      <w:rPr>
                        <w:sz w:val="20"/>
                      </w:rPr>
                      <w:t xml:space="preserve">Phone: 61 2 8898 6500 </w:t>
                    </w:r>
                    <w:r w:rsidRPr="00EC7B6E">
                      <w:rPr>
                        <w:sz w:val="20"/>
                      </w:rPr>
                      <w:sym w:font="Symbol" w:char="F0B7"/>
                    </w:r>
                    <w:r w:rsidRPr="00EC7B6E">
                      <w:rPr>
                        <w:sz w:val="20"/>
                      </w:rPr>
                      <w:t xml:space="preserve"> Fax: 61 2 8898 6555 </w:t>
                    </w:r>
                    <w:r w:rsidRPr="00EC7B6E">
                      <w:rPr>
                        <w:sz w:val="20"/>
                      </w:rPr>
                      <w:sym w:font="Symbol" w:char="F0B7"/>
                    </w:r>
                    <w:r w:rsidRPr="00EC7B6E">
                      <w:rPr>
                        <w:sz w:val="20"/>
                      </w:rPr>
                      <w:t xml:space="preserve"> www.piac.asn.au</w:t>
                    </w: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D3E14" w14:textId="0BBCA844" w:rsidR="00654F17" w:rsidRPr="00EC7B6E" w:rsidRDefault="00654F17" w:rsidP="00CF32CC">
    <w:pPr>
      <w:pStyle w:val="Footer"/>
      <w:pBdr>
        <w:top w:val="dotted" w:sz="4" w:space="1" w:color="auto"/>
      </w:pBdr>
      <w:spacing w:before="240"/>
      <w:rPr>
        <w:rStyle w:val="PageNumber"/>
      </w:rPr>
    </w:pPr>
    <w:r w:rsidRPr="00EC7B6E">
      <w:rPr>
        <w:rStyle w:val="PageNumber"/>
      </w:rPr>
      <w:fldChar w:fldCharType="begin"/>
    </w:r>
    <w:r w:rsidRPr="00EC7B6E">
      <w:rPr>
        <w:rStyle w:val="PageNumber"/>
      </w:rPr>
      <w:instrText xml:space="preserve"> PAGE </w:instrText>
    </w:r>
    <w:r w:rsidRPr="00EC7B6E">
      <w:rPr>
        <w:rStyle w:val="PageNumber"/>
      </w:rPr>
      <w:fldChar w:fldCharType="separate"/>
    </w:r>
    <w:r w:rsidR="008B0AEA">
      <w:rPr>
        <w:rStyle w:val="PageNumber"/>
        <w:noProof/>
      </w:rPr>
      <w:t>2</w:t>
    </w:r>
    <w:r w:rsidRPr="00EC7B6E">
      <w:rPr>
        <w:rStyle w:val="PageNumber"/>
      </w:rPr>
      <w:fldChar w:fldCharType="end"/>
    </w:r>
    <w:r w:rsidRPr="00EC7B6E">
      <w:rPr>
        <w:rStyle w:val="PageNumber"/>
      </w:rPr>
      <w:t xml:space="preserve"> • Public Interest Advocacy Centre • </w:t>
    </w:r>
    <w:r>
      <w:rPr>
        <w:rStyle w:val="PageNumber"/>
      </w:rPr>
      <w:t>Striking a just balance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F2DAD" w14:textId="6B11F2DC" w:rsidR="00654F17" w:rsidRDefault="00654F17">
    <w:pPr>
      <w:pStyle w:val="Footer"/>
      <w:pBdr>
        <w:top w:val="dotted" w:sz="4" w:space="1" w:color="auto"/>
      </w:pBdr>
      <w:spacing w:before="240"/>
      <w:ind w:right="-29"/>
      <w:jc w:val="right"/>
      <w:rPr>
        <w:sz w:val="20"/>
      </w:rPr>
    </w:pPr>
    <w:r>
      <w:rPr>
        <w:rStyle w:val="PageNumber"/>
      </w:rPr>
      <w:t xml:space="preserve">Public Interest Advocacy Centre • Striking a just balance • </w:t>
    </w:r>
    <w:r>
      <w:rPr>
        <w:rStyle w:val="PageNumber"/>
      </w:rPr>
      <w:fldChar w:fldCharType="begin"/>
    </w:r>
    <w:r>
      <w:rPr>
        <w:rStyle w:val="PageNumber"/>
      </w:rPr>
      <w:instrText xml:space="preserve"> PAGE </w:instrText>
    </w:r>
    <w:r>
      <w:rPr>
        <w:rStyle w:val="PageNumber"/>
      </w:rPr>
      <w:fldChar w:fldCharType="separate"/>
    </w:r>
    <w:r w:rsidR="008B0AEA">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72807" w14:textId="77777777" w:rsidR="00654F17" w:rsidRDefault="00654F17">
      <w:r>
        <w:separator/>
      </w:r>
    </w:p>
  </w:footnote>
  <w:footnote w:type="continuationSeparator" w:id="0">
    <w:p w14:paraId="36EC7738" w14:textId="77777777" w:rsidR="00654F17" w:rsidRDefault="00654F17">
      <w:r>
        <w:continuationSeparator/>
      </w:r>
    </w:p>
  </w:footnote>
  <w:footnote w:id="1">
    <w:p w14:paraId="151A777E" w14:textId="7419A26D" w:rsidR="00654F17" w:rsidRPr="009D1D6C" w:rsidRDefault="00654F17" w:rsidP="00E051C8">
      <w:pPr>
        <w:pStyle w:val="FootnoteText"/>
        <w:rPr>
          <w:rFonts w:cs="Arial"/>
          <w:sz w:val="20"/>
          <w:szCs w:val="20"/>
          <w:lang w:val="en-US"/>
        </w:rPr>
      </w:pPr>
      <w:r w:rsidRPr="009D1D6C">
        <w:rPr>
          <w:rStyle w:val="FootnoteReference"/>
          <w:rFonts w:cs="Arial"/>
          <w:sz w:val="20"/>
          <w:szCs w:val="20"/>
        </w:rPr>
        <w:footnoteRef/>
      </w:r>
      <w:r w:rsidRPr="009D1D6C">
        <w:rPr>
          <w:rFonts w:cs="Arial"/>
          <w:sz w:val="20"/>
          <w:szCs w:val="20"/>
        </w:rPr>
        <w:t xml:space="preserve"> </w:t>
      </w:r>
      <w:r w:rsidRPr="009D1D6C">
        <w:rPr>
          <w:rFonts w:cs="Arial"/>
          <w:sz w:val="20"/>
          <w:szCs w:val="20"/>
          <w:lang w:val="en-US"/>
        </w:rPr>
        <w:tab/>
      </w:r>
      <w:r w:rsidRPr="009D1D6C">
        <w:rPr>
          <w:rFonts w:cs="Arial"/>
          <w:sz w:val="20"/>
          <w:szCs w:val="20"/>
        </w:rPr>
        <w:t xml:space="preserve">DRAFT AER (Retail) Exempt Selling Guideline – Version 4 – September 2015, available: </w:t>
      </w:r>
      <w:hyperlink r:id="rId1" w:history="1">
        <w:r w:rsidRPr="009D1D6C">
          <w:rPr>
            <w:rStyle w:val="Hyperlink"/>
            <w:rFonts w:cs="Arial"/>
            <w:sz w:val="20"/>
            <w:szCs w:val="20"/>
          </w:rPr>
          <w:t>https://www.aer.gov.au/retail-markets/retail-guidelines/review-of-retail-exempt-selling-guideline-2015</w:t>
        </w:r>
      </w:hyperlink>
      <w:r w:rsidRPr="009D1D6C">
        <w:rPr>
          <w:rFonts w:cs="Arial"/>
          <w:sz w:val="20"/>
          <w:szCs w:val="20"/>
        </w:rPr>
        <w:t xml:space="preserve"> </w:t>
      </w:r>
    </w:p>
  </w:footnote>
  <w:footnote w:id="2">
    <w:p w14:paraId="3366D9C4" w14:textId="3443B2F9" w:rsidR="00654F17" w:rsidRPr="009D1D6C" w:rsidRDefault="00654F17" w:rsidP="00E051C8">
      <w:pPr>
        <w:pStyle w:val="FootnoteText"/>
        <w:rPr>
          <w:rFonts w:cs="Arial"/>
          <w:sz w:val="20"/>
          <w:szCs w:val="20"/>
        </w:rPr>
      </w:pPr>
      <w:r w:rsidRPr="009D1D6C">
        <w:rPr>
          <w:rStyle w:val="FootnoteReference"/>
          <w:rFonts w:cs="Arial"/>
          <w:sz w:val="20"/>
          <w:szCs w:val="20"/>
        </w:rPr>
        <w:footnoteRef/>
      </w:r>
      <w:r w:rsidRPr="009D1D6C">
        <w:rPr>
          <w:rFonts w:cs="Arial"/>
          <w:sz w:val="20"/>
          <w:szCs w:val="20"/>
        </w:rPr>
        <w:t xml:space="preserve"> </w:t>
      </w:r>
      <w:r w:rsidRPr="009D1D6C">
        <w:rPr>
          <w:rFonts w:cs="Arial"/>
          <w:sz w:val="20"/>
          <w:szCs w:val="20"/>
        </w:rPr>
        <w:tab/>
        <w:t>These requirements are set out in Division 11 of Part 2 of the Retail Law.</w:t>
      </w:r>
    </w:p>
  </w:footnote>
  <w:footnote w:id="3">
    <w:p w14:paraId="0BBD0880" w14:textId="41094A5B" w:rsidR="00654F17" w:rsidRPr="009D1D6C" w:rsidRDefault="00654F17" w:rsidP="000E3CED">
      <w:pPr>
        <w:pStyle w:val="NormalWeb"/>
        <w:spacing w:before="0" w:beforeAutospacing="0" w:after="0" w:afterAutospacing="0"/>
        <w:rPr>
          <w:rFonts w:ascii="Arial" w:hAnsi="Arial" w:cs="Arial"/>
        </w:rPr>
      </w:pPr>
      <w:r w:rsidRPr="009D1D6C">
        <w:rPr>
          <w:rStyle w:val="FootnoteReference"/>
          <w:rFonts w:cs="Arial"/>
        </w:rPr>
        <w:footnoteRef/>
      </w:r>
      <w:r w:rsidRPr="009D1D6C">
        <w:rPr>
          <w:rFonts w:ascii="Arial" w:hAnsi="Arial" w:cs="Arial"/>
        </w:rPr>
        <w:t xml:space="preserve"> </w:t>
      </w:r>
      <w:r w:rsidRPr="009D1D6C">
        <w:rPr>
          <w:rFonts w:ascii="Arial" w:hAnsi="Arial" w:cs="Arial"/>
        </w:rPr>
        <w:tab/>
        <w:t xml:space="preserve">PIAC submission to the AER issues paper, </w:t>
      </w:r>
      <w:r w:rsidRPr="009D1D6C">
        <w:rPr>
          <w:rFonts w:ascii="Arial" w:hAnsi="Arial" w:cs="Arial"/>
          <w:i/>
        </w:rPr>
        <w:t>Regulating innovative energy selling business models</w:t>
      </w:r>
      <w:r w:rsidR="003E6DD4">
        <w:rPr>
          <w:rFonts w:ascii="Arial" w:hAnsi="Arial" w:cs="Arial"/>
          <w:i/>
        </w:rPr>
        <w:tab/>
      </w:r>
      <w:r w:rsidRPr="009D1D6C">
        <w:rPr>
          <w:rFonts w:ascii="Arial" w:hAnsi="Arial" w:cs="Arial"/>
          <w:i/>
        </w:rPr>
        <w:t>under the</w:t>
      </w:r>
      <w:r w:rsidR="003E6DD4">
        <w:rPr>
          <w:rFonts w:ascii="Arial" w:hAnsi="Arial" w:cs="Arial"/>
        </w:rPr>
        <w:t xml:space="preserve"> </w:t>
      </w:r>
      <w:r w:rsidRPr="009D1D6C">
        <w:rPr>
          <w:rFonts w:ascii="Arial" w:hAnsi="Arial" w:cs="Arial"/>
          <w:i/>
          <w:iCs/>
        </w:rPr>
        <w:t xml:space="preserve">National Energy Retail Law, </w:t>
      </w:r>
      <w:r w:rsidRPr="009D1D6C">
        <w:rPr>
          <w:rFonts w:ascii="Arial" w:hAnsi="Arial" w:cs="Arial"/>
        </w:rPr>
        <w:t>16 February 2015</w:t>
      </w:r>
    </w:p>
  </w:footnote>
  <w:footnote w:id="4">
    <w:p w14:paraId="0F8298B8" w14:textId="7B2ECB5F" w:rsidR="00654F17" w:rsidRPr="009D1D6C" w:rsidRDefault="00654F17" w:rsidP="000E3CED">
      <w:pPr>
        <w:pStyle w:val="FootnoteText"/>
        <w:rPr>
          <w:rFonts w:cs="Arial"/>
          <w:sz w:val="20"/>
          <w:szCs w:val="20"/>
          <w:lang w:val="en-US"/>
        </w:rPr>
      </w:pPr>
      <w:r w:rsidRPr="009D1D6C">
        <w:rPr>
          <w:rStyle w:val="FootnoteReference"/>
          <w:rFonts w:cs="Arial"/>
          <w:sz w:val="20"/>
          <w:szCs w:val="20"/>
        </w:rPr>
        <w:footnoteRef/>
      </w:r>
      <w:r w:rsidRPr="009D1D6C">
        <w:rPr>
          <w:rFonts w:cs="Arial"/>
          <w:sz w:val="20"/>
          <w:szCs w:val="20"/>
        </w:rPr>
        <w:t xml:space="preserve"> </w:t>
      </w:r>
      <w:r w:rsidRPr="009D1D6C">
        <w:rPr>
          <w:rFonts w:cs="Arial"/>
          <w:sz w:val="20"/>
          <w:szCs w:val="20"/>
        </w:rPr>
        <w:tab/>
      </w:r>
      <w:r w:rsidRPr="009D1D6C">
        <w:rPr>
          <w:rFonts w:cs="Arial"/>
          <w:sz w:val="20"/>
          <w:szCs w:val="20"/>
          <w:lang w:val="en-US"/>
        </w:rPr>
        <w:t>See National Electricity Rules at [5.96]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F814F" w14:textId="77777777" w:rsidR="00654F17" w:rsidRDefault="00654F17">
    <w:pPr>
      <w:pStyle w:val="Header"/>
    </w:pPr>
    <w:r>
      <w:rPr>
        <w:noProof/>
        <w:lang w:val="en-AU" w:eastAsia="en-AU"/>
      </w:rPr>
      <mc:AlternateContent>
        <mc:Choice Requires="wps">
          <w:drawing>
            <wp:anchor distT="0" distB="0" distL="114300" distR="114300" simplePos="0" relativeHeight="251656704" behindDoc="0" locked="0" layoutInCell="1" allowOverlap="0" wp14:anchorId="5D530140" wp14:editId="5463EC5C">
              <wp:simplePos x="0" y="0"/>
              <wp:positionH relativeFrom="column">
                <wp:posOffset>3984625</wp:posOffset>
              </wp:positionH>
              <wp:positionV relativeFrom="page">
                <wp:posOffset>524510</wp:posOffset>
              </wp:positionV>
              <wp:extent cx="2057400" cy="96119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611995"/>
                      </a:xfrm>
                      <a:prstGeom prst="rect">
                        <a:avLst/>
                      </a:prstGeom>
                      <a:solidFill>
                        <a:srgbClr val="C0C0C0"/>
                      </a:solidFill>
                      <a:ln w="9525">
                        <a:solidFill>
                          <a:srgbClr val="000000">
                            <a:alpha val="30000"/>
                          </a:srgbClr>
                        </a:solidFill>
                        <a:miter lim="800000"/>
                        <a:headEnd/>
                        <a:tailEnd/>
                      </a:ln>
                    </wps:spPr>
                    <wps:txbx>
                      <w:txbxContent>
                        <w:p w14:paraId="3F050116" w14:textId="77777777" w:rsidR="00654F17" w:rsidRDefault="00654F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9" type="#_x0000_t202" style="position:absolute;margin-left:313.75pt;margin-top:41.3pt;width:162pt;height:75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" o:allowoverlap="f" fillcolor="silver">
              <v:stroke opacity="19789f"/>
              <v:textbox>
                <w:txbxContent>
                  <w:p w14:paraId="3F050116" w14:textId="77777777" w:rsidR="00AB4ACA" w:rsidRDefault="00AB4ACA"/>
                </w:txbxContent>
              </v:textbox>
              <w10:wrap anchory="page"/>
            </v:shape>
          </w:pict>
        </mc:Fallback>
      </mc:AlternateContent>
    </w:r>
    <w:r>
      <w:rPr>
        <w:noProof/>
        <w:lang w:val="en-AU" w:eastAsia="en-AU"/>
      </w:rPr>
      <w:drawing>
        <wp:anchor distT="0" distB="0" distL="114300" distR="114300" simplePos="0" relativeHeight="251658752" behindDoc="0" locked="0" layoutInCell="1" allowOverlap="0" wp14:anchorId="186F65C8" wp14:editId="04A073C4">
          <wp:simplePos x="0" y="0"/>
          <wp:positionH relativeFrom="column">
            <wp:posOffset>-209550</wp:posOffset>
          </wp:positionH>
          <wp:positionV relativeFrom="page">
            <wp:posOffset>540385</wp:posOffset>
          </wp:positionV>
          <wp:extent cx="2218055" cy="2684145"/>
          <wp:effectExtent l="0" t="0" r="0" b="8255"/>
          <wp:wrapNone/>
          <wp:docPr id="3" name="Picture 3" descr="PIAC_RGB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C_RGB_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55" cy="2684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BFB0E" w14:textId="77777777" w:rsidR="00654F17" w:rsidRDefault="00654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8232EC"/>
    <w:lvl w:ilvl="0">
      <w:start w:val="1"/>
      <w:numFmt w:val="bullet"/>
      <w:lvlText w:val=""/>
      <w:lvlJc w:val="left"/>
      <w:pPr>
        <w:tabs>
          <w:tab w:val="num" w:pos="360"/>
        </w:tabs>
        <w:ind w:left="360" w:hanging="360"/>
      </w:pPr>
      <w:rPr>
        <w:rFonts w:ascii="Symbol" w:hAnsi="Symbol" w:hint="default"/>
      </w:rPr>
    </w:lvl>
  </w:abstractNum>
  <w:abstractNum w:abstractNumId="1">
    <w:nsid w:val="042B0F7B"/>
    <w:multiLevelType w:val="multilevel"/>
    <w:tmpl w:val="0734B46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0A22595E"/>
    <w:multiLevelType w:val="multilevel"/>
    <w:tmpl w:val="B740851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17641FA4"/>
    <w:multiLevelType w:val="multilevel"/>
    <w:tmpl w:val="56381966"/>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decimal"/>
      <w:pStyle w:val="Numberedheading3-legal"/>
      <w:lvlText w:val="%1.%2.%3"/>
      <w:lvlJc w:val="left"/>
      <w:pPr>
        <w:tabs>
          <w:tab w:val="num" w:pos="851"/>
        </w:tabs>
        <w:ind w:left="851" w:hanging="851"/>
      </w:pPr>
      <w:rPr>
        <w:rFonts w:hint="default"/>
      </w:rPr>
    </w:lvl>
    <w:lvl w:ilvl="3">
      <w:start w:val="1"/>
      <w:numFmt w:val="decimal"/>
      <w:pStyle w:val="Numberedheading4-leg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214640A1"/>
    <w:multiLevelType w:val="multilevel"/>
    <w:tmpl w:val="C812EF1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2A7F172F"/>
    <w:multiLevelType w:val="hybridMultilevel"/>
    <w:tmpl w:val="2666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C5061"/>
    <w:multiLevelType w:val="multilevel"/>
    <w:tmpl w:val="41140E70"/>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4E441D7"/>
    <w:multiLevelType w:val="multilevel"/>
    <w:tmpl w:val="9CEC712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37295D35"/>
    <w:multiLevelType w:val="multilevel"/>
    <w:tmpl w:val="F47865A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3BDA6634"/>
    <w:multiLevelType w:val="hybridMultilevel"/>
    <w:tmpl w:val="39D622D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165F4F"/>
    <w:multiLevelType w:val="multilevel"/>
    <w:tmpl w:val="9CEC712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42F15E10"/>
    <w:multiLevelType w:val="hybridMultilevel"/>
    <w:tmpl w:val="35EE7324"/>
    <w:lvl w:ilvl="0" w:tplc="BD0649B4">
      <w:start w:val="1"/>
      <w:numFmt w:val="bullet"/>
      <w:pStyle w:val="BullettedLis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12">
    <w:nsid w:val="4A6B39AF"/>
    <w:multiLevelType w:val="multilevel"/>
    <w:tmpl w:val="650A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D5582C"/>
    <w:multiLevelType w:val="hybridMultilevel"/>
    <w:tmpl w:val="BA803A20"/>
    <w:lvl w:ilvl="0" w:tplc="B91EA956">
      <w:start w:val="1"/>
      <w:numFmt w:val="decimal"/>
      <w:lvlText w:val="%1."/>
      <w:lvlJc w:val="left"/>
      <w:pPr>
        <w:tabs>
          <w:tab w:val="num" w:pos="425"/>
        </w:tabs>
        <w:ind w:left="425" w:hanging="425"/>
      </w:pPr>
      <w:rPr>
        <w:rFonts w:ascii="Myriad Pro Light" w:hAnsi="Myriad Pro Light"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0775E9"/>
    <w:multiLevelType w:val="hybridMultilevel"/>
    <w:tmpl w:val="2BAE2618"/>
    <w:lvl w:ilvl="0" w:tplc="F3F805AA">
      <w:start w:val="1"/>
      <w:numFmt w:val="decimal"/>
      <w:pStyle w:val="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0D52FB"/>
    <w:multiLevelType w:val="hybridMultilevel"/>
    <w:tmpl w:val="4E06D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CFF05F0"/>
    <w:multiLevelType w:val="multilevel"/>
    <w:tmpl w:val="10C6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0"/>
  </w:num>
  <w:num w:numId="4">
    <w:abstractNumId w:val="2"/>
  </w:num>
  <w:num w:numId="5">
    <w:abstractNumId w:val="4"/>
  </w:num>
  <w:num w:numId="6">
    <w:abstractNumId w:val="10"/>
  </w:num>
  <w:num w:numId="7">
    <w:abstractNumId w:val="7"/>
  </w:num>
  <w:num w:numId="8">
    <w:abstractNumId w:val="8"/>
  </w:num>
  <w:num w:numId="9">
    <w:abstractNumId w:val="1"/>
  </w:num>
  <w:num w:numId="10">
    <w:abstractNumId w:val="13"/>
  </w:num>
  <w:num w:numId="11">
    <w:abstractNumId w:val="14"/>
  </w:num>
  <w:num w:numId="12">
    <w:abstractNumId w:val="6"/>
  </w:num>
  <w:num w:numId="13">
    <w:abstractNumId w:val="5"/>
  </w:num>
  <w:num w:numId="14">
    <w:abstractNumId w:val="9"/>
  </w:num>
  <w:num w:numId="15">
    <w:abstractNumId w:val="16"/>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oNotTrackMoves/>
  <w:defaultTabStop w:val="567"/>
  <w:evenAndOddHeaders/>
  <w:displayHorizontalDrawingGridEvery w:val="0"/>
  <w:displayVerticalDrawingGridEvery w:val="0"/>
  <w:doNotUseMarginsForDrawingGridOrigin/>
  <w:noPunctuationKerning/>
  <w:characterSpacingControl w:val="doNotCompress"/>
  <w:hdrShapeDefaults>
    <o:shapedefaults v:ext="edit" spidmax="4097">
      <o:colormru v:ext="edit" colors="#ab2c0d,#ab2125,#89002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tstev\AppData\Local\Microsoft\Windows\Temporary Internet Files\Content.Outlook\PFYLI6Z6\15.11.09 Striking a just balance - regulating alternative energy sellers in an evolving market.docx"/>
  </w:docVars>
  <w:rsids>
    <w:rsidRoot w:val="00521EFA"/>
    <w:rsid w:val="00006EA6"/>
    <w:rsid w:val="000271E9"/>
    <w:rsid w:val="0003130A"/>
    <w:rsid w:val="000362C5"/>
    <w:rsid w:val="00036EEF"/>
    <w:rsid w:val="00057460"/>
    <w:rsid w:val="000653D9"/>
    <w:rsid w:val="000738D5"/>
    <w:rsid w:val="00075E0B"/>
    <w:rsid w:val="00090D3A"/>
    <w:rsid w:val="000B1C7A"/>
    <w:rsid w:val="000C2F91"/>
    <w:rsid w:val="000D4615"/>
    <w:rsid w:val="000D7D28"/>
    <w:rsid w:val="000E2936"/>
    <w:rsid w:val="000E3CED"/>
    <w:rsid w:val="000F0CFA"/>
    <w:rsid w:val="00101671"/>
    <w:rsid w:val="0010169A"/>
    <w:rsid w:val="00113A6C"/>
    <w:rsid w:val="00126B35"/>
    <w:rsid w:val="00131A0E"/>
    <w:rsid w:val="00132079"/>
    <w:rsid w:val="00165C3A"/>
    <w:rsid w:val="00165D0A"/>
    <w:rsid w:val="00174D62"/>
    <w:rsid w:val="001B2EA2"/>
    <w:rsid w:val="001B503E"/>
    <w:rsid w:val="001B5A6B"/>
    <w:rsid w:val="00200739"/>
    <w:rsid w:val="00204077"/>
    <w:rsid w:val="00223885"/>
    <w:rsid w:val="002336F5"/>
    <w:rsid w:val="00236683"/>
    <w:rsid w:val="00245877"/>
    <w:rsid w:val="002666F8"/>
    <w:rsid w:val="002729DD"/>
    <w:rsid w:val="002754E0"/>
    <w:rsid w:val="002812DC"/>
    <w:rsid w:val="00285AA2"/>
    <w:rsid w:val="00290BC8"/>
    <w:rsid w:val="002A6C44"/>
    <w:rsid w:val="002C2E80"/>
    <w:rsid w:val="002C3CA1"/>
    <w:rsid w:val="002E6D1A"/>
    <w:rsid w:val="002F0847"/>
    <w:rsid w:val="002F08ED"/>
    <w:rsid w:val="00301F71"/>
    <w:rsid w:val="00311EF1"/>
    <w:rsid w:val="00315286"/>
    <w:rsid w:val="00324771"/>
    <w:rsid w:val="00342FEC"/>
    <w:rsid w:val="0035039A"/>
    <w:rsid w:val="0035584D"/>
    <w:rsid w:val="00381383"/>
    <w:rsid w:val="00391574"/>
    <w:rsid w:val="003A143A"/>
    <w:rsid w:val="003B6E46"/>
    <w:rsid w:val="003B7B22"/>
    <w:rsid w:val="003D621B"/>
    <w:rsid w:val="003D7878"/>
    <w:rsid w:val="003E6DD4"/>
    <w:rsid w:val="003F0404"/>
    <w:rsid w:val="003F6C35"/>
    <w:rsid w:val="00422D17"/>
    <w:rsid w:val="00431C5D"/>
    <w:rsid w:val="004420B8"/>
    <w:rsid w:val="00445E00"/>
    <w:rsid w:val="00450CA1"/>
    <w:rsid w:val="00452E24"/>
    <w:rsid w:val="00456A27"/>
    <w:rsid w:val="00463A75"/>
    <w:rsid w:val="004A312C"/>
    <w:rsid w:val="004B4501"/>
    <w:rsid w:val="004B4BD0"/>
    <w:rsid w:val="004C3E60"/>
    <w:rsid w:val="004D5BBB"/>
    <w:rsid w:val="004E119C"/>
    <w:rsid w:val="00517B2D"/>
    <w:rsid w:val="00521EFA"/>
    <w:rsid w:val="00525895"/>
    <w:rsid w:val="0054459F"/>
    <w:rsid w:val="005678C6"/>
    <w:rsid w:val="005738D4"/>
    <w:rsid w:val="005744C7"/>
    <w:rsid w:val="005A4143"/>
    <w:rsid w:val="005D0DBB"/>
    <w:rsid w:val="005D5403"/>
    <w:rsid w:val="005E3EE0"/>
    <w:rsid w:val="00603F63"/>
    <w:rsid w:val="00610810"/>
    <w:rsid w:val="00620A78"/>
    <w:rsid w:val="006308CD"/>
    <w:rsid w:val="00654F17"/>
    <w:rsid w:val="006570FB"/>
    <w:rsid w:val="00661723"/>
    <w:rsid w:val="00665615"/>
    <w:rsid w:val="00673DED"/>
    <w:rsid w:val="0068658C"/>
    <w:rsid w:val="0068753C"/>
    <w:rsid w:val="006A299E"/>
    <w:rsid w:val="006A6368"/>
    <w:rsid w:val="006D7F7C"/>
    <w:rsid w:val="006E03FC"/>
    <w:rsid w:val="007025E3"/>
    <w:rsid w:val="00705E1E"/>
    <w:rsid w:val="00722478"/>
    <w:rsid w:val="007307FA"/>
    <w:rsid w:val="00731D01"/>
    <w:rsid w:val="00755FD9"/>
    <w:rsid w:val="00770E98"/>
    <w:rsid w:val="00773160"/>
    <w:rsid w:val="00773242"/>
    <w:rsid w:val="007856C9"/>
    <w:rsid w:val="0079695E"/>
    <w:rsid w:val="007D3F28"/>
    <w:rsid w:val="007D6C20"/>
    <w:rsid w:val="008047AC"/>
    <w:rsid w:val="00866C77"/>
    <w:rsid w:val="0087252E"/>
    <w:rsid w:val="00885104"/>
    <w:rsid w:val="00890AEF"/>
    <w:rsid w:val="008A68E2"/>
    <w:rsid w:val="008B0AEA"/>
    <w:rsid w:val="008C1A1A"/>
    <w:rsid w:val="009032F5"/>
    <w:rsid w:val="00904603"/>
    <w:rsid w:val="00921FD6"/>
    <w:rsid w:val="0092332C"/>
    <w:rsid w:val="0092479F"/>
    <w:rsid w:val="0092678B"/>
    <w:rsid w:val="00931BD5"/>
    <w:rsid w:val="00932744"/>
    <w:rsid w:val="00956C87"/>
    <w:rsid w:val="00994898"/>
    <w:rsid w:val="0099664A"/>
    <w:rsid w:val="009B25CF"/>
    <w:rsid w:val="009B3EAC"/>
    <w:rsid w:val="009B5B23"/>
    <w:rsid w:val="009C3497"/>
    <w:rsid w:val="009D1D6C"/>
    <w:rsid w:val="009D3C3A"/>
    <w:rsid w:val="00A01D87"/>
    <w:rsid w:val="00A037D6"/>
    <w:rsid w:val="00A121B8"/>
    <w:rsid w:val="00A147C1"/>
    <w:rsid w:val="00A2277F"/>
    <w:rsid w:val="00A300AE"/>
    <w:rsid w:val="00A350DA"/>
    <w:rsid w:val="00A40D03"/>
    <w:rsid w:val="00A50D2D"/>
    <w:rsid w:val="00A71A7F"/>
    <w:rsid w:val="00A81E0B"/>
    <w:rsid w:val="00A90310"/>
    <w:rsid w:val="00A906F1"/>
    <w:rsid w:val="00A9217D"/>
    <w:rsid w:val="00AA2634"/>
    <w:rsid w:val="00AA6FB3"/>
    <w:rsid w:val="00AB4ACA"/>
    <w:rsid w:val="00AB6E3C"/>
    <w:rsid w:val="00AC3135"/>
    <w:rsid w:val="00AC5DFA"/>
    <w:rsid w:val="00AF0A8E"/>
    <w:rsid w:val="00B2160C"/>
    <w:rsid w:val="00B3050A"/>
    <w:rsid w:val="00B44541"/>
    <w:rsid w:val="00B60FD1"/>
    <w:rsid w:val="00B80AA9"/>
    <w:rsid w:val="00B83FF4"/>
    <w:rsid w:val="00BA5BBA"/>
    <w:rsid w:val="00BE5872"/>
    <w:rsid w:val="00BE5DA9"/>
    <w:rsid w:val="00BE74CB"/>
    <w:rsid w:val="00BF0893"/>
    <w:rsid w:val="00BF6ACB"/>
    <w:rsid w:val="00C13C1B"/>
    <w:rsid w:val="00C23BE8"/>
    <w:rsid w:val="00C330B2"/>
    <w:rsid w:val="00C351BA"/>
    <w:rsid w:val="00C51664"/>
    <w:rsid w:val="00C52A85"/>
    <w:rsid w:val="00C56DB8"/>
    <w:rsid w:val="00C61DAC"/>
    <w:rsid w:val="00C64707"/>
    <w:rsid w:val="00C70FF7"/>
    <w:rsid w:val="00C710E1"/>
    <w:rsid w:val="00C71BED"/>
    <w:rsid w:val="00C97B2E"/>
    <w:rsid w:val="00CB5008"/>
    <w:rsid w:val="00CB6246"/>
    <w:rsid w:val="00CF32CC"/>
    <w:rsid w:val="00CF70C3"/>
    <w:rsid w:val="00D07C44"/>
    <w:rsid w:val="00D12B9B"/>
    <w:rsid w:val="00D137A7"/>
    <w:rsid w:val="00D23305"/>
    <w:rsid w:val="00D24004"/>
    <w:rsid w:val="00D40ED8"/>
    <w:rsid w:val="00D429E3"/>
    <w:rsid w:val="00D43B00"/>
    <w:rsid w:val="00D51C9E"/>
    <w:rsid w:val="00D6514F"/>
    <w:rsid w:val="00D93382"/>
    <w:rsid w:val="00DA52B4"/>
    <w:rsid w:val="00DA7E61"/>
    <w:rsid w:val="00DB175B"/>
    <w:rsid w:val="00DB5F8B"/>
    <w:rsid w:val="00DF3A74"/>
    <w:rsid w:val="00E051C8"/>
    <w:rsid w:val="00E14389"/>
    <w:rsid w:val="00E25DE1"/>
    <w:rsid w:val="00E306C7"/>
    <w:rsid w:val="00E34F4B"/>
    <w:rsid w:val="00E441AB"/>
    <w:rsid w:val="00E448C1"/>
    <w:rsid w:val="00E45FFC"/>
    <w:rsid w:val="00EA296D"/>
    <w:rsid w:val="00EA3F47"/>
    <w:rsid w:val="00EB6B6F"/>
    <w:rsid w:val="00EB74AF"/>
    <w:rsid w:val="00ED5D8A"/>
    <w:rsid w:val="00ED6A0E"/>
    <w:rsid w:val="00EE2E3F"/>
    <w:rsid w:val="00EF30BE"/>
    <w:rsid w:val="00F13B6C"/>
    <w:rsid w:val="00F17808"/>
    <w:rsid w:val="00F236DF"/>
    <w:rsid w:val="00F23A30"/>
    <w:rsid w:val="00F23EAD"/>
    <w:rsid w:val="00F33406"/>
    <w:rsid w:val="00F35626"/>
    <w:rsid w:val="00F77DF7"/>
    <w:rsid w:val="00F92652"/>
    <w:rsid w:val="00FA0806"/>
    <w:rsid w:val="00FA7781"/>
    <w:rsid w:val="00FB6E77"/>
    <w:rsid w:val="00FC2C5A"/>
    <w:rsid w:val="00FD338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ab2c0d,#ab2125,#890029"/>
    </o:shapedefaults>
    <o:shapelayout v:ext="edit">
      <o:idmap v:ext="edit" data="1"/>
    </o:shapelayout>
  </w:shapeDefaults>
  <w:decimalSymbol w:val="."/>
  <w:listSeparator w:val=","/>
  <w14:docId w14:val="57E650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6E"/>
    <w:pPr>
      <w:spacing w:line="280" w:lineRule="exact"/>
    </w:pPr>
    <w:rPr>
      <w:rFonts w:ascii="Arial" w:hAnsi="Arial"/>
      <w:sz w:val="22"/>
      <w:szCs w:val="24"/>
      <w:lang w:val="en-GB"/>
    </w:rPr>
  </w:style>
  <w:style w:type="paragraph" w:styleId="Heading1">
    <w:name w:val="heading 1"/>
    <w:basedOn w:val="Normal"/>
    <w:next w:val="Normal"/>
    <w:qFormat/>
    <w:rsid w:val="00705E1E"/>
    <w:pPr>
      <w:keepNext/>
      <w:spacing w:before="360" w:after="120" w:line="240" w:lineRule="atLeast"/>
      <w:outlineLvl w:val="0"/>
    </w:pPr>
    <w:rPr>
      <w:b/>
      <w:kern w:val="32"/>
      <w:sz w:val="32"/>
      <w:szCs w:val="32"/>
    </w:rPr>
  </w:style>
  <w:style w:type="paragraph" w:styleId="Heading2">
    <w:name w:val="heading 2"/>
    <w:basedOn w:val="Normal"/>
    <w:next w:val="Normal"/>
    <w:qFormat/>
    <w:rsid w:val="00705E1E"/>
    <w:pPr>
      <w:keepNext/>
      <w:spacing w:before="240" w:after="60" w:line="240" w:lineRule="atLeast"/>
      <w:outlineLvl w:val="1"/>
    </w:pPr>
    <w:rPr>
      <w:b/>
      <w:sz w:val="26"/>
      <w:szCs w:val="28"/>
    </w:rPr>
  </w:style>
  <w:style w:type="paragraph" w:styleId="Heading3">
    <w:name w:val="heading 3"/>
    <w:basedOn w:val="Normal"/>
    <w:next w:val="Normal"/>
    <w:qFormat/>
    <w:pPr>
      <w:keepNext/>
      <w:spacing w:before="240"/>
      <w:outlineLvl w:val="2"/>
    </w:pPr>
    <w:rPr>
      <w:b/>
      <w:color w:val="000000"/>
      <w:sz w:val="24"/>
    </w:rPr>
  </w:style>
  <w:style w:type="paragraph" w:styleId="Heading4">
    <w:name w:val="heading 4"/>
    <w:basedOn w:val="Normal"/>
    <w:next w:val="Normal"/>
    <w:qFormat/>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rsid w:val="00EC7B6E"/>
    <w:pPr>
      <w:ind w:left="567" w:right="558"/>
    </w:pPr>
    <w:rPr>
      <w:sz w:val="20"/>
    </w:rPr>
  </w:style>
  <w:style w:type="paragraph" w:customStyle="1" w:styleId="BullettedList">
    <w:name w:val="Bulletted List"/>
    <w:rsid w:val="00EC7B6E"/>
    <w:pPr>
      <w:numPr>
        <w:numId w:val="1"/>
      </w:numPr>
      <w:tabs>
        <w:tab w:val="clear" w:pos="360"/>
      </w:tabs>
      <w:spacing w:line="280" w:lineRule="exact"/>
      <w:ind w:left="425" w:hanging="425"/>
    </w:pPr>
    <w:rPr>
      <w:rFonts w:ascii="Arial" w:hAnsi="Arial"/>
      <w:sz w:val="22"/>
    </w:rPr>
  </w:style>
  <w:style w:type="paragraph" w:customStyle="1" w:styleId="NumberedHeading1">
    <w:name w:val="Numbered Heading 1"/>
    <w:basedOn w:val="Heading1"/>
    <w:next w:val="Normal"/>
    <w:rsid w:val="00705E1E"/>
    <w:pPr>
      <w:numPr>
        <w:numId w:val="2"/>
      </w:numPr>
    </w:pPr>
    <w:rPr>
      <w:kern w:val="0"/>
    </w:rPr>
  </w:style>
  <w:style w:type="paragraph" w:customStyle="1" w:styleId="NumberedHeading2">
    <w:name w:val="Numbered Heading 2"/>
    <w:basedOn w:val="Heading2"/>
    <w:next w:val="Normal"/>
    <w:rsid w:val="00EC7B6E"/>
    <w:pPr>
      <w:numPr>
        <w:ilvl w:val="1"/>
        <w:numId w:val="2"/>
      </w:numPr>
    </w:pPr>
  </w:style>
  <w:style w:type="paragraph" w:styleId="TOC1">
    <w:name w:val="toc 1"/>
    <w:basedOn w:val="Normal"/>
    <w:next w:val="Normal"/>
    <w:semiHidden/>
    <w:pPr>
      <w:tabs>
        <w:tab w:val="right" w:leader="dot" w:pos="9459"/>
      </w:tabs>
      <w:spacing w:before="240" w:after="60"/>
      <w:ind w:left="567" w:hanging="567"/>
    </w:pPr>
    <w:rPr>
      <w:b/>
      <w:noProof/>
      <w:sz w:val="28"/>
    </w:rPr>
  </w:style>
  <w:style w:type="paragraph" w:styleId="FootnoteText">
    <w:name w:val="footnote text"/>
    <w:aliases w:val="Footnote text,Footnote"/>
    <w:basedOn w:val="Normal"/>
    <w:link w:val="FootnoteTextChar"/>
    <w:uiPriority w:val="99"/>
    <w:semiHidden/>
    <w:qFormat/>
    <w:rsid w:val="004B4501"/>
    <w:pPr>
      <w:spacing w:line="240" w:lineRule="auto"/>
      <w:ind w:left="567" w:hanging="567"/>
    </w:pPr>
    <w:rPr>
      <w:sz w:val="18"/>
    </w:rPr>
  </w:style>
  <w:style w:type="character" w:styleId="FootnoteReference">
    <w:name w:val="footnote reference"/>
    <w:basedOn w:val="DefaultParagraphFont"/>
    <w:uiPriority w:val="99"/>
    <w:semiHidden/>
    <w:rsid w:val="005728C7"/>
    <w:rPr>
      <w:rFonts w:ascii="Arial" w:hAnsi="Arial"/>
      <w:vertAlign w:val="superscript"/>
    </w:rPr>
  </w:style>
  <w:style w:type="paragraph" w:customStyle="1" w:styleId="Recommendation">
    <w:name w:val="Recommendation"/>
    <w:basedOn w:val="Normal"/>
    <w:next w:val="Normal"/>
    <w:rsid w:val="00EC7B6E"/>
    <w:pPr>
      <w:keepNext/>
      <w:pBdr>
        <w:bottom w:val="dotted" w:sz="4" w:space="0" w:color="auto"/>
      </w:pBdr>
      <w:spacing w:before="240" w:after="60"/>
    </w:pPr>
    <w:rPr>
      <w:b/>
      <w:i/>
      <w:szCs w:val="20"/>
    </w:rPr>
  </w:style>
  <w:style w:type="paragraph" w:customStyle="1" w:styleId="Recommendationtext">
    <w:name w:val="Recommendation text"/>
    <w:basedOn w:val="Recommendation"/>
    <w:rsid w:val="004B4501"/>
    <w:pPr>
      <w:keepNext w:val="0"/>
      <w:pBdr>
        <w:bottom w:val="none" w:sz="0" w:space="0" w:color="auto"/>
      </w:pBdr>
      <w:spacing w:before="60" w:after="0"/>
    </w:pPr>
    <w:rPr>
      <w:b w:val="0"/>
    </w:rPr>
  </w:style>
  <w:style w:type="character" w:styleId="Hyperlink">
    <w:name w:val="Hyperlink"/>
    <w:basedOn w:val="DefaultParagraphFont"/>
    <w:rsid w:val="005728C7"/>
    <w:rPr>
      <w:rFonts w:ascii="Arial" w:hAnsi="Arial"/>
      <w:color w:val="0000FF"/>
      <w:u w:val="singl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rsid w:val="005728C7"/>
    <w:rPr>
      <w:rFonts w:ascii="Arial" w:hAnsi="Arial"/>
      <w:sz w:val="20"/>
    </w:rPr>
  </w:style>
  <w:style w:type="paragraph" w:customStyle="1" w:styleId="NumberedList">
    <w:name w:val="Numbered List"/>
    <w:rsid w:val="00EC7B6E"/>
    <w:pPr>
      <w:numPr>
        <w:numId w:val="11"/>
      </w:numPr>
      <w:spacing w:line="280" w:lineRule="exact"/>
    </w:pPr>
    <w:rPr>
      <w:rFonts w:ascii="Arial" w:hAnsi="Arial"/>
      <w:noProof/>
      <w:sz w:val="22"/>
    </w:rPr>
  </w:style>
  <w:style w:type="paragraph" w:customStyle="1" w:styleId="Numberedheading3-legal">
    <w:name w:val="Numbered heading 3 - legal"/>
    <w:basedOn w:val="Normal"/>
    <w:pPr>
      <w:numPr>
        <w:ilvl w:val="2"/>
        <w:numId w:val="2"/>
      </w:numPr>
    </w:pPr>
    <w:rPr>
      <w:b/>
      <w:sz w:val="24"/>
    </w:rPr>
  </w:style>
  <w:style w:type="paragraph" w:customStyle="1" w:styleId="Numberedheading4-legal">
    <w:name w:val="Numbered heading 4 - legal"/>
    <w:basedOn w:val="Numberedheading3-legal"/>
    <w:pPr>
      <w:numPr>
        <w:ilvl w:val="3"/>
      </w:numPr>
    </w:pPr>
    <w:rPr>
      <w:sz w:val="22"/>
    </w:rPr>
  </w:style>
  <w:style w:type="paragraph" w:customStyle="1" w:styleId="DateAuthor">
    <w:name w:val="Date/Author"/>
    <w:basedOn w:val="Heading2"/>
    <w:rsid w:val="00705E1E"/>
    <w:pPr>
      <w:ind w:left="142"/>
    </w:pPr>
    <w:rPr>
      <w:sz w:val="24"/>
    </w:rPr>
  </w:style>
  <w:style w:type="paragraph" w:customStyle="1" w:styleId="Titleofsubmission">
    <w:name w:val="Title of submission"/>
    <w:basedOn w:val="Heading1"/>
    <w:rsid w:val="00705E1E"/>
    <w:pPr>
      <w:ind w:left="142"/>
    </w:pPr>
  </w:style>
  <w:style w:type="paragraph" w:styleId="TOC2">
    <w:name w:val="toc 2"/>
    <w:basedOn w:val="Normal"/>
    <w:next w:val="Normal"/>
    <w:semiHidden/>
    <w:pPr>
      <w:tabs>
        <w:tab w:val="left" w:pos="1134"/>
        <w:tab w:val="right" w:leader="dot" w:pos="9459"/>
      </w:tabs>
      <w:ind w:left="1701" w:hanging="1134"/>
    </w:pPr>
  </w:style>
  <w:style w:type="paragraph" w:styleId="TOC3">
    <w:name w:val="toc 3"/>
    <w:basedOn w:val="Normal"/>
    <w:next w:val="Normal"/>
    <w:semiHidden/>
    <w:pPr>
      <w:tabs>
        <w:tab w:val="left" w:pos="1843"/>
        <w:tab w:val="right" w:pos="2268"/>
        <w:tab w:val="right" w:leader="dot" w:pos="9459"/>
      </w:tabs>
      <w:ind w:left="2977" w:hanging="1843"/>
    </w:pPr>
  </w:style>
  <w:style w:type="paragraph" w:styleId="TOC4">
    <w:name w:val="toc 4"/>
    <w:basedOn w:val="Normal"/>
    <w:next w:val="Normal"/>
    <w:semiHidden/>
    <w:pPr>
      <w:tabs>
        <w:tab w:val="left" w:pos="2694"/>
        <w:tab w:val="right" w:leader="dot" w:pos="9459"/>
      </w:tabs>
      <w:ind w:left="4536" w:hanging="2693"/>
    </w:pPr>
    <w:rPr>
      <w:noProof/>
      <w:sz w:val="20"/>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link w:val="BalloonTextChar"/>
    <w:uiPriority w:val="99"/>
    <w:semiHidden/>
    <w:unhideWhenUsed/>
    <w:rsid w:val="00FA778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781"/>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620A78"/>
    <w:rPr>
      <w:sz w:val="18"/>
      <w:szCs w:val="18"/>
    </w:rPr>
  </w:style>
  <w:style w:type="paragraph" w:styleId="ListParagraph">
    <w:name w:val="List Paragraph"/>
    <w:basedOn w:val="Normal"/>
    <w:uiPriority w:val="34"/>
    <w:qFormat/>
    <w:rsid w:val="00D93382"/>
    <w:pPr>
      <w:ind w:left="720"/>
      <w:contextualSpacing/>
    </w:pPr>
  </w:style>
  <w:style w:type="paragraph" w:styleId="NormalWeb">
    <w:name w:val="Normal (Web)"/>
    <w:basedOn w:val="Normal"/>
    <w:uiPriority w:val="99"/>
    <w:unhideWhenUsed/>
    <w:rsid w:val="001B2EA2"/>
    <w:pPr>
      <w:spacing w:before="100" w:beforeAutospacing="1" w:after="100" w:afterAutospacing="1" w:line="240" w:lineRule="auto"/>
    </w:pPr>
    <w:rPr>
      <w:rFonts w:ascii="Times" w:eastAsiaTheme="minorEastAsia" w:hAnsi="Times"/>
      <w:sz w:val="20"/>
      <w:szCs w:val="20"/>
      <w:lang w:val="en-AU"/>
    </w:rPr>
  </w:style>
  <w:style w:type="character" w:customStyle="1" w:styleId="FootnoteTextChar">
    <w:name w:val="Footnote Text Char"/>
    <w:aliases w:val="Footnote text Char,Footnote Char"/>
    <w:basedOn w:val="DefaultParagraphFont"/>
    <w:link w:val="FootnoteText"/>
    <w:uiPriority w:val="99"/>
    <w:semiHidden/>
    <w:rsid w:val="00E051C8"/>
    <w:rPr>
      <w:rFonts w:ascii="Arial" w:hAnsi="Arial"/>
      <w:sz w:val="18"/>
      <w:szCs w:val="24"/>
      <w:lang w:val="en-GB"/>
    </w:rPr>
  </w:style>
  <w:style w:type="paragraph" w:styleId="CommentText">
    <w:name w:val="annotation text"/>
    <w:basedOn w:val="Normal"/>
    <w:link w:val="CommentTextChar"/>
    <w:uiPriority w:val="99"/>
    <w:semiHidden/>
    <w:unhideWhenUsed/>
    <w:rsid w:val="00391574"/>
    <w:pPr>
      <w:spacing w:line="240" w:lineRule="auto"/>
    </w:pPr>
    <w:rPr>
      <w:sz w:val="24"/>
    </w:rPr>
  </w:style>
  <w:style w:type="character" w:customStyle="1" w:styleId="CommentTextChar">
    <w:name w:val="Comment Text Char"/>
    <w:basedOn w:val="DefaultParagraphFont"/>
    <w:link w:val="CommentText"/>
    <w:uiPriority w:val="99"/>
    <w:semiHidden/>
    <w:rsid w:val="00391574"/>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391574"/>
    <w:rPr>
      <w:b/>
      <w:bCs/>
      <w:sz w:val="20"/>
      <w:szCs w:val="20"/>
    </w:rPr>
  </w:style>
  <w:style w:type="character" w:customStyle="1" w:styleId="CommentSubjectChar">
    <w:name w:val="Comment Subject Char"/>
    <w:basedOn w:val="CommentTextChar"/>
    <w:link w:val="CommentSubject"/>
    <w:uiPriority w:val="99"/>
    <w:semiHidden/>
    <w:rsid w:val="00391574"/>
    <w:rPr>
      <w:rFonts w:ascii="Arial" w:hAnsi="Arial"/>
      <w:b/>
      <w:bCs/>
      <w:sz w:val="24"/>
      <w:szCs w:val="24"/>
      <w:lang w:val="en-GB"/>
    </w:rPr>
  </w:style>
  <w:style w:type="character" w:styleId="FollowedHyperlink">
    <w:name w:val="FollowedHyperlink"/>
    <w:basedOn w:val="DefaultParagraphFont"/>
    <w:uiPriority w:val="99"/>
    <w:semiHidden/>
    <w:unhideWhenUsed/>
    <w:rsid w:val="00C52A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6E"/>
    <w:pPr>
      <w:spacing w:line="280" w:lineRule="exact"/>
    </w:pPr>
    <w:rPr>
      <w:rFonts w:ascii="Arial" w:hAnsi="Arial"/>
      <w:sz w:val="22"/>
      <w:szCs w:val="24"/>
      <w:lang w:val="en-GB"/>
    </w:rPr>
  </w:style>
  <w:style w:type="paragraph" w:styleId="Heading1">
    <w:name w:val="heading 1"/>
    <w:basedOn w:val="Normal"/>
    <w:next w:val="Normal"/>
    <w:qFormat/>
    <w:rsid w:val="00705E1E"/>
    <w:pPr>
      <w:keepNext/>
      <w:spacing w:before="360" w:after="120" w:line="240" w:lineRule="atLeast"/>
      <w:outlineLvl w:val="0"/>
    </w:pPr>
    <w:rPr>
      <w:b/>
      <w:kern w:val="32"/>
      <w:sz w:val="32"/>
      <w:szCs w:val="32"/>
    </w:rPr>
  </w:style>
  <w:style w:type="paragraph" w:styleId="Heading2">
    <w:name w:val="heading 2"/>
    <w:basedOn w:val="Normal"/>
    <w:next w:val="Normal"/>
    <w:qFormat/>
    <w:rsid w:val="00705E1E"/>
    <w:pPr>
      <w:keepNext/>
      <w:spacing w:before="240" w:after="60" w:line="240" w:lineRule="atLeast"/>
      <w:outlineLvl w:val="1"/>
    </w:pPr>
    <w:rPr>
      <w:b/>
      <w:sz w:val="26"/>
      <w:szCs w:val="28"/>
    </w:rPr>
  </w:style>
  <w:style w:type="paragraph" w:styleId="Heading3">
    <w:name w:val="heading 3"/>
    <w:basedOn w:val="Normal"/>
    <w:next w:val="Normal"/>
    <w:qFormat/>
    <w:pPr>
      <w:keepNext/>
      <w:spacing w:before="240"/>
      <w:outlineLvl w:val="2"/>
    </w:pPr>
    <w:rPr>
      <w:b/>
      <w:color w:val="000000"/>
      <w:sz w:val="24"/>
    </w:rPr>
  </w:style>
  <w:style w:type="paragraph" w:styleId="Heading4">
    <w:name w:val="heading 4"/>
    <w:basedOn w:val="Normal"/>
    <w:next w:val="Normal"/>
    <w:qFormat/>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rsid w:val="00EC7B6E"/>
    <w:pPr>
      <w:ind w:left="567" w:right="558"/>
    </w:pPr>
    <w:rPr>
      <w:sz w:val="20"/>
    </w:rPr>
  </w:style>
  <w:style w:type="paragraph" w:customStyle="1" w:styleId="BullettedList">
    <w:name w:val="Bulletted List"/>
    <w:rsid w:val="00EC7B6E"/>
    <w:pPr>
      <w:numPr>
        <w:numId w:val="1"/>
      </w:numPr>
      <w:tabs>
        <w:tab w:val="clear" w:pos="360"/>
      </w:tabs>
      <w:spacing w:line="280" w:lineRule="exact"/>
      <w:ind w:left="425" w:hanging="425"/>
    </w:pPr>
    <w:rPr>
      <w:rFonts w:ascii="Arial" w:hAnsi="Arial"/>
      <w:sz w:val="22"/>
    </w:rPr>
  </w:style>
  <w:style w:type="paragraph" w:customStyle="1" w:styleId="NumberedHeading1">
    <w:name w:val="Numbered Heading 1"/>
    <w:basedOn w:val="Heading1"/>
    <w:next w:val="Normal"/>
    <w:rsid w:val="00705E1E"/>
    <w:pPr>
      <w:numPr>
        <w:numId w:val="2"/>
      </w:numPr>
    </w:pPr>
    <w:rPr>
      <w:kern w:val="0"/>
    </w:rPr>
  </w:style>
  <w:style w:type="paragraph" w:customStyle="1" w:styleId="NumberedHeading2">
    <w:name w:val="Numbered Heading 2"/>
    <w:basedOn w:val="Heading2"/>
    <w:next w:val="Normal"/>
    <w:rsid w:val="00EC7B6E"/>
    <w:pPr>
      <w:numPr>
        <w:ilvl w:val="1"/>
        <w:numId w:val="2"/>
      </w:numPr>
    </w:pPr>
  </w:style>
  <w:style w:type="paragraph" w:styleId="TOC1">
    <w:name w:val="toc 1"/>
    <w:basedOn w:val="Normal"/>
    <w:next w:val="Normal"/>
    <w:semiHidden/>
    <w:pPr>
      <w:tabs>
        <w:tab w:val="right" w:leader="dot" w:pos="9459"/>
      </w:tabs>
      <w:spacing w:before="240" w:after="60"/>
      <w:ind w:left="567" w:hanging="567"/>
    </w:pPr>
    <w:rPr>
      <w:b/>
      <w:noProof/>
      <w:sz w:val="28"/>
    </w:rPr>
  </w:style>
  <w:style w:type="paragraph" w:styleId="FootnoteText">
    <w:name w:val="footnote text"/>
    <w:aliases w:val="Footnote text,Footnote"/>
    <w:basedOn w:val="Normal"/>
    <w:link w:val="FootnoteTextChar"/>
    <w:uiPriority w:val="99"/>
    <w:semiHidden/>
    <w:qFormat/>
    <w:rsid w:val="004B4501"/>
    <w:pPr>
      <w:spacing w:line="240" w:lineRule="auto"/>
      <w:ind w:left="567" w:hanging="567"/>
    </w:pPr>
    <w:rPr>
      <w:sz w:val="18"/>
    </w:rPr>
  </w:style>
  <w:style w:type="character" w:styleId="FootnoteReference">
    <w:name w:val="footnote reference"/>
    <w:basedOn w:val="DefaultParagraphFont"/>
    <w:uiPriority w:val="99"/>
    <w:semiHidden/>
    <w:rsid w:val="005728C7"/>
    <w:rPr>
      <w:rFonts w:ascii="Arial" w:hAnsi="Arial"/>
      <w:vertAlign w:val="superscript"/>
    </w:rPr>
  </w:style>
  <w:style w:type="paragraph" w:customStyle="1" w:styleId="Recommendation">
    <w:name w:val="Recommendation"/>
    <w:basedOn w:val="Normal"/>
    <w:next w:val="Normal"/>
    <w:rsid w:val="00EC7B6E"/>
    <w:pPr>
      <w:keepNext/>
      <w:pBdr>
        <w:bottom w:val="dotted" w:sz="4" w:space="0" w:color="auto"/>
      </w:pBdr>
      <w:spacing w:before="240" w:after="60"/>
    </w:pPr>
    <w:rPr>
      <w:b/>
      <w:i/>
      <w:szCs w:val="20"/>
    </w:rPr>
  </w:style>
  <w:style w:type="paragraph" w:customStyle="1" w:styleId="Recommendationtext">
    <w:name w:val="Recommendation text"/>
    <w:basedOn w:val="Recommendation"/>
    <w:rsid w:val="004B4501"/>
    <w:pPr>
      <w:keepNext w:val="0"/>
      <w:pBdr>
        <w:bottom w:val="none" w:sz="0" w:space="0" w:color="auto"/>
      </w:pBdr>
      <w:spacing w:before="60" w:after="0"/>
    </w:pPr>
    <w:rPr>
      <w:b w:val="0"/>
    </w:rPr>
  </w:style>
  <w:style w:type="character" w:styleId="Hyperlink">
    <w:name w:val="Hyperlink"/>
    <w:basedOn w:val="DefaultParagraphFont"/>
    <w:rsid w:val="005728C7"/>
    <w:rPr>
      <w:rFonts w:ascii="Arial" w:hAnsi="Arial"/>
      <w:color w:val="0000FF"/>
      <w:u w:val="singl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rsid w:val="005728C7"/>
    <w:rPr>
      <w:rFonts w:ascii="Arial" w:hAnsi="Arial"/>
      <w:sz w:val="20"/>
    </w:rPr>
  </w:style>
  <w:style w:type="paragraph" w:customStyle="1" w:styleId="NumberedList">
    <w:name w:val="Numbered List"/>
    <w:rsid w:val="00EC7B6E"/>
    <w:pPr>
      <w:numPr>
        <w:numId w:val="11"/>
      </w:numPr>
      <w:spacing w:line="280" w:lineRule="exact"/>
    </w:pPr>
    <w:rPr>
      <w:rFonts w:ascii="Arial" w:hAnsi="Arial"/>
      <w:noProof/>
      <w:sz w:val="22"/>
    </w:rPr>
  </w:style>
  <w:style w:type="paragraph" w:customStyle="1" w:styleId="Numberedheading3-legal">
    <w:name w:val="Numbered heading 3 - legal"/>
    <w:basedOn w:val="Normal"/>
    <w:pPr>
      <w:numPr>
        <w:ilvl w:val="2"/>
        <w:numId w:val="2"/>
      </w:numPr>
    </w:pPr>
    <w:rPr>
      <w:b/>
      <w:sz w:val="24"/>
    </w:rPr>
  </w:style>
  <w:style w:type="paragraph" w:customStyle="1" w:styleId="Numberedheading4-legal">
    <w:name w:val="Numbered heading 4 - legal"/>
    <w:basedOn w:val="Numberedheading3-legal"/>
    <w:pPr>
      <w:numPr>
        <w:ilvl w:val="3"/>
      </w:numPr>
    </w:pPr>
    <w:rPr>
      <w:sz w:val="22"/>
    </w:rPr>
  </w:style>
  <w:style w:type="paragraph" w:customStyle="1" w:styleId="DateAuthor">
    <w:name w:val="Date/Author"/>
    <w:basedOn w:val="Heading2"/>
    <w:rsid w:val="00705E1E"/>
    <w:pPr>
      <w:ind w:left="142"/>
    </w:pPr>
    <w:rPr>
      <w:sz w:val="24"/>
    </w:rPr>
  </w:style>
  <w:style w:type="paragraph" w:customStyle="1" w:styleId="Titleofsubmission">
    <w:name w:val="Title of submission"/>
    <w:basedOn w:val="Heading1"/>
    <w:rsid w:val="00705E1E"/>
    <w:pPr>
      <w:ind w:left="142"/>
    </w:pPr>
  </w:style>
  <w:style w:type="paragraph" w:styleId="TOC2">
    <w:name w:val="toc 2"/>
    <w:basedOn w:val="Normal"/>
    <w:next w:val="Normal"/>
    <w:semiHidden/>
    <w:pPr>
      <w:tabs>
        <w:tab w:val="left" w:pos="1134"/>
        <w:tab w:val="right" w:leader="dot" w:pos="9459"/>
      </w:tabs>
      <w:ind w:left="1701" w:hanging="1134"/>
    </w:pPr>
  </w:style>
  <w:style w:type="paragraph" w:styleId="TOC3">
    <w:name w:val="toc 3"/>
    <w:basedOn w:val="Normal"/>
    <w:next w:val="Normal"/>
    <w:semiHidden/>
    <w:pPr>
      <w:tabs>
        <w:tab w:val="left" w:pos="1843"/>
        <w:tab w:val="right" w:pos="2268"/>
        <w:tab w:val="right" w:leader="dot" w:pos="9459"/>
      </w:tabs>
      <w:ind w:left="2977" w:hanging="1843"/>
    </w:pPr>
  </w:style>
  <w:style w:type="paragraph" w:styleId="TOC4">
    <w:name w:val="toc 4"/>
    <w:basedOn w:val="Normal"/>
    <w:next w:val="Normal"/>
    <w:semiHidden/>
    <w:pPr>
      <w:tabs>
        <w:tab w:val="left" w:pos="2694"/>
        <w:tab w:val="right" w:leader="dot" w:pos="9459"/>
      </w:tabs>
      <w:ind w:left="4536" w:hanging="2693"/>
    </w:pPr>
    <w:rPr>
      <w:noProof/>
      <w:sz w:val="20"/>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link w:val="BalloonTextChar"/>
    <w:uiPriority w:val="99"/>
    <w:semiHidden/>
    <w:unhideWhenUsed/>
    <w:rsid w:val="00FA778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781"/>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620A78"/>
    <w:rPr>
      <w:sz w:val="18"/>
      <w:szCs w:val="18"/>
    </w:rPr>
  </w:style>
  <w:style w:type="paragraph" w:styleId="ListParagraph">
    <w:name w:val="List Paragraph"/>
    <w:basedOn w:val="Normal"/>
    <w:uiPriority w:val="34"/>
    <w:qFormat/>
    <w:rsid w:val="00D93382"/>
    <w:pPr>
      <w:ind w:left="720"/>
      <w:contextualSpacing/>
    </w:pPr>
  </w:style>
  <w:style w:type="paragraph" w:styleId="NormalWeb">
    <w:name w:val="Normal (Web)"/>
    <w:basedOn w:val="Normal"/>
    <w:uiPriority w:val="99"/>
    <w:unhideWhenUsed/>
    <w:rsid w:val="001B2EA2"/>
    <w:pPr>
      <w:spacing w:before="100" w:beforeAutospacing="1" w:after="100" w:afterAutospacing="1" w:line="240" w:lineRule="auto"/>
    </w:pPr>
    <w:rPr>
      <w:rFonts w:ascii="Times" w:eastAsiaTheme="minorEastAsia" w:hAnsi="Times"/>
      <w:sz w:val="20"/>
      <w:szCs w:val="20"/>
      <w:lang w:val="en-AU"/>
    </w:rPr>
  </w:style>
  <w:style w:type="character" w:customStyle="1" w:styleId="FootnoteTextChar">
    <w:name w:val="Footnote Text Char"/>
    <w:aliases w:val="Footnote text Char,Footnote Char"/>
    <w:basedOn w:val="DefaultParagraphFont"/>
    <w:link w:val="FootnoteText"/>
    <w:uiPriority w:val="99"/>
    <w:semiHidden/>
    <w:rsid w:val="00E051C8"/>
    <w:rPr>
      <w:rFonts w:ascii="Arial" w:hAnsi="Arial"/>
      <w:sz w:val="18"/>
      <w:szCs w:val="24"/>
      <w:lang w:val="en-GB"/>
    </w:rPr>
  </w:style>
  <w:style w:type="paragraph" w:styleId="CommentText">
    <w:name w:val="annotation text"/>
    <w:basedOn w:val="Normal"/>
    <w:link w:val="CommentTextChar"/>
    <w:uiPriority w:val="99"/>
    <w:semiHidden/>
    <w:unhideWhenUsed/>
    <w:rsid w:val="00391574"/>
    <w:pPr>
      <w:spacing w:line="240" w:lineRule="auto"/>
    </w:pPr>
    <w:rPr>
      <w:sz w:val="24"/>
    </w:rPr>
  </w:style>
  <w:style w:type="character" w:customStyle="1" w:styleId="CommentTextChar">
    <w:name w:val="Comment Text Char"/>
    <w:basedOn w:val="DefaultParagraphFont"/>
    <w:link w:val="CommentText"/>
    <w:uiPriority w:val="99"/>
    <w:semiHidden/>
    <w:rsid w:val="00391574"/>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391574"/>
    <w:rPr>
      <w:b/>
      <w:bCs/>
      <w:sz w:val="20"/>
      <w:szCs w:val="20"/>
    </w:rPr>
  </w:style>
  <w:style w:type="character" w:customStyle="1" w:styleId="CommentSubjectChar">
    <w:name w:val="Comment Subject Char"/>
    <w:basedOn w:val="CommentTextChar"/>
    <w:link w:val="CommentSubject"/>
    <w:uiPriority w:val="99"/>
    <w:semiHidden/>
    <w:rsid w:val="00391574"/>
    <w:rPr>
      <w:rFonts w:ascii="Arial" w:hAnsi="Arial"/>
      <w:b/>
      <w:bCs/>
      <w:sz w:val="24"/>
      <w:szCs w:val="24"/>
      <w:lang w:val="en-GB"/>
    </w:rPr>
  </w:style>
  <w:style w:type="character" w:styleId="FollowedHyperlink">
    <w:name w:val="FollowedHyperlink"/>
    <w:basedOn w:val="DefaultParagraphFont"/>
    <w:uiPriority w:val="99"/>
    <w:semiHidden/>
    <w:unhideWhenUsed/>
    <w:rsid w:val="00C52A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428835">
      <w:bodyDiv w:val="1"/>
      <w:marLeft w:val="0"/>
      <w:marRight w:val="0"/>
      <w:marTop w:val="0"/>
      <w:marBottom w:val="0"/>
      <w:divBdr>
        <w:top w:val="none" w:sz="0" w:space="0" w:color="auto"/>
        <w:left w:val="none" w:sz="0" w:space="0" w:color="auto"/>
        <w:bottom w:val="none" w:sz="0" w:space="0" w:color="auto"/>
        <w:right w:val="none" w:sz="0" w:space="0" w:color="auto"/>
      </w:divBdr>
      <w:divsChild>
        <w:div w:id="1392538289">
          <w:marLeft w:val="0"/>
          <w:marRight w:val="0"/>
          <w:marTop w:val="0"/>
          <w:marBottom w:val="0"/>
          <w:divBdr>
            <w:top w:val="none" w:sz="0" w:space="0" w:color="auto"/>
            <w:left w:val="none" w:sz="0" w:space="0" w:color="auto"/>
            <w:bottom w:val="none" w:sz="0" w:space="0" w:color="auto"/>
            <w:right w:val="none" w:sz="0" w:space="0" w:color="auto"/>
          </w:divBdr>
          <w:divsChild>
            <w:div w:id="273371574">
              <w:marLeft w:val="0"/>
              <w:marRight w:val="0"/>
              <w:marTop w:val="0"/>
              <w:marBottom w:val="0"/>
              <w:divBdr>
                <w:top w:val="none" w:sz="0" w:space="0" w:color="auto"/>
                <w:left w:val="none" w:sz="0" w:space="0" w:color="auto"/>
                <w:bottom w:val="none" w:sz="0" w:space="0" w:color="auto"/>
                <w:right w:val="none" w:sz="0" w:space="0" w:color="auto"/>
              </w:divBdr>
              <w:divsChild>
                <w:div w:id="1043552629">
                  <w:marLeft w:val="0"/>
                  <w:marRight w:val="0"/>
                  <w:marTop w:val="0"/>
                  <w:marBottom w:val="0"/>
                  <w:divBdr>
                    <w:top w:val="none" w:sz="0" w:space="0" w:color="auto"/>
                    <w:left w:val="none" w:sz="0" w:space="0" w:color="auto"/>
                    <w:bottom w:val="none" w:sz="0" w:space="0" w:color="auto"/>
                    <w:right w:val="none" w:sz="0" w:space="0" w:color="auto"/>
                  </w:divBdr>
                  <w:divsChild>
                    <w:div w:id="10873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36482">
      <w:bodyDiv w:val="1"/>
      <w:marLeft w:val="0"/>
      <w:marRight w:val="0"/>
      <w:marTop w:val="0"/>
      <w:marBottom w:val="0"/>
      <w:divBdr>
        <w:top w:val="none" w:sz="0" w:space="0" w:color="auto"/>
        <w:left w:val="none" w:sz="0" w:space="0" w:color="auto"/>
        <w:bottom w:val="none" w:sz="0" w:space="0" w:color="auto"/>
        <w:right w:val="none" w:sz="0" w:space="0" w:color="auto"/>
      </w:divBdr>
      <w:divsChild>
        <w:div w:id="1807965611">
          <w:marLeft w:val="0"/>
          <w:marRight w:val="0"/>
          <w:marTop w:val="0"/>
          <w:marBottom w:val="0"/>
          <w:divBdr>
            <w:top w:val="none" w:sz="0" w:space="0" w:color="auto"/>
            <w:left w:val="none" w:sz="0" w:space="0" w:color="auto"/>
            <w:bottom w:val="none" w:sz="0" w:space="0" w:color="auto"/>
            <w:right w:val="none" w:sz="0" w:space="0" w:color="auto"/>
          </w:divBdr>
          <w:divsChild>
            <w:div w:id="2073650002">
              <w:marLeft w:val="0"/>
              <w:marRight w:val="0"/>
              <w:marTop w:val="0"/>
              <w:marBottom w:val="0"/>
              <w:divBdr>
                <w:top w:val="none" w:sz="0" w:space="0" w:color="auto"/>
                <w:left w:val="none" w:sz="0" w:space="0" w:color="auto"/>
                <w:bottom w:val="none" w:sz="0" w:space="0" w:color="auto"/>
                <w:right w:val="none" w:sz="0" w:space="0" w:color="auto"/>
              </w:divBdr>
              <w:divsChild>
                <w:div w:id="1234701496">
                  <w:marLeft w:val="0"/>
                  <w:marRight w:val="0"/>
                  <w:marTop w:val="0"/>
                  <w:marBottom w:val="0"/>
                  <w:divBdr>
                    <w:top w:val="none" w:sz="0" w:space="0" w:color="auto"/>
                    <w:left w:val="none" w:sz="0" w:space="0" w:color="auto"/>
                    <w:bottom w:val="none" w:sz="0" w:space="0" w:color="auto"/>
                    <w:right w:val="none" w:sz="0" w:space="0" w:color="auto"/>
                  </w:divBdr>
                  <w:divsChild>
                    <w:div w:id="12286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retail-markets/retail-guidelines/review-of-retail-exempt-selling-guideline-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6DE7D-F4F8-4D6C-A8E7-0ECD8C95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9775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Public Interest Advocacy Centre</Company>
  <LinksUpToDate>false</LinksUpToDate>
  <CharactersWithSpaces>11494</CharactersWithSpaces>
  <SharedDoc>false</SharedDoc>
  <HLinks>
    <vt:vector size="6" baseType="variant">
      <vt:variant>
        <vt:i4>7536658</vt:i4>
      </vt:variant>
      <vt:variant>
        <vt:i4>-1</vt:i4>
      </vt:variant>
      <vt:variant>
        <vt:i4>2051</vt:i4>
      </vt:variant>
      <vt:variant>
        <vt:i4>1</vt:i4>
      </vt:variant>
      <vt:variant>
        <vt:lpwstr>PIAC_RGB_ID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Jelenic</dc:creator>
  <cp:lastModifiedBy>Stevens-Downie, Tom</cp:lastModifiedBy>
  <cp:revision>2</cp:revision>
  <cp:lastPrinted>2015-09-23T23:35:00Z</cp:lastPrinted>
  <dcterms:created xsi:type="dcterms:W3CDTF">2015-11-06T00:49:00Z</dcterms:created>
  <dcterms:modified xsi:type="dcterms:W3CDTF">2015-11-06T00:49:00Z</dcterms:modified>
</cp:coreProperties>
</file>