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rFonts w:eastAsiaTheme="majorEastAsia" w:cstheme="majorBidi"/>
          <w:b/>
          <w:noProof/>
          <w:sz w:val="72"/>
          <w:szCs w:val="72"/>
          <w:lang w:eastAsia="en-AU"/>
        </w:rPr>
      </w:sdtEndPr>
      <w:sdtContent>
        <w:p w:rsidR="00C7068C" w:rsidRDefault="00D66516" w:rsidP="00C7068C">
          <w:r w:rsidRPr="00290C63">
            <w:rPr>
              <w:noProof/>
              <w:lang w:eastAsia="en-AU"/>
            </w:rPr>
            <w:drawing>
              <wp:anchor distT="0" distB="0" distL="114300" distR="114300" simplePos="0" relativeHeight="251674624" behindDoc="1" locked="0" layoutInCell="1" allowOverlap="1" wp14:anchorId="35863561" wp14:editId="78BAA13A">
                <wp:simplePos x="0" y="0"/>
                <wp:positionH relativeFrom="column">
                  <wp:posOffset>-1132044</wp:posOffset>
                </wp:positionH>
                <wp:positionV relativeFrom="paragraph">
                  <wp:posOffset>-908685</wp:posOffset>
                </wp:positionV>
                <wp:extent cx="7796935" cy="10925175"/>
                <wp:effectExtent l="0" t="0" r="0" b="0"/>
                <wp:wrapNone/>
                <wp:docPr id="11" name="Picture 11"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6935" cy="10925175"/>
                        </a:xfrm>
                        <a:prstGeom prst="rect">
                          <a:avLst/>
                        </a:prstGeom>
                        <a:noFill/>
                      </pic:spPr>
                    </pic:pic>
                  </a:graphicData>
                </a:graphic>
                <wp14:sizeRelH relativeFrom="page">
                  <wp14:pctWidth>0</wp14:pctWidth>
                </wp14:sizeRelH>
                <wp14:sizeRelV relativeFrom="page">
                  <wp14:pctHeight>0</wp14:pctHeight>
                </wp14:sizeRelV>
              </wp:anchor>
            </w:drawing>
          </w:r>
          <w:r w:rsidR="00C7068C" w:rsidRPr="004300F1">
            <w:t xml:space="preserve"> </w:t>
          </w:r>
        </w:p>
        <w:sdt>
          <w:sdtPr>
            <w:id w:val="-244801280"/>
            <w:docPartObj>
              <w:docPartGallery w:val="Cover Pages"/>
              <w:docPartUnique/>
            </w:docPartObj>
          </w:sdtPr>
          <w:sdtEndPr>
            <w:rPr>
              <w:rFonts w:eastAsiaTheme="majorEastAsia" w:cstheme="majorBidi"/>
              <w:b/>
              <w:noProof/>
              <w:sz w:val="72"/>
              <w:szCs w:val="72"/>
              <w:lang w:eastAsia="en-AU"/>
            </w:rPr>
          </w:sdtEndPr>
          <w:sdtContent>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Pr>
                <w:pStyle w:val="ReportTitle"/>
              </w:pPr>
              <w:r>
                <w:t>Electricity spot prices above $5000/MWh</w:t>
              </w:r>
            </w:p>
            <w:p w:rsidR="00C7068C" w:rsidRDefault="00C7068C" w:rsidP="00C7068C">
              <w:pPr>
                <w:pStyle w:val="ReportSubtitle"/>
              </w:pPr>
            </w:p>
            <w:p w:rsidR="00C7068C" w:rsidRPr="00DB723B" w:rsidRDefault="004A0D3E" w:rsidP="00C7068C">
              <w:pPr>
                <w:pStyle w:val="ReportSubtitle"/>
              </w:pPr>
              <w:r>
                <w:t>New South Wales</w:t>
              </w:r>
              <w:r w:rsidR="006F7401">
                <w:t>,</w:t>
              </w:r>
              <w:r w:rsidR="006F7401">
                <w:br/>
              </w:r>
              <w:r>
                <w:t>23</w:t>
              </w:r>
              <w:r w:rsidR="00C7068C">
                <w:t xml:space="preserve"> </w:t>
              </w:r>
              <w:r>
                <w:t>September</w:t>
              </w:r>
              <w:r w:rsidR="00C7068C">
                <w:t xml:space="preserve"> 2015</w:t>
              </w:r>
            </w:p>
            <w:p w:rsidR="00C7068C" w:rsidRDefault="00C7068C" w:rsidP="00C7068C">
              <w:pPr>
                <w:pStyle w:val="ReportDate"/>
              </w:pPr>
            </w:p>
            <w:p w:rsidR="00C7068C" w:rsidRDefault="00C7068C" w:rsidP="00C7068C">
              <w:pPr>
                <w:pStyle w:val="ReportDate"/>
              </w:pPr>
            </w:p>
            <w:p w:rsidR="00C7068C" w:rsidRPr="00DB723B" w:rsidRDefault="00ED7EF4" w:rsidP="00C7068C">
              <w:pPr>
                <w:pStyle w:val="ReportDate"/>
              </w:pPr>
              <w:r>
                <w:t xml:space="preserve">24 </w:t>
              </w:r>
              <w:r w:rsidR="004A0D3E">
                <w:t>November</w:t>
              </w:r>
              <w:r w:rsidR="00C7068C" w:rsidRPr="00DB723B">
                <w:t xml:space="preserve"> 201</w:t>
              </w:r>
              <w:r w:rsidR="00C7068C">
                <w:t>5</w:t>
              </w:r>
            </w:p>
            <w:p w:rsidR="00C7068C" w:rsidRPr="0015715D" w:rsidRDefault="00C7068C" w:rsidP="0015715D">
              <w:r w:rsidRPr="00DB723B">
                <w:br w:type="page"/>
              </w:r>
            </w:p>
          </w:sdtContent>
        </w:sdt>
        <w:p w:rsidR="00C7068C" w:rsidRDefault="0015715D" w:rsidP="00C7068C">
          <w:pPr>
            <w:spacing w:line="240" w:lineRule="auto"/>
          </w:pPr>
          <w:r>
            <w:lastRenderedPageBreak/>
            <w:t>© Commonwealth of Australia 2015</w:t>
          </w:r>
        </w:p>
        <w:p w:rsidR="00C7068C" w:rsidRDefault="00C7068C" w:rsidP="00C7068C">
          <w:pPr>
            <w:pStyle w:val="Copyright"/>
          </w:pPr>
          <w:r>
            <w:t>This work is copyright. In addition to any use permitted under the Copyright Act 1968, all material contained within this work is provided under a Creative Commons Attributions 3.0 Australia licence, with the exception of:</w:t>
          </w:r>
        </w:p>
        <w:p w:rsidR="00C7068C" w:rsidRDefault="00C7068C" w:rsidP="00C7068C">
          <w:pPr>
            <w:pStyle w:val="StyleCopyrightBefore0pt"/>
            <w:numPr>
              <w:ilvl w:val="0"/>
              <w:numId w:val="27"/>
            </w:numPr>
          </w:pPr>
          <w:r>
            <w:t>the Commonwealth Coat of Arms</w:t>
          </w:r>
        </w:p>
        <w:p w:rsidR="00C7068C" w:rsidRDefault="00C7068C" w:rsidP="00C7068C">
          <w:pPr>
            <w:pStyle w:val="StyleCopyrightBefore0pt"/>
            <w:numPr>
              <w:ilvl w:val="0"/>
              <w:numId w:val="27"/>
            </w:numPr>
          </w:pPr>
          <w:r>
            <w:t>the ACCC and AER logos</w:t>
          </w:r>
        </w:p>
        <w:p w:rsidR="00C7068C" w:rsidRPr="00B927D8" w:rsidRDefault="00C7068C" w:rsidP="00C7068C">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7068C" w:rsidRDefault="00C7068C" w:rsidP="00C7068C">
          <w:pPr>
            <w:pStyle w:val="Copyright"/>
            <w:jc w:val="lef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r>
          <w:r w:rsidR="00464428">
            <w:t>CANBERRA</w:t>
          </w:r>
          <w:r>
            <w:t xml:space="preserve"> ACT 2601 </w:t>
          </w:r>
          <w:r>
            <w:br/>
            <w:t>or publishing.unit@accc.gov.au.</w:t>
          </w:r>
        </w:p>
        <w:p w:rsidR="00C7068C" w:rsidRDefault="00C7068C" w:rsidP="00C7068C">
          <w:pPr>
            <w:pStyle w:val="Copyright"/>
            <w:jc w:val="left"/>
          </w:pPr>
          <w:r>
            <w:t>Inquiries about this publication should be addressed to:</w:t>
          </w:r>
        </w:p>
        <w:p w:rsidR="00C7068C" w:rsidRDefault="00C7068C" w:rsidP="00C7068C">
          <w:pPr>
            <w:pStyle w:val="Copyright"/>
            <w:jc w:val="left"/>
          </w:pPr>
          <w:r>
            <w:t xml:space="preserve">Australian Energy </w:t>
          </w:r>
          <w:r w:rsidRPr="00F171E0">
            <w:t>Regulator</w:t>
          </w:r>
          <w:r>
            <w:br/>
            <w:t>GPO Box 520</w:t>
          </w:r>
          <w:r>
            <w:br/>
          </w:r>
          <w:proofErr w:type="gramStart"/>
          <w:r w:rsidR="00464428">
            <w:t>MELBOURNE</w:t>
          </w:r>
          <w:r>
            <w:t xml:space="preserve"> </w:t>
          </w:r>
          <w:r w:rsidR="00464428">
            <w:t xml:space="preserve"> VIC</w:t>
          </w:r>
          <w:proofErr w:type="gramEnd"/>
          <w:r w:rsidR="00464428">
            <w:t xml:space="preserve">  </w:t>
          </w:r>
          <w:r>
            <w:t>3001</w:t>
          </w:r>
        </w:p>
        <w:p w:rsidR="00C7068C" w:rsidRDefault="00C7068C" w:rsidP="00C7068C">
          <w:pPr>
            <w:pStyle w:val="Copyright"/>
            <w:jc w:val="left"/>
          </w:pPr>
          <w:r>
            <w:t>Tel: (03) 9290 1444</w:t>
          </w:r>
          <w:r>
            <w:br/>
            <w:t>Fax: (03) 9290 1457</w:t>
          </w:r>
        </w:p>
        <w:p w:rsidR="00C7068C" w:rsidRPr="00CC65AF" w:rsidRDefault="00C7068C" w:rsidP="00C7068C">
          <w:pPr>
            <w:pStyle w:val="Copyright"/>
            <w:jc w:val="left"/>
          </w:pPr>
          <w:r>
            <w:t xml:space="preserve">Email: </w:t>
          </w:r>
          <w:hyperlink r:id="rId10" w:history="1">
            <w:r w:rsidRPr="00D64888">
              <w:rPr>
                <w:rStyle w:val="Hyperlink"/>
              </w:rPr>
              <w:t>AERInquiry@aer.gov.au</w:t>
            </w:r>
          </w:hyperlink>
          <w:r>
            <w:rPr>
              <w:rStyle w:val="Hyperlink"/>
            </w:rPr>
            <w:br/>
          </w:r>
          <w:r w:rsidRPr="00CC65AF">
            <w:t xml:space="preserve">AER Reference: </w:t>
          </w:r>
          <w:r w:rsidR="002743BE" w:rsidRPr="002743BE">
            <w:t>5</w:t>
          </w:r>
          <w:r w:rsidR="007E29C4">
            <w:t>8425</w:t>
          </w:r>
          <w:r w:rsidR="006329AC">
            <w:t>-</w:t>
          </w:r>
          <w:r w:rsidR="002743BE" w:rsidRPr="002743BE">
            <w:rPr>
              <w:rFonts w:cs="Arial"/>
              <w:szCs w:val="18"/>
            </w:rPr>
            <w:t>D15/</w:t>
          </w:r>
          <w:r w:rsidR="007E29C4">
            <w:rPr>
              <w:rFonts w:cs="Arial"/>
              <w:szCs w:val="18"/>
            </w:rPr>
            <w:t>153101</w:t>
          </w:r>
        </w:p>
        <w:p w:rsidR="00C7068C" w:rsidRDefault="00C7068C" w:rsidP="00C7068C"/>
        <w:p w:rsidR="00C7068C" w:rsidRPr="00C569B4" w:rsidRDefault="00C7068C" w:rsidP="00C7068C">
          <w:r w:rsidRPr="00C569B4">
            <w:t>Amendment Record</w:t>
          </w:r>
        </w:p>
        <w:tbl>
          <w:tblPr>
            <w:tblStyle w:val="AERTable-Text"/>
            <w:tblW w:w="0" w:type="auto"/>
            <w:tblLook w:val="04A0" w:firstRow="1" w:lastRow="0" w:firstColumn="1" w:lastColumn="0" w:noHBand="0" w:noVBand="1"/>
          </w:tblPr>
          <w:tblGrid>
            <w:gridCol w:w="2899"/>
            <w:gridCol w:w="2906"/>
            <w:gridCol w:w="2888"/>
          </w:tblGrid>
          <w:tr w:rsidR="00C7068C" w:rsidTr="00CC65AF">
            <w:trPr>
              <w:cnfStyle w:val="100000000000" w:firstRow="1" w:lastRow="0" w:firstColumn="0" w:lastColumn="0" w:oddVBand="0" w:evenVBand="0" w:oddHBand="0" w:evenHBand="0" w:firstRowFirstColumn="0" w:firstRowLastColumn="0" w:lastRowFirstColumn="0" w:lastRowLastColumn="0"/>
            </w:trPr>
            <w:tc>
              <w:tcPr>
                <w:tcW w:w="2899" w:type="dxa"/>
              </w:tcPr>
              <w:p w:rsidR="00C7068C" w:rsidRDefault="00C7068C" w:rsidP="009B028C">
                <w:r>
                  <w:t>Version</w:t>
                </w:r>
              </w:p>
            </w:tc>
            <w:tc>
              <w:tcPr>
                <w:tcW w:w="2906" w:type="dxa"/>
              </w:tcPr>
              <w:p w:rsidR="00C7068C" w:rsidRDefault="00C7068C" w:rsidP="009B028C">
                <w:r>
                  <w:t>Date</w:t>
                </w:r>
              </w:p>
            </w:tc>
            <w:tc>
              <w:tcPr>
                <w:tcW w:w="2888" w:type="dxa"/>
              </w:tcPr>
              <w:p w:rsidR="00C7068C" w:rsidRDefault="00C7068C" w:rsidP="009B028C">
                <w:r>
                  <w:t>Pages</w:t>
                </w:r>
              </w:p>
            </w:tc>
          </w:tr>
          <w:tr w:rsidR="00C7068C" w:rsidTr="00CC65AF">
            <w:trPr>
              <w:cnfStyle w:val="000000100000" w:firstRow="0" w:lastRow="0" w:firstColumn="0" w:lastColumn="0" w:oddVBand="0" w:evenVBand="0" w:oddHBand="1" w:evenHBand="0" w:firstRowFirstColumn="0" w:firstRowLastColumn="0" w:lastRowFirstColumn="0" w:lastRowLastColumn="0"/>
            </w:trPr>
            <w:tc>
              <w:tcPr>
                <w:tcW w:w="2899" w:type="dxa"/>
              </w:tcPr>
              <w:p w:rsidR="00C7068C" w:rsidRDefault="00D66516" w:rsidP="009B028C">
                <w:pPr>
                  <w:spacing w:before="0" w:after="200"/>
                </w:pPr>
                <w:r>
                  <w:t>1 version for publication</w:t>
                </w:r>
              </w:p>
            </w:tc>
            <w:tc>
              <w:tcPr>
                <w:tcW w:w="2906" w:type="dxa"/>
              </w:tcPr>
              <w:p w:rsidR="00C7068C" w:rsidRDefault="00D66516" w:rsidP="00CC65AF">
                <w:pPr>
                  <w:spacing w:before="0" w:after="200"/>
                </w:pPr>
                <w:r>
                  <w:t>23/11/2015</w:t>
                </w:r>
              </w:p>
            </w:tc>
            <w:tc>
              <w:tcPr>
                <w:tcW w:w="2888" w:type="dxa"/>
              </w:tcPr>
              <w:p w:rsidR="00C7068C" w:rsidRDefault="00D66516" w:rsidP="009B028C">
                <w:pPr>
                  <w:spacing w:before="0" w:after="200"/>
                </w:pPr>
                <w:r>
                  <w:t>19</w:t>
                </w:r>
              </w:p>
            </w:tc>
          </w:tr>
          <w:tr w:rsidR="007A223D" w:rsidTr="00CC65AF">
            <w:trPr>
              <w:cnfStyle w:val="000000010000" w:firstRow="0" w:lastRow="0" w:firstColumn="0" w:lastColumn="0" w:oddVBand="0" w:evenVBand="0" w:oddHBand="0" w:evenHBand="1" w:firstRowFirstColumn="0" w:firstRowLastColumn="0" w:lastRowFirstColumn="0" w:lastRowLastColumn="0"/>
            </w:trPr>
            <w:tc>
              <w:tcPr>
                <w:tcW w:w="2899" w:type="dxa"/>
              </w:tcPr>
              <w:p w:rsidR="007A223D" w:rsidRPr="007A223D" w:rsidRDefault="007A223D" w:rsidP="009B028C">
                <w:pPr>
                  <w:spacing w:before="0" w:after="200"/>
                  <w:rPr>
                    <w:sz w:val="18"/>
                  </w:rPr>
                </w:pPr>
              </w:p>
            </w:tc>
            <w:tc>
              <w:tcPr>
                <w:tcW w:w="2906" w:type="dxa"/>
              </w:tcPr>
              <w:p w:rsidR="007A223D" w:rsidRPr="007A223D" w:rsidRDefault="007A223D" w:rsidP="00CC65AF">
                <w:pPr>
                  <w:spacing w:before="0" w:after="200"/>
                  <w:rPr>
                    <w:sz w:val="18"/>
                  </w:rPr>
                </w:pPr>
              </w:p>
            </w:tc>
            <w:tc>
              <w:tcPr>
                <w:tcW w:w="2888" w:type="dxa"/>
              </w:tcPr>
              <w:p w:rsidR="007A223D" w:rsidRPr="007A223D" w:rsidRDefault="007A223D" w:rsidP="009B028C">
                <w:pPr>
                  <w:spacing w:before="0" w:after="200"/>
                  <w:rPr>
                    <w:sz w:val="18"/>
                  </w:rPr>
                </w:pPr>
              </w:p>
            </w:tc>
          </w:tr>
        </w:tbl>
        <w:p w:rsidR="00C7068C" w:rsidRDefault="00C7068C" w:rsidP="00C7068C"/>
        <w:p w:rsidR="00C7068C" w:rsidRDefault="00C7068C" w:rsidP="00C7068C">
          <w:pPr>
            <w:spacing w:line="240" w:lineRule="auto"/>
          </w:pPr>
          <w:r>
            <w:br w:type="page"/>
          </w:r>
        </w:p>
        <w:p w:rsidR="00C7068C" w:rsidRDefault="00C7068C" w:rsidP="00C7068C">
          <w:pPr>
            <w:pStyle w:val="TOCHeading"/>
          </w:pPr>
          <w:r>
            <w:lastRenderedPageBreak/>
            <w:t>Contents</w:t>
          </w:r>
        </w:p>
        <w:p w:rsidR="00D66516" w:rsidRDefault="00C7068C">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36060146" w:history="1">
            <w:r w:rsidR="00D66516" w:rsidRPr="0081343A">
              <w:rPr>
                <w:rStyle w:val="Hyperlink"/>
              </w:rPr>
              <w:t>1</w:t>
            </w:r>
            <w:r w:rsidR="00D66516">
              <w:rPr>
                <w:rFonts w:asciiTheme="minorHAnsi" w:eastAsiaTheme="minorEastAsia" w:hAnsiTheme="minorHAnsi"/>
                <w:b w:val="0"/>
                <w:color w:val="auto"/>
                <w:sz w:val="22"/>
                <w:lang w:val="en-AU" w:eastAsia="en-AU"/>
              </w:rPr>
              <w:tab/>
            </w:r>
            <w:r w:rsidR="00D66516" w:rsidRPr="0081343A">
              <w:rPr>
                <w:rStyle w:val="Hyperlink"/>
              </w:rPr>
              <w:t>Introduction</w:t>
            </w:r>
            <w:r w:rsidR="00D66516">
              <w:rPr>
                <w:webHidden/>
              </w:rPr>
              <w:tab/>
            </w:r>
            <w:r w:rsidR="00D66516">
              <w:rPr>
                <w:webHidden/>
              </w:rPr>
              <w:fldChar w:fldCharType="begin"/>
            </w:r>
            <w:r w:rsidR="00D66516">
              <w:rPr>
                <w:webHidden/>
              </w:rPr>
              <w:instrText xml:space="preserve"> PAGEREF _Toc436060146 \h </w:instrText>
            </w:r>
            <w:r w:rsidR="00D66516">
              <w:rPr>
                <w:webHidden/>
              </w:rPr>
            </w:r>
            <w:r w:rsidR="00D66516">
              <w:rPr>
                <w:webHidden/>
              </w:rPr>
              <w:fldChar w:fldCharType="separate"/>
            </w:r>
            <w:r w:rsidR="00FE39F3">
              <w:rPr>
                <w:webHidden/>
              </w:rPr>
              <w:t>4</w:t>
            </w:r>
            <w:r w:rsidR="00D66516">
              <w:rPr>
                <w:webHidden/>
              </w:rPr>
              <w:fldChar w:fldCharType="end"/>
            </w:r>
          </w:hyperlink>
        </w:p>
        <w:p w:rsidR="00D66516" w:rsidRDefault="00FE39F3">
          <w:pPr>
            <w:pStyle w:val="TOC1"/>
            <w:rPr>
              <w:rFonts w:asciiTheme="minorHAnsi" w:eastAsiaTheme="minorEastAsia" w:hAnsiTheme="minorHAnsi"/>
              <w:b w:val="0"/>
              <w:color w:val="auto"/>
              <w:sz w:val="22"/>
              <w:lang w:val="en-AU" w:eastAsia="en-AU"/>
            </w:rPr>
          </w:pPr>
          <w:hyperlink w:anchor="_Toc436060147" w:history="1">
            <w:r w:rsidR="00D66516" w:rsidRPr="0081343A">
              <w:rPr>
                <w:rStyle w:val="Hyperlink"/>
              </w:rPr>
              <w:t>2</w:t>
            </w:r>
            <w:r w:rsidR="00D66516">
              <w:rPr>
                <w:rFonts w:asciiTheme="minorHAnsi" w:eastAsiaTheme="minorEastAsia" w:hAnsiTheme="minorHAnsi"/>
                <w:b w:val="0"/>
                <w:color w:val="auto"/>
                <w:sz w:val="22"/>
                <w:lang w:val="en-AU" w:eastAsia="en-AU"/>
              </w:rPr>
              <w:tab/>
            </w:r>
            <w:r w:rsidR="00D66516" w:rsidRPr="0081343A">
              <w:rPr>
                <w:rStyle w:val="Hyperlink"/>
              </w:rPr>
              <w:t>Summary</w:t>
            </w:r>
            <w:r w:rsidR="00D66516">
              <w:rPr>
                <w:webHidden/>
              </w:rPr>
              <w:tab/>
            </w:r>
            <w:r w:rsidR="00D66516">
              <w:rPr>
                <w:webHidden/>
              </w:rPr>
              <w:fldChar w:fldCharType="begin"/>
            </w:r>
            <w:r w:rsidR="00D66516">
              <w:rPr>
                <w:webHidden/>
              </w:rPr>
              <w:instrText xml:space="preserve"> PAGEREF _Toc436060147 \h </w:instrText>
            </w:r>
            <w:r w:rsidR="00D66516">
              <w:rPr>
                <w:webHidden/>
              </w:rPr>
            </w:r>
            <w:r w:rsidR="00D66516">
              <w:rPr>
                <w:webHidden/>
              </w:rPr>
              <w:fldChar w:fldCharType="separate"/>
            </w:r>
            <w:r>
              <w:rPr>
                <w:webHidden/>
              </w:rPr>
              <w:t>5</w:t>
            </w:r>
            <w:r w:rsidR="00D66516">
              <w:rPr>
                <w:webHidden/>
              </w:rPr>
              <w:fldChar w:fldCharType="end"/>
            </w:r>
          </w:hyperlink>
        </w:p>
        <w:p w:rsidR="00D66516" w:rsidRDefault="00FE39F3">
          <w:pPr>
            <w:pStyle w:val="TOC1"/>
            <w:rPr>
              <w:rFonts w:asciiTheme="minorHAnsi" w:eastAsiaTheme="minorEastAsia" w:hAnsiTheme="minorHAnsi"/>
              <w:b w:val="0"/>
              <w:color w:val="auto"/>
              <w:sz w:val="22"/>
              <w:lang w:val="en-AU" w:eastAsia="en-AU"/>
            </w:rPr>
          </w:pPr>
          <w:hyperlink w:anchor="_Toc436060148" w:history="1">
            <w:r w:rsidR="00D66516" w:rsidRPr="0081343A">
              <w:rPr>
                <w:rStyle w:val="Hyperlink"/>
              </w:rPr>
              <w:t>3</w:t>
            </w:r>
            <w:r w:rsidR="00D66516">
              <w:rPr>
                <w:rFonts w:asciiTheme="minorHAnsi" w:eastAsiaTheme="minorEastAsia" w:hAnsiTheme="minorHAnsi"/>
                <w:b w:val="0"/>
                <w:color w:val="auto"/>
                <w:sz w:val="22"/>
                <w:lang w:val="en-AU" w:eastAsia="en-AU"/>
              </w:rPr>
              <w:tab/>
            </w:r>
            <w:r w:rsidR="00D66516" w:rsidRPr="0081343A">
              <w:rPr>
                <w:rStyle w:val="Hyperlink"/>
              </w:rPr>
              <w:t>Analysis</w:t>
            </w:r>
            <w:r w:rsidR="00D66516">
              <w:rPr>
                <w:webHidden/>
              </w:rPr>
              <w:tab/>
            </w:r>
            <w:r w:rsidR="00D66516">
              <w:rPr>
                <w:webHidden/>
              </w:rPr>
              <w:fldChar w:fldCharType="begin"/>
            </w:r>
            <w:r w:rsidR="00D66516">
              <w:rPr>
                <w:webHidden/>
              </w:rPr>
              <w:instrText xml:space="preserve"> PAGEREF _Toc436060148 \h </w:instrText>
            </w:r>
            <w:r w:rsidR="00D66516">
              <w:rPr>
                <w:webHidden/>
              </w:rPr>
            </w:r>
            <w:r w:rsidR="00D66516">
              <w:rPr>
                <w:webHidden/>
              </w:rPr>
              <w:fldChar w:fldCharType="separate"/>
            </w:r>
            <w:r>
              <w:rPr>
                <w:webHidden/>
              </w:rPr>
              <w:t>6</w:t>
            </w:r>
            <w:r w:rsidR="00D66516">
              <w:rPr>
                <w:webHidden/>
              </w:rPr>
              <w:fldChar w:fldCharType="end"/>
            </w:r>
          </w:hyperlink>
        </w:p>
        <w:p w:rsidR="00D66516" w:rsidRDefault="00FE39F3">
          <w:pPr>
            <w:pStyle w:val="TOC2"/>
            <w:rPr>
              <w:rFonts w:asciiTheme="minorHAnsi" w:eastAsiaTheme="minorEastAsia" w:hAnsiTheme="minorHAnsi"/>
              <w:b w:val="0"/>
              <w:color w:val="auto"/>
              <w:sz w:val="22"/>
              <w:lang w:eastAsia="en-AU"/>
            </w:rPr>
          </w:pPr>
          <w:hyperlink w:anchor="_Toc436060149" w:history="1">
            <w:r w:rsidR="00D66516" w:rsidRPr="0081343A">
              <w:rPr>
                <w:rStyle w:val="Hyperlink"/>
              </w:rPr>
              <w:t>3.1</w:t>
            </w:r>
            <w:r w:rsidR="00D66516">
              <w:rPr>
                <w:rFonts w:asciiTheme="minorHAnsi" w:eastAsiaTheme="minorEastAsia" w:hAnsiTheme="minorHAnsi"/>
                <w:b w:val="0"/>
                <w:color w:val="auto"/>
                <w:sz w:val="22"/>
                <w:lang w:eastAsia="en-AU"/>
              </w:rPr>
              <w:tab/>
            </w:r>
            <w:r w:rsidR="00D66516" w:rsidRPr="0081343A">
              <w:rPr>
                <w:rStyle w:val="Hyperlink"/>
              </w:rPr>
              <w:t>Network Availability</w:t>
            </w:r>
            <w:r w:rsidR="00D66516">
              <w:rPr>
                <w:webHidden/>
              </w:rPr>
              <w:tab/>
            </w:r>
            <w:r w:rsidR="00D66516">
              <w:rPr>
                <w:webHidden/>
              </w:rPr>
              <w:fldChar w:fldCharType="begin"/>
            </w:r>
            <w:r w:rsidR="00D66516">
              <w:rPr>
                <w:webHidden/>
              </w:rPr>
              <w:instrText xml:space="preserve"> PAGEREF _Toc436060149 \h </w:instrText>
            </w:r>
            <w:r w:rsidR="00D66516">
              <w:rPr>
                <w:webHidden/>
              </w:rPr>
            </w:r>
            <w:r w:rsidR="00D66516">
              <w:rPr>
                <w:webHidden/>
              </w:rPr>
              <w:fldChar w:fldCharType="separate"/>
            </w:r>
            <w:r>
              <w:rPr>
                <w:webHidden/>
              </w:rPr>
              <w:t>6</w:t>
            </w:r>
            <w:r w:rsidR="00D66516">
              <w:rPr>
                <w:webHidden/>
              </w:rPr>
              <w:fldChar w:fldCharType="end"/>
            </w:r>
          </w:hyperlink>
        </w:p>
        <w:p w:rsidR="00D66516" w:rsidRDefault="00FE39F3">
          <w:pPr>
            <w:pStyle w:val="TOC2"/>
            <w:rPr>
              <w:rFonts w:asciiTheme="minorHAnsi" w:eastAsiaTheme="minorEastAsia" w:hAnsiTheme="minorHAnsi"/>
              <w:b w:val="0"/>
              <w:color w:val="auto"/>
              <w:sz w:val="22"/>
              <w:lang w:eastAsia="en-AU"/>
            </w:rPr>
          </w:pPr>
          <w:hyperlink w:anchor="_Toc436060150" w:history="1">
            <w:r w:rsidR="00D66516" w:rsidRPr="0081343A">
              <w:rPr>
                <w:rStyle w:val="Hyperlink"/>
              </w:rPr>
              <w:t>3.2</w:t>
            </w:r>
            <w:r w:rsidR="00D66516">
              <w:rPr>
                <w:rFonts w:asciiTheme="minorHAnsi" w:eastAsiaTheme="minorEastAsia" w:hAnsiTheme="minorHAnsi"/>
                <w:b w:val="0"/>
                <w:color w:val="auto"/>
                <w:sz w:val="22"/>
                <w:lang w:eastAsia="en-AU"/>
              </w:rPr>
              <w:tab/>
            </w:r>
            <w:r w:rsidR="00D66516" w:rsidRPr="0081343A">
              <w:rPr>
                <w:rStyle w:val="Hyperlink"/>
              </w:rPr>
              <w:t>Supply and Demand</w:t>
            </w:r>
            <w:r w:rsidR="00D66516">
              <w:rPr>
                <w:webHidden/>
              </w:rPr>
              <w:tab/>
            </w:r>
            <w:r w:rsidR="00D66516">
              <w:rPr>
                <w:webHidden/>
              </w:rPr>
              <w:fldChar w:fldCharType="begin"/>
            </w:r>
            <w:r w:rsidR="00D66516">
              <w:rPr>
                <w:webHidden/>
              </w:rPr>
              <w:instrText xml:space="preserve"> PAGEREF _Toc436060150 \h </w:instrText>
            </w:r>
            <w:r w:rsidR="00D66516">
              <w:rPr>
                <w:webHidden/>
              </w:rPr>
            </w:r>
            <w:r w:rsidR="00D66516">
              <w:rPr>
                <w:webHidden/>
              </w:rPr>
              <w:fldChar w:fldCharType="separate"/>
            </w:r>
            <w:r>
              <w:rPr>
                <w:webHidden/>
              </w:rPr>
              <w:t>8</w:t>
            </w:r>
            <w:r w:rsidR="00D66516">
              <w:rPr>
                <w:webHidden/>
              </w:rPr>
              <w:fldChar w:fldCharType="end"/>
            </w:r>
          </w:hyperlink>
        </w:p>
        <w:p w:rsidR="00D66516" w:rsidRDefault="00FE39F3">
          <w:pPr>
            <w:pStyle w:val="TOC3"/>
            <w:rPr>
              <w:rFonts w:asciiTheme="minorHAnsi" w:eastAsiaTheme="minorEastAsia" w:hAnsiTheme="minorHAnsi"/>
              <w:lang w:eastAsia="en-AU"/>
            </w:rPr>
          </w:pPr>
          <w:hyperlink w:anchor="_Toc436060151" w:history="1">
            <w:r w:rsidR="00D66516" w:rsidRPr="0081343A">
              <w:rPr>
                <w:rStyle w:val="Hyperlink"/>
              </w:rPr>
              <w:t>3.2.1</w:t>
            </w:r>
            <w:r w:rsidR="00D66516">
              <w:rPr>
                <w:rFonts w:asciiTheme="minorHAnsi" w:eastAsiaTheme="minorEastAsia" w:hAnsiTheme="minorHAnsi"/>
                <w:lang w:eastAsia="en-AU"/>
              </w:rPr>
              <w:tab/>
            </w:r>
            <w:r w:rsidR="00D66516" w:rsidRPr="0081343A">
              <w:rPr>
                <w:rStyle w:val="Hyperlink"/>
              </w:rPr>
              <w:t>Supply curve</w:t>
            </w:r>
            <w:r w:rsidR="00D66516">
              <w:rPr>
                <w:webHidden/>
              </w:rPr>
              <w:tab/>
            </w:r>
            <w:r w:rsidR="00D66516">
              <w:rPr>
                <w:webHidden/>
              </w:rPr>
              <w:fldChar w:fldCharType="begin"/>
            </w:r>
            <w:r w:rsidR="00D66516">
              <w:rPr>
                <w:webHidden/>
              </w:rPr>
              <w:instrText xml:space="preserve"> PAGEREF _Toc436060151 \h </w:instrText>
            </w:r>
            <w:r w:rsidR="00D66516">
              <w:rPr>
                <w:webHidden/>
              </w:rPr>
            </w:r>
            <w:r w:rsidR="00D66516">
              <w:rPr>
                <w:webHidden/>
              </w:rPr>
              <w:fldChar w:fldCharType="separate"/>
            </w:r>
            <w:r>
              <w:rPr>
                <w:webHidden/>
              </w:rPr>
              <w:t>8</w:t>
            </w:r>
            <w:r w:rsidR="00D66516">
              <w:rPr>
                <w:webHidden/>
              </w:rPr>
              <w:fldChar w:fldCharType="end"/>
            </w:r>
          </w:hyperlink>
        </w:p>
        <w:p w:rsidR="00D66516" w:rsidRDefault="00FE39F3">
          <w:pPr>
            <w:pStyle w:val="TOC3"/>
            <w:rPr>
              <w:rFonts w:asciiTheme="minorHAnsi" w:eastAsiaTheme="minorEastAsia" w:hAnsiTheme="minorHAnsi"/>
              <w:lang w:eastAsia="en-AU"/>
            </w:rPr>
          </w:pPr>
          <w:hyperlink w:anchor="_Toc436060152" w:history="1">
            <w:r w:rsidR="00D66516" w:rsidRPr="0081343A">
              <w:rPr>
                <w:rStyle w:val="Hyperlink"/>
              </w:rPr>
              <w:t>3.2.2</w:t>
            </w:r>
            <w:r w:rsidR="00D66516">
              <w:rPr>
                <w:rFonts w:asciiTheme="minorHAnsi" w:eastAsiaTheme="minorEastAsia" w:hAnsiTheme="minorHAnsi"/>
                <w:lang w:eastAsia="en-AU"/>
              </w:rPr>
              <w:tab/>
            </w:r>
            <w:r w:rsidR="00D66516" w:rsidRPr="0081343A">
              <w:rPr>
                <w:rStyle w:val="Hyperlink"/>
              </w:rPr>
              <w:t>Rebidding</w:t>
            </w:r>
            <w:r w:rsidR="00D66516">
              <w:rPr>
                <w:webHidden/>
              </w:rPr>
              <w:tab/>
            </w:r>
            <w:r w:rsidR="00D66516">
              <w:rPr>
                <w:webHidden/>
              </w:rPr>
              <w:fldChar w:fldCharType="begin"/>
            </w:r>
            <w:r w:rsidR="00D66516">
              <w:rPr>
                <w:webHidden/>
              </w:rPr>
              <w:instrText xml:space="preserve"> PAGEREF _Toc436060152 \h </w:instrText>
            </w:r>
            <w:r w:rsidR="00D66516">
              <w:rPr>
                <w:webHidden/>
              </w:rPr>
            </w:r>
            <w:r w:rsidR="00D66516">
              <w:rPr>
                <w:webHidden/>
              </w:rPr>
              <w:fldChar w:fldCharType="separate"/>
            </w:r>
            <w:r>
              <w:rPr>
                <w:webHidden/>
              </w:rPr>
              <w:t>9</w:t>
            </w:r>
            <w:r w:rsidR="00D66516">
              <w:rPr>
                <w:webHidden/>
              </w:rPr>
              <w:fldChar w:fldCharType="end"/>
            </w:r>
          </w:hyperlink>
        </w:p>
        <w:p w:rsidR="00D66516" w:rsidRDefault="00FE39F3">
          <w:pPr>
            <w:pStyle w:val="TOC3"/>
            <w:rPr>
              <w:rFonts w:asciiTheme="minorHAnsi" w:eastAsiaTheme="minorEastAsia" w:hAnsiTheme="minorHAnsi"/>
              <w:lang w:eastAsia="en-AU"/>
            </w:rPr>
          </w:pPr>
          <w:hyperlink w:anchor="_Toc436060153" w:history="1">
            <w:r w:rsidR="00D66516" w:rsidRPr="0081343A">
              <w:rPr>
                <w:rStyle w:val="Hyperlink"/>
              </w:rPr>
              <w:t>3.2.3</w:t>
            </w:r>
            <w:r w:rsidR="00D66516">
              <w:rPr>
                <w:rFonts w:asciiTheme="minorHAnsi" w:eastAsiaTheme="minorEastAsia" w:hAnsiTheme="minorHAnsi"/>
                <w:lang w:eastAsia="en-AU"/>
              </w:rPr>
              <w:tab/>
            </w:r>
            <w:r w:rsidR="00D66516" w:rsidRPr="0081343A">
              <w:rPr>
                <w:rStyle w:val="Hyperlink"/>
              </w:rPr>
              <w:t>Forecast demand</w:t>
            </w:r>
            <w:r w:rsidR="00D66516">
              <w:rPr>
                <w:webHidden/>
              </w:rPr>
              <w:tab/>
            </w:r>
            <w:r w:rsidR="00D66516">
              <w:rPr>
                <w:webHidden/>
              </w:rPr>
              <w:fldChar w:fldCharType="begin"/>
            </w:r>
            <w:r w:rsidR="00D66516">
              <w:rPr>
                <w:webHidden/>
              </w:rPr>
              <w:instrText xml:space="preserve"> PAGEREF _Toc436060153 \h </w:instrText>
            </w:r>
            <w:r w:rsidR="00D66516">
              <w:rPr>
                <w:webHidden/>
              </w:rPr>
            </w:r>
            <w:r w:rsidR="00D66516">
              <w:rPr>
                <w:webHidden/>
              </w:rPr>
              <w:fldChar w:fldCharType="separate"/>
            </w:r>
            <w:r>
              <w:rPr>
                <w:webHidden/>
              </w:rPr>
              <w:t>11</w:t>
            </w:r>
            <w:r w:rsidR="00D66516">
              <w:rPr>
                <w:webHidden/>
              </w:rPr>
              <w:fldChar w:fldCharType="end"/>
            </w:r>
          </w:hyperlink>
        </w:p>
        <w:p w:rsidR="00D66516" w:rsidRDefault="00FE39F3">
          <w:pPr>
            <w:pStyle w:val="TOC1"/>
            <w:rPr>
              <w:rFonts w:asciiTheme="minorHAnsi" w:eastAsiaTheme="minorEastAsia" w:hAnsiTheme="minorHAnsi"/>
              <w:b w:val="0"/>
              <w:color w:val="auto"/>
              <w:sz w:val="22"/>
              <w:lang w:val="en-AU" w:eastAsia="en-AU"/>
            </w:rPr>
          </w:pPr>
          <w:hyperlink w:anchor="_Toc436060154" w:history="1">
            <w:r w:rsidR="00D66516" w:rsidRPr="0081343A">
              <w:rPr>
                <w:rStyle w:val="Hyperlink"/>
              </w:rPr>
              <w:t>4</w:t>
            </w:r>
            <w:r w:rsidR="00D66516">
              <w:rPr>
                <w:rFonts w:asciiTheme="minorHAnsi" w:eastAsiaTheme="minorEastAsia" w:hAnsiTheme="minorHAnsi"/>
                <w:b w:val="0"/>
                <w:color w:val="auto"/>
                <w:sz w:val="22"/>
                <w:lang w:val="en-AU" w:eastAsia="en-AU"/>
              </w:rPr>
              <w:tab/>
            </w:r>
            <w:r w:rsidR="00D66516" w:rsidRPr="0081343A">
              <w:rPr>
                <w:rStyle w:val="Hyperlink"/>
              </w:rPr>
              <w:t>FCAS in Queensland</w:t>
            </w:r>
            <w:r w:rsidR="00D66516">
              <w:rPr>
                <w:webHidden/>
              </w:rPr>
              <w:tab/>
            </w:r>
            <w:r w:rsidR="00D66516">
              <w:rPr>
                <w:webHidden/>
              </w:rPr>
              <w:fldChar w:fldCharType="begin"/>
            </w:r>
            <w:r w:rsidR="00D66516">
              <w:rPr>
                <w:webHidden/>
              </w:rPr>
              <w:instrText xml:space="preserve"> PAGEREF _Toc436060154 \h </w:instrText>
            </w:r>
            <w:r w:rsidR="00D66516">
              <w:rPr>
                <w:webHidden/>
              </w:rPr>
            </w:r>
            <w:r w:rsidR="00D66516">
              <w:rPr>
                <w:webHidden/>
              </w:rPr>
              <w:fldChar w:fldCharType="separate"/>
            </w:r>
            <w:r>
              <w:rPr>
                <w:webHidden/>
              </w:rPr>
              <w:t>13</w:t>
            </w:r>
            <w:r w:rsidR="00D66516">
              <w:rPr>
                <w:webHidden/>
              </w:rPr>
              <w:fldChar w:fldCharType="end"/>
            </w:r>
          </w:hyperlink>
        </w:p>
        <w:p w:rsidR="00D66516" w:rsidRDefault="00FE39F3">
          <w:pPr>
            <w:pStyle w:val="TOC1"/>
            <w:tabs>
              <w:tab w:val="left" w:pos="1701"/>
            </w:tabs>
            <w:rPr>
              <w:rFonts w:asciiTheme="minorHAnsi" w:eastAsiaTheme="minorEastAsia" w:hAnsiTheme="minorHAnsi"/>
              <w:b w:val="0"/>
              <w:color w:val="auto"/>
              <w:sz w:val="22"/>
              <w:lang w:val="en-AU" w:eastAsia="en-AU"/>
            </w:rPr>
          </w:pPr>
          <w:hyperlink w:anchor="_Toc436060155" w:history="1">
            <w:r w:rsidR="00D66516" w:rsidRPr="0081343A">
              <w:rPr>
                <w:rStyle w:val="Hyperlink"/>
              </w:rPr>
              <w:t>Appendix A:</w:t>
            </w:r>
            <w:r w:rsidR="00D66516">
              <w:rPr>
                <w:rFonts w:asciiTheme="minorHAnsi" w:eastAsiaTheme="minorEastAsia" w:hAnsiTheme="minorHAnsi"/>
                <w:b w:val="0"/>
                <w:color w:val="auto"/>
                <w:sz w:val="22"/>
                <w:lang w:val="en-AU" w:eastAsia="en-AU"/>
              </w:rPr>
              <w:tab/>
            </w:r>
            <w:r w:rsidR="00D66516" w:rsidRPr="0081343A">
              <w:rPr>
                <w:rStyle w:val="Hyperlink"/>
              </w:rPr>
              <w:t>Significant Rebids</w:t>
            </w:r>
            <w:r w:rsidR="00D66516">
              <w:rPr>
                <w:webHidden/>
              </w:rPr>
              <w:tab/>
            </w:r>
            <w:r w:rsidR="00D66516">
              <w:rPr>
                <w:webHidden/>
              </w:rPr>
              <w:fldChar w:fldCharType="begin"/>
            </w:r>
            <w:r w:rsidR="00D66516">
              <w:rPr>
                <w:webHidden/>
              </w:rPr>
              <w:instrText xml:space="preserve"> PAGEREF _Toc436060155 \h </w:instrText>
            </w:r>
            <w:r w:rsidR="00D66516">
              <w:rPr>
                <w:webHidden/>
              </w:rPr>
            </w:r>
            <w:r w:rsidR="00D66516">
              <w:rPr>
                <w:webHidden/>
              </w:rPr>
              <w:fldChar w:fldCharType="separate"/>
            </w:r>
            <w:r>
              <w:rPr>
                <w:webHidden/>
              </w:rPr>
              <w:t>14</w:t>
            </w:r>
            <w:r w:rsidR="00D66516">
              <w:rPr>
                <w:webHidden/>
              </w:rPr>
              <w:fldChar w:fldCharType="end"/>
            </w:r>
          </w:hyperlink>
        </w:p>
        <w:p w:rsidR="00D66516" w:rsidRDefault="00FE39F3">
          <w:pPr>
            <w:pStyle w:val="TOC1"/>
            <w:rPr>
              <w:rFonts w:asciiTheme="minorHAnsi" w:eastAsiaTheme="minorEastAsia" w:hAnsiTheme="minorHAnsi"/>
              <w:b w:val="0"/>
              <w:color w:val="auto"/>
              <w:sz w:val="22"/>
              <w:lang w:val="en-AU" w:eastAsia="en-AU"/>
            </w:rPr>
          </w:pPr>
          <w:hyperlink w:anchor="_Toc436060156" w:history="1">
            <w:r w:rsidR="00D66516" w:rsidRPr="0081343A">
              <w:rPr>
                <w:rStyle w:val="Hyperlink"/>
              </w:rPr>
              <w:t>Appendix B: Price setter</w:t>
            </w:r>
            <w:r w:rsidR="00D66516">
              <w:rPr>
                <w:webHidden/>
              </w:rPr>
              <w:tab/>
            </w:r>
            <w:r w:rsidR="00D66516">
              <w:rPr>
                <w:webHidden/>
              </w:rPr>
              <w:fldChar w:fldCharType="begin"/>
            </w:r>
            <w:r w:rsidR="00D66516">
              <w:rPr>
                <w:webHidden/>
              </w:rPr>
              <w:instrText xml:space="preserve"> PAGEREF _Toc436060156 \h </w:instrText>
            </w:r>
            <w:r w:rsidR="00D66516">
              <w:rPr>
                <w:webHidden/>
              </w:rPr>
            </w:r>
            <w:r w:rsidR="00D66516">
              <w:rPr>
                <w:webHidden/>
              </w:rPr>
              <w:fldChar w:fldCharType="separate"/>
            </w:r>
            <w:r>
              <w:rPr>
                <w:webHidden/>
              </w:rPr>
              <w:t>16</w:t>
            </w:r>
            <w:r w:rsidR="00D66516">
              <w:rPr>
                <w:webHidden/>
              </w:rPr>
              <w:fldChar w:fldCharType="end"/>
            </w:r>
          </w:hyperlink>
        </w:p>
        <w:p w:rsidR="00D66516" w:rsidRDefault="00FE39F3">
          <w:pPr>
            <w:pStyle w:val="TOC1"/>
            <w:rPr>
              <w:rFonts w:asciiTheme="minorHAnsi" w:eastAsiaTheme="minorEastAsia" w:hAnsiTheme="minorHAnsi"/>
              <w:b w:val="0"/>
              <w:color w:val="auto"/>
              <w:sz w:val="22"/>
              <w:lang w:val="en-AU" w:eastAsia="en-AU"/>
            </w:rPr>
          </w:pPr>
          <w:hyperlink w:anchor="_Toc436060157" w:history="1">
            <w:r w:rsidR="00D66516" w:rsidRPr="0081343A">
              <w:rPr>
                <w:rStyle w:val="Hyperlink"/>
              </w:rPr>
              <w:t>Appendix C: Closing bids</w:t>
            </w:r>
            <w:r w:rsidR="00D66516">
              <w:rPr>
                <w:webHidden/>
              </w:rPr>
              <w:tab/>
            </w:r>
            <w:r w:rsidR="00D66516">
              <w:rPr>
                <w:webHidden/>
              </w:rPr>
              <w:fldChar w:fldCharType="begin"/>
            </w:r>
            <w:r w:rsidR="00D66516">
              <w:rPr>
                <w:webHidden/>
              </w:rPr>
              <w:instrText xml:space="preserve"> PAGEREF _Toc436060157 \h </w:instrText>
            </w:r>
            <w:r w:rsidR="00D66516">
              <w:rPr>
                <w:webHidden/>
              </w:rPr>
            </w:r>
            <w:r w:rsidR="00D66516">
              <w:rPr>
                <w:webHidden/>
              </w:rPr>
              <w:fldChar w:fldCharType="separate"/>
            </w:r>
            <w:r>
              <w:rPr>
                <w:webHidden/>
              </w:rPr>
              <w:t>18</w:t>
            </w:r>
            <w:r w:rsidR="00D66516">
              <w:rPr>
                <w:webHidden/>
              </w:rPr>
              <w:fldChar w:fldCharType="end"/>
            </w:r>
          </w:hyperlink>
        </w:p>
        <w:p w:rsidR="00C7068C" w:rsidRDefault="00C7068C" w:rsidP="00C7068C">
          <w:r>
            <w:fldChar w:fldCharType="end"/>
          </w:r>
        </w:p>
        <w:p w:rsidR="00C7068C" w:rsidRDefault="00C7068C" w:rsidP="00C7068C">
          <w:bookmarkStart w:id="0" w:name="_Toc213047617"/>
        </w:p>
        <w:p w:rsidR="00C7068C" w:rsidRDefault="00C7068C" w:rsidP="00C7068C">
          <w:pPr>
            <w:sectPr w:rsidR="00C7068C" w:rsidSect="00581454">
              <w:footerReference w:type="default" r:id="rId11"/>
              <w:pgSz w:w="11906" w:h="16838" w:code="9"/>
              <w:pgMar w:top="1440" w:right="1700" w:bottom="1582" w:left="1729" w:header="720" w:footer="1009" w:gutter="0"/>
              <w:pgNumType w:fmt="lowerRoman"/>
              <w:cols w:space="720"/>
              <w:docGrid w:linePitch="326"/>
            </w:sectPr>
          </w:pPr>
        </w:p>
        <w:p w:rsidR="00C7068C" w:rsidRDefault="00C7068C" w:rsidP="00C7068C">
          <w:pPr>
            <w:pStyle w:val="Heading1"/>
          </w:pPr>
          <w:bookmarkStart w:id="1" w:name="_Toc436060146"/>
          <w:bookmarkEnd w:id="0"/>
          <w:r>
            <w:lastRenderedPageBreak/>
            <w:t>Introduction</w:t>
          </w:r>
          <w:bookmarkEnd w:id="1"/>
          <w:r>
            <w:t xml:space="preserve"> </w:t>
          </w:r>
        </w:p>
        <w:p w:rsidR="00C7068C" w:rsidRPr="00663CFC" w:rsidRDefault="00C7068C" w:rsidP="00C7068C">
          <w:r w:rsidRPr="00663CFC">
            <w:t>The AER is required to publish a report whenever the electricity spot price exceeds $5000/MWh.</w:t>
          </w:r>
          <w:r w:rsidRPr="00663CFC">
            <w:rPr>
              <w:rStyle w:val="FootnoteReference"/>
            </w:rPr>
            <w:footnoteReference w:id="1"/>
          </w:r>
          <w:r w:rsidRPr="00663CFC">
            <w:t xml:space="preserve"> The report: </w:t>
          </w:r>
        </w:p>
        <w:p w:rsidR="00C7068C" w:rsidRPr="00663CFC" w:rsidRDefault="00C7068C" w:rsidP="00C7068C">
          <w:pPr>
            <w:pStyle w:val="Bulletpoint"/>
          </w:pPr>
          <w:r w:rsidRPr="00663CFC">
            <w:t xml:space="preserve">describes the significant factors contributing to the spot price exceeding $5000/MWh, including withdrawal of generation capacity and network availability; </w:t>
          </w:r>
        </w:p>
        <w:p w:rsidR="00C7068C" w:rsidRPr="00663CFC" w:rsidRDefault="00C7068C" w:rsidP="00C7068C">
          <w:pPr>
            <w:pStyle w:val="Bulletpoint"/>
          </w:pPr>
          <w:r w:rsidRPr="00663CFC">
            <w:t xml:space="preserve">assesses whether rebidding contributed to the spot price exceeding $5000/MWh; </w:t>
          </w:r>
        </w:p>
        <w:p w:rsidR="00C7068C" w:rsidRPr="00663CFC" w:rsidRDefault="00C7068C" w:rsidP="00C7068C">
          <w:pPr>
            <w:pStyle w:val="Bulletpoint"/>
          </w:pPr>
          <w:r w:rsidRPr="00663CFC">
            <w:t>identifies the marginal scheduled generating units; and</w:t>
          </w:r>
        </w:p>
        <w:p w:rsidR="00C7068C" w:rsidRDefault="00C7068C" w:rsidP="00D31B41">
          <w:pPr>
            <w:pStyle w:val="Bulletpoint"/>
          </w:pPr>
          <w:proofErr w:type="gramStart"/>
          <w:r w:rsidRPr="00663CFC">
            <w:t>identifies</w:t>
          </w:r>
          <w:proofErr w:type="gramEnd"/>
          <w:r w:rsidRPr="00663CFC">
            <w:t xml:space="preserve"> all units with offers for the trading interval equal to or greater than $5000/MWh and compares these dispatch offers to relevant dispatch offers in previous trading intervals. </w:t>
          </w:r>
        </w:p>
        <w:p w:rsidR="00C7068C" w:rsidRDefault="00C7068C" w:rsidP="00C7068C">
          <w:pPr>
            <w:pStyle w:val="Heading1"/>
          </w:pPr>
          <w:bookmarkStart w:id="2" w:name="_Toc436060147"/>
          <w:r>
            <w:lastRenderedPageBreak/>
            <w:t>Summary</w:t>
          </w:r>
          <w:bookmarkEnd w:id="2"/>
          <w:r>
            <w:t xml:space="preserve"> </w:t>
          </w:r>
        </w:p>
        <w:p w:rsidR="0040128A" w:rsidRDefault="00CE57A5" w:rsidP="00C7068C">
          <w:r w:rsidRPr="00895669">
            <w:t>On 23 September 2015</w:t>
          </w:r>
          <w:r>
            <w:t xml:space="preserve">, </w:t>
          </w:r>
          <w:r w:rsidR="00464428">
            <w:t>t</w:t>
          </w:r>
          <w:r w:rsidR="00464428" w:rsidRPr="00895669">
            <w:t>he spot price in New</w:t>
          </w:r>
          <w:r w:rsidR="00464428">
            <w:t> </w:t>
          </w:r>
          <w:r w:rsidR="00464428" w:rsidRPr="00895669">
            <w:t>South</w:t>
          </w:r>
          <w:r w:rsidR="00464428">
            <w:t> </w:t>
          </w:r>
          <w:r w:rsidR="00464428" w:rsidRPr="00895669">
            <w:t>Wales exceeded $5000/MWh for the 6.30 pm and 7 pm</w:t>
          </w:r>
          <w:r w:rsidR="00464428">
            <w:t xml:space="preserve"> trading </w:t>
          </w:r>
          <w:r w:rsidR="00464428" w:rsidRPr="00895669">
            <w:t>intervals</w:t>
          </w:r>
          <w:r w:rsidR="00464428">
            <w:t xml:space="preserve">. Spot </w:t>
          </w:r>
          <w:r w:rsidR="0040128A">
            <w:t xml:space="preserve">prices in </w:t>
          </w:r>
          <w:r w:rsidR="00464428">
            <w:t>the region</w:t>
          </w:r>
          <w:r w:rsidRPr="00895669">
            <w:t xml:space="preserve"> </w:t>
          </w:r>
          <w:r w:rsidR="00464428">
            <w:t>had been</w:t>
          </w:r>
          <w:r w:rsidR="0040128A">
            <w:t xml:space="preserve"> between $40/MWh and $60/MWh </w:t>
          </w:r>
          <w:r w:rsidR="00464428">
            <w:t xml:space="preserve">for the majority of the day, </w:t>
          </w:r>
          <w:r w:rsidR="0040128A">
            <w:t xml:space="preserve">with the exception of a short period during the morning demand rise when spot prices reached $180/MWh. Demand and available capacity were </w:t>
          </w:r>
          <w:r w:rsidR="00C04FDF">
            <w:t>what would be expected for this</w:t>
          </w:r>
          <w:r w:rsidR="00CE5919">
            <w:t xml:space="preserve"> time</w:t>
          </w:r>
          <w:r w:rsidR="0040128A">
            <w:t xml:space="preserve"> of year.  </w:t>
          </w:r>
        </w:p>
        <w:p w:rsidR="00CE57A5" w:rsidRPr="00CE57A5" w:rsidRDefault="00464428" w:rsidP="00CE57A5">
          <w:r>
            <w:t>The spot price in</w:t>
          </w:r>
          <w:r w:rsidRPr="00464428">
            <w:t xml:space="preserve"> </w:t>
          </w:r>
          <w:r w:rsidRPr="00895669">
            <w:t>New</w:t>
          </w:r>
          <w:r>
            <w:t> </w:t>
          </w:r>
          <w:r w:rsidRPr="00895669">
            <w:t>South</w:t>
          </w:r>
          <w:r>
            <w:t> </w:t>
          </w:r>
          <w:r w:rsidRPr="00895669">
            <w:t>Wales</w:t>
          </w:r>
          <w:r>
            <w:t xml:space="preserve"> reached $13 420/MWh and $</w:t>
          </w:r>
          <w:r w:rsidRPr="00D51AD9">
            <w:t>6717</w:t>
          </w:r>
          <w:r>
            <w:t xml:space="preserve">/MWh for the 6.30 pm and 7 pm trading intervals respectively. </w:t>
          </w:r>
          <w:r w:rsidR="00CE57A5">
            <w:t xml:space="preserve">The dispatch price exceeded $13 400/MWh between 6.05 pm and 6.45 pm, inclusive. </w:t>
          </w:r>
          <w:r w:rsidR="00CE57A5" w:rsidRPr="00895669">
            <w:t>Both four and twelve hours ahead, the forecast spot price for these trading intervals was around $300/MWh.</w:t>
          </w:r>
        </w:p>
        <w:p w:rsidR="002475E3" w:rsidRDefault="00D369A2" w:rsidP="002475E3">
          <w:r>
            <w:t>N</w:t>
          </w:r>
          <w:r w:rsidR="0040128A">
            <w:t xml:space="preserve">etwork outages </w:t>
          </w:r>
          <w:r w:rsidR="00CE57A5">
            <w:t xml:space="preserve">contributed to </w:t>
          </w:r>
          <w:r w:rsidR="002475E3">
            <w:t>the outcomes during the day. A</w:t>
          </w:r>
          <w:r w:rsidR="002475E3" w:rsidRPr="0043592B">
            <w:t xml:space="preserve"> planned outage o</w:t>
          </w:r>
          <w:r w:rsidR="002475E3">
            <w:t>n</w:t>
          </w:r>
          <w:r w:rsidR="002475E3" w:rsidRPr="0043592B">
            <w:t xml:space="preserve"> the Canberra to Upper Tumut line </w:t>
          </w:r>
          <w:r w:rsidR="002475E3">
            <w:t>forced</w:t>
          </w:r>
          <w:r w:rsidR="002475E3" w:rsidRPr="0043592B">
            <w:t xml:space="preserve"> flow</w:t>
          </w:r>
          <w:r w:rsidR="00464428">
            <w:t>s</w:t>
          </w:r>
          <w:r w:rsidR="002475E3" w:rsidRPr="0043592B">
            <w:t xml:space="preserve"> </w:t>
          </w:r>
          <w:r w:rsidR="002475E3">
            <w:t xml:space="preserve">from </w:t>
          </w:r>
          <w:r w:rsidR="00CE57A5" w:rsidRPr="00895669">
            <w:t>New</w:t>
          </w:r>
          <w:r w:rsidR="00CE57A5">
            <w:t> </w:t>
          </w:r>
          <w:r w:rsidR="00CE57A5" w:rsidRPr="00895669">
            <w:t>South</w:t>
          </w:r>
          <w:r w:rsidR="00CE57A5">
            <w:t> </w:t>
          </w:r>
          <w:r w:rsidR="00CE57A5" w:rsidRPr="00895669">
            <w:t xml:space="preserve">Wales </w:t>
          </w:r>
          <w:r w:rsidR="002475E3" w:rsidRPr="0043592B">
            <w:t xml:space="preserve">into Victoria across the </w:t>
          </w:r>
          <w:r w:rsidR="00A55E57" w:rsidRPr="0043592B">
            <w:t>Vic-</w:t>
          </w:r>
          <w:r w:rsidR="002475E3" w:rsidRPr="0043592B">
            <w:t>NSW interconnector</w:t>
          </w:r>
          <w:r w:rsidR="002475E3">
            <w:t xml:space="preserve"> and constrained down low-priced generation</w:t>
          </w:r>
          <w:r w:rsidR="002475E3" w:rsidRPr="0043592B">
            <w:t xml:space="preserve">. </w:t>
          </w:r>
          <w:r w:rsidR="002475E3">
            <w:t>This outage commence</w:t>
          </w:r>
          <w:r w:rsidR="00CE57A5">
            <w:t xml:space="preserve">d </w:t>
          </w:r>
          <w:r w:rsidR="006329AC">
            <w:t>the day before</w:t>
          </w:r>
          <w:r w:rsidR="00CE57A5">
            <w:t xml:space="preserve">. </w:t>
          </w:r>
          <w:r w:rsidR="002475E3">
            <w:t>During the afternoon</w:t>
          </w:r>
          <w:r w:rsidR="006329AC">
            <w:t xml:space="preserve"> of 23 September</w:t>
          </w:r>
          <w:r w:rsidR="002475E3">
            <w:t xml:space="preserve">, </w:t>
          </w:r>
          <w:r w:rsidR="002475E3" w:rsidRPr="0043592B">
            <w:t xml:space="preserve">a short notice outage </w:t>
          </w:r>
          <w:r w:rsidR="002475E3">
            <w:t xml:space="preserve">was required on </w:t>
          </w:r>
          <w:r w:rsidR="002475E3" w:rsidRPr="0043592B">
            <w:t xml:space="preserve">an Armidale to </w:t>
          </w:r>
          <w:r w:rsidR="00D66516">
            <w:t>Bulli Creek</w:t>
          </w:r>
          <w:r w:rsidR="002475E3" w:rsidRPr="0043592B">
            <w:t xml:space="preserve"> </w:t>
          </w:r>
          <w:r w:rsidR="00D30D89">
            <w:t xml:space="preserve">transmission </w:t>
          </w:r>
          <w:r w:rsidR="002475E3" w:rsidRPr="0043592B">
            <w:t>line limit</w:t>
          </w:r>
          <w:r w:rsidR="002475E3">
            <w:t>ing</w:t>
          </w:r>
          <w:r w:rsidR="002475E3" w:rsidRPr="0043592B">
            <w:t xml:space="preserve"> </w:t>
          </w:r>
          <w:r w:rsidR="002475E3">
            <w:t xml:space="preserve">transfers </w:t>
          </w:r>
          <w:r w:rsidR="002475E3" w:rsidRPr="0043592B">
            <w:t xml:space="preserve">into New South Wales from Queensland across the QNI. </w:t>
          </w:r>
          <w:r w:rsidR="002475E3">
            <w:t>T</w:t>
          </w:r>
          <w:r w:rsidR="002475E3" w:rsidRPr="0043592B">
            <w:t xml:space="preserve">he </w:t>
          </w:r>
          <w:r w:rsidR="002475E3">
            <w:t xml:space="preserve">ongoing </w:t>
          </w:r>
          <w:r w:rsidR="002475E3" w:rsidRPr="0043592B">
            <w:t xml:space="preserve">partial outage of the Terranora interconnector </w:t>
          </w:r>
          <w:r w:rsidR="002C0CF2">
            <w:t xml:space="preserve">set </w:t>
          </w:r>
          <w:r w:rsidR="002475E3">
            <w:t xml:space="preserve">its capability to </w:t>
          </w:r>
          <w:r w:rsidR="002475E3" w:rsidRPr="0043592B">
            <w:t xml:space="preserve">around </w:t>
          </w:r>
          <w:r w:rsidR="00043CDD">
            <w:t>10</w:t>
          </w:r>
          <w:r w:rsidR="002475E3" w:rsidRPr="0043592B">
            <w:t>0 MW of imports from Queensland to New South Wales.</w:t>
          </w:r>
          <w:r w:rsidR="005C18F6">
            <w:t xml:space="preserve"> Together these network outages limited</w:t>
          </w:r>
          <w:r w:rsidR="005C18F6" w:rsidRPr="0043592B">
            <w:t xml:space="preserve"> imports </w:t>
          </w:r>
          <w:r w:rsidR="005C18F6">
            <w:t xml:space="preserve">into </w:t>
          </w:r>
          <w:r w:rsidR="005C18F6" w:rsidRPr="0043592B">
            <w:t>New South Wales.</w:t>
          </w:r>
        </w:p>
        <w:p w:rsidR="0043592B" w:rsidRDefault="00E54534" w:rsidP="00F815D2">
          <w:r>
            <w:t xml:space="preserve">The rebidding of capacity from low prices to high prices did not contribute to the high prices but rebidding of </w:t>
          </w:r>
          <w:r w:rsidR="00D30D89">
            <w:t xml:space="preserve">generator </w:t>
          </w:r>
          <w:r>
            <w:t>ramp rates did prolong high pric</w:t>
          </w:r>
          <w:r w:rsidR="00464428">
            <w:t>es</w:t>
          </w:r>
          <w:r>
            <w:t xml:space="preserve">. </w:t>
          </w:r>
          <w:r w:rsidR="009004B1">
            <w:t xml:space="preserve">The supply curve in </w:t>
          </w:r>
          <w:r w:rsidR="009004B1" w:rsidRPr="00895669">
            <w:t>New</w:t>
          </w:r>
          <w:r w:rsidR="009004B1">
            <w:t> </w:t>
          </w:r>
          <w:r w:rsidR="009004B1" w:rsidRPr="00895669">
            <w:t>South</w:t>
          </w:r>
          <w:r w:rsidR="009004B1">
            <w:t> </w:t>
          </w:r>
          <w:r w:rsidR="009004B1" w:rsidRPr="00895669">
            <w:t xml:space="preserve">Wales </w:t>
          </w:r>
          <w:r w:rsidR="009004B1">
            <w:t xml:space="preserve">was very steep with no capacity priced between $300/MWh and $13 100/MWh. This </w:t>
          </w:r>
          <w:r w:rsidR="00D30D89">
            <w:t xml:space="preserve">situation </w:t>
          </w:r>
          <w:r w:rsidR="009004B1">
            <w:t>was e</w:t>
          </w:r>
          <w:r w:rsidR="00CE57A5">
            <w:t xml:space="preserve">xacerbated by around 900 MW of </w:t>
          </w:r>
          <w:r w:rsidR="009004B1">
            <w:t xml:space="preserve">low-priced </w:t>
          </w:r>
          <w:r w:rsidR="00CE57A5">
            <w:t xml:space="preserve">capacity </w:t>
          </w:r>
          <w:r w:rsidR="00D30D89">
            <w:t xml:space="preserve">not being available </w:t>
          </w:r>
          <w:r w:rsidR="002C0CF2">
            <w:t xml:space="preserve">for dispatch </w:t>
          </w:r>
          <w:r w:rsidR="00CE57A5">
            <w:t xml:space="preserve">because </w:t>
          </w:r>
          <w:r w:rsidR="00D30D89">
            <w:t xml:space="preserve">of </w:t>
          </w:r>
          <w:r w:rsidR="00CE57A5">
            <w:t>either ramp rate limit</w:t>
          </w:r>
          <w:r w:rsidR="00D30D89">
            <w:t>s</w:t>
          </w:r>
          <w:r w:rsidR="00CE57A5">
            <w:t xml:space="preserve"> or </w:t>
          </w:r>
          <w:r w:rsidR="00D30D89">
            <w:t xml:space="preserve">network </w:t>
          </w:r>
          <w:r w:rsidR="00CE57A5">
            <w:t>constrain</w:t>
          </w:r>
          <w:r w:rsidR="00D30D89">
            <w:t>ts</w:t>
          </w:r>
          <w:r w:rsidR="00C24379">
            <w:t xml:space="preserve">. </w:t>
          </w:r>
        </w:p>
        <w:p w:rsidR="00E54534" w:rsidRPr="0043592B" w:rsidRDefault="00E54534" w:rsidP="00F815D2">
          <w:r>
            <w:t xml:space="preserve">At the same time as the high </w:t>
          </w:r>
          <w:r w:rsidR="00D30D89">
            <w:t xml:space="preserve">energy </w:t>
          </w:r>
          <w:r>
            <w:t xml:space="preserve">prices in </w:t>
          </w:r>
          <w:r w:rsidR="00ED7EF4">
            <w:t>New South </w:t>
          </w:r>
          <w:r>
            <w:t>Wales</w:t>
          </w:r>
          <w:r w:rsidR="00464428">
            <w:t>,</w:t>
          </w:r>
          <w:r>
            <w:t xml:space="preserve"> </w:t>
          </w:r>
          <w:r w:rsidR="00464428">
            <w:t xml:space="preserve">local </w:t>
          </w:r>
          <w:r w:rsidR="00A41536">
            <w:t xml:space="preserve">6 Second Lower Frequency Control Ancillary Service </w:t>
          </w:r>
          <w:r w:rsidR="00874608">
            <w:t>(FCAS)</w:t>
          </w:r>
          <w:r>
            <w:t xml:space="preserve"> prices in Queensland exceeded $5000/MW.</w:t>
          </w:r>
        </w:p>
        <w:p w:rsidR="00C7068C" w:rsidRDefault="00C7068C" w:rsidP="00C7068C">
          <w:pPr>
            <w:pStyle w:val="Heading1"/>
          </w:pPr>
          <w:bookmarkStart w:id="3" w:name="_Toc414272643"/>
          <w:bookmarkStart w:id="4" w:name="_Toc436060148"/>
          <w:bookmarkEnd w:id="3"/>
          <w:r>
            <w:lastRenderedPageBreak/>
            <w:t>Analysis</w:t>
          </w:r>
          <w:bookmarkEnd w:id="4"/>
        </w:p>
        <w:p w:rsidR="008F4AE1" w:rsidRPr="00931A04" w:rsidRDefault="0038203C" w:rsidP="00C7068C">
          <w:r>
            <w:fldChar w:fldCharType="begin"/>
          </w:r>
          <w:r>
            <w:instrText xml:space="preserve"> REF _Ref435689174 \h </w:instrText>
          </w:r>
          <w:r>
            <w:fldChar w:fldCharType="separate"/>
          </w:r>
          <w:r w:rsidR="00FE39F3">
            <w:t xml:space="preserve">Table </w:t>
          </w:r>
          <w:proofErr w:type="gramStart"/>
          <w:r w:rsidR="00FE39F3">
            <w:rPr>
              <w:noProof/>
            </w:rPr>
            <w:t>1</w:t>
          </w:r>
          <w:r>
            <w:fldChar w:fldCharType="end"/>
          </w:r>
          <w:r>
            <w:t xml:space="preserve"> </w:t>
          </w:r>
          <w:r w:rsidR="00BD7141" w:rsidRPr="00931A04">
            <w:t>shows</w:t>
          </w:r>
          <w:proofErr w:type="gramEnd"/>
          <w:r w:rsidR="00BD7141" w:rsidRPr="00931A04">
            <w:t xml:space="preserve"> </w:t>
          </w:r>
          <w:r w:rsidR="00C7068C" w:rsidRPr="00931A04">
            <w:t>actual and forecast spot price, demand and availability for each high price</w:t>
          </w:r>
          <w:r w:rsidR="00FD281A">
            <w:t>d</w:t>
          </w:r>
          <w:r w:rsidR="00C7068C" w:rsidRPr="00931A04">
            <w:t xml:space="preserve"> trading interval</w:t>
          </w:r>
          <w:r w:rsidR="00BD7141" w:rsidRPr="00931A04">
            <w:t xml:space="preserve">. </w:t>
          </w:r>
          <w:r w:rsidR="008F4AE1" w:rsidRPr="00931A04">
            <w:t>T</w:t>
          </w:r>
          <w:r w:rsidR="006412A3" w:rsidRPr="00931A04">
            <w:t xml:space="preserve">he spot price in </w:t>
          </w:r>
          <w:r w:rsidR="00931A04" w:rsidRPr="00931A04">
            <w:t>New</w:t>
          </w:r>
          <w:r>
            <w:t> </w:t>
          </w:r>
          <w:r w:rsidR="00931A04" w:rsidRPr="00931A04">
            <w:t>South</w:t>
          </w:r>
          <w:r>
            <w:t> </w:t>
          </w:r>
          <w:r w:rsidR="00931A04" w:rsidRPr="00931A04">
            <w:t>Wales</w:t>
          </w:r>
          <w:r w:rsidR="006412A3" w:rsidRPr="00931A04">
            <w:t xml:space="preserve"> exceeded $5000/MWh </w:t>
          </w:r>
          <w:r w:rsidR="00931A04" w:rsidRPr="00931A04">
            <w:t xml:space="preserve">for </w:t>
          </w:r>
          <w:r w:rsidR="006412A3" w:rsidRPr="00931A04">
            <w:t xml:space="preserve">the </w:t>
          </w:r>
          <w:r w:rsidR="00931A04" w:rsidRPr="00931A04">
            <w:t xml:space="preserve">6.30 pm and 7 pm </w:t>
          </w:r>
          <w:r w:rsidR="006412A3" w:rsidRPr="00931A04">
            <w:t>trading intervals</w:t>
          </w:r>
          <w:r w:rsidR="00217A1D">
            <w:t>, however</w:t>
          </w:r>
          <w:r w:rsidR="00BD7141" w:rsidRPr="00931A04">
            <w:t xml:space="preserve"> </w:t>
          </w:r>
          <w:r>
            <w:t xml:space="preserve">the </w:t>
          </w:r>
          <w:r w:rsidR="00BD7141" w:rsidRPr="00931A04">
            <w:t xml:space="preserve">high </w:t>
          </w:r>
          <w:r w:rsidR="00C7068C" w:rsidRPr="00931A04">
            <w:t xml:space="preserve">prices were not forecast </w:t>
          </w:r>
          <w:r w:rsidR="00BD7141" w:rsidRPr="00931A04">
            <w:t>four or twelve hours ahead of dispatch.</w:t>
          </w:r>
        </w:p>
        <w:p w:rsidR="005D5ED4" w:rsidRPr="00624E14" w:rsidRDefault="005D5ED4" w:rsidP="005D5ED4">
          <w:pPr>
            <w:pStyle w:val="Caption"/>
          </w:pPr>
          <w:bookmarkStart w:id="5" w:name="_Ref435689174"/>
          <w:r>
            <w:t xml:space="preserve">Table </w:t>
          </w:r>
          <w:fldSimple w:instr=" SEQ Table \* ARABIC ">
            <w:r w:rsidR="00FE39F3">
              <w:rPr>
                <w:noProof/>
              </w:rPr>
              <w:t>1</w:t>
            </w:r>
          </w:fldSimple>
          <w:bookmarkEnd w:id="5"/>
          <w:r>
            <w:t xml:space="preserve">: </w:t>
          </w:r>
          <w:r w:rsidRPr="005F7AB3">
            <w:t>Actual and forecast spot price, demand and available capacity</w:t>
          </w:r>
        </w:p>
        <w:tbl>
          <w:tblPr>
            <w:tblStyle w:val="AERsummarytable"/>
            <w:tblW w:w="8897" w:type="dxa"/>
            <w:tblLayout w:type="fixed"/>
            <w:tblLook w:val="04A0" w:firstRow="1" w:lastRow="0" w:firstColumn="1" w:lastColumn="0" w:noHBand="0" w:noVBand="1"/>
          </w:tblPr>
          <w:tblGrid>
            <w:gridCol w:w="817"/>
            <w:gridCol w:w="897"/>
            <w:gridCol w:w="898"/>
            <w:gridCol w:w="898"/>
            <w:gridCol w:w="898"/>
            <w:gridCol w:w="897"/>
            <w:gridCol w:w="898"/>
            <w:gridCol w:w="898"/>
            <w:gridCol w:w="898"/>
            <w:gridCol w:w="898"/>
          </w:tblGrid>
          <w:tr w:rsidR="005D5ED4" w:rsidRPr="00B6046A" w:rsidTr="00B148C0">
            <w:trPr>
              <w:cnfStyle w:val="100000000000" w:firstRow="1" w:lastRow="0" w:firstColumn="0" w:lastColumn="0" w:oddVBand="0" w:evenVBand="0" w:oddHBand="0" w:evenHBand="0" w:firstRowFirstColumn="0" w:firstRowLastColumn="0" w:lastRowFirstColumn="0" w:lastRowLastColumn="0"/>
              <w:tblHeader/>
            </w:trPr>
            <w:tc>
              <w:tcPr>
                <w:tcW w:w="817" w:type="dxa"/>
                <w:vAlign w:val="center"/>
              </w:tcPr>
              <w:p w:rsidR="005D5ED4" w:rsidRPr="000C6CDD" w:rsidRDefault="005D5ED4" w:rsidP="00B148C0">
                <w:pPr>
                  <w:ind w:right="-108"/>
                  <w:rPr>
                    <w:szCs w:val="18"/>
                  </w:rPr>
                </w:pPr>
                <w:r>
                  <w:rPr>
                    <w:szCs w:val="18"/>
                  </w:rPr>
                  <w:t>Trading interval</w:t>
                </w:r>
              </w:p>
            </w:tc>
            <w:tc>
              <w:tcPr>
                <w:tcW w:w="2693" w:type="dxa"/>
                <w:gridSpan w:val="3"/>
              </w:tcPr>
              <w:p w:rsidR="005D5ED4" w:rsidRPr="000C6CDD" w:rsidRDefault="005D5ED4" w:rsidP="00B148C0">
                <w:pPr>
                  <w:jc w:val="center"/>
                  <w:rPr>
                    <w:szCs w:val="18"/>
                  </w:rPr>
                </w:pPr>
                <w:r>
                  <w:rPr>
                    <w:szCs w:val="18"/>
                  </w:rPr>
                  <w:t>Price ($/MWh)</w:t>
                </w:r>
              </w:p>
            </w:tc>
            <w:tc>
              <w:tcPr>
                <w:tcW w:w="2693" w:type="dxa"/>
                <w:gridSpan w:val="3"/>
              </w:tcPr>
              <w:p w:rsidR="005D5ED4" w:rsidRDefault="005D5ED4" w:rsidP="00B148C0">
                <w:pPr>
                  <w:jc w:val="center"/>
                  <w:rPr>
                    <w:szCs w:val="18"/>
                  </w:rPr>
                </w:pPr>
                <w:r>
                  <w:rPr>
                    <w:szCs w:val="18"/>
                  </w:rPr>
                  <w:t>Demand (MW)</w:t>
                </w:r>
              </w:p>
            </w:tc>
            <w:tc>
              <w:tcPr>
                <w:tcW w:w="2694" w:type="dxa"/>
                <w:gridSpan w:val="3"/>
              </w:tcPr>
              <w:p w:rsidR="005D5ED4" w:rsidRDefault="005D5ED4" w:rsidP="00B148C0">
                <w:pPr>
                  <w:jc w:val="center"/>
                  <w:rPr>
                    <w:szCs w:val="18"/>
                  </w:rPr>
                </w:pPr>
                <w:r>
                  <w:rPr>
                    <w:szCs w:val="18"/>
                  </w:rPr>
                  <w:t>Availability (MW)</w:t>
                </w:r>
              </w:p>
            </w:tc>
          </w:tr>
          <w:tr w:rsidR="005D5ED4" w:rsidRPr="000C6CDD" w:rsidTr="00B148C0">
            <w:trPr>
              <w:cnfStyle w:val="100000000000" w:firstRow="1" w:lastRow="0" w:firstColumn="0" w:lastColumn="0" w:oddVBand="0" w:evenVBand="0" w:oddHBand="0" w:evenHBand="0" w:firstRowFirstColumn="0" w:firstRowLastColumn="0" w:lastRowFirstColumn="0" w:lastRowLastColumn="0"/>
              <w:tblHeader/>
            </w:trPr>
            <w:tc>
              <w:tcPr>
                <w:tcW w:w="817" w:type="dxa"/>
                <w:tcMar>
                  <w:left w:w="85" w:type="dxa"/>
                  <w:right w:w="85" w:type="dxa"/>
                </w:tcMar>
              </w:tcPr>
              <w:p w:rsidR="005D5ED4" w:rsidRPr="000C6CDD" w:rsidRDefault="005D5ED4" w:rsidP="00B148C0">
                <w:pPr>
                  <w:ind w:left="-31" w:right="-108" w:firstLine="10"/>
                  <w:rPr>
                    <w:szCs w:val="18"/>
                  </w:rPr>
                </w:pPr>
              </w:p>
            </w:tc>
            <w:tc>
              <w:tcPr>
                <w:tcW w:w="897" w:type="dxa"/>
                <w:tcMar>
                  <w:left w:w="85" w:type="dxa"/>
                  <w:right w:w="85" w:type="dxa"/>
                </w:tcMar>
              </w:tcPr>
              <w:p w:rsidR="005D5ED4" w:rsidRPr="000C6CDD" w:rsidRDefault="005D5ED4" w:rsidP="00B148C0">
                <w:pPr>
                  <w:jc w:val="center"/>
                  <w:rPr>
                    <w:szCs w:val="18"/>
                  </w:rPr>
                </w:pPr>
                <w:r w:rsidRPr="000C6CDD">
                  <w:rPr>
                    <w:szCs w:val="18"/>
                  </w:rPr>
                  <w:t>Actual</w:t>
                </w:r>
              </w:p>
            </w:tc>
            <w:tc>
              <w:tcPr>
                <w:tcW w:w="898" w:type="dxa"/>
                <w:tcMar>
                  <w:left w:w="85" w:type="dxa"/>
                  <w:right w:w="85" w:type="dxa"/>
                </w:tcMar>
              </w:tcPr>
              <w:p w:rsidR="005D5ED4" w:rsidRPr="000C6CDD" w:rsidRDefault="005D5ED4" w:rsidP="00B148C0">
                <w:pPr>
                  <w:ind w:left="-13" w:right="-14"/>
                  <w:jc w:val="center"/>
                  <w:rPr>
                    <w:szCs w:val="18"/>
                  </w:rPr>
                </w:pPr>
                <w:r w:rsidRPr="000C6CDD">
                  <w:rPr>
                    <w:szCs w:val="18"/>
                  </w:rPr>
                  <w:t>4 hr forecast</w:t>
                </w:r>
              </w:p>
            </w:tc>
            <w:tc>
              <w:tcPr>
                <w:tcW w:w="898" w:type="dxa"/>
                <w:tcMar>
                  <w:left w:w="85" w:type="dxa"/>
                  <w:right w:w="85" w:type="dxa"/>
                </w:tcMar>
              </w:tcPr>
              <w:p w:rsidR="005D5ED4" w:rsidRPr="000C6CDD" w:rsidRDefault="005D5ED4" w:rsidP="00B148C0">
                <w:pPr>
                  <w:ind w:left="-60"/>
                  <w:jc w:val="center"/>
                  <w:rPr>
                    <w:szCs w:val="18"/>
                  </w:rPr>
                </w:pPr>
                <w:r w:rsidRPr="000C6CDD">
                  <w:rPr>
                    <w:szCs w:val="18"/>
                  </w:rPr>
                  <w:t>12 hr forecast</w:t>
                </w:r>
              </w:p>
            </w:tc>
            <w:tc>
              <w:tcPr>
                <w:tcW w:w="898" w:type="dxa"/>
                <w:tcMar>
                  <w:left w:w="85" w:type="dxa"/>
                  <w:right w:w="85" w:type="dxa"/>
                </w:tcMar>
              </w:tcPr>
              <w:p w:rsidR="005D5ED4" w:rsidRPr="000C6CDD" w:rsidRDefault="005D5ED4" w:rsidP="00B148C0">
                <w:pPr>
                  <w:jc w:val="center"/>
                  <w:rPr>
                    <w:szCs w:val="18"/>
                  </w:rPr>
                </w:pPr>
                <w:r w:rsidRPr="000C6CDD">
                  <w:rPr>
                    <w:szCs w:val="18"/>
                  </w:rPr>
                  <w:t>Actual</w:t>
                </w:r>
              </w:p>
            </w:tc>
            <w:tc>
              <w:tcPr>
                <w:tcW w:w="897" w:type="dxa"/>
                <w:tcMar>
                  <w:left w:w="85" w:type="dxa"/>
                  <w:right w:w="85" w:type="dxa"/>
                </w:tcMar>
              </w:tcPr>
              <w:p w:rsidR="005D5ED4" w:rsidRPr="000C6CDD" w:rsidRDefault="005D5ED4" w:rsidP="00B148C0">
                <w:pPr>
                  <w:ind w:left="-26"/>
                  <w:jc w:val="center"/>
                  <w:rPr>
                    <w:szCs w:val="18"/>
                  </w:rPr>
                </w:pPr>
                <w:r w:rsidRPr="000C6CDD">
                  <w:rPr>
                    <w:szCs w:val="18"/>
                  </w:rPr>
                  <w:t>4 hr forecast</w:t>
                </w:r>
              </w:p>
            </w:tc>
            <w:tc>
              <w:tcPr>
                <w:tcW w:w="898" w:type="dxa"/>
                <w:tcMar>
                  <w:left w:w="85" w:type="dxa"/>
                  <w:right w:w="85" w:type="dxa"/>
                </w:tcMar>
              </w:tcPr>
              <w:p w:rsidR="005D5ED4" w:rsidRPr="000C6CDD" w:rsidRDefault="005D5ED4" w:rsidP="00B148C0">
                <w:pPr>
                  <w:ind w:right="-109"/>
                  <w:jc w:val="center"/>
                  <w:rPr>
                    <w:szCs w:val="18"/>
                  </w:rPr>
                </w:pPr>
                <w:r w:rsidRPr="000C6CDD">
                  <w:rPr>
                    <w:szCs w:val="18"/>
                  </w:rPr>
                  <w:t>12 hr forecast</w:t>
                </w:r>
              </w:p>
            </w:tc>
            <w:tc>
              <w:tcPr>
                <w:tcW w:w="898" w:type="dxa"/>
                <w:tcMar>
                  <w:left w:w="85" w:type="dxa"/>
                  <w:right w:w="85" w:type="dxa"/>
                </w:tcMar>
              </w:tcPr>
              <w:p w:rsidR="005D5ED4" w:rsidRDefault="005D5ED4" w:rsidP="00B148C0">
                <w:pPr>
                  <w:jc w:val="center"/>
                  <w:rPr>
                    <w:szCs w:val="18"/>
                  </w:rPr>
                </w:pPr>
                <w:r>
                  <w:rPr>
                    <w:szCs w:val="18"/>
                  </w:rPr>
                  <w:t>Actual</w:t>
                </w:r>
              </w:p>
            </w:tc>
            <w:tc>
              <w:tcPr>
                <w:tcW w:w="898" w:type="dxa"/>
                <w:tcMar>
                  <w:left w:w="85" w:type="dxa"/>
                  <w:right w:w="85" w:type="dxa"/>
                </w:tcMar>
              </w:tcPr>
              <w:p w:rsidR="005D5ED4" w:rsidRDefault="005D5ED4" w:rsidP="00B148C0">
                <w:pPr>
                  <w:jc w:val="center"/>
                  <w:rPr>
                    <w:szCs w:val="18"/>
                  </w:rPr>
                </w:pPr>
                <w:r>
                  <w:rPr>
                    <w:szCs w:val="18"/>
                  </w:rPr>
                  <w:t>4 hr forecast</w:t>
                </w:r>
              </w:p>
            </w:tc>
            <w:tc>
              <w:tcPr>
                <w:tcW w:w="898" w:type="dxa"/>
                <w:tcMar>
                  <w:left w:w="85" w:type="dxa"/>
                  <w:right w:w="85" w:type="dxa"/>
                </w:tcMar>
              </w:tcPr>
              <w:p w:rsidR="005D5ED4" w:rsidRDefault="005D5ED4" w:rsidP="00B148C0">
                <w:pPr>
                  <w:jc w:val="center"/>
                  <w:rPr>
                    <w:szCs w:val="18"/>
                  </w:rPr>
                </w:pPr>
                <w:r>
                  <w:rPr>
                    <w:szCs w:val="18"/>
                  </w:rPr>
                  <w:t>12 hr forecast</w:t>
                </w:r>
              </w:p>
            </w:tc>
          </w:tr>
          <w:tr w:rsidR="005D5ED4" w:rsidRPr="00DB297C" w:rsidTr="00B148C0">
            <w:trPr>
              <w:cnfStyle w:val="000000100000" w:firstRow="0" w:lastRow="0" w:firstColumn="0" w:lastColumn="0" w:oddVBand="0" w:evenVBand="0" w:oddHBand="1" w:evenHBand="0" w:firstRowFirstColumn="0" w:firstRowLastColumn="0" w:lastRowFirstColumn="0" w:lastRowLastColumn="0"/>
            </w:trPr>
            <w:tc>
              <w:tcPr>
                <w:tcW w:w="817" w:type="dxa"/>
                <w:vAlign w:val="center"/>
              </w:tcPr>
              <w:p w:rsidR="005D5ED4" w:rsidRPr="00CF34E2" w:rsidRDefault="005D5ED4" w:rsidP="00B148C0">
                <w:pPr>
                  <w:pStyle w:val="tablebody"/>
                  <w:ind w:right="-108"/>
                  <w:jc w:val="left"/>
                </w:pPr>
                <w:r>
                  <w:t>6</w:t>
                </w:r>
                <w:r w:rsidRPr="00CF34E2">
                  <w:t>.30 pm</w:t>
                </w:r>
              </w:p>
            </w:tc>
            <w:tc>
              <w:tcPr>
                <w:tcW w:w="897" w:type="dxa"/>
                <w:vAlign w:val="center"/>
              </w:tcPr>
              <w:p w:rsidR="005D5ED4" w:rsidRPr="00C20823" w:rsidRDefault="005D5ED4" w:rsidP="00B148C0">
                <w:pPr>
                  <w:spacing w:after="0" w:line="240" w:lineRule="auto"/>
                  <w:jc w:val="center"/>
                </w:pPr>
                <w:r w:rsidRPr="00C20823">
                  <w:t>13</w:t>
                </w:r>
                <w:r>
                  <w:t> </w:t>
                </w:r>
                <w:r w:rsidRPr="00C20823">
                  <w:t>420</w:t>
                </w:r>
              </w:p>
            </w:tc>
            <w:tc>
              <w:tcPr>
                <w:tcW w:w="898" w:type="dxa"/>
                <w:vAlign w:val="center"/>
              </w:tcPr>
              <w:p w:rsidR="005D5ED4" w:rsidRPr="00C20823" w:rsidRDefault="005D5ED4" w:rsidP="00B148C0">
                <w:pPr>
                  <w:spacing w:after="0" w:line="240" w:lineRule="auto"/>
                  <w:jc w:val="center"/>
                </w:pPr>
                <w:r w:rsidRPr="00C20823">
                  <w:t>317</w:t>
                </w:r>
              </w:p>
            </w:tc>
            <w:tc>
              <w:tcPr>
                <w:tcW w:w="898" w:type="dxa"/>
                <w:vAlign w:val="center"/>
              </w:tcPr>
              <w:p w:rsidR="005D5ED4" w:rsidRDefault="005D5ED4" w:rsidP="00B148C0">
                <w:pPr>
                  <w:spacing w:after="0" w:line="240" w:lineRule="auto"/>
                  <w:jc w:val="center"/>
                </w:pPr>
                <w:r w:rsidRPr="00C20823">
                  <w:t>314</w:t>
                </w:r>
              </w:p>
            </w:tc>
            <w:tc>
              <w:tcPr>
                <w:tcW w:w="898" w:type="dxa"/>
                <w:vAlign w:val="center"/>
              </w:tcPr>
              <w:p w:rsidR="005D5ED4" w:rsidRPr="00D34DA8" w:rsidRDefault="005D5ED4" w:rsidP="00B148C0">
                <w:pPr>
                  <w:spacing w:after="0" w:line="240" w:lineRule="auto"/>
                  <w:jc w:val="center"/>
                </w:pPr>
                <w:r w:rsidRPr="00D34DA8">
                  <w:t>9963</w:t>
                </w:r>
              </w:p>
            </w:tc>
            <w:tc>
              <w:tcPr>
                <w:tcW w:w="897" w:type="dxa"/>
                <w:vAlign w:val="center"/>
              </w:tcPr>
              <w:p w:rsidR="005D5ED4" w:rsidRPr="00D34DA8" w:rsidRDefault="005D5ED4" w:rsidP="00B148C0">
                <w:pPr>
                  <w:spacing w:after="0" w:line="240" w:lineRule="auto"/>
                  <w:jc w:val="center"/>
                </w:pPr>
                <w:r w:rsidRPr="00D34DA8">
                  <w:t>9736</w:t>
                </w:r>
              </w:p>
            </w:tc>
            <w:tc>
              <w:tcPr>
                <w:tcW w:w="898" w:type="dxa"/>
                <w:vAlign w:val="center"/>
              </w:tcPr>
              <w:p w:rsidR="005D5ED4" w:rsidRDefault="005D5ED4" w:rsidP="00B148C0">
                <w:pPr>
                  <w:spacing w:after="0" w:line="240" w:lineRule="auto"/>
                  <w:jc w:val="center"/>
                </w:pPr>
                <w:r w:rsidRPr="00D34DA8">
                  <w:t>9723</w:t>
                </w:r>
              </w:p>
            </w:tc>
            <w:tc>
              <w:tcPr>
                <w:tcW w:w="898" w:type="dxa"/>
                <w:vAlign w:val="center"/>
              </w:tcPr>
              <w:p w:rsidR="005D5ED4" w:rsidRPr="00B9495E" w:rsidRDefault="005D5ED4" w:rsidP="00B148C0">
                <w:pPr>
                  <w:spacing w:after="0" w:line="240" w:lineRule="auto"/>
                  <w:jc w:val="center"/>
                </w:pPr>
                <w:r w:rsidRPr="00B9495E">
                  <w:t>11</w:t>
                </w:r>
                <w:r>
                  <w:t> </w:t>
                </w:r>
                <w:r w:rsidRPr="00B9495E">
                  <w:t>956</w:t>
                </w:r>
              </w:p>
            </w:tc>
            <w:tc>
              <w:tcPr>
                <w:tcW w:w="898" w:type="dxa"/>
                <w:vAlign w:val="center"/>
              </w:tcPr>
              <w:p w:rsidR="005D5ED4" w:rsidRPr="00B9495E" w:rsidRDefault="005D5ED4" w:rsidP="00B148C0">
                <w:pPr>
                  <w:spacing w:after="0" w:line="240" w:lineRule="auto"/>
                  <w:jc w:val="center"/>
                </w:pPr>
                <w:r w:rsidRPr="00B9495E">
                  <w:t>11</w:t>
                </w:r>
                <w:r>
                  <w:t> </w:t>
                </w:r>
                <w:r w:rsidRPr="00B9495E">
                  <w:t>960</w:t>
                </w:r>
              </w:p>
            </w:tc>
            <w:tc>
              <w:tcPr>
                <w:tcW w:w="898" w:type="dxa"/>
                <w:vAlign w:val="center"/>
              </w:tcPr>
              <w:p w:rsidR="005D5ED4" w:rsidRDefault="005D5ED4" w:rsidP="00B148C0">
                <w:pPr>
                  <w:spacing w:after="0" w:line="240" w:lineRule="auto"/>
                  <w:jc w:val="center"/>
                </w:pPr>
                <w:r w:rsidRPr="00B9495E">
                  <w:t>12</w:t>
                </w:r>
                <w:r>
                  <w:t> </w:t>
                </w:r>
                <w:r w:rsidRPr="00B9495E">
                  <w:t>010</w:t>
                </w:r>
              </w:p>
            </w:tc>
          </w:tr>
          <w:tr w:rsidR="005D5ED4" w:rsidRPr="00DB297C" w:rsidTr="00B148C0">
            <w:trPr>
              <w:cnfStyle w:val="000000010000" w:firstRow="0" w:lastRow="0" w:firstColumn="0" w:lastColumn="0" w:oddVBand="0" w:evenVBand="0" w:oddHBand="0" w:evenHBand="1" w:firstRowFirstColumn="0" w:firstRowLastColumn="0" w:lastRowFirstColumn="0" w:lastRowLastColumn="0"/>
            </w:trPr>
            <w:tc>
              <w:tcPr>
                <w:tcW w:w="817" w:type="dxa"/>
                <w:vAlign w:val="center"/>
              </w:tcPr>
              <w:p w:rsidR="005D5ED4" w:rsidRPr="000C6CDD" w:rsidRDefault="005D5ED4" w:rsidP="00B148C0">
                <w:pPr>
                  <w:pStyle w:val="tablebody"/>
                  <w:ind w:right="-108"/>
                  <w:jc w:val="left"/>
                </w:pPr>
                <w:r>
                  <w:t>7</w:t>
                </w:r>
                <w:r w:rsidRPr="000C6CDD">
                  <w:t> pm</w:t>
                </w:r>
              </w:p>
            </w:tc>
            <w:tc>
              <w:tcPr>
                <w:tcW w:w="897" w:type="dxa"/>
                <w:vAlign w:val="center"/>
              </w:tcPr>
              <w:p w:rsidR="005D5ED4" w:rsidRPr="00D51AD9" w:rsidRDefault="005D5ED4" w:rsidP="00B148C0">
                <w:pPr>
                  <w:spacing w:after="0" w:line="240" w:lineRule="auto"/>
                  <w:jc w:val="center"/>
                </w:pPr>
                <w:r w:rsidRPr="00D51AD9">
                  <w:t>6717</w:t>
                </w:r>
              </w:p>
            </w:tc>
            <w:tc>
              <w:tcPr>
                <w:tcW w:w="898" w:type="dxa"/>
                <w:vAlign w:val="center"/>
              </w:tcPr>
              <w:p w:rsidR="005D5ED4" w:rsidRPr="00D51AD9" w:rsidRDefault="005D5ED4" w:rsidP="00B148C0">
                <w:pPr>
                  <w:spacing w:after="0" w:line="240" w:lineRule="auto"/>
                  <w:jc w:val="center"/>
                </w:pPr>
                <w:r w:rsidRPr="00D51AD9">
                  <w:t>338</w:t>
                </w:r>
              </w:p>
            </w:tc>
            <w:tc>
              <w:tcPr>
                <w:tcW w:w="898" w:type="dxa"/>
                <w:vAlign w:val="center"/>
              </w:tcPr>
              <w:p w:rsidR="005D5ED4" w:rsidRDefault="005D5ED4" w:rsidP="00B148C0">
                <w:pPr>
                  <w:spacing w:after="0" w:line="240" w:lineRule="auto"/>
                  <w:jc w:val="center"/>
                </w:pPr>
                <w:r w:rsidRPr="00D51AD9">
                  <w:t>321</w:t>
                </w:r>
              </w:p>
            </w:tc>
            <w:tc>
              <w:tcPr>
                <w:tcW w:w="898" w:type="dxa"/>
                <w:vAlign w:val="center"/>
              </w:tcPr>
              <w:p w:rsidR="005D5ED4" w:rsidRPr="003B7706" w:rsidRDefault="005D5ED4" w:rsidP="00B148C0">
                <w:pPr>
                  <w:spacing w:after="0" w:line="240" w:lineRule="auto"/>
                  <w:jc w:val="center"/>
                </w:pPr>
                <w:r w:rsidRPr="003B7706">
                  <w:t>10</w:t>
                </w:r>
                <w:r>
                  <w:t> </w:t>
                </w:r>
                <w:r w:rsidRPr="003B7706">
                  <w:t>169</w:t>
                </w:r>
              </w:p>
            </w:tc>
            <w:tc>
              <w:tcPr>
                <w:tcW w:w="897" w:type="dxa"/>
                <w:vAlign w:val="center"/>
              </w:tcPr>
              <w:p w:rsidR="005D5ED4" w:rsidRPr="003B7706" w:rsidRDefault="005D5ED4" w:rsidP="00B148C0">
                <w:pPr>
                  <w:spacing w:after="0" w:line="240" w:lineRule="auto"/>
                  <w:jc w:val="center"/>
                </w:pPr>
                <w:r w:rsidRPr="003B7706">
                  <w:t>9885</w:t>
                </w:r>
              </w:p>
            </w:tc>
            <w:tc>
              <w:tcPr>
                <w:tcW w:w="898" w:type="dxa"/>
                <w:vAlign w:val="center"/>
              </w:tcPr>
              <w:p w:rsidR="005D5ED4" w:rsidRDefault="005D5ED4" w:rsidP="00B148C0">
                <w:pPr>
                  <w:spacing w:after="0" w:line="240" w:lineRule="auto"/>
                  <w:jc w:val="center"/>
                </w:pPr>
                <w:r w:rsidRPr="003B7706">
                  <w:t>9861</w:t>
                </w:r>
              </w:p>
            </w:tc>
            <w:tc>
              <w:tcPr>
                <w:tcW w:w="898" w:type="dxa"/>
                <w:vAlign w:val="center"/>
              </w:tcPr>
              <w:p w:rsidR="005D5ED4" w:rsidRPr="006108CD" w:rsidRDefault="005D5ED4" w:rsidP="00B148C0">
                <w:pPr>
                  <w:spacing w:after="0" w:line="240" w:lineRule="auto"/>
                  <w:jc w:val="center"/>
                </w:pPr>
                <w:r w:rsidRPr="006108CD">
                  <w:t>11</w:t>
                </w:r>
                <w:r>
                  <w:t> </w:t>
                </w:r>
                <w:r w:rsidRPr="006108CD">
                  <w:t>952</w:t>
                </w:r>
              </w:p>
            </w:tc>
            <w:tc>
              <w:tcPr>
                <w:tcW w:w="898" w:type="dxa"/>
                <w:vAlign w:val="center"/>
              </w:tcPr>
              <w:p w:rsidR="005D5ED4" w:rsidRPr="006108CD" w:rsidRDefault="005D5ED4" w:rsidP="00B148C0">
                <w:pPr>
                  <w:spacing w:after="0" w:line="240" w:lineRule="auto"/>
                  <w:jc w:val="center"/>
                </w:pPr>
                <w:r w:rsidRPr="006108CD">
                  <w:t>11</w:t>
                </w:r>
                <w:r>
                  <w:t> </w:t>
                </w:r>
                <w:r w:rsidRPr="006108CD">
                  <w:t>948</w:t>
                </w:r>
              </w:p>
            </w:tc>
            <w:tc>
              <w:tcPr>
                <w:tcW w:w="898" w:type="dxa"/>
                <w:vAlign w:val="center"/>
              </w:tcPr>
              <w:p w:rsidR="005D5ED4" w:rsidRDefault="005D5ED4" w:rsidP="00B148C0">
                <w:pPr>
                  <w:spacing w:after="0" w:line="240" w:lineRule="auto"/>
                  <w:jc w:val="center"/>
                </w:pPr>
                <w:r w:rsidRPr="006108CD">
                  <w:t>11</w:t>
                </w:r>
                <w:r>
                  <w:t> </w:t>
                </w:r>
                <w:r w:rsidRPr="006108CD">
                  <w:t>993</w:t>
                </w:r>
              </w:p>
            </w:tc>
          </w:tr>
        </w:tbl>
        <w:p w:rsidR="00CB6C41" w:rsidRDefault="00BD4EDE" w:rsidP="00CB6C41">
          <w:r>
            <w:t xml:space="preserve">Network availability and </w:t>
          </w:r>
          <w:r w:rsidR="00CC0B95">
            <w:t>s</w:t>
          </w:r>
          <w:r w:rsidR="00C7068C" w:rsidRPr="00485C9C">
            <w:t>upply</w:t>
          </w:r>
          <w:r w:rsidR="005D5ED4">
            <w:t>-</w:t>
          </w:r>
          <w:r w:rsidR="00CC0B95">
            <w:t>d</w:t>
          </w:r>
          <w:r w:rsidR="005D5ED4">
            <w:t xml:space="preserve">emand </w:t>
          </w:r>
          <w:r w:rsidR="00C7068C" w:rsidRPr="00485C9C">
            <w:t xml:space="preserve">conditions were such that small variations in demand </w:t>
          </w:r>
          <w:r w:rsidR="00CC0B95">
            <w:t>or</w:t>
          </w:r>
          <w:r w:rsidR="008F4AE1" w:rsidRPr="00485C9C">
            <w:t xml:space="preserve"> </w:t>
          </w:r>
          <w:r w:rsidR="00B26225" w:rsidRPr="00485C9C">
            <w:t xml:space="preserve">interconnector </w:t>
          </w:r>
          <w:r w:rsidR="00CC0B95">
            <w:t>limit</w:t>
          </w:r>
          <w:r w:rsidR="00CC0B95" w:rsidRPr="00485C9C">
            <w:t>s</w:t>
          </w:r>
          <w:r w:rsidR="00ED7EF4">
            <w:t xml:space="preserve"> or flows</w:t>
          </w:r>
          <w:r w:rsidR="00CC0B95" w:rsidRPr="00485C9C">
            <w:t xml:space="preserve"> </w:t>
          </w:r>
          <w:r w:rsidR="00C7068C" w:rsidRPr="00485C9C">
            <w:t xml:space="preserve">had the potential to lead to large variations in price. </w:t>
          </w:r>
          <w:r w:rsidR="005D5ED4">
            <w:t>This is discussed in greater detail in the following sections.</w:t>
          </w:r>
          <w:r w:rsidR="00CB6C41" w:rsidRPr="00CB6C41">
            <w:t xml:space="preserve"> </w:t>
          </w:r>
        </w:p>
        <w:p w:rsidR="00CB6C41" w:rsidRPr="00931A04" w:rsidRDefault="00CB6C41" w:rsidP="00CB6C41">
          <w:r>
            <w:t>The difference between forecast and actual demand was a contributing factor to the high price</w:t>
          </w:r>
          <w:r w:rsidR="00043CDD">
            <w:t>s</w:t>
          </w:r>
          <w:r>
            <w:t xml:space="preserve">. The contribution of demand is discussed in greater detail in Section </w:t>
          </w:r>
          <w:r w:rsidR="00FE39F3">
            <w:t>3.2.</w:t>
          </w:r>
          <w:r>
            <w:t xml:space="preserve"> </w:t>
          </w:r>
        </w:p>
        <w:p w:rsidR="006E2593" w:rsidRPr="00111FF2" w:rsidRDefault="006E2593" w:rsidP="006E2593">
          <w:pPr>
            <w:pStyle w:val="Heading2"/>
          </w:pPr>
          <w:bookmarkStart w:id="6" w:name="_Toc436060149"/>
          <w:bookmarkStart w:id="7" w:name="_Ref412802451"/>
          <w:bookmarkStart w:id="8" w:name="_Ref413789342"/>
          <w:r w:rsidRPr="00111FF2">
            <w:t>Network Availability</w:t>
          </w:r>
          <w:bookmarkEnd w:id="6"/>
        </w:p>
        <w:p w:rsidR="006E2593" w:rsidRDefault="00CC0B95" w:rsidP="006E2593">
          <w:r>
            <w:t>This section</w:t>
          </w:r>
          <w:r w:rsidR="00030F8E">
            <w:t xml:space="preserve"> examines the change in network capability approaching the event</w:t>
          </w:r>
          <w:r>
            <w:t xml:space="preserve"> and its contribution to price outcomes</w:t>
          </w:r>
          <w:r w:rsidR="00030F8E">
            <w:t xml:space="preserve">. </w:t>
          </w:r>
          <w:r w:rsidR="00DF7B53">
            <w:fldChar w:fldCharType="begin"/>
          </w:r>
          <w:r w:rsidR="00DF7B53">
            <w:instrText xml:space="preserve"> REF _Ref435689597 \h </w:instrText>
          </w:r>
          <w:r w:rsidR="00DF7B53">
            <w:fldChar w:fldCharType="separate"/>
          </w:r>
          <w:r w:rsidR="00FE39F3">
            <w:t xml:space="preserve">Table </w:t>
          </w:r>
          <w:r w:rsidR="00FE39F3">
            <w:rPr>
              <w:noProof/>
            </w:rPr>
            <w:t>2</w:t>
          </w:r>
          <w:r w:rsidR="00DF7B53">
            <w:fldChar w:fldCharType="end"/>
          </w:r>
          <w:r w:rsidR="006E2593" w:rsidRPr="00111FF2">
            <w:t xml:space="preserve"> shows the</w:t>
          </w:r>
          <w:r w:rsidR="006E2593" w:rsidRPr="00FF6900">
            <w:t xml:space="preserve"> net import limit into New South Wales was </w:t>
          </w:r>
          <w:r w:rsidR="00FF6900" w:rsidRPr="00FF6900">
            <w:t>up to</w:t>
          </w:r>
          <w:r w:rsidR="006E2593" w:rsidRPr="00FF6900">
            <w:t xml:space="preserve"> </w:t>
          </w:r>
          <w:r w:rsidR="00FF6900">
            <w:t>823</w:t>
          </w:r>
          <w:r w:rsidR="006E2593" w:rsidRPr="00FF6900">
            <w:t> MW lower than</w:t>
          </w:r>
          <w:r>
            <w:t xml:space="preserve"> that</w:t>
          </w:r>
          <w:r w:rsidR="006E2593" w:rsidRPr="00FF6900">
            <w:t xml:space="preserve"> </w:t>
          </w:r>
          <w:r w:rsidR="00FF6900">
            <w:t>forecast four hours ahead</w:t>
          </w:r>
          <w:r>
            <w:t>,</w:t>
          </w:r>
          <w:r w:rsidR="00FF6900">
            <w:t xml:space="preserve"> while </w:t>
          </w:r>
          <w:r w:rsidR="00FD281A">
            <w:t xml:space="preserve">Net imports </w:t>
          </w:r>
          <w:r w:rsidR="00FF6900">
            <w:t>were up to 43</w:t>
          </w:r>
          <w:r w:rsidR="00FD281A">
            <w:t>8</w:t>
          </w:r>
          <w:r w:rsidR="00FF6900">
            <w:t> MW lower than</w:t>
          </w:r>
          <w:r>
            <w:t xml:space="preserve"> those</w:t>
          </w:r>
          <w:r w:rsidR="00FF6900">
            <w:t xml:space="preserve"> forecast four hours ahead.</w:t>
          </w:r>
          <w:r w:rsidR="006E2593" w:rsidRPr="002F48D5">
            <w:t xml:space="preserve"> </w:t>
          </w:r>
        </w:p>
        <w:p w:rsidR="006E2593" w:rsidRDefault="006E2593" w:rsidP="006E2593">
          <w:pPr>
            <w:pStyle w:val="Caption"/>
          </w:pPr>
          <w:bookmarkStart w:id="9" w:name="_Ref435689597"/>
          <w:r>
            <w:t xml:space="preserve">Table </w:t>
          </w:r>
          <w:fldSimple w:instr=" SEQ Table \* ARABIC ">
            <w:r w:rsidR="00FE39F3">
              <w:rPr>
                <w:noProof/>
              </w:rPr>
              <w:t>2</w:t>
            </w:r>
          </w:fldSimple>
          <w:bookmarkEnd w:id="9"/>
          <w:r>
            <w:t xml:space="preserve">: </w:t>
          </w:r>
          <w:r w:rsidRPr="00D9189B">
            <w:t>Actual and forecast network capability</w:t>
          </w:r>
        </w:p>
        <w:tbl>
          <w:tblPr>
            <w:tblStyle w:val="AERTable-Text1"/>
            <w:tblW w:w="4302" w:type="pct"/>
            <w:jc w:val="center"/>
            <w:tblLook w:val="04A0" w:firstRow="1" w:lastRow="0" w:firstColumn="1" w:lastColumn="0" w:noHBand="0" w:noVBand="1"/>
          </w:tblPr>
          <w:tblGrid>
            <w:gridCol w:w="876"/>
            <w:gridCol w:w="865"/>
            <w:gridCol w:w="1071"/>
            <w:gridCol w:w="990"/>
            <w:gridCol w:w="1131"/>
            <w:gridCol w:w="1273"/>
            <w:gridCol w:w="1273"/>
          </w:tblGrid>
          <w:tr w:rsidR="006E2593" w:rsidRPr="00652B7D" w:rsidTr="00FF6900">
            <w:trPr>
              <w:cnfStyle w:val="100000000000" w:firstRow="1" w:lastRow="0" w:firstColumn="0" w:lastColumn="0" w:oddVBand="0" w:evenVBand="0" w:oddHBand="0" w:evenHBand="0" w:firstRowFirstColumn="0" w:firstRowLastColumn="0" w:lastRowFirstColumn="0" w:lastRowLastColumn="0"/>
              <w:trHeight w:val="546"/>
              <w:tblHeader/>
              <w:jc w:val="center"/>
            </w:trPr>
            <w:tc>
              <w:tcPr>
                <w:tcW w:w="586" w:type="pct"/>
              </w:tcPr>
              <w:p w:rsidR="006E2593" w:rsidRPr="00652B7D" w:rsidRDefault="006E2593" w:rsidP="00FF6900">
                <w:pPr>
                  <w:jc w:val="center"/>
                  <w:rPr>
                    <w:sz w:val="18"/>
                    <w:szCs w:val="18"/>
                  </w:rPr>
                </w:pPr>
                <w:r>
                  <w:rPr>
                    <w:sz w:val="18"/>
                    <w:szCs w:val="18"/>
                  </w:rPr>
                  <w:t>Trading interval</w:t>
                </w:r>
              </w:p>
            </w:tc>
            <w:tc>
              <w:tcPr>
                <w:tcW w:w="1956" w:type="pct"/>
                <w:gridSpan w:val="3"/>
              </w:tcPr>
              <w:p w:rsidR="006E2593" w:rsidRPr="00652B7D" w:rsidRDefault="00ED7EF4" w:rsidP="00FF6900">
                <w:pPr>
                  <w:jc w:val="center"/>
                  <w:rPr>
                    <w:sz w:val="18"/>
                    <w:szCs w:val="18"/>
                  </w:rPr>
                </w:pPr>
                <w:r>
                  <w:rPr>
                    <w:sz w:val="18"/>
                    <w:szCs w:val="18"/>
                  </w:rPr>
                  <w:t xml:space="preserve">Net </w:t>
                </w:r>
                <w:r w:rsidR="006E2593" w:rsidRPr="00652B7D">
                  <w:rPr>
                    <w:sz w:val="18"/>
                    <w:szCs w:val="18"/>
                  </w:rPr>
                  <w:t>Imports (MW)</w:t>
                </w:r>
              </w:p>
            </w:tc>
            <w:tc>
              <w:tcPr>
                <w:tcW w:w="2458" w:type="pct"/>
                <w:gridSpan w:val="3"/>
              </w:tcPr>
              <w:p w:rsidR="006E2593" w:rsidRPr="00652B7D" w:rsidRDefault="00ED7EF4" w:rsidP="00FF6900">
                <w:pPr>
                  <w:jc w:val="center"/>
                  <w:rPr>
                    <w:sz w:val="18"/>
                    <w:szCs w:val="18"/>
                  </w:rPr>
                </w:pPr>
                <w:r>
                  <w:rPr>
                    <w:sz w:val="18"/>
                    <w:szCs w:val="18"/>
                  </w:rPr>
                  <w:t xml:space="preserve">Net </w:t>
                </w:r>
                <w:r w:rsidR="006E2593" w:rsidRPr="00652B7D">
                  <w:rPr>
                    <w:sz w:val="18"/>
                    <w:szCs w:val="18"/>
                  </w:rPr>
                  <w:t>Import limit (MW)</w:t>
                </w:r>
              </w:p>
            </w:tc>
          </w:tr>
          <w:tr w:rsidR="006E2593" w:rsidRPr="00652B7D" w:rsidTr="00FF6900">
            <w:trPr>
              <w:cnfStyle w:val="100000000000" w:firstRow="1" w:lastRow="0" w:firstColumn="0" w:lastColumn="0" w:oddVBand="0" w:evenVBand="0" w:oddHBand="0" w:evenHBand="0" w:firstRowFirstColumn="0" w:firstRowLastColumn="0" w:lastRowFirstColumn="0" w:lastRowLastColumn="0"/>
              <w:tblHeader/>
              <w:jc w:val="center"/>
            </w:trPr>
            <w:tc>
              <w:tcPr>
                <w:tcW w:w="586" w:type="pct"/>
              </w:tcPr>
              <w:p w:rsidR="006E2593" w:rsidRPr="00652B7D" w:rsidRDefault="006E2593" w:rsidP="00FF6900">
                <w:pPr>
                  <w:jc w:val="center"/>
                  <w:rPr>
                    <w:sz w:val="18"/>
                    <w:szCs w:val="18"/>
                  </w:rPr>
                </w:pPr>
              </w:p>
            </w:tc>
            <w:tc>
              <w:tcPr>
                <w:tcW w:w="578" w:type="pct"/>
              </w:tcPr>
              <w:p w:rsidR="006E2593" w:rsidRPr="00652B7D" w:rsidRDefault="006E2593" w:rsidP="00FF6900">
                <w:pPr>
                  <w:jc w:val="center"/>
                  <w:rPr>
                    <w:sz w:val="18"/>
                    <w:szCs w:val="18"/>
                  </w:rPr>
                </w:pPr>
                <w:r w:rsidRPr="00652B7D">
                  <w:rPr>
                    <w:sz w:val="18"/>
                    <w:szCs w:val="18"/>
                  </w:rPr>
                  <w:t>Actual</w:t>
                </w:r>
              </w:p>
            </w:tc>
            <w:tc>
              <w:tcPr>
                <w:tcW w:w="716" w:type="pct"/>
              </w:tcPr>
              <w:p w:rsidR="006E2593" w:rsidRPr="00652B7D" w:rsidRDefault="006E2593" w:rsidP="00FF6900">
                <w:pPr>
                  <w:jc w:val="center"/>
                  <w:rPr>
                    <w:sz w:val="18"/>
                    <w:szCs w:val="18"/>
                  </w:rPr>
                </w:pPr>
                <w:r w:rsidRPr="00652B7D">
                  <w:rPr>
                    <w:sz w:val="18"/>
                    <w:szCs w:val="18"/>
                  </w:rPr>
                  <w:t>4 hr forecast</w:t>
                </w:r>
              </w:p>
            </w:tc>
            <w:tc>
              <w:tcPr>
                <w:tcW w:w="662" w:type="pct"/>
              </w:tcPr>
              <w:p w:rsidR="006E2593" w:rsidRPr="00652B7D" w:rsidRDefault="006E2593" w:rsidP="00FF6900">
                <w:pPr>
                  <w:jc w:val="center"/>
                  <w:rPr>
                    <w:sz w:val="18"/>
                    <w:szCs w:val="18"/>
                  </w:rPr>
                </w:pPr>
                <w:r w:rsidRPr="00652B7D">
                  <w:rPr>
                    <w:sz w:val="18"/>
                    <w:szCs w:val="18"/>
                  </w:rPr>
                  <w:t>12 hr forecast</w:t>
                </w:r>
              </w:p>
            </w:tc>
            <w:tc>
              <w:tcPr>
                <w:tcW w:w="756" w:type="pct"/>
              </w:tcPr>
              <w:p w:rsidR="006E2593" w:rsidRPr="00652B7D" w:rsidRDefault="006E2593" w:rsidP="00FF6900">
                <w:pPr>
                  <w:jc w:val="center"/>
                  <w:rPr>
                    <w:sz w:val="18"/>
                    <w:szCs w:val="18"/>
                  </w:rPr>
                </w:pPr>
                <w:r w:rsidRPr="00652B7D">
                  <w:rPr>
                    <w:sz w:val="18"/>
                    <w:szCs w:val="18"/>
                  </w:rPr>
                  <w:t>Actual</w:t>
                </w:r>
              </w:p>
            </w:tc>
            <w:tc>
              <w:tcPr>
                <w:tcW w:w="851" w:type="pct"/>
              </w:tcPr>
              <w:p w:rsidR="006E2593" w:rsidRPr="00652B7D" w:rsidRDefault="006E2593" w:rsidP="00FF6900">
                <w:pPr>
                  <w:jc w:val="center"/>
                  <w:rPr>
                    <w:sz w:val="18"/>
                    <w:szCs w:val="18"/>
                  </w:rPr>
                </w:pPr>
                <w:r w:rsidRPr="00652B7D">
                  <w:rPr>
                    <w:sz w:val="18"/>
                    <w:szCs w:val="18"/>
                  </w:rPr>
                  <w:t>4 hr forecast</w:t>
                </w:r>
              </w:p>
            </w:tc>
            <w:tc>
              <w:tcPr>
                <w:tcW w:w="851" w:type="pct"/>
              </w:tcPr>
              <w:p w:rsidR="006E2593" w:rsidRPr="00652B7D" w:rsidRDefault="006E2593" w:rsidP="00FF6900">
                <w:pPr>
                  <w:jc w:val="center"/>
                  <w:rPr>
                    <w:sz w:val="18"/>
                    <w:szCs w:val="18"/>
                  </w:rPr>
                </w:pPr>
                <w:r w:rsidRPr="00652B7D">
                  <w:rPr>
                    <w:sz w:val="18"/>
                    <w:szCs w:val="18"/>
                  </w:rPr>
                  <w:t>12 hr forecast</w:t>
                </w:r>
              </w:p>
            </w:tc>
          </w:tr>
          <w:tr w:rsidR="006E2593" w:rsidRPr="003E380F" w:rsidTr="00FF6900">
            <w:trPr>
              <w:cnfStyle w:val="000000100000" w:firstRow="0" w:lastRow="0" w:firstColumn="0" w:lastColumn="0" w:oddVBand="0" w:evenVBand="0" w:oddHBand="1" w:evenHBand="0" w:firstRowFirstColumn="0" w:firstRowLastColumn="0" w:lastRowFirstColumn="0" w:lastRowLastColumn="0"/>
              <w:jc w:val="center"/>
            </w:trPr>
            <w:tc>
              <w:tcPr>
                <w:tcW w:w="586" w:type="pct"/>
                <w:vAlign w:val="center"/>
              </w:tcPr>
              <w:p w:rsidR="006E2593" w:rsidRDefault="006E2593" w:rsidP="00FF6900">
                <w:pPr>
                  <w:rPr>
                    <w:rFonts w:cs="Arial"/>
                    <w:color w:val="000000"/>
                    <w:szCs w:val="18"/>
                  </w:rPr>
                </w:pPr>
                <w:r>
                  <w:rPr>
                    <w:rFonts w:cs="Arial"/>
                    <w:color w:val="000000"/>
                    <w:szCs w:val="18"/>
                  </w:rPr>
                  <w:t>6.30 pm</w:t>
                </w:r>
              </w:p>
            </w:tc>
            <w:tc>
              <w:tcPr>
                <w:tcW w:w="578" w:type="pct"/>
                <w:vAlign w:val="center"/>
              </w:tcPr>
              <w:p w:rsidR="006E2593" w:rsidRDefault="006E2593" w:rsidP="00FF6900">
                <w:pPr>
                  <w:jc w:val="center"/>
                  <w:rPr>
                    <w:rFonts w:cs="Arial"/>
                    <w:szCs w:val="18"/>
                  </w:rPr>
                </w:pPr>
                <w:r>
                  <w:rPr>
                    <w:rFonts w:cs="Arial"/>
                    <w:szCs w:val="18"/>
                  </w:rPr>
                  <w:t>112</w:t>
                </w:r>
              </w:p>
            </w:tc>
            <w:tc>
              <w:tcPr>
                <w:tcW w:w="716" w:type="pct"/>
                <w:vAlign w:val="center"/>
              </w:tcPr>
              <w:p w:rsidR="006E2593" w:rsidRDefault="006E2593" w:rsidP="00FF6900">
                <w:pPr>
                  <w:jc w:val="center"/>
                  <w:rPr>
                    <w:rFonts w:cs="Arial"/>
                    <w:szCs w:val="18"/>
                  </w:rPr>
                </w:pPr>
                <w:r>
                  <w:rPr>
                    <w:rFonts w:cs="Arial"/>
                    <w:szCs w:val="18"/>
                  </w:rPr>
                  <w:t>550</w:t>
                </w:r>
              </w:p>
            </w:tc>
            <w:tc>
              <w:tcPr>
                <w:tcW w:w="662" w:type="pct"/>
                <w:vAlign w:val="center"/>
              </w:tcPr>
              <w:p w:rsidR="006E2593" w:rsidRDefault="006E2593" w:rsidP="00FF6900">
                <w:pPr>
                  <w:jc w:val="center"/>
                  <w:rPr>
                    <w:rFonts w:cs="Arial"/>
                    <w:szCs w:val="18"/>
                  </w:rPr>
                </w:pPr>
                <w:r>
                  <w:rPr>
                    <w:rFonts w:cs="Arial"/>
                    <w:szCs w:val="18"/>
                  </w:rPr>
                  <w:t>606</w:t>
                </w:r>
              </w:p>
            </w:tc>
            <w:tc>
              <w:tcPr>
                <w:tcW w:w="756" w:type="pct"/>
                <w:vAlign w:val="center"/>
              </w:tcPr>
              <w:p w:rsidR="006E2593" w:rsidRDefault="006E2593" w:rsidP="00FF6900">
                <w:pPr>
                  <w:jc w:val="center"/>
                  <w:rPr>
                    <w:rFonts w:cs="Arial"/>
                    <w:szCs w:val="18"/>
                  </w:rPr>
                </w:pPr>
                <w:r>
                  <w:rPr>
                    <w:rFonts w:cs="Arial"/>
                    <w:szCs w:val="18"/>
                  </w:rPr>
                  <w:t>112</w:t>
                </w:r>
              </w:p>
            </w:tc>
            <w:tc>
              <w:tcPr>
                <w:tcW w:w="851" w:type="pct"/>
                <w:vAlign w:val="center"/>
              </w:tcPr>
              <w:p w:rsidR="006E2593" w:rsidRDefault="006E2593" w:rsidP="00FF6900">
                <w:pPr>
                  <w:jc w:val="center"/>
                  <w:rPr>
                    <w:rFonts w:cs="Arial"/>
                    <w:szCs w:val="18"/>
                  </w:rPr>
                </w:pPr>
                <w:r>
                  <w:rPr>
                    <w:rFonts w:cs="Arial"/>
                    <w:szCs w:val="18"/>
                  </w:rPr>
                  <w:t>935</w:t>
                </w:r>
              </w:p>
            </w:tc>
            <w:tc>
              <w:tcPr>
                <w:tcW w:w="851" w:type="pct"/>
                <w:vAlign w:val="center"/>
              </w:tcPr>
              <w:p w:rsidR="006E2593" w:rsidRDefault="006E2593" w:rsidP="00FF6900">
                <w:pPr>
                  <w:jc w:val="center"/>
                  <w:rPr>
                    <w:rFonts w:cs="Arial"/>
                    <w:szCs w:val="18"/>
                  </w:rPr>
                </w:pPr>
                <w:r>
                  <w:rPr>
                    <w:rFonts w:cs="Arial"/>
                    <w:szCs w:val="18"/>
                  </w:rPr>
                  <w:t>981</w:t>
                </w:r>
              </w:p>
            </w:tc>
          </w:tr>
          <w:tr w:rsidR="006E2593" w:rsidRPr="003E380F" w:rsidTr="00FF6900">
            <w:trPr>
              <w:cnfStyle w:val="000000010000" w:firstRow="0" w:lastRow="0" w:firstColumn="0" w:lastColumn="0" w:oddVBand="0" w:evenVBand="0" w:oddHBand="0" w:evenHBand="1" w:firstRowFirstColumn="0" w:firstRowLastColumn="0" w:lastRowFirstColumn="0" w:lastRowLastColumn="0"/>
              <w:jc w:val="center"/>
            </w:trPr>
            <w:tc>
              <w:tcPr>
                <w:tcW w:w="586" w:type="pct"/>
                <w:vAlign w:val="center"/>
              </w:tcPr>
              <w:p w:rsidR="006E2593" w:rsidRDefault="006E2593" w:rsidP="00FF6900">
                <w:pPr>
                  <w:rPr>
                    <w:rFonts w:cs="Arial"/>
                    <w:color w:val="000000"/>
                    <w:sz w:val="18"/>
                    <w:szCs w:val="18"/>
                  </w:rPr>
                </w:pPr>
                <w:r>
                  <w:rPr>
                    <w:rFonts w:cs="Arial"/>
                    <w:color w:val="000000"/>
                    <w:sz w:val="18"/>
                    <w:szCs w:val="18"/>
                  </w:rPr>
                  <w:t>7 pm</w:t>
                </w:r>
              </w:p>
            </w:tc>
            <w:tc>
              <w:tcPr>
                <w:tcW w:w="578" w:type="pct"/>
                <w:vAlign w:val="center"/>
              </w:tcPr>
              <w:p w:rsidR="006E2593" w:rsidRDefault="006E2593" w:rsidP="00FF6900">
                <w:pPr>
                  <w:jc w:val="center"/>
                  <w:rPr>
                    <w:rFonts w:cs="Arial"/>
                    <w:color w:val="000000"/>
                    <w:sz w:val="18"/>
                    <w:szCs w:val="18"/>
                  </w:rPr>
                </w:pPr>
                <w:r>
                  <w:rPr>
                    <w:rFonts w:cs="Arial"/>
                    <w:color w:val="000000"/>
                    <w:sz w:val="18"/>
                  </w:rPr>
                  <w:t>308</w:t>
                </w:r>
              </w:p>
            </w:tc>
            <w:tc>
              <w:tcPr>
                <w:tcW w:w="716" w:type="pct"/>
                <w:vAlign w:val="center"/>
              </w:tcPr>
              <w:p w:rsidR="006E2593" w:rsidRDefault="006E2593" w:rsidP="00FF6900">
                <w:pPr>
                  <w:jc w:val="center"/>
                  <w:rPr>
                    <w:rFonts w:cs="Arial"/>
                    <w:color w:val="000000"/>
                    <w:sz w:val="18"/>
                    <w:szCs w:val="18"/>
                  </w:rPr>
                </w:pPr>
                <w:r>
                  <w:rPr>
                    <w:rFonts w:cs="Arial"/>
                    <w:color w:val="000000"/>
                    <w:sz w:val="18"/>
                  </w:rPr>
                  <w:t>715</w:t>
                </w:r>
              </w:p>
            </w:tc>
            <w:tc>
              <w:tcPr>
                <w:tcW w:w="662" w:type="pct"/>
                <w:vAlign w:val="center"/>
              </w:tcPr>
              <w:p w:rsidR="006E2593" w:rsidRDefault="006E2593" w:rsidP="00FF6900">
                <w:pPr>
                  <w:jc w:val="center"/>
                  <w:rPr>
                    <w:rFonts w:cs="Arial"/>
                    <w:color w:val="000000"/>
                    <w:sz w:val="18"/>
                    <w:szCs w:val="18"/>
                  </w:rPr>
                </w:pPr>
                <w:r>
                  <w:rPr>
                    <w:rFonts w:cs="Arial"/>
                    <w:color w:val="000000"/>
                    <w:sz w:val="18"/>
                  </w:rPr>
                  <w:t>660</w:t>
                </w:r>
              </w:p>
            </w:tc>
            <w:tc>
              <w:tcPr>
                <w:tcW w:w="756" w:type="pct"/>
                <w:vAlign w:val="center"/>
              </w:tcPr>
              <w:p w:rsidR="006E2593" w:rsidRDefault="006E2593" w:rsidP="00FF6900">
                <w:pPr>
                  <w:jc w:val="center"/>
                  <w:rPr>
                    <w:rFonts w:cs="Arial"/>
                    <w:color w:val="000000"/>
                    <w:sz w:val="18"/>
                    <w:szCs w:val="18"/>
                  </w:rPr>
                </w:pPr>
                <w:r>
                  <w:rPr>
                    <w:rFonts w:cs="Arial"/>
                    <w:color w:val="000000"/>
                    <w:sz w:val="18"/>
                  </w:rPr>
                  <w:t>377</w:t>
                </w:r>
              </w:p>
            </w:tc>
            <w:tc>
              <w:tcPr>
                <w:tcW w:w="851" w:type="pct"/>
                <w:vAlign w:val="center"/>
              </w:tcPr>
              <w:p w:rsidR="006E2593" w:rsidRDefault="006E2593" w:rsidP="00FF6900">
                <w:pPr>
                  <w:jc w:val="center"/>
                  <w:rPr>
                    <w:rFonts w:cs="Arial"/>
                    <w:color w:val="000000"/>
                    <w:sz w:val="18"/>
                    <w:szCs w:val="18"/>
                  </w:rPr>
                </w:pPr>
                <w:r>
                  <w:rPr>
                    <w:rFonts w:cs="Arial"/>
                    <w:color w:val="000000"/>
                    <w:sz w:val="18"/>
                  </w:rPr>
                  <w:t>980</w:t>
                </w:r>
              </w:p>
            </w:tc>
            <w:tc>
              <w:tcPr>
                <w:tcW w:w="851" w:type="pct"/>
                <w:vAlign w:val="center"/>
              </w:tcPr>
              <w:p w:rsidR="006E2593" w:rsidRDefault="006E2593" w:rsidP="00FF6900">
                <w:pPr>
                  <w:jc w:val="center"/>
                  <w:rPr>
                    <w:rFonts w:cs="Arial"/>
                    <w:color w:val="000000"/>
                    <w:sz w:val="18"/>
                    <w:szCs w:val="18"/>
                  </w:rPr>
                </w:pPr>
                <w:r>
                  <w:rPr>
                    <w:rFonts w:cs="Arial"/>
                    <w:color w:val="000000"/>
                    <w:sz w:val="18"/>
                  </w:rPr>
                  <w:t>923</w:t>
                </w:r>
              </w:p>
            </w:tc>
          </w:tr>
        </w:tbl>
        <w:p w:rsidR="006C213E" w:rsidRDefault="00FF6900" w:rsidP="006E2593">
          <w:r w:rsidRPr="00FF6900">
            <w:t xml:space="preserve">There </w:t>
          </w:r>
          <w:r w:rsidR="00F754FF">
            <w:t>were</w:t>
          </w:r>
          <w:r w:rsidR="006C213E">
            <w:t xml:space="preserve"> </w:t>
          </w:r>
          <w:r w:rsidR="00030F8E">
            <w:t xml:space="preserve">network </w:t>
          </w:r>
          <w:r w:rsidRPr="00FF6900">
            <w:t>constraint</w:t>
          </w:r>
          <w:r w:rsidR="00030F8E">
            <w:t>s</w:t>
          </w:r>
          <w:r w:rsidR="006C213E">
            <w:t xml:space="preserve"> </w:t>
          </w:r>
          <w:r w:rsidR="00AD7CCC">
            <w:t xml:space="preserve">which limited flows </w:t>
          </w:r>
          <w:r w:rsidR="00AD7CCC" w:rsidRPr="00FF6900">
            <w:t xml:space="preserve">into </w:t>
          </w:r>
          <w:r w:rsidR="00AD7CCC">
            <w:t xml:space="preserve">New South Wales </w:t>
          </w:r>
          <w:r w:rsidR="006C213E">
            <w:t>on each of the three interconnectors</w:t>
          </w:r>
          <w:r w:rsidRPr="00FF6900">
            <w:t xml:space="preserve"> </w:t>
          </w:r>
          <w:r w:rsidR="00030F8E">
            <w:t xml:space="preserve">connecting </w:t>
          </w:r>
          <w:r w:rsidR="00AD7CCC">
            <w:t>the region</w:t>
          </w:r>
          <w:r w:rsidR="00030F8E">
            <w:t xml:space="preserve"> to Victoria and Queensland</w:t>
          </w:r>
          <w:r w:rsidRPr="00FF6900">
            <w:t>.</w:t>
          </w:r>
          <w:r>
            <w:t xml:space="preserve"> </w:t>
          </w:r>
        </w:p>
        <w:p w:rsidR="00F754FF" w:rsidRDefault="00A55E57" w:rsidP="00F754FF">
          <w:r>
            <w:lastRenderedPageBreak/>
            <w:t>On the previous day</w:t>
          </w:r>
          <w:r w:rsidR="00F754FF">
            <w:t xml:space="preserve">, </w:t>
          </w:r>
          <w:r w:rsidR="001B21EA">
            <w:t xml:space="preserve">a planned outage of the Upper Tumut to Canberra No.1 line prompted </w:t>
          </w:r>
          <w:r w:rsidR="00F754FF">
            <w:t xml:space="preserve">AEMO </w:t>
          </w:r>
          <w:r w:rsidR="001B21EA">
            <w:t xml:space="preserve">to </w:t>
          </w:r>
          <w:r w:rsidR="00F754FF">
            <w:t>invoke a constraint on the Vic</w:t>
          </w:r>
          <w:r w:rsidR="00B148C0">
            <w:t>-NSW</w:t>
          </w:r>
          <w:r w:rsidR="00F754FF">
            <w:t xml:space="preserve"> interconnector. This constraint </w:t>
          </w:r>
          <w:r w:rsidR="003565E8">
            <w:t xml:space="preserve">optimises </w:t>
          </w:r>
          <w:r w:rsidR="00F754FF">
            <w:t>over 3000 MW of generation in New South Wales</w:t>
          </w:r>
          <w:r w:rsidR="00B148C0">
            <w:t xml:space="preserve"> against flows on the </w:t>
          </w:r>
          <w:r w:rsidR="00F754FF">
            <w:t xml:space="preserve">Vic-NSW interconnector. </w:t>
          </w:r>
          <w:r w:rsidR="00B148C0">
            <w:t>When the high prices occurred</w:t>
          </w:r>
          <w:r w:rsidR="003565E8">
            <w:t>,</w:t>
          </w:r>
          <w:r w:rsidR="00B148C0">
            <w:t xml:space="preserve"> t</w:t>
          </w:r>
          <w:r w:rsidR="00F754FF">
            <w:t xml:space="preserve">his constraint forced </w:t>
          </w:r>
          <w:r w:rsidR="003565E8">
            <w:t xml:space="preserve">flows, counter-price, </w:t>
          </w:r>
          <w:r w:rsidR="00F754FF">
            <w:t>out of New South Wales into Victoria by up to 512 </w:t>
          </w:r>
          <w:r w:rsidR="00043CDD">
            <w:t>MW.</w:t>
          </w:r>
          <w:r w:rsidR="00F754FF">
            <w:t xml:space="preserve"> </w:t>
          </w:r>
          <w:r w:rsidR="00043CDD">
            <w:t>T</w:t>
          </w:r>
          <w:r w:rsidR="00493FFD">
            <w:t xml:space="preserve">he </w:t>
          </w:r>
          <w:r w:rsidR="00CC0B95">
            <w:t xml:space="preserve">subsequent accrual of </w:t>
          </w:r>
          <w:r w:rsidR="00493FFD">
            <w:t>negative settlement residue</w:t>
          </w:r>
          <w:r w:rsidR="00CC0B95">
            <w:t>s</w:t>
          </w:r>
          <w:r w:rsidR="00493FFD">
            <w:t xml:space="preserve"> </w:t>
          </w:r>
          <w:r w:rsidR="001B21EA">
            <w:t>(from</w:t>
          </w:r>
          <w:r w:rsidR="00493FFD">
            <w:t xml:space="preserve"> the counter price flows</w:t>
          </w:r>
          <w:r w:rsidR="001B21EA">
            <w:t>)</w:t>
          </w:r>
          <w:r w:rsidR="00493FFD">
            <w:t xml:space="preserve"> </w:t>
          </w:r>
          <w:r w:rsidR="004D4102">
            <w:t xml:space="preserve">led to </w:t>
          </w:r>
          <w:r w:rsidR="00F754FF">
            <w:t xml:space="preserve">AEMO </w:t>
          </w:r>
          <w:r w:rsidR="00493FFD">
            <w:t>invok</w:t>
          </w:r>
          <w:r w:rsidR="00FD281A">
            <w:t>ing</w:t>
          </w:r>
          <w:r w:rsidR="00F754FF">
            <w:t xml:space="preserve"> a </w:t>
          </w:r>
          <w:r w:rsidR="00493FFD">
            <w:t xml:space="preserve">negative residue management </w:t>
          </w:r>
          <w:r w:rsidR="00F754FF">
            <w:t xml:space="preserve">constraint </w:t>
          </w:r>
          <w:r>
            <w:t>which bound from</w:t>
          </w:r>
          <w:r w:rsidR="006249CA">
            <w:t xml:space="preserve"> 6.15 pm</w:t>
          </w:r>
          <w:r w:rsidR="00F754FF">
            <w:t xml:space="preserve">. </w:t>
          </w:r>
          <w:r w:rsidR="00493FFD">
            <w:t xml:space="preserve">These two constraints together </w:t>
          </w:r>
          <w:r w:rsidR="00FD281A">
            <w:t xml:space="preserve">reduced the output of </w:t>
          </w:r>
          <w:r w:rsidR="001B21EA">
            <w:t xml:space="preserve">lower priced generation </w:t>
          </w:r>
          <w:r w:rsidR="00493FFD">
            <w:t xml:space="preserve">in New South Wales despite the high prices. </w:t>
          </w:r>
          <w:r w:rsidR="00F754FF">
            <w:t xml:space="preserve">Flows across </w:t>
          </w:r>
          <w:r w:rsidR="00493FFD">
            <w:t xml:space="preserve">the </w:t>
          </w:r>
          <w:r w:rsidR="00F754FF">
            <w:t xml:space="preserve">Vic-NSW </w:t>
          </w:r>
          <w:r w:rsidR="00493FFD">
            <w:t xml:space="preserve">interconnector </w:t>
          </w:r>
          <w:r w:rsidR="00F754FF">
            <w:t xml:space="preserve">were held to around zero </w:t>
          </w:r>
          <w:r w:rsidR="001B21EA">
            <w:t xml:space="preserve">from 6.40 pm </w:t>
          </w:r>
          <w:r w:rsidR="00F754FF">
            <w:t xml:space="preserve">until 8 pm. </w:t>
          </w:r>
          <w:r w:rsidR="001B21EA">
            <w:t>A total negative settlement of a</w:t>
          </w:r>
          <w:r w:rsidR="00CC0B95">
            <w:t xml:space="preserve">pproximately </w:t>
          </w:r>
          <w:r w:rsidR="00CC0B95" w:rsidRPr="001F1A14">
            <w:t>$3</w:t>
          </w:r>
          <w:r w:rsidR="00CC0B95">
            <w:t xml:space="preserve">.5 million </w:t>
          </w:r>
          <w:r w:rsidR="001B21EA">
            <w:t xml:space="preserve">accrued </w:t>
          </w:r>
          <w:r w:rsidR="00F754FF">
            <w:t xml:space="preserve">for the 6.30 pm and 7 pm </w:t>
          </w:r>
          <w:r w:rsidR="00CC0B95">
            <w:t>trading intervals</w:t>
          </w:r>
          <w:r w:rsidR="00F754FF">
            <w:t>.</w:t>
          </w:r>
        </w:p>
        <w:p w:rsidR="006C213E" w:rsidRDefault="004F5FB9" w:rsidP="006E2593">
          <w:r>
            <w:t>A c</w:t>
          </w:r>
          <w:r w:rsidR="00493FFD">
            <w:t xml:space="preserve">onstraint invoked by AEMO at around 4 pm to manage a short notice outage of one </w:t>
          </w:r>
          <w:r>
            <w:t xml:space="preserve">of the </w:t>
          </w:r>
          <w:r w:rsidR="00493FFD">
            <w:t>Armidale to Bulli Creek line</w:t>
          </w:r>
          <w:r>
            <w:t>s</w:t>
          </w:r>
          <w:r w:rsidR="00493FFD">
            <w:t xml:space="preserve"> reduced the import limit on </w:t>
          </w:r>
          <w:r w:rsidR="006C213E">
            <w:t xml:space="preserve">QNI </w:t>
          </w:r>
          <w:r w:rsidR="00493FFD">
            <w:t xml:space="preserve">into New South Wales by </w:t>
          </w:r>
          <w:r w:rsidR="003F64FD">
            <w:t>555 MW</w:t>
          </w:r>
          <w:r w:rsidR="00493FFD">
            <w:t xml:space="preserve">. Consequently </w:t>
          </w:r>
          <w:r w:rsidR="003F64FD">
            <w:t xml:space="preserve">flows </w:t>
          </w:r>
          <w:r w:rsidR="00493FFD">
            <w:t xml:space="preserve">on QNI were </w:t>
          </w:r>
          <w:r w:rsidR="003F64FD">
            <w:t xml:space="preserve">186 MW lower than forecast four hours ahead. </w:t>
          </w:r>
          <w:r w:rsidR="00222EC1">
            <w:t xml:space="preserve">This outage also resulted in </w:t>
          </w:r>
          <w:r w:rsidR="00874608">
            <w:t xml:space="preserve">the </w:t>
          </w:r>
          <w:r w:rsidR="00222EC1">
            <w:t xml:space="preserve">high FCAS prices in Queensland. </w:t>
          </w:r>
        </w:p>
        <w:p w:rsidR="009147B0" w:rsidRDefault="004F5FB9" w:rsidP="009147B0">
          <w:r>
            <w:t xml:space="preserve">Flows on the Terranora interconnector </w:t>
          </w:r>
          <w:r w:rsidR="001C5D8C">
            <w:t xml:space="preserve">between Queensland and </w:t>
          </w:r>
          <w:r w:rsidR="004D4102">
            <w:t xml:space="preserve">New South Wales </w:t>
          </w:r>
          <w:r>
            <w:t>have been limited for some time as a result of damage</w:t>
          </w:r>
          <w:r w:rsidRPr="004F5FB9">
            <w:t xml:space="preserve"> </w:t>
          </w:r>
          <w:r>
            <w:t xml:space="preserve">to two of the three cables that comprise the interconnector. This constraint </w:t>
          </w:r>
          <w:r w:rsidR="009147B0">
            <w:t>limit</w:t>
          </w:r>
          <w:r>
            <w:t>ed</w:t>
          </w:r>
          <w:r w:rsidR="009147B0">
            <w:t xml:space="preserve"> imports into New</w:t>
          </w:r>
          <w:r>
            <w:t> </w:t>
          </w:r>
          <w:r w:rsidR="009147B0">
            <w:t>South</w:t>
          </w:r>
          <w:r>
            <w:t> </w:t>
          </w:r>
          <w:r w:rsidR="009147B0">
            <w:t>Wales</w:t>
          </w:r>
          <w:r>
            <w:t xml:space="preserve"> </w:t>
          </w:r>
          <w:r w:rsidR="001C5D8C">
            <w:t xml:space="preserve">by two thirds </w:t>
          </w:r>
          <w:r>
            <w:t xml:space="preserve">to </w:t>
          </w:r>
          <w:r w:rsidR="009147B0">
            <w:t>around 100 MW at the time of high prices</w:t>
          </w:r>
          <w:r w:rsidR="00874608">
            <w:t>, which</w:t>
          </w:r>
          <w:r w:rsidR="009147B0">
            <w:t xml:space="preserve"> was as forecast.</w:t>
          </w:r>
          <w:r w:rsidR="006F02C0" w:rsidRPr="006F02C0">
            <w:t xml:space="preserve"> </w:t>
          </w:r>
        </w:p>
        <w:p w:rsidR="006E2593" w:rsidRDefault="00CB6C41" w:rsidP="006E2593">
          <w:r>
            <w:fldChar w:fldCharType="begin"/>
          </w:r>
          <w:r>
            <w:instrText xml:space="preserve"> REF _Ref435772920 \h </w:instrText>
          </w:r>
          <w:r>
            <w:fldChar w:fldCharType="separate"/>
          </w:r>
          <w:r w:rsidR="00FE39F3">
            <w:t xml:space="preserve">Figure </w:t>
          </w:r>
          <w:r w:rsidR="00FE39F3">
            <w:rPr>
              <w:noProof/>
            </w:rPr>
            <w:t>1</w:t>
          </w:r>
          <w:r>
            <w:fldChar w:fldCharType="end"/>
          </w:r>
          <w:r>
            <w:t xml:space="preserve"> </w:t>
          </w:r>
          <w:r w:rsidR="006E2593" w:rsidRPr="00D67C0C">
            <w:t>shows the import and export limit, and target flows of the Vic-N</w:t>
          </w:r>
          <w:r w:rsidR="00194A0C">
            <w:t>SW and QNI interconnectors</w:t>
          </w:r>
          <w:r w:rsidR="001C5D8C">
            <w:t xml:space="preserve"> which connect NSW to neighbouring regions</w:t>
          </w:r>
          <w:r w:rsidR="00194A0C">
            <w:t>. New South </w:t>
          </w:r>
          <w:r w:rsidR="006E2593" w:rsidRPr="00D67C0C">
            <w:t>Wales was importing around 370 MW at the time of high prices</w:t>
          </w:r>
          <w:r w:rsidR="006E2593">
            <w:t xml:space="preserve"> across QNI.</w:t>
          </w:r>
        </w:p>
        <w:p w:rsidR="00DB6903" w:rsidRPr="00B44DD6" w:rsidRDefault="00DB6903" w:rsidP="00DB6903">
          <w:pPr>
            <w:pStyle w:val="Caption"/>
            <w:rPr>
              <w:noProof/>
            </w:rPr>
          </w:pPr>
          <w:bookmarkStart w:id="10" w:name="_Ref435772920"/>
          <w:bookmarkStart w:id="11" w:name="_Ref433798220"/>
          <w:r w:rsidRPr="00DD3C12">
            <w:rPr>
              <w:noProof/>
              <w:lang w:eastAsia="en-AU"/>
            </w:rPr>
            <w:drawing>
              <wp:anchor distT="0" distB="0" distL="114300" distR="114300" simplePos="0" relativeHeight="251658752" behindDoc="0" locked="1" layoutInCell="1" allowOverlap="1" wp14:anchorId="5C3D4DFE" wp14:editId="36E5F52C">
                <wp:simplePos x="0" y="0"/>
                <wp:positionH relativeFrom="column">
                  <wp:posOffset>2146935</wp:posOffset>
                </wp:positionH>
                <wp:positionV relativeFrom="paragraph">
                  <wp:posOffset>2383155</wp:posOffset>
                </wp:positionV>
                <wp:extent cx="3911600" cy="180975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116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E49C3">
            <w:rPr>
              <w:noProof/>
              <w:lang w:eastAsia="en-AU"/>
            </w:rPr>
            <mc:AlternateContent>
              <mc:Choice Requires="wps">
                <w:drawing>
                  <wp:anchor distT="0" distB="0" distL="114300" distR="114300" simplePos="0" relativeHeight="251671552" behindDoc="0" locked="1" layoutInCell="1" allowOverlap="1" wp14:anchorId="2EFB620A" wp14:editId="7CECF74A">
                    <wp:simplePos x="0" y="0"/>
                    <wp:positionH relativeFrom="column">
                      <wp:posOffset>864235</wp:posOffset>
                    </wp:positionH>
                    <wp:positionV relativeFrom="paragraph">
                      <wp:posOffset>2705735</wp:posOffset>
                    </wp:positionV>
                    <wp:extent cx="333375" cy="684530"/>
                    <wp:effectExtent l="19050" t="11430" r="19050" b="1841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684530"/>
                            </a:xfrm>
                            <a:prstGeom prst="downArrow">
                              <a:avLst>
                                <a:gd name="adj1" fmla="val 50000"/>
                                <a:gd name="adj2" fmla="val 51333"/>
                              </a:avLst>
                            </a:prstGeom>
                            <a:solidFill>
                              <a:srgbClr val="FFFF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 o:spid="_x0000_s1026" type="#_x0000_t67" style="position:absolute;margin-left:68.05pt;margin-top:213.05pt;width:26.25pt;height:5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" fillcolor="yellow" strokecolor="red">
                    <v:textbox style="layout-flow:vertical-ideographic"/>
                    <w10:anchorlock/>
                  </v:shape>
                </w:pict>
              </mc:Fallback>
            </mc:AlternateContent>
          </w:r>
          <w:r w:rsidRPr="006F02C0">
            <w:rPr>
              <w:noProof/>
              <w:lang w:eastAsia="en-AU"/>
            </w:rPr>
            <w:drawing>
              <wp:anchor distT="0" distB="0" distL="114300" distR="114300" simplePos="0" relativeHeight="251659776" behindDoc="0" locked="1" layoutInCell="1" allowOverlap="1" wp14:anchorId="29D7D409" wp14:editId="57EE2460">
                <wp:simplePos x="0" y="0"/>
                <wp:positionH relativeFrom="column">
                  <wp:posOffset>2134235</wp:posOffset>
                </wp:positionH>
                <wp:positionV relativeFrom="paragraph">
                  <wp:posOffset>497205</wp:posOffset>
                </wp:positionV>
                <wp:extent cx="3924300" cy="188531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24300" cy="188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4E49C3">
            <w:rPr>
              <w:noProof/>
              <w:lang w:eastAsia="en-AU"/>
            </w:rPr>
            <mc:AlternateContent>
              <mc:Choice Requires="wps">
                <w:drawing>
                  <wp:anchor distT="0" distB="0" distL="114300" distR="114300" simplePos="0" relativeHeight="251672576" behindDoc="0" locked="1" layoutInCell="1" allowOverlap="1" wp14:anchorId="65F65F2C" wp14:editId="37AE1531">
                    <wp:simplePos x="0" y="0"/>
                    <wp:positionH relativeFrom="column">
                      <wp:posOffset>1707515</wp:posOffset>
                    </wp:positionH>
                    <wp:positionV relativeFrom="paragraph">
                      <wp:posOffset>652145</wp:posOffset>
                    </wp:positionV>
                    <wp:extent cx="320675" cy="741680"/>
                    <wp:effectExtent l="24130" t="15240" r="17145" b="508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0675" cy="741680"/>
                            </a:xfrm>
                            <a:prstGeom prst="downArrow">
                              <a:avLst>
                                <a:gd name="adj1" fmla="val 50000"/>
                                <a:gd name="adj2" fmla="val 57822"/>
                              </a:avLst>
                            </a:prstGeom>
                            <a:solidFill>
                              <a:srgbClr val="FFFF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67" style="position:absolute;margin-left:134.45pt;margin-top:51.35pt;width:25.25pt;height:58.4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" fillcolor="yellow" strokecolor="red">
                    <v:textbox style="layout-flow:vertical-ideographic"/>
                    <w10:anchorlock/>
                  </v:shape>
                </w:pict>
              </mc:Fallback>
            </mc:AlternateContent>
          </w:r>
          <w:r>
            <w:rPr>
              <w:noProof/>
              <w:lang w:eastAsia="en-AU"/>
            </w:rPr>
            <w:drawing>
              <wp:anchor distT="0" distB="0" distL="114300" distR="114300" simplePos="0" relativeHeight="251657728" behindDoc="0" locked="1" layoutInCell="1" allowOverlap="1" wp14:anchorId="2C6FDC75" wp14:editId="5A693E4F">
                <wp:simplePos x="0" y="0"/>
                <wp:positionH relativeFrom="column">
                  <wp:posOffset>-227965</wp:posOffset>
                </wp:positionH>
                <wp:positionV relativeFrom="paragraph">
                  <wp:posOffset>635635</wp:posOffset>
                </wp:positionV>
                <wp:extent cx="3181985" cy="3034665"/>
                <wp:effectExtent l="0" t="0" r="37465" b="0"/>
                <wp:wrapTopAndBottom/>
                <wp:docPr id="5" name="irc_mi" descr="http://reptilesdownunder.com/class/wp-content/uploads/2014/04/nsw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rc_mi" descr="http://reptilesdownunder.com/class/wp-content/uploads/2014/04/nswico.png"/>
                        <pic:cNvPicPr>
                          <a:picLocks noChangeAspect="1" noChangeArrowheads="1"/>
                        </pic:cNvPicPr>
                      </pic:nvPicPr>
                      <pic:blipFill>
                        <a:blip r:embed="rId14">
                          <a:extLst>
                            <a:ext uri="{BEBA8EAE-BF5A-486C-A8C5-ECC9F3942E4B}">
                              <a14:imgProps xmlns:a14="http://schemas.microsoft.com/office/drawing/2010/main">
                                <a14:imgLayer r:embed="rId15">
                                  <a14:imgEffect>
                                    <a14:backgroundRemoval t="9615" b="92308" l="9717" r="100000"/>
                                  </a14:imgEffect>
                                </a14:imgLayer>
                              </a14:imgProps>
                            </a:ext>
                            <a:ext uri="{28A0092B-C50C-407E-A947-70E740481C1C}">
                              <a14:useLocalDpi xmlns:a14="http://schemas.microsoft.com/office/drawing/2010/main" val="0"/>
                            </a:ext>
                          </a:extLst>
                        </a:blip>
                        <a:srcRect/>
                        <a:stretch>
                          <a:fillRect/>
                        </a:stretch>
                      </pic:blipFill>
                      <pic:spPr bwMode="auto">
                        <a:xfrm>
                          <a:off x="0" y="0"/>
                          <a:ext cx="3181985" cy="3034665"/>
                        </a:xfrm>
                        <a:prstGeom prst="rect">
                          <a:avLst/>
                        </a:prstGeom>
                        <a:noFill/>
                        <a:effectLst>
                          <a:outerShdw blurRad="50800" dist="50800" dir="5400000" algn="ctr" rotWithShape="0">
                            <a:srgbClr val="000000"/>
                          </a:outerShdw>
                        </a:effectLst>
                        <a:extLst/>
                      </pic:spPr>
                    </pic:pic>
                  </a:graphicData>
                </a:graphic>
                <wp14:sizeRelH relativeFrom="page">
                  <wp14:pctWidth>0</wp14:pctWidth>
                </wp14:sizeRelH>
                <wp14:sizeRelV relativeFrom="page">
                  <wp14:pctHeight>0</wp14:pctHeight>
                </wp14:sizeRelV>
              </wp:anchor>
            </w:drawing>
          </w:r>
          <w:r>
            <w:t xml:space="preserve">Figure </w:t>
          </w:r>
          <w:fldSimple w:instr=" SEQ Figure \* ARABIC ">
            <w:r w:rsidR="00FE39F3">
              <w:rPr>
                <w:noProof/>
              </w:rPr>
              <w:t>1</w:t>
            </w:r>
          </w:fldSimple>
          <w:bookmarkEnd w:id="10"/>
          <w:r>
            <w:t xml:space="preserve">: </w:t>
          </w:r>
          <w:r w:rsidR="004D4102">
            <w:t>New South Wales e</w:t>
          </w:r>
          <w:r w:rsidRPr="00795E72">
            <w:t>xport/import limits and target flows</w:t>
          </w:r>
        </w:p>
        <w:p w:rsidR="00E34784" w:rsidRDefault="00E34784" w:rsidP="005D5ED4">
          <w:pPr>
            <w:pStyle w:val="Heading2"/>
          </w:pPr>
          <w:bookmarkStart w:id="12" w:name="_Toc436060150"/>
          <w:bookmarkEnd w:id="11"/>
          <w:r>
            <w:lastRenderedPageBreak/>
            <w:t>Supply and Demand</w:t>
          </w:r>
          <w:bookmarkEnd w:id="12"/>
        </w:p>
        <w:p w:rsidR="00E34784" w:rsidRPr="00C0477C" w:rsidRDefault="00E34784" w:rsidP="00E34784">
          <w:r w:rsidRPr="00C0477C">
            <w:t>This section discusses</w:t>
          </w:r>
          <w:r w:rsidR="007E7E05" w:rsidRPr="00C0477C">
            <w:t xml:space="preserve"> changes to the </w:t>
          </w:r>
          <w:r w:rsidR="00AD7CCC">
            <w:t>price and capacity offered by generators</w:t>
          </w:r>
          <w:r w:rsidR="006F02C0">
            <w:t>,</w:t>
          </w:r>
          <w:r w:rsidR="007E7E05" w:rsidRPr="00C0477C">
            <w:t xml:space="preserve"> </w:t>
          </w:r>
          <w:r w:rsidRPr="00C0477C">
            <w:t xml:space="preserve">and </w:t>
          </w:r>
          <w:r w:rsidR="007E7E05" w:rsidRPr="00C0477C">
            <w:t xml:space="preserve">market </w:t>
          </w:r>
          <w:r w:rsidRPr="00C0477C">
            <w:t xml:space="preserve">demand conditions </w:t>
          </w:r>
          <w:r w:rsidR="007E7E05" w:rsidRPr="00C0477C">
            <w:t xml:space="preserve">relevant to </w:t>
          </w:r>
          <w:r w:rsidRPr="00C0477C">
            <w:t xml:space="preserve">the </w:t>
          </w:r>
          <w:r w:rsidR="00AD7CCC">
            <w:t>pricing event</w:t>
          </w:r>
          <w:r w:rsidRPr="00C0477C">
            <w:t>.</w:t>
          </w:r>
        </w:p>
        <w:p w:rsidR="00426AEF" w:rsidRDefault="00426AEF" w:rsidP="00426AEF">
          <w:pPr>
            <w:pStyle w:val="Heading3"/>
          </w:pPr>
          <w:bookmarkStart w:id="13" w:name="_Ref414280750"/>
          <w:bookmarkStart w:id="14" w:name="_Ref414285080"/>
          <w:bookmarkStart w:id="15" w:name="_Toc436060151"/>
          <w:bookmarkEnd w:id="7"/>
          <w:bookmarkEnd w:id="8"/>
          <w:r>
            <w:t>Supply curve</w:t>
          </w:r>
          <w:bookmarkEnd w:id="13"/>
          <w:bookmarkEnd w:id="14"/>
          <w:bookmarkEnd w:id="15"/>
        </w:p>
        <w:p w:rsidR="0027556F" w:rsidRDefault="00874608" w:rsidP="002A56AB">
          <w:r>
            <w:t>S</w:t>
          </w:r>
          <w:r w:rsidR="009F702B">
            <w:t>upply curve</w:t>
          </w:r>
          <w:r>
            <w:t>s illustrate</w:t>
          </w:r>
          <w:r w:rsidR="009F702B">
            <w:t xml:space="preserve"> </w:t>
          </w:r>
          <w:r>
            <w:t>any</w:t>
          </w:r>
          <w:r w:rsidR="009F702B">
            <w:t xml:space="preserve"> potential sensitivity to changes in key factors affecting both demand and supply. </w:t>
          </w:r>
          <w:r w:rsidR="0027556F">
            <w:t>The supply curve</w:t>
          </w:r>
          <w:r w:rsidR="0027556F" w:rsidRPr="00C0477C">
            <w:t xml:space="preserve"> </w:t>
          </w:r>
          <w:r w:rsidR="0027556F">
            <w:t xml:space="preserve">is </w:t>
          </w:r>
          <w:r w:rsidR="0027556F" w:rsidRPr="00C0477C">
            <w:t xml:space="preserve">derived by summing the available capacity in each price band for all generators in </w:t>
          </w:r>
          <w:r w:rsidR="0027556F">
            <w:t>New South Wales</w:t>
          </w:r>
          <w:r w:rsidR="0027556F" w:rsidRPr="00C0477C">
            <w:t xml:space="preserve">. </w:t>
          </w:r>
        </w:p>
        <w:p w:rsidR="0027556F" w:rsidRDefault="0027556F" w:rsidP="002A56AB">
          <w:r>
            <w:t>We have examine</w:t>
          </w:r>
          <w:r w:rsidR="00CB6C41">
            <w:t>d</w:t>
          </w:r>
          <w:r>
            <w:t xml:space="preserve"> in detail the supply curve for the 6.05 pm dispatch interval (shown in </w:t>
          </w:r>
          <w:r>
            <w:fldChar w:fldCharType="begin"/>
          </w:r>
          <w:r>
            <w:instrText xml:space="preserve"> REF _Ref414281163 \h </w:instrText>
          </w:r>
          <w:r>
            <w:fldChar w:fldCharType="separate"/>
          </w:r>
          <w:r w:rsidR="00FE39F3">
            <w:t xml:space="preserve">Figure </w:t>
          </w:r>
          <w:r w:rsidR="00FE39F3">
            <w:rPr>
              <w:noProof/>
            </w:rPr>
            <w:t>2</w:t>
          </w:r>
          <w:r>
            <w:fldChar w:fldCharType="end"/>
          </w:r>
          <w:r>
            <w:t xml:space="preserve">) as it is typical of the </w:t>
          </w:r>
          <w:r w:rsidR="00CB6C41">
            <w:t>situation</w:t>
          </w:r>
          <w:r>
            <w:t xml:space="preserve"> for the period of high prices.  </w:t>
          </w:r>
        </w:p>
        <w:p w:rsidR="0027556F" w:rsidRDefault="00286C34" w:rsidP="002A56AB">
          <w:r>
            <w:t xml:space="preserve">The red line in </w:t>
          </w:r>
          <w:r>
            <w:fldChar w:fldCharType="begin"/>
          </w:r>
          <w:r>
            <w:instrText xml:space="preserve"> REF _Ref414281163 \h </w:instrText>
          </w:r>
          <w:r>
            <w:fldChar w:fldCharType="separate"/>
          </w:r>
          <w:r w:rsidR="00FE39F3">
            <w:t xml:space="preserve">Figure </w:t>
          </w:r>
          <w:r w:rsidR="00FE39F3">
            <w:rPr>
              <w:noProof/>
            </w:rPr>
            <w:t>2</w:t>
          </w:r>
          <w:r>
            <w:fldChar w:fldCharType="end"/>
          </w:r>
          <w:r>
            <w:t xml:space="preserve"> shows the actual supply curve for all generators in New South Wales based on their offers. </w:t>
          </w:r>
          <w:r w:rsidR="00525318">
            <w:t xml:space="preserve">The vertical section of the curve </w:t>
          </w:r>
          <w:r w:rsidR="00127BB1">
            <w:t xml:space="preserve">at about 10 250 MW </w:t>
          </w:r>
          <w:r w:rsidR="0027556F">
            <w:t xml:space="preserve">shows </w:t>
          </w:r>
          <w:r w:rsidR="005D1949">
            <w:t xml:space="preserve">there </w:t>
          </w:r>
          <w:r w:rsidR="00525318">
            <w:t xml:space="preserve">was </w:t>
          </w:r>
          <w:r w:rsidR="00127BB1">
            <w:t xml:space="preserve">no </w:t>
          </w:r>
          <w:r w:rsidR="005D1949">
            <w:t>capacity price</w:t>
          </w:r>
          <w:r w:rsidR="00794D44">
            <w:t>d</w:t>
          </w:r>
          <w:r w:rsidR="005D1949">
            <w:t xml:space="preserve"> between $</w:t>
          </w:r>
          <w:r w:rsidR="00127BB1">
            <w:t>300</w:t>
          </w:r>
          <w:r w:rsidR="005D1949">
            <w:t>/MWh and $13 000/</w:t>
          </w:r>
          <w:r w:rsidR="00353228">
            <w:t>MWh (</w:t>
          </w:r>
          <w:r w:rsidR="00127BB1">
            <w:t>$300/MWh was the price forecasts 4 and 12 hours ahead</w:t>
          </w:r>
          <w:r w:rsidR="00353228">
            <w:t>)</w:t>
          </w:r>
          <w:r w:rsidR="005D1949">
            <w:t xml:space="preserve">. </w:t>
          </w:r>
        </w:p>
        <w:p w:rsidR="0027556F" w:rsidRDefault="00BC28E1" w:rsidP="002A56AB">
          <w:r>
            <w:t>A</w:t>
          </w:r>
          <w:r w:rsidR="0027556F">
            <w:t xml:space="preserve">s discussed </w:t>
          </w:r>
          <w:r w:rsidR="00794D44">
            <w:t>above</w:t>
          </w:r>
          <w:r w:rsidR="0027556F">
            <w:t xml:space="preserve">, </w:t>
          </w:r>
          <w:r>
            <w:t xml:space="preserve">constraints managing the Canberra to Tumut outage and the </w:t>
          </w:r>
          <w:r w:rsidR="00794D44">
            <w:t xml:space="preserve">accrual of </w:t>
          </w:r>
          <w:r>
            <w:t>negative residues constrained low-priced generation in the south of New South </w:t>
          </w:r>
          <w:proofErr w:type="gramStart"/>
          <w:r>
            <w:t>Wales reducing</w:t>
          </w:r>
          <w:proofErr w:type="gramEnd"/>
          <w:r>
            <w:t xml:space="preserve"> the capacity</w:t>
          </w:r>
          <w:r w:rsidR="00794D44">
            <w:t xml:space="preserve"> available for dispatch (effective capacity)</w:t>
          </w:r>
          <w:r>
            <w:t xml:space="preserve">. Furthermore other generation at Mount Piper and Tallawarra priced below the dispatch price </w:t>
          </w:r>
          <w:r w:rsidR="001C5D8C">
            <w:t>had limited “</w:t>
          </w:r>
          <w:r>
            <w:t>ramp up</w:t>
          </w:r>
          <w:r w:rsidR="001C5D8C">
            <w:t>” capability</w:t>
          </w:r>
          <w:r>
            <w:t xml:space="preserve">. These reductions in </w:t>
          </w:r>
          <w:r w:rsidR="005D1949">
            <w:t>effect</w:t>
          </w:r>
          <w:r>
            <w:t>ive capacity shift</w:t>
          </w:r>
          <w:r w:rsidR="005D1949">
            <w:t xml:space="preserve"> </w:t>
          </w:r>
          <w:r>
            <w:t>the supply curve to the left</w:t>
          </w:r>
          <w:r w:rsidR="005D1949">
            <w:t xml:space="preserve"> </w:t>
          </w:r>
          <w:r w:rsidR="002D7459">
            <w:t xml:space="preserve">by around 900 MW during the period of high prices </w:t>
          </w:r>
          <w:r w:rsidR="00CB6C41">
            <w:t>(</w:t>
          </w:r>
          <w:r>
            <w:t xml:space="preserve">represented by </w:t>
          </w:r>
          <w:r w:rsidR="00261FD0">
            <w:t xml:space="preserve">the blue line in </w:t>
          </w:r>
          <w:r w:rsidR="00261FD0">
            <w:fldChar w:fldCharType="begin"/>
          </w:r>
          <w:r w:rsidR="00261FD0">
            <w:instrText xml:space="preserve"> REF _Ref414281163 \h </w:instrText>
          </w:r>
          <w:r w:rsidR="00261FD0">
            <w:fldChar w:fldCharType="separate"/>
          </w:r>
          <w:r w:rsidR="00FE39F3">
            <w:t xml:space="preserve">Figure </w:t>
          </w:r>
          <w:r w:rsidR="00FE39F3">
            <w:rPr>
              <w:noProof/>
            </w:rPr>
            <w:t>2</w:t>
          </w:r>
          <w:r w:rsidR="00261FD0">
            <w:fldChar w:fldCharType="end"/>
          </w:r>
          <w:r>
            <w:t>)</w:t>
          </w:r>
          <w:r w:rsidR="00261FD0">
            <w:t>.</w:t>
          </w:r>
        </w:p>
        <w:p w:rsidR="005D1949" w:rsidRDefault="005D1949" w:rsidP="00426AEF">
          <w:r>
            <w:t xml:space="preserve">The third line on the graph in </w:t>
          </w:r>
          <w:r>
            <w:fldChar w:fldCharType="begin"/>
          </w:r>
          <w:r>
            <w:instrText xml:space="preserve"> REF _Ref414281163 \h </w:instrText>
          </w:r>
          <w:r>
            <w:fldChar w:fldCharType="separate"/>
          </w:r>
          <w:r w:rsidR="00FE39F3">
            <w:t xml:space="preserve">Figure </w:t>
          </w:r>
          <w:r w:rsidR="00FE39F3">
            <w:rPr>
              <w:noProof/>
            </w:rPr>
            <w:t>2</w:t>
          </w:r>
          <w:r>
            <w:fldChar w:fldCharType="end"/>
          </w:r>
          <w:r>
            <w:t>, represents New South Wales demand plus exports (</w:t>
          </w:r>
          <w:r w:rsidRPr="00C0477C">
            <w:t xml:space="preserve">denoted by the </w:t>
          </w:r>
          <w:r w:rsidR="00FA2C62">
            <w:t xml:space="preserve">dashed </w:t>
          </w:r>
          <w:r>
            <w:t xml:space="preserve">green line), that is the effective </w:t>
          </w:r>
          <w:r w:rsidR="00127BB1">
            <w:t xml:space="preserve">target </w:t>
          </w:r>
          <w:r>
            <w:t xml:space="preserve">output from the generators in the region. </w:t>
          </w:r>
        </w:p>
        <w:p w:rsidR="00426AEF" w:rsidRDefault="006E2593" w:rsidP="00426AEF">
          <w:pPr>
            <w:pStyle w:val="Caption"/>
            <w:jc w:val="both"/>
          </w:pPr>
          <w:bookmarkStart w:id="16" w:name="_Ref414281163"/>
          <w:r>
            <w:t>Figure</w:t>
          </w:r>
          <w:r w:rsidR="00426AEF">
            <w:t xml:space="preserve"> </w:t>
          </w:r>
          <w:fldSimple w:instr=" SEQ Figure \* ARABIC ">
            <w:r w:rsidR="00FE39F3">
              <w:rPr>
                <w:noProof/>
              </w:rPr>
              <w:t>2</w:t>
            </w:r>
          </w:fldSimple>
          <w:bookmarkEnd w:id="16"/>
          <w:r w:rsidR="00426AEF">
            <w:t xml:space="preserve">: </w:t>
          </w:r>
          <w:r w:rsidR="00874608">
            <w:t>A</w:t>
          </w:r>
          <w:r w:rsidR="00426AEF" w:rsidRPr="00212272">
            <w:t xml:space="preserve">ctual </w:t>
          </w:r>
          <w:r w:rsidR="00B44AD2">
            <w:t xml:space="preserve">and effective </w:t>
          </w:r>
          <w:r w:rsidR="00426AEF" w:rsidRPr="00212272">
            <w:t>supply curves</w:t>
          </w:r>
          <w:r w:rsidR="00426AEF">
            <w:t xml:space="preserve"> for </w:t>
          </w:r>
          <w:r w:rsidR="00B44AD2">
            <w:t>6</w:t>
          </w:r>
          <w:r w:rsidR="00426AEF">
            <w:t>.</w:t>
          </w:r>
          <w:r w:rsidR="00B44AD2">
            <w:t>05</w:t>
          </w:r>
          <w:r w:rsidR="00426AEF">
            <w:t> pm</w:t>
          </w:r>
          <w:r w:rsidR="00FA2C62">
            <w:t xml:space="preserve"> dispatch interval</w:t>
          </w:r>
        </w:p>
        <w:p w:rsidR="00426AEF" w:rsidRDefault="007515C8" w:rsidP="00426AEF">
          <w:r w:rsidRPr="007515C8">
            <w:rPr>
              <w:noProof/>
              <w:lang w:eastAsia="en-AU"/>
            </w:rPr>
            <w:drawing>
              <wp:inline distT="0" distB="0" distL="0" distR="0" wp14:anchorId="35E47634" wp14:editId="189783B5">
                <wp:extent cx="5382895" cy="295942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2959422"/>
                        </a:xfrm>
                        <a:prstGeom prst="rect">
                          <a:avLst/>
                        </a:prstGeom>
                        <a:noFill/>
                        <a:ln>
                          <a:noFill/>
                        </a:ln>
                      </pic:spPr>
                    </pic:pic>
                  </a:graphicData>
                </a:graphic>
              </wp:inline>
            </w:drawing>
          </w:r>
        </w:p>
        <w:p w:rsidR="00BC28E1" w:rsidRDefault="00BC28E1" w:rsidP="00BC28E1">
          <w:r>
            <w:lastRenderedPageBreak/>
            <w:t>The intersection of the effective demand line and the supply curves provides a</w:t>
          </w:r>
          <w:r w:rsidR="00353228">
            <w:t>n</w:t>
          </w:r>
          <w:r>
            <w:t xml:space="preserve"> indication of the regional price. Had all the capacity offered been available to meet the effective demand the </w:t>
          </w:r>
          <w:r w:rsidR="00FA2C62">
            <w:t xml:space="preserve">dispatch </w:t>
          </w:r>
          <w:r>
            <w:t>price would have been much lower (around $35/MWh). However</w:t>
          </w:r>
          <w:r w:rsidR="00CB6C41">
            <w:t>,</w:t>
          </w:r>
          <w:r>
            <w:t xml:space="preserve"> with a supply curve with these characteristics small changes in demand, interconnector availability or rebidding </w:t>
          </w:r>
          <w:r w:rsidR="00CB6C41">
            <w:t>may</w:t>
          </w:r>
          <w:r>
            <w:t xml:space="preserve"> have a large effect on </w:t>
          </w:r>
          <w:proofErr w:type="gramStart"/>
          <w:r>
            <w:t>price.</w:t>
          </w:r>
          <w:proofErr w:type="gramEnd"/>
          <w:r>
            <w:t xml:space="preserve"> </w:t>
          </w:r>
          <w:r w:rsidR="001A5038">
            <w:t>Shifting the supply curve to the left</w:t>
          </w:r>
          <w:r w:rsidR="00CB6C41">
            <w:t xml:space="preserve"> increas</w:t>
          </w:r>
          <w:r w:rsidR="001A5038">
            <w:t>es</w:t>
          </w:r>
          <w:r w:rsidR="00CB6C41">
            <w:t xml:space="preserve"> the probability of a high price </w:t>
          </w:r>
          <w:r>
            <w:t>outcome, as the demand approached 9800 MW.</w:t>
          </w:r>
        </w:p>
        <w:p w:rsidR="004D7255" w:rsidRDefault="0052525D" w:rsidP="004D7255">
          <w:r>
            <w:fldChar w:fldCharType="begin"/>
          </w:r>
          <w:r>
            <w:instrText xml:space="preserve"> REF _Ref435022764 \h </w:instrText>
          </w:r>
          <w:r>
            <w:fldChar w:fldCharType="separate"/>
          </w:r>
          <w:r w:rsidR="00FE39F3">
            <w:t xml:space="preserve">Figure </w:t>
          </w:r>
          <w:r w:rsidR="00FE39F3">
            <w:rPr>
              <w:noProof/>
            </w:rPr>
            <w:t>3</w:t>
          </w:r>
          <w:r>
            <w:fldChar w:fldCharType="end"/>
          </w:r>
          <w:r>
            <w:t xml:space="preserve"> shows </w:t>
          </w:r>
          <w:r w:rsidR="00FA2C62">
            <w:t>capacity</w:t>
          </w:r>
          <w:r w:rsidR="00D00A4E">
            <w:t xml:space="preserve">, by unit, that was priced less than the dispatch price </w:t>
          </w:r>
          <w:r>
            <w:t xml:space="preserve">that </w:t>
          </w:r>
          <w:r w:rsidR="00FA2C62">
            <w:t xml:space="preserve">was </w:t>
          </w:r>
          <w:r>
            <w:t xml:space="preserve">either constrained down by </w:t>
          </w:r>
          <w:r w:rsidR="00BC28E1">
            <w:t xml:space="preserve">network or negative residue management </w:t>
          </w:r>
          <w:r>
            <w:t xml:space="preserve">constraints or </w:t>
          </w:r>
          <w:r w:rsidR="00FA2C62">
            <w:t xml:space="preserve">was </w:t>
          </w:r>
          <w:r>
            <w:t xml:space="preserve">ramp up limited. </w:t>
          </w:r>
          <w:r w:rsidR="004D7255">
            <w:t>Tumut 3, Upper Tumut</w:t>
          </w:r>
          <w:r w:rsidR="001440FF">
            <w:t xml:space="preserve"> and</w:t>
          </w:r>
          <w:r w:rsidR="004D7255">
            <w:t xml:space="preserve"> Guthega </w:t>
          </w:r>
          <w:r>
            <w:t xml:space="preserve">were </w:t>
          </w:r>
          <w:r w:rsidR="00245D67">
            <w:t xml:space="preserve">constrained down for the entire time of high prices by as much as </w:t>
          </w:r>
          <w:r>
            <w:t>540</w:t>
          </w:r>
          <w:r w:rsidR="00245D67">
            <w:t> </w:t>
          </w:r>
          <w:r w:rsidR="001440FF">
            <w:t>MW in total</w:t>
          </w:r>
          <w:r w:rsidR="00245D67">
            <w:t xml:space="preserve">. </w:t>
          </w:r>
          <w:r w:rsidR="003250C8">
            <w:t xml:space="preserve">The </w:t>
          </w:r>
          <w:proofErr w:type="spellStart"/>
          <w:r w:rsidR="00245D67">
            <w:t>Boco</w:t>
          </w:r>
          <w:proofErr w:type="spellEnd"/>
          <w:r w:rsidR="00FA2C62">
            <w:t xml:space="preserve"> R</w:t>
          </w:r>
          <w:r w:rsidR="00245D67">
            <w:t xml:space="preserve">ock </w:t>
          </w:r>
          <w:r w:rsidR="001440FF">
            <w:t xml:space="preserve">and Gunning </w:t>
          </w:r>
          <w:r w:rsidR="00245D67">
            <w:t>wind farm</w:t>
          </w:r>
          <w:r w:rsidR="001440FF">
            <w:t>s were</w:t>
          </w:r>
          <w:r w:rsidR="00245D67">
            <w:t xml:space="preserve"> </w:t>
          </w:r>
          <w:r w:rsidR="001440FF">
            <w:t>also constrained down for a majority of the high price period.</w:t>
          </w:r>
        </w:p>
        <w:p w:rsidR="00D82678" w:rsidRDefault="00D82678" w:rsidP="00D82678">
          <w:pPr>
            <w:pStyle w:val="Caption"/>
            <w:jc w:val="both"/>
          </w:pPr>
          <w:bookmarkStart w:id="17" w:name="_Ref435022764"/>
          <w:r>
            <w:t xml:space="preserve">Figure </w:t>
          </w:r>
          <w:fldSimple w:instr=" SEQ Figure \* ARABIC ">
            <w:r w:rsidR="00FE39F3">
              <w:rPr>
                <w:noProof/>
              </w:rPr>
              <w:t>3</w:t>
            </w:r>
          </w:fldSimple>
          <w:bookmarkEnd w:id="17"/>
          <w:r>
            <w:t xml:space="preserve">: </w:t>
          </w:r>
          <w:r w:rsidR="001C5D8C">
            <w:t>Unit c</w:t>
          </w:r>
          <w:r>
            <w:t xml:space="preserve">apacity unable to be accessed by the market </w:t>
          </w:r>
        </w:p>
        <w:p w:rsidR="00D82678" w:rsidRDefault="00761D3B" w:rsidP="004D7255">
          <w:r w:rsidRPr="00761D3B">
            <w:rPr>
              <w:noProof/>
              <w:lang w:eastAsia="en-AU"/>
            </w:rPr>
            <w:drawing>
              <wp:inline distT="0" distB="0" distL="0" distR="0" wp14:anchorId="07A46FEE" wp14:editId="4A66A147">
                <wp:extent cx="5374917" cy="261152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2615403"/>
                        </a:xfrm>
                        <a:prstGeom prst="rect">
                          <a:avLst/>
                        </a:prstGeom>
                        <a:noFill/>
                        <a:ln>
                          <a:noFill/>
                        </a:ln>
                      </pic:spPr>
                    </pic:pic>
                  </a:graphicData>
                </a:graphic>
              </wp:inline>
            </w:drawing>
          </w:r>
        </w:p>
        <w:p w:rsidR="002A56AB" w:rsidRPr="00C0477C" w:rsidRDefault="002A56AB" w:rsidP="002A56AB">
          <w:pPr>
            <w:pStyle w:val="Heading3"/>
          </w:pPr>
          <w:bookmarkStart w:id="18" w:name="_Ref414281105"/>
          <w:bookmarkStart w:id="19" w:name="_Toc436060152"/>
          <w:r w:rsidRPr="00C0477C">
            <w:t>Rebidding</w:t>
          </w:r>
          <w:bookmarkEnd w:id="18"/>
          <w:bookmarkEnd w:id="19"/>
        </w:p>
        <w:p w:rsidR="00340E02" w:rsidRDefault="00C667EC" w:rsidP="00C667EC">
          <w:r>
            <w:t xml:space="preserve">There was no </w:t>
          </w:r>
          <w:r w:rsidR="001A5038">
            <w:t xml:space="preserve">significant </w:t>
          </w:r>
          <w:r>
            <w:t>rebidding of capacity from low to high prices that contributed to the high price</w:t>
          </w:r>
          <w:r w:rsidR="00074360">
            <w:t>d outcomes</w:t>
          </w:r>
          <w:r>
            <w:t>.</w:t>
          </w:r>
          <w:r w:rsidR="00340E02">
            <w:t xml:space="preserve"> </w:t>
          </w:r>
          <w:r>
            <w:t xml:space="preserve">The significant rebidding that </w:t>
          </w:r>
          <w:r w:rsidR="00DB48CF">
            <w:t xml:space="preserve">affected </w:t>
          </w:r>
          <w:r>
            <w:t>the high price</w:t>
          </w:r>
          <w:r w:rsidR="00340E02">
            <w:t>s</w:t>
          </w:r>
          <w:r>
            <w:t xml:space="preserve"> was </w:t>
          </w:r>
          <w:r w:rsidR="00340E02">
            <w:t>the rebidding of</w:t>
          </w:r>
          <w:r>
            <w:t xml:space="preserve"> ramp down rates</w:t>
          </w:r>
          <w:r w:rsidR="00340E02">
            <w:t xml:space="preserve"> to the minimum allowed without a technical reason</w:t>
          </w:r>
          <w:r>
            <w:t>.</w:t>
          </w:r>
          <w:r w:rsidR="00E66CD4">
            <w:rPr>
              <w:rStyle w:val="FootnoteReference"/>
            </w:rPr>
            <w:footnoteReference w:id="2"/>
          </w:r>
        </w:p>
        <w:p w:rsidR="00C667EC" w:rsidRDefault="00C667EC" w:rsidP="00C667EC">
          <w:r>
            <w:t xml:space="preserve">In response to the constraint managing the Canberra to Upper Tumut line outage, just before the high prices occurred, Snowy Hydro rebid the ramp down rates of </w:t>
          </w:r>
          <w:r w:rsidR="00E66CD4">
            <w:t>Tumut 3, Upper Tumut and Guthega</w:t>
          </w:r>
          <w:r>
            <w:t xml:space="preserve"> down to </w:t>
          </w:r>
          <w:r w:rsidR="00E66CD4">
            <w:t>the minimum allowable</w:t>
          </w:r>
          <w:r>
            <w:t xml:space="preserve">. Similarly, towards the end of the high price event, when the constraint managing negative residues across the Vic-NSW interconnector was invoked, Origin reduced the ramp down rates of </w:t>
          </w:r>
          <w:r w:rsidR="00E66CD4">
            <w:t xml:space="preserve">its </w:t>
          </w:r>
          <w:r>
            <w:t>Uranquinty units</w:t>
          </w:r>
          <w:r w:rsidR="00E66CD4">
            <w:t>.</w:t>
          </w:r>
          <w:r>
            <w:t xml:space="preserve"> </w:t>
          </w:r>
        </w:p>
        <w:p w:rsidR="00C667EC" w:rsidRDefault="00C667EC" w:rsidP="00C667EC">
          <w:r>
            <w:fldChar w:fldCharType="begin"/>
          </w:r>
          <w:r>
            <w:instrText xml:space="preserve"> REF _Ref434483272 \h </w:instrText>
          </w:r>
          <w:r>
            <w:fldChar w:fldCharType="separate"/>
          </w:r>
          <w:r w:rsidR="00FE39F3">
            <w:t xml:space="preserve">Figure </w:t>
          </w:r>
          <w:r w:rsidR="00FE39F3">
            <w:rPr>
              <w:noProof/>
            </w:rPr>
            <w:t>4</w:t>
          </w:r>
          <w:r>
            <w:fldChar w:fldCharType="end"/>
          </w:r>
          <w:r>
            <w:t xml:space="preserve"> shows the </w:t>
          </w:r>
          <w:r w:rsidR="001D3356">
            <w:t xml:space="preserve">cumulative </w:t>
          </w:r>
          <w:r>
            <w:t xml:space="preserve">ramp down rate in MW/min of Tumut 3, Upper Tumut, Guthega and Uranquinty. At times these units were being ramped down out of merit </w:t>
          </w:r>
          <w:r>
            <w:lastRenderedPageBreak/>
            <w:t>order</w:t>
          </w:r>
          <w:r w:rsidR="00340E02">
            <w:t>.</w:t>
          </w:r>
          <w:r>
            <w:t xml:space="preserve"> Th</w:t>
          </w:r>
          <w:r w:rsidR="00637D55">
            <w:t>e reduction in offered ramp rates</w:t>
          </w:r>
          <w:r>
            <w:t xml:space="preserve"> prolonged the effect of the constraint</w:t>
          </w:r>
          <w:r w:rsidR="00637D55">
            <w:t xml:space="preserve"> by</w:t>
          </w:r>
          <w:r>
            <w:t xml:space="preserve"> taking longer to ramp the units down to the point where the constraint is relieved and prices reduce.</w:t>
          </w:r>
        </w:p>
        <w:p w:rsidR="00C667EC" w:rsidRDefault="00C667EC" w:rsidP="00C667EC">
          <w:pPr>
            <w:pStyle w:val="Caption"/>
          </w:pPr>
          <w:bookmarkStart w:id="20" w:name="_Ref434483272"/>
          <w:r>
            <w:t xml:space="preserve">Figure </w:t>
          </w:r>
          <w:fldSimple w:instr=" SEQ Figure \* ARABIC ">
            <w:r w:rsidR="00FE39F3">
              <w:rPr>
                <w:noProof/>
              </w:rPr>
              <w:t>4</w:t>
            </w:r>
          </w:fldSimple>
          <w:bookmarkEnd w:id="20"/>
          <w:r>
            <w:t xml:space="preserve">: </w:t>
          </w:r>
          <w:r w:rsidR="00FA2C62">
            <w:t xml:space="preserve">Cumulative </w:t>
          </w:r>
          <w:r w:rsidR="00FA2C62">
            <w:rPr>
              <w:noProof/>
            </w:rPr>
            <w:t xml:space="preserve">ramp </w:t>
          </w:r>
          <w:r>
            <w:rPr>
              <w:noProof/>
            </w:rPr>
            <w:t>down rates for Tumut 3, Upper Tumut</w:t>
          </w:r>
          <w:r w:rsidR="00FA2C62">
            <w:rPr>
              <w:noProof/>
            </w:rPr>
            <w:t>,</w:t>
          </w:r>
          <w:r>
            <w:rPr>
              <w:noProof/>
            </w:rPr>
            <w:t xml:space="preserve"> Guthega</w:t>
          </w:r>
          <w:r w:rsidR="00FA2C62" w:rsidRPr="00FA2C62">
            <w:rPr>
              <w:noProof/>
            </w:rPr>
            <w:t xml:space="preserve"> </w:t>
          </w:r>
          <w:r w:rsidR="00FA2C62">
            <w:rPr>
              <w:noProof/>
            </w:rPr>
            <w:t>and Uranquinty</w:t>
          </w:r>
          <w:r w:rsidR="00D00A4E">
            <w:rPr>
              <w:noProof/>
            </w:rPr>
            <w:t>.</w:t>
          </w:r>
        </w:p>
        <w:p w:rsidR="00C667EC" w:rsidRDefault="00A6015B" w:rsidP="00C667EC">
          <w:r w:rsidRPr="00A6015B">
            <w:rPr>
              <w:noProof/>
              <w:lang w:eastAsia="en-AU"/>
            </w:rPr>
            <w:drawing>
              <wp:inline distT="0" distB="0" distL="0" distR="0" wp14:anchorId="5E45F3E3" wp14:editId="3CAA362A">
                <wp:extent cx="5382895" cy="3091997"/>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3091997"/>
                        </a:xfrm>
                        <a:prstGeom prst="rect">
                          <a:avLst/>
                        </a:prstGeom>
                        <a:noFill/>
                        <a:ln>
                          <a:noFill/>
                        </a:ln>
                      </pic:spPr>
                    </pic:pic>
                  </a:graphicData>
                </a:graphic>
              </wp:inline>
            </w:drawing>
          </w:r>
        </w:p>
        <w:p w:rsidR="00FA2C62" w:rsidRPr="003127EA" w:rsidRDefault="00FA2C62" w:rsidP="00FA2C62">
          <w:pPr>
            <w:pStyle w:val="Note"/>
            <w:rPr>
              <w:rStyle w:val="Emphasis"/>
            </w:rPr>
          </w:pPr>
          <w:r w:rsidRPr="003127EA">
            <w:rPr>
              <w:rStyle w:val="Emphasis"/>
            </w:rPr>
            <w:t xml:space="preserve">Note: </w:t>
          </w:r>
          <w:r>
            <w:rPr>
              <w:rStyle w:val="Emphasis"/>
            </w:rPr>
            <w:t>Ramp rates as per offer</w:t>
          </w:r>
        </w:p>
        <w:p w:rsidR="003250C8" w:rsidRDefault="002A56AB" w:rsidP="002A56AB">
          <w:r>
            <w:fldChar w:fldCharType="begin"/>
          </w:r>
          <w:r>
            <w:instrText xml:space="preserve"> REF _Ref433793324 \h </w:instrText>
          </w:r>
          <w:r>
            <w:fldChar w:fldCharType="separate"/>
          </w:r>
          <w:r w:rsidR="00FE39F3">
            <w:t xml:space="preserve">Figure </w:t>
          </w:r>
          <w:r w:rsidR="00FE39F3">
            <w:rPr>
              <w:noProof/>
            </w:rPr>
            <w:t>5</w:t>
          </w:r>
          <w:r>
            <w:fldChar w:fldCharType="end"/>
          </w:r>
          <w:r>
            <w:t xml:space="preserve"> </w:t>
          </w:r>
          <w:r w:rsidRPr="00624E14">
            <w:t>shows the</w:t>
          </w:r>
          <w:r w:rsidRPr="001E00C5">
            <w:t xml:space="preserve"> closing bids for participants in </w:t>
          </w:r>
          <w:r>
            <w:t>New South Wales as well as</w:t>
          </w:r>
          <w:r w:rsidRPr="001E00C5">
            <w:t xml:space="preserve"> </w:t>
          </w:r>
          <w:r w:rsidR="003250C8">
            <w:t xml:space="preserve">the total </w:t>
          </w:r>
          <w:r w:rsidRPr="001E00C5">
            <w:t xml:space="preserve">generation output </w:t>
          </w:r>
          <w:r w:rsidR="003250C8">
            <w:t xml:space="preserve">in the region </w:t>
          </w:r>
          <w:r w:rsidRPr="001E00C5">
            <w:t xml:space="preserve">and the </w:t>
          </w:r>
          <w:r>
            <w:t>dispatch</w:t>
          </w:r>
          <w:r w:rsidRPr="001E00C5">
            <w:t xml:space="preserve"> price.</w:t>
          </w:r>
          <w:r w:rsidR="003250C8" w:rsidRPr="003250C8">
            <w:t xml:space="preserve"> </w:t>
          </w:r>
        </w:p>
        <w:p w:rsidR="002A56AB" w:rsidRDefault="006E2593" w:rsidP="002A56AB">
          <w:pPr>
            <w:pStyle w:val="Caption"/>
          </w:pPr>
          <w:bookmarkStart w:id="21" w:name="_Ref433793324"/>
          <w:bookmarkStart w:id="22" w:name="_Ref433793316"/>
          <w:r>
            <w:t>Figure</w:t>
          </w:r>
          <w:r w:rsidR="002A56AB">
            <w:t xml:space="preserve"> </w:t>
          </w:r>
          <w:fldSimple w:instr=" SEQ Figure \* ARABIC ">
            <w:r w:rsidR="00FE39F3">
              <w:rPr>
                <w:noProof/>
              </w:rPr>
              <w:t>5</w:t>
            </w:r>
          </w:fldSimple>
          <w:bookmarkEnd w:id="21"/>
          <w:r w:rsidR="002A56AB">
            <w:t xml:space="preserve">: </w:t>
          </w:r>
          <w:r w:rsidR="002A56AB">
            <w:rPr>
              <w:noProof/>
            </w:rPr>
            <w:t>Closing bids</w:t>
          </w:r>
          <w:bookmarkEnd w:id="22"/>
          <w:r w:rsidR="00637D55">
            <w:rPr>
              <w:noProof/>
            </w:rPr>
            <w:t xml:space="preserve"> of N</w:t>
          </w:r>
          <w:r w:rsidR="00D369A2">
            <w:rPr>
              <w:noProof/>
            </w:rPr>
            <w:t xml:space="preserve">ew </w:t>
          </w:r>
          <w:r w:rsidR="00637D55">
            <w:rPr>
              <w:noProof/>
            </w:rPr>
            <w:t>S</w:t>
          </w:r>
          <w:r w:rsidR="00D369A2">
            <w:rPr>
              <w:noProof/>
            </w:rPr>
            <w:t xml:space="preserve">outh </w:t>
          </w:r>
          <w:r w:rsidR="00637D55">
            <w:rPr>
              <w:noProof/>
            </w:rPr>
            <w:t>W</w:t>
          </w:r>
          <w:r w:rsidR="00D369A2">
            <w:rPr>
              <w:noProof/>
            </w:rPr>
            <w:t>ales</w:t>
          </w:r>
          <w:r w:rsidR="00637D55">
            <w:rPr>
              <w:noProof/>
            </w:rPr>
            <w:t xml:space="preserve"> generators, output and spot price</w:t>
          </w:r>
        </w:p>
        <w:p w:rsidR="002A56AB" w:rsidRDefault="001E6D30" w:rsidP="002A56AB">
          <w:r w:rsidRPr="001E6D30">
            <w:rPr>
              <w:noProof/>
              <w:lang w:eastAsia="en-AU"/>
            </w:rPr>
            <w:drawing>
              <wp:inline distT="0" distB="0" distL="0" distR="0" wp14:anchorId="68ECB5E8" wp14:editId="5C0B7E84">
                <wp:extent cx="5382895" cy="2826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2826945"/>
                        </a:xfrm>
                        <a:prstGeom prst="rect">
                          <a:avLst/>
                        </a:prstGeom>
                        <a:noFill/>
                        <a:ln>
                          <a:noFill/>
                        </a:ln>
                      </pic:spPr>
                    </pic:pic>
                  </a:graphicData>
                </a:graphic>
              </wp:inline>
            </w:drawing>
          </w:r>
        </w:p>
        <w:p w:rsidR="00C667EC" w:rsidRDefault="005916B4" w:rsidP="00C667EC">
          <w:r>
            <w:lastRenderedPageBreak/>
            <w:t xml:space="preserve">There were two rebids made by </w:t>
          </w:r>
          <w:r w:rsidR="00C667EC">
            <w:t xml:space="preserve">Snowy Hydro </w:t>
          </w:r>
          <w:r>
            <w:t xml:space="preserve">and Origin which </w:t>
          </w:r>
          <w:r w:rsidR="00C667EC">
            <w:t>reposition</w:t>
          </w:r>
          <w:r>
            <w:t>ed</w:t>
          </w:r>
          <w:r w:rsidR="00C667EC">
            <w:t xml:space="preserve"> capacity from high prices down to the price floor</w:t>
          </w:r>
          <w:r>
            <w:t xml:space="preserve">. These rebids caused </w:t>
          </w:r>
          <w:r w:rsidR="00637D55">
            <w:t xml:space="preserve">a reduction in spot </w:t>
          </w:r>
          <w:r>
            <w:t>price back to aro</w:t>
          </w:r>
          <w:r w:rsidR="004F7989">
            <w:t>u</w:t>
          </w:r>
          <w:r>
            <w:t>nd $40</w:t>
          </w:r>
          <w:r w:rsidR="004F7989">
            <w:t xml:space="preserve">/MWh as shown in </w:t>
          </w:r>
          <w:r w:rsidR="004F7989">
            <w:fldChar w:fldCharType="begin"/>
          </w:r>
          <w:r w:rsidR="004F7989">
            <w:instrText xml:space="preserve"> REF _Ref433793324 \h </w:instrText>
          </w:r>
          <w:r w:rsidR="004F7989">
            <w:fldChar w:fldCharType="separate"/>
          </w:r>
          <w:r w:rsidR="00FE39F3">
            <w:t xml:space="preserve">Figure </w:t>
          </w:r>
          <w:r w:rsidR="00FE39F3">
            <w:rPr>
              <w:noProof/>
            </w:rPr>
            <w:t>5</w:t>
          </w:r>
          <w:r w:rsidR="004F7989">
            <w:fldChar w:fldCharType="end"/>
          </w:r>
          <w:r>
            <w:t>.</w:t>
          </w:r>
        </w:p>
        <w:p w:rsidR="004F7989" w:rsidRDefault="004F7989" w:rsidP="004F7989">
          <w:r>
            <w:t>The rebids considered to have been material to the event are listed in Appendix</w:t>
          </w:r>
          <w:r w:rsidR="00637D55">
            <w:t> </w:t>
          </w:r>
          <w:r>
            <w:t xml:space="preserve">A. </w:t>
          </w:r>
        </w:p>
        <w:p w:rsidR="00C667EC" w:rsidRDefault="002A56AB" w:rsidP="002A56AB">
          <w:r w:rsidRPr="007462CD">
            <w:t xml:space="preserve">Appendix B details the generators involved in setting the price during the high-price periods, and how that price was determined by the market systems. </w:t>
          </w:r>
        </w:p>
        <w:p w:rsidR="002A56AB" w:rsidRDefault="002A56AB" w:rsidP="002A56AB">
          <w:r w:rsidRPr="007462CD">
            <w:t xml:space="preserve">The closing bids for all participants in </w:t>
          </w:r>
          <w:r w:rsidR="00A6015B">
            <w:t xml:space="preserve">New South Wales </w:t>
          </w:r>
          <w:r w:rsidRPr="007462CD">
            <w:t>with capacity priced at or above $5000/MWh for the high-price periods are set out in Appendix C</w:t>
          </w:r>
          <w:r>
            <w:t>.</w:t>
          </w:r>
        </w:p>
        <w:p w:rsidR="00E1222B" w:rsidRPr="00E13C7D" w:rsidRDefault="00637D55" w:rsidP="00E13C7D">
          <w:pPr>
            <w:pStyle w:val="Heading3"/>
          </w:pPr>
          <w:bookmarkStart w:id="23" w:name="_Toc436060153"/>
          <w:r>
            <w:t>Forecast d</w:t>
          </w:r>
          <w:r w:rsidRPr="00E13C7D">
            <w:t>emand</w:t>
          </w:r>
          <w:bookmarkEnd w:id="23"/>
        </w:p>
        <w:p w:rsidR="00594C1B" w:rsidRDefault="00594C1B" w:rsidP="00DB7186">
          <w:r>
            <w:t xml:space="preserve">Actual </w:t>
          </w:r>
          <w:r w:rsidR="002C34D8">
            <w:t>New</w:t>
          </w:r>
          <w:r w:rsidR="00D369A2">
            <w:t> </w:t>
          </w:r>
          <w:r w:rsidR="002C34D8">
            <w:t>South</w:t>
          </w:r>
          <w:r w:rsidR="00D369A2">
            <w:t> </w:t>
          </w:r>
          <w:r w:rsidR="002C34D8">
            <w:t xml:space="preserve">Wales </w:t>
          </w:r>
          <w:r>
            <w:t xml:space="preserve">demand had been trending close to </w:t>
          </w:r>
          <w:r w:rsidR="004E49C3">
            <w:t xml:space="preserve">that which had been </w:t>
          </w:r>
          <w:r>
            <w:t xml:space="preserve">forecast </w:t>
          </w:r>
          <w:r w:rsidR="004E49C3">
            <w:t xml:space="preserve">by AEMO </w:t>
          </w:r>
          <w:r>
            <w:t>for the t</w:t>
          </w:r>
          <w:r w:rsidR="00C667EC">
            <w:t>wo</w:t>
          </w:r>
          <w:r>
            <w:t xml:space="preserve"> hours preceding 5.30 pm but</w:t>
          </w:r>
          <w:r w:rsidR="00637D55">
            <w:t xml:space="preserve"> then</w:t>
          </w:r>
          <w:r>
            <w:t xml:space="preserve"> started to deviate more markedly </w:t>
          </w:r>
          <w:r w:rsidR="004E49C3">
            <w:t>from forecast</w:t>
          </w:r>
          <w:r>
            <w:t xml:space="preserve">. During the </w:t>
          </w:r>
          <w:r w:rsidR="00637D55">
            <w:t xml:space="preserve">high price </w:t>
          </w:r>
          <w:r w:rsidRPr="00931A04">
            <w:t>trading intervals</w:t>
          </w:r>
          <w:r>
            <w:t xml:space="preserve">, </w:t>
          </w:r>
          <w:r w:rsidRPr="00931A04">
            <w:t xml:space="preserve">actual demand was between </w:t>
          </w:r>
          <w:r w:rsidR="00074360" w:rsidRPr="00931A04">
            <w:t>22</w:t>
          </w:r>
          <w:r w:rsidR="00074360">
            <w:t>0</w:t>
          </w:r>
          <w:r w:rsidR="00074360" w:rsidRPr="00931A04">
            <w:t> </w:t>
          </w:r>
          <w:r w:rsidRPr="00931A04">
            <w:t>MW and 28</w:t>
          </w:r>
          <w:r w:rsidR="00074360">
            <w:t>0</w:t>
          </w:r>
          <w:r w:rsidRPr="00931A04">
            <w:t xml:space="preserve"> MW higher than forecast four hours ahead. </w:t>
          </w:r>
          <w:r>
            <w:t xml:space="preserve"> </w:t>
          </w:r>
        </w:p>
        <w:p w:rsidR="00DB7186" w:rsidRPr="00AD5E0B" w:rsidRDefault="00637D55" w:rsidP="00DB7186">
          <w:r>
            <w:t xml:space="preserve">As illustrated by </w:t>
          </w:r>
          <w:r>
            <w:fldChar w:fldCharType="begin"/>
          </w:r>
          <w:r>
            <w:instrText xml:space="preserve"> REF _Ref414281163 \h </w:instrText>
          </w:r>
          <w:r>
            <w:fldChar w:fldCharType="separate"/>
          </w:r>
          <w:r w:rsidR="00FE39F3">
            <w:t xml:space="preserve">Figure </w:t>
          </w:r>
          <w:r w:rsidR="00FE39F3">
            <w:rPr>
              <w:noProof/>
            </w:rPr>
            <w:t>2</w:t>
          </w:r>
          <w:r>
            <w:fldChar w:fldCharType="end"/>
          </w:r>
          <w:r>
            <w:t xml:space="preserve">, </w:t>
          </w:r>
          <w:r w:rsidR="00C27CBF">
            <w:t>a steep supply curve combined</w:t>
          </w:r>
          <w:r w:rsidR="00C27CBF" w:rsidDel="00C27CBF">
            <w:t xml:space="preserve"> </w:t>
          </w:r>
          <w:r w:rsidR="00C27CBF">
            <w:t>with</w:t>
          </w:r>
          <w:r w:rsidR="00C27CBF" w:rsidDel="00C27CBF">
            <w:t xml:space="preserve"> </w:t>
          </w:r>
          <w:r w:rsidR="00AD5E0B">
            <w:t xml:space="preserve">demand forecast errors </w:t>
          </w:r>
          <w:r w:rsidR="00F639C4">
            <w:t xml:space="preserve">could </w:t>
          </w:r>
          <w:r w:rsidR="0008415A">
            <w:t>materially impact the accuracy of</w:t>
          </w:r>
          <w:r w:rsidR="00F639C4">
            <w:t xml:space="preserve"> price forecasts. </w:t>
          </w:r>
          <w:r w:rsidR="00AD5E0B" w:rsidRPr="00AD5E0B">
            <w:fldChar w:fldCharType="begin"/>
          </w:r>
          <w:r w:rsidR="00AD5E0B" w:rsidRPr="00AD5E0B">
            <w:instrText xml:space="preserve"> REF _Ref434395483 \h </w:instrText>
          </w:r>
          <w:r w:rsidR="00AD5E0B">
            <w:instrText xml:space="preserve"> \* MERGEFORMAT </w:instrText>
          </w:r>
          <w:r w:rsidR="00AD5E0B" w:rsidRPr="00AD5E0B">
            <w:fldChar w:fldCharType="separate"/>
          </w:r>
          <w:r w:rsidR="00FE39F3">
            <w:t xml:space="preserve">Figure </w:t>
          </w:r>
          <w:r w:rsidR="00FE39F3">
            <w:rPr>
              <w:noProof/>
            </w:rPr>
            <w:t>6</w:t>
          </w:r>
          <w:r w:rsidR="00AD5E0B" w:rsidRPr="00AD5E0B">
            <w:fldChar w:fldCharType="end"/>
          </w:r>
          <w:r w:rsidR="00BD3D5C" w:rsidRPr="00AD5E0B">
            <w:t xml:space="preserve"> </w:t>
          </w:r>
          <w:r w:rsidR="00DB7186" w:rsidRPr="00AD5E0B">
            <w:t>shows actual demand</w:t>
          </w:r>
          <w:r w:rsidR="0008415A">
            <w:t xml:space="preserve"> and</w:t>
          </w:r>
          <w:r w:rsidR="00BC794B" w:rsidRPr="00AD5E0B">
            <w:t xml:space="preserve"> forecast demand</w:t>
          </w:r>
          <w:r w:rsidR="003F3477" w:rsidRPr="00AD5E0B">
            <w:t xml:space="preserve"> </w:t>
          </w:r>
          <w:r w:rsidR="00DB7186" w:rsidRPr="00AD5E0B">
            <w:t>over several</w:t>
          </w:r>
          <w:r w:rsidR="00AD5E0B" w:rsidRPr="00AD5E0B">
            <w:t xml:space="preserve"> time frames</w:t>
          </w:r>
          <w:r w:rsidR="00DB7186" w:rsidRPr="00AD5E0B">
            <w:t xml:space="preserve">. </w:t>
          </w:r>
          <w:r w:rsidR="00F639C4">
            <w:t xml:space="preserve">It shows that actual demand was higher than </w:t>
          </w:r>
          <w:r w:rsidR="0008415A">
            <w:t xml:space="preserve">what </w:t>
          </w:r>
          <w:r w:rsidR="00F639C4">
            <w:t xml:space="preserve">was forecast in all timeframes and the </w:t>
          </w:r>
          <w:r w:rsidR="0008415A">
            <w:t xml:space="preserve">demand </w:t>
          </w:r>
          <w:r w:rsidR="00F639C4">
            <w:t xml:space="preserve">error </w:t>
          </w:r>
          <w:r w:rsidR="0008415A">
            <w:t>increased in forecasts made</w:t>
          </w:r>
          <w:r w:rsidR="00F639C4">
            <w:t xml:space="preserve"> closer to the actual time. For example</w:t>
          </w:r>
          <w:r w:rsidR="00A55E57">
            <w:t>,</w:t>
          </w:r>
          <w:r w:rsidR="00F639C4">
            <w:t xml:space="preserve"> the demand </w:t>
          </w:r>
          <w:bookmarkStart w:id="24" w:name="_GoBack"/>
          <w:r w:rsidR="00F639C4">
            <w:t>error</w:t>
          </w:r>
          <w:bookmarkEnd w:id="24"/>
          <w:r w:rsidR="00F639C4">
            <w:t xml:space="preserve"> one hour ahead was 316 MW and 466 MW for the 6.30 pm and 7 pm trading intervals while 12 hours ahead the demand errors were </w:t>
          </w:r>
          <w:r w:rsidR="004F0977">
            <w:t>240 </w:t>
          </w:r>
          <w:r w:rsidR="00F639C4">
            <w:t xml:space="preserve">MW and </w:t>
          </w:r>
          <w:r w:rsidR="004F0977">
            <w:t>308 </w:t>
          </w:r>
          <w:r w:rsidR="00F639C4">
            <w:t>MW respectively.</w:t>
          </w:r>
        </w:p>
        <w:p w:rsidR="00AD5E0B" w:rsidRDefault="00AD5E0B" w:rsidP="00AD5E0B">
          <w:pPr>
            <w:pStyle w:val="Caption"/>
          </w:pPr>
          <w:bookmarkStart w:id="25" w:name="_Ref434395483"/>
          <w:r>
            <w:t xml:space="preserve">Figure </w:t>
          </w:r>
          <w:fldSimple w:instr=" SEQ Figure \* ARABIC ">
            <w:r w:rsidR="00FE39F3">
              <w:rPr>
                <w:noProof/>
              </w:rPr>
              <w:t>6</w:t>
            </w:r>
          </w:fldSimple>
          <w:bookmarkEnd w:id="25"/>
          <w:r>
            <w:t xml:space="preserve">: </w:t>
          </w:r>
          <w:r>
            <w:rPr>
              <w:noProof/>
            </w:rPr>
            <w:t>Actual and forecast demand</w:t>
          </w:r>
        </w:p>
        <w:p w:rsidR="004E49C3" w:rsidRDefault="00AD5E0B" w:rsidP="004E49C3">
          <w:pPr>
            <w:rPr>
              <w:rStyle w:val="Bold"/>
              <w:b w:val="0"/>
            </w:rPr>
          </w:pPr>
          <w:r w:rsidRPr="00AD5E0B">
            <w:rPr>
              <w:noProof/>
              <w:lang w:eastAsia="en-AU"/>
            </w:rPr>
            <w:drawing>
              <wp:inline distT="0" distB="0" distL="0" distR="0" wp14:anchorId="400163BF" wp14:editId="105C6F68">
                <wp:extent cx="5384799" cy="2578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2577188"/>
                        </a:xfrm>
                        <a:prstGeom prst="rect">
                          <a:avLst/>
                        </a:prstGeom>
                        <a:noFill/>
                        <a:ln>
                          <a:noFill/>
                        </a:ln>
                      </pic:spPr>
                    </pic:pic>
                  </a:graphicData>
                </a:graphic>
              </wp:inline>
            </w:drawing>
          </w:r>
        </w:p>
        <w:p w:rsidR="004E49C3" w:rsidRDefault="004E49C3" w:rsidP="004E49C3">
          <w:pPr>
            <w:rPr>
              <w:rStyle w:val="Bold"/>
              <w:b w:val="0"/>
            </w:rPr>
          </w:pPr>
          <w:r>
            <w:rPr>
              <w:rStyle w:val="Bold"/>
              <w:b w:val="0"/>
            </w:rPr>
            <w:t>F</w:t>
          </w:r>
          <w:r w:rsidRPr="000722EB">
            <w:rPr>
              <w:rStyle w:val="Bold"/>
              <w:b w:val="0"/>
            </w:rPr>
            <w:t xml:space="preserve">or </w:t>
          </w:r>
          <w:r w:rsidR="0008415A">
            <w:rPr>
              <w:rStyle w:val="Bold"/>
              <w:b w:val="0"/>
            </w:rPr>
            <w:t xml:space="preserve">the </w:t>
          </w:r>
          <w:r w:rsidRPr="000722EB">
            <w:rPr>
              <w:rStyle w:val="Bold"/>
              <w:b w:val="0"/>
            </w:rPr>
            <w:t>6.05 pm</w:t>
          </w:r>
          <w:r w:rsidR="0008415A">
            <w:rPr>
              <w:rStyle w:val="Bold"/>
              <w:b w:val="0"/>
            </w:rPr>
            <w:t xml:space="preserve"> dispatch interval</w:t>
          </w:r>
          <w:r>
            <w:rPr>
              <w:rStyle w:val="Bold"/>
              <w:b w:val="0"/>
            </w:rPr>
            <w:t>,</w:t>
          </w:r>
          <w:r w:rsidRPr="000722EB">
            <w:rPr>
              <w:rStyle w:val="Bold"/>
              <w:b w:val="0"/>
            </w:rPr>
            <w:t xml:space="preserve"> small changes in forecast </w:t>
          </w:r>
          <w:r w:rsidR="0008415A" w:rsidRPr="000722EB">
            <w:rPr>
              <w:rStyle w:val="Bold"/>
              <w:b w:val="0"/>
            </w:rPr>
            <w:t xml:space="preserve">demand </w:t>
          </w:r>
          <w:r w:rsidR="00F65F59">
            <w:rPr>
              <w:rStyle w:val="Bold"/>
              <w:b w:val="0"/>
            </w:rPr>
            <w:t>between</w:t>
          </w:r>
          <w:r w:rsidRPr="000722EB">
            <w:rPr>
              <w:rStyle w:val="Bold"/>
              <w:b w:val="0"/>
            </w:rPr>
            <w:t xml:space="preserve"> 5 </w:t>
          </w:r>
          <w:r w:rsidR="00F65F59">
            <w:rPr>
              <w:rStyle w:val="Bold"/>
              <w:b w:val="0"/>
            </w:rPr>
            <w:t>minute pre-</w:t>
          </w:r>
          <w:r w:rsidRPr="000722EB">
            <w:rPr>
              <w:rStyle w:val="Bold"/>
              <w:b w:val="0"/>
            </w:rPr>
            <w:t xml:space="preserve">dispatch </w:t>
          </w:r>
          <w:r w:rsidR="00F65F59">
            <w:rPr>
              <w:rStyle w:val="Bold"/>
              <w:b w:val="0"/>
            </w:rPr>
            <w:t>runs</w:t>
          </w:r>
          <w:r w:rsidR="00F65F59" w:rsidRPr="000722EB">
            <w:rPr>
              <w:rStyle w:val="Bold"/>
              <w:b w:val="0"/>
            </w:rPr>
            <w:t xml:space="preserve"> </w:t>
          </w:r>
          <w:r w:rsidRPr="000722EB">
            <w:rPr>
              <w:rStyle w:val="Bold"/>
              <w:b w:val="0"/>
            </w:rPr>
            <w:t>resulted in only minor changes in forecast</w:t>
          </w:r>
          <w:r w:rsidR="00F65F59" w:rsidRPr="00F65F59">
            <w:rPr>
              <w:rStyle w:val="Bold"/>
              <w:b w:val="0"/>
            </w:rPr>
            <w:t xml:space="preserve"> </w:t>
          </w:r>
          <w:r w:rsidR="00F65F59">
            <w:rPr>
              <w:rStyle w:val="Bold"/>
              <w:b w:val="0"/>
            </w:rPr>
            <w:t>price</w:t>
          </w:r>
          <w:r w:rsidRPr="000722EB">
            <w:rPr>
              <w:rStyle w:val="Bold"/>
              <w:b w:val="0"/>
            </w:rPr>
            <w:t>. Once forecast demand exceeded 9800 MW</w:t>
          </w:r>
          <w:r w:rsidR="00F65F59">
            <w:rPr>
              <w:rStyle w:val="Bold"/>
              <w:b w:val="0"/>
            </w:rPr>
            <w:t xml:space="preserve"> in the </w:t>
          </w:r>
          <w:r w:rsidR="00F65F59" w:rsidRPr="000722EB">
            <w:rPr>
              <w:rStyle w:val="Bold"/>
              <w:b w:val="0"/>
            </w:rPr>
            <w:t>6 pm</w:t>
          </w:r>
          <w:r w:rsidR="00F65F59">
            <w:rPr>
              <w:rStyle w:val="Bold"/>
              <w:b w:val="0"/>
            </w:rPr>
            <w:t xml:space="preserve"> pre-dispatch run</w:t>
          </w:r>
          <w:r w:rsidRPr="000722EB">
            <w:rPr>
              <w:rStyle w:val="Bold"/>
              <w:b w:val="0"/>
            </w:rPr>
            <w:t xml:space="preserve">, </w:t>
          </w:r>
          <w:r w:rsidR="00F65F59">
            <w:rPr>
              <w:rStyle w:val="Bold"/>
              <w:b w:val="0"/>
            </w:rPr>
            <w:t>a demand level which coincides with t</w:t>
          </w:r>
          <w:r w:rsidRPr="000722EB">
            <w:rPr>
              <w:rStyle w:val="Bold"/>
              <w:b w:val="0"/>
            </w:rPr>
            <w:t xml:space="preserve">he large step change in the adjusted supply curve in </w:t>
          </w:r>
          <w:r>
            <w:rPr>
              <w:rStyle w:val="Bold"/>
              <w:b w:val="0"/>
            </w:rPr>
            <w:fldChar w:fldCharType="begin"/>
          </w:r>
          <w:r>
            <w:rPr>
              <w:rStyle w:val="Bold"/>
              <w:b w:val="0"/>
            </w:rPr>
            <w:instrText xml:space="preserve"> REF _Ref414281163 \h </w:instrText>
          </w:r>
          <w:r>
            <w:rPr>
              <w:rStyle w:val="Bold"/>
              <w:b w:val="0"/>
            </w:rPr>
          </w:r>
          <w:r>
            <w:rPr>
              <w:rStyle w:val="Bold"/>
              <w:b w:val="0"/>
            </w:rPr>
            <w:fldChar w:fldCharType="separate"/>
          </w:r>
          <w:r w:rsidR="00FE39F3">
            <w:t xml:space="preserve">Figure </w:t>
          </w:r>
          <w:r w:rsidR="00FE39F3">
            <w:rPr>
              <w:noProof/>
            </w:rPr>
            <w:t>2</w:t>
          </w:r>
          <w:r>
            <w:rPr>
              <w:rStyle w:val="Bold"/>
              <w:b w:val="0"/>
            </w:rPr>
            <w:fldChar w:fldCharType="end"/>
          </w:r>
          <w:r>
            <w:rPr>
              <w:rStyle w:val="Bold"/>
              <w:b w:val="0"/>
            </w:rPr>
            <w:t xml:space="preserve">, </w:t>
          </w:r>
          <w:r w:rsidRPr="000722EB">
            <w:rPr>
              <w:rStyle w:val="Bold"/>
              <w:b w:val="0"/>
            </w:rPr>
            <w:t>the forecast price spiked to $13 450/MWh (</w:t>
          </w:r>
          <w:r w:rsidR="00F65F59">
            <w:rPr>
              <w:rStyle w:val="Bold"/>
              <w:b w:val="0"/>
            </w:rPr>
            <w:t>reflecting</w:t>
          </w:r>
          <w:r>
            <w:rPr>
              <w:rStyle w:val="Bold"/>
              <w:b w:val="0"/>
            </w:rPr>
            <w:t xml:space="preserve"> </w:t>
          </w:r>
          <w:r w:rsidRPr="000722EB">
            <w:rPr>
              <w:rStyle w:val="Bold"/>
              <w:b w:val="0"/>
            </w:rPr>
            <w:t xml:space="preserve">actual </w:t>
          </w:r>
          <w:r w:rsidR="00F65F59">
            <w:rPr>
              <w:rStyle w:val="Bold"/>
              <w:b w:val="0"/>
            </w:rPr>
            <w:t xml:space="preserve">dispatch </w:t>
          </w:r>
          <w:r w:rsidRPr="000722EB">
            <w:rPr>
              <w:rStyle w:val="Bold"/>
              <w:b w:val="0"/>
            </w:rPr>
            <w:t>price).</w:t>
          </w:r>
          <w:r>
            <w:rPr>
              <w:rStyle w:val="Bold"/>
              <w:b w:val="0"/>
            </w:rPr>
            <w:t xml:space="preserve">  </w:t>
          </w:r>
        </w:p>
        <w:p w:rsidR="004E49C3" w:rsidRPr="000722EB" w:rsidRDefault="004E49C3" w:rsidP="004E49C3">
          <w:pPr>
            <w:rPr>
              <w:rStyle w:val="Bold"/>
              <w:b w:val="0"/>
            </w:rPr>
          </w:pPr>
          <w:r>
            <w:rPr>
              <w:rStyle w:val="Bold"/>
              <w:b w:val="0"/>
            </w:rPr>
            <w:lastRenderedPageBreak/>
            <w:fldChar w:fldCharType="begin"/>
          </w:r>
          <w:r>
            <w:rPr>
              <w:rStyle w:val="Bold"/>
              <w:b w:val="0"/>
            </w:rPr>
            <w:instrText xml:space="preserve"> REF _Ref435737902 \h </w:instrText>
          </w:r>
          <w:r>
            <w:rPr>
              <w:rStyle w:val="Bold"/>
              <w:b w:val="0"/>
            </w:rPr>
          </w:r>
          <w:r>
            <w:rPr>
              <w:rStyle w:val="Bold"/>
              <w:b w:val="0"/>
            </w:rPr>
            <w:fldChar w:fldCharType="separate"/>
          </w:r>
          <w:r w:rsidR="00FE39F3">
            <w:t xml:space="preserve">Table </w:t>
          </w:r>
          <w:r w:rsidR="00FE39F3">
            <w:rPr>
              <w:noProof/>
            </w:rPr>
            <w:t>3</w:t>
          </w:r>
          <w:r>
            <w:rPr>
              <w:rStyle w:val="Bold"/>
              <w:b w:val="0"/>
            </w:rPr>
            <w:fldChar w:fldCharType="end"/>
          </w:r>
          <w:r>
            <w:rPr>
              <w:rStyle w:val="Bold"/>
              <w:b w:val="0"/>
            </w:rPr>
            <w:t xml:space="preserve"> lists the demand forecast</w:t>
          </w:r>
          <w:r w:rsidR="0008415A">
            <w:rPr>
              <w:rStyle w:val="Bold"/>
              <w:b w:val="0"/>
            </w:rPr>
            <w:t>s</w:t>
          </w:r>
          <w:r>
            <w:rPr>
              <w:rStyle w:val="Bold"/>
              <w:b w:val="0"/>
            </w:rPr>
            <w:t xml:space="preserve"> made by AEMO for the 6.05 pm dispatch interval in the </w:t>
          </w:r>
          <w:r w:rsidR="0008415A">
            <w:rPr>
              <w:rStyle w:val="Bold"/>
              <w:b w:val="0"/>
            </w:rPr>
            <w:t xml:space="preserve">previous </w:t>
          </w:r>
          <w:r>
            <w:rPr>
              <w:rStyle w:val="Bold"/>
              <w:b w:val="0"/>
            </w:rPr>
            <w:t>5 minute pre</w:t>
          </w:r>
          <w:r w:rsidR="005916B4">
            <w:rPr>
              <w:rStyle w:val="Bold"/>
              <w:b w:val="0"/>
            </w:rPr>
            <w:t>-</w:t>
          </w:r>
          <w:r>
            <w:rPr>
              <w:rStyle w:val="Bold"/>
              <w:b w:val="0"/>
            </w:rPr>
            <w:t xml:space="preserve">dispatch </w:t>
          </w:r>
          <w:r w:rsidR="0008415A">
            <w:rPr>
              <w:rStyle w:val="Bold"/>
              <w:b w:val="0"/>
            </w:rPr>
            <w:t>runs</w:t>
          </w:r>
          <w:r>
            <w:rPr>
              <w:rStyle w:val="Bold"/>
              <w:b w:val="0"/>
            </w:rPr>
            <w:t>. The table shows that even as close as 10 minutes prior to the 6.05 pm dispatch interval the AEMO forecast was almost 110 MW below what actually occurred.</w:t>
          </w:r>
        </w:p>
        <w:p w:rsidR="00D67C0C" w:rsidRPr="004D2AB0" w:rsidRDefault="004D2AB0" w:rsidP="004D2AB0">
          <w:pPr>
            <w:pStyle w:val="Caption"/>
            <w:rPr>
              <w:rStyle w:val="Bold"/>
              <w:b/>
              <w:bCs/>
            </w:rPr>
          </w:pPr>
          <w:bookmarkStart w:id="26" w:name="_Ref435737902"/>
          <w:bookmarkStart w:id="27" w:name="_Ref435737898"/>
          <w:r>
            <w:t xml:space="preserve">Table </w:t>
          </w:r>
          <w:fldSimple w:instr=" SEQ Table \* ARABIC ">
            <w:r w:rsidR="00FE39F3">
              <w:rPr>
                <w:noProof/>
              </w:rPr>
              <w:t>3</w:t>
            </w:r>
          </w:fldSimple>
          <w:bookmarkEnd w:id="26"/>
          <w:r>
            <w:t xml:space="preserve">: </w:t>
          </w:r>
          <w:r w:rsidRPr="00D9189B">
            <w:t xml:space="preserve">Actual and forecast </w:t>
          </w:r>
          <w:r>
            <w:t xml:space="preserve">dispatch price and demand for </w:t>
          </w:r>
          <w:r w:rsidR="0008415A">
            <w:t xml:space="preserve">the </w:t>
          </w:r>
          <w:r>
            <w:t>6.05 pm</w:t>
          </w:r>
          <w:bookmarkEnd w:id="27"/>
          <w:r w:rsidR="0008415A">
            <w:t xml:space="preserve"> dispatch interval</w:t>
          </w:r>
        </w:p>
        <w:tbl>
          <w:tblPr>
            <w:tblStyle w:val="AERsummarytable"/>
            <w:tblW w:w="5951" w:type="dxa"/>
            <w:tblLook w:val="04A0" w:firstRow="1" w:lastRow="0" w:firstColumn="1" w:lastColumn="0" w:noHBand="0" w:noVBand="1"/>
          </w:tblPr>
          <w:tblGrid>
            <w:gridCol w:w="1291"/>
            <w:gridCol w:w="2552"/>
            <w:gridCol w:w="1060"/>
            <w:gridCol w:w="1048"/>
          </w:tblGrid>
          <w:tr w:rsidR="004D2AB0" w:rsidRPr="004D2AB0" w:rsidTr="000722EB">
            <w:trPr>
              <w:cnfStyle w:val="100000000000" w:firstRow="1" w:lastRow="0" w:firstColumn="0" w:lastColumn="0" w:oddVBand="0" w:evenVBand="0" w:oddHBand="0" w:evenHBand="0" w:firstRowFirstColumn="0" w:firstRowLastColumn="0" w:lastRowFirstColumn="0" w:lastRowLastColumn="0"/>
              <w:trHeight w:val="300"/>
            </w:trPr>
            <w:tc>
              <w:tcPr>
                <w:tcW w:w="1291" w:type="dxa"/>
                <w:noWrap/>
                <w:vAlign w:val="center"/>
              </w:tcPr>
              <w:p w:rsidR="004D2AB0" w:rsidRPr="000722EB" w:rsidRDefault="002B6A68" w:rsidP="000722EB">
                <w:pPr>
                  <w:spacing w:before="0" w:after="0" w:line="240" w:lineRule="auto"/>
                  <w:jc w:val="center"/>
                  <w:rPr>
                    <w:rFonts w:asciiTheme="minorHAnsi" w:eastAsia="Times New Roman" w:hAnsiTheme="minorHAnsi" w:cstheme="minorHAnsi"/>
                    <w:color w:val="FFFFFF" w:themeColor="background2"/>
                    <w:lang w:eastAsia="en-AU"/>
                  </w:rPr>
                </w:pPr>
                <w:r w:rsidRPr="000722EB">
                  <w:rPr>
                    <w:rFonts w:asciiTheme="minorHAnsi" w:eastAsia="Times New Roman" w:hAnsiTheme="minorHAnsi" w:cstheme="minorHAnsi"/>
                    <w:color w:val="FFFFFF" w:themeColor="background2"/>
                    <w:lang w:eastAsia="en-AU"/>
                  </w:rPr>
                  <w:t>T</w:t>
                </w:r>
                <w:r w:rsidR="004D2AB0" w:rsidRPr="000722EB">
                  <w:rPr>
                    <w:rFonts w:asciiTheme="minorHAnsi" w:eastAsia="Times New Roman" w:hAnsiTheme="minorHAnsi" w:cstheme="minorHAnsi"/>
                    <w:color w:val="FFFFFF" w:themeColor="background2"/>
                    <w:lang w:eastAsia="en-AU"/>
                  </w:rPr>
                  <w:t>ime</w:t>
                </w:r>
              </w:p>
            </w:tc>
            <w:tc>
              <w:tcPr>
                <w:tcW w:w="2552" w:type="dxa"/>
                <w:noWrap/>
                <w:vAlign w:val="center"/>
              </w:tcPr>
              <w:p w:rsidR="004D2AB0" w:rsidRPr="000722EB" w:rsidRDefault="004D2AB0" w:rsidP="000722EB">
                <w:pPr>
                  <w:spacing w:before="0" w:after="0" w:line="240" w:lineRule="auto"/>
                  <w:jc w:val="center"/>
                  <w:rPr>
                    <w:rFonts w:asciiTheme="minorHAnsi" w:eastAsia="Times New Roman" w:hAnsiTheme="minorHAnsi" w:cstheme="minorHAnsi"/>
                    <w:color w:val="FFFFFF" w:themeColor="background2"/>
                    <w:lang w:eastAsia="en-AU"/>
                  </w:rPr>
                </w:pPr>
                <w:r w:rsidRPr="000722EB">
                  <w:rPr>
                    <w:rFonts w:asciiTheme="minorHAnsi" w:eastAsia="Times New Roman" w:hAnsiTheme="minorHAnsi" w:cstheme="minorHAnsi"/>
                    <w:color w:val="FFFFFF" w:themeColor="background2"/>
                    <w:lang w:eastAsia="en-AU"/>
                  </w:rPr>
                  <w:t>Forecast time</w:t>
                </w:r>
              </w:p>
            </w:tc>
            <w:tc>
              <w:tcPr>
                <w:tcW w:w="1060" w:type="dxa"/>
                <w:noWrap/>
                <w:vAlign w:val="center"/>
              </w:tcPr>
              <w:p w:rsidR="004D2AB0" w:rsidRPr="000722EB" w:rsidRDefault="004D2AB0" w:rsidP="000722EB">
                <w:pPr>
                  <w:spacing w:before="0" w:after="0" w:line="240" w:lineRule="auto"/>
                  <w:jc w:val="center"/>
                  <w:rPr>
                    <w:rFonts w:asciiTheme="minorHAnsi" w:eastAsia="Times New Roman" w:hAnsiTheme="minorHAnsi" w:cstheme="minorHAnsi"/>
                    <w:color w:val="FFFFFF" w:themeColor="background2"/>
                    <w:lang w:eastAsia="en-AU"/>
                  </w:rPr>
                </w:pPr>
                <w:r w:rsidRPr="000722EB">
                  <w:rPr>
                    <w:rFonts w:asciiTheme="minorHAnsi" w:eastAsia="Times New Roman" w:hAnsiTheme="minorHAnsi" w:cstheme="minorHAnsi"/>
                    <w:color w:val="FFFFFF" w:themeColor="background2"/>
                    <w:lang w:eastAsia="en-AU"/>
                  </w:rPr>
                  <w:t>Price</w:t>
                </w:r>
                <w:r w:rsidR="002B6A68" w:rsidRPr="000722EB">
                  <w:rPr>
                    <w:rFonts w:asciiTheme="minorHAnsi" w:eastAsia="Times New Roman" w:hAnsiTheme="minorHAnsi" w:cstheme="minorHAnsi"/>
                    <w:color w:val="FFFFFF" w:themeColor="background2"/>
                    <w:lang w:eastAsia="en-AU"/>
                  </w:rPr>
                  <w:t xml:space="preserve"> ($/MWh)</w:t>
                </w:r>
              </w:p>
            </w:tc>
            <w:tc>
              <w:tcPr>
                <w:tcW w:w="1048" w:type="dxa"/>
                <w:noWrap/>
                <w:vAlign w:val="center"/>
              </w:tcPr>
              <w:p w:rsidR="002B6A68" w:rsidRPr="000722EB" w:rsidRDefault="004D2AB0" w:rsidP="000722EB">
                <w:pPr>
                  <w:spacing w:before="0" w:after="0" w:line="240" w:lineRule="auto"/>
                  <w:jc w:val="center"/>
                  <w:rPr>
                    <w:rFonts w:asciiTheme="minorHAnsi" w:eastAsia="Times New Roman" w:hAnsiTheme="minorHAnsi" w:cstheme="minorHAnsi"/>
                    <w:color w:val="FFFFFF" w:themeColor="background2"/>
                    <w:lang w:eastAsia="en-AU"/>
                  </w:rPr>
                </w:pPr>
                <w:r w:rsidRPr="000722EB">
                  <w:rPr>
                    <w:rFonts w:asciiTheme="minorHAnsi" w:eastAsia="Times New Roman" w:hAnsiTheme="minorHAnsi" w:cstheme="minorHAnsi"/>
                    <w:color w:val="FFFFFF" w:themeColor="background2"/>
                    <w:lang w:eastAsia="en-AU"/>
                  </w:rPr>
                  <w:t>Demand</w:t>
                </w:r>
                <w:r w:rsidR="000722EB">
                  <w:rPr>
                    <w:rFonts w:asciiTheme="minorHAnsi" w:eastAsia="Times New Roman" w:hAnsiTheme="minorHAnsi" w:cstheme="minorHAnsi"/>
                    <w:color w:val="FFFFFF" w:themeColor="background2"/>
                    <w:lang w:eastAsia="en-AU"/>
                  </w:rPr>
                  <w:br/>
                </w:r>
                <w:r w:rsidR="002B6A68" w:rsidRPr="000722EB">
                  <w:rPr>
                    <w:rFonts w:asciiTheme="minorHAnsi" w:eastAsia="Times New Roman" w:hAnsiTheme="minorHAnsi" w:cstheme="minorHAnsi"/>
                    <w:color w:val="FFFFFF" w:themeColor="background2"/>
                    <w:lang w:eastAsia="en-AU"/>
                  </w:rPr>
                  <w:t>(MW)</w:t>
                </w:r>
              </w:p>
            </w:tc>
          </w:tr>
          <w:tr w:rsidR="004D2AB0" w:rsidRPr="004D2AB0" w:rsidTr="000722EB">
            <w:trPr>
              <w:cnfStyle w:val="000000100000" w:firstRow="0" w:lastRow="0" w:firstColumn="0" w:lastColumn="0" w:oddVBand="0" w:evenVBand="0" w:oddHBand="1" w:evenHBand="0" w:firstRowFirstColumn="0" w:firstRowLastColumn="0" w:lastRowFirstColumn="0" w:lastRowLastColumn="0"/>
              <w:trHeight w:val="300"/>
            </w:trPr>
            <w:tc>
              <w:tcPr>
                <w:tcW w:w="1291" w:type="dxa"/>
                <w:noWrap/>
                <w:vAlign w:val="center"/>
                <w:hideMark/>
              </w:tcPr>
              <w:p w:rsidR="004D2AB0" w:rsidRPr="004D2AB0" w:rsidRDefault="00761D3B" w:rsidP="000722EB">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6.05 pm</w:t>
                </w:r>
              </w:p>
            </w:tc>
            <w:tc>
              <w:tcPr>
                <w:tcW w:w="2552" w:type="dxa"/>
                <w:noWrap/>
                <w:vAlign w:val="center"/>
                <w:hideMark/>
              </w:tcPr>
              <w:p w:rsidR="004D2AB0" w:rsidRPr="004D2AB0" w:rsidRDefault="004D2AB0" w:rsidP="000722EB">
                <w:pPr>
                  <w:spacing w:after="0" w:line="240" w:lineRule="auto"/>
                  <w:jc w:val="left"/>
                  <w:rPr>
                    <w:rFonts w:asciiTheme="minorHAnsi" w:eastAsia="Times New Roman" w:hAnsiTheme="minorHAnsi" w:cstheme="minorHAnsi"/>
                    <w:color w:val="000000"/>
                    <w:lang w:eastAsia="en-AU"/>
                  </w:rPr>
                </w:pPr>
                <w:r w:rsidRPr="004D2AB0">
                  <w:rPr>
                    <w:rFonts w:asciiTheme="minorHAnsi" w:eastAsia="Times New Roman" w:hAnsiTheme="minorHAnsi" w:cstheme="minorHAnsi"/>
                    <w:color w:val="000000"/>
                    <w:lang w:eastAsia="en-AU"/>
                  </w:rPr>
                  <w:t>Actual</w:t>
                </w:r>
              </w:p>
            </w:tc>
            <w:tc>
              <w:tcPr>
                <w:tcW w:w="1060" w:type="dxa"/>
                <w:noWrap/>
                <w:vAlign w:val="center"/>
                <w:hideMark/>
              </w:tcPr>
              <w:p w:rsidR="004D2AB0" w:rsidRPr="004D2AB0" w:rsidRDefault="004D2AB0" w:rsidP="000722EB">
                <w:pPr>
                  <w:spacing w:after="0" w:line="240" w:lineRule="auto"/>
                  <w:jc w:val="center"/>
                  <w:rPr>
                    <w:rFonts w:asciiTheme="minorHAnsi" w:eastAsia="Times New Roman" w:hAnsiTheme="minorHAnsi" w:cstheme="minorHAnsi"/>
                    <w:color w:val="000000"/>
                    <w:lang w:eastAsia="en-AU"/>
                  </w:rPr>
                </w:pPr>
                <w:r w:rsidRPr="004D2AB0">
                  <w:rPr>
                    <w:rFonts w:asciiTheme="minorHAnsi" w:eastAsia="Times New Roman" w:hAnsiTheme="minorHAnsi" w:cstheme="minorHAnsi"/>
                    <w:color w:val="000000"/>
                    <w:lang w:eastAsia="en-AU"/>
                  </w:rPr>
                  <w:t>13</w:t>
                </w:r>
                <w:r w:rsidR="002B6A68">
                  <w:rPr>
                    <w:rFonts w:asciiTheme="minorHAnsi" w:eastAsia="Times New Roman" w:hAnsiTheme="minorHAnsi" w:cstheme="minorHAnsi"/>
                    <w:color w:val="000000"/>
                    <w:lang w:eastAsia="en-AU"/>
                  </w:rPr>
                  <w:t> </w:t>
                </w:r>
                <w:r w:rsidRPr="004D2AB0">
                  <w:rPr>
                    <w:rFonts w:asciiTheme="minorHAnsi" w:eastAsia="Times New Roman" w:hAnsiTheme="minorHAnsi" w:cstheme="minorHAnsi"/>
                    <w:color w:val="000000"/>
                    <w:lang w:eastAsia="en-AU"/>
                  </w:rPr>
                  <w:t>450</w:t>
                </w:r>
              </w:p>
            </w:tc>
            <w:tc>
              <w:tcPr>
                <w:tcW w:w="1048" w:type="dxa"/>
                <w:noWrap/>
                <w:vAlign w:val="center"/>
                <w:hideMark/>
              </w:tcPr>
              <w:p w:rsidR="004D2AB0" w:rsidRPr="004D2AB0" w:rsidRDefault="004D2AB0" w:rsidP="000722EB">
                <w:pPr>
                  <w:spacing w:after="0" w:line="240" w:lineRule="auto"/>
                  <w:jc w:val="center"/>
                  <w:rPr>
                    <w:rFonts w:asciiTheme="minorHAnsi" w:eastAsia="Times New Roman" w:hAnsiTheme="minorHAnsi" w:cstheme="minorHAnsi"/>
                    <w:color w:val="000000"/>
                    <w:lang w:eastAsia="en-AU"/>
                  </w:rPr>
                </w:pPr>
                <w:r w:rsidRPr="004D2AB0">
                  <w:rPr>
                    <w:rFonts w:asciiTheme="minorHAnsi" w:eastAsia="Times New Roman" w:hAnsiTheme="minorHAnsi" w:cstheme="minorHAnsi"/>
                    <w:color w:val="000000"/>
                    <w:lang w:eastAsia="en-AU"/>
                  </w:rPr>
                  <w:t>9802</w:t>
                </w:r>
              </w:p>
            </w:tc>
          </w:tr>
          <w:tr w:rsidR="004D2AB0" w:rsidRPr="004D2AB0" w:rsidTr="000722EB">
            <w:trPr>
              <w:cnfStyle w:val="000000010000" w:firstRow="0" w:lastRow="0" w:firstColumn="0" w:lastColumn="0" w:oddVBand="0" w:evenVBand="0" w:oddHBand="0" w:evenHBand="1" w:firstRowFirstColumn="0" w:firstRowLastColumn="0" w:lastRowFirstColumn="0" w:lastRowLastColumn="0"/>
              <w:trHeight w:val="300"/>
            </w:trPr>
            <w:tc>
              <w:tcPr>
                <w:tcW w:w="1291" w:type="dxa"/>
                <w:noWrap/>
                <w:vAlign w:val="center"/>
                <w:hideMark/>
              </w:tcPr>
              <w:p w:rsidR="004D2AB0" w:rsidRPr="004D2AB0" w:rsidRDefault="00761D3B" w:rsidP="000722EB">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6.05 pm</w:t>
                </w:r>
              </w:p>
            </w:tc>
            <w:tc>
              <w:tcPr>
                <w:tcW w:w="2552" w:type="dxa"/>
                <w:noWrap/>
                <w:vAlign w:val="center"/>
                <w:hideMark/>
              </w:tcPr>
              <w:p w:rsidR="004D2AB0" w:rsidRPr="004D2AB0" w:rsidRDefault="004D2AB0" w:rsidP="000722EB">
                <w:pPr>
                  <w:spacing w:after="0" w:line="240" w:lineRule="auto"/>
                  <w:jc w:val="left"/>
                  <w:rPr>
                    <w:rFonts w:asciiTheme="minorHAnsi" w:eastAsia="Times New Roman" w:hAnsiTheme="minorHAnsi" w:cstheme="minorHAnsi"/>
                    <w:color w:val="000000"/>
                    <w:lang w:eastAsia="en-AU"/>
                  </w:rPr>
                </w:pPr>
                <w:r w:rsidRPr="004D2AB0">
                  <w:rPr>
                    <w:rFonts w:asciiTheme="minorHAnsi" w:eastAsia="Times New Roman" w:hAnsiTheme="minorHAnsi" w:cstheme="minorHAnsi"/>
                    <w:color w:val="000000"/>
                    <w:lang w:eastAsia="en-AU"/>
                  </w:rPr>
                  <w:t>Published at 18:00:37</w:t>
                </w:r>
              </w:p>
            </w:tc>
            <w:tc>
              <w:tcPr>
                <w:tcW w:w="1060" w:type="dxa"/>
                <w:noWrap/>
                <w:vAlign w:val="center"/>
                <w:hideMark/>
              </w:tcPr>
              <w:p w:rsidR="004D2AB0" w:rsidRPr="004D2AB0" w:rsidRDefault="004D2AB0" w:rsidP="000722EB">
                <w:pPr>
                  <w:spacing w:after="0" w:line="240" w:lineRule="auto"/>
                  <w:jc w:val="center"/>
                  <w:rPr>
                    <w:rFonts w:asciiTheme="minorHAnsi" w:eastAsia="Times New Roman" w:hAnsiTheme="minorHAnsi" w:cstheme="minorHAnsi"/>
                    <w:color w:val="000000"/>
                    <w:lang w:eastAsia="en-AU"/>
                  </w:rPr>
                </w:pPr>
                <w:r w:rsidRPr="004D2AB0">
                  <w:rPr>
                    <w:rFonts w:asciiTheme="minorHAnsi" w:eastAsia="Times New Roman" w:hAnsiTheme="minorHAnsi" w:cstheme="minorHAnsi"/>
                    <w:color w:val="000000"/>
                    <w:lang w:eastAsia="en-AU"/>
                  </w:rPr>
                  <w:t>13</w:t>
                </w:r>
                <w:r w:rsidR="002B6A68">
                  <w:rPr>
                    <w:rFonts w:asciiTheme="minorHAnsi" w:eastAsia="Times New Roman" w:hAnsiTheme="minorHAnsi" w:cstheme="minorHAnsi"/>
                    <w:color w:val="000000"/>
                    <w:lang w:eastAsia="en-AU"/>
                  </w:rPr>
                  <w:t> </w:t>
                </w:r>
                <w:r w:rsidRPr="004D2AB0">
                  <w:rPr>
                    <w:rFonts w:asciiTheme="minorHAnsi" w:eastAsia="Times New Roman" w:hAnsiTheme="minorHAnsi" w:cstheme="minorHAnsi"/>
                    <w:color w:val="000000"/>
                    <w:lang w:eastAsia="en-AU"/>
                  </w:rPr>
                  <w:t>450</w:t>
                </w:r>
              </w:p>
            </w:tc>
            <w:tc>
              <w:tcPr>
                <w:tcW w:w="1048" w:type="dxa"/>
                <w:noWrap/>
                <w:vAlign w:val="center"/>
                <w:hideMark/>
              </w:tcPr>
              <w:p w:rsidR="004D2AB0" w:rsidRPr="004D2AB0" w:rsidRDefault="004D2AB0" w:rsidP="000722EB">
                <w:pPr>
                  <w:spacing w:after="0" w:line="240" w:lineRule="auto"/>
                  <w:jc w:val="center"/>
                  <w:rPr>
                    <w:rFonts w:asciiTheme="minorHAnsi" w:eastAsia="Times New Roman" w:hAnsiTheme="minorHAnsi" w:cstheme="minorHAnsi"/>
                    <w:color w:val="000000"/>
                    <w:lang w:eastAsia="en-AU"/>
                  </w:rPr>
                </w:pPr>
                <w:r w:rsidRPr="004D2AB0">
                  <w:rPr>
                    <w:rFonts w:asciiTheme="minorHAnsi" w:eastAsia="Times New Roman" w:hAnsiTheme="minorHAnsi" w:cstheme="minorHAnsi"/>
                    <w:color w:val="000000"/>
                    <w:lang w:eastAsia="en-AU"/>
                  </w:rPr>
                  <w:t>9803</w:t>
                </w:r>
              </w:p>
            </w:tc>
          </w:tr>
          <w:tr w:rsidR="004D2AB0" w:rsidRPr="004D2AB0" w:rsidTr="000722EB">
            <w:trPr>
              <w:cnfStyle w:val="000000100000" w:firstRow="0" w:lastRow="0" w:firstColumn="0" w:lastColumn="0" w:oddVBand="0" w:evenVBand="0" w:oddHBand="1" w:evenHBand="0" w:firstRowFirstColumn="0" w:firstRowLastColumn="0" w:lastRowFirstColumn="0" w:lastRowLastColumn="0"/>
              <w:trHeight w:val="300"/>
            </w:trPr>
            <w:tc>
              <w:tcPr>
                <w:tcW w:w="1291" w:type="dxa"/>
                <w:noWrap/>
                <w:vAlign w:val="center"/>
                <w:hideMark/>
              </w:tcPr>
              <w:p w:rsidR="004D2AB0" w:rsidRPr="004D2AB0" w:rsidRDefault="00761D3B" w:rsidP="000722EB">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6</w:t>
                </w:r>
                <w:r w:rsidR="00074360">
                  <w:rPr>
                    <w:rFonts w:asciiTheme="minorHAnsi" w:eastAsia="Times New Roman" w:hAnsiTheme="minorHAnsi" w:cstheme="minorHAnsi"/>
                    <w:color w:val="000000"/>
                    <w:lang w:eastAsia="en-AU"/>
                  </w:rPr>
                  <w:t>.00</w:t>
                </w:r>
                <w:r>
                  <w:rPr>
                    <w:rFonts w:asciiTheme="minorHAnsi" w:eastAsia="Times New Roman" w:hAnsiTheme="minorHAnsi" w:cstheme="minorHAnsi"/>
                    <w:color w:val="000000"/>
                    <w:lang w:eastAsia="en-AU"/>
                  </w:rPr>
                  <w:t xml:space="preserve"> pm</w:t>
                </w:r>
              </w:p>
            </w:tc>
            <w:tc>
              <w:tcPr>
                <w:tcW w:w="2552" w:type="dxa"/>
                <w:noWrap/>
                <w:vAlign w:val="center"/>
                <w:hideMark/>
              </w:tcPr>
              <w:p w:rsidR="004D2AB0" w:rsidRPr="004D2AB0" w:rsidRDefault="004D2AB0" w:rsidP="000722EB">
                <w:pPr>
                  <w:spacing w:after="0" w:line="240" w:lineRule="auto"/>
                  <w:jc w:val="left"/>
                  <w:rPr>
                    <w:rFonts w:asciiTheme="minorHAnsi" w:eastAsia="Times New Roman" w:hAnsiTheme="minorHAnsi" w:cstheme="minorHAnsi"/>
                    <w:color w:val="000000"/>
                    <w:lang w:eastAsia="en-AU"/>
                  </w:rPr>
                </w:pPr>
                <w:r w:rsidRPr="004D2AB0">
                  <w:rPr>
                    <w:rFonts w:asciiTheme="minorHAnsi" w:eastAsia="Times New Roman" w:hAnsiTheme="minorHAnsi" w:cstheme="minorHAnsi"/>
                    <w:color w:val="000000"/>
                    <w:lang w:eastAsia="en-AU"/>
                  </w:rPr>
                  <w:t>Published at 17:55:30</w:t>
                </w:r>
              </w:p>
            </w:tc>
            <w:tc>
              <w:tcPr>
                <w:tcW w:w="1060" w:type="dxa"/>
                <w:noWrap/>
                <w:vAlign w:val="center"/>
                <w:hideMark/>
              </w:tcPr>
              <w:p w:rsidR="004D2AB0" w:rsidRPr="004D2AB0" w:rsidRDefault="004D2AB0" w:rsidP="000722EB">
                <w:pPr>
                  <w:spacing w:after="0" w:line="240" w:lineRule="auto"/>
                  <w:jc w:val="center"/>
                  <w:rPr>
                    <w:rFonts w:asciiTheme="minorHAnsi" w:eastAsia="Times New Roman" w:hAnsiTheme="minorHAnsi" w:cstheme="minorHAnsi"/>
                    <w:color w:val="000000"/>
                    <w:lang w:eastAsia="en-AU"/>
                  </w:rPr>
                </w:pPr>
                <w:r w:rsidRPr="004D2AB0">
                  <w:rPr>
                    <w:rFonts w:asciiTheme="minorHAnsi" w:eastAsia="Times New Roman" w:hAnsiTheme="minorHAnsi" w:cstheme="minorHAnsi"/>
                    <w:color w:val="000000"/>
                    <w:lang w:eastAsia="en-AU"/>
                  </w:rPr>
                  <w:t>61.88</w:t>
                </w:r>
              </w:p>
            </w:tc>
            <w:tc>
              <w:tcPr>
                <w:tcW w:w="1048" w:type="dxa"/>
                <w:noWrap/>
                <w:vAlign w:val="center"/>
                <w:hideMark/>
              </w:tcPr>
              <w:p w:rsidR="004D2AB0" w:rsidRPr="004D2AB0" w:rsidRDefault="004D2AB0" w:rsidP="000722EB">
                <w:pPr>
                  <w:spacing w:after="0" w:line="240" w:lineRule="auto"/>
                  <w:jc w:val="center"/>
                  <w:rPr>
                    <w:rFonts w:asciiTheme="minorHAnsi" w:eastAsia="Times New Roman" w:hAnsiTheme="minorHAnsi" w:cstheme="minorHAnsi"/>
                    <w:color w:val="000000"/>
                    <w:lang w:eastAsia="en-AU"/>
                  </w:rPr>
                </w:pPr>
                <w:r w:rsidRPr="004D2AB0">
                  <w:rPr>
                    <w:rFonts w:asciiTheme="minorHAnsi" w:eastAsia="Times New Roman" w:hAnsiTheme="minorHAnsi" w:cstheme="minorHAnsi"/>
                    <w:color w:val="000000"/>
                    <w:lang w:eastAsia="en-AU"/>
                  </w:rPr>
                  <w:t>9694</w:t>
                </w:r>
              </w:p>
            </w:tc>
          </w:tr>
          <w:tr w:rsidR="004D2AB0" w:rsidRPr="004D2AB0" w:rsidTr="000722EB">
            <w:trPr>
              <w:cnfStyle w:val="000000010000" w:firstRow="0" w:lastRow="0" w:firstColumn="0" w:lastColumn="0" w:oddVBand="0" w:evenVBand="0" w:oddHBand="0" w:evenHBand="1" w:firstRowFirstColumn="0" w:firstRowLastColumn="0" w:lastRowFirstColumn="0" w:lastRowLastColumn="0"/>
              <w:trHeight w:val="300"/>
            </w:trPr>
            <w:tc>
              <w:tcPr>
                <w:tcW w:w="1291" w:type="dxa"/>
                <w:noWrap/>
                <w:vAlign w:val="center"/>
                <w:hideMark/>
              </w:tcPr>
              <w:p w:rsidR="004D2AB0" w:rsidRPr="004D2AB0" w:rsidRDefault="00761D3B" w:rsidP="000722EB">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5.55 pm</w:t>
                </w:r>
              </w:p>
            </w:tc>
            <w:tc>
              <w:tcPr>
                <w:tcW w:w="2552" w:type="dxa"/>
                <w:noWrap/>
                <w:vAlign w:val="center"/>
                <w:hideMark/>
              </w:tcPr>
              <w:p w:rsidR="004D2AB0" w:rsidRPr="004D2AB0" w:rsidRDefault="004D2AB0" w:rsidP="000722EB">
                <w:pPr>
                  <w:spacing w:after="0" w:line="240" w:lineRule="auto"/>
                  <w:jc w:val="left"/>
                  <w:rPr>
                    <w:rFonts w:asciiTheme="minorHAnsi" w:eastAsia="Times New Roman" w:hAnsiTheme="minorHAnsi" w:cstheme="minorHAnsi"/>
                    <w:color w:val="000000"/>
                    <w:lang w:eastAsia="en-AU"/>
                  </w:rPr>
                </w:pPr>
                <w:r w:rsidRPr="004D2AB0">
                  <w:rPr>
                    <w:rFonts w:asciiTheme="minorHAnsi" w:eastAsia="Times New Roman" w:hAnsiTheme="minorHAnsi" w:cstheme="minorHAnsi"/>
                    <w:color w:val="000000"/>
                    <w:lang w:eastAsia="en-AU"/>
                  </w:rPr>
                  <w:t>Published at 17:50:29</w:t>
                </w:r>
              </w:p>
            </w:tc>
            <w:tc>
              <w:tcPr>
                <w:tcW w:w="1060" w:type="dxa"/>
                <w:noWrap/>
                <w:vAlign w:val="center"/>
                <w:hideMark/>
              </w:tcPr>
              <w:p w:rsidR="004D2AB0" w:rsidRPr="004D2AB0" w:rsidRDefault="004D2AB0" w:rsidP="000722EB">
                <w:pPr>
                  <w:spacing w:after="0" w:line="240" w:lineRule="auto"/>
                  <w:jc w:val="center"/>
                  <w:rPr>
                    <w:rFonts w:asciiTheme="minorHAnsi" w:eastAsia="Times New Roman" w:hAnsiTheme="minorHAnsi" w:cstheme="minorHAnsi"/>
                    <w:color w:val="000000"/>
                    <w:lang w:eastAsia="en-AU"/>
                  </w:rPr>
                </w:pPr>
                <w:r w:rsidRPr="004D2AB0">
                  <w:rPr>
                    <w:rFonts w:asciiTheme="minorHAnsi" w:eastAsia="Times New Roman" w:hAnsiTheme="minorHAnsi" w:cstheme="minorHAnsi"/>
                    <w:color w:val="000000"/>
                    <w:lang w:eastAsia="en-AU"/>
                  </w:rPr>
                  <w:t>49</w:t>
                </w:r>
                <w:r w:rsidR="002B6A68">
                  <w:rPr>
                    <w:rFonts w:asciiTheme="minorHAnsi" w:eastAsia="Times New Roman" w:hAnsiTheme="minorHAnsi" w:cstheme="minorHAnsi"/>
                    <w:color w:val="000000"/>
                    <w:lang w:eastAsia="en-AU"/>
                  </w:rPr>
                  <w:t>.00</w:t>
                </w:r>
              </w:p>
            </w:tc>
            <w:tc>
              <w:tcPr>
                <w:tcW w:w="1048" w:type="dxa"/>
                <w:noWrap/>
                <w:vAlign w:val="center"/>
                <w:hideMark/>
              </w:tcPr>
              <w:p w:rsidR="004D2AB0" w:rsidRPr="004D2AB0" w:rsidRDefault="004D2AB0" w:rsidP="000722EB">
                <w:pPr>
                  <w:spacing w:after="0" w:line="240" w:lineRule="auto"/>
                  <w:jc w:val="center"/>
                  <w:rPr>
                    <w:rFonts w:asciiTheme="minorHAnsi" w:eastAsia="Times New Roman" w:hAnsiTheme="minorHAnsi" w:cstheme="minorHAnsi"/>
                    <w:color w:val="000000"/>
                    <w:lang w:eastAsia="en-AU"/>
                  </w:rPr>
                </w:pPr>
                <w:r w:rsidRPr="004D2AB0">
                  <w:rPr>
                    <w:rFonts w:asciiTheme="minorHAnsi" w:eastAsia="Times New Roman" w:hAnsiTheme="minorHAnsi" w:cstheme="minorHAnsi"/>
                    <w:color w:val="000000"/>
                    <w:lang w:eastAsia="en-AU"/>
                  </w:rPr>
                  <w:t>9639</w:t>
                </w:r>
              </w:p>
            </w:tc>
          </w:tr>
          <w:tr w:rsidR="004D2AB0" w:rsidRPr="004D2AB0" w:rsidTr="000722EB">
            <w:trPr>
              <w:cnfStyle w:val="000000100000" w:firstRow="0" w:lastRow="0" w:firstColumn="0" w:lastColumn="0" w:oddVBand="0" w:evenVBand="0" w:oddHBand="1" w:evenHBand="0" w:firstRowFirstColumn="0" w:firstRowLastColumn="0" w:lastRowFirstColumn="0" w:lastRowLastColumn="0"/>
              <w:trHeight w:val="300"/>
            </w:trPr>
            <w:tc>
              <w:tcPr>
                <w:tcW w:w="1291" w:type="dxa"/>
                <w:noWrap/>
                <w:vAlign w:val="center"/>
                <w:hideMark/>
              </w:tcPr>
              <w:p w:rsidR="004D2AB0" w:rsidRPr="004D2AB0" w:rsidRDefault="00761D3B" w:rsidP="000722EB">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5.</w:t>
                </w:r>
                <w:r w:rsidR="004D2AB0" w:rsidRPr="004D2AB0">
                  <w:rPr>
                    <w:rFonts w:asciiTheme="minorHAnsi" w:eastAsia="Times New Roman" w:hAnsiTheme="minorHAnsi" w:cstheme="minorHAnsi"/>
                    <w:color w:val="000000"/>
                    <w:lang w:eastAsia="en-AU"/>
                  </w:rPr>
                  <w:t>50</w:t>
                </w:r>
                <w:r>
                  <w:rPr>
                    <w:rFonts w:asciiTheme="minorHAnsi" w:eastAsia="Times New Roman" w:hAnsiTheme="minorHAnsi" w:cstheme="minorHAnsi"/>
                    <w:color w:val="000000"/>
                    <w:lang w:eastAsia="en-AU"/>
                  </w:rPr>
                  <w:t xml:space="preserve"> pm</w:t>
                </w:r>
              </w:p>
            </w:tc>
            <w:tc>
              <w:tcPr>
                <w:tcW w:w="2552" w:type="dxa"/>
                <w:noWrap/>
                <w:vAlign w:val="center"/>
                <w:hideMark/>
              </w:tcPr>
              <w:p w:rsidR="004D2AB0" w:rsidRPr="004D2AB0" w:rsidRDefault="004D2AB0" w:rsidP="000722EB">
                <w:pPr>
                  <w:spacing w:after="0" w:line="240" w:lineRule="auto"/>
                  <w:jc w:val="left"/>
                  <w:rPr>
                    <w:rFonts w:asciiTheme="minorHAnsi" w:eastAsia="Times New Roman" w:hAnsiTheme="minorHAnsi" w:cstheme="minorHAnsi"/>
                    <w:color w:val="000000"/>
                    <w:lang w:eastAsia="en-AU"/>
                  </w:rPr>
                </w:pPr>
                <w:r w:rsidRPr="004D2AB0">
                  <w:rPr>
                    <w:rFonts w:asciiTheme="minorHAnsi" w:eastAsia="Times New Roman" w:hAnsiTheme="minorHAnsi" w:cstheme="minorHAnsi"/>
                    <w:color w:val="000000"/>
                    <w:lang w:eastAsia="en-AU"/>
                  </w:rPr>
                  <w:t>Published at 17:45:31</w:t>
                </w:r>
              </w:p>
            </w:tc>
            <w:tc>
              <w:tcPr>
                <w:tcW w:w="1060" w:type="dxa"/>
                <w:noWrap/>
                <w:vAlign w:val="center"/>
                <w:hideMark/>
              </w:tcPr>
              <w:p w:rsidR="004D2AB0" w:rsidRPr="004D2AB0" w:rsidRDefault="004D2AB0" w:rsidP="000722EB">
                <w:pPr>
                  <w:spacing w:after="0" w:line="240" w:lineRule="auto"/>
                  <w:jc w:val="center"/>
                  <w:rPr>
                    <w:rFonts w:asciiTheme="minorHAnsi" w:eastAsia="Times New Roman" w:hAnsiTheme="minorHAnsi" w:cstheme="minorHAnsi"/>
                    <w:color w:val="000000"/>
                    <w:lang w:eastAsia="en-AU"/>
                  </w:rPr>
                </w:pPr>
                <w:r w:rsidRPr="004D2AB0">
                  <w:rPr>
                    <w:rFonts w:asciiTheme="minorHAnsi" w:eastAsia="Times New Roman" w:hAnsiTheme="minorHAnsi" w:cstheme="minorHAnsi"/>
                    <w:color w:val="000000"/>
                    <w:lang w:eastAsia="en-AU"/>
                  </w:rPr>
                  <w:t>84.09</w:t>
                </w:r>
              </w:p>
            </w:tc>
            <w:tc>
              <w:tcPr>
                <w:tcW w:w="1048" w:type="dxa"/>
                <w:noWrap/>
                <w:vAlign w:val="center"/>
                <w:hideMark/>
              </w:tcPr>
              <w:p w:rsidR="004D2AB0" w:rsidRPr="004D2AB0" w:rsidRDefault="004D2AB0" w:rsidP="000722EB">
                <w:pPr>
                  <w:spacing w:after="0" w:line="240" w:lineRule="auto"/>
                  <w:jc w:val="center"/>
                  <w:rPr>
                    <w:rFonts w:asciiTheme="minorHAnsi" w:eastAsia="Times New Roman" w:hAnsiTheme="minorHAnsi" w:cstheme="minorHAnsi"/>
                    <w:color w:val="000000"/>
                    <w:lang w:eastAsia="en-AU"/>
                  </w:rPr>
                </w:pPr>
                <w:r w:rsidRPr="004D2AB0">
                  <w:rPr>
                    <w:rFonts w:asciiTheme="minorHAnsi" w:eastAsia="Times New Roman" w:hAnsiTheme="minorHAnsi" w:cstheme="minorHAnsi"/>
                    <w:color w:val="000000"/>
                    <w:lang w:eastAsia="en-AU"/>
                  </w:rPr>
                  <w:t>9692</w:t>
                </w:r>
              </w:p>
            </w:tc>
          </w:tr>
          <w:tr w:rsidR="004D2AB0" w:rsidRPr="004D2AB0" w:rsidTr="000722EB">
            <w:trPr>
              <w:cnfStyle w:val="000000010000" w:firstRow="0" w:lastRow="0" w:firstColumn="0" w:lastColumn="0" w:oddVBand="0" w:evenVBand="0" w:oddHBand="0" w:evenHBand="1" w:firstRowFirstColumn="0" w:firstRowLastColumn="0" w:lastRowFirstColumn="0" w:lastRowLastColumn="0"/>
              <w:trHeight w:val="300"/>
            </w:trPr>
            <w:tc>
              <w:tcPr>
                <w:tcW w:w="1291" w:type="dxa"/>
                <w:noWrap/>
                <w:vAlign w:val="center"/>
                <w:hideMark/>
              </w:tcPr>
              <w:p w:rsidR="004D2AB0" w:rsidRPr="004D2AB0" w:rsidRDefault="00761D3B" w:rsidP="000722EB">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5.45 pm</w:t>
                </w:r>
              </w:p>
            </w:tc>
            <w:tc>
              <w:tcPr>
                <w:tcW w:w="2552" w:type="dxa"/>
                <w:noWrap/>
                <w:vAlign w:val="center"/>
                <w:hideMark/>
              </w:tcPr>
              <w:p w:rsidR="004D2AB0" w:rsidRPr="004D2AB0" w:rsidRDefault="004D2AB0" w:rsidP="000722EB">
                <w:pPr>
                  <w:spacing w:after="0" w:line="240" w:lineRule="auto"/>
                  <w:jc w:val="left"/>
                  <w:rPr>
                    <w:rFonts w:asciiTheme="minorHAnsi" w:eastAsia="Times New Roman" w:hAnsiTheme="minorHAnsi" w:cstheme="minorHAnsi"/>
                    <w:color w:val="000000"/>
                    <w:lang w:eastAsia="en-AU"/>
                  </w:rPr>
                </w:pPr>
                <w:r w:rsidRPr="004D2AB0">
                  <w:rPr>
                    <w:rFonts w:asciiTheme="minorHAnsi" w:eastAsia="Times New Roman" w:hAnsiTheme="minorHAnsi" w:cstheme="minorHAnsi"/>
                    <w:color w:val="000000"/>
                    <w:lang w:eastAsia="en-AU"/>
                  </w:rPr>
                  <w:t>Published at 17:40:31</w:t>
                </w:r>
              </w:p>
            </w:tc>
            <w:tc>
              <w:tcPr>
                <w:tcW w:w="1060" w:type="dxa"/>
                <w:noWrap/>
                <w:vAlign w:val="center"/>
                <w:hideMark/>
              </w:tcPr>
              <w:p w:rsidR="004D2AB0" w:rsidRPr="004D2AB0" w:rsidRDefault="004D2AB0" w:rsidP="000722EB">
                <w:pPr>
                  <w:spacing w:after="0" w:line="240" w:lineRule="auto"/>
                  <w:jc w:val="center"/>
                  <w:rPr>
                    <w:rFonts w:asciiTheme="minorHAnsi" w:eastAsia="Times New Roman" w:hAnsiTheme="minorHAnsi" w:cstheme="minorHAnsi"/>
                    <w:color w:val="000000"/>
                    <w:lang w:eastAsia="en-AU"/>
                  </w:rPr>
                </w:pPr>
                <w:r w:rsidRPr="004D2AB0">
                  <w:rPr>
                    <w:rFonts w:asciiTheme="minorHAnsi" w:eastAsia="Times New Roman" w:hAnsiTheme="minorHAnsi" w:cstheme="minorHAnsi"/>
                    <w:color w:val="000000"/>
                    <w:lang w:eastAsia="en-AU"/>
                  </w:rPr>
                  <w:t>61.88</w:t>
                </w:r>
              </w:p>
            </w:tc>
            <w:tc>
              <w:tcPr>
                <w:tcW w:w="1048" w:type="dxa"/>
                <w:noWrap/>
                <w:vAlign w:val="center"/>
                <w:hideMark/>
              </w:tcPr>
              <w:p w:rsidR="004D2AB0" w:rsidRPr="004D2AB0" w:rsidRDefault="004D2AB0" w:rsidP="000722EB">
                <w:pPr>
                  <w:spacing w:after="0" w:line="240" w:lineRule="auto"/>
                  <w:jc w:val="center"/>
                  <w:rPr>
                    <w:rFonts w:asciiTheme="minorHAnsi" w:eastAsia="Times New Roman" w:hAnsiTheme="minorHAnsi" w:cstheme="minorHAnsi"/>
                    <w:color w:val="000000"/>
                    <w:lang w:eastAsia="en-AU"/>
                  </w:rPr>
                </w:pPr>
                <w:r w:rsidRPr="004D2AB0">
                  <w:rPr>
                    <w:rFonts w:asciiTheme="minorHAnsi" w:eastAsia="Times New Roman" w:hAnsiTheme="minorHAnsi" w:cstheme="minorHAnsi"/>
                    <w:color w:val="000000"/>
                    <w:lang w:eastAsia="en-AU"/>
                  </w:rPr>
                  <w:t>9663</w:t>
                </w:r>
              </w:p>
            </w:tc>
          </w:tr>
        </w:tbl>
        <w:p w:rsidR="002B33A8" w:rsidRDefault="002B33A8" w:rsidP="002B33A8">
          <w:pPr>
            <w:pStyle w:val="Heading1"/>
          </w:pPr>
          <w:bookmarkStart w:id="28" w:name="_Toc436060154"/>
          <w:r>
            <w:lastRenderedPageBreak/>
            <w:t>FCAS in Queensland</w:t>
          </w:r>
          <w:bookmarkEnd w:id="28"/>
        </w:p>
        <w:p w:rsidR="002808FD" w:rsidRDefault="00962BC5" w:rsidP="00962BC5">
          <w:r>
            <w:t xml:space="preserve">While prices in New South Wales were high, </w:t>
          </w:r>
          <w:r w:rsidR="00011D86">
            <w:t xml:space="preserve">the </w:t>
          </w:r>
          <w:r>
            <w:t>price in Queensland for</w:t>
          </w:r>
          <w:r w:rsidR="006F7401">
            <w:t> </w:t>
          </w:r>
          <w:r w:rsidR="002C34D8">
            <w:t xml:space="preserve">the </w:t>
          </w:r>
          <w:r>
            <w:t>6</w:t>
          </w:r>
          <w:r w:rsidR="006F7401">
            <w:t> </w:t>
          </w:r>
          <w:r w:rsidR="002C34D8">
            <w:t xml:space="preserve">Second Lower </w:t>
          </w:r>
          <w:r w:rsidR="00011D86">
            <w:t xml:space="preserve">service </w:t>
          </w:r>
          <w:r w:rsidR="0046706A">
            <w:t>exceeded</w:t>
          </w:r>
          <w:r>
            <w:t xml:space="preserve"> $5000/MW. The short notice outage on QNI took one circuit of the interconnector out of service</w:t>
          </w:r>
          <w:r w:rsidR="002808FD">
            <w:t>.</w:t>
          </w:r>
          <w:r>
            <w:t xml:space="preserve"> </w:t>
          </w:r>
          <w:r w:rsidR="002808FD">
            <w:t>A</w:t>
          </w:r>
          <w:r>
            <w:t xml:space="preserve"> single contingency would then result in Queensland being islanded and</w:t>
          </w:r>
          <w:r w:rsidR="002808FD">
            <w:t xml:space="preserve">, as is the normal </w:t>
          </w:r>
          <w:proofErr w:type="gramStart"/>
          <w:r w:rsidR="002808FD">
            <w:t>approach,</w:t>
          </w:r>
          <w:proofErr w:type="gramEnd"/>
          <w:r>
            <w:t xml:space="preserve"> </w:t>
          </w:r>
          <w:r w:rsidR="00E21EE6">
            <w:t xml:space="preserve">local </w:t>
          </w:r>
          <w:r w:rsidR="002808FD">
            <w:t xml:space="preserve">frequency control ancillary </w:t>
          </w:r>
          <w:r>
            <w:t xml:space="preserve">services </w:t>
          </w:r>
          <w:r w:rsidR="002808FD">
            <w:t xml:space="preserve">are </w:t>
          </w:r>
          <w:r>
            <w:t xml:space="preserve">required </w:t>
          </w:r>
          <w:r w:rsidR="00E21EE6">
            <w:t xml:space="preserve">to support the region </w:t>
          </w:r>
          <w:r>
            <w:t>depending on the direction of flow on QNI. When the high price occurred in New</w:t>
          </w:r>
          <w:r w:rsidR="005916B4">
            <w:t> </w:t>
          </w:r>
          <w:r>
            <w:t>South</w:t>
          </w:r>
          <w:r w:rsidR="005916B4">
            <w:t> </w:t>
          </w:r>
          <w:r>
            <w:t xml:space="preserve">Wales, Queensland was exporting </w:t>
          </w:r>
          <w:r w:rsidR="0046706A">
            <w:t>in</w:t>
          </w:r>
          <w:r>
            <w:t>to New</w:t>
          </w:r>
          <w:r w:rsidR="005916B4">
            <w:t> </w:t>
          </w:r>
          <w:r>
            <w:t>South</w:t>
          </w:r>
          <w:r w:rsidR="005916B4">
            <w:t> </w:t>
          </w:r>
          <w:r>
            <w:t xml:space="preserve">Wales and consequently </w:t>
          </w:r>
          <w:r w:rsidR="002C34D8">
            <w:t xml:space="preserve">contingency </w:t>
          </w:r>
          <w:r>
            <w:t xml:space="preserve">FCAS lower services were required in Queensland. </w:t>
          </w:r>
          <w:r w:rsidR="00011D86">
            <w:t>While there was sufficient capacity to meet the local requirements</w:t>
          </w:r>
          <w:r w:rsidR="002C34D8">
            <w:t>,</w:t>
          </w:r>
          <w:r w:rsidR="00011D86">
            <w:t xml:space="preserve"> t</w:t>
          </w:r>
          <w:r w:rsidR="0046706A">
            <w:t>here was only 4 MW of capacity priced between $10/MW and $13 000/</w:t>
          </w:r>
          <w:r w:rsidR="00011D86">
            <w:t>MW. As a result</w:t>
          </w:r>
          <w:r w:rsidR="002C34D8">
            <w:t xml:space="preserve"> of</w:t>
          </w:r>
          <w:r w:rsidR="00011D86">
            <w:t xml:space="preserve"> </w:t>
          </w:r>
          <w:r w:rsidR="002C34D8">
            <w:t xml:space="preserve">an </w:t>
          </w:r>
          <w:r w:rsidR="00011D86">
            <w:t xml:space="preserve">increase in requirement for 6 </w:t>
          </w:r>
          <w:r w:rsidR="002C34D8">
            <w:t>S</w:t>
          </w:r>
          <w:r w:rsidR="00011D86">
            <w:t xml:space="preserve">econd </w:t>
          </w:r>
          <w:r w:rsidR="002C34D8">
            <w:t xml:space="preserve">Lower </w:t>
          </w:r>
          <w:r w:rsidR="00011D86">
            <w:t>services and co-optimisation of local services and interconnector flows</w:t>
          </w:r>
          <w:r w:rsidR="002C34D8">
            <w:t>,</w:t>
          </w:r>
          <w:r w:rsidR="00011D86">
            <w:t xml:space="preserve"> the </w:t>
          </w:r>
          <w:r w:rsidR="00074360">
            <w:t xml:space="preserve">ancillary service </w:t>
          </w:r>
          <w:r w:rsidR="00011D86">
            <w:t xml:space="preserve">price </w:t>
          </w:r>
          <w:r>
            <w:t>reach</w:t>
          </w:r>
          <w:r w:rsidR="00011D86">
            <w:t>ed</w:t>
          </w:r>
          <w:r>
            <w:t xml:space="preserve"> $13</w:t>
          </w:r>
          <w:r w:rsidR="0080240F">
            <w:t> </w:t>
          </w:r>
          <w:r>
            <w:t>251/MW at 6.05 pm</w:t>
          </w:r>
          <w:r w:rsidR="00011D86">
            <w:t xml:space="preserve"> and stayed around that price until 6.45 pm</w:t>
          </w:r>
          <w:r>
            <w:t xml:space="preserve">. </w:t>
          </w:r>
          <w:r w:rsidR="006F7401">
            <w:t xml:space="preserve"> </w:t>
          </w:r>
        </w:p>
        <w:p w:rsidR="00962BC5" w:rsidRDefault="004E49C3" w:rsidP="00962BC5">
          <w:r>
            <w:fldChar w:fldCharType="begin"/>
          </w:r>
          <w:r>
            <w:instrText xml:space="preserve"> REF _Ref435737752 \h </w:instrText>
          </w:r>
          <w:r>
            <w:fldChar w:fldCharType="separate"/>
          </w:r>
          <w:r w:rsidR="00FE39F3">
            <w:t xml:space="preserve">Figure </w:t>
          </w:r>
          <w:r w:rsidR="00FE39F3">
            <w:rPr>
              <w:noProof/>
            </w:rPr>
            <w:t>7</w:t>
          </w:r>
          <w:r>
            <w:fldChar w:fldCharType="end"/>
          </w:r>
          <w:r>
            <w:t xml:space="preserve"> </w:t>
          </w:r>
          <w:r w:rsidR="006F7401">
            <w:t xml:space="preserve">shows the local </w:t>
          </w:r>
          <w:r w:rsidR="00074360">
            <w:t xml:space="preserve">FCAS </w:t>
          </w:r>
          <w:r w:rsidR="006F7401">
            <w:t>requirement</w:t>
          </w:r>
          <w:r w:rsidR="00074360">
            <w:t>,</w:t>
          </w:r>
          <w:r w:rsidR="006F7401">
            <w:t xml:space="preserve"> price and effective availability of</w:t>
          </w:r>
          <w:r w:rsidR="002808FD">
            <w:t xml:space="preserve"> 6 Second </w:t>
          </w:r>
          <w:r w:rsidR="002C34D8">
            <w:t xml:space="preserve">Lower </w:t>
          </w:r>
          <w:r w:rsidR="002808FD">
            <w:t>services for Que</w:t>
          </w:r>
          <w:r w:rsidR="006F7401">
            <w:t xml:space="preserve">ensland </w:t>
          </w:r>
          <w:r w:rsidR="002808FD">
            <w:t>during the high price period in New South Wales.</w:t>
          </w:r>
        </w:p>
        <w:p w:rsidR="002B33A8" w:rsidRDefault="006F7401" w:rsidP="006F7401">
          <w:pPr>
            <w:pStyle w:val="Caption"/>
          </w:pPr>
          <w:bookmarkStart w:id="29" w:name="_Ref435737752"/>
          <w:r>
            <w:t xml:space="preserve">Figure </w:t>
          </w:r>
          <w:fldSimple w:instr=" SEQ Figure \* ARABIC ">
            <w:r w:rsidR="00FE39F3">
              <w:rPr>
                <w:noProof/>
              </w:rPr>
              <w:t>7</w:t>
            </w:r>
          </w:fldSimple>
          <w:bookmarkEnd w:id="29"/>
          <w:r w:rsidRPr="00AD691E">
            <w:t xml:space="preserve">: Queensland 6 </w:t>
          </w:r>
          <w:r w:rsidR="00A41536" w:rsidRPr="00AD691E">
            <w:t xml:space="preserve">Second </w:t>
          </w:r>
          <w:r w:rsidR="00A41536">
            <w:t xml:space="preserve">Lower </w:t>
          </w:r>
          <w:r w:rsidRPr="00AD691E">
            <w:t>requirement, price and availability</w:t>
          </w:r>
        </w:p>
        <w:p w:rsidR="00046C4A" w:rsidRPr="00046C4A" w:rsidRDefault="00A41536" w:rsidP="00046C4A">
          <w:r w:rsidRPr="00A41536">
            <w:rPr>
              <w:noProof/>
              <w:lang w:eastAsia="en-AU"/>
            </w:rPr>
            <w:drawing>
              <wp:inline distT="0" distB="0" distL="0" distR="0" wp14:anchorId="27BCDAA9" wp14:editId="131D3C78">
                <wp:extent cx="5382895" cy="3502448"/>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82895" cy="3502448"/>
                        </a:xfrm>
                        <a:prstGeom prst="rect">
                          <a:avLst/>
                        </a:prstGeom>
                        <a:noFill/>
                        <a:ln>
                          <a:noFill/>
                        </a:ln>
                      </pic:spPr>
                    </pic:pic>
                  </a:graphicData>
                </a:graphic>
              </wp:inline>
            </w:drawing>
          </w:r>
        </w:p>
        <w:p w:rsidR="00C7068C" w:rsidRPr="006D5E16" w:rsidRDefault="00C7068C" w:rsidP="00C7068C">
          <w:pPr>
            <w:rPr>
              <w:rStyle w:val="Bold"/>
            </w:rPr>
          </w:pPr>
          <w:r w:rsidRPr="006D5E16">
            <w:rPr>
              <w:rStyle w:val="Bold"/>
            </w:rPr>
            <w:t>Australian Energy Regulator</w:t>
          </w:r>
        </w:p>
        <w:p w:rsidR="00C7068C" w:rsidRPr="00A640CA" w:rsidRDefault="007462CD" w:rsidP="00C7068C">
          <w:pPr>
            <w:rPr>
              <w:b/>
              <w:bCs/>
            </w:rPr>
          </w:pPr>
          <w:r>
            <w:rPr>
              <w:rStyle w:val="Bold"/>
            </w:rPr>
            <w:t>November</w:t>
          </w:r>
          <w:r w:rsidR="00712C6A" w:rsidRPr="006D5E16">
            <w:rPr>
              <w:rStyle w:val="Bold"/>
            </w:rPr>
            <w:t xml:space="preserve"> </w:t>
          </w:r>
          <w:r w:rsidR="00A640CA">
            <w:rPr>
              <w:rStyle w:val="Bold"/>
            </w:rPr>
            <w:t>2015</w:t>
          </w:r>
        </w:p>
        <w:p w:rsidR="00C7068C" w:rsidRDefault="003250C8" w:rsidP="00C7068C">
          <w:pPr>
            <w:pStyle w:val="Heading1notnumber"/>
          </w:pPr>
          <w:bookmarkStart w:id="30" w:name="_Toc436060155"/>
          <w:r>
            <w:lastRenderedPageBreak/>
            <w:t xml:space="preserve">Appendix </w:t>
          </w:r>
          <w:r w:rsidR="00C7068C">
            <w:t>A</w:t>
          </w:r>
          <w:r w:rsidR="00B602E3">
            <w:t>:</w:t>
          </w:r>
          <w:r w:rsidR="00C7068C">
            <w:tab/>
            <w:t>Significant Rebids</w:t>
          </w:r>
          <w:bookmarkEnd w:id="30"/>
        </w:p>
        <w:p w:rsidR="00C7068C" w:rsidRDefault="00C7068C" w:rsidP="00C7068C">
          <w:r w:rsidRPr="003E380F">
            <w:t xml:space="preserve">The rebidding tables highlight the relevant rebids submitted by generators that impacted on market outcomes during the </w:t>
          </w:r>
          <w:r>
            <w:t xml:space="preserve">time of </w:t>
          </w:r>
          <w:r w:rsidRPr="003E380F">
            <w:t>high price</w:t>
          </w:r>
          <w:r>
            <w:t>s. It details</w:t>
          </w:r>
          <w:r w:rsidRPr="003E380F">
            <w:t xml:space="preserve"> the time the rebid was submitted and used by the dispatch process, the capacity involved</w:t>
          </w:r>
          <w:r w:rsidR="00CC65AF">
            <w:t>,</w:t>
          </w:r>
          <w:r w:rsidRPr="003E380F">
            <w:t xml:space="preserve"> the change in the price of the capacity was being offered</w:t>
          </w:r>
          <w:r w:rsidR="00CC65AF">
            <w:t xml:space="preserve"> and</w:t>
          </w:r>
          <w:r w:rsidRPr="003E380F">
            <w:t xml:space="preserve"> </w:t>
          </w:r>
          <w:r w:rsidR="00CC65AF">
            <w:t>t</w:t>
          </w:r>
          <w:r w:rsidRPr="003E380F">
            <w:t xml:space="preserve">he </w:t>
          </w:r>
          <w:r w:rsidR="00CC65AF">
            <w:t>rebid reason</w:t>
          </w:r>
          <w:r w:rsidRPr="003E380F">
            <w:t>.</w:t>
          </w:r>
        </w:p>
        <w:p w:rsidR="00C7068C" w:rsidRDefault="00C7068C" w:rsidP="00C7068C">
          <w:pPr>
            <w:pStyle w:val="Caption"/>
          </w:pPr>
          <w:r>
            <w:t xml:space="preserve">Significant </w:t>
          </w:r>
          <w:r w:rsidR="0094217A">
            <w:t xml:space="preserve">energy </w:t>
          </w:r>
          <w:r w:rsidR="006F3333">
            <w:t xml:space="preserve">rebids </w:t>
          </w:r>
          <w:r>
            <w:t xml:space="preserve">for </w:t>
          </w:r>
          <w:r w:rsidR="007462CD">
            <w:t>6</w:t>
          </w:r>
          <w:r w:rsidR="002F025A">
            <w:t>.30</w:t>
          </w:r>
          <w:r>
            <w:t> pm</w:t>
          </w:r>
          <w:r w:rsidR="00D2488F">
            <w:t xml:space="preserve"> and 7 pm</w:t>
          </w:r>
        </w:p>
        <w:tbl>
          <w:tblPr>
            <w:tblStyle w:val="AERsummarytable"/>
            <w:tblW w:w="8693" w:type="dxa"/>
            <w:tblLayout w:type="fixed"/>
            <w:tblLook w:val="04A0" w:firstRow="1" w:lastRow="0" w:firstColumn="1" w:lastColumn="0" w:noHBand="0" w:noVBand="1"/>
          </w:tblPr>
          <w:tblGrid>
            <w:gridCol w:w="878"/>
            <w:gridCol w:w="952"/>
            <w:gridCol w:w="1338"/>
            <w:gridCol w:w="1112"/>
            <w:gridCol w:w="980"/>
            <w:gridCol w:w="923"/>
            <w:gridCol w:w="924"/>
            <w:gridCol w:w="1586"/>
          </w:tblGrid>
          <w:tr w:rsidR="00B80409" w:rsidRPr="00FE396E" w:rsidTr="00B80409">
            <w:trPr>
              <w:cnfStyle w:val="100000000000" w:firstRow="1" w:lastRow="0" w:firstColumn="0" w:lastColumn="0" w:oddVBand="0" w:evenVBand="0" w:oddHBand="0" w:evenHBand="0" w:firstRowFirstColumn="0" w:firstRowLastColumn="0" w:lastRowFirstColumn="0" w:lastRowLastColumn="0"/>
              <w:trHeight w:val="780"/>
              <w:tblHeader/>
            </w:trPr>
            <w:tc>
              <w:tcPr>
                <w:tcW w:w="878" w:type="dxa"/>
              </w:tcPr>
              <w:p w:rsidR="00B80409" w:rsidRDefault="00B80409" w:rsidP="00B80409">
                <w:pPr>
                  <w:jc w:val="center"/>
                  <w:textAlignment w:val="top"/>
                  <w:divId w:val="1297251709"/>
                  <w:rPr>
                    <w:sz w:val="2"/>
                    <w:szCs w:val="2"/>
                  </w:rPr>
                </w:pPr>
                <w:r>
                  <w:rPr>
                    <w:rStyle w:val="a531"/>
                  </w:rPr>
                  <w:t>Submit time</w:t>
                </w:r>
              </w:p>
            </w:tc>
            <w:tc>
              <w:tcPr>
                <w:tcW w:w="952" w:type="dxa"/>
              </w:tcPr>
              <w:p w:rsidR="00B80409" w:rsidRDefault="00B80409">
                <w:pPr>
                  <w:jc w:val="center"/>
                  <w:textAlignment w:val="top"/>
                  <w:divId w:val="330447966"/>
                  <w:rPr>
                    <w:sz w:val="2"/>
                    <w:szCs w:val="2"/>
                  </w:rPr>
                </w:pPr>
                <w:r>
                  <w:rPr>
                    <w:rStyle w:val="a571"/>
                  </w:rPr>
                  <w:t>Time</w:t>
                </w:r>
                <w:r>
                  <w:rPr>
                    <w:rFonts w:cs="Arial"/>
                    <w:color w:val="FFFFFF"/>
                    <w:szCs w:val="18"/>
                  </w:rPr>
                  <w:br/>
                </w:r>
                <w:r>
                  <w:rPr>
                    <w:rStyle w:val="a571"/>
                  </w:rPr>
                  <w:t>effective</w:t>
                </w:r>
              </w:p>
            </w:tc>
            <w:tc>
              <w:tcPr>
                <w:tcW w:w="1338" w:type="dxa"/>
                <w:hideMark/>
              </w:tcPr>
              <w:p w:rsidR="00B80409" w:rsidRDefault="00B80409">
                <w:pPr>
                  <w:jc w:val="center"/>
                  <w:textAlignment w:val="top"/>
                  <w:rPr>
                    <w:rFonts w:cs="Arial"/>
                    <w:color w:val="FFFFFF"/>
                    <w:szCs w:val="18"/>
                  </w:rPr>
                </w:pPr>
                <w:r>
                  <w:rPr>
                    <w:rFonts w:cs="Arial"/>
                    <w:color w:val="FFFFFF"/>
                    <w:szCs w:val="18"/>
                  </w:rPr>
                  <w:t>Participant</w:t>
                </w:r>
              </w:p>
            </w:tc>
            <w:tc>
              <w:tcPr>
                <w:tcW w:w="1112" w:type="dxa"/>
                <w:hideMark/>
              </w:tcPr>
              <w:p w:rsidR="00B80409" w:rsidRDefault="00B80409">
                <w:pPr>
                  <w:jc w:val="center"/>
                  <w:textAlignment w:val="top"/>
                  <w:rPr>
                    <w:rFonts w:cs="Arial"/>
                    <w:color w:val="FFFFFF"/>
                    <w:szCs w:val="18"/>
                  </w:rPr>
                </w:pPr>
                <w:r>
                  <w:rPr>
                    <w:rFonts w:cs="Arial"/>
                    <w:color w:val="FFFFFF"/>
                    <w:szCs w:val="18"/>
                  </w:rPr>
                  <w:t>Station</w:t>
                </w:r>
              </w:p>
            </w:tc>
            <w:tc>
              <w:tcPr>
                <w:tcW w:w="980" w:type="dxa"/>
                <w:hideMark/>
              </w:tcPr>
              <w:p w:rsidR="00B80409" w:rsidRDefault="00B80409">
                <w:pPr>
                  <w:jc w:val="center"/>
                  <w:textAlignment w:val="top"/>
                  <w:divId w:val="1761215993"/>
                  <w:rPr>
                    <w:sz w:val="2"/>
                    <w:szCs w:val="2"/>
                  </w:rPr>
                </w:pPr>
                <w:r>
                  <w:rPr>
                    <w:rStyle w:val="a691"/>
                  </w:rPr>
                  <w:t>Capacity rebid</w:t>
                </w:r>
                <w:r>
                  <w:rPr>
                    <w:rFonts w:cs="Arial"/>
                    <w:color w:val="FFFFFF"/>
                    <w:szCs w:val="18"/>
                  </w:rPr>
                  <w:br/>
                </w:r>
                <w:r>
                  <w:rPr>
                    <w:rStyle w:val="a691"/>
                  </w:rPr>
                  <w:t>(MW)</w:t>
                </w:r>
              </w:p>
            </w:tc>
            <w:tc>
              <w:tcPr>
                <w:tcW w:w="923" w:type="dxa"/>
                <w:hideMark/>
              </w:tcPr>
              <w:p w:rsidR="00B80409" w:rsidRDefault="00B80409">
                <w:pPr>
                  <w:jc w:val="center"/>
                  <w:textAlignment w:val="top"/>
                  <w:divId w:val="161817275"/>
                  <w:rPr>
                    <w:sz w:val="2"/>
                    <w:szCs w:val="2"/>
                  </w:rPr>
                </w:pPr>
                <w:r>
                  <w:rPr>
                    <w:rStyle w:val="a731"/>
                  </w:rPr>
                  <w:t>Price from</w:t>
                </w:r>
                <w:r>
                  <w:rPr>
                    <w:rFonts w:cs="Arial"/>
                    <w:color w:val="FFFFFF"/>
                    <w:szCs w:val="18"/>
                  </w:rPr>
                  <w:br/>
                </w:r>
                <w:r>
                  <w:rPr>
                    <w:rStyle w:val="a731"/>
                  </w:rPr>
                  <w:t>($/MWh)</w:t>
                </w:r>
              </w:p>
            </w:tc>
            <w:tc>
              <w:tcPr>
                <w:tcW w:w="924" w:type="dxa"/>
                <w:hideMark/>
              </w:tcPr>
              <w:p w:rsidR="00B80409" w:rsidRDefault="00B80409" w:rsidP="00B80409">
                <w:pPr>
                  <w:jc w:val="center"/>
                  <w:textAlignment w:val="top"/>
                  <w:divId w:val="1395664897"/>
                  <w:rPr>
                    <w:sz w:val="2"/>
                    <w:szCs w:val="2"/>
                  </w:rPr>
                </w:pPr>
                <w:r>
                  <w:rPr>
                    <w:rStyle w:val="a771"/>
                  </w:rPr>
                  <w:t>Price to ($/MWh)</w:t>
                </w:r>
              </w:p>
            </w:tc>
            <w:tc>
              <w:tcPr>
                <w:tcW w:w="1586" w:type="dxa"/>
                <w:hideMark/>
              </w:tcPr>
              <w:p w:rsidR="00B80409" w:rsidRDefault="00B80409">
                <w:pPr>
                  <w:jc w:val="center"/>
                  <w:textAlignment w:val="top"/>
                  <w:rPr>
                    <w:rFonts w:cs="Arial"/>
                    <w:color w:val="FFFFFF"/>
                    <w:szCs w:val="18"/>
                  </w:rPr>
                </w:pPr>
                <w:r>
                  <w:rPr>
                    <w:rFonts w:cs="Arial"/>
                    <w:color w:val="FFFFFF"/>
                    <w:szCs w:val="18"/>
                  </w:rPr>
                  <w:t>Rebid reason</w:t>
                </w:r>
              </w:p>
            </w:tc>
          </w:tr>
          <w:tr w:rsidR="008B7CF1" w:rsidRPr="00FE396E" w:rsidTr="00B80409">
            <w:trPr>
              <w:cnfStyle w:val="000000100000" w:firstRow="0" w:lastRow="0" w:firstColumn="0" w:lastColumn="0" w:oddVBand="0" w:evenVBand="0" w:oddHBand="1" w:evenHBand="0" w:firstRowFirstColumn="0" w:firstRowLastColumn="0" w:lastRowFirstColumn="0" w:lastRowLastColumn="0"/>
              <w:trHeight w:val="606"/>
            </w:trPr>
            <w:tc>
              <w:tcPr>
                <w:tcW w:w="878" w:type="dxa"/>
                <w:vAlign w:val="center"/>
              </w:tcPr>
              <w:p w:rsidR="008B7CF1" w:rsidRDefault="008B7CF1">
                <w:pPr>
                  <w:jc w:val="center"/>
                  <w:textAlignment w:val="center"/>
                  <w:rPr>
                    <w:rFonts w:cs="Arial"/>
                    <w:color w:val="000000"/>
                    <w:szCs w:val="18"/>
                  </w:rPr>
                </w:pPr>
                <w:r>
                  <w:rPr>
                    <w:rFonts w:cs="Arial"/>
                    <w:color w:val="000000"/>
                    <w:szCs w:val="18"/>
                  </w:rPr>
                  <w:t>6.42 pm</w:t>
                </w:r>
              </w:p>
            </w:tc>
            <w:tc>
              <w:tcPr>
                <w:tcW w:w="952" w:type="dxa"/>
                <w:vAlign w:val="center"/>
              </w:tcPr>
              <w:p w:rsidR="008B7CF1" w:rsidRDefault="008B7CF1">
                <w:pPr>
                  <w:jc w:val="center"/>
                  <w:textAlignment w:val="center"/>
                  <w:rPr>
                    <w:rFonts w:cs="Arial"/>
                    <w:color w:val="000000"/>
                    <w:szCs w:val="18"/>
                  </w:rPr>
                </w:pPr>
                <w:r>
                  <w:rPr>
                    <w:rFonts w:cs="Arial"/>
                    <w:color w:val="000000"/>
                    <w:szCs w:val="18"/>
                  </w:rPr>
                  <w:t>6.50 pm</w:t>
                </w:r>
              </w:p>
            </w:tc>
            <w:tc>
              <w:tcPr>
                <w:tcW w:w="1338" w:type="dxa"/>
                <w:vAlign w:val="center"/>
              </w:tcPr>
              <w:p w:rsidR="008B7CF1" w:rsidRDefault="008B7CF1">
                <w:pPr>
                  <w:textAlignment w:val="center"/>
                  <w:rPr>
                    <w:rFonts w:cs="Arial"/>
                    <w:color w:val="000000"/>
                    <w:szCs w:val="18"/>
                  </w:rPr>
                </w:pPr>
                <w:r>
                  <w:rPr>
                    <w:rFonts w:cs="Arial"/>
                    <w:color w:val="000000"/>
                    <w:szCs w:val="18"/>
                  </w:rPr>
                  <w:t>Snowy Hydro</w:t>
                </w:r>
              </w:p>
            </w:tc>
            <w:tc>
              <w:tcPr>
                <w:tcW w:w="1112" w:type="dxa"/>
                <w:vAlign w:val="center"/>
              </w:tcPr>
              <w:p w:rsidR="008B7CF1" w:rsidRDefault="008B7CF1">
                <w:pPr>
                  <w:textAlignment w:val="center"/>
                  <w:rPr>
                    <w:rFonts w:cs="Arial"/>
                    <w:color w:val="000000"/>
                    <w:szCs w:val="18"/>
                  </w:rPr>
                </w:pPr>
                <w:r>
                  <w:rPr>
                    <w:rFonts w:cs="Arial"/>
                    <w:color w:val="000000"/>
                    <w:szCs w:val="18"/>
                  </w:rPr>
                  <w:t>Colongra</w:t>
                </w:r>
              </w:p>
            </w:tc>
            <w:tc>
              <w:tcPr>
                <w:tcW w:w="980" w:type="dxa"/>
                <w:vAlign w:val="center"/>
              </w:tcPr>
              <w:p w:rsidR="008B7CF1" w:rsidRDefault="008B7CF1">
                <w:pPr>
                  <w:jc w:val="center"/>
                  <w:textAlignment w:val="center"/>
                  <w:rPr>
                    <w:rFonts w:cs="Arial"/>
                    <w:color w:val="000000"/>
                    <w:szCs w:val="18"/>
                  </w:rPr>
                </w:pPr>
                <w:r>
                  <w:rPr>
                    <w:rFonts w:cs="Arial"/>
                    <w:color w:val="000000"/>
                    <w:szCs w:val="18"/>
                  </w:rPr>
                  <w:t>510</w:t>
                </w:r>
              </w:p>
            </w:tc>
            <w:tc>
              <w:tcPr>
                <w:tcW w:w="923" w:type="dxa"/>
                <w:vAlign w:val="center"/>
              </w:tcPr>
              <w:p w:rsidR="008B7CF1" w:rsidRDefault="008B7CF1">
                <w:pPr>
                  <w:jc w:val="center"/>
                  <w:textAlignment w:val="center"/>
                  <w:rPr>
                    <w:rFonts w:cs="Arial"/>
                    <w:color w:val="000000"/>
                    <w:szCs w:val="18"/>
                  </w:rPr>
                </w:pPr>
                <w:r>
                  <w:rPr>
                    <w:rFonts w:cs="Arial"/>
                    <w:color w:val="000000"/>
                    <w:szCs w:val="18"/>
                  </w:rPr>
                  <w:t>13 500</w:t>
                </w:r>
              </w:p>
            </w:tc>
            <w:tc>
              <w:tcPr>
                <w:tcW w:w="924" w:type="dxa"/>
                <w:vAlign w:val="center"/>
              </w:tcPr>
              <w:p w:rsidR="008B7CF1" w:rsidRDefault="008B7CF1">
                <w:pPr>
                  <w:jc w:val="center"/>
                  <w:textAlignment w:val="center"/>
                  <w:rPr>
                    <w:rFonts w:cs="Arial"/>
                    <w:color w:val="000000"/>
                    <w:szCs w:val="18"/>
                  </w:rPr>
                </w:pPr>
                <w:r>
                  <w:rPr>
                    <w:rFonts w:cs="Arial"/>
                    <w:color w:val="000000"/>
                    <w:szCs w:val="18"/>
                  </w:rPr>
                  <w:t>-1000</w:t>
                </w:r>
              </w:p>
            </w:tc>
            <w:tc>
              <w:tcPr>
                <w:tcW w:w="1586" w:type="dxa"/>
                <w:vAlign w:val="center"/>
              </w:tcPr>
              <w:p w:rsidR="008B7CF1" w:rsidRDefault="008B7CF1" w:rsidP="00B80409">
                <w:pPr>
                  <w:jc w:val="left"/>
                  <w:textAlignment w:val="center"/>
                  <w:rPr>
                    <w:rFonts w:cs="Arial"/>
                    <w:color w:val="000000"/>
                    <w:szCs w:val="18"/>
                  </w:rPr>
                </w:pPr>
                <w:r>
                  <w:rPr>
                    <w:rFonts w:cs="Arial"/>
                    <w:sz w:val="16"/>
                    <w:szCs w:val="16"/>
                  </w:rPr>
                  <w:t>18:41:A MANAGE CONSTRAINT: NRM_NSW1_VIC1</w:t>
                </w:r>
              </w:p>
            </w:tc>
          </w:tr>
          <w:tr w:rsidR="008B7CF1" w:rsidRPr="00FE396E" w:rsidTr="00B80409">
            <w:trPr>
              <w:cnfStyle w:val="000000010000" w:firstRow="0" w:lastRow="0" w:firstColumn="0" w:lastColumn="0" w:oddVBand="0" w:evenVBand="0" w:oddHBand="0" w:evenHBand="1" w:firstRowFirstColumn="0" w:firstRowLastColumn="0" w:lastRowFirstColumn="0" w:lastRowLastColumn="0"/>
              <w:trHeight w:val="606"/>
            </w:trPr>
            <w:tc>
              <w:tcPr>
                <w:tcW w:w="878" w:type="dxa"/>
                <w:vAlign w:val="center"/>
              </w:tcPr>
              <w:p w:rsidR="008B7CF1" w:rsidRDefault="008B7CF1">
                <w:pPr>
                  <w:jc w:val="center"/>
                  <w:textAlignment w:val="center"/>
                  <w:rPr>
                    <w:rFonts w:cs="Arial"/>
                    <w:color w:val="000000"/>
                    <w:szCs w:val="18"/>
                  </w:rPr>
                </w:pPr>
                <w:r>
                  <w:rPr>
                    <w:rFonts w:cs="Arial"/>
                    <w:color w:val="000000"/>
                    <w:szCs w:val="18"/>
                  </w:rPr>
                  <w:t>6.47 pm</w:t>
                </w:r>
              </w:p>
            </w:tc>
            <w:tc>
              <w:tcPr>
                <w:tcW w:w="952" w:type="dxa"/>
                <w:vAlign w:val="center"/>
              </w:tcPr>
              <w:p w:rsidR="008B7CF1" w:rsidRDefault="008B7CF1">
                <w:pPr>
                  <w:jc w:val="center"/>
                  <w:textAlignment w:val="center"/>
                  <w:rPr>
                    <w:rFonts w:cs="Arial"/>
                    <w:color w:val="000000"/>
                    <w:szCs w:val="18"/>
                  </w:rPr>
                </w:pPr>
                <w:r>
                  <w:rPr>
                    <w:rFonts w:cs="Arial"/>
                    <w:color w:val="000000"/>
                    <w:szCs w:val="18"/>
                  </w:rPr>
                  <w:t>6.55 pm</w:t>
                </w:r>
              </w:p>
            </w:tc>
            <w:tc>
              <w:tcPr>
                <w:tcW w:w="1338" w:type="dxa"/>
                <w:vAlign w:val="center"/>
              </w:tcPr>
              <w:p w:rsidR="008B7CF1" w:rsidRDefault="008B7CF1">
                <w:pPr>
                  <w:textAlignment w:val="center"/>
                  <w:rPr>
                    <w:rFonts w:cs="Arial"/>
                    <w:color w:val="000000"/>
                    <w:szCs w:val="18"/>
                  </w:rPr>
                </w:pPr>
                <w:r>
                  <w:rPr>
                    <w:rFonts w:cs="Arial"/>
                    <w:color w:val="000000"/>
                    <w:szCs w:val="18"/>
                  </w:rPr>
                  <w:t>AGL</w:t>
                </w:r>
              </w:p>
            </w:tc>
            <w:tc>
              <w:tcPr>
                <w:tcW w:w="1112" w:type="dxa"/>
                <w:vAlign w:val="center"/>
              </w:tcPr>
              <w:p w:rsidR="008B7CF1" w:rsidRDefault="008B7CF1">
                <w:pPr>
                  <w:textAlignment w:val="center"/>
                  <w:rPr>
                    <w:rFonts w:cs="Arial"/>
                    <w:color w:val="000000"/>
                    <w:szCs w:val="18"/>
                  </w:rPr>
                </w:pPr>
                <w:r>
                  <w:rPr>
                    <w:rFonts w:cs="Arial"/>
                    <w:color w:val="000000"/>
                    <w:szCs w:val="18"/>
                  </w:rPr>
                  <w:t>Liddell</w:t>
                </w:r>
              </w:p>
            </w:tc>
            <w:tc>
              <w:tcPr>
                <w:tcW w:w="980" w:type="dxa"/>
                <w:vAlign w:val="center"/>
              </w:tcPr>
              <w:p w:rsidR="008B7CF1" w:rsidRDefault="008B7CF1">
                <w:pPr>
                  <w:jc w:val="center"/>
                  <w:textAlignment w:val="center"/>
                  <w:rPr>
                    <w:rFonts w:cs="Arial"/>
                    <w:color w:val="000000"/>
                    <w:szCs w:val="18"/>
                  </w:rPr>
                </w:pPr>
                <w:r>
                  <w:rPr>
                    <w:rFonts w:cs="Arial"/>
                    <w:color w:val="000000"/>
                    <w:szCs w:val="18"/>
                  </w:rPr>
                  <w:t>615</w:t>
                </w:r>
              </w:p>
            </w:tc>
            <w:tc>
              <w:tcPr>
                <w:tcW w:w="923" w:type="dxa"/>
                <w:vAlign w:val="center"/>
              </w:tcPr>
              <w:p w:rsidR="008B7CF1" w:rsidRDefault="008B7CF1">
                <w:pPr>
                  <w:jc w:val="center"/>
                  <w:textAlignment w:val="center"/>
                  <w:rPr>
                    <w:rFonts w:cs="Arial"/>
                    <w:color w:val="000000"/>
                    <w:szCs w:val="18"/>
                  </w:rPr>
                </w:pPr>
                <w:r>
                  <w:rPr>
                    <w:rFonts w:cs="Arial"/>
                    <w:color w:val="000000"/>
                    <w:szCs w:val="18"/>
                  </w:rPr>
                  <w:t>13 800</w:t>
                </w:r>
              </w:p>
            </w:tc>
            <w:tc>
              <w:tcPr>
                <w:tcW w:w="924" w:type="dxa"/>
                <w:vAlign w:val="center"/>
              </w:tcPr>
              <w:p w:rsidR="008B7CF1" w:rsidRDefault="008B7CF1">
                <w:pPr>
                  <w:jc w:val="center"/>
                  <w:textAlignment w:val="center"/>
                  <w:rPr>
                    <w:rFonts w:cs="Arial"/>
                    <w:color w:val="000000"/>
                    <w:szCs w:val="18"/>
                  </w:rPr>
                </w:pPr>
                <w:r>
                  <w:rPr>
                    <w:rFonts w:cs="Arial"/>
                    <w:color w:val="000000"/>
                    <w:szCs w:val="18"/>
                  </w:rPr>
                  <w:t>-1000</w:t>
                </w:r>
              </w:p>
            </w:tc>
            <w:tc>
              <w:tcPr>
                <w:tcW w:w="1586" w:type="dxa"/>
                <w:vAlign w:val="center"/>
              </w:tcPr>
              <w:p w:rsidR="008B7CF1" w:rsidRDefault="008B7CF1" w:rsidP="00B80409">
                <w:pPr>
                  <w:jc w:val="left"/>
                  <w:textAlignment w:val="center"/>
                  <w:rPr>
                    <w:rFonts w:cs="Arial"/>
                    <w:sz w:val="16"/>
                    <w:szCs w:val="16"/>
                  </w:rPr>
                </w:pPr>
                <w:r>
                  <w:rPr>
                    <w:rFonts w:cs="Arial"/>
                    <w:sz w:val="16"/>
                    <w:szCs w:val="16"/>
                  </w:rPr>
                  <w:t>1847A CONSTRAINT MANAGEMENT - N::V_CNUT_2 SL</w:t>
                </w:r>
              </w:p>
            </w:tc>
          </w:tr>
        </w:tbl>
        <w:p w:rsidR="005311D3" w:rsidRDefault="005311D3" w:rsidP="005311D3">
          <w:pPr>
            <w:pStyle w:val="Caption"/>
          </w:pPr>
          <w:r>
            <w:t>Significant ramp rate rebids for 6.30 pm</w:t>
          </w:r>
          <w:r w:rsidR="00F85A77">
            <w:t xml:space="preserve"> and 7 pm</w:t>
          </w:r>
        </w:p>
        <w:tbl>
          <w:tblPr>
            <w:tblStyle w:val="AERsummarytable"/>
            <w:tblW w:w="8679" w:type="dxa"/>
            <w:tblLayout w:type="fixed"/>
            <w:tblLook w:val="04A0" w:firstRow="1" w:lastRow="0" w:firstColumn="1" w:lastColumn="0" w:noHBand="0" w:noVBand="1"/>
          </w:tblPr>
          <w:tblGrid>
            <w:gridCol w:w="878"/>
            <w:gridCol w:w="966"/>
            <w:gridCol w:w="1148"/>
            <w:gridCol w:w="1106"/>
            <w:gridCol w:w="1050"/>
            <w:gridCol w:w="1049"/>
            <w:gridCol w:w="1050"/>
            <w:gridCol w:w="1432"/>
          </w:tblGrid>
          <w:tr w:rsidR="005311D3" w:rsidRPr="00FE396E" w:rsidTr="00237E08">
            <w:trPr>
              <w:cnfStyle w:val="100000000000" w:firstRow="1" w:lastRow="0" w:firstColumn="0" w:lastColumn="0" w:oddVBand="0" w:evenVBand="0" w:oddHBand="0" w:evenHBand="0" w:firstRowFirstColumn="0" w:firstRowLastColumn="0" w:lastRowFirstColumn="0" w:lastRowLastColumn="0"/>
              <w:trHeight w:val="780"/>
              <w:tblHeader/>
            </w:trPr>
            <w:tc>
              <w:tcPr>
                <w:tcW w:w="878" w:type="dxa"/>
              </w:tcPr>
              <w:p w:rsidR="005311D3" w:rsidRDefault="005311D3" w:rsidP="00AB3B54">
                <w:pPr>
                  <w:jc w:val="center"/>
                  <w:textAlignment w:val="top"/>
                  <w:rPr>
                    <w:sz w:val="2"/>
                    <w:szCs w:val="2"/>
                  </w:rPr>
                </w:pPr>
                <w:r>
                  <w:rPr>
                    <w:rStyle w:val="a531"/>
                  </w:rPr>
                  <w:t>Submit time</w:t>
                </w:r>
              </w:p>
            </w:tc>
            <w:tc>
              <w:tcPr>
                <w:tcW w:w="966" w:type="dxa"/>
              </w:tcPr>
              <w:p w:rsidR="005311D3" w:rsidRDefault="005311D3" w:rsidP="00AB3B54">
                <w:pPr>
                  <w:jc w:val="center"/>
                  <w:textAlignment w:val="top"/>
                  <w:rPr>
                    <w:sz w:val="2"/>
                    <w:szCs w:val="2"/>
                  </w:rPr>
                </w:pPr>
                <w:r>
                  <w:rPr>
                    <w:rStyle w:val="a571"/>
                  </w:rPr>
                  <w:t>Time</w:t>
                </w:r>
                <w:r>
                  <w:rPr>
                    <w:rFonts w:cs="Arial"/>
                    <w:color w:val="FFFFFF"/>
                    <w:szCs w:val="18"/>
                  </w:rPr>
                  <w:br/>
                </w:r>
                <w:r>
                  <w:rPr>
                    <w:rStyle w:val="a571"/>
                  </w:rPr>
                  <w:t>effective</w:t>
                </w:r>
              </w:p>
            </w:tc>
            <w:tc>
              <w:tcPr>
                <w:tcW w:w="1148" w:type="dxa"/>
                <w:hideMark/>
              </w:tcPr>
              <w:p w:rsidR="005311D3" w:rsidRDefault="005311D3" w:rsidP="00AB3B54">
                <w:pPr>
                  <w:jc w:val="center"/>
                  <w:textAlignment w:val="top"/>
                  <w:rPr>
                    <w:rFonts w:cs="Arial"/>
                    <w:color w:val="FFFFFF"/>
                    <w:szCs w:val="18"/>
                  </w:rPr>
                </w:pPr>
                <w:r>
                  <w:rPr>
                    <w:rFonts w:cs="Arial"/>
                    <w:color w:val="FFFFFF"/>
                    <w:szCs w:val="18"/>
                  </w:rPr>
                  <w:t>Participant</w:t>
                </w:r>
              </w:p>
            </w:tc>
            <w:tc>
              <w:tcPr>
                <w:tcW w:w="1106" w:type="dxa"/>
                <w:hideMark/>
              </w:tcPr>
              <w:p w:rsidR="005311D3" w:rsidRDefault="005311D3" w:rsidP="00AB3B54">
                <w:pPr>
                  <w:jc w:val="center"/>
                  <w:textAlignment w:val="top"/>
                  <w:rPr>
                    <w:rFonts w:cs="Arial"/>
                    <w:color w:val="FFFFFF"/>
                    <w:szCs w:val="18"/>
                  </w:rPr>
                </w:pPr>
                <w:r>
                  <w:rPr>
                    <w:rFonts w:cs="Arial"/>
                    <w:color w:val="FFFFFF"/>
                    <w:szCs w:val="18"/>
                  </w:rPr>
                  <w:t>Station</w:t>
                </w:r>
              </w:p>
            </w:tc>
            <w:tc>
              <w:tcPr>
                <w:tcW w:w="1050" w:type="dxa"/>
                <w:hideMark/>
              </w:tcPr>
              <w:p w:rsidR="005311D3" w:rsidRDefault="005311D3" w:rsidP="00AB3B54">
                <w:pPr>
                  <w:jc w:val="center"/>
                  <w:textAlignment w:val="top"/>
                  <w:rPr>
                    <w:sz w:val="2"/>
                    <w:szCs w:val="2"/>
                  </w:rPr>
                </w:pPr>
                <w:r>
                  <w:rPr>
                    <w:rStyle w:val="a691"/>
                  </w:rPr>
                  <w:t>Capacity rebid</w:t>
                </w:r>
                <w:r>
                  <w:rPr>
                    <w:rFonts w:cs="Arial"/>
                    <w:color w:val="FFFFFF"/>
                    <w:szCs w:val="18"/>
                  </w:rPr>
                  <w:br/>
                </w:r>
                <w:r>
                  <w:rPr>
                    <w:rStyle w:val="a691"/>
                  </w:rPr>
                  <w:t>(MW/min)</w:t>
                </w:r>
              </w:p>
            </w:tc>
            <w:tc>
              <w:tcPr>
                <w:tcW w:w="1049" w:type="dxa"/>
                <w:hideMark/>
              </w:tcPr>
              <w:p w:rsidR="005311D3" w:rsidRDefault="005311D3" w:rsidP="005311D3">
                <w:pPr>
                  <w:jc w:val="center"/>
                  <w:textAlignment w:val="top"/>
                  <w:rPr>
                    <w:sz w:val="2"/>
                    <w:szCs w:val="2"/>
                  </w:rPr>
                </w:pPr>
                <w:r>
                  <w:rPr>
                    <w:rStyle w:val="a731"/>
                  </w:rPr>
                  <w:t xml:space="preserve">Ramp down rate from </w:t>
                </w:r>
                <w:r>
                  <w:rPr>
                    <w:rStyle w:val="a691"/>
                  </w:rPr>
                  <w:t>(MW/min</w:t>
                </w:r>
                <w:r>
                  <w:rPr>
                    <w:rStyle w:val="a731"/>
                  </w:rPr>
                  <w:t>)</w:t>
                </w:r>
              </w:p>
            </w:tc>
            <w:tc>
              <w:tcPr>
                <w:tcW w:w="1050" w:type="dxa"/>
                <w:hideMark/>
              </w:tcPr>
              <w:p w:rsidR="005311D3" w:rsidRDefault="005311D3" w:rsidP="00AB3B54">
                <w:pPr>
                  <w:jc w:val="center"/>
                  <w:textAlignment w:val="top"/>
                  <w:rPr>
                    <w:sz w:val="2"/>
                    <w:szCs w:val="2"/>
                  </w:rPr>
                </w:pPr>
                <w:r>
                  <w:rPr>
                    <w:rStyle w:val="a771"/>
                  </w:rPr>
                  <w:t>Ramp down rate to (</w:t>
                </w:r>
                <w:r>
                  <w:rPr>
                    <w:rStyle w:val="a691"/>
                  </w:rPr>
                  <w:t>MW/min</w:t>
                </w:r>
                <w:r>
                  <w:rPr>
                    <w:rStyle w:val="a771"/>
                  </w:rPr>
                  <w:t>)</w:t>
                </w:r>
              </w:p>
            </w:tc>
            <w:tc>
              <w:tcPr>
                <w:tcW w:w="1432" w:type="dxa"/>
                <w:hideMark/>
              </w:tcPr>
              <w:p w:rsidR="005311D3" w:rsidRDefault="005311D3" w:rsidP="00AB3B54">
                <w:pPr>
                  <w:jc w:val="center"/>
                  <w:textAlignment w:val="top"/>
                  <w:rPr>
                    <w:rFonts w:cs="Arial"/>
                    <w:color w:val="FFFFFF"/>
                    <w:szCs w:val="18"/>
                  </w:rPr>
                </w:pPr>
                <w:r>
                  <w:rPr>
                    <w:rFonts w:cs="Arial"/>
                    <w:color w:val="FFFFFF"/>
                    <w:szCs w:val="18"/>
                  </w:rPr>
                  <w:t>Rebid reason</w:t>
                </w:r>
              </w:p>
            </w:tc>
          </w:tr>
          <w:tr w:rsidR="005311D3" w:rsidRPr="00FE396E" w:rsidTr="00237E08">
            <w:trPr>
              <w:cnfStyle w:val="000000100000" w:firstRow="0" w:lastRow="0" w:firstColumn="0" w:lastColumn="0" w:oddVBand="0" w:evenVBand="0" w:oddHBand="1" w:evenHBand="0" w:firstRowFirstColumn="0" w:firstRowLastColumn="0" w:lastRowFirstColumn="0" w:lastRowLastColumn="0"/>
              <w:trHeight w:val="606"/>
            </w:trPr>
            <w:tc>
              <w:tcPr>
                <w:tcW w:w="878" w:type="dxa"/>
                <w:vAlign w:val="center"/>
              </w:tcPr>
              <w:p w:rsidR="005311D3" w:rsidRDefault="005311D3" w:rsidP="00AB3B54">
                <w:pPr>
                  <w:jc w:val="center"/>
                  <w:textAlignment w:val="center"/>
                  <w:rPr>
                    <w:rFonts w:cs="Arial"/>
                    <w:color w:val="000000"/>
                    <w:szCs w:val="18"/>
                  </w:rPr>
                </w:pPr>
                <w:r>
                  <w:rPr>
                    <w:rFonts w:cs="Arial"/>
                    <w:color w:val="000000"/>
                    <w:szCs w:val="18"/>
                  </w:rPr>
                  <w:t>3.23 pm</w:t>
                </w:r>
              </w:p>
            </w:tc>
            <w:tc>
              <w:tcPr>
                <w:tcW w:w="966" w:type="dxa"/>
                <w:vAlign w:val="center"/>
              </w:tcPr>
              <w:p w:rsidR="005311D3" w:rsidRDefault="005311D3" w:rsidP="00AB3B54">
                <w:pPr>
                  <w:jc w:val="center"/>
                  <w:rPr>
                    <w:sz w:val="24"/>
                    <w:szCs w:val="24"/>
                  </w:rPr>
                </w:pPr>
              </w:p>
            </w:tc>
            <w:tc>
              <w:tcPr>
                <w:tcW w:w="1148" w:type="dxa"/>
                <w:vAlign w:val="center"/>
              </w:tcPr>
              <w:p w:rsidR="005311D3" w:rsidRDefault="005311D3" w:rsidP="005311D3">
                <w:pPr>
                  <w:textAlignment w:val="center"/>
                  <w:rPr>
                    <w:rFonts w:cs="Arial"/>
                    <w:color w:val="000000"/>
                    <w:szCs w:val="18"/>
                  </w:rPr>
                </w:pPr>
                <w:r>
                  <w:rPr>
                    <w:rFonts w:cs="Arial"/>
                    <w:color w:val="000000"/>
                    <w:szCs w:val="18"/>
                  </w:rPr>
                  <w:t>Snowy Hydro</w:t>
                </w:r>
              </w:p>
            </w:tc>
            <w:tc>
              <w:tcPr>
                <w:tcW w:w="1106" w:type="dxa"/>
                <w:vAlign w:val="center"/>
              </w:tcPr>
              <w:p w:rsidR="005311D3" w:rsidRDefault="005311D3" w:rsidP="005311D3">
                <w:pPr>
                  <w:textAlignment w:val="center"/>
                  <w:rPr>
                    <w:rFonts w:cs="Arial"/>
                    <w:color w:val="000000"/>
                    <w:szCs w:val="18"/>
                  </w:rPr>
                </w:pPr>
                <w:r>
                  <w:rPr>
                    <w:rFonts w:cs="Arial"/>
                    <w:color w:val="000000"/>
                    <w:szCs w:val="18"/>
                  </w:rPr>
                  <w:t>Tumut 3</w:t>
                </w:r>
                <w:r>
                  <w:rPr>
                    <w:rFonts w:cs="Arial"/>
                    <w:color w:val="000000"/>
                    <w:szCs w:val="18"/>
                  </w:rPr>
                  <w:br/>
                  <w:t>Upper Tumut</w:t>
                </w:r>
              </w:p>
            </w:tc>
            <w:tc>
              <w:tcPr>
                <w:tcW w:w="1050" w:type="dxa"/>
                <w:vAlign w:val="center"/>
              </w:tcPr>
              <w:p w:rsidR="005311D3" w:rsidRDefault="005311D3" w:rsidP="00AB3B54">
                <w:pPr>
                  <w:jc w:val="center"/>
                  <w:textAlignment w:val="center"/>
                  <w:rPr>
                    <w:rFonts w:cs="Arial"/>
                    <w:color w:val="000000"/>
                    <w:szCs w:val="18"/>
                  </w:rPr>
                </w:pPr>
                <w:r>
                  <w:rPr>
                    <w:rFonts w:cs="Arial"/>
                    <w:color w:val="000000"/>
                    <w:szCs w:val="18"/>
                  </w:rPr>
                  <w:t>-47</w:t>
                </w:r>
              </w:p>
            </w:tc>
            <w:tc>
              <w:tcPr>
                <w:tcW w:w="1049" w:type="dxa"/>
                <w:vAlign w:val="center"/>
              </w:tcPr>
              <w:p w:rsidR="005311D3" w:rsidRDefault="005311D3" w:rsidP="00AB3B54">
                <w:pPr>
                  <w:jc w:val="center"/>
                  <w:textAlignment w:val="center"/>
                  <w:rPr>
                    <w:rFonts w:cs="Arial"/>
                    <w:color w:val="000000"/>
                    <w:szCs w:val="18"/>
                  </w:rPr>
                </w:pPr>
                <w:r>
                  <w:rPr>
                    <w:rFonts w:cs="Arial"/>
                    <w:color w:val="000000"/>
                    <w:szCs w:val="18"/>
                  </w:rPr>
                  <w:t>50</w:t>
                </w:r>
              </w:p>
            </w:tc>
            <w:tc>
              <w:tcPr>
                <w:tcW w:w="1050" w:type="dxa"/>
                <w:vAlign w:val="center"/>
              </w:tcPr>
              <w:p w:rsidR="005311D3" w:rsidRDefault="005311D3" w:rsidP="00AB3B54">
                <w:pPr>
                  <w:jc w:val="center"/>
                  <w:textAlignment w:val="center"/>
                  <w:rPr>
                    <w:rFonts w:cs="Arial"/>
                    <w:color w:val="000000"/>
                    <w:szCs w:val="18"/>
                  </w:rPr>
                </w:pPr>
                <w:r>
                  <w:rPr>
                    <w:rFonts w:cs="Arial"/>
                    <w:color w:val="000000"/>
                    <w:szCs w:val="18"/>
                  </w:rPr>
                  <w:t>3</w:t>
                </w:r>
              </w:p>
            </w:tc>
            <w:tc>
              <w:tcPr>
                <w:tcW w:w="1432" w:type="dxa"/>
                <w:vAlign w:val="center"/>
              </w:tcPr>
              <w:p w:rsidR="005311D3" w:rsidRDefault="005311D3" w:rsidP="00AB3B54">
                <w:pPr>
                  <w:jc w:val="left"/>
                  <w:textAlignment w:val="center"/>
                  <w:rPr>
                    <w:rFonts w:cs="Arial"/>
                    <w:color w:val="000000"/>
                    <w:szCs w:val="18"/>
                  </w:rPr>
                </w:pPr>
                <w:r>
                  <w:rPr>
                    <w:rFonts w:cs="Arial"/>
                    <w:sz w:val="16"/>
                    <w:szCs w:val="16"/>
                  </w:rPr>
                  <w:t>15:22:P PLANT TEST RUN: GUTH U1 DELAYED</w:t>
                </w:r>
              </w:p>
            </w:tc>
          </w:tr>
          <w:tr w:rsidR="007A4650" w:rsidRPr="00FE396E" w:rsidTr="00237E08">
            <w:trPr>
              <w:cnfStyle w:val="000000010000" w:firstRow="0" w:lastRow="0" w:firstColumn="0" w:lastColumn="0" w:oddVBand="0" w:evenVBand="0" w:oddHBand="0" w:evenHBand="1" w:firstRowFirstColumn="0" w:firstRowLastColumn="0" w:lastRowFirstColumn="0" w:lastRowLastColumn="0"/>
              <w:trHeight w:val="606"/>
            </w:trPr>
            <w:tc>
              <w:tcPr>
                <w:tcW w:w="878" w:type="dxa"/>
                <w:vAlign w:val="center"/>
              </w:tcPr>
              <w:p w:rsidR="007A4650" w:rsidRDefault="007A4650" w:rsidP="007A4650">
                <w:pPr>
                  <w:jc w:val="center"/>
                  <w:textAlignment w:val="center"/>
                  <w:rPr>
                    <w:rFonts w:cs="Arial"/>
                    <w:color w:val="000000"/>
                    <w:szCs w:val="18"/>
                  </w:rPr>
                </w:pPr>
                <w:r>
                  <w:rPr>
                    <w:rFonts w:cs="Arial"/>
                    <w:color w:val="000000"/>
                    <w:szCs w:val="18"/>
                  </w:rPr>
                  <w:t>5.38 pm</w:t>
                </w:r>
              </w:p>
            </w:tc>
            <w:tc>
              <w:tcPr>
                <w:tcW w:w="966" w:type="dxa"/>
                <w:vAlign w:val="center"/>
              </w:tcPr>
              <w:p w:rsidR="007A4650" w:rsidRDefault="007A4650" w:rsidP="00AB3B54">
                <w:pPr>
                  <w:jc w:val="center"/>
                  <w:rPr>
                    <w:sz w:val="24"/>
                    <w:szCs w:val="24"/>
                  </w:rPr>
                </w:pPr>
              </w:p>
            </w:tc>
            <w:tc>
              <w:tcPr>
                <w:tcW w:w="1148" w:type="dxa"/>
                <w:vAlign w:val="center"/>
              </w:tcPr>
              <w:p w:rsidR="007A4650" w:rsidRDefault="007A4650" w:rsidP="00AB3B54">
                <w:pPr>
                  <w:textAlignment w:val="center"/>
                  <w:rPr>
                    <w:rFonts w:cs="Arial"/>
                    <w:color w:val="000000"/>
                    <w:szCs w:val="18"/>
                  </w:rPr>
                </w:pPr>
                <w:r>
                  <w:rPr>
                    <w:rFonts w:cs="Arial"/>
                    <w:color w:val="000000"/>
                    <w:szCs w:val="18"/>
                  </w:rPr>
                  <w:t>Snowy Hydro</w:t>
                </w:r>
              </w:p>
            </w:tc>
            <w:tc>
              <w:tcPr>
                <w:tcW w:w="1106" w:type="dxa"/>
                <w:vAlign w:val="center"/>
              </w:tcPr>
              <w:p w:rsidR="007A4650" w:rsidRDefault="007A4650" w:rsidP="00AB3B54">
                <w:pPr>
                  <w:textAlignment w:val="center"/>
                  <w:rPr>
                    <w:rFonts w:cs="Arial"/>
                    <w:color w:val="000000"/>
                    <w:szCs w:val="18"/>
                  </w:rPr>
                </w:pPr>
                <w:r>
                  <w:rPr>
                    <w:rFonts w:cs="Arial"/>
                    <w:color w:val="000000"/>
                    <w:szCs w:val="18"/>
                  </w:rPr>
                  <w:t>Guthega</w:t>
                </w:r>
              </w:p>
            </w:tc>
            <w:tc>
              <w:tcPr>
                <w:tcW w:w="1050" w:type="dxa"/>
                <w:vAlign w:val="center"/>
              </w:tcPr>
              <w:p w:rsidR="007A4650" w:rsidRDefault="007A4650" w:rsidP="007A4650">
                <w:pPr>
                  <w:jc w:val="center"/>
                  <w:textAlignment w:val="center"/>
                  <w:rPr>
                    <w:rFonts w:cs="Arial"/>
                    <w:color w:val="000000"/>
                    <w:szCs w:val="18"/>
                  </w:rPr>
                </w:pPr>
                <w:r>
                  <w:rPr>
                    <w:rFonts w:cs="Arial"/>
                    <w:color w:val="000000"/>
                    <w:szCs w:val="18"/>
                  </w:rPr>
                  <w:t>-8</w:t>
                </w:r>
              </w:p>
            </w:tc>
            <w:tc>
              <w:tcPr>
                <w:tcW w:w="1049" w:type="dxa"/>
                <w:vAlign w:val="center"/>
              </w:tcPr>
              <w:p w:rsidR="007A4650" w:rsidRDefault="007A4650" w:rsidP="00AB3B54">
                <w:pPr>
                  <w:jc w:val="center"/>
                  <w:textAlignment w:val="center"/>
                  <w:rPr>
                    <w:rFonts w:cs="Arial"/>
                    <w:color w:val="000000"/>
                    <w:szCs w:val="18"/>
                  </w:rPr>
                </w:pPr>
                <w:r>
                  <w:rPr>
                    <w:rFonts w:cs="Arial"/>
                    <w:color w:val="000000"/>
                    <w:szCs w:val="18"/>
                  </w:rPr>
                  <w:t>10</w:t>
                </w:r>
              </w:p>
            </w:tc>
            <w:tc>
              <w:tcPr>
                <w:tcW w:w="1050" w:type="dxa"/>
                <w:vAlign w:val="center"/>
              </w:tcPr>
              <w:p w:rsidR="007A4650" w:rsidRDefault="007A4650" w:rsidP="00AB3B54">
                <w:pPr>
                  <w:jc w:val="center"/>
                  <w:textAlignment w:val="center"/>
                  <w:rPr>
                    <w:rFonts w:cs="Arial"/>
                    <w:color w:val="000000"/>
                    <w:szCs w:val="18"/>
                  </w:rPr>
                </w:pPr>
                <w:r>
                  <w:rPr>
                    <w:rFonts w:cs="Arial"/>
                    <w:color w:val="000000"/>
                    <w:szCs w:val="18"/>
                  </w:rPr>
                  <w:t>2</w:t>
                </w:r>
              </w:p>
            </w:tc>
            <w:tc>
              <w:tcPr>
                <w:tcW w:w="1432" w:type="dxa"/>
                <w:vAlign w:val="center"/>
              </w:tcPr>
              <w:p w:rsidR="007A4650" w:rsidRDefault="007A4650" w:rsidP="00350712">
                <w:pPr>
                  <w:jc w:val="left"/>
                  <w:textAlignment w:val="center"/>
                  <w:rPr>
                    <w:rFonts w:cs="Arial"/>
                    <w:color w:val="000000"/>
                    <w:szCs w:val="18"/>
                  </w:rPr>
                </w:pPr>
                <w:r>
                  <w:rPr>
                    <w:rFonts w:cs="Arial"/>
                    <w:sz w:val="16"/>
                    <w:szCs w:val="16"/>
                  </w:rPr>
                  <w:t>17:36 A NSW: 5MPD PRICE $10,918.81 HGR THN 5MPD 17:50@17:31</w:t>
                </w:r>
              </w:p>
            </w:tc>
          </w:tr>
          <w:tr w:rsidR="00A46989" w:rsidRPr="00FE396E" w:rsidTr="00237E08">
            <w:trPr>
              <w:cnfStyle w:val="000000100000" w:firstRow="0" w:lastRow="0" w:firstColumn="0" w:lastColumn="0" w:oddVBand="0" w:evenVBand="0" w:oddHBand="1" w:evenHBand="0" w:firstRowFirstColumn="0" w:firstRowLastColumn="0" w:lastRowFirstColumn="0" w:lastRowLastColumn="0"/>
              <w:trHeight w:val="606"/>
            </w:trPr>
            <w:tc>
              <w:tcPr>
                <w:tcW w:w="878" w:type="dxa"/>
                <w:vAlign w:val="center"/>
              </w:tcPr>
              <w:p w:rsidR="00A46989" w:rsidRDefault="00A46989" w:rsidP="00AB3B54">
                <w:pPr>
                  <w:jc w:val="center"/>
                  <w:textAlignment w:val="center"/>
                  <w:rPr>
                    <w:rFonts w:cs="Arial"/>
                    <w:color w:val="000000"/>
                    <w:szCs w:val="18"/>
                  </w:rPr>
                </w:pPr>
                <w:r>
                  <w:rPr>
                    <w:rFonts w:cs="Arial"/>
                    <w:color w:val="000000"/>
                    <w:szCs w:val="18"/>
                  </w:rPr>
                  <w:t>5.53 pm</w:t>
                </w:r>
              </w:p>
            </w:tc>
            <w:tc>
              <w:tcPr>
                <w:tcW w:w="966" w:type="dxa"/>
                <w:vAlign w:val="center"/>
              </w:tcPr>
              <w:p w:rsidR="00A46989" w:rsidRPr="00A46989" w:rsidRDefault="00A46989" w:rsidP="00A46989">
                <w:pPr>
                  <w:jc w:val="center"/>
                  <w:rPr>
                    <w:rFonts w:cs="Arial"/>
                    <w:color w:val="000000"/>
                    <w:szCs w:val="18"/>
                  </w:rPr>
                </w:pPr>
                <w:r w:rsidRPr="005639B2">
                  <w:rPr>
                    <w:rFonts w:cs="Arial"/>
                    <w:color w:val="000000"/>
                    <w:szCs w:val="18"/>
                  </w:rPr>
                  <w:t>6.</w:t>
                </w:r>
                <w:r>
                  <w:rPr>
                    <w:rFonts w:cs="Arial"/>
                    <w:color w:val="000000"/>
                    <w:szCs w:val="18"/>
                  </w:rPr>
                  <w:t>05</w:t>
                </w:r>
                <w:r w:rsidRPr="005639B2">
                  <w:rPr>
                    <w:rFonts w:cs="Arial"/>
                    <w:color w:val="000000"/>
                    <w:szCs w:val="18"/>
                  </w:rPr>
                  <w:t> pm</w:t>
                </w:r>
              </w:p>
            </w:tc>
            <w:tc>
              <w:tcPr>
                <w:tcW w:w="1148" w:type="dxa"/>
                <w:vAlign w:val="center"/>
              </w:tcPr>
              <w:p w:rsidR="00A46989" w:rsidRDefault="00A46989" w:rsidP="00AB3B54">
                <w:pPr>
                  <w:textAlignment w:val="center"/>
                  <w:rPr>
                    <w:rFonts w:cs="Arial"/>
                    <w:color w:val="000000"/>
                    <w:szCs w:val="18"/>
                  </w:rPr>
                </w:pPr>
                <w:r>
                  <w:rPr>
                    <w:rFonts w:cs="Arial"/>
                    <w:color w:val="000000"/>
                    <w:szCs w:val="18"/>
                  </w:rPr>
                  <w:t>Snowy Hydro</w:t>
                </w:r>
              </w:p>
            </w:tc>
            <w:tc>
              <w:tcPr>
                <w:tcW w:w="1106" w:type="dxa"/>
                <w:vAlign w:val="center"/>
              </w:tcPr>
              <w:p w:rsidR="00A46989" w:rsidRDefault="00A46989" w:rsidP="00AB3B54">
                <w:pPr>
                  <w:textAlignment w:val="center"/>
                  <w:rPr>
                    <w:rFonts w:cs="Arial"/>
                    <w:color w:val="000000"/>
                    <w:szCs w:val="18"/>
                  </w:rPr>
                </w:pPr>
                <w:r>
                  <w:rPr>
                    <w:rFonts w:cs="Arial"/>
                    <w:color w:val="000000"/>
                    <w:szCs w:val="18"/>
                  </w:rPr>
                  <w:t>Tumut 3</w:t>
                </w:r>
                <w:r>
                  <w:rPr>
                    <w:rFonts w:cs="Arial"/>
                    <w:color w:val="000000"/>
                    <w:szCs w:val="18"/>
                  </w:rPr>
                  <w:br/>
                  <w:t>Upper Tumut</w:t>
                </w:r>
              </w:p>
            </w:tc>
            <w:tc>
              <w:tcPr>
                <w:tcW w:w="1050" w:type="dxa"/>
                <w:vAlign w:val="center"/>
              </w:tcPr>
              <w:p w:rsidR="00A46989" w:rsidRDefault="00A46989" w:rsidP="00AB3B54">
                <w:pPr>
                  <w:jc w:val="center"/>
                  <w:textAlignment w:val="center"/>
                  <w:rPr>
                    <w:rFonts w:cs="Arial"/>
                    <w:color w:val="000000"/>
                    <w:szCs w:val="18"/>
                  </w:rPr>
                </w:pPr>
                <w:r>
                  <w:rPr>
                    <w:rFonts w:cs="Arial"/>
                    <w:color w:val="000000"/>
                    <w:szCs w:val="18"/>
                  </w:rPr>
                  <w:t>23</w:t>
                </w:r>
              </w:p>
            </w:tc>
            <w:tc>
              <w:tcPr>
                <w:tcW w:w="1049" w:type="dxa"/>
                <w:vAlign w:val="center"/>
              </w:tcPr>
              <w:p w:rsidR="00A46989" w:rsidRDefault="00A46989" w:rsidP="00AB3B54">
                <w:pPr>
                  <w:jc w:val="center"/>
                  <w:textAlignment w:val="center"/>
                  <w:rPr>
                    <w:rFonts w:cs="Arial"/>
                    <w:color w:val="000000"/>
                    <w:szCs w:val="18"/>
                  </w:rPr>
                </w:pPr>
                <w:r>
                  <w:rPr>
                    <w:rFonts w:cs="Arial"/>
                    <w:color w:val="000000"/>
                    <w:szCs w:val="18"/>
                  </w:rPr>
                  <w:t>3</w:t>
                </w:r>
              </w:p>
            </w:tc>
            <w:tc>
              <w:tcPr>
                <w:tcW w:w="1050" w:type="dxa"/>
                <w:vAlign w:val="center"/>
              </w:tcPr>
              <w:p w:rsidR="00A46989" w:rsidRDefault="00A46989" w:rsidP="00AB3B54">
                <w:pPr>
                  <w:jc w:val="center"/>
                  <w:textAlignment w:val="center"/>
                  <w:rPr>
                    <w:rFonts w:cs="Arial"/>
                    <w:color w:val="000000"/>
                    <w:szCs w:val="18"/>
                  </w:rPr>
                </w:pPr>
                <w:r>
                  <w:rPr>
                    <w:rFonts w:cs="Arial"/>
                    <w:color w:val="000000"/>
                    <w:szCs w:val="18"/>
                  </w:rPr>
                  <w:t>26</w:t>
                </w:r>
              </w:p>
            </w:tc>
            <w:tc>
              <w:tcPr>
                <w:tcW w:w="1432" w:type="dxa"/>
                <w:vAlign w:val="center"/>
              </w:tcPr>
              <w:p w:rsidR="00A46989" w:rsidRDefault="00A46989" w:rsidP="00AB3B54">
                <w:pPr>
                  <w:jc w:val="left"/>
                  <w:textAlignment w:val="center"/>
                  <w:rPr>
                    <w:rFonts w:cs="Arial"/>
                    <w:color w:val="000000"/>
                    <w:szCs w:val="18"/>
                  </w:rPr>
                </w:pPr>
                <w:r>
                  <w:rPr>
                    <w:rFonts w:cs="Arial"/>
                    <w:sz w:val="16"/>
                    <w:szCs w:val="16"/>
                  </w:rPr>
                  <w:t>17:51 A NSW: 5MPD PRICE $10,408.05 LWR THN 30MPD 18:05@17:32</w:t>
                </w:r>
              </w:p>
            </w:tc>
          </w:tr>
          <w:tr w:rsidR="00A46989" w:rsidRPr="00FE396E" w:rsidTr="00237E08">
            <w:trPr>
              <w:cnfStyle w:val="000000010000" w:firstRow="0" w:lastRow="0" w:firstColumn="0" w:lastColumn="0" w:oddVBand="0" w:evenVBand="0" w:oddHBand="0" w:evenHBand="1" w:firstRowFirstColumn="0" w:firstRowLastColumn="0" w:lastRowFirstColumn="0" w:lastRowLastColumn="0"/>
              <w:trHeight w:val="606"/>
            </w:trPr>
            <w:tc>
              <w:tcPr>
                <w:tcW w:w="878" w:type="dxa"/>
                <w:vAlign w:val="center"/>
              </w:tcPr>
              <w:p w:rsidR="00A46989" w:rsidRDefault="00A46989" w:rsidP="00AB3B54">
                <w:pPr>
                  <w:jc w:val="center"/>
                  <w:textAlignment w:val="center"/>
                  <w:rPr>
                    <w:rFonts w:cs="Arial"/>
                    <w:color w:val="000000"/>
                    <w:szCs w:val="18"/>
                  </w:rPr>
                </w:pPr>
                <w:r>
                  <w:rPr>
                    <w:rFonts w:cs="Arial"/>
                    <w:color w:val="000000"/>
                    <w:szCs w:val="18"/>
                  </w:rPr>
                  <w:t>5.53 pm</w:t>
                </w:r>
              </w:p>
            </w:tc>
            <w:tc>
              <w:tcPr>
                <w:tcW w:w="966" w:type="dxa"/>
                <w:vAlign w:val="center"/>
              </w:tcPr>
              <w:p w:rsidR="00A46989" w:rsidRPr="00A46989" w:rsidRDefault="00A46989" w:rsidP="00A46989">
                <w:pPr>
                  <w:jc w:val="center"/>
                  <w:rPr>
                    <w:rFonts w:cs="Arial"/>
                    <w:color w:val="000000"/>
                    <w:szCs w:val="18"/>
                  </w:rPr>
                </w:pPr>
                <w:r w:rsidRPr="005639B2">
                  <w:rPr>
                    <w:rFonts w:cs="Arial"/>
                    <w:color w:val="000000"/>
                    <w:szCs w:val="18"/>
                  </w:rPr>
                  <w:t>6.</w:t>
                </w:r>
                <w:r>
                  <w:rPr>
                    <w:rFonts w:cs="Arial"/>
                    <w:color w:val="000000"/>
                    <w:szCs w:val="18"/>
                  </w:rPr>
                  <w:t>05</w:t>
                </w:r>
                <w:r w:rsidRPr="005639B2">
                  <w:rPr>
                    <w:rFonts w:cs="Arial"/>
                    <w:color w:val="000000"/>
                    <w:szCs w:val="18"/>
                  </w:rPr>
                  <w:t> pm</w:t>
                </w:r>
              </w:p>
            </w:tc>
            <w:tc>
              <w:tcPr>
                <w:tcW w:w="1148" w:type="dxa"/>
                <w:vAlign w:val="center"/>
              </w:tcPr>
              <w:p w:rsidR="00A46989" w:rsidRDefault="00A46989" w:rsidP="00AB3B54">
                <w:pPr>
                  <w:textAlignment w:val="center"/>
                  <w:rPr>
                    <w:rFonts w:cs="Arial"/>
                    <w:color w:val="000000"/>
                    <w:szCs w:val="18"/>
                  </w:rPr>
                </w:pPr>
                <w:r>
                  <w:rPr>
                    <w:rFonts w:cs="Arial"/>
                    <w:color w:val="000000"/>
                    <w:szCs w:val="18"/>
                  </w:rPr>
                  <w:t>Snowy Hydro</w:t>
                </w:r>
              </w:p>
            </w:tc>
            <w:tc>
              <w:tcPr>
                <w:tcW w:w="1106" w:type="dxa"/>
                <w:vAlign w:val="center"/>
              </w:tcPr>
              <w:p w:rsidR="00A46989" w:rsidRDefault="00A46989" w:rsidP="00AB3B54">
                <w:pPr>
                  <w:textAlignment w:val="center"/>
                  <w:rPr>
                    <w:rFonts w:cs="Arial"/>
                    <w:color w:val="000000"/>
                    <w:szCs w:val="18"/>
                  </w:rPr>
                </w:pPr>
                <w:r>
                  <w:rPr>
                    <w:rFonts w:cs="Arial"/>
                    <w:color w:val="000000"/>
                    <w:szCs w:val="18"/>
                  </w:rPr>
                  <w:t>Guthega</w:t>
                </w:r>
              </w:p>
            </w:tc>
            <w:tc>
              <w:tcPr>
                <w:tcW w:w="1050" w:type="dxa"/>
                <w:vAlign w:val="center"/>
              </w:tcPr>
              <w:p w:rsidR="00A46989" w:rsidRDefault="00A46989" w:rsidP="00AB3B54">
                <w:pPr>
                  <w:jc w:val="center"/>
                  <w:textAlignment w:val="center"/>
                  <w:rPr>
                    <w:rFonts w:cs="Arial"/>
                    <w:color w:val="000000"/>
                    <w:szCs w:val="18"/>
                  </w:rPr>
                </w:pPr>
                <w:r>
                  <w:rPr>
                    <w:rFonts w:cs="Arial"/>
                    <w:color w:val="000000"/>
                    <w:szCs w:val="18"/>
                  </w:rPr>
                  <w:t>2</w:t>
                </w:r>
              </w:p>
            </w:tc>
            <w:tc>
              <w:tcPr>
                <w:tcW w:w="1049" w:type="dxa"/>
                <w:vAlign w:val="center"/>
              </w:tcPr>
              <w:p w:rsidR="00A46989" w:rsidRDefault="00A46989" w:rsidP="00AB3B54">
                <w:pPr>
                  <w:jc w:val="center"/>
                  <w:textAlignment w:val="center"/>
                  <w:rPr>
                    <w:rFonts w:cs="Arial"/>
                    <w:color w:val="000000"/>
                    <w:szCs w:val="18"/>
                  </w:rPr>
                </w:pPr>
                <w:r>
                  <w:rPr>
                    <w:rFonts w:cs="Arial"/>
                    <w:color w:val="000000"/>
                    <w:szCs w:val="18"/>
                  </w:rPr>
                  <w:t>2</w:t>
                </w:r>
              </w:p>
            </w:tc>
            <w:tc>
              <w:tcPr>
                <w:tcW w:w="1050" w:type="dxa"/>
                <w:vAlign w:val="center"/>
              </w:tcPr>
              <w:p w:rsidR="00A46989" w:rsidRDefault="00A46989" w:rsidP="00AB3B54">
                <w:pPr>
                  <w:jc w:val="center"/>
                  <w:textAlignment w:val="center"/>
                  <w:rPr>
                    <w:rFonts w:cs="Arial"/>
                    <w:color w:val="000000"/>
                    <w:szCs w:val="18"/>
                  </w:rPr>
                </w:pPr>
                <w:r>
                  <w:rPr>
                    <w:rFonts w:cs="Arial"/>
                    <w:color w:val="000000"/>
                    <w:szCs w:val="18"/>
                  </w:rPr>
                  <w:t>4</w:t>
                </w:r>
              </w:p>
            </w:tc>
            <w:tc>
              <w:tcPr>
                <w:tcW w:w="1432" w:type="dxa"/>
                <w:vAlign w:val="center"/>
              </w:tcPr>
              <w:p w:rsidR="00A46989" w:rsidRDefault="00A46989" w:rsidP="00AB3B54">
                <w:pPr>
                  <w:jc w:val="left"/>
                  <w:textAlignment w:val="center"/>
                  <w:rPr>
                    <w:rFonts w:cs="Arial"/>
                    <w:color w:val="000000"/>
                    <w:szCs w:val="18"/>
                  </w:rPr>
                </w:pPr>
                <w:r>
                  <w:rPr>
                    <w:rFonts w:cs="Arial"/>
                    <w:sz w:val="16"/>
                    <w:szCs w:val="16"/>
                  </w:rPr>
                  <w:t>17:51 A NSW: 5MPD PRICE $10,408.05 LWR THN 30MPD 18:05@17:32</w:t>
                </w:r>
              </w:p>
            </w:tc>
          </w:tr>
          <w:tr w:rsidR="007A4650" w:rsidRPr="00FE396E" w:rsidTr="00237E08">
            <w:trPr>
              <w:cnfStyle w:val="000000100000" w:firstRow="0" w:lastRow="0" w:firstColumn="0" w:lastColumn="0" w:oddVBand="0" w:evenVBand="0" w:oddHBand="1" w:evenHBand="0" w:firstRowFirstColumn="0" w:firstRowLastColumn="0" w:lastRowFirstColumn="0" w:lastRowLastColumn="0"/>
              <w:trHeight w:val="606"/>
            </w:trPr>
            <w:tc>
              <w:tcPr>
                <w:tcW w:w="878" w:type="dxa"/>
                <w:vAlign w:val="center"/>
              </w:tcPr>
              <w:p w:rsidR="007A4650" w:rsidRDefault="007A4650" w:rsidP="00A46989">
                <w:pPr>
                  <w:jc w:val="center"/>
                  <w:textAlignment w:val="center"/>
                  <w:rPr>
                    <w:rFonts w:cs="Arial"/>
                    <w:color w:val="000000"/>
                    <w:szCs w:val="18"/>
                  </w:rPr>
                </w:pPr>
                <w:r>
                  <w:rPr>
                    <w:rFonts w:cs="Arial"/>
                    <w:color w:val="000000"/>
                    <w:szCs w:val="18"/>
                  </w:rPr>
                  <w:t>6.02 pm</w:t>
                </w:r>
              </w:p>
            </w:tc>
            <w:tc>
              <w:tcPr>
                <w:tcW w:w="966" w:type="dxa"/>
                <w:vAlign w:val="center"/>
              </w:tcPr>
              <w:p w:rsidR="007A4650" w:rsidRPr="00A46989" w:rsidRDefault="007A4650" w:rsidP="00A46989">
                <w:pPr>
                  <w:jc w:val="center"/>
                  <w:rPr>
                    <w:rFonts w:cs="Arial"/>
                    <w:color w:val="000000"/>
                    <w:szCs w:val="18"/>
                  </w:rPr>
                </w:pPr>
                <w:r w:rsidRPr="007A4650">
                  <w:rPr>
                    <w:rFonts w:cs="Arial"/>
                    <w:color w:val="000000"/>
                    <w:szCs w:val="18"/>
                  </w:rPr>
                  <w:t>6.10 pm</w:t>
                </w:r>
              </w:p>
            </w:tc>
            <w:tc>
              <w:tcPr>
                <w:tcW w:w="1148" w:type="dxa"/>
                <w:vAlign w:val="center"/>
              </w:tcPr>
              <w:p w:rsidR="007A4650" w:rsidRDefault="007A4650" w:rsidP="00350712">
                <w:pPr>
                  <w:jc w:val="left"/>
                  <w:textAlignment w:val="center"/>
                  <w:rPr>
                    <w:rFonts w:cs="Arial"/>
                    <w:color w:val="000000"/>
                    <w:szCs w:val="18"/>
                  </w:rPr>
                </w:pPr>
                <w:r>
                  <w:rPr>
                    <w:rFonts w:cs="Arial"/>
                    <w:color w:val="000000"/>
                    <w:szCs w:val="18"/>
                  </w:rPr>
                  <w:t>Snowy Hydro</w:t>
                </w:r>
              </w:p>
            </w:tc>
            <w:tc>
              <w:tcPr>
                <w:tcW w:w="1106" w:type="dxa"/>
                <w:vAlign w:val="center"/>
              </w:tcPr>
              <w:p w:rsidR="007A4650" w:rsidRDefault="007A4650" w:rsidP="00350712">
                <w:pPr>
                  <w:jc w:val="left"/>
                  <w:textAlignment w:val="center"/>
                  <w:rPr>
                    <w:rFonts w:cs="Arial"/>
                    <w:color w:val="000000"/>
                    <w:szCs w:val="18"/>
                  </w:rPr>
                </w:pPr>
                <w:r>
                  <w:rPr>
                    <w:rFonts w:cs="Arial"/>
                    <w:color w:val="000000"/>
                    <w:szCs w:val="18"/>
                  </w:rPr>
                  <w:t>Tumut 3</w:t>
                </w:r>
                <w:r>
                  <w:rPr>
                    <w:rFonts w:cs="Arial"/>
                    <w:color w:val="000000"/>
                    <w:szCs w:val="18"/>
                  </w:rPr>
                  <w:br/>
                  <w:t>Upper Tumut</w:t>
                </w:r>
              </w:p>
            </w:tc>
            <w:tc>
              <w:tcPr>
                <w:tcW w:w="1050" w:type="dxa"/>
                <w:vAlign w:val="center"/>
              </w:tcPr>
              <w:p w:rsidR="007A4650" w:rsidRDefault="007A4650" w:rsidP="00A46989">
                <w:pPr>
                  <w:jc w:val="center"/>
                  <w:textAlignment w:val="center"/>
                  <w:rPr>
                    <w:rFonts w:cs="Arial"/>
                    <w:color w:val="000000"/>
                    <w:szCs w:val="18"/>
                  </w:rPr>
                </w:pPr>
                <w:r>
                  <w:rPr>
                    <w:rFonts w:cs="Arial"/>
                    <w:color w:val="000000"/>
                    <w:szCs w:val="18"/>
                  </w:rPr>
                  <w:t>-23</w:t>
                </w:r>
              </w:p>
            </w:tc>
            <w:tc>
              <w:tcPr>
                <w:tcW w:w="1049" w:type="dxa"/>
                <w:vAlign w:val="center"/>
              </w:tcPr>
              <w:p w:rsidR="007A4650" w:rsidRDefault="007A4650" w:rsidP="00A46989">
                <w:pPr>
                  <w:jc w:val="center"/>
                  <w:textAlignment w:val="center"/>
                  <w:rPr>
                    <w:rFonts w:cs="Arial"/>
                    <w:color w:val="000000"/>
                    <w:szCs w:val="18"/>
                  </w:rPr>
                </w:pPr>
                <w:r>
                  <w:rPr>
                    <w:rFonts w:cs="Arial"/>
                    <w:color w:val="000000"/>
                    <w:szCs w:val="18"/>
                  </w:rPr>
                  <w:t>26</w:t>
                </w:r>
              </w:p>
            </w:tc>
            <w:tc>
              <w:tcPr>
                <w:tcW w:w="1050" w:type="dxa"/>
                <w:vAlign w:val="center"/>
              </w:tcPr>
              <w:p w:rsidR="007A4650" w:rsidRDefault="007A4650" w:rsidP="00A46989">
                <w:pPr>
                  <w:jc w:val="center"/>
                  <w:textAlignment w:val="center"/>
                  <w:rPr>
                    <w:rFonts w:cs="Arial"/>
                    <w:color w:val="000000"/>
                    <w:szCs w:val="18"/>
                  </w:rPr>
                </w:pPr>
                <w:r>
                  <w:rPr>
                    <w:rFonts w:cs="Arial"/>
                    <w:color w:val="000000"/>
                    <w:szCs w:val="18"/>
                  </w:rPr>
                  <w:t>3</w:t>
                </w:r>
              </w:p>
            </w:tc>
            <w:tc>
              <w:tcPr>
                <w:tcW w:w="1432" w:type="dxa"/>
              </w:tcPr>
              <w:p w:rsidR="007A4650" w:rsidRDefault="007A4650" w:rsidP="00AB3B54">
                <w:pPr>
                  <w:jc w:val="left"/>
                  <w:textAlignment w:val="center"/>
                  <w:rPr>
                    <w:rFonts w:cs="Arial"/>
                    <w:color w:val="000000"/>
                    <w:szCs w:val="18"/>
                  </w:rPr>
                </w:pPr>
                <w:r>
                  <w:rPr>
                    <w:rFonts w:cs="Arial"/>
                    <w:sz w:val="16"/>
                    <w:szCs w:val="16"/>
                  </w:rPr>
                  <w:t>18:05 A NSW: ACT PRICE $13,388.12 HGR THN 5MPD 18:05@17:56</w:t>
                </w:r>
              </w:p>
            </w:tc>
          </w:tr>
          <w:tr w:rsidR="007A4650" w:rsidRPr="00FE396E" w:rsidTr="00237E08">
            <w:trPr>
              <w:cnfStyle w:val="000000010000" w:firstRow="0" w:lastRow="0" w:firstColumn="0" w:lastColumn="0" w:oddVBand="0" w:evenVBand="0" w:oddHBand="0" w:evenHBand="1" w:firstRowFirstColumn="0" w:firstRowLastColumn="0" w:lastRowFirstColumn="0" w:lastRowLastColumn="0"/>
              <w:trHeight w:val="606"/>
            </w:trPr>
            <w:tc>
              <w:tcPr>
                <w:tcW w:w="878" w:type="dxa"/>
                <w:vAlign w:val="center"/>
              </w:tcPr>
              <w:p w:rsidR="007A4650" w:rsidRDefault="007A4650" w:rsidP="00AB3B54">
                <w:pPr>
                  <w:jc w:val="center"/>
                  <w:textAlignment w:val="center"/>
                  <w:rPr>
                    <w:rFonts w:cs="Arial"/>
                    <w:color w:val="000000"/>
                    <w:szCs w:val="18"/>
                  </w:rPr>
                </w:pPr>
                <w:r>
                  <w:rPr>
                    <w:rFonts w:cs="Arial"/>
                    <w:color w:val="000000"/>
                    <w:szCs w:val="18"/>
                  </w:rPr>
                  <w:lastRenderedPageBreak/>
                  <w:t>6.02 pm</w:t>
                </w:r>
              </w:p>
            </w:tc>
            <w:tc>
              <w:tcPr>
                <w:tcW w:w="966" w:type="dxa"/>
                <w:vAlign w:val="center"/>
              </w:tcPr>
              <w:p w:rsidR="007A4650" w:rsidRDefault="007A4650" w:rsidP="00AB3B54">
                <w:pPr>
                  <w:jc w:val="center"/>
                  <w:rPr>
                    <w:sz w:val="24"/>
                    <w:szCs w:val="24"/>
                  </w:rPr>
                </w:pPr>
                <w:r w:rsidRPr="007A4650">
                  <w:rPr>
                    <w:rFonts w:cs="Arial"/>
                    <w:color w:val="000000"/>
                    <w:szCs w:val="18"/>
                  </w:rPr>
                  <w:t>6.10 pm</w:t>
                </w:r>
              </w:p>
            </w:tc>
            <w:tc>
              <w:tcPr>
                <w:tcW w:w="1148" w:type="dxa"/>
                <w:vAlign w:val="center"/>
              </w:tcPr>
              <w:p w:rsidR="007A4650" w:rsidRDefault="007A4650" w:rsidP="00AB3B54">
                <w:pPr>
                  <w:textAlignment w:val="center"/>
                  <w:rPr>
                    <w:rFonts w:cs="Arial"/>
                    <w:color w:val="000000"/>
                    <w:szCs w:val="18"/>
                  </w:rPr>
                </w:pPr>
                <w:r>
                  <w:rPr>
                    <w:rFonts w:cs="Arial"/>
                    <w:color w:val="000000"/>
                    <w:szCs w:val="18"/>
                  </w:rPr>
                  <w:t>Snowy Hydro</w:t>
                </w:r>
              </w:p>
            </w:tc>
            <w:tc>
              <w:tcPr>
                <w:tcW w:w="1106" w:type="dxa"/>
                <w:vAlign w:val="center"/>
              </w:tcPr>
              <w:p w:rsidR="007A4650" w:rsidRDefault="007A4650" w:rsidP="00AB3B54">
                <w:pPr>
                  <w:textAlignment w:val="center"/>
                  <w:rPr>
                    <w:rFonts w:cs="Arial"/>
                    <w:color w:val="000000"/>
                    <w:szCs w:val="18"/>
                  </w:rPr>
                </w:pPr>
                <w:r>
                  <w:rPr>
                    <w:rFonts w:cs="Arial"/>
                    <w:color w:val="000000"/>
                    <w:szCs w:val="18"/>
                  </w:rPr>
                  <w:t>Guthega</w:t>
                </w:r>
              </w:p>
            </w:tc>
            <w:tc>
              <w:tcPr>
                <w:tcW w:w="1050" w:type="dxa"/>
                <w:vAlign w:val="center"/>
              </w:tcPr>
              <w:p w:rsidR="007A4650" w:rsidRDefault="007A4650" w:rsidP="007A4650">
                <w:pPr>
                  <w:jc w:val="center"/>
                  <w:textAlignment w:val="center"/>
                  <w:rPr>
                    <w:rFonts w:cs="Arial"/>
                    <w:color w:val="000000"/>
                    <w:szCs w:val="18"/>
                  </w:rPr>
                </w:pPr>
                <w:r>
                  <w:rPr>
                    <w:rFonts w:cs="Arial"/>
                    <w:color w:val="000000"/>
                    <w:szCs w:val="18"/>
                  </w:rPr>
                  <w:t>-2</w:t>
                </w:r>
              </w:p>
            </w:tc>
            <w:tc>
              <w:tcPr>
                <w:tcW w:w="1049" w:type="dxa"/>
                <w:vAlign w:val="center"/>
              </w:tcPr>
              <w:p w:rsidR="007A4650" w:rsidRDefault="007A4650" w:rsidP="007A4650">
                <w:pPr>
                  <w:jc w:val="center"/>
                  <w:textAlignment w:val="center"/>
                  <w:rPr>
                    <w:rFonts w:cs="Arial"/>
                    <w:color w:val="000000"/>
                    <w:szCs w:val="18"/>
                  </w:rPr>
                </w:pPr>
                <w:r>
                  <w:rPr>
                    <w:rFonts w:cs="Arial"/>
                    <w:color w:val="000000"/>
                    <w:szCs w:val="18"/>
                  </w:rPr>
                  <w:t>4</w:t>
                </w:r>
              </w:p>
            </w:tc>
            <w:tc>
              <w:tcPr>
                <w:tcW w:w="1050" w:type="dxa"/>
                <w:vAlign w:val="center"/>
              </w:tcPr>
              <w:p w:rsidR="007A4650" w:rsidRDefault="007A4650" w:rsidP="00AB3B54">
                <w:pPr>
                  <w:jc w:val="center"/>
                  <w:textAlignment w:val="center"/>
                  <w:rPr>
                    <w:rFonts w:cs="Arial"/>
                    <w:color w:val="000000"/>
                    <w:szCs w:val="18"/>
                  </w:rPr>
                </w:pPr>
                <w:r>
                  <w:rPr>
                    <w:rFonts w:cs="Arial"/>
                    <w:color w:val="000000"/>
                    <w:szCs w:val="18"/>
                  </w:rPr>
                  <w:t>2</w:t>
                </w:r>
              </w:p>
            </w:tc>
            <w:tc>
              <w:tcPr>
                <w:tcW w:w="1432" w:type="dxa"/>
                <w:vAlign w:val="center"/>
              </w:tcPr>
              <w:p w:rsidR="007A4650" w:rsidRDefault="007A4650" w:rsidP="00AB3B54">
                <w:pPr>
                  <w:jc w:val="left"/>
                  <w:textAlignment w:val="center"/>
                  <w:rPr>
                    <w:rFonts w:cs="Arial"/>
                    <w:color w:val="000000"/>
                    <w:szCs w:val="18"/>
                  </w:rPr>
                </w:pPr>
                <w:r>
                  <w:rPr>
                    <w:rFonts w:cs="Arial"/>
                    <w:sz w:val="16"/>
                    <w:szCs w:val="16"/>
                  </w:rPr>
                  <w:t>18:05 A NSW: ACT PRICE $13,388.12 HGR THN 5MPD 18:05@17:56</w:t>
                </w:r>
              </w:p>
            </w:tc>
          </w:tr>
          <w:tr w:rsidR="00A43156" w:rsidRPr="00FE396E" w:rsidTr="00237E08">
            <w:trPr>
              <w:cnfStyle w:val="000000100000" w:firstRow="0" w:lastRow="0" w:firstColumn="0" w:lastColumn="0" w:oddVBand="0" w:evenVBand="0" w:oddHBand="1" w:evenHBand="0" w:firstRowFirstColumn="0" w:firstRowLastColumn="0" w:lastRowFirstColumn="0" w:lastRowLastColumn="0"/>
              <w:trHeight w:val="606"/>
            </w:trPr>
            <w:tc>
              <w:tcPr>
                <w:tcW w:w="878" w:type="dxa"/>
                <w:vAlign w:val="center"/>
              </w:tcPr>
              <w:p w:rsidR="00A43156" w:rsidRDefault="00A43156" w:rsidP="00AB3B54">
                <w:pPr>
                  <w:jc w:val="center"/>
                  <w:textAlignment w:val="center"/>
                  <w:rPr>
                    <w:rFonts w:cs="Arial"/>
                    <w:color w:val="000000"/>
                    <w:szCs w:val="18"/>
                  </w:rPr>
                </w:pPr>
                <w:r>
                  <w:rPr>
                    <w:rFonts w:cs="Arial"/>
                    <w:color w:val="000000"/>
                    <w:szCs w:val="18"/>
                  </w:rPr>
                  <w:t>6.34 pm</w:t>
                </w:r>
              </w:p>
            </w:tc>
            <w:tc>
              <w:tcPr>
                <w:tcW w:w="966" w:type="dxa"/>
                <w:vAlign w:val="center"/>
              </w:tcPr>
              <w:p w:rsidR="00A43156" w:rsidRPr="007A4650" w:rsidRDefault="00A43156" w:rsidP="00AB3B54">
                <w:pPr>
                  <w:jc w:val="center"/>
                  <w:rPr>
                    <w:rFonts w:cs="Arial"/>
                    <w:color w:val="000000"/>
                    <w:szCs w:val="18"/>
                  </w:rPr>
                </w:pPr>
                <w:r>
                  <w:rPr>
                    <w:rFonts w:cs="Arial"/>
                    <w:color w:val="000000"/>
                    <w:szCs w:val="18"/>
                  </w:rPr>
                  <w:t>6.45 pm</w:t>
                </w:r>
              </w:p>
            </w:tc>
            <w:tc>
              <w:tcPr>
                <w:tcW w:w="1148" w:type="dxa"/>
                <w:vAlign w:val="center"/>
              </w:tcPr>
              <w:p w:rsidR="00A43156" w:rsidRDefault="00A43156" w:rsidP="00AB3B54">
                <w:pPr>
                  <w:textAlignment w:val="center"/>
                  <w:rPr>
                    <w:rFonts w:cs="Arial"/>
                    <w:color w:val="000000"/>
                    <w:szCs w:val="18"/>
                  </w:rPr>
                </w:pPr>
                <w:r>
                  <w:rPr>
                    <w:rFonts w:cs="Arial"/>
                    <w:color w:val="000000"/>
                    <w:szCs w:val="18"/>
                  </w:rPr>
                  <w:t>Origin</w:t>
                </w:r>
              </w:p>
            </w:tc>
            <w:tc>
              <w:tcPr>
                <w:tcW w:w="1106" w:type="dxa"/>
                <w:vAlign w:val="center"/>
              </w:tcPr>
              <w:p w:rsidR="00A43156" w:rsidRDefault="00A43156" w:rsidP="00AB3B54">
                <w:pPr>
                  <w:textAlignment w:val="center"/>
                  <w:rPr>
                    <w:rFonts w:cs="Arial"/>
                    <w:color w:val="000000"/>
                    <w:szCs w:val="18"/>
                  </w:rPr>
                </w:pPr>
                <w:r>
                  <w:rPr>
                    <w:rFonts w:cs="Arial"/>
                    <w:color w:val="000000"/>
                    <w:szCs w:val="18"/>
                  </w:rPr>
                  <w:t>Uranquinty</w:t>
                </w:r>
              </w:p>
            </w:tc>
            <w:tc>
              <w:tcPr>
                <w:tcW w:w="1050" w:type="dxa"/>
                <w:vAlign w:val="center"/>
              </w:tcPr>
              <w:p w:rsidR="00A43156" w:rsidRDefault="00A43156" w:rsidP="007A4650">
                <w:pPr>
                  <w:jc w:val="center"/>
                  <w:textAlignment w:val="center"/>
                  <w:rPr>
                    <w:rFonts w:cs="Arial"/>
                    <w:color w:val="000000"/>
                    <w:szCs w:val="18"/>
                  </w:rPr>
                </w:pPr>
                <w:r>
                  <w:rPr>
                    <w:rFonts w:cs="Arial"/>
                    <w:color w:val="000000"/>
                    <w:szCs w:val="18"/>
                  </w:rPr>
                  <w:t>-8</w:t>
                </w:r>
              </w:p>
            </w:tc>
            <w:tc>
              <w:tcPr>
                <w:tcW w:w="1049" w:type="dxa"/>
                <w:vAlign w:val="center"/>
              </w:tcPr>
              <w:p w:rsidR="00A43156" w:rsidRDefault="00A43156" w:rsidP="007A4650">
                <w:pPr>
                  <w:jc w:val="center"/>
                  <w:textAlignment w:val="center"/>
                  <w:rPr>
                    <w:rFonts w:cs="Arial"/>
                    <w:color w:val="000000"/>
                    <w:szCs w:val="18"/>
                  </w:rPr>
                </w:pPr>
                <w:r>
                  <w:rPr>
                    <w:rFonts w:cs="Arial"/>
                    <w:color w:val="000000"/>
                    <w:szCs w:val="18"/>
                  </w:rPr>
                  <w:t>11</w:t>
                </w:r>
              </w:p>
            </w:tc>
            <w:tc>
              <w:tcPr>
                <w:tcW w:w="1050" w:type="dxa"/>
                <w:vAlign w:val="center"/>
              </w:tcPr>
              <w:p w:rsidR="00A43156" w:rsidRDefault="00A43156" w:rsidP="00AB3B54">
                <w:pPr>
                  <w:jc w:val="center"/>
                  <w:textAlignment w:val="center"/>
                  <w:rPr>
                    <w:rFonts w:cs="Arial"/>
                    <w:color w:val="000000"/>
                    <w:szCs w:val="18"/>
                  </w:rPr>
                </w:pPr>
                <w:r>
                  <w:rPr>
                    <w:rFonts w:cs="Arial"/>
                    <w:color w:val="000000"/>
                    <w:szCs w:val="18"/>
                  </w:rPr>
                  <w:t>3</w:t>
                </w:r>
              </w:p>
            </w:tc>
            <w:tc>
              <w:tcPr>
                <w:tcW w:w="1432" w:type="dxa"/>
                <w:vAlign w:val="center"/>
              </w:tcPr>
              <w:p w:rsidR="00A43156" w:rsidRDefault="00A43156" w:rsidP="00AB3B54">
                <w:pPr>
                  <w:jc w:val="left"/>
                  <w:textAlignment w:val="center"/>
                  <w:rPr>
                    <w:rFonts w:cs="Arial"/>
                    <w:sz w:val="16"/>
                    <w:szCs w:val="16"/>
                  </w:rPr>
                </w:pPr>
                <w:r>
                  <w:rPr>
                    <w:rFonts w:cs="Arial"/>
                    <w:sz w:val="16"/>
                    <w:szCs w:val="16"/>
                  </w:rPr>
                  <w:t>1834A CONSTRAINT MANAGEMENT - N::V_CNUT_2 SL</w:t>
                </w:r>
              </w:p>
            </w:tc>
          </w:tr>
        </w:tbl>
        <w:p w:rsidR="00AB3B54" w:rsidRDefault="00AB3B54" w:rsidP="005311D3"/>
        <w:p w:rsidR="00AB3B54" w:rsidRDefault="00AB3B54">
          <w:pPr>
            <w:spacing w:line="240" w:lineRule="auto"/>
            <w:jc w:val="left"/>
          </w:pPr>
          <w:r>
            <w:br w:type="page"/>
          </w:r>
        </w:p>
        <w:p w:rsidR="00C7068C" w:rsidRDefault="003250C8" w:rsidP="003250C8">
          <w:pPr>
            <w:pStyle w:val="Heading1notnumber"/>
          </w:pPr>
          <w:bookmarkStart w:id="31" w:name="_Toc436060156"/>
          <w:r>
            <w:lastRenderedPageBreak/>
            <w:t xml:space="preserve">Appendix </w:t>
          </w:r>
          <w:r w:rsidR="00C7068C">
            <w:t>B</w:t>
          </w:r>
          <w:r w:rsidR="00B602E3">
            <w:t>:</w:t>
          </w:r>
          <w:r w:rsidR="00C7068C">
            <w:t xml:space="preserve"> Price setter</w:t>
          </w:r>
          <w:bookmarkEnd w:id="31"/>
        </w:p>
        <w:p w:rsidR="00C7068C" w:rsidRDefault="00C7068C" w:rsidP="00C7068C">
          <w:r w:rsidRPr="006D5E16">
            <w:t>The following table identifies for the trading interval in which the spot price exceeded $5000/MWh, each five minute dispatch interval price and the generating units involved in setting the energy price. This information is published by AEMO.</w:t>
          </w:r>
          <w:r w:rsidRPr="006D5E16">
            <w:rPr>
              <w:rStyle w:val="FootnoteReference"/>
            </w:rPr>
            <w:footnoteReference w:id="3"/>
          </w:r>
          <w:r w:rsidRPr="006D5E16">
            <w:t xml:space="preserve"> The 30-minute spot price is the average of the six dispatch interval prices.</w:t>
          </w:r>
        </w:p>
        <w:p w:rsidR="00EC4A12" w:rsidRDefault="00247FC3" w:rsidP="00EC4A12">
          <w:pPr>
            <w:pStyle w:val="Tabletitle"/>
          </w:pPr>
          <w:r>
            <w:t>6.30</w:t>
          </w:r>
          <w:r w:rsidR="00EC4A12">
            <w:t> pm</w:t>
          </w:r>
        </w:p>
        <w:tbl>
          <w:tblPr>
            <w:tblStyle w:val="AERTable-Text"/>
            <w:tblW w:w="5054" w:type="pct"/>
            <w:tblLayout w:type="fixed"/>
            <w:tblLook w:val="04A0" w:firstRow="1" w:lastRow="0" w:firstColumn="1" w:lastColumn="0" w:noHBand="0" w:noVBand="1"/>
          </w:tblPr>
          <w:tblGrid>
            <w:gridCol w:w="628"/>
            <w:gridCol w:w="1037"/>
            <w:gridCol w:w="1822"/>
            <w:gridCol w:w="1098"/>
            <w:gridCol w:w="858"/>
            <w:gridCol w:w="1063"/>
            <w:gridCol w:w="965"/>
            <w:gridCol w:w="1316"/>
          </w:tblGrid>
          <w:tr w:rsidR="00247FC3" w:rsidRPr="00DD0001" w:rsidTr="00C424C5">
            <w:trPr>
              <w:cnfStyle w:val="100000000000" w:firstRow="1" w:lastRow="0" w:firstColumn="0" w:lastColumn="0" w:oddVBand="0" w:evenVBand="0" w:oddHBand="0" w:evenHBand="0" w:firstRowFirstColumn="0" w:firstRowLastColumn="0" w:lastRowFirstColumn="0" w:lastRowLastColumn="0"/>
              <w:trHeight w:hRule="exact" w:val="737"/>
              <w:tblHeader/>
            </w:trPr>
            <w:tc>
              <w:tcPr>
                <w:tcW w:w="357" w:type="pct"/>
                <w:tcBorders>
                  <w:bottom w:val="nil"/>
                </w:tcBorders>
                <w:vAlign w:val="center"/>
              </w:tcPr>
              <w:p w:rsidR="00094459" w:rsidRPr="00010B1A" w:rsidRDefault="00094459" w:rsidP="0080240F">
                <w:pPr>
                  <w:jc w:val="center"/>
                  <w:rPr>
                    <w:sz w:val="18"/>
                  </w:rPr>
                </w:pPr>
                <w:r>
                  <w:rPr>
                    <w:sz w:val="18"/>
                  </w:rPr>
                  <w:t>DI</w:t>
                </w:r>
              </w:p>
            </w:tc>
            <w:tc>
              <w:tcPr>
                <w:tcW w:w="590" w:type="pct"/>
                <w:tcBorders>
                  <w:bottom w:val="nil"/>
                </w:tcBorders>
                <w:vAlign w:val="center"/>
              </w:tcPr>
              <w:p w:rsidR="00094459" w:rsidRPr="00010B1A" w:rsidRDefault="00094459" w:rsidP="0080240F">
                <w:pPr>
                  <w:spacing w:before="0" w:after="0"/>
                  <w:jc w:val="center"/>
                  <w:rPr>
                    <w:sz w:val="18"/>
                  </w:rPr>
                </w:pPr>
                <w:r w:rsidRPr="00010B1A">
                  <w:rPr>
                    <w:sz w:val="18"/>
                  </w:rPr>
                  <w:t>Dispatch Price</w:t>
                </w:r>
                <w:r>
                  <w:rPr>
                    <w:sz w:val="18"/>
                  </w:rPr>
                  <w:t xml:space="preserve"> ($/MWh)</w:t>
                </w:r>
              </w:p>
            </w:tc>
            <w:tc>
              <w:tcPr>
                <w:tcW w:w="1037" w:type="pct"/>
                <w:tcBorders>
                  <w:bottom w:val="nil"/>
                </w:tcBorders>
                <w:vAlign w:val="center"/>
              </w:tcPr>
              <w:p w:rsidR="00094459" w:rsidRPr="00010B1A" w:rsidRDefault="00094459" w:rsidP="0080240F">
                <w:pPr>
                  <w:spacing w:before="0" w:after="0"/>
                  <w:jc w:val="center"/>
                  <w:rPr>
                    <w:sz w:val="18"/>
                  </w:rPr>
                </w:pPr>
                <w:r w:rsidRPr="00010B1A">
                  <w:rPr>
                    <w:sz w:val="18"/>
                  </w:rPr>
                  <w:t>Participant</w:t>
                </w:r>
              </w:p>
            </w:tc>
            <w:tc>
              <w:tcPr>
                <w:tcW w:w="625" w:type="pct"/>
                <w:tcBorders>
                  <w:bottom w:val="nil"/>
                </w:tcBorders>
                <w:vAlign w:val="center"/>
              </w:tcPr>
              <w:p w:rsidR="00094459" w:rsidRPr="00010B1A" w:rsidRDefault="00094459" w:rsidP="0080240F">
                <w:pPr>
                  <w:spacing w:before="0" w:after="0"/>
                  <w:jc w:val="center"/>
                  <w:rPr>
                    <w:sz w:val="18"/>
                  </w:rPr>
                </w:pPr>
                <w:r w:rsidRPr="00010B1A">
                  <w:rPr>
                    <w:sz w:val="18"/>
                  </w:rPr>
                  <w:t>Unit</w:t>
                </w:r>
              </w:p>
            </w:tc>
            <w:tc>
              <w:tcPr>
                <w:tcW w:w="488" w:type="pct"/>
                <w:tcBorders>
                  <w:bottom w:val="nil"/>
                </w:tcBorders>
                <w:vAlign w:val="center"/>
              </w:tcPr>
              <w:p w:rsidR="00094459" w:rsidRPr="00010B1A" w:rsidRDefault="00094459" w:rsidP="0080240F">
                <w:pPr>
                  <w:spacing w:before="0" w:after="0"/>
                  <w:jc w:val="center"/>
                  <w:rPr>
                    <w:sz w:val="18"/>
                  </w:rPr>
                </w:pPr>
                <w:r w:rsidRPr="00010B1A">
                  <w:rPr>
                    <w:sz w:val="18"/>
                  </w:rPr>
                  <w:t>Service</w:t>
                </w:r>
              </w:p>
            </w:tc>
            <w:tc>
              <w:tcPr>
                <w:tcW w:w="605" w:type="pct"/>
                <w:tcBorders>
                  <w:bottom w:val="nil"/>
                </w:tcBorders>
                <w:vAlign w:val="center"/>
              </w:tcPr>
              <w:p w:rsidR="00094459" w:rsidRPr="00010B1A" w:rsidRDefault="00094459" w:rsidP="0080240F">
                <w:pPr>
                  <w:spacing w:before="0" w:after="0"/>
                  <w:jc w:val="center"/>
                  <w:rPr>
                    <w:sz w:val="18"/>
                  </w:rPr>
                </w:pPr>
                <w:r>
                  <w:rPr>
                    <w:sz w:val="18"/>
                  </w:rPr>
                  <w:t>Offer price ($/MWh)</w:t>
                </w:r>
              </w:p>
            </w:tc>
            <w:tc>
              <w:tcPr>
                <w:tcW w:w="549" w:type="pct"/>
                <w:tcBorders>
                  <w:bottom w:val="nil"/>
                </w:tcBorders>
                <w:vAlign w:val="center"/>
              </w:tcPr>
              <w:p w:rsidR="00094459" w:rsidRPr="00010B1A" w:rsidRDefault="00094459" w:rsidP="0080240F">
                <w:pPr>
                  <w:jc w:val="center"/>
                  <w:rPr>
                    <w:sz w:val="18"/>
                  </w:rPr>
                </w:pPr>
                <w:r w:rsidRPr="00010B1A">
                  <w:rPr>
                    <w:sz w:val="18"/>
                  </w:rPr>
                  <w:t>Margi</w:t>
                </w:r>
                <w:r>
                  <w:rPr>
                    <w:sz w:val="18"/>
                  </w:rPr>
                  <w:t>nal</w:t>
                </w:r>
                <w:r w:rsidRPr="00010B1A">
                  <w:rPr>
                    <w:sz w:val="18"/>
                  </w:rPr>
                  <w:t xml:space="preserve"> change</w:t>
                </w:r>
              </w:p>
            </w:tc>
            <w:tc>
              <w:tcPr>
                <w:tcW w:w="749" w:type="pct"/>
                <w:tcBorders>
                  <w:bottom w:val="nil"/>
                </w:tcBorders>
                <w:vAlign w:val="center"/>
              </w:tcPr>
              <w:p w:rsidR="00094459" w:rsidRPr="00010B1A" w:rsidRDefault="00094459" w:rsidP="0080240F">
                <w:pPr>
                  <w:jc w:val="center"/>
                  <w:rPr>
                    <w:sz w:val="18"/>
                  </w:rPr>
                </w:pPr>
                <w:r>
                  <w:rPr>
                    <w:sz w:val="18"/>
                  </w:rPr>
                  <w:t>Contribution</w:t>
                </w:r>
              </w:p>
            </w:tc>
          </w:tr>
          <w:tr w:rsidR="00247FC3" w:rsidRPr="00796046" w:rsidTr="0080240F">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18:05</w:t>
                </w:r>
              </w:p>
            </w:tc>
            <w:tc>
              <w:tcPr>
                <w:tcW w:w="590"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$13 450.00</w:t>
                </w:r>
              </w:p>
            </w:tc>
            <w:tc>
              <w:tcPr>
                <w:tcW w:w="1037" w:type="pct"/>
                <w:tcBorders>
                  <w:bottom w:val="nil"/>
                </w:tcBorders>
                <w:shd w:val="clear" w:color="auto" w:fill="auto"/>
                <w:vAlign w:val="center"/>
              </w:tcPr>
              <w:p w:rsidR="00247FC3" w:rsidRDefault="00350712" w:rsidP="0080240F">
                <w:pPr>
                  <w:spacing w:before="0" w:after="0" w:line="240" w:lineRule="auto"/>
                  <w:jc w:val="left"/>
                  <w:rPr>
                    <w:rFonts w:cs="Arial"/>
                    <w:sz w:val="16"/>
                    <w:szCs w:val="16"/>
                  </w:rPr>
                </w:pPr>
                <w:r>
                  <w:rPr>
                    <w:rFonts w:cs="Arial"/>
                    <w:sz w:val="16"/>
                    <w:szCs w:val="16"/>
                  </w:rPr>
                  <w:t>AGL</w:t>
                </w:r>
              </w:p>
            </w:tc>
            <w:tc>
              <w:tcPr>
                <w:tcW w:w="625"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BW01</w:t>
                </w:r>
              </w:p>
            </w:tc>
            <w:tc>
              <w:tcPr>
                <w:tcW w:w="488"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Energy</w:t>
                </w:r>
              </w:p>
            </w:tc>
            <w:tc>
              <w:tcPr>
                <w:tcW w:w="605"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$13 450.00</w:t>
                </w:r>
              </w:p>
            </w:tc>
            <w:tc>
              <w:tcPr>
                <w:tcW w:w="549"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0.34</w:t>
                </w:r>
              </w:p>
            </w:tc>
            <w:tc>
              <w:tcPr>
                <w:tcW w:w="749"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$4573.00</w:t>
                </w:r>
              </w:p>
            </w:tc>
          </w:tr>
          <w:tr w:rsidR="00247FC3" w:rsidRPr="00796046" w:rsidTr="0080240F">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p>
            </w:tc>
            <w:tc>
              <w:tcPr>
                <w:tcW w:w="590"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p>
            </w:tc>
            <w:tc>
              <w:tcPr>
                <w:tcW w:w="1037" w:type="pct"/>
                <w:tcBorders>
                  <w:bottom w:val="nil"/>
                </w:tcBorders>
                <w:shd w:val="clear" w:color="auto" w:fill="auto"/>
                <w:vAlign w:val="center"/>
              </w:tcPr>
              <w:p w:rsidR="00247FC3" w:rsidRDefault="00350712" w:rsidP="0080240F">
                <w:pPr>
                  <w:spacing w:before="0" w:after="0" w:line="240" w:lineRule="auto"/>
                  <w:jc w:val="left"/>
                  <w:rPr>
                    <w:rFonts w:cs="Arial"/>
                    <w:sz w:val="16"/>
                    <w:szCs w:val="16"/>
                  </w:rPr>
                </w:pPr>
                <w:r>
                  <w:rPr>
                    <w:rFonts w:cs="Arial"/>
                    <w:sz w:val="16"/>
                    <w:szCs w:val="16"/>
                  </w:rPr>
                  <w:t>AGL</w:t>
                </w:r>
              </w:p>
            </w:tc>
            <w:tc>
              <w:tcPr>
                <w:tcW w:w="625"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BW02</w:t>
                </w:r>
              </w:p>
            </w:tc>
            <w:tc>
              <w:tcPr>
                <w:tcW w:w="488"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Energy</w:t>
                </w:r>
              </w:p>
            </w:tc>
            <w:tc>
              <w:tcPr>
                <w:tcW w:w="605"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$13 450.00</w:t>
                </w:r>
              </w:p>
            </w:tc>
            <w:tc>
              <w:tcPr>
                <w:tcW w:w="549"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0.22</w:t>
                </w:r>
              </w:p>
            </w:tc>
            <w:tc>
              <w:tcPr>
                <w:tcW w:w="749"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$2959.00</w:t>
                </w:r>
              </w:p>
            </w:tc>
          </w:tr>
          <w:tr w:rsidR="00247FC3" w:rsidRPr="00796046" w:rsidTr="0080240F">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p>
            </w:tc>
            <w:tc>
              <w:tcPr>
                <w:tcW w:w="590"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p>
            </w:tc>
            <w:tc>
              <w:tcPr>
                <w:tcW w:w="1037" w:type="pct"/>
                <w:tcBorders>
                  <w:bottom w:val="nil"/>
                </w:tcBorders>
                <w:shd w:val="clear" w:color="auto" w:fill="auto"/>
                <w:vAlign w:val="center"/>
              </w:tcPr>
              <w:p w:rsidR="00247FC3" w:rsidRDefault="00350712" w:rsidP="0080240F">
                <w:pPr>
                  <w:spacing w:before="0" w:after="0" w:line="240" w:lineRule="auto"/>
                  <w:jc w:val="left"/>
                  <w:rPr>
                    <w:rFonts w:cs="Arial"/>
                    <w:sz w:val="16"/>
                    <w:szCs w:val="16"/>
                  </w:rPr>
                </w:pPr>
                <w:r>
                  <w:rPr>
                    <w:rFonts w:cs="Arial"/>
                    <w:sz w:val="16"/>
                    <w:szCs w:val="16"/>
                  </w:rPr>
                  <w:t>AGL</w:t>
                </w:r>
              </w:p>
            </w:tc>
            <w:tc>
              <w:tcPr>
                <w:tcW w:w="625"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BW03</w:t>
                </w:r>
              </w:p>
            </w:tc>
            <w:tc>
              <w:tcPr>
                <w:tcW w:w="488"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Energy</w:t>
                </w:r>
              </w:p>
            </w:tc>
            <w:tc>
              <w:tcPr>
                <w:tcW w:w="605"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$13 450.00</w:t>
                </w:r>
              </w:p>
            </w:tc>
            <w:tc>
              <w:tcPr>
                <w:tcW w:w="549"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0.22</w:t>
                </w:r>
              </w:p>
            </w:tc>
            <w:tc>
              <w:tcPr>
                <w:tcW w:w="749"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$2959.00</w:t>
                </w:r>
              </w:p>
            </w:tc>
          </w:tr>
          <w:tr w:rsidR="00247FC3" w:rsidRPr="00796046" w:rsidTr="0080240F">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p>
            </w:tc>
            <w:tc>
              <w:tcPr>
                <w:tcW w:w="590"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p>
            </w:tc>
            <w:tc>
              <w:tcPr>
                <w:tcW w:w="1037" w:type="pct"/>
                <w:tcBorders>
                  <w:bottom w:val="nil"/>
                </w:tcBorders>
                <w:shd w:val="clear" w:color="auto" w:fill="auto"/>
                <w:vAlign w:val="center"/>
              </w:tcPr>
              <w:p w:rsidR="00350712" w:rsidRDefault="00350712" w:rsidP="0080240F">
                <w:pPr>
                  <w:spacing w:before="0" w:after="0" w:line="240" w:lineRule="auto"/>
                  <w:jc w:val="left"/>
                  <w:rPr>
                    <w:rFonts w:cs="Arial"/>
                    <w:sz w:val="16"/>
                    <w:szCs w:val="16"/>
                  </w:rPr>
                </w:pPr>
                <w:r>
                  <w:rPr>
                    <w:rFonts w:cs="Arial"/>
                    <w:sz w:val="16"/>
                    <w:szCs w:val="16"/>
                  </w:rPr>
                  <w:t>AGL</w:t>
                </w:r>
              </w:p>
            </w:tc>
            <w:tc>
              <w:tcPr>
                <w:tcW w:w="625"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BW04</w:t>
                </w:r>
              </w:p>
            </w:tc>
            <w:tc>
              <w:tcPr>
                <w:tcW w:w="488"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Energy</w:t>
                </w:r>
              </w:p>
            </w:tc>
            <w:tc>
              <w:tcPr>
                <w:tcW w:w="605"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$13 450.00</w:t>
                </w:r>
              </w:p>
            </w:tc>
            <w:tc>
              <w:tcPr>
                <w:tcW w:w="549"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0.22</w:t>
                </w:r>
              </w:p>
            </w:tc>
            <w:tc>
              <w:tcPr>
                <w:tcW w:w="749"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$2959.00</w:t>
                </w:r>
              </w:p>
            </w:tc>
          </w:tr>
          <w:tr w:rsidR="00C424C5" w:rsidRPr="00247FC3" w:rsidTr="0080240F">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18:10</w:t>
                </w:r>
              </w:p>
            </w:tc>
            <w:tc>
              <w:tcPr>
                <w:tcW w:w="590"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$13 404.83</w:t>
                </w:r>
              </w:p>
            </w:tc>
            <w:tc>
              <w:tcPr>
                <w:tcW w:w="1037" w:type="pct"/>
                <w:tcBorders>
                  <w:bottom w:val="nil"/>
                </w:tcBorders>
                <w:shd w:val="clear" w:color="auto" w:fill="D4E2FF" w:themeFill="accent3" w:themeFillTint="1A"/>
                <w:vAlign w:val="center"/>
              </w:tcPr>
              <w:p w:rsidR="00247FC3" w:rsidRDefault="00247FC3" w:rsidP="0080240F">
                <w:pPr>
                  <w:spacing w:before="0" w:after="0" w:line="240" w:lineRule="auto"/>
                  <w:jc w:val="left"/>
                  <w:rPr>
                    <w:rFonts w:cs="Arial"/>
                    <w:sz w:val="16"/>
                    <w:szCs w:val="16"/>
                  </w:rPr>
                </w:pPr>
                <w:r>
                  <w:rPr>
                    <w:rFonts w:cs="Arial"/>
                    <w:sz w:val="16"/>
                    <w:szCs w:val="16"/>
                  </w:rPr>
                  <w:t>EnergyAustralia</w:t>
                </w:r>
              </w:p>
            </w:tc>
            <w:tc>
              <w:tcPr>
                <w:tcW w:w="625"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MP1</w:t>
                </w:r>
              </w:p>
            </w:tc>
            <w:tc>
              <w:tcPr>
                <w:tcW w:w="488"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Energy</w:t>
                </w:r>
              </w:p>
            </w:tc>
            <w:tc>
              <w:tcPr>
                <w:tcW w:w="605"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$13 404.83</w:t>
                </w:r>
              </w:p>
            </w:tc>
            <w:tc>
              <w:tcPr>
                <w:tcW w:w="549"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0.50</w:t>
                </w:r>
              </w:p>
            </w:tc>
            <w:tc>
              <w:tcPr>
                <w:tcW w:w="749"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$6702.42</w:t>
                </w:r>
              </w:p>
            </w:tc>
          </w:tr>
          <w:tr w:rsidR="00C424C5" w:rsidRPr="00247FC3" w:rsidTr="0080240F">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p>
            </w:tc>
            <w:tc>
              <w:tcPr>
                <w:tcW w:w="590"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p>
            </w:tc>
            <w:tc>
              <w:tcPr>
                <w:tcW w:w="1037" w:type="pct"/>
                <w:tcBorders>
                  <w:bottom w:val="nil"/>
                </w:tcBorders>
                <w:shd w:val="clear" w:color="auto" w:fill="D4E2FF" w:themeFill="accent3" w:themeFillTint="1A"/>
                <w:vAlign w:val="center"/>
              </w:tcPr>
              <w:p w:rsidR="00247FC3" w:rsidRDefault="00247FC3" w:rsidP="0080240F">
                <w:pPr>
                  <w:spacing w:before="0" w:after="0" w:line="240" w:lineRule="auto"/>
                  <w:jc w:val="left"/>
                  <w:rPr>
                    <w:rFonts w:cs="Arial"/>
                    <w:sz w:val="16"/>
                    <w:szCs w:val="16"/>
                  </w:rPr>
                </w:pPr>
                <w:r>
                  <w:rPr>
                    <w:rFonts w:cs="Arial"/>
                    <w:sz w:val="16"/>
                    <w:szCs w:val="16"/>
                  </w:rPr>
                  <w:t>EnergyAustralia</w:t>
                </w:r>
              </w:p>
            </w:tc>
            <w:tc>
              <w:tcPr>
                <w:tcW w:w="625"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MP2</w:t>
                </w:r>
              </w:p>
            </w:tc>
            <w:tc>
              <w:tcPr>
                <w:tcW w:w="488"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Energy</w:t>
                </w:r>
              </w:p>
            </w:tc>
            <w:tc>
              <w:tcPr>
                <w:tcW w:w="605"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$13 404.83</w:t>
                </w:r>
              </w:p>
            </w:tc>
            <w:tc>
              <w:tcPr>
                <w:tcW w:w="549"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0.50</w:t>
                </w:r>
              </w:p>
            </w:tc>
            <w:tc>
              <w:tcPr>
                <w:tcW w:w="749"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$6702.42</w:t>
                </w:r>
              </w:p>
            </w:tc>
          </w:tr>
          <w:tr w:rsidR="00C424C5" w:rsidRPr="00247FC3" w:rsidTr="0080240F">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auto"/>
                <w:vAlign w:val="center"/>
              </w:tcPr>
              <w:p w:rsidR="00247FC3" w:rsidRPr="00247FC3" w:rsidRDefault="00247FC3" w:rsidP="0080240F">
                <w:pPr>
                  <w:spacing w:before="0" w:after="0" w:line="240" w:lineRule="auto"/>
                  <w:jc w:val="center"/>
                  <w:rPr>
                    <w:rFonts w:cs="Arial"/>
                    <w:sz w:val="16"/>
                    <w:szCs w:val="16"/>
                  </w:rPr>
                </w:pPr>
                <w:r w:rsidRPr="00247FC3">
                  <w:rPr>
                    <w:rFonts w:cs="Arial"/>
                    <w:sz w:val="16"/>
                    <w:szCs w:val="16"/>
                  </w:rPr>
                  <w:t>18:15</w:t>
                </w:r>
              </w:p>
            </w:tc>
            <w:tc>
              <w:tcPr>
                <w:tcW w:w="590" w:type="pct"/>
                <w:tcBorders>
                  <w:bottom w:val="nil"/>
                </w:tcBorders>
                <w:shd w:val="clear" w:color="auto" w:fill="auto"/>
                <w:vAlign w:val="center"/>
              </w:tcPr>
              <w:p w:rsidR="00247FC3" w:rsidRPr="00247FC3" w:rsidRDefault="00247FC3" w:rsidP="0080240F">
                <w:pPr>
                  <w:spacing w:before="0" w:after="0" w:line="240" w:lineRule="auto"/>
                  <w:jc w:val="center"/>
                  <w:rPr>
                    <w:rFonts w:cs="Arial"/>
                    <w:sz w:val="16"/>
                    <w:szCs w:val="16"/>
                  </w:rPr>
                </w:pPr>
                <w:r w:rsidRPr="00247FC3">
                  <w:rPr>
                    <w:rFonts w:cs="Arial"/>
                    <w:sz w:val="16"/>
                    <w:szCs w:val="16"/>
                  </w:rPr>
                  <w:t>$13</w:t>
                </w:r>
                <w:r>
                  <w:rPr>
                    <w:rFonts w:cs="Arial"/>
                    <w:sz w:val="16"/>
                    <w:szCs w:val="16"/>
                  </w:rPr>
                  <w:t xml:space="preserve"> </w:t>
                </w:r>
                <w:r w:rsidRPr="00247FC3">
                  <w:rPr>
                    <w:rFonts w:cs="Arial"/>
                    <w:sz w:val="16"/>
                    <w:szCs w:val="16"/>
                  </w:rPr>
                  <w:t>404.83</w:t>
                </w:r>
              </w:p>
            </w:tc>
            <w:tc>
              <w:tcPr>
                <w:tcW w:w="1037" w:type="pct"/>
                <w:tcBorders>
                  <w:bottom w:val="nil"/>
                </w:tcBorders>
                <w:shd w:val="clear" w:color="auto" w:fill="auto"/>
                <w:vAlign w:val="center"/>
              </w:tcPr>
              <w:p w:rsidR="00247FC3" w:rsidRPr="00247FC3" w:rsidRDefault="00247FC3" w:rsidP="0080240F">
                <w:pPr>
                  <w:spacing w:before="0" w:after="0" w:line="240" w:lineRule="auto"/>
                  <w:jc w:val="left"/>
                  <w:rPr>
                    <w:rFonts w:cs="Arial"/>
                    <w:sz w:val="16"/>
                    <w:szCs w:val="16"/>
                  </w:rPr>
                </w:pPr>
                <w:r w:rsidRPr="00247FC3">
                  <w:rPr>
                    <w:rFonts w:cs="Arial"/>
                    <w:sz w:val="16"/>
                    <w:szCs w:val="16"/>
                  </w:rPr>
                  <w:t>EnergyAustralia</w:t>
                </w:r>
              </w:p>
            </w:tc>
            <w:tc>
              <w:tcPr>
                <w:tcW w:w="625" w:type="pct"/>
                <w:tcBorders>
                  <w:bottom w:val="nil"/>
                </w:tcBorders>
                <w:shd w:val="clear" w:color="auto" w:fill="auto"/>
                <w:vAlign w:val="center"/>
              </w:tcPr>
              <w:p w:rsidR="00247FC3" w:rsidRPr="00247FC3" w:rsidRDefault="00247FC3" w:rsidP="0080240F">
                <w:pPr>
                  <w:spacing w:before="0" w:after="0" w:line="240" w:lineRule="auto"/>
                  <w:jc w:val="center"/>
                  <w:rPr>
                    <w:rFonts w:cs="Arial"/>
                    <w:sz w:val="16"/>
                    <w:szCs w:val="16"/>
                  </w:rPr>
                </w:pPr>
                <w:r w:rsidRPr="00247FC3">
                  <w:rPr>
                    <w:rFonts w:cs="Arial"/>
                    <w:sz w:val="16"/>
                    <w:szCs w:val="16"/>
                  </w:rPr>
                  <w:t>MP2</w:t>
                </w:r>
              </w:p>
            </w:tc>
            <w:tc>
              <w:tcPr>
                <w:tcW w:w="488" w:type="pct"/>
                <w:tcBorders>
                  <w:bottom w:val="nil"/>
                </w:tcBorders>
                <w:shd w:val="clear" w:color="auto" w:fill="auto"/>
                <w:vAlign w:val="center"/>
              </w:tcPr>
              <w:p w:rsidR="00247FC3" w:rsidRPr="00247FC3" w:rsidRDefault="00247FC3" w:rsidP="0080240F">
                <w:pPr>
                  <w:spacing w:before="0" w:after="0" w:line="240" w:lineRule="auto"/>
                  <w:jc w:val="center"/>
                  <w:rPr>
                    <w:rFonts w:cs="Arial"/>
                    <w:sz w:val="16"/>
                    <w:szCs w:val="16"/>
                  </w:rPr>
                </w:pPr>
                <w:r w:rsidRPr="00247FC3">
                  <w:rPr>
                    <w:rFonts w:cs="Arial"/>
                    <w:sz w:val="16"/>
                    <w:szCs w:val="16"/>
                  </w:rPr>
                  <w:t>Energy</w:t>
                </w:r>
              </w:p>
            </w:tc>
            <w:tc>
              <w:tcPr>
                <w:tcW w:w="605" w:type="pct"/>
                <w:tcBorders>
                  <w:bottom w:val="nil"/>
                </w:tcBorders>
                <w:shd w:val="clear" w:color="auto" w:fill="auto"/>
                <w:vAlign w:val="center"/>
              </w:tcPr>
              <w:p w:rsidR="00247FC3" w:rsidRPr="00247FC3" w:rsidRDefault="00247FC3" w:rsidP="0080240F">
                <w:pPr>
                  <w:spacing w:before="0" w:after="0" w:line="240" w:lineRule="auto"/>
                  <w:jc w:val="center"/>
                  <w:rPr>
                    <w:rFonts w:cs="Arial"/>
                    <w:sz w:val="16"/>
                    <w:szCs w:val="16"/>
                  </w:rPr>
                </w:pPr>
                <w:r w:rsidRPr="00247FC3">
                  <w:rPr>
                    <w:rFonts w:cs="Arial"/>
                    <w:sz w:val="16"/>
                    <w:szCs w:val="16"/>
                  </w:rPr>
                  <w:t>$13</w:t>
                </w:r>
                <w:r>
                  <w:rPr>
                    <w:rFonts w:cs="Arial"/>
                    <w:sz w:val="16"/>
                    <w:szCs w:val="16"/>
                  </w:rPr>
                  <w:t xml:space="preserve"> </w:t>
                </w:r>
                <w:r w:rsidRPr="00247FC3">
                  <w:rPr>
                    <w:rFonts w:cs="Arial"/>
                    <w:sz w:val="16"/>
                    <w:szCs w:val="16"/>
                  </w:rPr>
                  <w:t>404.83</w:t>
                </w:r>
              </w:p>
            </w:tc>
            <w:tc>
              <w:tcPr>
                <w:tcW w:w="549" w:type="pct"/>
                <w:tcBorders>
                  <w:bottom w:val="nil"/>
                </w:tcBorders>
                <w:shd w:val="clear" w:color="auto" w:fill="auto"/>
                <w:vAlign w:val="center"/>
              </w:tcPr>
              <w:p w:rsidR="00247FC3" w:rsidRPr="00247FC3" w:rsidRDefault="00247FC3" w:rsidP="0080240F">
                <w:pPr>
                  <w:spacing w:before="0" w:after="0" w:line="240" w:lineRule="auto"/>
                  <w:jc w:val="center"/>
                  <w:rPr>
                    <w:rFonts w:cs="Arial"/>
                    <w:sz w:val="16"/>
                    <w:szCs w:val="16"/>
                  </w:rPr>
                </w:pPr>
                <w:r w:rsidRPr="00247FC3">
                  <w:rPr>
                    <w:rFonts w:cs="Arial"/>
                    <w:sz w:val="16"/>
                    <w:szCs w:val="16"/>
                  </w:rPr>
                  <w:t>1.00</w:t>
                </w:r>
              </w:p>
            </w:tc>
            <w:tc>
              <w:tcPr>
                <w:tcW w:w="749" w:type="pct"/>
                <w:tcBorders>
                  <w:bottom w:val="nil"/>
                </w:tcBorders>
                <w:shd w:val="clear" w:color="auto" w:fill="auto"/>
                <w:vAlign w:val="center"/>
              </w:tcPr>
              <w:p w:rsidR="00247FC3" w:rsidRPr="00247FC3" w:rsidRDefault="00247FC3" w:rsidP="0080240F">
                <w:pPr>
                  <w:spacing w:before="0" w:after="0" w:line="240" w:lineRule="auto"/>
                  <w:jc w:val="center"/>
                  <w:rPr>
                    <w:rFonts w:cs="Arial"/>
                    <w:sz w:val="16"/>
                    <w:szCs w:val="16"/>
                  </w:rPr>
                </w:pPr>
                <w:r w:rsidRPr="00247FC3">
                  <w:rPr>
                    <w:rFonts w:cs="Arial"/>
                    <w:sz w:val="16"/>
                    <w:szCs w:val="16"/>
                  </w:rPr>
                  <w:t>$13</w:t>
                </w:r>
                <w:r>
                  <w:rPr>
                    <w:rFonts w:cs="Arial"/>
                    <w:sz w:val="16"/>
                    <w:szCs w:val="16"/>
                  </w:rPr>
                  <w:t xml:space="preserve"> </w:t>
                </w:r>
                <w:r w:rsidRPr="00247FC3">
                  <w:rPr>
                    <w:rFonts w:cs="Arial"/>
                    <w:sz w:val="16"/>
                    <w:szCs w:val="16"/>
                  </w:rPr>
                  <w:t>404.83</w:t>
                </w:r>
              </w:p>
            </w:tc>
          </w:tr>
          <w:tr w:rsidR="00C424C5" w:rsidRPr="00796046" w:rsidTr="0080240F">
            <w:trPr>
              <w:cnfStyle w:val="000000010000" w:firstRow="0" w:lastRow="0" w:firstColumn="0" w:lastColumn="0" w:oddVBand="0" w:evenVBand="0" w:oddHBand="0" w:evenHBand="1" w:firstRowFirstColumn="0" w:firstRowLastColumn="0" w:lastRowFirstColumn="0" w:lastRowLastColumn="0"/>
              <w:trHeight w:val="499"/>
            </w:trPr>
            <w:tc>
              <w:tcPr>
                <w:tcW w:w="357" w:type="pct"/>
                <w:tcBorders>
                  <w:bottom w:val="nil"/>
                </w:tcBorders>
                <w:shd w:val="clear" w:color="auto" w:fill="auto"/>
                <w:vAlign w:val="center"/>
              </w:tcPr>
              <w:p w:rsidR="00247FC3" w:rsidRPr="00247FC3" w:rsidRDefault="00247FC3" w:rsidP="0080240F">
                <w:pPr>
                  <w:spacing w:before="0" w:after="0" w:line="240" w:lineRule="auto"/>
                  <w:jc w:val="center"/>
                  <w:rPr>
                    <w:rFonts w:cs="Arial"/>
                    <w:sz w:val="16"/>
                    <w:szCs w:val="16"/>
                  </w:rPr>
                </w:pPr>
              </w:p>
            </w:tc>
            <w:tc>
              <w:tcPr>
                <w:tcW w:w="590" w:type="pct"/>
                <w:tcBorders>
                  <w:bottom w:val="nil"/>
                </w:tcBorders>
                <w:shd w:val="clear" w:color="auto" w:fill="auto"/>
                <w:vAlign w:val="center"/>
              </w:tcPr>
              <w:p w:rsidR="00247FC3" w:rsidRPr="00247FC3" w:rsidRDefault="00247FC3" w:rsidP="0080240F">
                <w:pPr>
                  <w:spacing w:before="0" w:after="0" w:line="240" w:lineRule="auto"/>
                  <w:jc w:val="center"/>
                  <w:rPr>
                    <w:rFonts w:cs="Arial"/>
                    <w:sz w:val="16"/>
                    <w:szCs w:val="16"/>
                  </w:rPr>
                </w:pPr>
              </w:p>
            </w:tc>
            <w:tc>
              <w:tcPr>
                <w:tcW w:w="1037" w:type="pct"/>
                <w:tcBorders>
                  <w:bottom w:val="nil"/>
                </w:tcBorders>
                <w:shd w:val="clear" w:color="auto" w:fill="auto"/>
                <w:vAlign w:val="center"/>
              </w:tcPr>
              <w:p w:rsidR="00247FC3" w:rsidRPr="00247FC3" w:rsidRDefault="00247FC3" w:rsidP="0080240F">
                <w:pPr>
                  <w:spacing w:before="0" w:after="0" w:line="240" w:lineRule="auto"/>
                  <w:jc w:val="left"/>
                  <w:rPr>
                    <w:rFonts w:cs="Arial"/>
                    <w:sz w:val="16"/>
                    <w:szCs w:val="16"/>
                  </w:rPr>
                </w:pPr>
              </w:p>
            </w:tc>
            <w:tc>
              <w:tcPr>
                <w:tcW w:w="625" w:type="pct"/>
                <w:tcBorders>
                  <w:bottom w:val="nil"/>
                </w:tcBorders>
                <w:shd w:val="clear" w:color="auto" w:fill="auto"/>
                <w:vAlign w:val="center"/>
              </w:tcPr>
              <w:p w:rsidR="00247FC3" w:rsidRPr="00247FC3" w:rsidRDefault="00247FC3" w:rsidP="0080240F">
                <w:pPr>
                  <w:spacing w:before="0" w:after="0" w:line="240" w:lineRule="auto"/>
                  <w:jc w:val="center"/>
                  <w:rPr>
                    <w:rFonts w:cs="Arial"/>
                    <w:sz w:val="16"/>
                    <w:szCs w:val="16"/>
                  </w:rPr>
                </w:pPr>
                <w:r w:rsidRPr="00247FC3">
                  <w:rPr>
                    <w:rFonts w:cs="Arial"/>
                    <w:sz w:val="16"/>
                    <w:szCs w:val="16"/>
                  </w:rPr>
                  <w:t>ENOF,MP1,10,MP2,10</w:t>
                </w:r>
              </w:p>
            </w:tc>
            <w:tc>
              <w:tcPr>
                <w:tcW w:w="488" w:type="pct"/>
                <w:tcBorders>
                  <w:bottom w:val="nil"/>
                </w:tcBorders>
                <w:shd w:val="clear" w:color="auto" w:fill="auto"/>
                <w:vAlign w:val="center"/>
              </w:tcPr>
              <w:p w:rsidR="00247FC3" w:rsidRPr="00247FC3" w:rsidRDefault="00247FC3" w:rsidP="0080240F">
                <w:pPr>
                  <w:spacing w:before="0" w:after="0" w:line="240" w:lineRule="auto"/>
                  <w:jc w:val="center"/>
                  <w:rPr>
                    <w:rFonts w:cs="Arial"/>
                    <w:sz w:val="16"/>
                    <w:szCs w:val="16"/>
                  </w:rPr>
                </w:pPr>
              </w:p>
            </w:tc>
            <w:tc>
              <w:tcPr>
                <w:tcW w:w="605" w:type="pct"/>
                <w:tcBorders>
                  <w:bottom w:val="nil"/>
                </w:tcBorders>
                <w:shd w:val="clear" w:color="auto" w:fill="auto"/>
                <w:vAlign w:val="center"/>
              </w:tcPr>
              <w:p w:rsidR="00247FC3" w:rsidRPr="00247FC3" w:rsidRDefault="00247FC3" w:rsidP="0080240F">
                <w:pPr>
                  <w:spacing w:before="0" w:after="0" w:line="240" w:lineRule="auto"/>
                  <w:jc w:val="center"/>
                  <w:rPr>
                    <w:rFonts w:cs="Arial"/>
                    <w:sz w:val="16"/>
                    <w:szCs w:val="16"/>
                  </w:rPr>
                </w:pPr>
                <w:r w:rsidRPr="00247FC3">
                  <w:rPr>
                    <w:rFonts w:cs="Arial"/>
                    <w:sz w:val="16"/>
                    <w:szCs w:val="16"/>
                  </w:rPr>
                  <w:t>$0.00</w:t>
                </w:r>
              </w:p>
            </w:tc>
            <w:tc>
              <w:tcPr>
                <w:tcW w:w="549" w:type="pct"/>
                <w:tcBorders>
                  <w:bottom w:val="nil"/>
                </w:tcBorders>
                <w:shd w:val="clear" w:color="auto" w:fill="auto"/>
                <w:vAlign w:val="center"/>
              </w:tcPr>
              <w:p w:rsidR="00247FC3" w:rsidRPr="00247FC3" w:rsidRDefault="00247FC3" w:rsidP="0080240F">
                <w:pPr>
                  <w:spacing w:before="0" w:after="0" w:line="240" w:lineRule="auto"/>
                  <w:jc w:val="center"/>
                  <w:rPr>
                    <w:rFonts w:cs="Arial"/>
                    <w:sz w:val="16"/>
                    <w:szCs w:val="16"/>
                  </w:rPr>
                </w:pPr>
                <w:r w:rsidRPr="00247FC3">
                  <w:rPr>
                    <w:rFonts w:cs="Arial"/>
                    <w:sz w:val="16"/>
                    <w:szCs w:val="16"/>
                  </w:rPr>
                  <w:t>280.00</w:t>
                </w:r>
              </w:p>
            </w:tc>
            <w:tc>
              <w:tcPr>
                <w:tcW w:w="749"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sidRPr="00247FC3">
                  <w:rPr>
                    <w:rFonts w:cs="Arial"/>
                    <w:sz w:val="16"/>
                    <w:szCs w:val="16"/>
                  </w:rPr>
                  <w:t>$0.00</w:t>
                </w:r>
              </w:p>
            </w:tc>
          </w:tr>
          <w:tr w:rsidR="00C424C5" w:rsidRPr="00247FC3" w:rsidTr="0080240F">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18:20</w:t>
                </w:r>
              </w:p>
            </w:tc>
            <w:tc>
              <w:tcPr>
                <w:tcW w:w="590"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$13 404.83</w:t>
                </w:r>
              </w:p>
            </w:tc>
            <w:tc>
              <w:tcPr>
                <w:tcW w:w="1037" w:type="pct"/>
                <w:tcBorders>
                  <w:bottom w:val="nil"/>
                </w:tcBorders>
                <w:shd w:val="clear" w:color="auto" w:fill="D4E2FF" w:themeFill="accent3" w:themeFillTint="1A"/>
                <w:vAlign w:val="center"/>
              </w:tcPr>
              <w:p w:rsidR="00247FC3" w:rsidRDefault="00247FC3" w:rsidP="0080240F">
                <w:pPr>
                  <w:spacing w:before="0" w:after="0" w:line="240" w:lineRule="auto"/>
                  <w:jc w:val="left"/>
                  <w:rPr>
                    <w:rFonts w:cs="Arial"/>
                    <w:sz w:val="16"/>
                    <w:szCs w:val="16"/>
                  </w:rPr>
                </w:pPr>
                <w:r>
                  <w:rPr>
                    <w:rFonts w:cs="Arial"/>
                    <w:sz w:val="16"/>
                    <w:szCs w:val="16"/>
                  </w:rPr>
                  <w:t>EnergyAustralia</w:t>
                </w:r>
              </w:p>
            </w:tc>
            <w:tc>
              <w:tcPr>
                <w:tcW w:w="625"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MP1</w:t>
                </w:r>
              </w:p>
            </w:tc>
            <w:tc>
              <w:tcPr>
                <w:tcW w:w="488"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Energy</w:t>
                </w:r>
              </w:p>
            </w:tc>
            <w:tc>
              <w:tcPr>
                <w:tcW w:w="605"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$13 404.83</w:t>
                </w:r>
              </w:p>
            </w:tc>
            <w:tc>
              <w:tcPr>
                <w:tcW w:w="549"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0.50</w:t>
                </w:r>
              </w:p>
            </w:tc>
            <w:tc>
              <w:tcPr>
                <w:tcW w:w="749"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$6702.42</w:t>
                </w:r>
              </w:p>
            </w:tc>
          </w:tr>
          <w:tr w:rsidR="00C424C5" w:rsidRPr="00247FC3" w:rsidTr="0080240F">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p>
            </w:tc>
            <w:tc>
              <w:tcPr>
                <w:tcW w:w="590"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p>
            </w:tc>
            <w:tc>
              <w:tcPr>
                <w:tcW w:w="1037" w:type="pct"/>
                <w:tcBorders>
                  <w:bottom w:val="nil"/>
                </w:tcBorders>
                <w:shd w:val="clear" w:color="auto" w:fill="D4E2FF" w:themeFill="accent3" w:themeFillTint="1A"/>
                <w:vAlign w:val="center"/>
              </w:tcPr>
              <w:p w:rsidR="00247FC3" w:rsidRDefault="00247FC3" w:rsidP="0080240F">
                <w:pPr>
                  <w:spacing w:before="0" w:after="0" w:line="240" w:lineRule="auto"/>
                  <w:jc w:val="left"/>
                  <w:rPr>
                    <w:rFonts w:cs="Arial"/>
                    <w:sz w:val="16"/>
                    <w:szCs w:val="16"/>
                  </w:rPr>
                </w:pPr>
                <w:r>
                  <w:rPr>
                    <w:rFonts w:cs="Arial"/>
                    <w:sz w:val="16"/>
                    <w:szCs w:val="16"/>
                  </w:rPr>
                  <w:t>EnergyAustralia</w:t>
                </w:r>
              </w:p>
            </w:tc>
            <w:tc>
              <w:tcPr>
                <w:tcW w:w="625"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MP2</w:t>
                </w:r>
              </w:p>
            </w:tc>
            <w:tc>
              <w:tcPr>
                <w:tcW w:w="488"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Energy</w:t>
                </w:r>
              </w:p>
            </w:tc>
            <w:tc>
              <w:tcPr>
                <w:tcW w:w="605"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$13 404.83</w:t>
                </w:r>
              </w:p>
            </w:tc>
            <w:tc>
              <w:tcPr>
                <w:tcW w:w="549"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0.50</w:t>
                </w:r>
              </w:p>
            </w:tc>
            <w:tc>
              <w:tcPr>
                <w:tcW w:w="749"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$6702.42</w:t>
                </w:r>
              </w:p>
            </w:tc>
          </w:tr>
          <w:tr w:rsidR="00247FC3" w:rsidRPr="00796046" w:rsidTr="0080240F">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18:25</w:t>
                </w:r>
              </w:p>
            </w:tc>
            <w:tc>
              <w:tcPr>
                <w:tcW w:w="590"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$13 404.83</w:t>
                </w:r>
              </w:p>
            </w:tc>
            <w:tc>
              <w:tcPr>
                <w:tcW w:w="1037" w:type="pct"/>
                <w:tcBorders>
                  <w:bottom w:val="nil"/>
                </w:tcBorders>
                <w:shd w:val="clear" w:color="auto" w:fill="auto"/>
                <w:vAlign w:val="center"/>
              </w:tcPr>
              <w:p w:rsidR="00247FC3" w:rsidRDefault="00247FC3" w:rsidP="0080240F">
                <w:pPr>
                  <w:spacing w:before="0" w:after="0" w:line="240" w:lineRule="auto"/>
                  <w:jc w:val="left"/>
                  <w:rPr>
                    <w:rFonts w:cs="Arial"/>
                    <w:sz w:val="16"/>
                    <w:szCs w:val="16"/>
                  </w:rPr>
                </w:pPr>
                <w:r>
                  <w:rPr>
                    <w:rFonts w:cs="Arial"/>
                    <w:sz w:val="16"/>
                    <w:szCs w:val="16"/>
                  </w:rPr>
                  <w:t>EnergyAustralia</w:t>
                </w:r>
              </w:p>
            </w:tc>
            <w:tc>
              <w:tcPr>
                <w:tcW w:w="625"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MP1</w:t>
                </w:r>
              </w:p>
            </w:tc>
            <w:tc>
              <w:tcPr>
                <w:tcW w:w="488"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Energy</w:t>
                </w:r>
              </w:p>
            </w:tc>
            <w:tc>
              <w:tcPr>
                <w:tcW w:w="605"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$13 404.83</w:t>
                </w:r>
              </w:p>
            </w:tc>
            <w:tc>
              <w:tcPr>
                <w:tcW w:w="549"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0.50</w:t>
                </w:r>
              </w:p>
            </w:tc>
            <w:tc>
              <w:tcPr>
                <w:tcW w:w="749"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$6702.42</w:t>
                </w:r>
              </w:p>
            </w:tc>
          </w:tr>
          <w:tr w:rsidR="00C424C5" w:rsidRPr="00796046" w:rsidTr="0080240F">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p>
            </w:tc>
            <w:tc>
              <w:tcPr>
                <w:tcW w:w="590"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p>
            </w:tc>
            <w:tc>
              <w:tcPr>
                <w:tcW w:w="1037" w:type="pct"/>
                <w:tcBorders>
                  <w:bottom w:val="nil"/>
                </w:tcBorders>
                <w:shd w:val="clear" w:color="auto" w:fill="auto"/>
                <w:vAlign w:val="center"/>
              </w:tcPr>
              <w:p w:rsidR="00247FC3" w:rsidRDefault="00247FC3" w:rsidP="0080240F">
                <w:pPr>
                  <w:spacing w:before="0" w:after="0" w:line="240" w:lineRule="auto"/>
                  <w:jc w:val="left"/>
                  <w:rPr>
                    <w:rFonts w:cs="Arial"/>
                    <w:sz w:val="16"/>
                    <w:szCs w:val="16"/>
                  </w:rPr>
                </w:pPr>
                <w:r>
                  <w:rPr>
                    <w:rFonts w:cs="Arial"/>
                    <w:sz w:val="16"/>
                    <w:szCs w:val="16"/>
                  </w:rPr>
                  <w:t>EnergyAustralia</w:t>
                </w:r>
              </w:p>
            </w:tc>
            <w:tc>
              <w:tcPr>
                <w:tcW w:w="625"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MP2</w:t>
                </w:r>
              </w:p>
            </w:tc>
            <w:tc>
              <w:tcPr>
                <w:tcW w:w="488"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Energy</w:t>
                </w:r>
              </w:p>
            </w:tc>
            <w:tc>
              <w:tcPr>
                <w:tcW w:w="605"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$13 404.83</w:t>
                </w:r>
              </w:p>
            </w:tc>
            <w:tc>
              <w:tcPr>
                <w:tcW w:w="549"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0.50</w:t>
                </w:r>
              </w:p>
            </w:tc>
            <w:tc>
              <w:tcPr>
                <w:tcW w:w="749" w:type="pct"/>
                <w:tcBorders>
                  <w:bottom w:val="nil"/>
                </w:tcBorders>
                <w:shd w:val="clear" w:color="auto" w:fill="auto"/>
                <w:vAlign w:val="center"/>
              </w:tcPr>
              <w:p w:rsidR="00247FC3" w:rsidRDefault="00247FC3" w:rsidP="0080240F">
                <w:pPr>
                  <w:spacing w:before="0" w:after="0" w:line="240" w:lineRule="auto"/>
                  <w:jc w:val="center"/>
                  <w:rPr>
                    <w:rFonts w:cs="Arial"/>
                    <w:sz w:val="16"/>
                    <w:szCs w:val="16"/>
                  </w:rPr>
                </w:pPr>
                <w:r>
                  <w:rPr>
                    <w:rFonts w:cs="Arial"/>
                    <w:sz w:val="16"/>
                    <w:szCs w:val="16"/>
                  </w:rPr>
                  <w:t>$6702.42</w:t>
                </w:r>
              </w:p>
            </w:tc>
          </w:tr>
          <w:tr w:rsidR="00C424C5" w:rsidRPr="00796046" w:rsidTr="0080240F">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18:30</w:t>
                </w:r>
              </w:p>
            </w:tc>
            <w:tc>
              <w:tcPr>
                <w:tcW w:w="590"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$13 450.00</w:t>
                </w:r>
              </w:p>
            </w:tc>
            <w:tc>
              <w:tcPr>
                <w:tcW w:w="1037" w:type="pct"/>
                <w:tcBorders>
                  <w:bottom w:val="nil"/>
                </w:tcBorders>
                <w:shd w:val="clear" w:color="auto" w:fill="D4E2FF" w:themeFill="accent3" w:themeFillTint="1A"/>
                <w:vAlign w:val="center"/>
              </w:tcPr>
              <w:p w:rsidR="00247FC3" w:rsidRDefault="00350712" w:rsidP="0080240F">
                <w:pPr>
                  <w:spacing w:before="0" w:after="0" w:line="240" w:lineRule="auto"/>
                  <w:jc w:val="left"/>
                  <w:rPr>
                    <w:rFonts w:cs="Arial"/>
                    <w:sz w:val="16"/>
                    <w:szCs w:val="16"/>
                  </w:rPr>
                </w:pPr>
                <w:r>
                  <w:rPr>
                    <w:rFonts w:cs="Arial"/>
                    <w:sz w:val="16"/>
                    <w:szCs w:val="16"/>
                  </w:rPr>
                  <w:t>AGL</w:t>
                </w:r>
              </w:p>
            </w:tc>
            <w:tc>
              <w:tcPr>
                <w:tcW w:w="625"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BW01</w:t>
                </w:r>
              </w:p>
            </w:tc>
            <w:tc>
              <w:tcPr>
                <w:tcW w:w="488"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Energy</w:t>
                </w:r>
              </w:p>
            </w:tc>
            <w:tc>
              <w:tcPr>
                <w:tcW w:w="605"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$13 450.00</w:t>
                </w:r>
              </w:p>
            </w:tc>
            <w:tc>
              <w:tcPr>
                <w:tcW w:w="549"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0.34</w:t>
                </w:r>
              </w:p>
            </w:tc>
            <w:tc>
              <w:tcPr>
                <w:tcW w:w="749"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$4573.00</w:t>
                </w:r>
              </w:p>
            </w:tc>
          </w:tr>
          <w:tr w:rsidR="00C424C5" w:rsidRPr="00796046" w:rsidTr="0080240F">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p>
            </w:tc>
            <w:tc>
              <w:tcPr>
                <w:tcW w:w="590"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p>
            </w:tc>
            <w:tc>
              <w:tcPr>
                <w:tcW w:w="1037" w:type="pct"/>
                <w:tcBorders>
                  <w:bottom w:val="nil"/>
                </w:tcBorders>
                <w:shd w:val="clear" w:color="auto" w:fill="D4E2FF" w:themeFill="accent3" w:themeFillTint="1A"/>
                <w:vAlign w:val="center"/>
              </w:tcPr>
              <w:p w:rsidR="00247FC3" w:rsidRDefault="00350712" w:rsidP="0080240F">
                <w:pPr>
                  <w:spacing w:before="0" w:after="0" w:line="240" w:lineRule="auto"/>
                  <w:jc w:val="left"/>
                  <w:rPr>
                    <w:rFonts w:cs="Arial"/>
                    <w:sz w:val="16"/>
                    <w:szCs w:val="16"/>
                  </w:rPr>
                </w:pPr>
                <w:r>
                  <w:rPr>
                    <w:rFonts w:cs="Arial"/>
                    <w:sz w:val="16"/>
                    <w:szCs w:val="16"/>
                  </w:rPr>
                  <w:t>AGL</w:t>
                </w:r>
              </w:p>
            </w:tc>
            <w:tc>
              <w:tcPr>
                <w:tcW w:w="625"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BW02</w:t>
                </w:r>
              </w:p>
            </w:tc>
            <w:tc>
              <w:tcPr>
                <w:tcW w:w="488"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Energy</w:t>
                </w:r>
              </w:p>
            </w:tc>
            <w:tc>
              <w:tcPr>
                <w:tcW w:w="605"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$13 450.00</w:t>
                </w:r>
              </w:p>
            </w:tc>
            <w:tc>
              <w:tcPr>
                <w:tcW w:w="549"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0.22</w:t>
                </w:r>
              </w:p>
            </w:tc>
            <w:tc>
              <w:tcPr>
                <w:tcW w:w="749"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$2959.00</w:t>
                </w:r>
              </w:p>
            </w:tc>
          </w:tr>
          <w:tr w:rsidR="00C424C5" w:rsidRPr="00796046" w:rsidTr="0080240F">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p>
            </w:tc>
            <w:tc>
              <w:tcPr>
                <w:tcW w:w="590"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p>
            </w:tc>
            <w:tc>
              <w:tcPr>
                <w:tcW w:w="1037" w:type="pct"/>
                <w:tcBorders>
                  <w:bottom w:val="nil"/>
                </w:tcBorders>
                <w:shd w:val="clear" w:color="auto" w:fill="D4E2FF" w:themeFill="accent3" w:themeFillTint="1A"/>
                <w:vAlign w:val="center"/>
              </w:tcPr>
              <w:p w:rsidR="00247FC3" w:rsidRDefault="00350712" w:rsidP="0080240F">
                <w:pPr>
                  <w:spacing w:before="0" w:after="0" w:line="240" w:lineRule="auto"/>
                  <w:jc w:val="left"/>
                  <w:rPr>
                    <w:rFonts w:cs="Arial"/>
                    <w:sz w:val="16"/>
                    <w:szCs w:val="16"/>
                  </w:rPr>
                </w:pPr>
                <w:r>
                  <w:rPr>
                    <w:rFonts w:cs="Arial"/>
                    <w:sz w:val="16"/>
                    <w:szCs w:val="16"/>
                  </w:rPr>
                  <w:t>AGL</w:t>
                </w:r>
              </w:p>
            </w:tc>
            <w:tc>
              <w:tcPr>
                <w:tcW w:w="625"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BW03</w:t>
                </w:r>
              </w:p>
            </w:tc>
            <w:tc>
              <w:tcPr>
                <w:tcW w:w="488"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Energy</w:t>
                </w:r>
              </w:p>
            </w:tc>
            <w:tc>
              <w:tcPr>
                <w:tcW w:w="605"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$13 450.00</w:t>
                </w:r>
              </w:p>
            </w:tc>
            <w:tc>
              <w:tcPr>
                <w:tcW w:w="549"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0.22</w:t>
                </w:r>
              </w:p>
            </w:tc>
            <w:tc>
              <w:tcPr>
                <w:tcW w:w="749"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$2959.00</w:t>
                </w:r>
              </w:p>
            </w:tc>
          </w:tr>
          <w:tr w:rsidR="00247FC3" w:rsidRPr="00796046" w:rsidTr="0080240F">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p>
            </w:tc>
            <w:tc>
              <w:tcPr>
                <w:tcW w:w="590"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p>
            </w:tc>
            <w:tc>
              <w:tcPr>
                <w:tcW w:w="1037" w:type="pct"/>
                <w:tcBorders>
                  <w:bottom w:val="nil"/>
                </w:tcBorders>
                <w:shd w:val="clear" w:color="auto" w:fill="D4E2FF" w:themeFill="accent3" w:themeFillTint="1A"/>
                <w:vAlign w:val="center"/>
              </w:tcPr>
              <w:p w:rsidR="00247FC3" w:rsidRDefault="00350712" w:rsidP="0080240F">
                <w:pPr>
                  <w:spacing w:before="0" w:after="0" w:line="240" w:lineRule="auto"/>
                  <w:jc w:val="left"/>
                  <w:rPr>
                    <w:rFonts w:cs="Arial"/>
                    <w:sz w:val="16"/>
                    <w:szCs w:val="16"/>
                  </w:rPr>
                </w:pPr>
                <w:r>
                  <w:rPr>
                    <w:rFonts w:cs="Arial"/>
                    <w:sz w:val="16"/>
                    <w:szCs w:val="16"/>
                  </w:rPr>
                  <w:t>AGL</w:t>
                </w:r>
              </w:p>
            </w:tc>
            <w:tc>
              <w:tcPr>
                <w:tcW w:w="625"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BW04</w:t>
                </w:r>
              </w:p>
            </w:tc>
            <w:tc>
              <w:tcPr>
                <w:tcW w:w="488"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Energy</w:t>
                </w:r>
              </w:p>
            </w:tc>
            <w:tc>
              <w:tcPr>
                <w:tcW w:w="605"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$13 450.00</w:t>
                </w:r>
              </w:p>
            </w:tc>
            <w:tc>
              <w:tcPr>
                <w:tcW w:w="549"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0.22</w:t>
                </w:r>
              </w:p>
            </w:tc>
            <w:tc>
              <w:tcPr>
                <w:tcW w:w="749" w:type="pct"/>
                <w:tcBorders>
                  <w:bottom w:val="nil"/>
                </w:tcBorders>
                <w:shd w:val="clear" w:color="auto" w:fill="D4E2FF" w:themeFill="accent3" w:themeFillTint="1A"/>
                <w:vAlign w:val="center"/>
              </w:tcPr>
              <w:p w:rsidR="00247FC3" w:rsidRDefault="00247FC3" w:rsidP="0080240F">
                <w:pPr>
                  <w:spacing w:before="0" w:after="0" w:line="240" w:lineRule="auto"/>
                  <w:jc w:val="center"/>
                  <w:rPr>
                    <w:rFonts w:cs="Arial"/>
                    <w:sz w:val="16"/>
                    <w:szCs w:val="16"/>
                  </w:rPr>
                </w:pPr>
                <w:r>
                  <w:rPr>
                    <w:rFonts w:cs="Arial"/>
                    <w:sz w:val="16"/>
                    <w:szCs w:val="16"/>
                  </w:rPr>
                  <w:t>$2959.00</w:t>
                </w:r>
              </w:p>
            </w:tc>
          </w:tr>
          <w:tr w:rsidR="00C424C5" w:rsidRPr="00796046" w:rsidTr="00C424C5">
            <w:trPr>
              <w:cnfStyle w:val="000000100000" w:firstRow="0" w:lastRow="0" w:firstColumn="0" w:lastColumn="0" w:oddVBand="0" w:evenVBand="0" w:oddHBand="1" w:evenHBand="0" w:firstRowFirstColumn="0" w:firstRowLastColumn="0" w:lastRowFirstColumn="0" w:lastRowLastColumn="0"/>
              <w:trHeight w:hRule="exact" w:val="397"/>
            </w:trPr>
            <w:tc>
              <w:tcPr>
                <w:tcW w:w="947" w:type="pct"/>
                <w:gridSpan w:val="2"/>
                <w:tcBorders>
                  <w:top w:val="nil"/>
                  <w:bottom w:val="nil"/>
                </w:tcBorders>
                <w:shd w:val="clear" w:color="auto" w:fill="auto"/>
                <w:vAlign w:val="bottom"/>
              </w:tcPr>
              <w:p w:rsidR="00B72D11" w:rsidRPr="00F6401E" w:rsidRDefault="00B72D11" w:rsidP="00B718C2">
                <w:pPr>
                  <w:rPr>
                    <w:rFonts w:cs="Arial"/>
                    <w:b/>
                    <w:szCs w:val="18"/>
                  </w:rPr>
                </w:pPr>
                <w:r w:rsidRPr="00F6401E">
                  <w:rPr>
                    <w:rFonts w:cs="Arial"/>
                    <w:b/>
                    <w:szCs w:val="18"/>
                  </w:rPr>
                  <w:t>Spot Price</w:t>
                </w:r>
              </w:p>
            </w:tc>
            <w:tc>
              <w:tcPr>
                <w:tcW w:w="1037" w:type="pct"/>
                <w:tcBorders>
                  <w:top w:val="nil"/>
                  <w:bottom w:val="nil"/>
                </w:tcBorders>
                <w:shd w:val="clear" w:color="auto" w:fill="auto"/>
                <w:vAlign w:val="center"/>
              </w:tcPr>
              <w:p w:rsidR="00B72D11" w:rsidRDefault="00B72D11" w:rsidP="001716FC">
                <w:pPr>
                  <w:spacing w:after="0" w:line="240" w:lineRule="auto"/>
                  <w:jc w:val="left"/>
                  <w:rPr>
                    <w:rFonts w:cs="Arial"/>
                    <w:sz w:val="16"/>
                    <w:szCs w:val="16"/>
                  </w:rPr>
                </w:pPr>
                <w:r w:rsidRPr="00B72D11">
                  <w:rPr>
                    <w:rFonts w:cs="Arial"/>
                    <w:b/>
                    <w:szCs w:val="18"/>
                  </w:rPr>
                  <w:t>$</w:t>
                </w:r>
                <w:r w:rsidR="001716FC">
                  <w:rPr>
                    <w:rFonts w:cs="Arial"/>
                    <w:b/>
                    <w:szCs w:val="18"/>
                  </w:rPr>
                  <w:t>13 420</w:t>
                </w:r>
                <w:r w:rsidRPr="00B72D11">
                  <w:rPr>
                    <w:rFonts w:cs="Arial"/>
                    <w:b/>
                    <w:szCs w:val="18"/>
                  </w:rPr>
                  <w:t>/MWh</w:t>
                </w:r>
              </w:p>
            </w:tc>
            <w:tc>
              <w:tcPr>
                <w:tcW w:w="625" w:type="pct"/>
                <w:tcBorders>
                  <w:top w:val="nil"/>
                  <w:bottom w:val="nil"/>
                </w:tcBorders>
                <w:shd w:val="clear" w:color="auto" w:fill="FFFFFF" w:themeFill="background1"/>
                <w:vAlign w:val="bottom"/>
              </w:tcPr>
              <w:p w:rsidR="00B72D11" w:rsidRDefault="00B72D11">
                <w:pPr>
                  <w:rPr>
                    <w:rFonts w:cs="Arial"/>
                    <w:sz w:val="16"/>
                    <w:szCs w:val="16"/>
                  </w:rPr>
                </w:pPr>
              </w:p>
            </w:tc>
            <w:tc>
              <w:tcPr>
                <w:tcW w:w="488" w:type="pct"/>
                <w:tcBorders>
                  <w:top w:val="nil"/>
                  <w:bottom w:val="nil"/>
                </w:tcBorders>
                <w:shd w:val="clear" w:color="auto" w:fill="FFFFFF" w:themeFill="background1"/>
                <w:vAlign w:val="bottom"/>
              </w:tcPr>
              <w:p w:rsidR="00B72D11" w:rsidRDefault="00B72D11">
                <w:pPr>
                  <w:rPr>
                    <w:rFonts w:cs="Arial"/>
                    <w:sz w:val="16"/>
                    <w:szCs w:val="16"/>
                  </w:rPr>
                </w:pPr>
              </w:p>
            </w:tc>
            <w:tc>
              <w:tcPr>
                <w:tcW w:w="605" w:type="pct"/>
                <w:tcBorders>
                  <w:top w:val="nil"/>
                  <w:bottom w:val="nil"/>
                </w:tcBorders>
                <w:shd w:val="clear" w:color="auto" w:fill="FFFFFF" w:themeFill="background1"/>
                <w:vAlign w:val="bottom"/>
              </w:tcPr>
              <w:p w:rsidR="00B72D11" w:rsidRDefault="00B72D11">
                <w:pPr>
                  <w:jc w:val="right"/>
                  <w:rPr>
                    <w:rFonts w:cs="Arial"/>
                    <w:sz w:val="16"/>
                    <w:szCs w:val="16"/>
                  </w:rPr>
                </w:pPr>
              </w:p>
            </w:tc>
            <w:tc>
              <w:tcPr>
                <w:tcW w:w="549" w:type="pct"/>
                <w:tcBorders>
                  <w:top w:val="nil"/>
                  <w:bottom w:val="nil"/>
                </w:tcBorders>
                <w:shd w:val="clear" w:color="auto" w:fill="FFFFFF" w:themeFill="background1"/>
                <w:vAlign w:val="bottom"/>
              </w:tcPr>
              <w:p w:rsidR="00B72D11" w:rsidRDefault="00B72D11">
                <w:pPr>
                  <w:jc w:val="right"/>
                  <w:rPr>
                    <w:rFonts w:cs="Arial"/>
                    <w:sz w:val="16"/>
                    <w:szCs w:val="16"/>
                  </w:rPr>
                </w:pPr>
              </w:p>
            </w:tc>
            <w:tc>
              <w:tcPr>
                <w:tcW w:w="749" w:type="pct"/>
                <w:tcBorders>
                  <w:top w:val="nil"/>
                  <w:bottom w:val="nil"/>
                </w:tcBorders>
                <w:shd w:val="clear" w:color="auto" w:fill="FFFFFF" w:themeFill="background1"/>
                <w:vAlign w:val="bottom"/>
              </w:tcPr>
              <w:p w:rsidR="00B72D11" w:rsidRDefault="00B72D11">
                <w:pPr>
                  <w:jc w:val="right"/>
                  <w:rPr>
                    <w:rFonts w:cs="Arial"/>
                    <w:sz w:val="16"/>
                    <w:szCs w:val="16"/>
                  </w:rPr>
                </w:pPr>
              </w:p>
            </w:tc>
          </w:tr>
        </w:tbl>
        <w:p w:rsidR="00EC4A12" w:rsidRDefault="00C424C5" w:rsidP="00EC4A12">
          <w:pPr>
            <w:pStyle w:val="Tabletitle"/>
          </w:pPr>
          <w:r>
            <w:t>7</w:t>
          </w:r>
          <w:r w:rsidR="00EC4A12">
            <w:t> pm</w:t>
          </w:r>
        </w:p>
        <w:tbl>
          <w:tblPr>
            <w:tblStyle w:val="AERTable-Text"/>
            <w:tblW w:w="5054" w:type="pct"/>
            <w:tblLayout w:type="fixed"/>
            <w:tblLook w:val="04A0" w:firstRow="1" w:lastRow="0" w:firstColumn="1" w:lastColumn="0" w:noHBand="0" w:noVBand="1"/>
          </w:tblPr>
          <w:tblGrid>
            <w:gridCol w:w="628"/>
            <w:gridCol w:w="1037"/>
            <w:gridCol w:w="1822"/>
            <w:gridCol w:w="1098"/>
            <w:gridCol w:w="858"/>
            <w:gridCol w:w="1063"/>
            <w:gridCol w:w="965"/>
            <w:gridCol w:w="1316"/>
          </w:tblGrid>
          <w:tr w:rsidR="00C424C5" w:rsidRPr="00DD0001" w:rsidTr="00D67C0C">
            <w:trPr>
              <w:cnfStyle w:val="100000000000" w:firstRow="1" w:lastRow="0" w:firstColumn="0" w:lastColumn="0" w:oddVBand="0" w:evenVBand="0" w:oddHBand="0" w:evenHBand="0" w:firstRowFirstColumn="0" w:firstRowLastColumn="0" w:lastRowFirstColumn="0" w:lastRowLastColumn="0"/>
              <w:trHeight w:hRule="exact" w:val="737"/>
              <w:tblHeader/>
            </w:trPr>
            <w:tc>
              <w:tcPr>
                <w:tcW w:w="357" w:type="pct"/>
                <w:tcBorders>
                  <w:bottom w:val="nil"/>
                </w:tcBorders>
                <w:vAlign w:val="center"/>
              </w:tcPr>
              <w:p w:rsidR="00C424C5" w:rsidRPr="00010B1A" w:rsidRDefault="00C424C5" w:rsidP="0080240F">
                <w:pPr>
                  <w:jc w:val="center"/>
                  <w:rPr>
                    <w:sz w:val="18"/>
                  </w:rPr>
                </w:pPr>
                <w:r>
                  <w:rPr>
                    <w:sz w:val="18"/>
                  </w:rPr>
                  <w:t>DI</w:t>
                </w:r>
              </w:p>
            </w:tc>
            <w:tc>
              <w:tcPr>
                <w:tcW w:w="590" w:type="pct"/>
                <w:tcBorders>
                  <w:bottom w:val="nil"/>
                </w:tcBorders>
                <w:vAlign w:val="center"/>
              </w:tcPr>
              <w:p w:rsidR="00C424C5" w:rsidRPr="00010B1A" w:rsidRDefault="00C424C5" w:rsidP="0080240F">
                <w:pPr>
                  <w:spacing w:before="0" w:after="0"/>
                  <w:jc w:val="center"/>
                  <w:rPr>
                    <w:sz w:val="18"/>
                  </w:rPr>
                </w:pPr>
                <w:r w:rsidRPr="00010B1A">
                  <w:rPr>
                    <w:sz w:val="18"/>
                  </w:rPr>
                  <w:t>Dispatch Price</w:t>
                </w:r>
                <w:r>
                  <w:rPr>
                    <w:sz w:val="18"/>
                  </w:rPr>
                  <w:t xml:space="preserve"> ($/MWh)</w:t>
                </w:r>
              </w:p>
            </w:tc>
            <w:tc>
              <w:tcPr>
                <w:tcW w:w="1037" w:type="pct"/>
                <w:tcBorders>
                  <w:bottom w:val="nil"/>
                </w:tcBorders>
                <w:vAlign w:val="center"/>
              </w:tcPr>
              <w:p w:rsidR="00C424C5" w:rsidRPr="00010B1A" w:rsidRDefault="00C424C5" w:rsidP="0080240F">
                <w:pPr>
                  <w:spacing w:before="0" w:after="0"/>
                  <w:jc w:val="center"/>
                  <w:rPr>
                    <w:sz w:val="18"/>
                  </w:rPr>
                </w:pPr>
                <w:r w:rsidRPr="00010B1A">
                  <w:rPr>
                    <w:sz w:val="18"/>
                  </w:rPr>
                  <w:t>Participant</w:t>
                </w:r>
              </w:p>
            </w:tc>
            <w:tc>
              <w:tcPr>
                <w:tcW w:w="625" w:type="pct"/>
                <w:tcBorders>
                  <w:bottom w:val="nil"/>
                </w:tcBorders>
                <w:vAlign w:val="center"/>
              </w:tcPr>
              <w:p w:rsidR="00C424C5" w:rsidRPr="00010B1A" w:rsidRDefault="00C424C5" w:rsidP="0080240F">
                <w:pPr>
                  <w:spacing w:before="0" w:after="0"/>
                  <w:jc w:val="center"/>
                  <w:rPr>
                    <w:sz w:val="18"/>
                  </w:rPr>
                </w:pPr>
                <w:r w:rsidRPr="00010B1A">
                  <w:rPr>
                    <w:sz w:val="18"/>
                  </w:rPr>
                  <w:t>Unit</w:t>
                </w:r>
              </w:p>
            </w:tc>
            <w:tc>
              <w:tcPr>
                <w:tcW w:w="488" w:type="pct"/>
                <w:tcBorders>
                  <w:bottom w:val="nil"/>
                </w:tcBorders>
                <w:vAlign w:val="center"/>
              </w:tcPr>
              <w:p w:rsidR="00C424C5" w:rsidRPr="00010B1A" w:rsidRDefault="00C424C5" w:rsidP="0080240F">
                <w:pPr>
                  <w:spacing w:before="0" w:after="0"/>
                  <w:jc w:val="center"/>
                  <w:rPr>
                    <w:sz w:val="18"/>
                  </w:rPr>
                </w:pPr>
                <w:r w:rsidRPr="00010B1A">
                  <w:rPr>
                    <w:sz w:val="18"/>
                  </w:rPr>
                  <w:t>Service</w:t>
                </w:r>
              </w:p>
            </w:tc>
            <w:tc>
              <w:tcPr>
                <w:tcW w:w="605" w:type="pct"/>
                <w:tcBorders>
                  <w:bottom w:val="nil"/>
                </w:tcBorders>
                <w:vAlign w:val="center"/>
              </w:tcPr>
              <w:p w:rsidR="00C424C5" w:rsidRPr="00010B1A" w:rsidRDefault="00C424C5" w:rsidP="0080240F">
                <w:pPr>
                  <w:spacing w:before="0" w:after="0"/>
                  <w:jc w:val="center"/>
                  <w:rPr>
                    <w:sz w:val="18"/>
                  </w:rPr>
                </w:pPr>
                <w:r>
                  <w:rPr>
                    <w:sz w:val="18"/>
                  </w:rPr>
                  <w:t>Offer price ($/MWh)</w:t>
                </w:r>
              </w:p>
            </w:tc>
            <w:tc>
              <w:tcPr>
                <w:tcW w:w="549" w:type="pct"/>
                <w:tcBorders>
                  <w:bottom w:val="nil"/>
                </w:tcBorders>
                <w:vAlign w:val="center"/>
              </w:tcPr>
              <w:p w:rsidR="00C424C5" w:rsidRPr="00010B1A" w:rsidRDefault="00C424C5" w:rsidP="0080240F">
                <w:pPr>
                  <w:jc w:val="center"/>
                  <w:rPr>
                    <w:sz w:val="18"/>
                  </w:rPr>
                </w:pPr>
                <w:r w:rsidRPr="00010B1A">
                  <w:rPr>
                    <w:sz w:val="18"/>
                  </w:rPr>
                  <w:t>Margi</w:t>
                </w:r>
                <w:r>
                  <w:rPr>
                    <w:sz w:val="18"/>
                  </w:rPr>
                  <w:t>nal</w:t>
                </w:r>
                <w:r w:rsidRPr="00010B1A">
                  <w:rPr>
                    <w:sz w:val="18"/>
                  </w:rPr>
                  <w:t xml:space="preserve"> change</w:t>
                </w:r>
              </w:p>
            </w:tc>
            <w:tc>
              <w:tcPr>
                <w:tcW w:w="749" w:type="pct"/>
                <w:tcBorders>
                  <w:bottom w:val="nil"/>
                </w:tcBorders>
                <w:vAlign w:val="center"/>
              </w:tcPr>
              <w:p w:rsidR="00C424C5" w:rsidRPr="00010B1A" w:rsidRDefault="00C424C5" w:rsidP="0080240F">
                <w:pPr>
                  <w:jc w:val="center"/>
                  <w:rPr>
                    <w:sz w:val="18"/>
                  </w:rPr>
                </w:pPr>
                <w:r>
                  <w:rPr>
                    <w:sz w:val="18"/>
                  </w:rPr>
                  <w:t>Contribution</w:t>
                </w:r>
              </w:p>
            </w:tc>
          </w:tr>
          <w:tr w:rsidR="00C424C5" w:rsidRPr="00796046" w:rsidTr="0080240F">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18:35</w:t>
                </w:r>
              </w:p>
            </w:tc>
            <w:tc>
              <w:tcPr>
                <w:tcW w:w="590"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$13 404.83</w:t>
                </w:r>
              </w:p>
            </w:tc>
            <w:tc>
              <w:tcPr>
                <w:tcW w:w="1037" w:type="pct"/>
                <w:tcBorders>
                  <w:bottom w:val="nil"/>
                </w:tcBorders>
                <w:shd w:val="clear" w:color="auto" w:fill="auto"/>
                <w:vAlign w:val="center"/>
              </w:tcPr>
              <w:p w:rsidR="00C424C5" w:rsidRDefault="00C424C5" w:rsidP="0080240F">
                <w:pPr>
                  <w:spacing w:before="0" w:after="0" w:line="240" w:lineRule="auto"/>
                  <w:jc w:val="left"/>
                  <w:rPr>
                    <w:rFonts w:cs="Arial"/>
                    <w:sz w:val="16"/>
                    <w:szCs w:val="16"/>
                  </w:rPr>
                </w:pPr>
                <w:r>
                  <w:rPr>
                    <w:rFonts w:cs="Arial"/>
                    <w:sz w:val="16"/>
                    <w:szCs w:val="16"/>
                  </w:rPr>
                  <w:t>EnergyAustralia</w:t>
                </w:r>
              </w:p>
            </w:tc>
            <w:tc>
              <w:tcPr>
                <w:tcW w:w="625"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MP1</w:t>
                </w:r>
              </w:p>
            </w:tc>
            <w:tc>
              <w:tcPr>
                <w:tcW w:w="488"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Energy</w:t>
                </w:r>
              </w:p>
            </w:tc>
            <w:tc>
              <w:tcPr>
                <w:tcW w:w="605"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$13 404.83</w:t>
                </w:r>
              </w:p>
            </w:tc>
            <w:tc>
              <w:tcPr>
                <w:tcW w:w="549"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0.50</w:t>
                </w:r>
              </w:p>
            </w:tc>
            <w:tc>
              <w:tcPr>
                <w:tcW w:w="749"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$6702.42</w:t>
                </w:r>
              </w:p>
            </w:tc>
          </w:tr>
          <w:tr w:rsidR="00C424C5" w:rsidRPr="00796046" w:rsidTr="0080240F">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p>
            </w:tc>
            <w:tc>
              <w:tcPr>
                <w:tcW w:w="590"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p>
            </w:tc>
            <w:tc>
              <w:tcPr>
                <w:tcW w:w="1037" w:type="pct"/>
                <w:tcBorders>
                  <w:bottom w:val="nil"/>
                </w:tcBorders>
                <w:shd w:val="clear" w:color="auto" w:fill="auto"/>
                <w:vAlign w:val="center"/>
              </w:tcPr>
              <w:p w:rsidR="00C424C5" w:rsidRDefault="00C424C5" w:rsidP="0080240F">
                <w:pPr>
                  <w:spacing w:before="0" w:after="0" w:line="240" w:lineRule="auto"/>
                  <w:jc w:val="left"/>
                  <w:rPr>
                    <w:rFonts w:cs="Arial"/>
                    <w:sz w:val="16"/>
                    <w:szCs w:val="16"/>
                  </w:rPr>
                </w:pPr>
                <w:r>
                  <w:rPr>
                    <w:rFonts w:cs="Arial"/>
                    <w:sz w:val="16"/>
                    <w:szCs w:val="16"/>
                  </w:rPr>
                  <w:t>EnergyAustralia</w:t>
                </w:r>
              </w:p>
            </w:tc>
            <w:tc>
              <w:tcPr>
                <w:tcW w:w="625"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MP2</w:t>
                </w:r>
              </w:p>
            </w:tc>
            <w:tc>
              <w:tcPr>
                <w:tcW w:w="488"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Energy</w:t>
                </w:r>
              </w:p>
            </w:tc>
            <w:tc>
              <w:tcPr>
                <w:tcW w:w="605"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$13 404.83</w:t>
                </w:r>
              </w:p>
            </w:tc>
            <w:tc>
              <w:tcPr>
                <w:tcW w:w="549"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0.50</w:t>
                </w:r>
              </w:p>
            </w:tc>
            <w:tc>
              <w:tcPr>
                <w:tcW w:w="749"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$6702.42</w:t>
                </w:r>
              </w:p>
            </w:tc>
          </w:tr>
          <w:tr w:rsidR="00C424C5" w:rsidRPr="00796046" w:rsidTr="0080240F">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18:40</w:t>
                </w:r>
              </w:p>
            </w:tc>
            <w:tc>
              <w:tcPr>
                <w:tcW w:w="590"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$13 404.83</w:t>
                </w:r>
              </w:p>
            </w:tc>
            <w:tc>
              <w:tcPr>
                <w:tcW w:w="1037" w:type="pct"/>
                <w:tcBorders>
                  <w:bottom w:val="nil"/>
                </w:tcBorders>
                <w:shd w:val="clear" w:color="auto" w:fill="auto"/>
                <w:vAlign w:val="center"/>
              </w:tcPr>
              <w:p w:rsidR="00C424C5" w:rsidRDefault="00C424C5" w:rsidP="0080240F">
                <w:pPr>
                  <w:spacing w:before="0" w:after="0" w:line="240" w:lineRule="auto"/>
                  <w:jc w:val="left"/>
                  <w:rPr>
                    <w:rFonts w:cs="Arial"/>
                    <w:sz w:val="16"/>
                    <w:szCs w:val="16"/>
                  </w:rPr>
                </w:pPr>
                <w:r>
                  <w:rPr>
                    <w:rFonts w:cs="Arial"/>
                    <w:sz w:val="16"/>
                    <w:szCs w:val="16"/>
                  </w:rPr>
                  <w:t>EnergyAustralia</w:t>
                </w:r>
              </w:p>
            </w:tc>
            <w:tc>
              <w:tcPr>
                <w:tcW w:w="625"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MP1</w:t>
                </w:r>
              </w:p>
            </w:tc>
            <w:tc>
              <w:tcPr>
                <w:tcW w:w="488"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Energy</w:t>
                </w:r>
              </w:p>
            </w:tc>
            <w:tc>
              <w:tcPr>
                <w:tcW w:w="605"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$13 404.83</w:t>
                </w:r>
              </w:p>
            </w:tc>
            <w:tc>
              <w:tcPr>
                <w:tcW w:w="549"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0.50</w:t>
                </w:r>
              </w:p>
            </w:tc>
            <w:tc>
              <w:tcPr>
                <w:tcW w:w="749"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$6702.42</w:t>
                </w:r>
              </w:p>
            </w:tc>
          </w:tr>
          <w:tr w:rsidR="00C424C5" w:rsidRPr="00796046" w:rsidTr="0080240F">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p>
            </w:tc>
            <w:tc>
              <w:tcPr>
                <w:tcW w:w="590"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p>
            </w:tc>
            <w:tc>
              <w:tcPr>
                <w:tcW w:w="1037" w:type="pct"/>
                <w:tcBorders>
                  <w:bottom w:val="nil"/>
                </w:tcBorders>
                <w:shd w:val="clear" w:color="auto" w:fill="auto"/>
                <w:vAlign w:val="center"/>
              </w:tcPr>
              <w:p w:rsidR="00C424C5" w:rsidRDefault="00C424C5" w:rsidP="0080240F">
                <w:pPr>
                  <w:spacing w:before="0" w:after="0" w:line="240" w:lineRule="auto"/>
                  <w:jc w:val="left"/>
                  <w:rPr>
                    <w:rFonts w:cs="Arial"/>
                    <w:sz w:val="16"/>
                    <w:szCs w:val="16"/>
                  </w:rPr>
                </w:pPr>
                <w:r>
                  <w:rPr>
                    <w:rFonts w:cs="Arial"/>
                    <w:sz w:val="16"/>
                    <w:szCs w:val="16"/>
                  </w:rPr>
                  <w:t>EnergyAustralia</w:t>
                </w:r>
              </w:p>
            </w:tc>
            <w:tc>
              <w:tcPr>
                <w:tcW w:w="625"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MP2</w:t>
                </w:r>
              </w:p>
            </w:tc>
            <w:tc>
              <w:tcPr>
                <w:tcW w:w="488"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Energy</w:t>
                </w:r>
              </w:p>
            </w:tc>
            <w:tc>
              <w:tcPr>
                <w:tcW w:w="605"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$13 404.83</w:t>
                </w:r>
              </w:p>
            </w:tc>
            <w:tc>
              <w:tcPr>
                <w:tcW w:w="549"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0.50</w:t>
                </w:r>
              </w:p>
            </w:tc>
            <w:tc>
              <w:tcPr>
                <w:tcW w:w="749"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$6702.42</w:t>
                </w:r>
              </w:p>
            </w:tc>
          </w:tr>
          <w:tr w:rsidR="00C424C5" w:rsidRPr="00247FC3" w:rsidTr="0080240F">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r>
                  <w:rPr>
                    <w:rFonts w:cs="Arial"/>
                    <w:sz w:val="16"/>
                    <w:szCs w:val="16"/>
                  </w:rPr>
                  <w:t>18:45</w:t>
                </w:r>
              </w:p>
            </w:tc>
            <w:tc>
              <w:tcPr>
                <w:tcW w:w="590"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r>
                  <w:rPr>
                    <w:rFonts w:cs="Arial"/>
                    <w:sz w:val="16"/>
                    <w:szCs w:val="16"/>
                  </w:rPr>
                  <w:t>$13 404.83</w:t>
                </w:r>
              </w:p>
            </w:tc>
            <w:tc>
              <w:tcPr>
                <w:tcW w:w="1037" w:type="pct"/>
                <w:tcBorders>
                  <w:bottom w:val="nil"/>
                </w:tcBorders>
                <w:shd w:val="clear" w:color="auto" w:fill="D4E2FF" w:themeFill="accent3" w:themeFillTint="1A"/>
                <w:vAlign w:val="center"/>
              </w:tcPr>
              <w:p w:rsidR="00C424C5" w:rsidRDefault="00C424C5" w:rsidP="0080240F">
                <w:pPr>
                  <w:spacing w:before="0" w:after="0" w:line="240" w:lineRule="auto"/>
                  <w:jc w:val="left"/>
                  <w:rPr>
                    <w:rFonts w:cs="Arial"/>
                    <w:sz w:val="16"/>
                    <w:szCs w:val="16"/>
                  </w:rPr>
                </w:pPr>
                <w:r>
                  <w:rPr>
                    <w:rFonts w:cs="Arial"/>
                    <w:sz w:val="16"/>
                    <w:szCs w:val="16"/>
                  </w:rPr>
                  <w:t>EnergyAustralia</w:t>
                </w:r>
              </w:p>
            </w:tc>
            <w:tc>
              <w:tcPr>
                <w:tcW w:w="625"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r>
                  <w:rPr>
                    <w:rFonts w:cs="Arial"/>
                    <w:sz w:val="16"/>
                    <w:szCs w:val="16"/>
                  </w:rPr>
                  <w:t>MP1</w:t>
                </w:r>
              </w:p>
            </w:tc>
            <w:tc>
              <w:tcPr>
                <w:tcW w:w="488"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r>
                  <w:rPr>
                    <w:rFonts w:cs="Arial"/>
                    <w:sz w:val="16"/>
                    <w:szCs w:val="16"/>
                  </w:rPr>
                  <w:t>Energy</w:t>
                </w:r>
              </w:p>
            </w:tc>
            <w:tc>
              <w:tcPr>
                <w:tcW w:w="605"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r>
                  <w:rPr>
                    <w:rFonts w:cs="Arial"/>
                    <w:sz w:val="16"/>
                    <w:szCs w:val="16"/>
                  </w:rPr>
                  <w:t>$13 404.83</w:t>
                </w:r>
              </w:p>
            </w:tc>
            <w:tc>
              <w:tcPr>
                <w:tcW w:w="549"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r>
                  <w:rPr>
                    <w:rFonts w:cs="Arial"/>
                    <w:sz w:val="16"/>
                    <w:szCs w:val="16"/>
                  </w:rPr>
                  <w:t>0.50</w:t>
                </w:r>
              </w:p>
            </w:tc>
            <w:tc>
              <w:tcPr>
                <w:tcW w:w="749"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r>
                  <w:rPr>
                    <w:rFonts w:cs="Arial"/>
                    <w:sz w:val="16"/>
                    <w:szCs w:val="16"/>
                  </w:rPr>
                  <w:t>$6702.42</w:t>
                </w:r>
              </w:p>
            </w:tc>
          </w:tr>
          <w:tr w:rsidR="00C424C5" w:rsidRPr="00247FC3" w:rsidTr="0080240F">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p>
            </w:tc>
            <w:tc>
              <w:tcPr>
                <w:tcW w:w="590"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p>
            </w:tc>
            <w:tc>
              <w:tcPr>
                <w:tcW w:w="1037" w:type="pct"/>
                <w:tcBorders>
                  <w:bottom w:val="nil"/>
                </w:tcBorders>
                <w:shd w:val="clear" w:color="auto" w:fill="D4E2FF" w:themeFill="accent3" w:themeFillTint="1A"/>
                <w:vAlign w:val="center"/>
              </w:tcPr>
              <w:p w:rsidR="00C424C5" w:rsidRDefault="00C424C5" w:rsidP="0080240F">
                <w:pPr>
                  <w:spacing w:before="0" w:after="0" w:line="240" w:lineRule="auto"/>
                  <w:jc w:val="left"/>
                  <w:rPr>
                    <w:rFonts w:cs="Arial"/>
                    <w:sz w:val="16"/>
                    <w:szCs w:val="16"/>
                  </w:rPr>
                </w:pPr>
                <w:r>
                  <w:rPr>
                    <w:rFonts w:cs="Arial"/>
                    <w:sz w:val="16"/>
                    <w:szCs w:val="16"/>
                  </w:rPr>
                  <w:t>EnergyAustralia</w:t>
                </w:r>
              </w:p>
            </w:tc>
            <w:tc>
              <w:tcPr>
                <w:tcW w:w="625"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r>
                  <w:rPr>
                    <w:rFonts w:cs="Arial"/>
                    <w:sz w:val="16"/>
                    <w:szCs w:val="16"/>
                  </w:rPr>
                  <w:t>MP2</w:t>
                </w:r>
              </w:p>
            </w:tc>
            <w:tc>
              <w:tcPr>
                <w:tcW w:w="488"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r>
                  <w:rPr>
                    <w:rFonts w:cs="Arial"/>
                    <w:sz w:val="16"/>
                    <w:szCs w:val="16"/>
                  </w:rPr>
                  <w:t>Energy</w:t>
                </w:r>
              </w:p>
            </w:tc>
            <w:tc>
              <w:tcPr>
                <w:tcW w:w="605"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r>
                  <w:rPr>
                    <w:rFonts w:cs="Arial"/>
                    <w:sz w:val="16"/>
                    <w:szCs w:val="16"/>
                  </w:rPr>
                  <w:t>$13 404.83</w:t>
                </w:r>
              </w:p>
            </w:tc>
            <w:tc>
              <w:tcPr>
                <w:tcW w:w="549"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r>
                  <w:rPr>
                    <w:rFonts w:cs="Arial"/>
                    <w:sz w:val="16"/>
                    <w:szCs w:val="16"/>
                  </w:rPr>
                  <w:t>0.50</w:t>
                </w:r>
              </w:p>
            </w:tc>
            <w:tc>
              <w:tcPr>
                <w:tcW w:w="749"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r>
                  <w:rPr>
                    <w:rFonts w:cs="Arial"/>
                    <w:sz w:val="16"/>
                    <w:szCs w:val="16"/>
                  </w:rPr>
                  <w:t>$6702.42</w:t>
                </w:r>
              </w:p>
            </w:tc>
          </w:tr>
          <w:tr w:rsidR="00C424C5" w:rsidRPr="00247FC3" w:rsidTr="0080240F">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18:50</w:t>
                </w:r>
              </w:p>
            </w:tc>
            <w:tc>
              <w:tcPr>
                <w:tcW w:w="590"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$43.79</w:t>
                </w:r>
              </w:p>
            </w:tc>
            <w:tc>
              <w:tcPr>
                <w:tcW w:w="1037" w:type="pct"/>
                <w:tcBorders>
                  <w:bottom w:val="nil"/>
                </w:tcBorders>
                <w:shd w:val="clear" w:color="auto" w:fill="auto"/>
                <w:vAlign w:val="center"/>
              </w:tcPr>
              <w:p w:rsidR="00C424C5" w:rsidRDefault="00C424C5" w:rsidP="0080240F">
                <w:pPr>
                  <w:spacing w:before="0" w:after="0" w:line="240" w:lineRule="auto"/>
                  <w:jc w:val="left"/>
                  <w:rPr>
                    <w:rFonts w:cs="Arial"/>
                    <w:sz w:val="16"/>
                    <w:szCs w:val="16"/>
                  </w:rPr>
                </w:pPr>
                <w:r>
                  <w:rPr>
                    <w:rFonts w:cs="Arial"/>
                    <w:sz w:val="16"/>
                    <w:szCs w:val="16"/>
                  </w:rPr>
                  <w:t>Origin Energy</w:t>
                </w:r>
              </w:p>
            </w:tc>
            <w:tc>
              <w:tcPr>
                <w:tcW w:w="625"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DDPS1</w:t>
                </w:r>
              </w:p>
            </w:tc>
            <w:tc>
              <w:tcPr>
                <w:tcW w:w="488"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Energy</w:t>
                </w:r>
              </w:p>
            </w:tc>
            <w:tc>
              <w:tcPr>
                <w:tcW w:w="605"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$41.91</w:t>
                </w:r>
              </w:p>
            </w:tc>
            <w:tc>
              <w:tcPr>
                <w:tcW w:w="549"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1.04</w:t>
                </w:r>
              </w:p>
            </w:tc>
            <w:tc>
              <w:tcPr>
                <w:tcW w:w="749"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$43.59</w:t>
                </w:r>
              </w:p>
            </w:tc>
          </w:tr>
          <w:tr w:rsidR="00C424C5" w:rsidRPr="00796046" w:rsidTr="0080240F">
            <w:trPr>
              <w:cnfStyle w:val="000000010000" w:firstRow="0" w:lastRow="0" w:firstColumn="0" w:lastColumn="0" w:oddVBand="0" w:evenVBand="0" w:oddHBand="0" w:evenHBand="1" w:firstRowFirstColumn="0" w:firstRowLastColumn="0" w:lastRowFirstColumn="0" w:lastRowLastColumn="0"/>
              <w:trHeight w:hRule="exact" w:val="532"/>
            </w:trPr>
            <w:tc>
              <w:tcPr>
                <w:tcW w:w="357"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lastRenderedPageBreak/>
                  <w:t>18:55</w:t>
                </w:r>
              </w:p>
            </w:tc>
            <w:tc>
              <w:tcPr>
                <w:tcW w:w="590"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$23.17</w:t>
                </w:r>
              </w:p>
            </w:tc>
            <w:tc>
              <w:tcPr>
                <w:tcW w:w="1037" w:type="pct"/>
                <w:tcBorders>
                  <w:bottom w:val="nil"/>
                </w:tcBorders>
                <w:shd w:val="clear" w:color="auto" w:fill="auto"/>
                <w:vAlign w:val="center"/>
              </w:tcPr>
              <w:p w:rsidR="00C424C5" w:rsidRDefault="00C424C5" w:rsidP="0080240F">
                <w:pPr>
                  <w:spacing w:before="0" w:after="0" w:line="240" w:lineRule="auto"/>
                  <w:jc w:val="left"/>
                  <w:rPr>
                    <w:rFonts w:cs="Arial"/>
                    <w:sz w:val="16"/>
                    <w:szCs w:val="16"/>
                  </w:rPr>
                </w:pPr>
                <w:r>
                  <w:rPr>
                    <w:rFonts w:cs="Arial"/>
                    <w:sz w:val="16"/>
                    <w:szCs w:val="16"/>
                  </w:rPr>
                  <w:t>Braemar Power Projects</w:t>
                </w:r>
              </w:p>
            </w:tc>
            <w:tc>
              <w:tcPr>
                <w:tcW w:w="625"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BRAEMAR1</w:t>
                </w:r>
              </w:p>
            </w:tc>
            <w:tc>
              <w:tcPr>
                <w:tcW w:w="488"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Energy</w:t>
                </w:r>
              </w:p>
            </w:tc>
            <w:tc>
              <w:tcPr>
                <w:tcW w:w="605"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$23.98</w:t>
                </w:r>
              </w:p>
            </w:tc>
            <w:tc>
              <w:tcPr>
                <w:tcW w:w="549"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0.34</w:t>
                </w:r>
              </w:p>
            </w:tc>
            <w:tc>
              <w:tcPr>
                <w:tcW w:w="749"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$8.15</w:t>
                </w:r>
              </w:p>
            </w:tc>
          </w:tr>
          <w:tr w:rsidR="00C424C5" w:rsidRPr="00247FC3" w:rsidTr="0080240F">
            <w:trPr>
              <w:cnfStyle w:val="000000100000" w:firstRow="0" w:lastRow="0" w:firstColumn="0" w:lastColumn="0" w:oddVBand="0" w:evenVBand="0" w:oddHBand="1" w:evenHBand="0" w:firstRowFirstColumn="0" w:firstRowLastColumn="0" w:lastRowFirstColumn="0" w:lastRowLastColumn="0"/>
              <w:trHeight w:hRule="exact" w:val="567"/>
            </w:trPr>
            <w:tc>
              <w:tcPr>
                <w:tcW w:w="357"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p>
            </w:tc>
            <w:tc>
              <w:tcPr>
                <w:tcW w:w="590"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p>
            </w:tc>
            <w:tc>
              <w:tcPr>
                <w:tcW w:w="1037" w:type="pct"/>
                <w:tcBorders>
                  <w:bottom w:val="nil"/>
                </w:tcBorders>
                <w:shd w:val="clear" w:color="auto" w:fill="D4E2FF" w:themeFill="accent3" w:themeFillTint="1A"/>
                <w:vAlign w:val="center"/>
              </w:tcPr>
              <w:p w:rsidR="00C424C5" w:rsidRDefault="00C424C5" w:rsidP="0080240F">
                <w:pPr>
                  <w:spacing w:before="0" w:after="0" w:line="240" w:lineRule="auto"/>
                  <w:jc w:val="left"/>
                  <w:rPr>
                    <w:rFonts w:cs="Arial"/>
                    <w:sz w:val="16"/>
                    <w:szCs w:val="16"/>
                  </w:rPr>
                </w:pPr>
                <w:r>
                  <w:rPr>
                    <w:rFonts w:cs="Arial"/>
                    <w:sz w:val="16"/>
                    <w:szCs w:val="16"/>
                  </w:rPr>
                  <w:t>Braemar Power Projects</w:t>
                </w:r>
              </w:p>
            </w:tc>
            <w:tc>
              <w:tcPr>
                <w:tcW w:w="625"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r>
                  <w:rPr>
                    <w:rFonts w:cs="Arial"/>
                    <w:sz w:val="16"/>
                    <w:szCs w:val="16"/>
                  </w:rPr>
                  <w:t>BRAEMAR2</w:t>
                </w:r>
              </w:p>
            </w:tc>
            <w:tc>
              <w:tcPr>
                <w:tcW w:w="488"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r>
                  <w:rPr>
                    <w:rFonts w:cs="Arial"/>
                    <w:sz w:val="16"/>
                    <w:szCs w:val="16"/>
                  </w:rPr>
                  <w:t>Energy</w:t>
                </w:r>
              </w:p>
            </w:tc>
            <w:tc>
              <w:tcPr>
                <w:tcW w:w="605"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r>
                  <w:rPr>
                    <w:rFonts w:cs="Arial"/>
                    <w:sz w:val="16"/>
                    <w:szCs w:val="16"/>
                  </w:rPr>
                  <w:t>$23.98</w:t>
                </w:r>
              </w:p>
            </w:tc>
            <w:tc>
              <w:tcPr>
                <w:tcW w:w="549"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r>
                  <w:rPr>
                    <w:rFonts w:cs="Arial"/>
                    <w:sz w:val="16"/>
                    <w:szCs w:val="16"/>
                  </w:rPr>
                  <w:t>0.32</w:t>
                </w:r>
              </w:p>
            </w:tc>
            <w:tc>
              <w:tcPr>
                <w:tcW w:w="749"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r>
                  <w:rPr>
                    <w:rFonts w:cs="Arial"/>
                    <w:sz w:val="16"/>
                    <w:szCs w:val="16"/>
                  </w:rPr>
                  <w:t>$7.67</w:t>
                </w:r>
              </w:p>
            </w:tc>
          </w:tr>
          <w:tr w:rsidR="00C424C5" w:rsidRPr="00247FC3" w:rsidTr="0080240F">
            <w:trPr>
              <w:cnfStyle w:val="000000010000" w:firstRow="0" w:lastRow="0" w:firstColumn="0" w:lastColumn="0" w:oddVBand="0" w:evenVBand="0" w:oddHBand="0" w:evenHBand="1" w:firstRowFirstColumn="0" w:firstRowLastColumn="0" w:lastRowFirstColumn="0" w:lastRowLastColumn="0"/>
              <w:trHeight w:hRule="exact" w:val="574"/>
            </w:trPr>
            <w:tc>
              <w:tcPr>
                <w:tcW w:w="357"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p>
            </w:tc>
            <w:tc>
              <w:tcPr>
                <w:tcW w:w="590"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p>
            </w:tc>
            <w:tc>
              <w:tcPr>
                <w:tcW w:w="1037" w:type="pct"/>
                <w:tcBorders>
                  <w:bottom w:val="nil"/>
                </w:tcBorders>
                <w:shd w:val="clear" w:color="auto" w:fill="D4E2FF" w:themeFill="accent3" w:themeFillTint="1A"/>
                <w:vAlign w:val="center"/>
              </w:tcPr>
              <w:p w:rsidR="00C424C5" w:rsidRDefault="00C424C5" w:rsidP="0080240F">
                <w:pPr>
                  <w:spacing w:before="0" w:after="0" w:line="240" w:lineRule="auto"/>
                  <w:jc w:val="left"/>
                  <w:rPr>
                    <w:rFonts w:cs="Arial"/>
                    <w:sz w:val="16"/>
                    <w:szCs w:val="16"/>
                  </w:rPr>
                </w:pPr>
                <w:r>
                  <w:rPr>
                    <w:rFonts w:cs="Arial"/>
                    <w:sz w:val="16"/>
                    <w:szCs w:val="16"/>
                  </w:rPr>
                  <w:t>Braemar Power Projects</w:t>
                </w:r>
              </w:p>
            </w:tc>
            <w:tc>
              <w:tcPr>
                <w:tcW w:w="625"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r>
                  <w:rPr>
                    <w:rFonts w:cs="Arial"/>
                    <w:sz w:val="16"/>
                    <w:szCs w:val="16"/>
                  </w:rPr>
                  <w:t>BRAEMAR3</w:t>
                </w:r>
              </w:p>
            </w:tc>
            <w:tc>
              <w:tcPr>
                <w:tcW w:w="488"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r>
                  <w:rPr>
                    <w:rFonts w:cs="Arial"/>
                    <w:sz w:val="16"/>
                    <w:szCs w:val="16"/>
                  </w:rPr>
                  <w:t>Energy</w:t>
                </w:r>
              </w:p>
            </w:tc>
            <w:tc>
              <w:tcPr>
                <w:tcW w:w="605"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r>
                  <w:rPr>
                    <w:rFonts w:cs="Arial"/>
                    <w:sz w:val="16"/>
                    <w:szCs w:val="16"/>
                  </w:rPr>
                  <w:t>$23.98</w:t>
                </w:r>
              </w:p>
            </w:tc>
            <w:tc>
              <w:tcPr>
                <w:tcW w:w="549"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r>
                  <w:rPr>
                    <w:rFonts w:cs="Arial"/>
                    <w:sz w:val="16"/>
                    <w:szCs w:val="16"/>
                  </w:rPr>
                  <w:t>0.32</w:t>
                </w:r>
              </w:p>
            </w:tc>
            <w:tc>
              <w:tcPr>
                <w:tcW w:w="749"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r>
                  <w:rPr>
                    <w:rFonts w:cs="Arial"/>
                    <w:sz w:val="16"/>
                    <w:szCs w:val="16"/>
                  </w:rPr>
                  <w:t>$7.67</w:t>
                </w:r>
              </w:p>
            </w:tc>
          </w:tr>
          <w:tr w:rsidR="00C424C5" w:rsidRPr="00796046" w:rsidTr="0080240F">
            <w:trPr>
              <w:cnfStyle w:val="000000100000" w:firstRow="0" w:lastRow="0" w:firstColumn="0" w:lastColumn="0" w:oddVBand="0" w:evenVBand="0" w:oddHBand="1" w:evenHBand="0" w:firstRowFirstColumn="0" w:firstRowLastColumn="0" w:lastRowFirstColumn="0" w:lastRowLastColumn="0"/>
              <w:trHeight w:hRule="exact" w:val="569"/>
            </w:trPr>
            <w:tc>
              <w:tcPr>
                <w:tcW w:w="357"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19:00</w:t>
                </w:r>
              </w:p>
            </w:tc>
            <w:tc>
              <w:tcPr>
                <w:tcW w:w="590"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$22.84</w:t>
                </w:r>
              </w:p>
            </w:tc>
            <w:tc>
              <w:tcPr>
                <w:tcW w:w="1037" w:type="pct"/>
                <w:tcBorders>
                  <w:bottom w:val="nil"/>
                </w:tcBorders>
                <w:shd w:val="clear" w:color="auto" w:fill="auto"/>
                <w:vAlign w:val="center"/>
              </w:tcPr>
              <w:p w:rsidR="00C424C5" w:rsidRDefault="00C424C5" w:rsidP="0080240F">
                <w:pPr>
                  <w:spacing w:before="0" w:after="0" w:line="240" w:lineRule="auto"/>
                  <w:jc w:val="left"/>
                  <w:rPr>
                    <w:rFonts w:cs="Arial"/>
                    <w:sz w:val="16"/>
                    <w:szCs w:val="16"/>
                  </w:rPr>
                </w:pPr>
                <w:r>
                  <w:rPr>
                    <w:rFonts w:cs="Arial"/>
                    <w:sz w:val="16"/>
                    <w:szCs w:val="16"/>
                  </w:rPr>
                  <w:t>Braemar Power Projects</w:t>
                </w:r>
              </w:p>
            </w:tc>
            <w:tc>
              <w:tcPr>
                <w:tcW w:w="625"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BRAEMAR1</w:t>
                </w:r>
              </w:p>
            </w:tc>
            <w:tc>
              <w:tcPr>
                <w:tcW w:w="488"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Energy</w:t>
                </w:r>
              </w:p>
            </w:tc>
            <w:tc>
              <w:tcPr>
                <w:tcW w:w="605"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$23.98</w:t>
                </w:r>
              </w:p>
            </w:tc>
            <w:tc>
              <w:tcPr>
                <w:tcW w:w="549"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0.33</w:t>
                </w:r>
              </w:p>
            </w:tc>
            <w:tc>
              <w:tcPr>
                <w:tcW w:w="749"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$7.91</w:t>
                </w:r>
              </w:p>
            </w:tc>
          </w:tr>
          <w:tr w:rsidR="00C424C5" w:rsidRPr="00796046" w:rsidTr="0080240F">
            <w:trPr>
              <w:cnfStyle w:val="000000010000" w:firstRow="0" w:lastRow="0" w:firstColumn="0" w:lastColumn="0" w:oddVBand="0" w:evenVBand="0" w:oddHBand="0" w:evenHBand="1" w:firstRowFirstColumn="0" w:firstRowLastColumn="0" w:lastRowFirstColumn="0" w:lastRowLastColumn="0"/>
              <w:trHeight w:hRule="exact" w:val="562"/>
            </w:trPr>
            <w:tc>
              <w:tcPr>
                <w:tcW w:w="357"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p>
            </w:tc>
            <w:tc>
              <w:tcPr>
                <w:tcW w:w="590"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p>
            </w:tc>
            <w:tc>
              <w:tcPr>
                <w:tcW w:w="1037" w:type="pct"/>
                <w:tcBorders>
                  <w:bottom w:val="nil"/>
                </w:tcBorders>
                <w:shd w:val="clear" w:color="auto" w:fill="auto"/>
                <w:vAlign w:val="center"/>
              </w:tcPr>
              <w:p w:rsidR="00C424C5" w:rsidRDefault="00C424C5" w:rsidP="0080240F">
                <w:pPr>
                  <w:spacing w:before="0" w:after="0" w:line="240" w:lineRule="auto"/>
                  <w:jc w:val="left"/>
                  <w:rPr>
                    <w:rFonts w:cs="Arial"/>
                    <w:sz w:val="16"/>
                    <w:szCs w:val="16"/>
                  </w:rPr>
                </w:pPr>
                <w:r>
                  <w:rPr>
                    <w:rFonts w:cs="Arial"/>
                    <w:sz w:val="16"/>
                    <w:szCs w:val="16"/>
                  </w:rPr>
                  <w:t>Braemar Power Projects</w:t>
                </w:r>
              </w:p>
            </w:tc>
            <w:tc>
              <w:tcPr>
                <w:tcW w:w="625"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BRAEMAR2</w:t>
                </w:r>
              </w:p>
            </w:tc>
            <w:tc>
              <w:tcPr>
                <w:tcW w:w="488"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Energy</w:t>
                </w:r>
              </w:p>
            </w:tc>
            <w:tc>
              <w:tcPr>
                <w:tcW w:w="605"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$23.98</w:t>
                </w:r>
              </w:p>
            </w:tc>
            <w:tc>
              <w:tcPr>
                <w:tcW w:w="549"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0.31</w:t>
                </w:r>
              </w:p>
            </w:tc>
            <w:tc>
              <w:tcPr>
                <w:tcW w:w="749" w:type="pct"/>
                <w:tcBorders>
                  <w:bottom w:val="nil"/>
                </w:tcBorders>
                <w:shd w:val="clear" w:color="auto" w:fill="auto"/>
                <w:vAlign w:val="center"/>
              </w:tcPr>
              <w:p w:rsidR="00C424C5" w:rsidRDefault="00C424C5" w:rsidP="0080240F">
                <w:pPr>
                  <w:spacing w:before="0" w:after="0" w:line="240" w:lineRule="auto"/>
                  <w:jc w:val="center"/>
                  <w:rPr>
                    <w:rFonts w:cs="Arial"/>
                    <w:sz w:val="16"/>
                    <w:szCs w:val="16"/>
                  </w:rPr>
                </w:pPr>
                <w:r>
                  <w:rPr>
                    <w:rFonts w:cs="Arial"/>
                    <w:sz w:val="16"/>
                    <w:szCs w:val="16"/>
                  </w:rPr>
                  <w:t>$7.43</w:t>
                </w:r>
              </w:p>
            </w:tc>
          </w:tr>
          <w:tr w:rsidR="00C424C5" w:rsidRPr="00796046" w:rsidTr="0080240F">
            <w:trPr>
              <w:cnfStyle w:val="000000100000" w:firstRow="0" w:lastRow="0" w:firstColumn="0" w:lastColumn="0" w:oddVBand="0" w:evenVBand="0" w:oddHBand="1" w:evenHBand="0" w:firstRowFirstColumn="0" w:firstRowLastColumn="0" w:lastRowFirstColumn="0" w:lastRowLastColumn="0"/>
              <w:trHeight w:hRule="exact" w:val="570"/>
            </w:trPr>
            <w:tc>
              <w:tcPr>
                <w:tcW w:w="357"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p>
            </w:tc>
            <w:tc>
              <w:tcPr>
                <w:tcW w:w="590"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p>
            </w:tc>
            <w:tc>
              <w:tcPr>
                <w:tcW w:w="1037" w:type="pct"/>
                <w:tcBorders>
                  <w:bottom w:val="nil"/>
                </w:tcBorders>
                <w:shd w:val="clear" w:color="auto" w:fill="D4E2FF" w:themeFill="accent3" w:themeFillTint="1A"/>
                <w:vAlign w:val="center"/>
              </w:tcPr>
              <w:p w:rsidR="00C424C5" w:rsidRDefault="00C424C5" w:rsidP="0080240F">
                <w:pPr>
                  <w:spacing w:before="0" w:after="0" w:line="240" w:lineRule="auto"/>
                  <w:jc w:val="left"/>
                  <w:rPr>
                    <w:rFonts w:cs="Arial"/>
                    <w:sz w:val="16"/>
                    <w:szCs w:val="16"/>
                  </w:rPr>
                </w:pPr>
                <w:r>
                  <w:rPr>
                    <w:rFonts w:cs="Arial"/>
                    <w:sz w:val="16"/>
                    <w:szCs w:val="16"/>
                  </w:rPr>
                  <w:t>Braemar Power Projects</w:t>
                </w:r>
              </w:p>
            </w:tc>
            <w:tc>
              <w:tcPr>
                <w:tcW w:w="625"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r>
                  <w:rPr>
                    <w:rFonts w:cs="Arial"/>
                    <w:sz w:val="16"/>
                    <w:szCs w:val="16"/>
                  </w:rPr>
                  <w:t>BRAEMAR3</w:t>
                </w:r>
              </w:p>
            </w:tc>
            <w:tc>
              <w:tcPr>
                <w:tcW w:w="488"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r>
                  <w:rPr>
                    <w:rFonts w:cs="Arial"/>
                    <w:sz w:val="16"/>
                    <w:szCs w:val="16"/>
                  </w:rPr>
                  <w:t>Energy</w:t>
                </w:r>
              </w:p>
            </w:tc>
            <w:tc>
              <w:tcPr>
                <w:tcW w:w="605"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r>
                  <w:rPr>
                    <w:rFonts w:cs="Arial"/>
                    <w:sz w:val="16"/>
                    <w:szCs w:val="16"/>
                  </w:rPr>
                  <w:t>$23.98</w:t>
                </w:r>
              </w:p>
            </w:tc>
            <w:tc>
              <w:tcPr>
                <w:tcW w:w="549"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r>
                  <w:rPr>
                    <w:rFonts w:cs="Arial"/>
                    <w:sz w:val="16"/>
                    <w:szCs w:val="16"/>
                  </w:rPr>
                  <w:t>0.31</w:t>
                </w:r>
              </w:p>
            </w:tc>
            <w:tc>
              <w:tcPr>
                <w:tcW w:w="749" w:type="pct"/>
                <w:tcBorders>
                  <w:bottom w:val="nil"/>
                </w:tcBorders>
                <w:shd w:val="clear" w:color="auto" w:fill="D4E2FF" w:themeFill="accent3" w:themeFillTint="1A"/>
                <w:vAlign w:val="center"/>
              </w:tcPr>
              <w:p w:rsidR="00C424C5" w:rsidRDefault="00C424C5" w:rsidP="0080240F">
                <w:pPr>
                  <w:spacing w:before="0" w:after="0" w:line="240" w:lineRule="auto"/>
                  <w:jc w:val="center"/>
                  <w:rPr>
                    <w:rFonts w:cs="Arial"/>
                    <w:sz w:val="16"/>
                    <w:szCs w:val="16"/>
                  </w:rPr>
                </w:pPr>
                <w:r>
                  <w:rPr>
                    <w:rFonts w:cs="Arial"/>
                    <w:sz w:val="16"/>
                    <w:szCs w:val="16"/>
                  </w:rPr>
                  <w:t>$7.43</w:t>
                </w:r>
              </w:p>
            </w:tc>
          </w:tr>
          <w:tr w:rsidR="00C424C5" w:rsidRPr="00796046" w:rsidTr="00D67C0C">
            <w:trPr>
              <w:cnfStyle w:val="000000010000" w:firstRow="0" w:lastRow="0" w:firstColumn="0" w:lastColumn="0" w:oddVBand="0" w:evenVBand="0" w:oddHBand="0" w:evenHBand="1" w:firstRowFirstColumn="0" w:firstRowLastColumn="0" w:lastRowFirstColumn="0" w:lastRowLastColumn="0"/>
              <w:trHeight w:hRule="exact" w:val="397"/>
            </w:trPr>
            <w:tc>
              <w:tcPr>
                <w:tcW w:w="947" w:type="pct"/>
                <w:gridSpan w:val="2"/>
                <w:tcBorders>
                  <w:top w:val="nil"/>
                  <w:bottom w:val="nil"/>
                </w:tcBorders>
                <w:shd w:val="clear" w:color="auto" w:fill="auto"/>
                <w:vAlign w:val="bottom"/>
              </w:tcPr>
              <w:p w:rsidR="00C424C5" w:rsidRPr="00F6401E" w:rsidRDefault="00C424C5" w:rsidP="00C424C5">
                <w:pPr>
                  <w:jc w:val="left"/>
                  <w:rPr>
                    <w:rFonts w:cs="Arial"/>
                    <w:b/>
                    <w:szCs w:val="18"/>
                  </w:rPr>
                </w:pPr>
                <w:r w:rsidRPr="00F6401E">
                  <w:rPr>
                    <w:rFonts w:cs="Arial"/>
                    <w:b/>
                    <w:szCs w:val="18"/>
                  </w:rPr>
                  <w:t>Spot Price</w:t>
                </w:r>
              </w:p>
            </w:tc>
            <w:tc>
              <w:tcPr>
                <w:tcW w:w="1037" w:type="pct"/>
                <w:tcBorders>
                  <w:top w:val="nil"/>
                  <w:bottom w:val="nil"/>
                </w:tcBorders>
                <w:shd w:val="clear" w:color="auto" w:fill="auto"/>
                <w:vAlign w:val="center"/>
              </w:tcPr>
              <w:p w:rsidR="00C424C5" w:rsidRDefault="00C424C5" w:rsidP="001716FC">
                <w:pPr>
                  <w:spacing w:after="0" w:line="240" w:lineRule="auto"/>
                  <w:jc w:val="left"/>
                  <w:rPr>
                    <w:rFonts w:cs="Arial"/>
                    <w:sz w:val="16"/>
                    <w:szCs w:val="16"/>
                  </w:rPr>
                </w:pPr>
                <w:r w:rsidRPr="00B72D11">
                  <w:rPr>
                    <w:rFonts w:cs="Arial"/>
                    <w:b/>
                    <w:szCs w:val="18"/>
                  </w:rPr>
                  <w:t>$</w:t>
                </w:r>
                <w:r w:rsidR="001716FC">
                  <w:rPr>
                    <w:rFonts w:cs="Arial"/>
                    <w:b/>
                    <w:szCs w:val="18"/>
                  </w:rPr>
                  <w:t>6717</w:t>
                </w:r>
                <w:r w:rsidRPr="00B72D11">
                  <w:rPr>
                    <w:rFonts w:cs="Arial"/>
                    <w:b/>
                    <w:szCs w:val="18"/>
                  </w:rPr>
                  <w:t>/MWh</w:t>
                </w:r>
              </w:p>
            </w:tc>
            <w:tc>
              <w:tcPr>
                <w:tcW w:w="625" w:type="pct"/>
                <w:tcBorders>
                  <w:top w:val="nil"/>
                  <w:bottom w:val="nil"/>
                </w:tcBorders>
                <w:shd w:val="clear" w:color="auto" w:fill="FFFFFF" w:themeFill="background1"/>
                <w:vAlign w:val="bottom"/>
              </w:tcPr>
              <w:p w:rsidR="00C424C5" w:rsidRDefault="00C424C5" w:rsidP="00D67C0C">
                <w:pPr>
                  <w:rPr>
                    <w:rFonts w:cs="Arial"/>
                    <w:sz w:val="16"/>
                    <w:szCs w:val="16"/>
                  </w:rPr>
                </w:pPr>
              </w:p>
            </w:tc>
            <w:tc>
              <w:tcPr>
                <w:tcW w:w="488" w:type="pct"/>
                <w:tcBorders>
                  <w:top w:val="nil"/>
                  <w:bottom w:val="nil"/>
                </w:tcBorders>
                <w:shd w:val="clear" w:color="auto" w:fill="FFFFFF" w:themeFill="background1"/>
                <w:vAlign w:val="bottom"/>
              </w:tcPr>
              <w:p w:rsidR="00C424C5" w:rsidRDefault="00C424C5" w:rsidP="00D67C0C">
                <w:pPr>
                  <w:rPr>
                    <w:rFonts w:cs="Arial"/>
                    <w:sz w:val="16"/>
                    <w:szCs w:val="16"/>
                  </w:rPr>
                </w:pPr>
              </w:p>
            </w:tc>
            <w:tc>
              <w:tcPr>
                <w:tcW w:w="605" w:type="pct"/>
                <w:tcBorders>
                  <w:top w:val="nil"/>
                  <w:bottom w:val="nil"/>
                </w:tcBorders>
                <w:shd w:val="clear" w:color="auto" w:fill="FFFFFF" w:themeFill="background1"/>
                <w:vAlign w:val="bottom"/>
              </w:tcPr>
              <w:p w:rsidR="00C424C5" w:rsidRDefault="00C424C5" w:rsidP="00D67C0C">
                <w:pPr>
                  <w:jc w:val="right"/>
                  <w:rPr>
                    <w:rFonts w:cs="Arial"/>
                    <w:sz w:val="16"/>
                    <w:szCs w:val="16"/>
                  </w:rPr>
                </w:pPr>
              </w:p>
            </w:tc>
            <w:tc>
              <w:tcPr>
                <w:tcW w:w="549" w:type="pct"/>
                <w:tcBorders>
                  <w:top w:val="nil"/>
                  <w:bottom w:val="nil"/>
                </w:tcBorders>
                <w:shd w:val="clear" w:color="auto" w:fill="FFFFFF" w:themeFill="background1"/>
                <w:vAlign w:val="bottom"/>
              </w:tcPr>
              <w:p w:rsidR="00C424C5" w:rsidRDefault="00C424C5" w:rsidP="00D67C0C">
                <w:pPr>
                  <w:jc w:val="right"/>
                  <w:rPr>
                    <w:rFonts w:cs="Arial"/>
                    <w:sz w:val="16"/>
                    <w:szCs w:val="16"/>
                  </w:rPr>
                </w:pPr>
              </w:p>
            </w:tc>
            <w:tc>
              <w:tcPr>
                <w:tcW w:w="749" w:type="pct"/>
                <w:tcBorders>
                  <w:top w:val="nil"/>
                  <w:bottom w:val="nil"/>
                </w:tcBorders>
                <w:shd w:val="clear" w:color="auto" w:fill="FFFFFF" w:themeFill="background1"/>
                <w:vAlign w:val="bottom"/>
              </w:tcPr>
              <w:p w:rsidR="00C424C5" w:rsidRDefault="00C424C5" w:rsidP="00D67C0C">
                <w:pPr>
                  <w:jc w:val="right"/>
                  <w:rPr>
                    <w:rFonts w:cs="Arial"/>
                    <w:sz w:val="16"/>
                    <w:szCs w:val="16"/>
                  </w:rPr>
                </w:pPr>
              </w:p>
            </w:tc>
          </w:tr>
        </w:tbl>
        <w:p w:rsidR="00C424C5" w:rsidRDefault="00C424C5" w:rsidP="00EC4A12">
          <w:pPr>
            <w:pStyle w:val="Tabletitle"/>
          </w:pPr>
        </w:p>
        <w:p w:rsidR="00C7068C" w:rsidRDefault="00B602E3" w:rsidP="00C7068C">
          <w:pPr>
            <w:pStyle w:val="Heading1notnumber"/>
          </w:pPr>
          <w:bookmarkStart w:id="32" w:name="_Toc436060157"/>
          <w:r>
            <w:lastRenderedPageBreak/>
            <w:t xml:space="preserve">Appendix </w:t>
          </w:r>
          <w:r w:rsidR="00C7068C">
            <w:t>C</w:t>
          </w:r>
          <w:r>
            <w:t>:</w:t>
          </w:r>
          <w:r w:rsidR="00C7068C">
            <w:t xml:space="preserve"> Closing bids</w:t>
          </w:r>
          <w:bookmarkEnd w:id="32"/>
          <w:r w:rsidR="00C7068C">
            <w:t xml:space="preserve"> </w:t>
          </w:r>
        </w:p>
        <w:p w:rsidR="00C7068C" w:rsidRPr="001E00C5" w:rsidRDefault="00C7068C" w:rsidP="00C7068C">
          <w:r>
            <w:t>Figures C1 to C</w:t>
          </w:r>
          <w:r w:rsidR="00A6015B">
            <w:t>4</w:t>
          </w:r>
          <w:r>
            <w:t xml:space="preserve"> </w:t>
          </w:r>
          <w:r w:rsidRPr="001E00C5">
            <w:t xml:space="preserve">highlight the half hour closing bids for participants in </w:t>
          </w:r>
          <w:r w:rsidR="00A6015B">
            <w:t xml:space="preserve">New South Wales </w:t>
          </w:r>
          <w:r w:rsidRPr="001E00C5">
            <w:t xml:space="preserve">with significant capacity priced at or above $5000/MWh during the periods in which the spot price exceeded $5000/MWh. They also show generation output and the spot price. </w:t>
          </w:r>
        </w:p>
        <w:p w:rsidR="00C7068C" w:rsidRDefault="00E55476" w:rsidP="00C7068C">
          <w:pPr>
            <w:pStyle w:val="Tabletitle"/>
          </w:pPr>
          <w:r>
            <w:t>Figure C</w:t>
          </w:r>
          <w:r w:rsidR="00901619">
            <w:t>1</w:t>
          </w:r>
          <w:r w:rsidR="00C7068C">
            <w:t xml:space="preserve"> - </w:t>
          </w:r>
          <w:r w:rsidR="001716FC">
            <w:t>AGL</w:t>
          </w:r>
          <w:r w:rsidR="00C7068C">
            <w:t xml:space="preserve"> (</w:t>
          </w:r>
          <w:r w:rsidR="001716FC">
            <w:t xml:space="preserve">Bayswater, Liddell, </w:t>
          </w:r>
          <w:proofErr w:type="gramStart"/>
          <w:r w:rsidR="001716FC">
            <w:t>Hunter</w:t>
          </w:r>
          <w:proofErr w:type="gramEnd"/>
          <w:r w:rsidR="001716FC">
            <w:t xml:space="preserve"> Valley</w:t>
          </w:r>
          <w:r w:rsidR="00C7068C">
            <w:t>) closing bid prices, dispatch and spot price</w:t>
          </w:r>
        </w:p>
        <w:p w:rsidR="00C7068C" w:rsidRDefault="001716FC" w:rsidP="00C7068C">
          <w:r w:rsidRPr="001716FC">
            <w:rPr>
              <w:noProof/>
              <w:lang w:eastAsia="en-AU"/>
            </w:rPr>
            <w:drawing>
              <wp:inline distT="0" distB="0" distL="0" distR="0" wp14:anchorId="63A58E79" wp14:editId="6157B1B7">
                <wp:extent cx="5382895" cy="22864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82895" cy="2286473"/>
                        </a:xfrm>
                        <a:prstGeom prst="rect">
                          <a:avLst/>
                        </a:prstGeom>
                        <a:noFill/>
                        <a:ln>
                          <a:noFill/>
                        </a:ln>
                      </pic:spPr>
                    </pic:pic>
                  </a:graphicData>
                </a:graphic>
              </wp:inline>
            </w:drawing>
          </w:r>
        </w:p>
        <w:p w:rsidR="00C7068C" w:rsidRDefault="00E55476" w:rsidP="00C7068C">
          <w:pPr>
            <w:pStyle w:val="Tabletitle"/>
          </w:pPr>
          <w:r>
            <w:t>Figure C</w:t>
          </w:r>
          <w:r w:rsidR="00901619">
            <w:t>2</w:t>
          </w:r>
          <w:r w:rsidR="00C7068C">
            <w:t xml:space="preserve"> - </w:t>
          </w:r>
          <w:r w:rsidR="001716FC">
            <w:t>EnergyAustralia</w:t>
          </w:r>
          <w:r w:rsidR="00C7068C">
            <w:t xml:space="preserve"> (</w:t>
          </w:r>
          <w:r w:rsidR="001716FC">
            <w:t>Mt Piper, Tallawarra</w:t>
          </w:r>
          <w:r w:rsidR="00C7068C">
            <w:t>) closing bid prices, dispatch and spot price</w:t>
          </w:r>
        </w:p>
        <w:p w:rsidR="00C7068C" w:rsidRDefault="001716FC" w:rsidP="00C7068C">
          <w:pPr>
            <w:pStyle w:val="Tabletitle"/>
          </w:pPr>
          <w:r w:rsidRPr="001716FC">
            <w:rPr>
              <w:noProof/>
              <w:lang w:eastAsia="en-AU"/>
            </w:rPr>
            <w:drawing>
              <wp:inline distT="0" distB="0" distL="0" distR="0" wp14:anchorId="7C4999AF" wp14:editId="2E99D778">
                <wp:extent cx="5382895" cy="24226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82895" cy="2422652"/>
                        </a:xfrm>
                        <a:prstGeom prst="rect">
                          <a:avLst/>
                        </a:prstGeom>
                        <a:noFill/>
                        <a:ln>
                          <a:noFill/>
                        </a:ln>
                      </pic:spPr>
                    </pic:pic>
                  </a:graphicData>
                </a:graphic>
              </wp:inline>
            </w:drawing>
          </w:r>
        </w:p>
        <w:p w:rsidR="0086284F" w:rsidRDefault="0086284F">
          <w:pPr>
            <w:spacing w:line="240" w:lineRule="auto"/>
            <w:jc w:val="left"/>
            <w:rPr>
              <w:b/>
              <w:color w:val="076A92" w:themeColor="text1"/>
              <w:sz w:val="24"/>
              <w:szCs w:val="20"/>
            </w:rPr>
          </w:pPr>
          <w:r>
            <w:br w:type="page"/>
          </w:r>
        </w:p>
        <w:p w:rsidR="00C7068C" w:rsidRDefault="00E55476" w:rsidP="00C7068C">
          <w:pPr>
            <w:pStyle w:val="Tabletitle"/>
          </w:pPr>
          <w:r>
            <w:lastRenderedPageBreak/>
            <w:t>Figure C</w:t>
          </w:r>
          <w:r w:rsidR="00901619">
            <w:t>3</w:t>
          </w:r>
          <w:r w:rsidR="00C7068C">
            <w:t xml:space="preserve"> - </w:t>
          </w:r>
          <w:r w:rsidR="001716FC">
            <w:t>Origin</w:t>
          </w:r>
          <w:r w:rsidR="00C7068C">
            <w:t xml:space="preserve"> (</w:t>
          </w:r>
          <w:r w:rsidR="001716FC">
            <w:t>Eraring, Shoalhaven, Uranquinty</w:t>
          </w:r>
          <w:r w:rsidR="00C7068C">
            <w:t>) closing bid prices, dispatch and spot price</w:t>
          </w:r>
        </w:p>
        <w:p w:rsidR="00C7068C" w:rsidRDefault="00960C6B" w:rsidP="00C7068C">
          <w:pPr>
            <w:pStyle w:val="Tabletitle"/>
          </w:pPr>
          <w:r w:rsidRPr="00960C6B">
            <w:rPr>
              <w:noProof/>
              <w:lang w:eastAsia="en-AU"/>
            </w:rPr>
            <w:drawing>
              <wp:inline distT="0" distB="0" distL="0" distR="0" wp14:anchorId="5EEBEB09" wp14:editId="1BA4AD4F">
                <wp:extent cx="5382895" cy="2417468"/>
                <wp:effectExtent l="0" t="0" r="825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82895" cy="2417468"/>
                        </a:xfrm>
                        <a:prstGeom prst="rect">
                          <a:avLst/>
                        </a:prstGeom>
                        <a:noFill/>
                        <a:ln>
                          <a:noFill/>
                        </a:ln>
                      </pic:spPr>
                    </pic:pic>
                  </a:graphicData>
                </a:graphic>
              </wp:inline>
            </w:drawing>
          </w:r>
        </w:p>
        <w:p w:rsidR="00C7068C" w:rsidRDefault="00E55476" w:rsidP="00C7068C">
          <w:pPr>
            <w:pStyle w:val="Tabletitle"/>
          </w:pPr>
          <w:r>
            <w:t>Figure C</w:t>
          </w:r>
          <w:r w:rsidR="00901619">
            <w:t>4</w:t>
          </w:r>
          <w:r w:rsidR="00C7068C">
            <w:t xml:space="preserve"> </w:t>
          </w:r>
          <w:r w:rsidR="001716FC">
            <w:t>–</w:t>
          </w:r>
          <w:r w:rsidR="00C7068C">
            <w:t xml:space="preserve"> </w:t>
          </w:r>
          <w:r w:rsidR="001716FC">
            <w:t>Snowy Hydro</w:t>
          </w:r>
          <w:r w:rsidR="00C7068C">
            <w:t xml:space="preserve"> (</w:t>
          </w:r>
          <w:r w:rsidR="001716FC">
            <w:t xml:space="preserve">Colongra, Tumut, Upper Tumut, Guthega, </w:t>
          </w:r>
          <w:proofErr w:type="gramStart"/>
          <w:r w:rsidR="001716FC">
            <w:t>Blowering</w:t>
          </w:r>
          <w:proofErr w:type="gramEnd"/>
          <w:r w:rsidR="00C7068C">
            <w:t>) closing bid prices, dispatch and spot price</w:t>
          </w:r>
        </w:p>
        <w:p w:rsidR="00C7068C" w:rsidRPr="003E380F" w:rsidRDefault="001716FC" w:rsidP="00C7068C">
          <w:r w:rsidRPr="001716FC">
            <w:rPr>
              <w:noProof/>
              <w:lang w:eastAsia="en-AU"/>
            </w:rPr>
            <w:drawing>
              <wp:inline distT="0" distB="0" distL="0" distR="0" wp14:anchorId="17997EE7" wp14:editId="76A6172A">
                <wp:extent cx="5382895" cy="241746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82895" cy="2417468"/>
                        </a:xfrm>
                        <a:prstGeom prst="rect">
                          <a:avLst/>
                        </a:prstGeom>
                        <a:noFill/>
                        <a:ln>
                          <a:noFill/>
                        </a:ln>
                      </pic:spPr>
                    </pic:pic>
                  </a:graphicData>
                </a:graphic>
              </wp:inline>
            </w:drawing>
          </w:r>
        </w:p>
      </w:sdtContent>
    </w:sdt>
    <w:p w:rsidR="0086284F" w:rsidRDefault="0086284F">
      <w:pPr>
        <w:spacing w:line="240" w:lineRule="auto"/>
        <w:jc w:val="left"/>
        <w:rPr>
          <w:b/>
          <w:color w:val="076A92" w:themeColor="text1"/>
          <w:sz w:val="24"/>
          <w:szCs w:val="20"/>
        </w:rPr>
      </w:pPr>
    </w:p>
    <w:sectPr w:rsidR="0086284F" w:rsidSect="00B76E1A">
      <w:footerReference w:type="even" r:id="rId26"/>
      <w:footerReference w:type="default" r:id="rId27"/>
      <w:footerReference w:type="first" r:id="rId28"/>
      <w:pgSz w:w="11906" w:h="16838" w:code="9"/>
      <w:pgMar w:top="1276" w:right="1700" w:bottom="1134"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8F6" w:rsidRDefault="005C18F6">
      <w:pPr>
        <w:spacing w:before="0" w:line="240" w:lineRule="auto"/>
      </w:pPr>
      <w:r>
        <w:separator/>
      </w:r>
    </w:p>
  </w:endnote>
  <w:endnote w:type="continuationSeparator" w:id="0">
    <w:p w:rsidR="005C18F6" w:rsidRDefault="005C18F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F6" w:rsidRPr="007A4D1F" w:rsidRDefault="005C18F6" w:rsidP="003610D1">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FE39F3" w:rsidRPr="00FE39F3">
      <w:rPr>
        <w:rFonts w:eastAsia="Arial" w:cs="Times New Roman"/>
        <w:b/>
        <w:bCs/>
        <w:noProof/>
        <w:color w:val="076A92" w:themeColor="text1"/>
        <w:sz w:val="18"/>
        <w:lang w:val="en-US"/>
      </w:rPr>
      <w:t>Electricity</w:t>
    </w:r>
    <w:r w:rsidR="00FE39F3">
      <w:rPr>
        <w:rFonts w:eastAsia="Arial" w:cs="Times New Roman"/>
        <w:noProof/>
        <w:color w:val="076A92" w:themeColor="text1"/>
        <w:sz w:val="18"/>
      </w:rPr>
      <w:t xml:space="preserve"> </w:t>
    </w:r>
    <w:r w:rsidR="00FE39F3" w:rsidRPr="00FE39F3">
      <w:rPr>
        <w:rFonts w:eastAsia="Arial" w:cs="Times New Roman"/>
        <w:b/>
        <w:noProof/>
        <w:color w:val="076A92" w:themeColor="text1"/>
        <w:sz w:val="18"/>
      </w:rPr>
      <w:t>spot</w:t>
    </w:r>
    <w:r w:rsidR="00FE39F3">
      <w:rPr>
        <w:rFonts w:eastAsia="Arial" w:cs="Times New Roman"/>
        <w:noProof/>
        <w:color w:val="076A92" w:themeColor="text1"/>
        <w:sz w:val="18"/>
      </w:rPr>
      <w:t xml:space="preserve"> </w:t>
    </w:r>
    <w:r w:rsidR="00FE39F3" w:rsidRPr="00FE39F3">
      <w:rPr>
        <w:rFonts w:eastAsia="Arial" w:cs="Times New Roman"/>
        <w:b/>
        <w:noProof/>
        <w:color w:val="076A92" w:themeColor="text1"/>
        <w:sz w:val="18"/>
      </w:rPr>
      <w:t>prices above $5000/MWh</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FE39F3">
      <w:rPr>
        <w:rFonts w:eastAsia="Arial" w:cs="Times New Roman"/>
        <w:noProof/>
        <w:color w:val="076A92" w:themeColor="text1"/>
        <w:sz w:val="18"/>
      </w:rPr>
      <w:t>iii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5C18F6" w:rsidRDefault="005C18F6" w:rsidP="003610D1">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F6" w:rsidRPr="00A91A9E" w:rsidRDefault="005C18F6" w:rsidP="003610D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5C18F6" w:rsidRDefault="005C18F6"/>
  <w:p w:rsidR="005C18F6" w:rsidRDefault="005C18F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F6" w:rsidRDefault="00D66516" w:rsidP="003610D1">
    <w:pPr>
      <w:pStyle w:val="Footer"/>
      <w:tabs>
        <w:tab w:val="clear" w:pos="9026"/>
        <w:tab w:val="right" w:pos="8505"/>
      </w:tabs>
    </w:pPr>
    <w:fldSimple w:instr=" STYLEREF  &quot;Report Title&quot;  \* MERGEFORMAT ">
      <w:r w:rsidR="00FE39F3" w:rsidRPr="00FE39F3">
        <w:rPr>
          <w:b/>
          <w:bCs/>
          <w:noProof/>
          <w:lang w:val="en-US"/>
        </w:rPr>
        <w:t>Electricity spot prices above $5000/MWh</w:t>
      </w:r>
    </w:fldSimple>
    <w:r w:rsidR="005C18F6">
      <w:tab/>
    </w:r>
    <w:r w:rsidR="005C18F6">
      <w:tab/>
    </w:r>
    <w:r w:rsidR="005C18F6">
      <w:fldChar w:fldCharType="begin"/>
    </w:r>
    <w:r w:rsidR="005C18F6">
      <w:instrText xml:space="preserve"> PAGE   \* MERGEFORMAT </w:instrText>
    </w:r>
    <w:r w:rsidR="005C18F6">
      <w:fldChar w:fldCharType="separate"/>
    </w:r>
    <w:r w:rsidR="00FE39F3">
      <w:rPr>
        <w:noProof/>
      </w:rPr>
      <w:t>13</w:t>
    </w:r>
    <w:r w:rsidR="005C18F6">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F6" w:rsidRDefault="00D66516" w:rsidP="003610D1">
    <w:pPr>
      <w:pStyle w:val="Footer"/>
      <w:tabs>
        <w:tab w:val="clear" w:pos="9026"/>
        <w:tab w:val="right" w:pos="8505"/>
      </w:tabs>
    </w:pPr>
    <w:fldSimple w:instr=" STYLEREF  &quot;Report Title&quot;  \* MERGEFORMAT ">
      <w:r w:rsidR="00FE39F3">
        <w:rPr>
          <w:noProof/>
        </w:rPr>
        <w:t>Electricity spot prices above $5000/MWh</w:t>
      </w:r>
    </w:fldSimple>
    <w:r w:rsidR="005C18F6">
      <w:tab/>
    </w:r>
    <w:r w:rsidR="005C18F6">
      <w:tab/>
    </w:r>
    <w:r w:rsidR="005C18F6">
      <w:fldChar w:fldCharType="begin"/>
    </w:r>
    <w:r w:rsidR="005C18F6">
      <w:instrText xml:space="preserve"> PAGE   \* MERGEFORMAT </w:instrText>
    </w:r>
    <w:r w:rsidR="005C18F6">
      <w:fldChar w:fldCharType="separate"/>
    </w:r>
    <w:r w:rsidR="005C18F6">
      <w:rPr>
        <w:noProof/>
      </w:rPr>
      <w:t>1</w:t>
    </w:r>
    <w:r w:rsidR="005C18F6">
      <w:fldChar w:fldCharType="end"/>
    </w:r>
  </w:p>
  <w:p w:rsidR="005C18F6" w:rsidRDefault="005C18F6">
    <w:pPr>
      <w:pStyle w:val="Footer"/>
    </w:pPr>
  </w:p>
  <w:p w:rsidR="005C18F6" w:rsidRDefault="005C18F6"/>
  <w:p w:rsidR="005C18F6" w:rsidRDefault="005C18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8F6" w:rsidRDefault="005C18F6">
      <w:pPr>
        <w:spacing w:before="0" w:line="240" w:lineRule="auto"/>
      </w:pPr>
      <w:r>
        <w:separator/>
      </w:r>
    </w:p>
  </w:footnote>
  <w:footnote w:type="continuationSeparator" w:id="0">
    <w:p w:rsidR="005C18F6" w:rsidRDefault="005C18F6">
      <w:pPr>
        <w:spacing w:before="0" w:line="240" w:lineRule="auto"/>
      </w:pPr>
      <w:r>
        <w:continuationSeparator/>
      </w:r>
    </w:p>
  </w:footnote>
  <w:footnote w:id="1">
    <w:p w:rsidR="005C18F6" w:rsidRDefault="005C18F6" w:rsidP="00C7068C">
      <w:pPr>
        <w:pStyle w:val="FootnoteText"/>
      </w:pPr>
      <w:r>
        <w:rPr>
          <w:rStyle w:val="FootnoteReference"/>
        </w:rPr>
        <w:footnoteRef/>
      </w:r>
      <w:r>
        <w:t xml:space="preserve"> </w:t>
      </w:r>
      <w:r>
        <w:tab/>
        <w:t xml:space="preserve">This requirement is set out in </w:t>
      </w:r>
      <w:r w:rsidRPr="004A4BC5">
        <w:t xml:space="preserve">clause 3.13.7 (d) of the </w:t>
      </w:r>
      <w:r>
        <w:t xml:space="preserve">National Electricity </w:t>
      </w:r>
      <w:r w:rsidRPr="004A4BC5">
        <w:t>Rules</w:t>
      </w:r>
      <w:r>
        <w:t>.</w:t>
      </w:r>
    </w:p>
  </w:footnote>
  <w:footnote w:id="2">
    <w:p w:rsidR="005C18F6" w:rsidRDefault="005C18F6">
      <w:pPr>
        <w:pStyle w:val="FootnoteText"/>
      </w:pPr>
      <w:r>
        <w:rPr>
          <w:rStyle w:val="FootnoteReference"/>
        </w:rPr>
        <w:footnoteRef/>
      </w:r>
      <w:r>
        <w:t xml:space="preserve"> The current requirement under the Electricity Rules that generators specify a </w:t>
      </w:r>
      <w:r w:rsidRPr="00E66CD4">
        <w:t xml:space="preserve">ramp rate that is greater than or equal to the lower of three </w:t>
      </w:r>
      <w:r>
        <w:t>megawatts per minute</w:t>
      </w:r>
      <w:r w:rsidRPr="00E66CD4">
        <w:t>, or three per cent of maximum capacity, unless there is a physical or safety limitation on their plant.</w:t>
      </w:r>
    </w:p>
  </w:footnote>
  <w:footnote w:id="3">
    <w:p w:rsidR="005C18F6" w:rsidRPr="004D709E" w:rsidRDefault="005C18F6" w:rsidP="00C7068C">
      <w:pPr>
        <w:pStyle w:val="FootnoteText"/>
        <w:rPr>
          <w:sz w:val="18"/>
          <w:szCs w:val="18"/>
          <w:u w:val="single"/>
        </w:rPr>
      </w:pPr>
      <w:r w:rsidRPr="004D709E">
        <w:rPr>
          <w:rStyle w:val="FootnoteReference"/>
          <w:sz w:val="18"/>
          <w:szCs w:val="18"/>
        </w:rPr>
        <w:footnoteRef/>
      </w:r>
      <w:r w:rsidRPr="004D709E">
        <w:rPr>
          <w:sz w:val="18"/>
          <w:szCs w:val="18"/>
        </w:rPr>
        <w:t xml:space="preserve"> </w:t>
      </w:r>
      <w:r>
        <w:rPr>
          <w:sz w:val="18"/>
          <w:szCs w:val="18"/>
        </w:rPr>
        <w:tab/>
      </w:r>
      <w:r w:rsidRPr="00345843">
        <w:t xml:space="preserve">Details on how the price is determined can be found at </w:t>
      </w:r>
      <w:hyperlink r:id="rId1" w:history="1">
        <w:r w:rsidRPr="002B2EAE">
          <w:rPr>
            <w:rStyle w:val="Hyperlink"/>
            <w:szCs w:val="16"/>
          </w:rPr>
          <w:t>www.aemo.com.au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07F36BB"/>
    <w:multiLevelType w:val="hybridMultilevel"/>
    <w:tmpl w:val="D8BC2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CD25FBB"/>
    <w:multiLevelType w:val="hybridMultilevel"/>
    <w:tmpl w:val="930E2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2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0"/>
  </w:num>
  <w:num w:numId="14">
    <w:abstractNumId w:val="14"/>
  </w:num>
  <w:num w:numId="15">
    <w:abstractNumId w:val="17"/>
  </w:num>
  <w:num w:numId="16">
    <w:abstractNumId w:val="22"/>
  </w:num>
  <w:num w:numId="17">
    <w:abstractNumId w:val="13"/>
  </w:num>
  <w:num w:numId="18">
    <w:abstractNumId w:val="19"/>
  </w:num>
  <w:num w:numId="19">
    <w:abstractNumId w:val="12"/>
  </w:num>
  <w:num w:numId="20">
    <w:abstractNumId w:val="23"/>
  </w:num>
  <w:num w:numId="21">
    <w:abstractNumId w:val="27"/>
  </w:num>
  <w:num w:numId="22">
    <w:abstractNumId w:val="18"/>
  </w:num>
  <w:num w:numId="23">
    <w:abstractNumId w:val="2"/>
    <w:lvlOverride w:ilvl="0">
      <w:startOverride w:val="1"/>
    </w:lvlOverride>
  </w:num>
  <w:num w:numId="24">
    <w:abstractNumId w:val="19"/>
    <w:lvlOverride w:ilvl="0">
      <w:startOverride w:val="1"/>
    </w:lvlOverride>
  </w:num>
  <w:num w:numId="25">
    <w:abstractNumId w:val="25"/>
  </w:num>
  <w:num w:numId="26">
    <w:abstractNumId w:val="21"/>
  </w:num>
  <w:num w:numId="27">
    <w:abstractNumId w:val="10"/>
  </w:num>
  <w:num w:numId="28">
    <w:abstractNumId w:val="16"/>
  </w:num>
  <w:num w:numId="29">
    <w:abstractNumId w:val="11"/>
  </w:num>
  <w:num w:numId="30">
    <w:abstractNumId w:val="24"/>
  </w:num>
  <w:num w:numId="31">
    <w:abstractNumId w:val="17"/>
  </w:num>
  <w:num w:numId="32">
    <w:abstractNumId w:val="14"/>
  </w:num>
  <w:num w:numId="33">
    <w:abstractNumId w:val="11"/>
  </w:num>
  <w:num w:numId="34">
    <w:abstractNumId w:val="11"/>
  </w:num>
  <w:num w:numId="35">
    <w:abstractNumId w:val="9"/>
  </w:num>
  <w:num w:numId="36">
    <w:abstractNumId w:val="11"/>
  </w:num>
  <w:num w:numId="37">
    <w:abstractNumId w:val="11"/>
  </w:num>
  <w:num w:numId="3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28673">
      <o:colormru v:ext="edit" colors="#4bf75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Prices above $5000MWh - 23 September 2015 (NSW).docx"/>
  </w:docVars>
  <w:rsids>
    <w:rsidRoot w:val="003610D1"/>
    <w:rsid w:val="00010B1A"/>
    <w:rsid w:val="00011D86"/>
    <w:rsid w:val="000146AC"/>
    <w:rsid w:val="00017BF7"/>
    <w:rsid w:val="00021644"/>
    <w:rsid w:val="000221E2"/>
    <w:rsid w:val="00024297"/>
    <w:rsid w:val="00030F8E"/>
    <w:rsid w:val="00034F77"/>
    <w:rsid w:val="00041065"/>
    <w:rsid w:val="00043CDD"/>
    <w:rsid w:val="00043F8E"/>
    <w:rsid w:val="000456EC"/>
    <w:rsid w:val="00046C4A"/>
    <w:rsid w:val="000508E0"/>
    <w:rsid w:val="0005162D"/>
    <w:rsid w:val="00051AA5"/>
    <w:rsid w:val="000545DD"/>
    <w:rsid w:val="000554BB"/>
    <w:rsid w:val="000570C9"/>
    <w:rsid w:val="00061A48"/>
    <w:rsid w:val="000635D7"/>
    <w:rsid w:val="000708CF"/>
    <w:rsid w:val="000722EB"/>
    <w:rsid w:val="0007263E"/>
    <w:rsid w:val="00074360"/>
    <w:rsid w:val="000801EF"/>
    <w:rsid w:val="00080C63"/>
    <w:rsid w:val="0008415A"/>
    <w:rsid w:val="000844CC"/>
    <w:rsid w:val="00090DE0"/>
    <w:rsid w:val="00094459"/>
    <w:rsid w:val="000A434F"/>
    <w:rsid w:val="000A57EE"/>
    <w:rsid w:val="000A5BD1"/>
    <w:rsid w:val="000B1671"/>
    <w:rsid w:val="000B2E41"/>
    <w:rsid w:val="000C0941"/>
    <w:rsid w:val="000C0E4B"/>
    <w:rsid w:val="000C3347"/>
    <w:rsid w:val="000C4EA7"/>
    <w:rsid w:val="000C55AE"/>
    <w:rsid w:val="000C6CDD"/>
    <w:rsid w:val="000D0554"/>
    <w:rsid w:val="000D107C"/>
    <w:rsid w:val="000D40BE"/>
    <w:rsid w:val="000D557D"/>
    <w:rsid w:val="000D5810"/>
    <w:rsid w:val="000E32A2"/>
    <w:rsid w:val="00101A55"/>
    <w:rsid w:val="00103088"/>
    <w:rsid w:val="00103D3D"/>
    <w:rsid w:val="00111FF2"/>
    <w:rsid w:val="00112012"/>
    <w:rsid w:val="001143C4"/>
    <w:rsid w:val="00114564"/>
    <w:rsid w:val="0011518C"/>
    <w:rsid w:val="001251A8"/>
    <w:rsid w:val="00127BB1"/>
    <w:rsid w:val="00132B65"/>
    <w:rsid w:val="00136AF6"/>
    <w:rsid w:val="00141D53"/>
    <w:rsid w:val="001440FF"/>
    <w:rsid w:val="00144712"/>
    <w:rsid w:val="00144763"/>
    <w:rsid w:val="00151CC0"/>
    <w:rsid w:val="00155CFA"/>
    <w:rsid w:val="0015715D"/>
    <w:rsid w:val="001571AB"/>
    <w:rsid w:val="00157982"/>
    <w:rsid w:val="00157B32"/>
    <w:rsid w:val="00162522"/>
    <w:rsid w:val="001640AB"/>
    <w:rsid w:val="0016468E"/>
    <w:rsid w:val="00165EF5"/>
    <w:rsid w:val="001716FC"/>
    <w:rsid w:val="00174796"/>
    <w:rsid w:val="00181E92"/>
    <w:rsid w:val="00183F9A"/>
    <w:rsid w:val="00185629"/>
    <w:rsid w:val="00194A0C"/>
    <w:rsid w:val="001A2CD9"/>
    <w:rsid w:val="001A5038"/>
    <w:rsid w:val="001B0767"/>
    <w:rsid w:val="001B21EA"/>
    <w:rsid w:val="001B26A5"/>
    <w:rsid w:val="001B2BD5"/>
    <w:rsid w:val="001B311E"/>
    <w:rsid w:val="001B3158"/>
    <w:rsid w:val="001B70FC"/>
    <w:rsid w:val="001C2CEA"/>
    <w:rsid w:val="001C5D8C"/>
    <w:rsid w:val="001C6D91"/>
    <w:rsid w:val="001D1F09"/>
    <w:rsid w:val="001D3356"/>
    <w:rsid w:val="001D4960"/>
    <w:rsid w:val="001E0D97"/>
    <w:rsid w:val="001E1DEB"/>
    <w:rsid w:val="001E50C3"/>
    <w:rsid w:val="001E5BF5"/>
    <w:rsid w:val="001E6D30"/>
    <w:rsid w:val="001E78DB"/>
    <w:rsid w:val="001E7E6E"/>
    <w:rsid w:val="001F1A14"/>
    <w:rsid w:val="0020088C"/>
    <w:rsid w:val="00206817"/>
    <w:rsid w:val="002114E0"/>
    <w:rsid w:val="002114E4"/>
    <w:rsid w:val="00217A1D"/>
    <w:rsid w:val="00220318"/>
    <w:rsid w:val="00220722"/>
    <w:rsid w:val="002214D3"/>
    <w:rsid w:val="00221530"/>
    <w:rsid w:val="00222EC1"/>
    <w:rsid w:val="00233351"/>
    <w:rsid w:val="00237E08"/>
    <w:rsid w:val="00245D67"/>
    <w:rsid w:val="002475E3"/>
    <w:rsid w:val="00247FC3"/>
    <w:rsid w:val="00251131"/>
    <w:rsid w:val="00251D61"/>
    <w:rsid w:val="00254B38"/>
    <w:rsid w:val="00255EEF"/>
    <w:rsid w:val="002614FF"/>
    <w:rsid w:val="00261FD0"/>
    <w:rsid w:val="00264398"/>
    <w:rsid w:val="00265A61"/>
    <w:rsid w:val="002667D4"/>
    <w:rsid w:val="002743BE"/>
    <w:rsid w:val="0027556F"/>
    <w:rsid w:val="00277918"/>
    <w:rsid w:val="002808FD"/>
    <w:rsid w:val="0028094F"/>
    <w:rsid w:val="002812C2"/>
    <w:rsid w:val="00286C34"/>
    <w:rsid w:val="002931DC"/>
    <w:rsid w:val="00293A0A"/>
    <w:rsid w:val="0029452B"/>
    <w:rsid w:val="00297821"/>
    <w:rsid w:val="00297D01"/>
    <w:rsid w:val="002A56AB"/>
    <w:rsid w:val="002A5CF9"/>
    <w:rsid w:val="002A6276"/>
    <w:rsid w:val="002A68C4"/>
    <w:rsid w:val="002B33A8"/>
    <w:rsid w:val="002B4F2D"/>
    <w:rsid w:val="002B6A68"/>
    <w:rsid w:val="002B6EDD"/>
    <w:rsid w:val="002B701C"/>
    <w:rsid w:val="002C0CF2"/>
    <w:rsid w:val="002C34D8"/>
    <w:rsid w:val="002D0F6E"/>
    <w:rsid w:val="002D2BAB"/>
    <w:rsid w:val="002D4EE4"/>
    <w:rsid w:val="002D5D79"/>
    <w:rsid w:val="002D7459"/>
    <w:rsid w:val="002E0AF3"/>
    <w:rsid w:val="002E5340"/>
    <w:rsid w:val="002E6ABC"/>
    <w:rsid w:val="002F025A"/>
    <w:rsid w:val="002F48D5"/>
    <w:rsid w:val="002F59A8"/>
    <w:rsid w:val="002F5EE3"/>
    <w:rsid w:val="00311066"/>
    <w:rsid w:val="00313B2B"/>
    <w:rsid w:val="003168F1"/>
    <w:rsid w:val="00321D5A"/>
    <w:rsid w:val="003250C8"/>
    <w:rsid w:val="00325126"/>
    <w:rsid w:val="003364FF"/>
    <w:rsid w:val="00340E02"/>
    <w:rsid w:val="00346649"/>
    <w:rsid w:val="00350712"/>
    <w:rsid w:val="00353228"/>
    <w:rsid w:val="00353C34"/>
    <w:rsid w:val="003565E8"/>
    <w:rsid w:val="00356CC0"/>
    <w:rsid w:val="003610D1"/>
    <w:rsid w:val="00361814"/>
    <w:rsid w:val="00370288"/>
    <w:rsid w:val="0037052A"/>
    <w:rsid w:val="003712DE"/>
    <w:rsid w:val="003745C3"/>
    <w:rsid w:val="00374AB0"/>
    <w:rsid w:val="00381976"/>
    <w:rsid w:val="0038203C"/>
    <w:rsid w:val="00382756"/>
    <w:rsid w:val="003874BC"/>
    <w:rsid w:val="00390216"/>
    <w:rsid w:val="00390B79"/>
    <w:rsid w:val="003A3C41"/>
    <w:rsid w:val="003A4880"/>
    <w:rsid w:val="003B07C1"/>
    <w:rsid w:val="003B266D"/>
    <w:rsid w:val="003B37A3"/>
    <w:rsid w:val="003B6009"/>
    <w:rsid w:val="003B770F"/>
    <w:rsid w:val="003C4833"/>
    <w:rsid w:val="003C5F95"/>
    <w:rsid w:val="003E5F2A"/>
    <w:rsid w:val="003E78F9"/>
    <w:rsid w:val="003F3477"/>
    <w:rsid w:val="003F4971"/>
    <w:rsid w:val="003F64FD"/>
    <w:rsid w:val="0040128A"/>
    <w:rsid w:val="004075BD"/>
    <w:rsid w:val="00411EE1"/>
    <w:rsid w:val="00413568"/>
    <w:rsid w:val="00416B89"/>
    <w:rsid w:val="004225A4"/>
    <w:rsid w:val="00422C0F"/>
    <w:rsid w:val="00425390"/>
    <w:rsid w:val="00426AEF"/>
    <w:rsid w:val="004300F1"/>
    <w:rsid w:val="00430FFC"/>
    <w:rsid w:val="00431500"/>
    <w:rsid w:val="00432771"/>
    <w:rsid w:val="0043592B"/>
    <w:rsid w:val="004442C5"/>
    <w:rsid w:val="00445B07"/>
    <w:rsid w:val="00464428"/>
    <w:rsid w:val="0046706A"/>
    <w:rsid w:val="004710D5"/>
    <w:rsid w:val="00476A93"/>
    <w:rsid w:val="0048005B"/>
    <w:rsid w:val="0048191E"/>
    <w:rsid w:val="00485C9C"/>
    <w:rsid w:val="0049123B"/>
    <w:rsid w:val="00492856"/>
    <w:rsid w:val="00493FFD"/>
    <w:rsid w:val="004954EE"/>
    <w:rsid w:val="004A0D3E"/>
    <w:rsid w:val="004B0A01"/>
    <w:rsid w:val="004B56EF"/>
    <w:rsid w:val="004C61C9"/>
    <w:rsid w:val="004C6FFD"/>
    <w:rsid w:val="004C76E6"/>
    <w:rsid w:val="004D2432"/>
    <w:rsid w:val="004D2AB0"/>
    <w:rsid w:val="004D4102"/>
    <w:rsid w:val="004D438D"/>
    <w:rsid w:val="004D51D9"/>
    <w:rsid w:val="004D7255"/>
    <w:rsid w:val="004D7BFF"/>
    <w:rsid w:val="004E336C"/>
    <w:rsid w:val="004E49C3"/>
    <w:rsid w:val="004E5C29"/>
    <w:rsid w:val="004F0977"/>
    <w:rsid w:val="004F5FB9"/>
    <w:rsid w:val="004F7989"/>
    <w:rsid w:val="00505844"/>
    <w:rsid w:val="00517C7C"/>
    <w:rsid w:val="00521216"/>
    <w:rsid w:val="00522217"/>
    <w:rsid w:val="00523A47"/>
    <w:rsid w:val="0052525D"/>
    <w:rsid w:val="00525318"/>
    <w:rsid w:val="005311D3"/>
    <w:rsid w:val="005366CC"/>
    <w:rsid w:val="0054172D"/>
    <w:rsid w:val="00542497"/>
    <w:rsid w:val="00543D9D"/>
    <w:rsid w:val="00545DEE"/>
    <w:rsid w:val="0055566B"/>
    <w:rsid w:val="00562CBF"/>
    <w:rsid w:val="00564052"/>
    <w:rsid w:val="00565294"/>
    <w:rsid w:val="00571067"/>
    <w:rsid w:val="0057715F"/>
    <w:rsid w:val="00581454"/>
    <w:rsid w:val="005860BC"/>
    <w:rsid w:val="005916B4"/>
    <w:rsid w:val="00594C1B"/>
    <w:rsid w:val="005A0009"/>
    <w:rsid w:val="005B115B"/>
    <w:rsid w:val="005B12BB"/>
    <w:rsid w:val="005B2572"/>
    <w:rsid w:val="005B6B0F"/>
    <w:rsid w:val="005B7713"/>
    <w:rsid w:val="005C1074"/>
    <w:rsid w:val="005C10DA"/>
    <w:rsid w:val="005C167B"/>
    <w:rsid w:val="005C18F6"/>
    <w:rsid w:val="005C3E6D"/>
    <w:rsid w:val="005C3EC3"/>
    <w:rsid w:val="005D1949"/>
    <w:rsid w:val="005D259F"/>
    <w:rsid w:val="005D5ED4"/>
    <w:rsid w:val="005E385C"/>
    <w:rsid w:val="005E49B6"/>
    <w:rsid w:val="005F05B1"/>
    <w:rsid w:val="005F52A5"/>
    <w:rsid w:val="005F6137"/>
    <w:rsid w:val="00612500"/>
    <w:rsid w:val="00616C07"/>
    <w:rsid w:val="006249CA"/>
    <w:rsid w:val="00624E14"/>
    <w:rsid w:val="00625E5E"/>
    <w:rsid w:val="00627307"/>
    <w:rsid w:val="00631FA3"/>
    <w:rsid w:val="006329AC"/>
    <w:rsid w:val="00633BFF"/>
    <w:rsid w:val="00637D55"/>
    <w:rsid w:val="006412A3"/>
    <w:rsid w:val="00643B62"/>
    <w:rsid w:val="00643C67"/>
    <w:rsid w:val="00646207"/>
    <w:rsid w:val="00651659"/>
    <w:rsid w:val="00663313"/>
    <w:rsid w:val="00665553"/>
    <w:rsid w:val="0067052C"/>
    <w:rsid w:val="006756DD"/>
    <w:rsid w:val="006869C4"/>
    <w:rsid w:val="00692771"/>
    <w:rsid w:val="00695FA0"/>
    <w:rsid w:val="006978F9"/>
    <w:rsid w:val="006B0099"/>
    <w:rsid w:val="006B038C"/>
    <w:rsid w:val="006B0DDB"/>
    <w:rsid w:val="006B44DE"/>
    <w:rsid w:val="006C1FFB"/>
    <w:rsid w:val="006C213E"/>
    <w:rsid w:val="006D45CA"/>
    <w:rsid w:val="006D79CD"/>
    <w:rsid w:val="006E2593"/>
    <w:rsid w:val="006E3FF1"/>
    <w:rsid w:val="006F0224"/>
    <w:rsid w:val="006F02C0"/>
    <w:rsid w:val="006F2091"/>
    <w:rsid w:val="006F2861"/>
    <w:rsid w:val="006F2875"/>
    <w:rsid w:val="006F3333"/>
    <w:rsid w:val="006F5343"/>
    <w:rsid w:val="006F6317"/>
    <w:rsid w:val="006F7401"/>
    <w:rsid w:val="00700FDA"/>
    <w:rsid w:val="00703233"/>
    <w:rsid w:val="00712C6A"/>
    <w:rsid w:val="007151A3"/>
    <w:rsid w:val="00716EED"/>
    <w:rsid w:val="007307B0"/>
    <w:rsid w:val="0073081F"/>
    <w:rsid w:val="00735BB7"/>
    <w:rsid w:val="00740C0E"/>
    <w:rsid w:val="00743AA7"/>
    <w:rsid w:val="007462CD"/>
    <w:rsid w:val="007515C8"/>
    <w:rsid w:val="00757770"/>
    <w:rsid w:val="00761D3B"/>
    <w:rsid w:val="007651E9"/>
    <w:rsid w:val="00770005"/>
    <w:rsid w:val="0077094F"/>
    <w:rsid w:val="00775925"/>
    <w:rsid w:val="007762CF"/>
    <w:rsid w:val="00776DF6"/>
    <w:rsid w:val="00777DEE"/>
    <w:rsid w:val="00782108"/>
    <w:rsid w:val="007821EC"/>
    <w:rsid w:val="007853D7"/>
    <w:rsid w:val="007862BB"/>
    <w:rsid w:val="00794D44"/>
    <w:rsid w:val="007A0814"/>
    <w:rsid w:val="007A210A"/>
    <w:rsid w:val="007A223D"/>
    <w:rsid w:val="007A23C8"/>
    <w:rsid w:val="007A3970"/>
    <w:rsid w:val="007A4650"/>
    <w:rsid w:val="007B1D4F"/>
    <w:rsid w:val="007B5014"/>
    <w:rsid w:val="007B7398"/>
    <w:rsid w:val="007C005E"/>
    <w:rsid w:val="007C4AAD"/>
    <w:rsid w:val="007C51E1"/>
    <w:rsid w:val="007C66BE"/>
    <w:rsid w:val="007C7FCB"/>
    <w:rsid w:val="007E29C4"/>
    <w:rsid w:val="007E7313"/>
    <w:rsid w:val="007E7E05"/>
    <w:rsid w:val="007F4415"/>
    <w:rsid w:val="00800E60"/>
    <w:rsid w:val="00801C0A"/>
    <w:rsid w:val="0080240F"/>
    <w:rsid w:val="00810A0D"/>
    <w:rsid w:val="00814E82"/>
    <w:rsid w:val="00817300"/>
    <w:rsid w:val="00820444"/>
    <w:rsid w:val="008204FE"/>
    <w:rsid w:val="00822B1B"/>
    <w:rsid w:val="00826297"/>
    <w:rsid w:val="00832689"/>
    <w:rsid w:val="00843BA8"/>
    <w:rsid w:val="00850300"/>
    <w:rsid w:val="00852168"/>
    <w:rsid w:val="00862328"/>
    <w:rsid w:val="0086284F"/>
    <w:rsid w:val="00872C3A"/>
    <w:rsid w:val="00874608"/>
    <w:rsid w:val="00874BA5"/>
    <w:rsid w:val="00874E50"/>
    <w:rsid w:val="008850C7"/>
    <w:rsid w:val="0088523D"/>
    <w:rsid w:val="00886B8A"/>
    <w:rsid w:val="00892119"/>
    <w:rsid w:val="008928BC"/>
    <w:rsid w:val="00892FEA"/>
    <w:rsid w:val="00895102"/>
    <w:rsid w:val="00895669"/>
    <w:rsid w:val="008A2B2A"/>
    <w:rsid w:val="008A7820"/>
    <w:rsid w:val="008B4C96"/>
    <w:rsid w:val="008B7CF1"/>
    <w:rsid w:val="008C3E60"/>
    <w:rsid w:val="008D0F8B"/>
    <w:rsid w:val="008D16C0"/>
    <w:rsid w:val="008F0410"/>
    <w:rsid w:val="008F3083"/>
    <w:rsid w:val="008F3779"/>
    <w:rsid w:val="008F4AE1"/>
    <w:rsid w:val="008F56DA"/>
    <w:rsid w:val="009004B1"/>
    <w:rsid w:val="00901619"/>
    <w:rsid w:val="0090736F"/>
    <w:rsid w:val="00907A32"/>
    <w:rsid w:val="009100EB"/>
    <w:rsid w:val="00913476"/>
    <w:rsid w:val="009147B0"/>
    <w:rsid w:val="009213C6"/>
    <w:rsid w:val="00922A0B"/>
    <w:rsid w:val="00931A04"/>
    <w:rsid w:val="00932DA9"/>
    <w:rsid w:val="00936DE7"/>
    <w:rsid w:val="00937BE5"/>
    <w:rsid w:val="00937D26"/>
    <w:rsid w:val="0094213A"/>
    <w:rsid w:val="0094217A"/>
    <w:rsid w:val="00960C6B"/>
    <w:rsid w:val="00962BC5"/>
    <w:rsid w:val="00962DE8"/>
    <w:rsid w:val="00963243"/>
    <w:rsid w:val="00965C10"/>
    <w:rsid w:val="00971493"/>
    <w:rsid w:val="00975AFF"/>
    <w:rsid w:val="00981107"/>
    <w:rsid w:val="009903BA"/>
    <w:rsid w:val="00991247"/>
    <w:rsid w:val="0099408E"/>
    <w:rsid w:val="009A0DAA"/>
    <w:rsid w:val="009A0E05"/>
    <w:rsid w:val="009A3422"/>
    <w:rsid w:val="009A6124"/>
    <w:rsid w:val="009B028C"/>
    <w:rsid w:val="009B2617"/>
    <w:rsid w:val="009B5488"/>
    <w:rsid w:val="009B5D0A"/>
    <w:rsid w:val="009B5D66"/>
    <w:rsid w:val="009B7798"/>
    <w:rsid w:val="009B77DD"/>
    <w:rsid w:val="009C06A3"/>
    <w:rsid w:val="009C0863"/>
    <w:rsid w:val="009C6724"/>
    <w:rsid w:val="009C6AAF"/>
    <w:rsid w:val="009D3582"/>
    <w:rsid w:val="009D44E3"/>
    <w:rsid w:val="009D59C9"/>
    <w:rsid w:val="009E5E90"/>
    <w:rsid w:val="009E7D16"/>
    <w:rsid w:val="009F671C"/>
    <w:rsid w:val="009F702B"/>
    <w:rsid w:val="00A03107"/>
    <w:rsid w:val="00A033A8"/>
    <w:rsid w:val="00A03B45"/>
    <w:rsid w:val="00A10C65"/>
    <w:rsid w:val="00A117C5"/>
    <w:rsid w:val="00A11DDF"/>
    <w:rsid w:val="00A12CAE"/>
    <w:rsid w:val="00A14EDE"/>
    <w:rsid w:val="00A314C1"/>
    <w:rsid w:val="00A36187"/>
    <w:rsid w:val="00A375C9"/>
    <w:rsid w:val="00A41536"/>
    <w:rsid w:val="00A43156"/>
    <w:rsid w:val="00A46989"/>
    <w:rsid w:val="00A50591"/>
    <w:rsid w:val="00A514B2"/>
    <w:rsid w:val="00A55E57"/>
    <w:rsid w:val="00A6015B"/>
    <w:rsid w:val="00A61060"/>
    <w:rsid w:val="00A61E01"/>
    <w:rsid w:val="00A62AFE"/>
    <w:rsid w:val="00A6326C"/>
    <w:rsid w:val="00A640CA"/>
    <w:rsid w:val="00A70456"/>
    <w:rsid w:val="00A7077C"/>
    <w:rsid w:val="00A86749"/>
    <w:rsid w:val="00A9530C"/>
    <w:rsid w:val="00A9591D"/>
    <w:rsid w:val="00AA40BA"/>
    <w:rsid w:val="00AA44B4"/>
    <w:rsid w:val="00AB0647"/>
    <w:rsid w:val="00AB32D7"/>
    <w:rsid w:val="00AB3B54"/>
    <w:rsid w:val="00AB494E"/>
    <w:rsid w:val="00AB58CB"/>
    <w:rsid w:val="00AB6A90"/>
    <w:rsid w:val="00AC06B3"/>
    <w:rsid w:val="00AC4901"/>
    <w:rsid w:val="00AD11C9"/>
    <w:rsid w:val="00AD285D"/>
    <w:rsid w:val="00AD3A94"/>
    <w:rsid w:val="00AD3DAC"/>
    <w:rsid w:val="00AD5E0B"/>
    <w:rsid w:val="00AD7592"/>
    <w:rsid w:val="00AD7CCC"/>
    <w:rsid w:val="00AE09CE"/>
    <w:rsid w:val="00AE1E9B"/>
    <w:rsid w:val="00AE2502"/>
    <w:rsid w:val="00AE641A"/>
    <w:rsid w:val="00AE6710"/>
    <w:rsid w:val="00AF09C5"/>
    <w:rsid w:val="00AF6D70"/>
    <w:rsid w:val="00B01FE1"/>
    <w:rsid w:val="00B04C51"/>
    <w:rsid w:val="00B10EDC"/>
    <w:rsid w:val="00B11F76"/>
    <w:rsid w:val="00B1338C"/>
    <w:rsid w:val="00B148C0"/>
    <w:rsid w:val="00B15946"/>
    <w:rsid w:val="00B21C95"/>
    <w:rsid w:val="00B21F58"/>
    <w:rsid w:val="00B26225"/>
    <w:rsid w:val="00B319BB"/>
    <w:rsid w:val="00B35883"/>
    <w:rsid w:val="00B35AE4"/>
    <w:rsid w:val="00B37F64"/>
    <w:rsid w:val="00B40C1B"/>
    <w:rsid w:val="00B44AD2"/>
    <w:rsid w:val="00B46D3C"/>
    <w:rsid w:val="00B472EC"/>
    <w:rsid w:val="00B47D8C"/>
    <w:rsid w:val="00B57905"/>
    <w:rsid w:val="00B602E3"/>
    <w:rsid w:val="00B67430"/>
    <w:rsid w:val="00B70484"/>
    <w:rsid w:val="00B70ECC"/>
    <w:rsid w:val="00B718C2"/>
    <w:rsid w:val="00B72D11"/>
    <w:rsid w:val="00B72D5C"/>
    <w:rsid w:val="00B73766"/>
    <w:rsid w:val="00B76E1A"/>
    <w:rsid w:val="00B77FC4"/>
    <w:rsid w:val="00B80409"/>
    <w:rsid w:val="00B80E31"/>
    <w:rsid w:val="00B825A6"/>
    <w:rsid w:val="00B8287F"/>
    <w:rsid w:val="00B82F0C"/>
    <w:rsid w:val="00B861B8"/>
    <w:rsid w:val="00B8689A"/>
    <w:rsid w:val="00BA741E"/>
    <w:rsid w:val="00BB3C3E"/>
    <w:rsid w:val="00BB54EA"/>
    <w:rsid w:val="00BB6777"/>
    <w:rsid w:val="00BC15D5"/>
    <w:rsid w:val="00BC28E1"/>
    <w:rsid w:val="00BC4C6E"/>
    <w:rsid w:val="00BC794B"/>
    <w:rsid w:val="00BD3D5C"/>
    <w:rsid w:val="00BD4EDE"/>
    <w:rsid w:val="00BD58B9"/>
    <w:rsid w:val="00BD593D"/>
    <w:rsid w:val="00BD7141"/>
    <w:rsid w:val="00BE09C6"/>
    <w:rsid w:val="00BE0D8B"/>
    <w:rsid w:val="00BE168A"/>
    <w:rsid w:val="00BE49AA"/>
    <w:rsid w:val="00BE5B26"/>
    <w:rsid w:val="00BF51F4"/>
    <w:rsid w:val="00BF5A4B"/>
    <w:rsid w:val="00C0059B"/>
    <w:rsid w:val="00C0159F"/>
    <w:rsid w:val="00C045E9"/>
    <w:rsid w:val="00C0477C"/>
    <w:rsid w:val="00C04FDF"/>
    <w:rsid w:val="00C15B58"/>
    <w:rsid w:val="00C16089"/>
    <w:rsid w:val="00C24379"/>
    <w:rsid w:val="00C27A73"/>
    <w:rsid w:val="00C27CBF"/>
    <w:rsid w:val="00C301DC"/>
    <w:rsid w:val="00C30A3A"/>
    <w:rsid w:val="00C36729"/>
    <w:rsid w:val="00C376CD"/>
    <w:rsid w:val="00C424C5"/>
    <w:rsid w:val="00C47E86"/>
    <w:rsid w:val="00C50D21"/>
    <w:rsid w:val="00C50FE2"/>
    <w:rsid w:val="00C667EC"/>
    <w:rsid w:val="00C66E57"/>
    <w:rsid w:val="00C7068C"/>
    <w:rsid w:val="00C7072B"/>
    <w:rsid w:val="00C82235"/>
    <w:rsid w:val="00C9343E"/>
    <w:rsid w:val="00C945B1"/>
    <w:rsid w:val="00C95114"/>
    <w:rsid w:val="00CA2626"/>
    <w:rsid w:val="00CA467B"/>
    <w:rsid w:val="00CB2BEB"/>
    <w:rsid w:val="00CB6C41"/>
    <w:rsid w:val="00CC0B95"/>
    <w:rsid w:val="00CC29E6"/>
    <w:rsid w:val="00CC3154"/>
    <w:rsid w:val="00CC63CD"/>
    <w:rsid w:val="00CC65AF"/>
    <w:rsid w:val="00CC7EB2"/>
    <w:rsid w:val="00CE3937"/>
    <w:rsid w:val="00CE3BF3"/>
    <w:rsid w:val="00CE4343"/>
    <w:rsid w:val="00CE57A5"/>
    <w:rsid w:val="00CE5919"/>
    <w:rsid w:val="00CE634A"/>
    <w:rsid w:val="00CF2FAC"/>
    <w:rsid w:val="00CF34E2"/>
    <w:rsid w:val="00CF69BC"/>
    <w:rsid w:val="00D00A4E"/>
    <w:rsid w:val="00D02FD5"/>
    <w:rsid w:val="00D057E0"/>
    <w:rsid w:val="00D10573"/>
    <w:rsid w:val="00D20EFE"/>
    <w:rsid w:val="00D229F3"/>
    <w:rsid w:val="00D2488F"/>
    <w:rsid w:val="00D30D89"/>
    <w:rsid w:val="00D31B41"/>
    <w:rsid w:val="00D33AA3"/>
    <w:rsid w:val="00D34940"/>
    <w:rsid w:val="00D34CBC"/>
    <w:rsid w:val="00D369A2"/>
    <w:rsid w:val="00D47BB3"/>
    <w:rsid w:val="00D5707F"/>
    <w:rsid w:val="00D57396"/>
    <w:rsid w:val="00D6069F"/>
    <w:rsid w:val="00D64AB7"/>
    <w:rsid w:val="00D66516"/>
    <w:rsid w:val="00D67C0C"/>
    <w:rsid w:val="00D770AB"/>
    <w:rsid w:val="00D82678"/>
    <w:rsid w:val="00D83055"/>
    <w:rsid w:val="00D92E7C"/>
    <w:rsid w:val="00D9491D"/>
    <w:rsid w:val="00DA0766"/>
    <w:rsid w:val="00DA19F7"/>
    <w:rsid w:val="00DA7635"/>
    <w:rsid w:val="00DB297C"/>
    <w:rsid w:val="00DB4344"/>
    <w:rsid w:val="00DB48CF"/>
    <w:rsid w:val="00DB6903"/>
    <w:rsid w:val="00DB7186"/>
    <w:rsid w:val="00DC0086"/>
    <w:rsid w:val="00DC0473"/>
    <w:rsid w:val="00DC2146"/>
    <w:rsid w:val="00DC5D0F"/>
    <w:rsid w:val="00DC6A2F"/>
    <w:rsid w:val="00DD1440"/>
    <w:rsid w:val="00DD1C3C"/>
    <w:rsid w:val="00DD20E9"/>
    <w:rsid w:val="00DD3C12"/>
    <w:rsid w:val="00DE6540"/>
    <w:rsid w:val="00DE7ED9"/>
    <w:rsid w:val="00DF05A0"/>
    <w:rsid w:val="00DF50B3"/>
    <w:rsid w:val="00DF5E1F"/>
    <w:rsid w:val="00DF7B53"/>
    <w:rsid w:val="00E0036B"/>
    <w:rsid w:val="00E019E6"/>
    <w:rsid w:val="00E1222B"/>
    <w:rsid w:val="00E1378E"/>
    <w:rsid w:val="00E13C7D"/>
    <w:rsid w:val="00E150A1"/>
    <w:rsid w:val="00E21EE6"/>
    <w:rsid w:val="00E2254B"/>
    <w:rsid w:val="00E33279"/>
    <w:rsid w:val="00E34012"/>
    <w:rsid w:val="00E34093"/>
    <w:rsid w:val="00E34784"/>
    <w:rsid w:val="00E42DF8"/>
    <w:rsid w:val="00E4508C"/>
    <w:rsid w:val="00E46574"/>
    <w:rsid w:val="00E54160"/>
    <w:rsid w:val="00E54534"/>
    <w:rsid w:val="00E5528A"/>
    <w:rsid w:val="00E55476"/>
    <w:rsid w:val="00E57FBE"/>
    <w:rsid w:val="00E64375"/>
    <w:rsid w:val="00E66CD4"/>
    <w:rsid w:val="00E715BB"/>
    <w:rsid w:val="00E72B21"/>
    <w:rsid w:val="00E73F72"/>
    <w:rsid w:val="00E811A4"/>
    <w:rsid w:val="00E826B2"/>
    <w:rsid w:val="00E91407"/>
    <w:rsid w:val="00EA0C2B"/>
    <w:rsid w:val="00EA2A70"/>
    <w:rsid w:val="00EB2A7A"/>
    <w:rsid w:val="00EB421C"/>
    <w:rsid w:val="00EB55A1"/>
    <w:rsid w:val="00EB620E"/>
    <w:rsid w:val="00EC4A12"/>
    <w:rsid w:val="00ED1616"/>
    <w:rsid w:val="00ED6CBD"/>
    <w:rsid w:val="00ED7EF4"/>
    <w:rsid w:val="00EE1A85"/>
    <w:rsid w:val="00EE3C5B"/>
    <w:rsid w:val="00EE4902"/>
    <w:rsid w:val="00EE60CF"/>
    <w:rsid w:val="00EF5A84"/>
    <w:rsid w:val="00F02249"/>
    <w:rsid w:val="00F11DDE"/>
    <w:rsid w:val="00F12B6C"/>
    <w:rsid w:val="00F14A68"/>
    <w:rsid w:val="00F169C2"/>
    <w:rsid w:val="00F23835"/>
    <w:rsid w:val="00F266D1"/>
    <w:rsid w:val="00F37732"/>
    <w:rsid w:val="00F449DD"/>
    <w:rsid w:val="00F468BE"/>
    <w:rsid w:val="00F46963"/>
    <w:rsid w:val="00F639C4"/>
    <w:rsid w:val="00F6401E"/>
    <w:rsid w:val="00F65F59"/>
    <w:rsid w:val="00F67160"/>
    <w:rsid w:val="00F7144B"/>
    <w:rsid w:val="00F754FF"/>
    <w:rsid w:val="00F758CE"/>
    <w:rsid w:val="00F815D2"/>
    <w:rsid w:val="00F85A77"/>
    <w:rsid w:val="00F86B08"/>
    <w:rsid w:val="00F87A7C"/>
    <w:rsid w:val="00F92702"/>
    <w:rsid w:val="00F97A85"/>
    <w:rsid w:val="00F97BCE"/>
    <w:rsid w:val="00FA2C62"/>
    <w:rsid w:val="00FA6096"/>
    <w:rsid w:val="00FA79D1"/>
    <w:rsid w:val="00FC1A2C"/>
    <w:rsid w:val="00FC687D"/>
    <w:rsid w:val="00FD1F7F"/>
    <w:rsid w:val="00FD281A"/>
    <w:rsid w:val="00FD331D"/>
    <w:rsid w:val="00FD5F26"/>
    <w:rsid w:val="00FE3312"/>
    <w:rsid w:val="00FE396E"/>
    <w:rsid w:val="00FE39F3"/>
    <w:rsid w:val="00FE5583"/>
    <w:rsid w:val="00FE6075"/>
    <w:rsid w:val="00FE6F18"/>
    <w:rsid w:val="00FE7816"/>
    <w:rsid w:val="00FE7BD4"/>
    <w:rsid w:val="00FF1093"/>
    <w:rsid w:val="00FF2BBB"/>
    <w:rsid w:val="00FF69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4bf75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BD7141"/>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2"/>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2"/>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BD7141"/>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2"/>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2"/>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98766">
      <w:bodyDiv w:val="1"/>
      <w:marLeft w:val="0"/>
      <w:marRight w:val="0"/>
      <w:marTop w:val="0"/>
      <w:marBottom w:val="0"/>
      <w:divBdr>
        <w:top w:val="none" w:sz="0" w:space="0" w:color="auto"/>
        <w:left w:val="none" w:sz="0" w:space="0" w:color="auto"/>
        <w:bottom w:val="none" w:sz="0" w:space="0" w:color="auto"/>
        <w:right w:val="none" w:sz="0" w:space="0" w:color="auto"/>
      </w:divBdr>
    </w:div>
    <w:div w:id="295793403">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507670050">
      <w:bodyDiv w:val="1"/>
      <w:marLeft w:val="0"/>
      <w:marRight w:val="0"/>
      <w:marTop w:val="0"/>
      <w:marBottom w:val="0"/>
      <w:divBdr>
        <w:top w:val="none" w:sz="0" w:space="0" w:color="auto"/>
        <w:left w:val="none" w:sz="0" w:space="0" w:color="auto"/>
        <w:bottom w:val="none" w:sz="0" w:space="0" w:color="auto"/>
        <w:right w:val="none" w:sz="0" w:space="0" w:color="auto"/>
      </w:divBdr>
      <w:divsChild>
        <w:div w:id="2083259863">
          <w:marLeft w:val="0"/>
          <w:marRight w:val="0"/>
          <w:marTop w:val="0"/>
          <w:marBottom w:val="0"/>
          <w:divBdr>
            <w:top w:val="none" w:sz="0" w:space="0" w:color="auto"/>
            <w:left w:val="none" w:sz="0" w:space="0" w:color="auto"/>
            <w:bottom w:val="none" w:sz="0" w:space="0" w:color="auto"/>
            <w:right w:val="none" w:sz="0" w:space="0" w:color="auto"/>
          </w:divBdr>
          <w:divsChild>
            <w:div w:id="237248040">
              <w:marLeft w:val="0"/>
              <w:marRight w:val="0"/>
              <w:marTop w:val="0"/>
              <w:marBottom w:val="0"/>
              <w:divBdr>
                <w:top w:val="none" w:sz="0" w:space="0" w:color="auto"/>
                <w:left w:val="none" w:sz="0" w:space="0" w:color="auto"/>
                <w:bottom w:val="none" w:sz="0" w:space="0" w:color="auto"/>
                <w:right w:val="none" w:sz="0" w:space="0" w:color="auto"/>
              </w:divBdr>
              <w:divsChild>
                <w:div w:id="752122960">
                  <w:marLeft w:val="0"/>
                  <w:marRight w:val="0"/>
                  <w:marTop w:val="0"/>
                  <w:marBottom w:val="0"/>
                  <w:divBdr>
                    <w:top w:val="none" w:sz="0" w:space="0" w:color="auto"/>
                    <w:left w:val="none" w:sz="0" w:space="0" w:color="auto"/>
                    <w:bottom w:val="none" w:sz="0" w:space="0" w:color="auto"/>
                    <w:right w:val="none" w:sz="0" w:space="0" w:color="auto"/>
                  </w:divBdr>
                  <w:divsChild>
                    <w:div w:id="162669854">
                      <w:marLeft w:val="0"/>
                      <w:marRight w:val="0"/>
                      <w:marTop w:val="0"/>
                      <w:marBottom w:val="0"/>
                      <w:divBdr>
                        <w:top w:val="none" w:sz="0" w:space="0" w:color="auto"/>
                        <w:left w:val="none" w:sz="0" w:space="0" w:color="auto"/>
                        <w:bottom w:val="none" w:sz="0" w:space="0" w:color="auto"/>
                        <w:right w:val="none" w:sz="0" w:space="0" w:color="auto"/>
                      </w:divBdr>
                      <w:divsChild>
                        <w:div w:id="295184323">
                          <w:marLeft w:val="0"/>
                          <w:marRight w:val="0"/>
                          <w:marTop w:val="0"/>
                          <w:marBottom w:val="0"/>
                          <w:divBdr>
                            <w:top w:val="none" w:sz="0" w:space="0" w:color="auto"/>
                            <w:left w:val="none" w:sz="0" w:space="0" w:color="auto"/>
                            <w:bottom w:val="none" w:sz="0" w:space="0" w:color="auto"/>
                            <w:right w:val="none" w:sz="0" w:space="0" w:color="auto"/>
                          </w:divBdr>
                        </w:div>
                      </w:divsChild>
                    </w:div>
                    <w:div w:id="1389959522">
                      <w:marLeft w:val="0"/>
                      <w:marRight w:val="0"/>
                      <w:marTop w:val="0"/>
                      <w:marBottom w:val="0"/>
                      <w:divBdr>
                        <w:top w:val="none" w:sz="0" w:space="0" w:color="auto"/>
                        <w:left w:val="none" w:sz="0" w:space="0" w:color="auto"/>
                        <w:bottom w:val="none" w:sz="0" w:space="0" w:color="auto"/>
                        <w:right w:val="none" w:sz="0" w:space="0" w:color="auto"/>
                      </w:divBdr>
                      <w:divsChild>
                        <w:div w:id="2033143719">
                          <w:marLeft w:val="0"/>
                          <w:marRight w:val="0"/>
                          <w:marTop w:val="0"/>
                          <w:marBottom w:val="0"/>
                          <w:divBdr>
                            <w:top w:val="none" w:sz="0" w:space="0" w:color="auto"/>
                            <w:left w:val="none" w:sz="0" w:space="0" w:color="auto"/>
                            <w:bottom w:val="none" w:sz="0" w:space="0" w:color="auto"/>
                            <w:right w:val="none" w:sz="0" w:space="0" w:color="auto"/>
                          </w:divBdr>
                        </w:div>
                      </w:divsChild>
                    </w:div>
                    <w:div w:id="475993509">
                      <w:marLeft w:val="0"/>
                      <w:marRight w:val="0"/>
                      <w:marTop w:val="0"/>
                      <w:marBottom w:val="0"/>
                      <w:divBdr>
                        <w:top w:val="none" w:sz="0" w:space="0" w:color="auto"/>
                        <w:left w:val="none" w:sz="0" w:space="0" w:color="auto"/>
                        <w:bottom w:val="none" w:sz="0" w:space="0" w:color="auto"/>
                        <w:right w:val="none" w:sz="0" w:space="0" w:color="auto"/>
                      </w:divBdr>
                      <w:divsChild>
                        <w:div w:id="1429424888">
                          <w:marLeft w:val="0"/>
                          <w:marRight w:val="0"/>
                          <w:marTop w:val="0"/>
                          <w:marBottom w:val="0"/>
                          <w:divBdr>
                            <w:top w:val="none" w:sz="0" w:space="0" w:color="auto"/>
                            <w:left w:val="none" w:sz="0" w:space="0" w:color="auto"/>
                            <w:bottom w:val="none" w:sz="0" w:space="0" w:color="auto"/>
                            <w:right w:val="none" w:sz="0" w:space="0" w:color="auto"/>
                          </w:divBdr>
                        </w:div>
                      </w:divsChild>
                    </w:div>
                    <w:div w:id="535701048">
                      <w:marLeft w:val="0"/>
                      <w:marRight w:val="0"/>
                      <w:marTop w:val="0"/>
                      <w:marBottom w:val="0"/>
                      <w:divBdr>
                        <w:top w:val="none" w:sz="0" w:space="0" w:color="auto"/>
                        <w:left w:val="none" w:sz="0" w:space="0" w:color="auto"/>
                        <w:bottom w:val="none" w:sz="0" w:space="0" w:color="auto"/>
                        <w:right w:val="none" w:sz="0" w:space="0" w:color="auto"/>
                      </w:divBdr>
                      <w:divsChild>
                        <w:div w:id="2040277009">
                          <w:marLeft w:val="0"/>
                          <w:marRight w:val="0"/>
                          <w:marTop w:val="0"/>
                          <w:marBottom w:val="0"/>
                          <w:divBdr>
                            <w:top w:val="none" w:sz="0" w:space="0" w:color="auto"/>
                            <w:left w:val="none" w:sz="0" w:space="0" w:color="auto"/>
                            <w:bottom w:val="none" w:sz="0" w:space="0" w:color="auto"/>
                            <w:right w:val="none" w:sz="0" w:space="0" w:color="auto"/>
                          </w:divBdr>
                        </w:div>
                      </w:divsChild>
                    </w:div>
                    <w:div w:id="1209680039">
                      <w:marLeft w:val="0"/>
                      <w:marRight w:val="0"/>
                      <w:marTop w:val="0"/>
                      <w:marBottom w:val="0"/>
                      <w:divBdr>
                        <w:top w:val="none" w:sz="0" w:space="0" w:color="auto"/>
                        <w:left w:val="none" w:sz="0" w:space="0" w:color="auto"/>
                        <w:bottom w:val="none" w:sz="0" w:space="0" w:color="auto"/>
                        <w:right w:val="none" w:sz="0" w:space="0" w:color="auto"/>
                      </w:divBdr>
                      <w:divsChild>
                        <w:div w:id="11529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40427">
      <w:bodyDiv w:val="1"/>
      <w:marLeft w:val="0"/>
      <w:marRight w:val="0"/>
      <w:marTop w:val="0"/>
      <w:marBottom w:val="0"/>
      <w:divBdr>
        <w:top w:val="none" w:sz="0" w:space="0" w:color="auto"/>
        <w:left w:val="none" w:sz="0" w:space="0" w:color="auto"/>
        <w:bottom w:val="none" w:sz="0" w:space="0" w:color="auto"/>
        <w:right w:val="none" w:sz="0" w:space="0" w:color="auto"/>
      </w:divBdr>
    </w:div>
    <w:div w:id="562958343">
      <w:bodyDiv w:val="1"/>
      <w:marLeft w:val="0"/>
      <w:marRight w:val="0"/>
      <w:marTop w:val="0"/>
      <w:marBottom w:val="0"/>
      <w:divBdr>
        <w:top w:val="none" w:sz="0" w:space="0" w:color="auto"/>
        <w:left w:val="none" w:sz="0" w:space="0" w:color="auto"/>
        <w:bottom w:val="none" w:sz="0" w:space="0" w:color="auto"/>
        <w:right w:val="none" w:sz="0" w:space="0" w:color="auto"/>
      </w:divBdr>
    </w:div>
    <w:div w:id="593981018">
      <w:bodyDiv w:val="1"/>
      <w:marLeft w:val="0"/>
      <w:marRight w:val="0"/>
      <w:marTop w:val="0"/>
      <w:marBottom w:val="0"/>
      <w:divBdr>
        <w:top w:val="none" w:sz="0" w:space="0" w:color="auto"/>
        <w:left w:val="none" w:sz="0" w:space="0" w:color="auto"/>
        <w:bottom w:val="none" w:sz="0" w:space="0" w:color="auto"/>
        <w:right w:val="none" w:sz="0" w:space="0" w:color="auto"/>
      </w:divBdr>
    </w:div>
    <w:div w:id="79653320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47551596">
      <w:bodyDiv w:val="1"/>
      <w:marLeft w:val="0"/>
      <w:marRight w:val="0"/>
      <w:marTop w:val="0"/>
      <w:marBottom w:val="0"/>
      <w:divBdr>
        <w:top w:val="none" w:sz="0" w:space="0" w:color="auto"/>
        <w:left w:val="none" w:sz="0" w:space="0" w:color="auto"/>
        <w:bottom w:val="none" w:sz="0" w:space="0" w:color="auto"/>
        <w:right w:val="none" w:sz="0" w:space="0" w:color="auto"/>
      </w:divBdr>
      <w:divsChild>
        <w:div w:id="447701881">
          <w:marLeft w:val="0"/>
          <w:marRight w:val="0"/>
          <w:marTop w:val="0"/>
          <w:marBottom w:val="0"/>
          <w:divBdr>
            <w:top w:val="none" w:sz="0" w:space="0" w:color="auto"/>
            <w:left w:val="none" w:sz="0" w:space="0" w:color="auto"/>
            <w:bottom w:val="none" w:sz="0" w:space="0" w:color="auto"/>
            <w:right w:val="none" w:sz="0" w:space="0" w:color="auto"/>
          </w:divBdr>
          <w:divsChild>
            <w:div w:id="1651204183">
              <w:marLeft w:val="0"/>
              <w:marRight w:val="0"/>
              <w:marTop w:val="0"/>
              <w:marBottom w:val="0"/>
              <w:divBdr>
                <w:top w:val="none" w:sz="0" w:space="0" w:color="auto"/>
                <w:left w:val="none" w:sz="0" w:space="0" w:color="auto"/>
                <w:bottom w:val="none" w:sz="0" w:space="0" w:color="auto"/>
                <w:right w:val="none" w:sz="0" w:space="0" w:color="auto"/>
              </w:divBdr>
              <w:divsChild>
                <w:div w:id="1343816545">
                  <w:marLeft w:val="0"/>
                  <w:marRight w:val="0"/>
                  <w:marTop w:val="0"/>
                  <w:marBottom w:val="0"/>
                  <w:divBdr>
                    <w:top w:val="none" w:sz="0" w:space="0" w:color="auto"/>
                    <w:left w:val="none" w:sz="0" w:space="0" w:color="auto"/>
                    <w:bottom w:val="none" w:sz="0" w:space="0" w:color="auto"/>
                    <w:right w:val="none" w:sz="0" w:space="0" w:color="auto"/>
                  </w:divBdr>
                  <w:divsChild>
                    <w:div w:id="1177774301">
                      <w:marLeft w:val="0"/>
                      <w:marRight w:val="0"/>
                      <w:marTop w:val="0"/>
                      <w:marBottom w:val="0"/>
                      <w:divBdr>
                        <w:top w:val="none" w:sz="0" w:space="0" w:color="auto"/>
                        <w:left w:val="none" w:sz="0" w:space="0" w:color="auto"/>
                        <w:bottom w:val="none" w:sz="0" w:space="0" w:color="auto"/>
                        <w:right w:val="none" w:sz="0" w:space="0" w:color="auto"/>
                      </w:divBdr>
                      <w:divsChild>
                        <w:div w:id="1297251709">
                          <w:marLeft w:val="0"/>
                          <w:marRight w:val="0"/>
                          <w:marTop w:val="0"/>
                          <w:marBottom w:val="0"/>
                          <w:divBdr>
                            <w:top w:val="none" w:sz="0" w:space="0" w:color="auto"/>
                            <w:left w:val="none" w:sz="0" w:space="0" w:color="auto"/>
                            <w:bottom w:val="none" w:sz="0" w:space="0" w:color="auto"/>
                            <w:right w:val="none" w:sz="0" w:space="0" w:color="auto"/>
                          </w:divBdr>
                        </w:div>
                      </w:divsChild>
                    </w:div>
                    <w:div w:id="239826818">
                      <w:marLeft w:val="0"/>
                      <w:marRight w:val="0"/>
                      <w:marTop w:val="0"/>
                      <w:marBottom w:val="0"/>
                      <w:divBdr>
                        <w:top w:val="none" w:sz="0" w:space="0" w:color="auto"/>
                        <w:left w:val="none" w:sz="0" w:space="0" w:color="auto"/>
                        <w:bottom w:val="none" w:sz="0" w:space="0" w:color="auto"/>
                        <w:right w:val="none" w:sz="0" w:space="0" w:color="auto"/>
                      </w:divBdr>
                      <w:divsChild>
                        <w:div w:id="330447966">
                          <w:marLeft w:val="0"/>
                          <w:marRight w:val="0"/>
                          <w:marTop w:val="0"/>
                          <w:marBottom w:val="0"/>
                          <w:divBdr>
                            <w:top w:val="none" w:sz="0" w:space="0" w:color="auto"/>
                            <w:left w:val="none" w:sz="0" w:space="0" w:color="auto"/>
                            <w:bottom w:val="none" w:sz="0" w:space="0" w:color="auto"/>
                            <w:right w:val="none" w:sz="0" w:space="0" w:color="auto"/>
                          </w:divBdr>
                        </w:div>
                      </w:divsChild>
                    </w:div>
                    <w:div w:id="461774774">
                      <w:marLeft w:val="0"/>
                      <w:marRight w:val="0"/>
                      <w:marTop w:val="0"/>
                      <w:marBottom w:val="0"/>
                      <w:divBdr>
                        <w:top w:val="none" w:sz="0" w:space="0" w:color="auto"/>
                        <w:left w:val="none" w:sz="0" w:space="0" w:color="auto"/>
                        <w:bottom w:val="none" w:sz="0" w:space="0" w:color="auto"/>
                        <w:right w:val="none" w:sz="0" w:space="0" w:color="auto"/>
                      </w:divBdr>
                      <w:divsChild>
                        <w:div w:id="1761215993">
                          <w:marLeft w:val="0"/>
                          <w:marRight w:val="0"/>
                          <w:marTop w:val="0"/>
                          <w:marBottom w:val="0"/>
                          <w:divBdr>
                            <w:top w:val="none" w:sz="0" w:space="0" w:color="auto"/>
                            <w:left w:val="none" w:sz="0" w:space="0" w:color="auto"/>
                            <w:bottom w:val="none" w:sz="0" w:space="0" w:color="auto"/>
                            <w:right w:val="none" w:sz="0" w:space="0" w:color="auto"/>
                          </w:divBdr>
                        </w:div>
                      </w:divsChild>
                    </w:div>
                    <w:div w:id="1646858427">
                      <w:marLeft w:val="0"/>
                      <w:marRight w:val="0"/>
                      <w:marTop w:val="0"/>
                      <w:marBottom w:val="0"/>
                      <w:divBdr>
                        <w:top w:val="none" w:sz="0" w:space="0" w:color="auto"/>
                        <w:left w:val="none" w:sz="0" w:space="0" w:color="auto"/>
                        <w:bottom w:val="none" w:sz="0" w:space="0" w:color="auto"/>
                        <w:right w:val="none" w:sz="0" w:space="0" w:color="auto"/>
                      </w:divBdr>
                      <w:divsChild>
                        <w:div w:id="161817275">
                          <w:marLeft w:val="0"/>
                          <w:marRight w:val="0"/>
                          <w:marTop w:val="0"/>
                          <w:marBottom w:val="0"/>
                          <w:divBdr>
                            <w:top w:val="none" w:sz="0" w:space="0" w:color="auto"/>
                            <w:left w:val="none" w:sz="0" w:space="0" w:color="auto"/>
                            <w:bottom w:val="none" w:sz="0" w:space="0" w:color="auto"/>
                            <w:right w:val="none" w:sz="0" w:space="0" w:color="auto"/>
                          </w:divBdr>
                        </w:div>
                      </w:divsChild>
                    </w:div>
                    <w:div w:id="1403718951">
                      <w:marLeft w:val="0"/>
                      <w:marRight w:val="0"/>
                      <w:marTop w:val="0"/>
                      <w:marBottom w:val="0"/>
                      <w:divBdr>
                        <w:top w:val="none" w:sz="0" w:space="0" w:color="auto"/>
                        <w:left w:val="none" w:sz="0" w:space="0" w:color="auto"/>
                        <w:bottom w:val="none" w:sz="0" w:space="0" w:color="auto"/>
                        <w:right w:val="none" w:sz="0" w:space="0" w:color="auto"/>
                      </w:divBdr>
                      <w:divsChild>
                        <w:div w:id="13956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023878">
      <w:bodyDiv w:val="1"/>
      <w:marLeft w:val="0"/>
      <w:marRight w:val="0"/>
      <w:marTop w:val="0"/>
      <w:marBottom w:val="0"/>
      <w:divBdr>
        <w:top w:val="none" w:sz="0" w:space="0" w:color="auto"/>
        <w:left w:val="none" w:sz="0" w:space="0" w:color="auto"/>
        <w:bottom w:val="none" w:sz="0" w:space="0" w:color="auto"/>
        <w:right w:val="none" w:sz="0" w:space="0" w:color="auto"/>
      </w:divBdr>
    </w:div>
    <w:div w:id="1453477818">
      <w:bodyDiv w:val="1"/>
      <w:marLeft w:val="0"/>
      <w:marRight w:val="0"/>
      <w:marTop w:val="0"/>
      <w:marBottom w:val="0"/>
      <w:divBdr>
        <w:top w:val="none" w:sz="0" w:space="0" w:color="auto"/>
        <w:left w:val="none" w:sz="0" w:space="0" w:color="auto"/>
        <w:bottom w:val="none" w:sz="0" w:space="0" w:color="auto"/>
        <w:right w:val="none" w:sz="0" w:space="0" w:color="auto"/>
      </w:divBdr>
    </w:div>
    <w:div w:id="1641691738">
      <w:bodyDiv w:val="1"/>
      <w:marLeft w:val="0"/>
      <w:marRight w:val="0"/>
      <w:marTop w:val="0"/>
      <w:marBottom w:val="0"/>
      <w:divBdr>
        <w:top w:val="none" w:sz="0" w:space="0" w:color="auto"/>
        <w:left w:val="none" w:sz="0" w:space="0" w:color="auto"/>
        <w:bottom w:val="none" w:sz="0" w:space="0" w:color="auto"/>
        <w:right w:val="none" w:sz="0" w:space="0" w:color="auto"/>
      </w:divBdr>
    </w:div>
    <w:div w:id="1657605344">
      <w:bodyDiv w:val="1"/>
      <w:marLeft w:val="0"/>
      <w:marRight w:val="0"/>
      <w:marTop w:val="0"/>
      <w:marBottom w:val="0"/>
      <w:divBdr>
        <w:top w:val="none" w:sz="0" w:space="0" w:color="auto"/>
        <w:left w:val="none" w:sz="0" w:space="0" w:color="auto"/>
        <w:bottom w:val="none" w:sz="0" w:space="0" w:color="auto"/>
        <w:right w:val="none" w:sz="0" w:space="0" w:color="auto"/>
      </w:divBdr>
    </w:div>
    <w:div w:id="1680503628">
      <w:bodyDiv w:val="1"/>
      <w:marLeft w:val="0"/>
      <w:marRight w:val="0"/>
      <w:marTop w:val="0"/>
      <w:marBottom w:val="0"/>
      <w:divBdr>
        <w:top w:val="none" w:sz="0" w:space="0" w:color="auto"/>
        <w:left w:val="none" w:sz="0" w:space="0" w:color="auto"/>
        <w:bottom w:val="none" w:sz="0" w:space="0" w:color="auto"/>
        <w:right w:val="none" w:sz="0" w:space="0" w:color="auto"/>
      </w:divBdr>
    </w:div>
    <w:div w:id="205634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7.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6.emf"/><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3.emf"/><Relationship Id="rId5" Type="http://schemas.openxmlformats.org/officeDocument/2006/relationships/settings" Target="settings.xml"/><Relationship Id="rId15" Type="http://schemas.microsoft.com/office/2007/relationships/hdphoto" Target="media/hdphoto1.wdp"/><Relationship Id="rId23" Type="http://schemas.openxmlformats.org/officeDocument/2006/relationships/image" Target="media/image12.emf"/><Relationship Id="rId28" Type="http://schemas.openxmlformats.org/officeDocument/2006/relationships/footer" Target="footer4.xml"/><Relationship Id="rId10" Type="http://schemas.openxmlformats.org/officeDocument/2006/relationships/hyperlink" Target="mailto:AERInquiry@aer.gov.au" TargetMode="External"/><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1.emf"/><Relationship Id="rId27" Type="http://schemas.openxmlformats.org/officeDocument/2006/relationships/footer" Target="foot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emo.com.au"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5846171C</Template>
  <TotalTime>0</TotalTime>
  <Pages>19</Pages>
  <Words>3270</Words>
  <Characters>18642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2015-11-23T06:22:00Z</dcterms:created>
  <dcterms:modified xsi:type="dcterms:W3CDTF">2015-11-23T06:24:00Z</dcterms:modified>
</cp:coreProperties>
</file>