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076A92" w:themeColor="text1"/>
          <w:sz w:val="24"/>
          <w:szCs w:val="20"/>
        </w:rPr>
        <w:id w:val="1099676627"/>
        <w:docPartObj>
          <w:docPartGallery w:val="Cover Pages"/>
          <w:docPartUnique/>
        </w:docPartObj>
      </w:sdtPr>
      <w:sdtEndPr>
        <w:rPr>
          <w:noProof/>
          <w:lang w:eastAsia="en-AU"/>
        </w:rPr>
      </w:sdtEndPr>
      <w:sdtContent>
        <w:p w:rsidR="00C7068C" w:rsidRDefault="00BC452D" w:rsidP="00C7068C">
          <w:r w:rsidRPr="00290C63">
            <w:rPr>
              <w:noProof/>
              <w:lang w:eastAsia="en-AU"/>
            </w:rPr>
            <w:drawing>
              <wp:anchor distT="0" distB="0" distL="114300" distR="114300" simplePos="0" relativeHeight="251659264" behindDoc="1" locked="0" layoutInCell="1" allowOverlap="1" wp14:anchorId="700E6C77" wp14:editId="7464036B">
                <wp:simplePos x="0" y="0"/>
                <wp:positionH relativeFrom="column">
                  <wp:posOffset>-1102360</wp:posOffset>
                </wp:positionH>
                <wp:positionV relativeFrom="paragraph">
                  <wp:posOffset>-915035</wp:posOffset>
                </wp:positionV>
                <wp:extent cx="7796935" cy="10925175"/>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935" cy="10925175"/>
                        </a:xfrm>
                        <a:prstGeom prst="rect">
                          <a:avLst/>
                        </a:prstGeom>
                        <a:noFill/>
                      </pic:spPr>
                    </pic:pic>
                  </a:graphicData>
                </a:graphic>
                <wp14:sizeRelH relativeFrom="page">
                  <wp14:pctWidth>0</wp14:pctWidth>
                </wp14:sizeRelH>
                <wp14:sizeRelV relativeFrom="page">
                  <wp14:pctHeight>0</wp14:pctHeight>
                </wp14:sizeRelV>
              </wp:anchor>
            </w:drawing>
          </w:r>
          <w:r w:rsidR="00C7068C"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413CE7" w:rsidP="00C7068C">
              <w:pPr>
                <w:pStyle w:val="ReportTitle"/>
              </w:pPr>
              <w:r>
                <w:t xml:space="preserve">Report into </w:t>
              </w:r>
              <w:r w:rsidR="00393A49" w:rsidRPr="00393A49">
                <w:t>Market ancillary service prices above $5000</w:t>
              </w:r>
            </w:p>
            <w:p w:rsidR="00C7068C" w:rsidRDefault="00C7068C" w:rsidP="00C7068C">
              <w:pPr>
                <w:pStyle w:val="ReportSubtitle"/>
              </w:pPr>
            </w:p>
            <w:p w:rsidR="00C7068C" w:rsidRPr="00DB723B" w:rsidRDefault="00393A49" w:rsidP="00C7068C">
              <w:pPr>
                <w:pStyle w:val="ReportSubtitle"/>
              </w:pPr>
              <w:r>
                <w:t>South Australia</w:t>
              </w:r>
              <w:r w:rsidR="00C7068C">
                <w:t xml:space="preserve">, </w:t>
              </w:r>
              <w:r w:rsidR="008634F6">
                <w:br/>
              </w:r>
              <w:r w:rsidR="005C3F69">
                <w:t>11</w:t>
              </w:r>
              <w:r w:rsidR="008F53DD">
                <w:t>, 12</w:t>
              </w:r>
              <w:r w:rsidR="005C3F69">
                <w:t xml:space="preserve"> and 25</w:t>
              </w:r>
              <w:r>
                <w:t xml:space="preserve"> October</w:t>
              </w:r>
              <w:r w:rsidR="00C7068C">
                <w:t xml:space="preserve"> 2015</w:t>
              </w:r>
            </w:p>
            <w:p w:rsidR="00C7068C" w:rsidRDefault="00C7068C" w:rsidP="00C7068C">
              <w:pPr>
                <w:pStyle w:val="ReportDate"/>
              </w:pPr>
            </w:p>
            <w:p w:rsidR="00C7068C" w:rsidRDefault="00C7068C" w:rsidP="00C7068C">
              <w:pPr>
                <w:pStyle w:val="ReportDate"/>
              </w:pPr>
            </w:p>
            <w:p w:rsidR="00C7068C" w:rsidRPr="00DB723B" w:rsidRDefault="00F1391C" w:rsidP="00C7068C">
              <w:pPr>
                <w:pStyle w:val="ReportDate"/>
              </w:pPr>
              <w:r>
                <w:t>2</w:t>
              </w:r>
              <w:r w:rsidR="00147AD2">
                <w:t>2</w:t>
              </w:r>
              <w:r w:rsidR="004A0D3E">
                <w:t xml:space="preserve"> </w:t>
              </w:r>
              <w:r w:rsidR="00393A49">
                <w:t>Dec</w:t>
              </w:r>
              <w:r w:rsidR="004A0D3E">
                <w:t>ember</w:t>
              </w:r>
              <w:r w:rsidR="00C7068C" w:rsidRPr="00DB723B">
                <w:t xml:space="preserve"> 201</w:t>
              </w:r>
              <w:r w:rsidR="00C7068C">
                <w:t>5</w:t>
              </w:r>
            </w:p>
            <w:p w:rsidR="00C7068C" w:rsidRPr="0015715D" w:rsidRDefault="00C7068C" w:rsidP="0015715D">
              <w:r w:rsidRPr="00DB723B">
                <w:br w:type="page"/>
              </w:r>
            </w:p>
          </w:sdtContent>
        </w:sdt>
        <w:p w:rsidR="00C7068C" w:rsidRDefault="0015715D" w:rsidP="00C7068C">
          <w:pPr>
            <w:spacing w:line="240" w:lineRule="auto"/>
          </w:pPr>
          <w:r>
            <w:lastRenderedPageBreak/>
            <w:t>© Commonwealth of Australia 2015</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C7068C">
          <w:pPr>
            <w:pStyle w:val="StyleCopyrightBefore0pt"/>
            <w:numPr>
              <w:ilvl w:val="0"/>
              <w:numId w:val="27"/>
            </w:numPr>
          </w:pPr>
          <w:r>
            <w:t>the Commonwealth Coat of Arms</w:t>
          </w:r>
        </w:p>
        <w:p w:rsidR="00C7068C" w:rsidRDefault="00C7068C" w:rsidP="00C7068C">
          <w:pPr>
            <w:pStyle w:val="StyleCopyrightBefore0pt"/>
            <w:numPr>
              <w:ilvl w:val="0"/>
              <w:numId w:val="27"/>
            </w:numPr>
          </w:pPr>
          <w:r>
            <w:t>the ACCC and AER logos</w:t>
          </w:r>
        </w:p>
        <w:p w:rsidR="00C7068C" w:rsidRPr="00B927D8" w:rsidRDefault="00C7068C" w:rsidP="00C7068C">
          <w:pPr>
            <w:pStyle w:val="ListBullet"/>
            <w:numPr>
              <w:ilvl w:val="0"/>
              <w:numId w:val="27"/>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 xml:space="preserve">AER Reference: </w:t>
          </w:r>
          <w:r w:rsidR="002743BE" w:rsidRPr="002743BE">
            <w:t>5</w:t>
          </w:r>
          <w:r w:rsidR="007E29C4">
            <w:t>8425</w:t>
          </w:r>
          <w:r w:rsidRPr="00CC65AF">
            <w:t xml:space="preserve"> / </w:t>
          </w:r>
          <w:r w:rsidR="002743BE" w:rsidRPr="002743BE">
            <w:rPr>
              <w:rFonts w:cs="Arial"/>
              <w:szCs w:val="18"/>
            </w:rPr>
            <w:t>D15/</w:t>
          </w:r>
          <w:r w:rsidR="007E29C4">
            <w:rPr>
              <w:rFonts w:cs="Arial"/>
              <w:szCs w:val="18"/>
            </w:rPr>
            <w:t>153101</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7068C"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7068C" w:rsidRDefault="00147AD2" w:rsidP="009B028C">
                <w:pPr>
                  <w:spacing w:before="0" w:after="200"/>
                </w:pPr>
                <w:r>
                  <w:t>1 version for publication</w:t>
                </w:r>
              </w:p>
            </w:tc>
            <w:tc>
              <w:tcPr>
                <w:tcW w:w="2906" w:type="dxa"/>
              </w:tcPr>
              <w:p w:rsidR="00C7068C" w:rsidRDefault="00147AD2" w:rsidP="00CC65AF">
                <w:pPr>
                  <w:spacing w:before="0" w:after="200"/>
                </w:pPr>
                <w:r>
                  <w:t>22/12/2015</w:t>
                </w:r>
              </w:p>
            </w:tc>
            <w:tc>
              <w:tcPr>
                <w:tcW w:w="2888" w:type="dxa"/>
              </w:tcPr>
              <w:p w:rsidR="00C7068C" w:rsidRDefault="00147AD2" w:rsidP="009B028C">
                <w:pPr>
                  <w:spacing w:before="0" w:after="200"/>
                </w:pPr>
                <w:r>
                  <w:t>65</w:t>
                </w:r>
              </w:p>
            </w:tc>
          </w:tr>
          <w:tr w:rsidR="007A223D" w:rsidTr="00CC65AF">
            <w:trPr>
              <w:cnfStyle w:val="000000010000" w:firstRow="0" w:lastRow="0" w:firstColumn="0" w:lastColumn="0" w:oddVBand="0" w:evenVBand="0" w:oddHBand="0" w:evenHBand="1" w:firstRowFirstColumn="0" w:firstRowLastColumn="0" w:lastRowFirstColumn="0" w:lastRowLastColumn="0"/>
            </w:trPr>
            <w:tc>
              <w:tcPr>
                <w:tcW w:w="2899" w:type="dxa"/>
              </w:tcPr>
              <w:p w:rsidR="007A223D" w:rsidRPr="007A223D" w:rsidRDefault="007A223D" w:rsidP="009B028C">
                <w:pPr>
                  <w:spacing w:before="0" w:after="200"/>
                  <w:rPr>
                    <w:sz w:val="18"/>
                  </w:rPr>
                </w:pPr>
              </w:p>
            </w:tc>
            <w:tc>
              <w:tcPr>
                <w:tcW w:w="2906" w:type="dxa"/>
              </w:tcPr>
              <w:p w:rsidR="007A223D" w:rsidRPr="007A223D" w:rsidRDefault="007A223D" w:rsidP="00CC65AF">
                <w:pPr>
                  <w:spacing w:before="0" w:after="200"/>
                  <w:rPr>
                    <w:sz w:val="18"/>
                  </w:rPr>
                </w:pPr>
              </w:p>
            </w:tc>
            <w:tc>
              <w:tcPr>
                <w:tcW w:w="2888" w:type="dxa"/>
              </w:tcPr>
              <w:p w:rsidR="007A223D" w:rsidRPr="007A223D" w:rsidRDefault="007A223D" w:rsidP="009B028C">
                <w:pPr>
                  <w:spacing w:before="0" w:after="200"/>
                  <w:rPr>
                    <w:sz w:val="18"/>
                  </w:rPr>
                </w:pP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p w:rsidR="00A344AC" w:rsidRDefault="00C7068C">
          <w:pPr>
            <w:pStyle w:val="TOC1"/>
            <w:rPr>
              <w:rFonts w:asciiTheme="minorHAnsi" w:eastAsiaTheme="minorEastAsia" w:hAnsiTheme="minorHAnsi"/>
              <w:b w:val="0"/>
              <w:color w:val="auto"/>
              <w:sz w:val="22"/>
              <w:lang w:val="en-AU" w:eastAsia="en-AU"/>
            </w:rPr>
          </w:pPr>
          <w:r>
            <w:fldChar w:fldCharType="begin"/>
          </w:r>
          <w:r>
            <w:instrText xml:space="preserve"> TOC \o "1-3" \h \z \u </w:instrText>
          </w:r>
          <w:bookmarkStart w:id="0" w:name="_GoBack"/>
          <w:bookmarkEnd w:id="0"/>
          <w:r>
            <w:fldChar w:fldCharType="separate"/>
          </w:r>
          <w:hyperlink w:anchor="_Toc438476550" w:history="1">
            <w:r w:rsidR="00A344AC" w:rsidRPr="00B74318">
              <w:rPr>
                <w:rStyle w:val="Hyperlink"/>
              </w:rPr>
              <w:t>1</w:t>
            </w:r>
            <w:r w:rsidR="00A344AC">
              <w:rPr>
                <w:rFonts w:asciiTheme="minorHAnsi" w:eastAsiaTheme="minorEastAsia" w:hAnsiTheme="minorHAnsi"/>
                <w:b w:val="0"/>
                <w:color w:val="auto"/>
                <w:sz w:val="22"/>
                <w:lang w:val="en-AU" w:eastAsia="en-AU"/>
              </w:rPr>
              <w:tab/>
            </w:r>
            <w:r w:rsidR="00A344AC" w:rsidRPr="00B74318">
              <w:rPr>
                <w:rStyle w:val="Hyperlink"/>
              </w:rPr>
              <w:t>Obligation</w:t>
            </w:r>
            <w:r w:rsidR="00A344AC">
              <w:rPr>
                <w:webHidden/>
              </w:rPr>
              <w:tab/>
            </w:r>
            <w:r w:rsidR="00A344AC">
              <w:rPr>
                <w:webHidden/>
              </w:rPr>
              <w:tab/>
            </w:r>
            <w:r w:rsidR="00A344AC">
              <w:rPr>
                <w:webHidden/>
              </w:rPr>
              <w:fldChar w:fldCharType="begin"/>
            </w:r>
            <w:r w:rsidR="00A344AC">
              <w:rPr>
                <w:webHidden/>
              </w:rPr>
              <w:instrText xml:space="preserve"> PAGEREF _Toc438476550 \h </w:instrText>
            </w:r>
            <w:r w:rsidR="00A344AC">
              <w:rPr>
                <w:webHidden/>
              </w:rPr>
            </w:r>
            <w:r w:rsidR="00A344AC">
              <w:rPr>
                <w:webHidden/>
              </w:rPr>
              <w:fldChar w:fldCharType="separate"/>
            </w:r>
            <w:r w:rsidR="006A1105">
              <w:rPr>
                <w:webHidden/>
              </w:rPr>
              <w:t>4</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51" w:history="1">
            <w:r w:rsidR="00A344AC" w:rsidRPr="00B74318">
              <w:rPr>
                <w:rStyle w:val="Hyperlink"/>
              </w:rPr>
              <w:t>2</w:t>
            </w:r>
            <w:r w:rsidR="00A344AC">
              <w:rPr>
                <w:rFonts w:asciiTheme="minorHAnsi" w:eastAsiaTheme="minorEastAsia" w:hAnsiTheme="minorHAnsi"/>
                <w:b w:val="0"/>
                <w:color w:val="auto"/>
                <w:sz w:val="22"/>
                <w:lang w:val="en-AU" w:eastAsia="en-AU"/>
              </w:rPr>
              <w:tab/>
            </w:r>
            <w:r w:rsidR="00A344AC" w:rsidRPr="00B74318">
              <w:rPr>
                <w:rStyle w:val="Hyperlink"/>
              </w:rPr>
              <w:t>Summary</w:t>
            </w:r>
            <w:r w:rsidR="00A344AC">
              <w:rPr>
                <w:webHidden/>
              </w:rPr>
              <w:tab/>
            </w:r>
            <w:r w:rsidR="00A344AC">
              <w:rPr>
                <w:webHidden/>
              </w:rPr>
              <w:tab/>
            </w:r>
            <w:r w:rsidR="00A344AC">
              <w:rPr>
                <w:webHidden/>
              </w:rPr>
              <w:fldChar w:fldCharType="begin"/>
            </w:r>
            <w:r w:rsidR="00A344AC">
              <w:rPr>
                <w:webHidden/>
              </w:rPr>
              <w:instrText xml:space="preserve"> PAGEREF _Toc438476551 \h </w:instrText>
            </w:r>
            <w:r w:rsidR="00A344AC">
              <w:rPr>
                <w:webHidden/>
              </w:rPr>
            </w:r>
            <w:r w:rsidR="00A344AC">
              <w:rPr>
                <w:webHidden/>
              </w:rPr>
              <w:fldChar w:fldCharType="separate"/>
            </w:r>
            <w:r w:rsidR="006A1105">
              <w:rPr>
                <w:webHidden/>
              </w:rPr>
              <w:t>5</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52" w:history="1">
            <w:r w:rsidR="00A344AC" w:rsidRPr="00B74318">
              <w:rPr>
                <w:rStyle w:val="Hyperlink"/>
              </w:rPr>
              <w:t>3</w:t>
            </w:r>
            <w:r w:rsidR="00A344AC">
              <w:rPr>
                <w:rFonts w:asciiTheme="minorHAnsi" w:eastAsiaTheme="minorEastAsia" w:hAnsiTheme="minorHAnsi"/>
                <w:b w:val="0"/>
                <w:color w:val="auto"/>
                <w:sz w:val="22"/>
                <w:lang w:val="en-AU" w:eastAsia="en-AU"/>
              </w:rPr>
              <w:tab/>
            </w:r>
            <w:r w:rsidR="00A344AC" w:rsidRPr="00B74318">
              <w:rPr>
                <w:rStyle w:val="Hyperlink"/>
              </w:rPr>
              <w:t>Analysis</w:t>
            </w:r>
            <w:r w:rsidR="00A344AC">
              <w:rPr>
                <w:webHidden/>
              </w:rPr>
              <w:tab/>
            </w:r>
            <w:r w:rsidR="00A344AC">
              <w:rPr>
                <w:webHidden/>
              </w:rPr>
              <w:tab/>
            </w:r>
            <w:r w:rsidR="00A344AC">
              <w:rPr>
                <w:webHidden/>
              </w:rPr>
              <w:fldChar w:fldCharType="begin"/>
            </w:r>
            <w:r w:rsidR="00A344AC">
              <w:rPr>
                <w:webHidden/>
              </w:rPr>
              <w:instrText xml:space="preserve"> PAGEREF _Toc438476552 \h </w:instrText>
            </w:r>
            <w:r w:rsidR="00A344AC">
              <w:rPr>
                <w:webHidden/>
              </w:rPr>
            </w:r>
            <w:r w:rsidR="00A344AC">
              <w:rPr>
                <w:webHidden/>
              </w:rPr>
              <w:fldChar w:fldCharType="separate"/>
            </w:r>
            <w:r w:rsidR="006A1105">
              <w:rPr>
                <w:webHidden/>
              </w:rPr>
              <w:t>6</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53" w:history="1">
            <w:r w:rsidR="00A344AC" w:rsidRPr="00B74318">
              <w:rPr>
                <w:rStyle w:val="Hyperlink"/>
              </w:rPr>
              <w:t>3.1</w:t>
            </w:r>
            <w:r w:rsidR="00A344AC">
              <w:rPr>
                <w:rFonts w:asciiTheme="minorHAnsi" w:eastAsiaTheme="minorEastAsia" w:hAnsiTheme="minorHAnsi"/>
                <w:b w:val="0"/>
                <w:color w:val="auto"/>
                <w:sz w:val="22"/>
                <w:lang w:eastAsia="en-AU"/>
              </w:rPr>
              <w:tab/>
            </w:r>
            <w:r w:rsidR="00A344AC" w:rsidRPr="00B74318">
              <w:rPr>
                <w:rStyle w:val="Hyperlink"/>
              </w:rPr>
              <w:t>Generator regulation service offers</w:t>
            </w:r>
            <w:r w:rsidR="00A344AC">
              <w:rPr>
                <w:webHidden/>
              </w:rPr>
              <w:tab/>
            </w:r>
            <w:r w:rsidR="00A344AC">
              <w:rPr>
                <w:webHidden/>
              </w:rPr>
              <w:fldChar w:fldCharType="begin"/>
            </w:r>
            <w:r w:rsidR="00A344AC">
              <w:rPr>
                <w:webHidden/>
              </w:rPr>
              <w:instrText xml:space="preserve"> PAGEREF _Toc438476553 \h </w:instrText>
            </w:r>
            <w:r w:rsidR="00A344AC">
              <w:rPr>
                <w:webHidden/>
              </w:rPr>
            </w:r>
            <w:r w:rsidR="00A344AC">
              <w:rPr>
                <w:webHidden/>
              </w:rPr>
              <w:fldChar w:fldCharType="separate"/>
            </w:r>
            <w:r w:rsidR="006A1105">
              <w:rPr>
                <w:webHidden/>
              </w:rPr>
              <w:t>7</w:t>
            </w:r>
            <w:r w:rsidR="00A344AC">
              <w:rPr>
                <w:webHidden/>
              </w:rPr>
              <w:fldChar w:fldCharType="end"/>
            </w:r>
          </w:hyperlink>
        </w:p>
        <w:p w:rsidR="00A344AC" w:rsidRDefault="00147AD2">
          <w:pPr>
            <w:pStyle w:val="TOC3"/>
            <w:rPr>
              <w:rFonts w:asciiTheme="minorHAnsi" w:eastAsiaTheme="minorEastAsia" w:hAnsiTheme="minorHAnsi"/>
              <w:lang w:eastAsia="en-AU"/>
            </w:rPr>
          </w:pPr>
          <w:hyperlink w:anchor="_Toc438476554" w:history="1">
            <w:r w:rsidR="00A344AC" w:rsidRPr="00B74318">
              <w:rPr>
                <w:rStyle w:val="Hyperlink"/>
              </w:rPr>
              <w:t>3.1.1</w:t>
            </w:r>
            <w:r w:rsidR="00A344AC">
              <w:rPr>
                <w:rFonts w:asciiTheme="minorHAnsi" w:eastAsiaTheme="minorEastAsia" w:hAnsiTheme="minorHAnsi"/>
                <w:lang w:eastAsia="en-AU"/>
              </w:rPr>
              <w:tab/>
            </w:r>
            <w:r w:rsidR="00A344AC" w:rsidRPr="00B74318">
              <w:rPr>
                <w:rStyle w:val="Hyperlink"/>
              </w:rPr>
              <w:t>Rebidding on 11 and 12 October</w:t>
            </w:r>
            <w:r w:rsidR="00A344AC">
              <w:rPr>
                <w:webHidden/>
              </w:rPr>
              <w:tab/>
            </w:r>
            <w:r w:rsidR="00A344AC">
              <w:rPr>
                <w:webHidden/>
              </w:rPr>
              <w:fldChar w:fldCharType="begin"/>
            </w:r>
            <w:r w:rsidR="00A344AC">
              <w:rPr>
                <w:webHidden/>
              </w:rPr>
              <w:instrText xml:space="preserve"> PAGEREF _Toc438476554 \h </w:instrText>
            </w:r>
            <w:r w:rsidR="00A344AC">
              <w:rPr>
                <w:webHidden/>
              </w:rPr>
            </w:r>
            <w:r w:rsidR="00A344AC">
              <w:rPr>
                <w:webHidden/>
              </w:rPr>
              <w:fldChar w:fldCharType="separate"/>
            </w:r>
            <w:r w:rsidR="006A1105">
              <w:rPr>
                <w:webHidden/>
              </w:rPr>
              <w:t>7</w:t>
            </w:r>
            <w:r w:rsidR="00A344AC">
              <w:rPr>
                <w:webHidden/>
              </w:rPr>
              <w:fldChar w:fldCharType="end"/>
            </w:r>
          </w:hyperlink>
        </w:p>
        <w:p w:rsidR="00A344AC" w:rsidRDefault="00147AD2">
          <w:pPr>
            <w:pStyle w:val="TOC3"/>
            <w:rPr>
              <w:rFonts w:asciiTheme="minorHAnsi" w:eastAsiaTheme="minorEastAsia" w:hAnsiTheme="minorHAnsi"/>
              <w:lang w:eastAsia="en-AU"/>
            </w:rPr>
          </w:pPr>
          <w:hyperlink w:anchor="_Toc438476555" w:history="1">
            <w:r w:rsidR="00A344AC" w:rsidRPr="00B74318">
              <w:rPr>
                <w:rStyle w:val="Hyperlink"/>
              </w:rPr>
              <w:t>3.1.2</w:t>
            </w:r>
            <w:r w:rsidR="00A344AC">
              <w:rPr>
                <w:rFonts w:asciiTheme="minorHAnsi" w:eastAsiaTheme="minorEastAsia" w:hAnsiTheme="minorHAnsi"/>
                <w:lang w:eastAsia="en-AU"/>
              </w:rPr>
              <w:tab/>
            </w:r>
            <w:r w:rsidR="00A344AC" w:rsidRPr="00B74318">
              <w:rPr>
                <w:rStyle w:val="Hyperlink"/>
              </w:rPr>
              <w:t>Rebidding on 25 October</w:t>
            </w:r>
            <w:r w:rsidR="00A344AC">
              <w:rPr>
                <w:webHidden/>
              </w:rPr>
              <w:tab/>
            </w:r>
            <w:r w:rsidR="00A344AC">
              <w:rPr>
                <w:webHidden/>
              </w:rPr>
              <w:fldChar w:fldCharType="begin"/>
            </w:r>
            <w:r w:rsidR="00A344AC">
              <w:rPr>
                <w:webHidden/>
              </w:rPr>
              <w:instrText xml:space="preserve"> PAGEREF _Toc438476555 \h </w:instrText>
            </w:r>
            <w:r w:rsidR="00A344AC">
              <w:rPr>
                <w:webHidden/>
              </w:rPr>
            </w:r>
            <w:r w:rsidR="00A344AC">
              <w:rPr>
                <w:webHidden/>
              </w:rPr>
              <w:fldChar w:fldCharType="separate"/>
            </w:r>
            <w:r w:rsidR="006A1105">
              <w:rPr>
                <w:webHidden/>
              </w:rPr>
              <w:t>9</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56" w:history="1">
            <w:r w:rsidR="00A344AC" w:rsidRPr="00B74318">
              <w:rPr>
                <w:rStyle w:val="Hyperlink"/>
              </w:rPr>
              <w:t>3.2</w:t>
            </w:r>
            <w:r w:rsidR="00A344AC">
              <w:rPr>
                <w:rFonts w:asciiTheme="minorHAnsi" w:eastAsiaTheme="minorEastAsia" w:hAnsiTheme="minorHAnsi"/>
                <w:b w:val="0"/>
                <w:color w:val="auto"/>
                <w:sz w:val="22"/>
                <w:lang w:eastAsia="en-AU"/>
              </w:rPr>
              <w:tab/>
            </w:r>
            <w:r w:rsidR="00A344AC" w:rsidRPr="00B74318">
              <w:rPr>
                <w:rStyle w:val="Hyperlink"/>
              </w:rPr>
              <w:t>Prices and the cumulative price threshold</w:t>
            </w:r>
            <w:r w:rsidR="00A344AC">
              <w:rPr>
                <w:webHidden/>
              </w:rPr>
              <w:tab/>
            </w:r>
            <w:r w:rsidR="00A344AC">
              <w:rPr>
                <w:webHidden/>
              </w:rPr>
              <w:fldChar w:fldCharType="begin"/>
            </w:r>
            <w:r w:rsidR="00A344AC">
              <w:rPr>
                <w:webHidden/>
              </w:rPr>
              <w:instrText xml:space="preserve"> PAGEREF _Toc438476556 \h </w:instrText>
            </w:r>
            <w:r w:rsidR="00A344AC">
              <w:rPr>
                <w:webHidden/>
              </w:rPr>
            </w:r>
            <w:r w:rsidR="00A344AC">
              <w:rPr>
                <w:webHidden/>
              </w:rPr>
              <w:fldChar w:fldCharType="separate"/>
            </w:r>
            <w:r w:rsidR="006A1105">
              <w:rPr>
                <w:webHidden/>
              </w:rPr>
              <w:t>11</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57" w:history="1">
            <w:r w:rsidR="00A344AC" w:rsidRPr="00B74318">
              <w:rPr>
                <w:rStyle w:val="Hyperlink"/>
              </w:rPr>
              <w:t>4</w:t>
            </w:r>
            <w:r w:rsidR="00A344AC">
              <w:rPr>
                <w:rFonts w:asciiTheme="minorHAnsi" w:eastAsiaTheme="minorEastAsia" w:hAnsiTheme="minorHAnsi"/>
                <w:b w:val="0"/>
                <w:color w:val="auto"/>
                <w:sz w:val="22"/>
                <w:lang w:val="en-AU" w:eastAsia="en-AU"/>
              </w:rPr>
              <w:tab/>
            </w:r>
            <w:r w:rsidR="00A344AC" w:rsidRPr="00B74318">
              <w:rPr>
                <w:rStyle w:val="Hyperlink"/>
              </w:rPr>
              <w:t>FCAS requirements for South Australia</w:t>
            </w:r>
            <w:r w:rsidR="00A344AC">
              <w:rPr>
                <w:webHidden/>
              </w:rPr>
              <w:tab/>
            </w:r>
            <w:r w:rsidR="00A344AC">
              <w:rPr>
                <w:webHidden/>
              </w:rPr>
              <w:fldChar w:fldCharType="begin"/>
            </w:r>
            <w:r w:rsidR="00A344AC">
              <w:rPr>
                <w:webHidden/>
              </w:rPr>
              <w:instrText xml:space="preserve"> PAGEREF _Toc438476557 \h </w:instrText>
            </w:r>
            <w:r w:rsidR="00A344AC">
              <w:rPr>
                <w:webHidden/>
              </w:rPr>
            </w:r>
            <w:r w:rsidR="00A344AC">
              <w:rPr>
                <w:webHidden/>
              </w:rPr>
              <w:fldChar w:fldCharType="separate"/>
            </w:r>
            <w:r w:rsidR="006A1105">
              <w:rPr>
                <w:webHidden/>
              </w:rPr>
              <w:t>13</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58" w:history="1">
            <w:r w:rsidR="00A344AC" w:rsidRPr="00B74318">
              <w:rPr>
                <w:rStyle w:val="Hyperlink"/>
              </w:rPr>
              <w:t>4.1</w:t>
            </w:r>
            <w:r w:rsidR="00A344AC">
              <w:rPr>
                <w:rFonts w:asciiTheme="minorHAnsi" w:eastAsiaTheme="minorEastAsia" w:hAnsiTheme="minorHAnsi"/>
                <w:b w:val="0"/>
                <w:color w:val="auto"/>
                <w:sz w:val="22"/>
                <w:lang w:eastAsia="en-AU"/>
              </w:rPr>
              <w:tab/>
            </w:r>
            <w:r w:rsidR="00A344AC" w:rsidRPr="00B74318">
              <w:rPr>
                <w:rStyle w:val="Hyperlink"/>
              </w:rPr>
              <w:t>Overview</w:t>
            </w:r>
            <w:r w:rsidR="00A344AC">
              <w:rPr>
                <w:webHidden/>
              </w:rPr>
              <w:tab/>
            </w:r>
            <w:r w:rsidR="00A344AC">
              <w:rPr>
                <w:webHidden/>
              </w:rPr>
              <w:fldChar w:fldCharType="begin"/>
            </w:r>
            <w:r w:rsidR="00A344AC">
              <w:rPr>
                <w:webHidden/>
              </w:rPr>
              <w:instrText xml:space="preserve"> PAGEREF _Toc438476558 \h </w:instrText>
            </w:r>
            <w:r w:rsidR="00A344AC">
              <w:rPr>
                <w:webHidden/>
              </w:rPr>
            </w:r>
            <w:r w:rsidR="00A344AC">
              <w:rPr>
                <w:webHidden/>
              </w:rPr>
              <w:fldChar w:fldCharType="separate"/>
            </w:r>
            <w:r w:rsidR="006A1105">
              <w:rPr>
                <w:webHidden/>
              </w:rPr>
              <w:t>13</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59" w:history="1">
            <w:r w:rsidR="00A344AC" w:rsidRPr="00B74318">
              <w:rPr>
                <w:rStyle w:val="Hyperlink"/>
              </w:rPr>
              <w:t>4.2</w:t>
            </w:r>
            <w:r w:rsidR="00A344AC">
              <w:rPr>
                <w:rFonts w:asciiTheme="minorHAnsi" w:eastAsiaTheme="minorEastAsia" w:hAnsiTheme="minorHAnsi"/>
                <w:b w:val="0"/>
                <w:color w:val="auto"/>
                <w:sz w:val="22"/>
                <w:lang w:eastAsia="en-AU"/>
              </w:rPr>
              <w:tab/>
            </w:r>
            <w:r w:rsidR="00A344AC" w:rsidRPr="00B74318">
              <w:rPr>
                <w:rStyle w:val="Hyperlink"/>
              </w:rPr>
              <w:t>The Heywood Interconnector</w:t>
            </w:r>
            <w:r w:rsidR="00A344AC">
              <w:rPr>
                <w:webHidden/>
              </w:rPr>
              <w:tab/>
            </w:r>
            <w:r w:rsidR="00A344AC">
              <w:rPr>
                <w:webHidden/>
              </w:rPr>
              <w:fldChar w:fldCharType="begin"/>
            </w:r>
            <w:r w:rsidR="00A344AC">
              <w:rPr>
                <w:webHidden/>
              </w:rPr>
              <w:instrText xml:space="preserve"> PAGEREF _Toc438476559 \h </w:instrText>
            </w:r>
            <w:r w:rsidR="00A344AC">
              <w:rPr>
                <w:webHidden/>
              </w:rPr>
            </w:r>
            <w:r w:rsidR="00A344AC">
              <w:rPr>
                <w:webHidden/>
              </w:rPr>
              <w:fldChar w:fldCharType="separate"/>
            </w:r>
            <w:r w:rsidR="006A1105">
              <w:rPr>
                <w:webHidden/>
              </w:rPr>
              <w:t>13</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60" w:history="1">
            <w:r w:rsidR="00A344AC" w:rsidRPr="00B74318">
              <w:rPr>
                <w:rStyle w:val="Hyperlink"/>
              </w:rPr>
              <w:t>4.3</w:t>
            </w:r>
            <w:r w:rsidR="00A344AC">
              <w:rPr>
                <w:rFonts w:asciiTheme="minorHAnsi" w:eastAsiaTheme="minorEastAsia" w:hAnsiTheme="minorHAnsi"/>
                <w:b w:val="0"/>
                <w:color w:val="auto"/>
                <w:sz w:val="22"/>
                <w:lang w:eastAsia="en-AU"/>
              </w:rPr>
              <w:tab/>
            </w:r>
            <w:r w:rsidR="00A344AC" w:rsidRPr="00B74318">
              <w:rPr>
                <w:rStyle w:val="Hyperlink"/>
              </w:rPr>
              <w:t>Joint studies by AEMO and ElectraNet</w:t>
            </w:r>
            <w:r w:rsidR="00A344AC">
              <w:rPr>
                <w:webHidden/>
              </w:rPr>
              <w:tab/>
            </w:r>
            <w:r w:rsidR="00A344AC">
              <w:rPr>
                <w:webHidden/>
              </w:rPr>
              <w:fldChar w:fldCharType="begin"/>
            </w:r>
            <w:r w:rsidR="00A344AC">
              <w:rPr>
                <w:webHidden/>
              </w:rPr>
              <w:instrText xml:space="preserve"> PAGEREF _Toc438476560 \h </w:instrText>
            </w:r>
            <w:r w:rsidR="00A344AC">
              <w:rPr>
                <w:webHidden/>
              </w:rPr>
            </w:r>
            <w:r w:rsidR="00A344AC">
              <w:rPr>
                <w:webHidden/>
              </w:rPr>
              <w:fldChar w:fldCharType="separate"/>
            </w:r>
            <w:r w:rsidR="006A1105">
              <w:rPr>
                <w:webHidden/>
              </w:rPr>
              <w:t>14</w:t>
            </w:r>
            <w:r w:rsidR="00A344AC">
              <w:rPr>
                <w:webHidden/>
              </w:rPr>
              <w:fldChar w:fldCharType="end"/>
            </w:r>
          </w:hyperlink>
        </w:p>
        <w:p w:rsidR="00A344AC" w:rsidRDefault="00147AD2">
          <w:pPr>
            <w:pStyle w:val="TOC2"/>
            <w:rPr>
              <w:rFonts w:asciiTheme="minorHAnsi" w:eastAsiaTheme="minorEastAsia" w:hAnsiTheme="minorHAnsi"/>
              <w:b w:val="0"/>
              <w:color w:val="auto"/>
              <w:sz w:val="22"/>
              <w:lang w:eastAsia="en-AU"/>
            </w:rPr>
          </w:pPr>
          <w:hyperlink w:anchor="_Toc438476561" w:history="1">
            <w:r w:rsidR="00A344AC" w:rsidRPr="00B74318">
              <w:rPr>
                <w:rStyle w:val="Hyperlink"/>
              </w:rPr>
              <w:t>4.4</w:t>
            </w:r>
            <w:r w:rsidR="00A344AC">
              <w:rPr>
                <w:rFonts w:asciiTheme="minorHAnsi" w:eastAsiaTheme="minorEastAsia" w:hAnsiTheme="minorHAnsi"/>
                <w:b w:val="0"/>
                <w:color w:val="auto"/>
                <w:sz w:val="22"/>
                <w:lang w:eastAsia="en-AU"/>
              </w:rPr>
              <w:tab/>
            </w:r>
            <w:r w:rsidR="00A344AC" w:rsidRPr="00B74318">
              <w:rPr>
                <w:rStyle w:val="Hyperlink"/>
              </w:rPr>
              <w:t>Communication</w:t>
            </w:r>
            <w:r w:rsidR="00A344AC">
              <w:rPr>
                <w:webHidden/>
              </w:rPr>
              <w:tab/>
            </w:r>
            <w:r w:rsidR="00A344AC">
              <w:rPr>
                <w:webHidden/>
              </w:rPr>
              <w:fldChar w:fldCharType="begin"/>
            </w:r>
            <w:r w:rsidR="00A344AC">
              <w:rPr>
                <w:webHidden/>
              </w:rPr>
              <w:instrText xml:space="preserve"> PAGEREF _Toc438476561 \h </w:instrText>
            </w:r>
            <w:r w:rsidR="00A344AC">
              <w:rPr>
                <w:webHidden/>
              </w:rPr>
            </w:r>
            <w:r w:rsidR="00A344AC">
              <w:rPr>
                <w:webHidden/>
              </w:rPr>
              <w:fldChar w:fldCharType="separate"/>
            </w:r>
            <w:r w:rsidR="006A1105">
              <w:rPr>
                <w:webHidden/>
              </w:rPr>
              <w:t>15</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2" w:history="1">
            <w:r w:rsidR="00A344AC" w:rsidRPr="00B74318">
              <w:rPr>
                <w:rStyle w:val="Hyperlink"/>
              </w:rPr>
              <w:t>Appendix A</w:t>
            </w:r>
            <w:r w:rsidR="00A344AC">
              <w:rPr>
                <w:rFonts w:asciiTheme="minorHAnsi" w:eastAsiaTheme="minorEastAsia" w:hAnsiTheme="minorHAnsi"/>
                <w:b w:val="0"/>
                <w:color w:val="auto"/>
                <w:sz w:val="22"/>
                <w:lang w:val="en-AU" w:eastAsia="en-AU"/>
              </w:rPr>
              <w:tab/>
            </w:r>
            <w:r w:rsidR="00A344AC" w:rsidRPr="00B74318">
              <w:rPr>
                <w:rStyle w:val="Hyperlink"/>
              </w:rPr>
              <w:t>Explanation of FCAS</w:t>
            </w:r>
            <w:r w:rsidR="00A344AC">
              <w:rPr>
                <w:webHidden/>
              </w:rPr>
              <w:tab/>
            </w:r>
            <w:r w:rsidR="00A344AC">
              <w:rPr>
                <w:webHidden/>
              </w:rPr>
              <w:fldChar w:fldCharType="begin"/>
            </w:r>
            <w:r w:rsidR="00A344AC">
              <w:rPr>
                <w:webHidden/>
              </w:rPr>
              <w:instrText xml:space="preserve"> PAGEREF _Toc438476562 \h </w:instrText>
            </w:r>
            <w:r w:rsidR="00A344AC">
              <w:rPr>
                <w:webHidden/>
              </w:rPr>
            </w:r>
            <w:r w:rsidR="00A344AC">
              <w:rPr>
                <w:webHidden/>
              </w:rPr>
              <w:fldChar w:fldCharType="separate"/>
            </w:r>
            <w:r w:rsidR="006A1105">
              <w:rPr>
                <w:webHidden/>
              </w:rPr>
              <w:t>17</w:t>
            </w:r>
            <w:r w:rsidR="00A344AC">
              <w:rPr>
                <w:webHidden/>
              </w:rPr>
              <w:fldChar w:fldCharType="end"/>
            </w:r>
          </w:hyperlink>
        </w:p>
        <w:p w:rsidR="00A344AC" w:rsidRDefault="00147AD2">
          <w:pPr>
            <w:pStyle w:val="TOC3"/>
            <w:rPr>
              <w:rFonts w:asciiTheme="minorHAnsi" w:eastAsiaTheme="minorEastAsia" w:hAnsiTheme="minorHAnsi"/>
              <w:lang w:eastAsia="en-AU"/>
            </w:rPr>
          </w:pPr>
          <w:hyperlink w:anchor="_Toc438476563" w:history="1">
            <w:r w:rsidR="00A344AC" w:rsidRPr="00B74318">
              <w:rPr>
                <w:rStyle w:val="Hyperlink"/>
              </w:rPr>
              <w:t>Local Frequency Control Ancillary Services</w:t>
            </w:r>
            <w:r w:rsidR="00A344AC">
              <w:rPr>
                <w:webHidden/>
              </w:rPr>
              <w:tab/>
            </w:r>
            <w:r w:rsidR="00A344AC">
              <w:rPr>
                <w:webHidden/>
              </w:rPr>
              <w:fldChar w:fldCharType="begin"/>
            </w:r>
            <w:r w:rsidR="00A344AC">
              <w:rPr>
                <w:webHidden/>
              </w:rPr>
              <w:instrText xml:space="preserve"> PAGEREF _Toc438476563 \h </w:instrText>
            </w:r>
            <w:r w:rsidR="00A344AC">
              <w:rPr>
                <w:webHidden/>
              </w:rPr>
            </w:r>
            <w:r w:rsidR="00A344AC">
              <w:rPr>
                <w:webHidden/>
              </w:rPr>
              <w:fldChar w:fldCharType="separate"/>
            </w:r>
            <w:r w:rsidR="006A1105">
              <w:rPr>
                <w:webHidden/>
              </w:rPr>
              <w:t>18</w:t>
            </w:r>
            <w:r w:rsidR="00A344AC">
              <w:rPr>
                <w:webHidden/>
              </w:rPr>
              <w:fldChar w:fldCharType="end"/>
            </w:r>
          </w:hyperlink>
        </w:p>
        <w:p w:rsidR="00A344AC" w:rsidRDefault="00147AD2">
          <w:pPr>
            <w:pStyle w:val="TOC3"/>
            <w:rPr>
              <w:rFonts w:asciiTheme="minorHAnsi" w:eastAsiaTheme="minorEastAsia" w:hAnsiTheme="minorHAnsi"/>
              <w:lang w:eastAsia="en-AU"/>
            </w:rPr>
          </w:pPr>
          <w:hyperlink w:anchor="_Toc438476564" w:history="1">
            <w:r w:rsidR="00A344AC" w:rsidRPr="00B74318">
              <w:rPr>
                <w:rStyle w:val="Hyperlink"/>
                <w:lang w:eastAsia="en-AU"/>
              </w:rPr>
              <w:t>Frequency Control Ancillary Service Settlement</w:t>
            </w:r>
            <w:r w:rsidR="00A344AC">
              <w:rPr>
                <w:webHidden/>
              </w:rPr>
              <w:tab/>
            </w:r>
            <w:r w:rsidR="00A344AC">
              <w:rPr>
                <w:webHidden/>
              </w:rPr>
              <w:fldChar w:fldCharType="begin"/>
            </w:r>
            <w:r w:rsidR="00A344AC">
              <w:rPr>
                <w:webHidden/>
              </w:rPr>
              <w:instrText xml:space="preserve"> PAGEREF _Toc438476564 \h </w:instrText>
            </w:r>
            <w:r w:rsidR="00A344AC">
              <w:rPr>
                <w:webHidden/>
              </w:rPr>
            </w:r>
            <w:r w:rsidR="00A344AC">
              <w:rPr>
                <w:webHidden/>
              </w:rPr>
              <w:fldChar w:fldCharType="separate"/>
            </w:r>
            <w:r w:rsidR="006A1105">
              <w:rPr>
                <w:webHidden/>
              </w:rPr>
              <w:t>19</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5" w:history="1">
            <w:r w:rsidR="00A344AC" w:rsidRPr="00B74318">
              <w:rPr>
                <w:rStyle w:val="Hyperlink"/>
              </w:rPr>
              <w:t>Appendix B</w:t>
            </w:r>
            <w:r w:rsidR="00A344AC">
              <w:rPr>
                <w:rFonts w:asciiTheme="minorHAnsi" w:eastAsiaTheme="minorEastAsia" w:hAnsiTheme="minorHAnsi"/>
                <w:b w:val="0"/>
                <w:color w:val="auto"/>
                <w:sz w:val="22"/>
                <w:lang w:val="en-AU" w:eastAsia="en-AU"/>
              </w:rPr>
              <w:tab/>
            </w:r>
            <w:r w:rsidR="00A344AC" w:rsidRPr="00B74318">
              <w:rPr>
                <w:rStyle w:val="Hyperlink"/>
              </w:rPr>
              <w:t>ElectraNet Network outages for the Heywood interconnector upgrade</w:t>
            </w:r>
            <w:r w:rsidR="00A344AC">
              <w:rPr>
                <w:webHidden/>
              </w:rPr>
              <w:tab/>
            </w:r>
            <w:r w:rsidR="00A344AC">
              <w:rPr>
                <w:webHidden/>
              </w:rPr>
              <w:fldChar w:fldCharType="begin"/>
            </w:r>
            <w:r w:rsidR="00A344AC">
              <w:rPr>
                <w:webHidden/>
              </w:rPr>
              <w:instrText xml:space="preserve"> PAGEREF _Toc438476565 \h </w:instrText>
            </w:r>
            <w:r w:rsidR="00A344AC">
              <w:rPr>
                <w:webHidden/>
              </w:rPr>
            </w:r>
            <w:r w:rsidR="00A344AC">
              <w:rPr>
                <w:webHidden/>
              </w:rPr>
              <w:fldChar w:fldCharType="separate"/>
            </w:r>
            <w:r w:rsidR="006A1105">
              <w:rPr>
                <w:webHidden/>
              </w:rPr>
              <w:t>20</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6" w:history="1">
            <w:r w:rsidR="00A344AC" w:rsidRPr="00B74318">
              <w:rPr>
                <w:rStyle w:val="Hyperlink"/>
              </w:rPr>
              <w:t>Appendix C</w:t>
            </w:r>
            <w:r w:rsidR="00A344AC">
              <w:rPr>
                <w:rFonts w:asciiTheme="minorHAnsi" w:eastAsiaTheme="minorEastAsia" w:hAnsiTheme="minorHAnsi"/>
                <w:b w:val="0"/>
                <w:color w:val="auto"/>
                <w:sz w:val="22"/>
                <w:lang w:val="en-AU" w:eastAsia="en-AU"/>
              </w:rPr>
              <w:tab/>
            </w:r>
            <w:r w:rsidR="00A344AC" w:rsidRPr="00B74318">
              <w:rPr>
                <w:rStyle w:val="Hyperlink"/>
              </w:rPr>
              <w:t>Significant Rebids</w:t>
            </w:r>
            <w:r w:rsidR="00A344AC">
              <w:rPr>
                <w:webHidden/>
              </w:rPr>
              <w:tab/>
            </w:r>
            <w:r w:rsidR="00A344AC">
              <w:rPr>
                <w:webHidden/>
              </w:rPr>
              <w:fldChar w:fldCharType="begin"/>
            </w:r>
            <w:r w:rsidR="00A344AC">
              <w:rPr>
                <w:webHidden/>
              </w:rPr>
              <w:instrText xml:space="preserve"> PAGEREF _Toc438476566 \h </w:instrText>
            </w:r>
            <w:r w:rsidR="00A344AC">
              <w:rPr>
                <w:webHidden/>
              </w:rPr>
            </w:r>
            <w:r w:rsidR="00A344AC">
              <w:rPr>
                <w:webHidden/>
              </w:rPr>
              <w:fldChar w:fldCharType="separate"/>
            </w:r>
            <w:r w:rsidR="006A1105">
              <w:rPr>
                <w:webHidden/>
              </w:rPr>
              <w:t>21</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7" w:history="1">
            <w:r w:rsidR="00A344AC" w:rsidRPr="00B74318">
              <w:rPr>
                <w:rStyle w:val="Hyperlink"/>
              </w:rPr>
              <w:t>Appendix D</w:t>
            </w:r>
            <w:r w:rsidR="00A344AC">
              <w:rPr>
                <w:rFonts w:asciiTheme="minorHAnsi" w:eastAsiaTheme="minorEastAsia" w:hAnsiTheme="minorHAnsi"/>
                <w:b w:val="0"/>
                <w:color w:val="auto"/>
                <w:sz w:val="22"/>
                <w:lang w:val="en-AU" w:eastAsia="en-AU"/>
              </w:rPr>
              <w:tab/>
            </w:r>
            <w:r w:rsidR="00A344AC" w:rsidRPr="00B74318">
              <w:rPr>
                <w:rStyle w:val="Hyperlink"/>
              </w:rPr>
              <w:t>Closing bids</w:t>
            </w:r>
            <w:r w:rsidR="00A344AC">
              <w:rPr>
                <w:webHidden/>
              </w:rPr>
              <w:tab/>
            </w:r>
            <w:r w:rsidR="00A344AC">
              <w:rPr>
                <w:webHidden/>
              </w:rPr>
              <w:fldChar w:fldCharType="begin"/>
            </w:r>
            <w:r w:rsidR="00A344AC">
              <w:rPr>
                <w:webHidden/>
              </w:rPr>
              <w:instrText xml:space="preserve"> PAGEREF _Toc438476567 \h </w:instrText>
            </w:r>
            <w:r w:rsidR="00A344AC">
              <w:rPr>
                <w:webHidden/>
              </w:rPr>
            </w:r>
            <w:r w:rsidR="00A344AC">
              <w:rPr>
                <w:webHidden/>
              </w:rPr>
              <w:fldChar w:fldCharType="separate"/>
            </w:r>
            <w:r w:rsidR="006A1105">
              <w:rPr>
                <w:webHidden/>
              </w:rPr>
              <w:t>22</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8" w:history="1">
            <w:r w:rsidR="00A344AC" w:rsidRPr="00B74318">
              <w:rPr>
                <w:rStyle w:val="Hyperlink"/>
              </w:rPr>
              <w:t>Appendix E</w:t>
            </w:r>
            <w:r w:rsidR="00A344AC">
              <w:rPr>
                <w:rFonts w:asciiTheme="minorHAnsi" w:eastAsiaTheme="minorEastAsia" w:hAnsiTheme="minorHAnsi"/>
                <w:b w:val="0"/>
                <w:color w:val="auto"/>
                <w:sz w:val="22"/>
                <w:lang w:val="en-AU" w:eastAsia="en-AU"/>
              </w:rPr>
              <w:tab/>
            </w:r>
            <w:r w:rsidR="00A344AC" w:rsidRPr="00B74318">
              <w:rPr>
                <w:rStyle w:val="Hyperlink"/>
              </w:rPr>
              <w:t>Relevant Market Notices</w:t>
            </w:r>
            <w:r w:rsidR="00A344AC">
              <w:rPr>
                <w:webHidden/>
              </w:rPr>
              <w:tab/>
            </w:r>
            <w:r w:rsidR="00A344AC">
              <w:rPr>
                <w:webHidden/>
              </w:rPr>
              <w:fldChar w:fldCharType="begin"/>
            </w:r>
            <w:r w:rsidR="00A344AC">
              <w:rPr>
                <w:webHidden/>
              </w:rPr>
              <w:instrText xml:space="preserve"> PAGEREF _Toc438476568 \h </w:instrText>
            </w:r>
            <w:r w:rsidR="00A344AC">
              <w:rPr>
                <w:webHidden/>
              </w:rPr>
            </w:r>
            <w:r w:rsidR="00A344AC">
              <w:rPr>
                <w:webHidden/>
              </w:rPr>
              <w:fldChar w:fldCharType="separate"/>
            </w:r>
            <w:r w:rsidR="006A1105">
              <w:rPr>
                <w:webHidden/>
              </w:rPr>
              <w:t>33</w:t>
            </w:r>
            <w:r w:rsidR="00A344AC">
              <w:rPr>
                <w:webHidden/>
              </w:rPr>
              <w:fldChar w:fldCharType="end"/>
            </w:r>
          </w:hyperlink>
        </w:p>
        <w:p w:rsidR="00A344AC" w:rsidRDefault="00147AD2">
          <w:pPr>
            <w:pStyle w:val="TOC1"/>
            <w:rPr>
              <w:rFonts w:asciiTheme="minorHAnsi" w:eastAsiaTheme="minorEastAsia" w:hAnsiTheme="minorHAnsi"/>
              <w:b w:val="0"/>
              <w:color w:val="auto"/>
              <w:sz w:val="22"/>
              <w:lang w:val="en-AU" w:eastAsia="en-AU"/>
            </w:rPr>
          </w:pPr>
          <w:hyperlink w:anchor="_Toc438476569" w:history="1">
            <w:r w:rsidR="00A344AC" w:rsidRPr="00B74318">
              <w:rPr>
                <w:rStyle w:val="Hyperlink"/>
              </w:rPr>
              <w:t>Appendix F</w:t>
            </w:r>
            <w:r w:rsidR="00A344AC">
              <w:rPr>
                <w:rFonts w:asciiTheme="minorHAnsi" w:eastAsiaTheme="minorEastAsia" w:hAnsiTheme="minorHAnsi"/>
                <w:b w:val="0"/>
                <w:color w:val="auto"/>
                <w:sz w:val="22"/>
                <w:lang w:val="en-AU" w:eastAsia="en-AU"/>
              </w:rPr>
              <w:tab/>
            </w:r>
            <w:r w:rsidR="00A344AC" w:rsidRPr="00B74318">
              <w:rPr>
                <w:rStyle w:val="Hyperlink"/>
              </w:rPr>
              <w:t>Price setter</w:t>
            </w:r>
            <w:r w:rsidR="00A344AC">
              <w:rPr>
                <w:webHidden/>
              </w:rPr>
              <w:tab/>
            </w:r>
            <w:r w:rsidR="00A344AC">
              <w:rPr>
                <w:webHidden/>
              </w:rPr>
              <w:fldChar w:fldCharType="begin"/>
            </w:r>
            <w:r w:rsidR="00A344AC">
              <w:rPr>
                <w:webHidden/>
              </w:rPr>
              <w:instrText xml:space="preserve"> PAGEREF _Toc438476569 \h </w:instrText>
            </w:r>
            <w:r w:rsidR="00A344AC">
              <w:rPr>
                <w:webHidden/>
              </w:rPr>
            </w:r>
            <w:r w:rsidR="00A344AC">
              <w:rPr>
                <w:webHidden/>
              </w:rPr>
              <w:fldChar w:fldCharType="separate"/>
            </w:r>
            <w:r w:rsidR="006A1105">
              <w:rPr>
                <w:webHidden/>
              </w:rPr>
              <w:t>35</w:t>
            </w:r>
            <w:r w:rsidR="00A344AC">
              <w:rPr>
                <w:webHidden/>
              </w:rPr>
              <w:fldChar w:fldCharType="end"/>
            </w:r>
          </w:hyperlink>
        </w:p>
        <w:p w:rsidR="00C7068C" w:rsidRDefault="00C7068C" w:rsidP="00C7068C">
          <w:pPr>
            <w:sectPr w:rsidR="00C7068C" w:rsidSect="00581454">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1009" w:gutter="0"/>
              <w:pgNumType w:fmt="lowerRoman"/>
              <w:cols w:space="720"/>
              <w:docGrid w:linePitch="326"/>
            </w:sectPr>
          </w:pPr>
          <w:r>
            <w:fldChar w:fldCharType="end"/>
          </w:r>
          <w:bookmarkStart w:id="1" w:name="_Toc213047617"/>
        </w:p>
        <w:p w:rsidR="00C7068C" w:rsidRDefault="00F1391C" w:rsidP="00C7068C">
          <w:pPr>
            <w:pStyle w:val="Heading1"/>
          </w:pPr>
          <w:bookmarkStart w:id="2" w:name="_Toc438476550"/>
          <w:bookmarkEnd w:id="1"/>
          <w:r>
            <w:lastRenderedPageBreak/>
            <w:t>Obligation</w:t>
          </w:r>
          <w:bookmarkEnd w:id="2"/>
        </w:p>
        <w:p w:rsidR="00393A49" w:rsidRDefault="00652C6E" w:rsidP="00393A49">
          <w:r>
            <w:t xml:space="preserve">In accordance with the </w:t>
          </w:r>
          <w:r w:rsidR="00C76F8E">
            <w:t>clause 3.13.7</w:t>
          </w:r>
          <w:r w:rsidR="00A50632">
            <w:t xml:space="preserve">(e) of the </w:t>
          </w:r>
          <w:r>
            <w:t xml:space="preserve">National Electricity Rules, </w:t>
          </w:r>
          <w:r w:rsidR="00A50632">
            <w:t>t</w:t>
          </w:r>
          <w:r w:rsidR="00393A49">
            <w:t xml:space="preserve">he AER is required </w:t>
          </w:r>
          <w:r w:rsidR="00405DEA">
            <w:t xml:space="preserve">to </w:t>
          </w:r>
          <w:r w:rsidR="00A50632">
            <w:t>m</w:t>
          </w:r>
          <w:r w:rsidR="00405DEA">
            <w:t>onitor</w:t>
          </w:r>
          <w:r w:rsidR="00A50632" w:rsidRPr="00A50632">
            <w:t xml:space="preserve"> significant variation between forecast and actual prices </w:t>
          </w:r>
          <w:r w:rsidR="00405DEA">
            <w:t xml:space="preserve">and </w:t>
          </w:r>
          <w:r w:rsidR="00393A49">
            <w:t>publish a report where:</w:t>
          </w:r>
        </w:p>
        <w:p w:rsidR="00393A49" w:rsidRDefault="00393A49" w:rsidP="00393A49">
          <w:pPr>
            <w:pStyle w:val="Bulletpoint"/>
          </w:pPr>
          <w:r>
            <w:t>prices for a market ancillary service over a period significantly exceed the relevant spot price for energy; and</w:t>
          </w:r>
        </w:p>
        <w:p w:rsidR="00393A49" w:rsidRDefault="00393A49" w:rsidP="00393A49">
          <w:pPr>
            <w:pStyle w:val="Bulletpoint"/>
          </w:pPr>
          <w:proofErr w:type="gramStart"/>
          <w:r>
            <w:t>prices</w:t>
          </w:r>
          <w:proofErr w:type="gramEnd"/>
          <w:r>
            <w:t xml:space="preserve"> for a market ancillary service exceed $5000 for a number of trading intervals within that period.</w:t>
          </w:r>
          <w:r w:rsidR="00D816CB">
            <w:t xml:space="preserve"> </w:t>
          </w:r>
        </w:p>
        <w:p w:rsidR="00393A49" w:rsidRDefault="00393A49" w:rsidP="00393A49">
          <w:r>
            <w:t xml:space="preserve">The report must: </w:t>
          </w:r>
        </w:p>
        <w:p w:rsidR="00393A49" w:rsidRDefault="00393A49" w:rsidP="00393A49">
          <w:pPr>
            <w:pStyle w:val="Bulletpoint"/>
          </w:pPr>
          <w:r>
            <w:t>describe the significant factors that contributed to the ancillary service prices exceeding $5000/MW</w:t>
          </w:r>
          <w:r w:rsidR="00372443">
            <w:t>h</w:t>
          </w:r>
          <w:r>
            <w:t xml:space="preserve">; </w:t>
          </w:r>
        </w:p>
        <w:p w:rsidR="00393A49" w:rsidRDefault="00393A49" w:rsidP="00393A49">
          <w:pPr>
            <w:pStyle w:val="Bulletpoint"/>
          </w:pPr>
          <w:r>
            <w:t xml:space="preserve">identify any linkages between spot prices in the energy market and ancillary service prices contributing to the occurrence; and </w:t>
          </w:r>
        </w:p>
        <w:p w:rsidR="00652C6E" w:rsidRDefault="00393A49" w:rsidP="00652C6E">
          <w:pPr>
            <w:pStyle w:val="Bulletpoint"/>
          </w:pPr>
          <w:proofErr w:type="gramStart"/>
          <w:r>
            <w:t>assess</w:t>
          </w:r>
          <w:proofErr w:type="gramEnd"/>
          <w:r>
            <w:t xml:space="preserve"> whether rebidding pursuant to clause 3.8.22 contributed to prices exceeding $5000/MW</w:t>
          </w:r>
          <w:r w:rsidR="00372443">
            <w:t>h</w:t>
          </w:r>
          <w:r>
            <w:t xml:space="preserve">. </w:t>
          </w:r>
        </w:p>
        <w:p w:rsidR="00652C6E" w:rsidRDefault="00C821CE" w:rsidP="00652C6E">
          <w:r>
            <w:t>O</w:t>
          </w:r>
          <w:r w:rsidR="00652C6E">
            <w:t>n 11</w:t>
          </w:r>
          <w:r>
            <w:t xml:space="preserve"> and</w:t>
          </w:r>
          <w:r w:rsidR="00652C6E">
            <w:t>12</w:t>
          </w:r>
          <w:r w:rsidR="00652C6E" w:rsidRPr="00770A8B">
            <w:t xml:space="preserve"> </w:t>
          </w:r>
          <w:r w:rsidR="00652C6E">
            <w:t xml:space="preserve">October and 25 October 2015, local lower and raise regulation </w:t>
          </w:r>
          <w:r>
            <w:t xml:space="preserve">FCAS prices </w:t>
          </w:r>
          <w:r w:rsidR="00652C6E">
            <w:t xml:space="preserve">in South Australia exceeded $5000/MW </w:t>
          </w:r>
          <w:r w:rsidR="005171A9">
            <w:t xml:space="preserve">for each service </w:t>
          </w:r>
          <w:r w:rsidR="00652C6E">
            <w:t>for 92 and 38 consecutive d</w:t>
          </w:r>
          <w:r w:rsidR="005171A9">
            <w:t>ispatch intervals, respectively</w:t>
          </w:r>
          <w:r w:rsidR="00652C6E">
            <w:t xml:space="preserve"> </w:t>
          </w:r>
          <w:r>
            <w:t xml:space="preserve">in excess of spot prices. This </w:t>
          </w:r>
          <w:r w:rsidR="001841B5">
            <w:t xml:space="preserve">report </w:t>
          </w:r>
          <w:r w:rsidR="00405DEA">
            <w:t>presents</w:t>
          </w:r>
          <w:r w:rsidR="001841B5">
            <w:t xml:space="preserve"> our analysis of the events in accordance with this obligation</w:t>
          </w:r>
          <w:r w:rsidR="00652C6E">
            <w:t>.</w:t>
          </w:r>
          <w:r w:rsidR="001841B5" w:rsidDel="001841B5">
            <w:t xml:space="preserve"> </w:t>
          </w:r>
        </w:p>
        <w:p w:rsidR="00393A49" w:rsidRDefault="00393A49" w:rsidP="0028532A">
          <w:pPr>
            <w:pStyle w:val="Heading1"/>
          </w:pPr>
          <w:bookmarkStart w:id="3" w:name="_Toc438476551"/>
          <w:r>
            <w:lastRenderedPageBreak/>
            <w:t>Summary</w:t>
          </w:r>
          <w:bookmarkEnd w:id="3"/>
        </w:p>
        <w:p w:rsidR="008C3C9E" w:rsidRDefault="008C3C9E" w:rsidP="008C3C9E">
          <w:pPr>
            <w:pStyle w:val="Bulletpoint"/>
            <w:numPr>
              <w:ilvl w:val="0"/>
              <w:numId w:val="0"/>
            </w:numPr>
          </w:pPr>
          <w:r>
            <w:t xml:space="preserve">The </w:t>
          </w:r>
          <w:r w:rsidR="00C821CE">
            <w:t xml:space="preserve">local </w:t>
          </w:r>
          <w:r>
            <w:t xml:space="preserve">price for both lower and raise </w:t>
          </w:r>
          <w:r w:rsidR="00461394" w:rsidRPr="00F95F26">
            <w:t>frequency control</w:t>
          </w:r>
          <w:r w:rsidR="00461394">
            <w:t xml:space="preserve"> </w:t>
          </w:r>
          <w:r>
            <w:t xml:space="preserve">regulation services </w:t>
          </w:r>
          <w:r w:rsidR="00461394">
            <w:t xml:space="preserve">(regulation) </w:t>
          </w:r>
          <w:r w:rsidR="00C821CE">
            <w:t xml:space="preserve">in South Australia </w:t>
          </w:r>
          <w:r>
            <w:t>exceeded $5000/MW for 9</w:t>
          </w:r>
          <w:r w:rsidR="00C821CE">
            <w:t>2</w:t>
          </w:r>
          <w:r>
            <w:t xml:space="preserve"> consecutive </w:t>
          </w:r>
          <w:r w:rsidR="00405DEA">
            <w:t>5</w:t>
          </w:r>
          <w:r w:rsidR="005412A6">
            <w:t> </w:t>
          </w:r>
          <w:r w:rsidR="00405DEA">
            <w:t xml:space="preserve">minute </w:t>
          </w:r>
          <w:r>
            <w:t>dispatch intervals on 11 and 12 October and for 38 consecutive dispatch intervals on 25 October</w:t>
          </w:r>
          <w:r w:rsidR="00461394">
            <w:t>.</w:t>
          </w:r>
          <w:r w:rsidR="005412A6">
            <w:rPr>
              <w:rStyle w:val="FootnoteReference"/>
            </w:rPr>
            <w:footnoteReference w:id="1"/>
          </w:r>
          <w:r w:rsidR="00461394">
            <w:t xml:space="preserve"> These periods of high price breached</w:t>
          </w:r>
          <w:r w:rsidR="00AE6347">
            <w:t xml:space="preserve"> the Cumulative </w:t>
          </w:r>
          <w:r w:rsidR="00461394">
            <w:t xml:space="preserve">Price Threshold (CPT) and resulted in periods where administered prices were imposed (see section </w:t>
          </w:r>
          <w:r w:rsidR="00461394">
            <w:fldChar w:fldCharType="begin"/>
          </w:r>
          <w:r w:rsidR="00461394">
            <w:instrText xml:space="preserve"> REF _Ref438024823 \n \h </w:instrText>
          </w:r>
          <w:r w:rsidR="00461394">
            <w:fldChar w:fldCharType="separate"/>
          </w:r>
          <w:r w:rsidR="006A1105">
            <w:t>3.2</w:t>
          </w:r>
          <w:r w:rsidR="00461394">
            <w:fldChar w:fldCharType="end"/>
          </w:r>
          <w:r w:rsidR="00461394">
            <w:t>)</w:t>
          </w:r>
          <w:r>
            <w:t>.</w:t>
          </w:r>
          <w:r w:rsidR="005171A9">
            <w:t xml:space="preserve"> Spot prices </w:t>
          </w:r>
          <w:r w:rsidR="00405DEA">
            <w:t xml:space="preserve">for energy </w:t>
          </w:r>
          <w:r w:rsidR="005171A9">
            <w:t xml:space="preserve">during these events </w:t>
          </w:r>
          <w:r w:rsidR="00905A72">
            <w:t xml:space="preserve">did not </w:t>
          </w:r>
          <w:r w:rsidR="005171A9">
            <w:t>exceed $250/MWh.</w:t>
          </w:r>
        </w:p>
        <w:p w:rsidR="008C3C9E" w:rsidRDefault="008C3C9E" w:rsidP="008C3C9E">
          <w:r>
            <w:t xml:space="preserve">The </w:t>
          </w:r>
          <w:r w:rsidR="00C821CE">
            <w:t xml:space="preserve">total </w:t>
          </w:r>
          <w:r>
            <w:t xml:space="preserve">cost for both services was around $7.4 million on 11 and 12 October and around $4 million on 25 October. </w:t>
          </w:r>
          <w:r w:rsidR="00BE3D09">
            <w:t>Section 3.11 of the</w:t>
          </w:r>
          <w:r>
            <w:t xml:space="preserve"> </w:t>
          </w:r>
          <w:r w:rsidR="00207783">
            <w:t>Rules define</w:t>
          </w:r>
          <w:r w:rsidR="00BE3D09">
            <w:t>s</w:t>
          </w:r>
          <w:r w:rsidR="00207783">
            <w:t xml:space="preserve"> </w:t>
          </w:r>
          <w:r w:rsidR="00BE3D09">
            <w:t xml:space="preserve">ancillary services, their requirement, components, structure and </w:t>
          </w:r>
          <w:r>
            <w:t xml:space="preserve">cost </w:t>
          </w:r>
          <w:r w:rsidR="00BE3D09">
            <w:t xml:space="preserve">allocation to </w:t>
          </w:r>
          <w:r w:rsidR="002122ED">
            <w:t xml:space="preserve">generators </w:t>
          </w:r>
          <w:r w:rsidR="00905A72">
            <w:t>and customers</w:t>
          </w:r>
          <w:r w:rsidR="008F53DD">
            <w:t>.</w:t>
          </w:r>
          <w:r>
            <w:rPr>
              <w:rStyle w:val="FootnoteReference"/>
            </w:rPr>
            <w:footnoteReference w:id="2"/>
          </w:r>
        </w:p>
        <w:p w:rsidR="00B479E9" w:rsidRDefault="00B479E9" w:rsidP="008C3C9E">
          <w:r>
            <w:t>Two significant factors contribut</w:t>
          </w:r>
          <w:r w:rsidR="00B65E5B">
            <w:t>ed</w:t>
          </w:r>
          <w:r>
            <w:t xml:space="preserve"> to </w:t>
          </w:r>
          <w:r w:rsidR="00B65E5B">
            <w:t xml:space="preserve">the high prices </w:t>
          </w:r>
          <w:r w:rsidR="00EE71EE">
            <w:t>during the Heywood outages</w:t>
          </w:r>
          <w:r>
            <w:t>. First was a change in AEMO</w:t>
          </w:r>
          <w:r w:rsidR="00372443">
            <w:t>’</w:t>
          </w:r>
          <w:r>
            <w:t>s approach to managing system security in South Australia during</w:t>
          </w:r>
          <w:r w:rsidR="00405DEA">
            <w:t xml:space="preserve"> outage</w:t>
          </w:r>
          <w:r w:rsidR="005412A6">
            <w:t>s</w:t>
          </w:r>
          <w:r>
            <w:t xml:space="preserve"> </w:t>
          </w:r>
          <w:r w:rsidR="00B65E5B">
            <w:t xml:space="preserve">for </w:t>
          </w:r>
          <w:r>
            <w:t xml:space="preserve">the Heywood interconnector </w:t>
          </w:r>
          <w:r w:rsidR="00B65E5B">
            <w:t>augmentation</w:t>
          </w:r>
          <w:r w:rsidR="00FC08E8">
            <w:t>.</w:t>
          </w:r>
          <w:r w:rsidR="00FC08E8" w:rsidRPr="00FC08E8">
            <w:t xml:space="preserve"> </w:t>
          </w:r>
          <w:r w:rsidR="00FA5670">
            <w:t xml:space="preserve">AEMO now </w:t>
          </w:r>
          <w:r w:rsidR="00405DEA">
            <w:t>require</w:t>
          </w:r>
          <w:r w:rsidR="00FA5670">
            <w:t>s</w:t>
          </w:r>
          <w:r w:rsidR="00405DEA">
            <w:t xml:space="preserve"> </w:t>
          </w:r>
          <w:r w:rsidR="00FC08E8">
            <w:t>35 MW of</w:t>
          </w:r>
          <w:r w:rsidR="00461394">
            <w:t xml:space="preserve"> </w:t>
          </w:r>
          <w:r w:rsidR="00FC08E8">
            <w:t>regulation to be sourced locally whenever a single contingency could result in South Australia becoming an island.</w:t>
          </w:r>
          <w:r w:rsidR="00FC08E8">
            <w:rPr>
              <w:rStyle w:val="FootnoteReference"/>
            </w:rPr>
            <w:footnoteReference w:id="3"/>
          </w:r>
          <w:r w:rsidR="00FC08E8">
            <w:t xml:space="preserve"> </w:t>
          </w:r>
          <w:r w:rsidR="00372443">
            <w:t xml:space="preserve">The </w:t>
          </w:r>
          <w:r w:rsidR="00E6653D">
            <w:t xml:space="preserve">market </w:t>
          </w:r>
          <w:r w:rsidR="00372443">
            <w:t xml:space="preserve">was </w:t>
          </w:r>
          <w:r w:rsidR="00FC08E8">
            <w:t xml:space="preserve">notified </w:t>
          </w:r>
          <w:r w:rsidR="00372443">
            <w:t xml:space="preserve">of the </w:t>
          </w:r>
          <w:r w:rsidR="003E569C">
            <w:t xml:space="preserve">35 MW </w:t>
          </w:r>
          <w:r w:rsidR="00372443">
            <w:t xml:space="preserve">requirement </w:t>
          </w:r>
          <w:r w:rsidR="00F95AE5">
            <w:t xml:space="preserve">three </w:t>
          </w:r>
          <w:r w:rsidR="00FC08E8">
            <w:t>days before the first outage</w:t>
          </w:r>
          <w:r w:rsidR="001841B5">
            <w:t xml:space="preserve"> </w:t>
          </w:r>
          <w:r w:rsidR="00FA5670">
            <w:t xml:space="preserve">through </w:t>
          </w:r>
          <w:r w:rsidR="001841B5">
            <w:t xml:space="preserve">the inclusion of the </w:t>
          </w:r>
          <w:r w:rsidR="0019021C">
            <w:t xml:space="preserve">local </w:t>
          </w:r>
          <w:r w:rsidR="001841B5">
            <w:t>regulation constraint equations in the Network Outage Scheduler (NOS)</w:t>
          </w:r>
          <w:r w:rsidR="00C821CE">
            <w:t>.</w:t>
          </w:r>
          <w:r w:rsidR="00AA36A0">
            <w:rPr>
              <w:rStyle w:val="FootnoteReference"/>
            </w:rPr>
            <w:footnoteReference w:id="4"/>
          </w:r>
          <w:r w:rsidR="00FC08E8">
            <w:t xml:space="preserve"> </w:t>
          </w:r>
          <w:r w:rsidR="006F6E4E">
            <w:t>AEMO considers t</w:t>
          </w:r>
          <w:r>
            <w:t xml:space="preserve">he imposition of a </w:t>
          </w:r>
          <w:r w:rsidR="0031159B">
            <w:t xml:space="preserve">pre-contingent </w:t>
          </w:r>
          <w:r>
            <w:t xml:space="preserve">local regulation requirement </w:t>
          </w:r>
          <w:r w:rsidR="0019021C">
            <w:t xml:space="preserve">necessary </w:t>
          </w:r>
          <w:r w:rsidR="006F6E4E">
            <w:t xml:space="preserve">so that </w:t>
          </w:r>
          <w:r>
            <w:t xml:space="preserve">after separation </w:t>
          </w:r>
          <w:r w:rsidR="006F6E4E">
            <w:t xml:space="preserve">the South Australian power system </w:t>
          </w:r>
          <w:r w:rsidR="00405DEA">
            <w:t>could remain</w:t>
          </w:r>
          <w:r w:rsidR="006F6E4E">
            <w:t xml:space="preserve"> in a satisfactory operating state</w:t>
          </w:r>
          <w:r>
            <w:t xml:space="preserve">. </w:t>
          </w:r>
          <w:r w:rsidR="0063775E">
            <w:t xml:space="preserve">Section </w:t>
          </w:r>
          <w:r w:rsidR="00685F9B">
            <w:t xml:space="preserve">4 </w:t>
          </w:r>
          <w:r w:rsidR="0063775E">
            <w:t xml:space="preserve">draws on information published by AEMO and ElectraNet </w:t>
          </w:r>
          <w:r w:rsidR="00372443">
            <w:t xml:space="preserve">that </w:t>
          </w:r>
          <w:r w:rsidR="00905A72">
            <w:t xml:space="preserve">describes </w:t>
          </w:r>
          <w:r w:rsidR="005C139A">
            <w:t>AEMO’s</w:t>
          </w:r>
          <w:r w:rsidR="00905A72">
            <w:t xml:space="preserve"> </w:t>
          </w:r>
          <w:r w:rsidR="00FA5670">
            <w:t>reasons for</w:t>
          </w:r>
          <w:r w:rsidR="00905A72">
            <w:t xml:space="preserve"> </w:t>
          </w:r>
          <w:r w:rsidR="00372443">
            <w:t xml:space="preserve">the </w:t>
          </w:r>
          <w:r w:rsidR="0063775E">
            <w:t>change in approach.</w:t>
          </w:r>
        </w:p>
        <w:p w:rsidR="0063775E" w:rsidRDefault="00FA5670" w:rsidP="00C701C4">
          <w:r>
            <w:t>T</w:t>
          </w:r>
          <w:r w:rsidR="00B479E9">
            <w:t xml:space="preserve">he second significant factor was rebidding </w:t>
          </w:r>
          <w:r w:rsidR="000851EA">
            <w:t xml:space="preserve">by </w:t>
          </w:r>
          <w:r w:rsidR="00B479E9">
            <w:t>participant</w:t>
          </w:r>
          <w:r w:rsidR="003F4BAB">
            <w:t>s</w:t>
          </w:r>
          <w:r w:rsidR="00B479E9">
            <w:t>.</w:t>
          </w:r>
          <w:r w:rsidR="00B479E9" w:rsidRPr="00B479E9">
            <w:t xml:space="preserve"> </w:t>
          </w:r>
          <w:r w:rsidR="0063775E">
            <w:t xml:space="preserve">Limited sources of </w:t>
          </w:r>
          <w:r w:rsidR="00685F9B">
            <w:t>regulation</w:t>
          </w:r>
          <w:r w:rsidR="0063775E">
            <w:t xml:space="preserve"> services in the region created opportunities for some generators to rebid capacity into high price bands</w:t>
          </w:r>
          <w:r w:rsidR="00D24C4B">
            <w:t>.</w:t>
          </w:r>
          <w:r w:rsidR="00C30ACC">
            <w:t xml:space="preserve"> </w:t>
          </w:r>
        </w:p>
        <w:p w:rsidR="00956522" w:rsidRDefault="00C30ACC" w:rsidP="00A41576">
          <w:r w:rsidRPr="007A49B9">
            <w:t>Based on our review of the events, the AER has the following observations:</w:t>
          </w:r>
        </w:p>
        <w:p w:rsidR="00D24C4B" w:rsidRDefault="00D24C4B" w:rsidP="00461394">
          <w:pPr>
            <w:pStyle w:val="Bulletpoint"/>
          </w:pPr>
          <w:r>
            <w:t>AEMO and ElectraNet have been working together for some time to assess the impact of increasing renewable generation from wind and rooftop PV on system security</w:t>
          </w:r>
          <w:r w:rsidR="00B65E5B">
            <w:t xml:space="preserve"> and uncovered some issues. Consequently, </w:t>
          </w:r>
          <w:r w:rsidR="00F014DC">
            <w:t>AEMO</w:t>
          </w:r>
          <w:r>
            <w:t xml:space="preserve"> </w:t>
          </w:r>
          <w:r w:rsidR="00F014DC">
            <w:t xml:space="preserve">implemented </w:t>
          </w:r>
          <w:r>
            <w:t>change</w:t>
          </w:r>
          <w:r w:rsidR="00F014DC">
            <w:t>s</w:t>
          </w:r>
          <w:r>
            <w:t xml:space="preserve"> </w:t>
          </w:r>
          <w:r w:rsidR="00F014DC">
            <w:t xml:space="preserve">to established </w:t>
          </w:r>
          <w:r w:rsidR="00405DEA">
            <w:t>protocols</w:t>
          </w:r>
          <w:r>
            <w:t xml:space="preserve"> </w:t>
          </w:r>
          <w:r w:rsidR="00FA5670">
            <w:t xml:space="preserve">with </w:t>
          </w:r>
          <w:r>
            <w:t>little warning to the market participants and customers.</w:t>
          </w:r>
          <w:r w:rsidR="00AE6347">
            <w:t xml:space="preserve"> </w:t>
          </w:r>
          <w:r w:rsidR="00AE6347" w:rsidRPr="00AE6347">
            <w:t>The AER is reviewing whether this change in protocol is consistent with the requirements of AEMO's own procedures and the Rules.</w:t>
          </w:r>
        </w:p>
        <w:p w:rsidR="00D24C4B" w:rsidRDefault="00AE6347" w:rsidP="00461394">
          <w:pPr>
            <w:pStyle w:val="Bulletpoint"/>
          </w:pPr>
          <w:r w:rsidRPr="00AE6347">
            <w:t xml:space="preserve">Limited competition for the supply of </w:t>
          </w:r>
          <w:r w:rsidR="00685F9B">
            <w:t>regulation</w:t>
          </w:r>
          <w:r w:rsidR="00D816CB">
            <w:t xml:space="preserve"> </w:t>
          </w:r>
          <w:r w:rsidR="00D24C4B">
            <w:t>service</w:t>
          </w:r>
          <w:r w:rsidR="00905A72">
            <w:t>s</w:t>
          </w:r>
          <w:r w:rsidR="00D24C4B">
            <w:t xml:space="preserve"> in South Australia </w:t>
          </w:r>
          <w:r w:rsidR="00F014DC">
            <w:t xml:space="preserve">created an </w:t>
          </w:r>
          <w:r w:rsidR="00D24C4B">
            <w:t xml:space="preserve">opportunity </w:t>
          </w:r>
          <w:r w:rsidR="00F014DC">
            <w:t xml:space="preserve">for </w:t>
          </w:r>
          <w:r w:rsidR="00461394">
            <w:t>elevated</w:t>
          </w:r>
          <w:r w:rsidR="00F014DC">
            <w:t xml:space="preserve"> </w:t>
          </w:r>
          <w:r w:rsidR="00D24C4B">
            <w:t xml:space="preserve">pricing in a period of market scarcity. </w:t>
          </w:r>
          <w:r w:rsidR="00F014DC">
            <w:t>In this environment</w:t>
          </w:r>
          <w:r w:rsidR="00905A72">
            <w:t>,</w:t>
          </w:r>
          <w:r w:rsidR="00F014DC">
            <w:t xml:space="preserve"> prices </w:t>
          </w:r>
          <w:r w:rsidR="00461394">
            <w:t xml:space="preserve">for regulation services </w:t>
          </w:r>
          <w:r w:rsidR="00F014DC">
            <w:t>exceeded $5000/MW on 11</w:t>
          </w:r>
          <w:r w:rsidR="00685F9B">
            <w:t xml:space="preserve"> and 12</w:t>
          </w:r>
          <w:r w:rsidR="00905A72">
            <w:t> </w:t>
          </w:r>
          <w:r w:rsidR="00F014DC">
            <w:t>October and 25</w:t>
          </w:r>
          <w:r w:rsidR="00905A72">
            <w:t> </w:t>
          </w:r>
          <w:r w:rsidR="00F014DC">
            <w:t xml:space="preserve">October as a result of the rebidding of capacity from low to high prices by AGL and </w:t>
          </w:r>
          <w:proofErr w:type="spellStart"/>
          <w:r w:rsidR="00F014DC">
            <w:t>Alinta</w:t>
          </w:r>
          <w:proofErr w:type="spellEnd"/>
          <w:r w:rsidR="00F014DC">
            <w:t xml:space="preserve"> respectively.</w:t>
          </w:r>
        </w:p>
        <w:p w:rsidR="004E6FA8" w:rsidRDefault="004E6FA8" w:rsidP="004E6FA8">
          <w:pPr>
            <w:pStyle w:val="Heading1"/>
          </w:pPr>
          <w:bookmarkStart w:id="4" w:name="_Toc438476552"/>
          <w:r>
            <w:lastRenderedPageBreak/>
            <w:t>Analysis</w:t>
          </w:r>
          <w:bookmarkEnd w:id="4"/>
        </w:p>
        <w:p w:rsidR="004E6FA8" w:rsidRDefault="004E6FA8" w:rsidP="004E6FA8">
          <w:r>
            <w:t xml:space="preserve">This section sets out the factors which contributed to the price outcomes. The imposition of a 35 MW local regulation constraint by AEMO in the days before the commencement of outages on Heywood interconnector provided the opportunity for participants to raise prices. The details of the change in AEMO’s approach are considered in </w:t>
          </w:r>
          <w:r w:rsidR="00F95AE5">
            <w:t xml:space="preserve">Section </w:t>
          </w:r>
          <w:r>
            <w:t>4 of this document.</w:t>
          </w:r>
        </w:p>
        <w:p w:rsidR="004E6FA8" w:rsidRDefault="004E6FA8" w:rsidP="004E6FA8">
          <w:r>
            <w:fldChar w:fldCharType="begin"/>
          </w:r>
          <w:r>
            <w:instrText xml:space="preserve"> REF _Ref435689174 \h </w:instrText>
          </w:r>
          <w:r>
            <w:fldChar w:fldCharType="separate"/>
          </w:r>
          <w:r w:rsidR="006A1105">
            <w:t xml:space="preserve">Table </w:t>
          </w:r>
          <w:r w:rsidR="006A1105">
            <w:rPr>
              <w:noProof/>
            </w:rPr>
            <w:t>1</w:t>
          </w:r>
          <w:r>
            <w:fldChar w:fldCharType="end"/>
          </w:r>
          <w:r>
            <w:t xml:space="preserve"> and </w:t>
          </w:r>
          <w:r>
            <w:fldChar w:fldCharType="begin"/>
          </w:r>
          <w:r>
            <w:instrText xml:space="preserve"> REF _Ref437433539 \h </w:instrText>
          </w:r>
          <w:r>
            <w:fldChar w:fldCharType="separate"/>
          </w:r>
          <w:r w:rsidR="006A1105">
            <w:t xml:space="preserve">Table </w:t>
          </w:r>
          <w:r w:rsidR="006A1105">
            <w:rPr>
              <w:noProof/>
            </w:rPr>
            <w:t>2</w:t>
          </w:r>
          <w:r>
            <w:fldChar w:fldCharType="end"/>
          </w:r>
          <w:r>
            <w:t xml:space="preserve"> compare actual dispatch prices and effective available capacity for the first dispatch intervals of 11 and 25 October with that forecast 4 and 12 hours ahead. Due to the number of prices, only the first dispatch intervals where prices exceeded $5000/MW are displayed. </w:t>
          </w:r>
        </w:p>
        <w:p w:rsidR="004E6FA8" w:rsidRDefault="004E6FA8" w:rsidP="004E6FA8">
          <w:pPr>
            <w:pStyle w:val="Caption"/>
          </w:pPr>
          <w:bookmarkStart w:id="5" w:name="_Ref435689174"/>
          <w:r>
            <w:t xml:space="preserve">Table </w:t>
          </w:r>
          <w:fldSimple w:instr=" SEQ Table \* ARABIC ">
            <w:r w:rsidR="006A1105">
              <w:rPr>
                <w:noProof/>
              </w:rPr>
              <w:t>1</w:t>
            </w:r>
          </w:fldSimple>
          <w:bookmarkEnd w:id="5"/>
          <w:r>
            <w:t>: Actual and forecast Lower regulation price, requirement and effective available capacity</w:t>
          </w:r>
        </w:p>
        <w:tbl>
          <w:tblPr>
            <w:tblStyle w:val="AERsummarytable"/>
            <w:tblW w:w="8693" w:type="dxa"/>
            <w:tblLayout w:type="fixed"/>
            <w:tblLook w:val="04A0" w:firstRow="1" w:lastRow="0" w:firstColumn="1" w:lastColumn="0" w:noHBand="0" w:noVBand="1"/>
          </w:tblPr>
          <w:tblGrid>
            <w:gridCol w:w="817"/>
            <w:gridCol w:w="999"/>
            <w:gridCol w:w="844"/>
            <w:gridCol w:w="850"/>
            <w:gridCol w:w="851"/>
            <w:gridCol w:w="1430"/>
            <w:gridCol w:w="980"/>
            <w:gridCol w:w="966"/>
            <w:gridCol w:w="956"/>
          </w:tblGrid>
          <w:tr w:rsidR="004E6FA8" w:rsidTr="004E6FA8">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il"/>
                  <w:left w:val="nil"/>
                  <w:bottom w:val="nil"/>
                  <w:right w:val="nil"/>
                </w:tcBorders>
              </w:tcPr>
              <w:p w:rsidR="004E6FA8" w:rsidRDefault="004E6FA8" w:rsidP="004E6FA8">
                <w:pPr>
                  <w:ind w:right="-108"/>
                  <w:rPr>
                    <w:szCs w:val="18"/>
                  </w:rPr>
                </w:pPr>
                <w:r>
                  <w:rPr>
                    <w:szCs w:val="18"/>
                  </w:rPr>
                  <w:t>Date</w:t>
                </w:r>
              </w:p>
            </w:tc>
            <w:tc>
              <w:tcPr>
                <w:tcW w:w="999" w:type="dxa"/>
                <w:tcBorders>
                  <w:top w:val="nil"/>
                  <w:left w:val="nil"/>
                  <w:bottom w:val="nil"/>
                  <w:right w:val="nil"/>
                </w:tcBorders>
                <w:hideMark/>
              </w:tcPr>
              <w:p w:rsidR="004E6FA8" w:rsidRDefault="004E6FA8" w:rsidP="004E6FA8">
                <w:pPr>
                  <w:tabs>
                    <w:tab w:val="left" w:pos="736"/>
                  </w:tabs>
                  <w:jc w:val="center"/>
                  <w:rPr>
                    <w:szCs w:val="18"/>
                  </w:rPr>
                </w:pPr>
                <w:r>
                  <w:rPr>
                    <w:szCs w:val="18"/>
                  </w:rPr>
                  <w:t>Dispatch interval</w:t>
                </w:r>
              </w:p>
            </w:tc>
            <w:tc>
              <w:tcPr>
                <w:tcW w:w="2545" w:type="dxa"/>
                <w:gridSpan w:val="3"/>
                <w:tcBorders>
                  <w:top w:val="nil"/>
                  <w:left w:val="nil"/>
                  <w:bottom w:val="nil"/>
                  <w:right w:val="nil"/>
                </w:tcBorders>
                <w:hideMark/>
              </w:tcPr>
              <w:p w:rsidR="004E6FA8" w:rsidRDefault="004E6FA8" w:rsidP="004E6FA8">
                <w:pPr>
                  <w:jc w:val="center"/>
                  <w:rPr>
                    <w:szCs w:val="18"/>
                  </w:rPr>
                </w:pPr>
                <w:r>
                  <w:rPr>
                    <w:szCs w:val="18"/>
                  </w:rPr>
                  <w:t>FCAS Price ($/MW)</w:t>
                </w:r>
              </w:p>
            </w:tc>
            <w:tc>
              <w:tcPr>
                <w:tcW w:w="1430" w:type="dxa"/>
                <w:tcBorders>
                  <w:top w:val="nil"/>
                  <w:left w:val="nil"/>
                  <w:bottom w:val="nil"/>
                  <w:right w:val="nil"/>
                </w:tcBorders>
                <w:hideMark/>
              </w:tcPr>
              <w:p w:rsidR="004E6FA8" w:rsidRDefault="004E6FA8" w:rsidP="004E6FA8">
                <w:pPr>
                  <w:jc w:val="center"/>
                  <w:rPr>
                    <w:b w:val="0"/>
                    <w:szCs w:val="18"/>
                  </w:rPr>
                </w:pPr>
                <w:r>
                  <w:rPr>
                    <w:szCs w:val="18"/>
                  </w:rPr>
                  <w:t>FCAS requirement (MW)</w:t>
                </w:r>
              </w:p>
            </w:tc>
            <w:tc>
              <w:tcPr>
                <w:tcW w:w="2902" w:type="dxa"/>
                <w:gridSpan w:val="3"/>
                <w:tcBorders>
                  <w:top w:val="nil"/>
                  <w:left w:val="nil"/>
                  <w:bottom w:val="nil"/>
                  <w:right w:val="nil"/>
                </w:tcBorders>
              </w:tcPr>
              <w:p w:rsidR="004E6FA8" w:rsidRDefault="004E6FA8" w:rsidP="004E6FA8">
                <w:pPr>
                  <w:jc w:val="center"/>
                  <w:rPr>
                    <w:szCs w:val="18"/>
                  </w:rPr>
                </w:pPr>
                <w:r>
                  <w:rPr>
                    <w:szCs w:val="18"/>
                  </w:rPr>
                  <w:t>Effective Available Capacity (MW)</w:t>
                </w:r>
              </w:p>
            </w:tc>
          </w:tr>
          <w:tr w:rsidR="004E6FA8" w:rsidTr="004E6FA8">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il"/>
                  <w:left w:val="nil"/>
                  <w:bottom w:val="nil"/>
                  <w:right w:val="nil"/>
                </w:tcBorders>
              </w:tcPr>
              <w:p w:rsidR="004E6FA8" w:rsidRDefault="004E6FA8" w:rsidP="004E6FA8">
                <w:pPr>
                  <w:ind w:left="-31" w:right="-108" w:firstLine="10"/>
                  <w:rPr>
                    <w:szCs w:val="18"/>
                  </w:rPr>
                </w:pPr>
              </w:p>
            </w:tc>
            <w:tc>
              <w:tcPr>
                <w:tcW w:w="999" w:type="dxa"/>
                <w:tcBorders>
                  <w:top w:val="nil"/>
                  <w:left w:val="nil"/>
                  <w:bottom w:val="nil"/>
                  <w:right w:val="nil"/>
                </w:tcBorders>
                <w:tcMar>
                  <w:top w:w="0" w:type="dxa"/>
                  <w:left w:w="85" w:type="dxa"/>
                  <w:bottom w:w="0" w:type="dxa"/>
                  <w:right w:w="85" w:type="dxa"/>
                </w:tcMar>
              </w:tcPr>
              <w:p w:rsidR="004E6FA8" w:rsidRDefault="004E6FA8" w:rsidP="004E6FA8">
                <w:pPr>
                  <w:ind w:left="-31" w:right="-108" w:firstLine="10"/>
                  <w:rPr>
                    <w:szCs w:val="18"/>
                  </w:rPr>
                </w:pPr>
              </w:p>
            </w:tc>
            <w:tc>
              <w:tcPr>
                <w:tcW w:w="844"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Actual</w:t>
                </w:r>
              </w:p>
            </w:tc>
            <w:tc>
              <w:tcPr>
                <w:tcW w:w="850" w:type="dxa"/>
                <w:tcBorders>
                  <w:top w:val="nil"/>
                  <w:left w:val="nil"/>
                  <w:bottom w:val="nil"/>
                  <w:right w:val="nil"/>
                </w:tcBorders>
                <w:tcMar>
                  <w:top w:w="0" w:type="dxa"/>
                  <w:left w:w="85" w:type="dxa"/>
                  <w:bottom w:w="0" w:type="dxa"/>
                  <w:right w:w="85" w:type="dxa"/>
                </w:tcMar>
                <w:hideMark/>
              </w:tcPr>
              <w:p w:rsidR="004E6FA8" w:rsidRDefault="004E6FA8" w:rsidP="004E6FA8">
                <w:pPr>
                  <w:ind w:left="-13" w:right="-14"/>
                  <w:jc w:val="center"/>
                  <w:rPr>
                    <w:szCs w:val="18"/>
                  </w:rPr>
                </w:pPr>
                <w:r>
                  <w:rPr>
                    <w:szCs w:val="18"/>
                  </w:rPr>
                  <w:t>4 hr forecast</w:t>
                </w:r>
              </w:p>
            </w:tc>
            <w:tc>
              <w:tcPr>
                <w:tcW w:w="851" w:type="dxa"/>
                <w:tcBorders>
                  <w:top w:val="nil"/>
                  <w:left w:val="nil"/>
                  <w:bottom w:val="nil"/>
                  <w:right w:val="nil"/>
                </w:tcBorders>
                <w:tcMar>
                  <w:top w:w="0" w:type="dxa"/>
                  <w:left w:w="85" w:type="dxa"/>
                  <w:bottom w:w="0" w:type="dxa"/>
                  <w:right w:w="85" w:type="dxa"/>
                </w:tcMar>
                <w:hideMark/>
              </w:tcPr>
              <w:p w:rsidR="004E6FA8" w:rsidRDefault="004E6FA8" w:rsidP="004E6FA8">
                <w:pPr>
                  <w:ind w:left="-60"/>
                  <w:jc w:val="center"/>
                  <w:rPr>
                    <w:szCs w:val="18"/>
                  </w:rPr>
                </w:pPr>
                <w:r>
                  <w:rPr>
                    <w:szCs w:val="18"/>
                  </w:rPr>
                  <w:t>12 hr forecast</w:t>
                </w:r>
              </w:p>
            </w:tc>
            <w:tc>
              <w:tcPr>
                <w:tcW w:w="1430"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Requirement</w:t>
                </w:r>
              </w:p>
            </w:tc>
            <w:tc>
              <w:tcPr>
                <w:tcW w:w="980"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Actual </w:t>
                </w:r>
              </w:p>
            </w:tc>
            <w:tc>
              <w:tcPr>
                <w:tcW w:w="966"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4 hr forecast </w:t>
                </w:r>
              </w:p>
            </w:tc>
            <w:tc>
              <w:tcPr>
                <w:tcW w:w="956"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12 hr forecast </w:t>
                </w:r>
              </w:p>
            </w:tc>
          </w:tr>
          <w:tr w:rsidR="004E6FA8" w:rsidTr="004E6FA8">
            <w:trPr>
              <w:cnfStyle w:val="000000100000" w:firstRow="0" w:lastRow="0" w:firstColumn="0" w:lastColumn="0" w:oddVBand="0" w:evenVBand="0" w:oddHBand="1" w:evenHBand="0" w:firstRowFirstColumn="0" w:firstRowLastColumn="0" w:lastRowFirstColumn="0" w:lastRowLastColumn="0"/>
            </w:trPr>
            <w:tc>
              <w:tcPr>
                <w:tcW w:w="817" w:type="dxa"/>
                <w:tcBorders>
                  <w:top w:val="nil"/>
                  <w:left w:val="nil"/>
                  <w:bottom w:val="nil"/>
                  <w:right w:val="nil"/>
                </w:tcBorders>
              </w:tcPr>
              <w:p w:rsidR="004E6FA8" w:rsidRDefault="004E6FA8" w:rsidP="004E6FA8">
                <w:pPr>
                  <w:pStyle w:val="tablebody"/>
                  <w:ind w:right="-108"/>
                  <w:jc w:val="left"/>
                </w:pPr>
                <w:r>
                  <w:t>11 Oct</w:t>
                </w:r>
              </w:p>
            </w:tc>
            <w:tc>
              <w:tcPr>
                <w:tcW w:w="999" w:type="dxa"/>
                <w:tcBorders>
                  <w:top w:val="nil"/>
                  <w:left w:val="nil"/>
                  <w:bottom w:val="nil"/>
                  <w:right w:val="nil"/>
                </w:tcBorders>
                <w:vAlign w:val="center"/>
              </w:tcPr>
              <w:p w:rsidR="004E6FA8" w:rsidRDefault="004E6FA8" w:rsidP="004E6FA8">
                <w:pPr>
                  <w:pStyle w:val="tablebody"/>
                  <w:ind w:right="-108"/>
                  <w:jc w:val="left"/>
                </w:pPr>
                <w:r>
                  <w:t>8.25 pm</w:t>
                </w:r>
              </w:p>
            </w:tc>
            <w:tc>
              <w:tcPr>
                <w:tcW w:w="844" w:type="dxa"/>
                <w:tcBorders>
                  <w:top w:val="nil"/>
                  <w:left w:val="nil"/>
                  <w:bottom w:val="nil"/>
                  <w:right w:val="nil"/>
                </w:tcBorders>
                <w:vAlign w:val="center"/>
              </w:tcPr>
              <w:p w:rsidR="004E6FA8" w:rsidRDefault="004E6FA8" w:rsidP="004E6FA8">
                <w:pPr>
                  <w:spacing w:after="0" w:line="240" w:lineRule="auto"/>
                  <w:jc w:val="center"/>
                </w:pPr>
                <w:r>
                  <w:t>13 100</w:t>
                </w:r>
              </w:p>
            </w:tc>
            <w:tc>
              <w:tcPr>
                <w:tcW w:w="850" w:type="dxa"/>
                <w:tcBorders>
                  <w:top w:val="nil"/>
                  <w:left w:val="nil"/>
                  <w:bottom w:val="nil"/>
                  <w:right w:val="nil"/>
                </w:tcBorders>
                <w:vAlign w:val="center"/>
              </w:tcPr>
              <w:p w:rsidR="004E6FA8" w:rsidRDefault="004E6FA8" w:rsidP="004E6FA8">
                <w:pPr>
                  <w:spacing w:after="0" w:line="240" w:lineRule="auto"/>
                  <w:jc w:val="center"/>
                </w:pPr>
                <w:r>
                  <w:t>0.20</w:t>
                </w:r>
              </w:p>
            </w:tc>
            <w:tc>
              <w:tcPr>
                <w:tcW w:w="851" w:type="dxa"/>
                <w:tcBorders>
                  <w:top w:val="nil"/>
                  <w:left w:val="nil"/>
                  <w:bottom w:val="nil"/>
                  <w:right w:val="nil"/>
                </w:tcBorders>
                <w:vAlign w:val="center"/>
              </w:tcPr>
              <w:p w:rsidR="004E6FA8" w:rsidRDefault="004E6FA8" w:rsidP="004E6FA8">
                <w:pPr>
                  <w:spacing w:after="0" w:line="240" w:lineRule="auto"/>
                  <w:jc w:val="center"/>
                </w:pPr>
                <w:r>
                  <w:t>0.208</w:t>
                </w:r>
              </w:p>
            </w:tc>
            <w:tc>
              <w:tcPr>
                <w:tcW w:w="1430" w:type="dxa"/>
                <w:tcBorders>
                  <w:top w:val="nil"/>
                  <w:left w:val="nil"/>
                  <w:bottom w:val="nil"/>
                  <w:right w:val="nil"/>
                </w:tcBorders>
                <w:vAlign w:val="center"/>
              </w:tcPr>
              <w:p w:rsidR="004E6FA8" w:rsidRDefault="004E6FA8" w:rsidP="004E6FA8">
                <w:pPr>
                  <w:spacing w:after="0" w:line="240" w:lineRule="auto"/>
                  <w:jc w:val="center"/>
                </w:pPr>
                <w:r>
                  <w:t>35</w:t>
                </w:r>
              </w:p>
            </w:tc>
            <w:tc>
              <w:tcPr>
                <w:tcW w:w="980" w:type="dxa"/>
                <w:tcBorders>
                  <w:top w:val="nil"/>
                  <w:left w:val="nil"/>
                  <w:bottom w:val="nil"/>
                  <w:right w:val="nil"/>
                </w:tcBorders>
                <w:vAlign w:val="center"/>
              </w:tcPr>
              <w:p w:rsidR="004E6FA8" w:rsidRDefault="004E6FA8" w:rsidP="004E6FA8">
                <w:pPr>
                  <w:spacing w:after="0" w:line="240" w:lineRule="auto"/>
                  <w:jc w:val="center"/>
                </w:pPr>
                <w:r>
                  <w:t>105</w:t>
                </w:r>
              </w:p>
            </w:tc>
            <w:tc>
              <w:tcPr>
                <w:tcW w:w="966" w:type="dxa"/>
                <w:tcBorders>
                  <w:top w:val="nil"/>
                  <w:left w:val="nil"/>
                  <w:bottom w:val="nil"/>
                  <w:right w:val="nil"/>
                </w:tcBorders>
                <w:vAlign w:val="center"/>
              </w:tcPr>
              <w:p w:rsidR="004E6FA8" w:rsidRDefault="004E6FA8" w:rsidP="004E6FA8">
                <w:pPr>
                  <w:spacing w:after="0" w:line="240" w:lineRule="auto"/>
                  <w:jc w:val="center"/>
                </w:pPr>
                <w:r>
                  <w:t>58</w:t>
                </w:r>
              </w:p>
            </w:tc>
            <w:tc>
              <w:tcPr>
                <w:tcW w:w="956" w:type="dxa"/>
                <w:tcBorders>
                  <w:top w:val="nil"/>
                  <w:left w:val="nil"/>
                  <w:bottom w:val="nil"/>
                  <w:right w:val="nil"/>
                </w:tcBorders>
                <w:vAlign w:val="center"/>
              </w:tcPr>
              <w:p w:rsidR="004E6FA8" w:rsidRDefault="004E6FA8" w:rsidP="004E6FA8">
                <w:pPr>
                  <w:spacing w:after="0" w:line="240" w:lineRule="auto"/>
                  <w:jc w:val="center"/>
                </w:pPr>
                <w:r>
                  <w:t>45</w:t>
                </w:r>
              </w:p>
            </w:tc>
          </w:tr>
          <w:tr w:rsidR="004E6FA8" w:rsidTr="004E6FA8">
            <w:trPr>
              <w:cnfStyle w:val="000000010000" w:firstRow="0" w:lastRow="0" w:firstColumn="0" w:lastColumn="0" w:oddVBand="0" w:evenVBand="0" w:oddHBand="0" w:evenHBand="1" w:firstRowFirstColumn="0" w:firstRowLastColumn="0" w:lastRowFirstColumn="0" w:lastRowLastColumn="0"/>
            </w:trPr>
            <w:tc>
              <w:tcPr>
                <w:tcW w:w="817" w:type="dxa"/>
                <w:tcBorders>
                  <w:top w:val="nil"/>
                  <w:left w:val="nil"/>
                  <w:bottom w:val="nil"/>
                  <w:right w:val="nil"/>
                </w:tcBorders>
              </w:tcPr>
              <w:p w:rsidR="004E6FA8" w:rsidRDefault="004E6FA8" w:rsidP="004E6FA8">
                <w:pPr>
                  <w:pStyle w:val="tablebody"/>
                  <w:ind w:right="-108"/>
                  <w:jc w:val="left"/>
                </w:pPr>
                <w:r>
                  <w:t>25 Oct</w:t>
                </w:r>
              </w:p>
            </w:tc>
            <w:tc>
              <w:tcPr>
                <w:tcW w:w="999" w:type="dxa"/>
                <w:tcBorders>
                  <w:top w:val="nil"/>
                  <w:left w:val="nil"/>
                  <w:bottom w:val="nil"/>
                  <w:right w:val="nil"/>
                </w:tcBorders>
                <w:vAlign w:val="center"/>
              </w:tcPr>
              <w:p w:rsidR="004E6FA8" w:rsidRDefault="004E6FA8" w:rsidP="004E6FA8">
                <w:pPr>
                  <w:pStyle w:val="tablebody"/>
                  <w:ind w:right="-108"/>
                  <w:jc w:val="left"/>
                </w:pPr>
                <w:r>
                  <w:t>1.10 pm</w:t>
                </w:r>
              </w:p>
            </w:tc>
            <w:tc>
              <w:tcPr>
                <w:tcW w:w="844" w:type="dxa"/>
                <w:tcBorders>
                  <w:top w:val="nil"/>
                  <w:left w:val="nil"/>
                  <w:bottom w:val="nil"/>
                  <w:right w:val="nil"/>
                </w:tcBorders>
                <w:vAlign w:val="center"/>
              </w:tcPr>
              <w:p w:rsidR="004E6FA8" w:rsidRDefault="004E6FA8" w:rsidP="004E6FA8">
                <w:pPr>
                  <w:spacing w:after="0" w:line="240" w:lineRule="auto"/>
                  <w:jc w:val="center"/>
                </w:pPr>
                <w:r>
                  <w:t>12 400</w:t>
                </w:r>
              </w:p>
            </w:tc>
            <w:tc>
              <w:tcPr>
                <w:tcW w:w="850" w:type="dxa"/>
                <w:tcBorders>
                  <w:top w:val="nil"/>
                  <w:left w:val="nil"/>
                  <w:bottom w:val="nil"/>
                  <w:right w:val="nil"/>
                </w:tcBorders>
                <w:vAlign w:val="center"/>
              </w:tcPr>
              <w:p w:rsidR="004E6FA8" w:rsidRDefault="004E6FA8" w:rsidP="004E6FA8">
                <w:pPr>
                  <w:spacing w:after="0" w:line="240" w:lineRule="auto"/>
                  <w:jc w:val="center"/>
                </w:pPr>
                <w:r>
                  <w:t>0.79</w:t>
                </w:r>
              </w:p>
            </w:tc>
            <w:tc>
              <w:tcPr>
                <w:tcW w:w="851" w:type="dxa"/>
                <w:tcBorders>
                  <w:top w:val="nil"/>
                  <w:left w:val="nil"/>
                  <w:bottom w:val="nil"/>
                  <w:right w:val="nil"/>
                </w:tcBorders>
                <w:vAlign w:val="center"/>
              </w:tcPr>
              <w:p w:rsidR="004E6FA8" w:rsidRDefault="004E6FA8" w:rsidP="004E6FA8">
                <w:pPr>
                  <w:spacing w:after="0" w:line="240" w:lineRule="auto"/>
                  <w:jc w:val="center"/>
                </w:pPr>
                <w:r>
                  <w:t>0.80</w:t>
                </w:r>
              </w:p>
            </w:tc>
            <w:tc>
              <w:tcPr>
                <w:tcW w:w="1430" w:type="dxa"/>
                <w:tcBorders>
                  <w:top w:val="nil"/>
                  <w:left w:val="nil"/>
                  <w:bottom w:val="nil"/>
                  <w:right w:val="nil"/>
                </w:tcBorders>
                <w:vAlign w:val="center"/>
              </w:tcPr>
              <w:p w:rsidR="004E6FA8" w:rsidRDefault="004E6FA8" w:rsidP="004E6FA8">
                <w:pPr>
                  <w:spacing w:after="0" w:line="240" w:lineRule="auto"/>
                  <w:jc w:val="center"/>
                </w:pPr>
                <w:r>
                  <w:t>35</w:t>
                </w:r>
              </w:p>
            </w:tc>
            <w:tc>
              <w:tcPr>
                <w:tcW w:w="980" w:type="dxa"/>
                <w:tcBorders>
                  <w:top w:val="nil"/>
                  <w:left w:val="nil"/>
                  <w:bottom w:val="nil"/>
                  <w:right w:val="nil"/>
                </w:tcBorders>
                <w:vAlign w:val="center"/>
              </w:tcPr>
              <w:p w:rsidR="004E6FA8" w:rsidRDefault="004E6FA8" w:rsidP="004E6FA8">
                <w:pPr>
                  <w:spacing w:after="0" w:line="240" w:lineRule="auto"/>
                  <w:jc w:val="center"/>
                </w:pPr>
                <w:r>
                  <w:t>46</w:t>
                </w:r>
              </w:p>
            </w:tc>
            <w:tc>
              <w:tcPr>
                <w:tcW w:w="966" w:type="dxa"/>
                <w:tcBorders>
                  <w:top w:val="nil"/>
                  <w:left w:val="nil"/>
                  <w:bottom w:val="nil"/>
                  <w:right w:val="nil"/>
                </w:tcBorders>
                <w:vAlign w:val="center"/>
              </w:tcPr>
              <w:p w:rsidR="004E6FA8" w:rsidRDefault="004E6FA8" w:rsidP="004E6FA8">
                <w:pPr>
                  <w:spacing w:after="0" w:line="240" w:lineRule="auto"/>
                  <w:jc w:val="center"/>
                </w:pPr>
                <w:r>
                  <w:t>57</w:t>
                </w:r>
              </w:p>
            </w:tc>
            <w:tc>
              <w:tcPr>
                <w:tcW w:w="956" w:type="dxa"/>
                <w:tcBorders>
                  <w:top w:val="nil"/>
                  <w:left w:val="nil"/>
                  <w:bottom w:val="nil"/>
                  <w:right w:val="nil"/>
                </w:tcBorders>
                <w:vAlign w:val="center"/>
              </w:tcPr>
              <w:p w:rsidR="004E6FA8" w:rsidRDefault="004E6FA8" w:rsidP="004E6FA8">
                <w:pPr>
                  <w:spacing w:after="0" w:line="240" w:lineRule="auto"/>
                  <w:jc w:val="center"/>
                </w:pPr>
                <w:r>
                  <w:t>49</w:t>
                </w:r>
              </w:p>
            </w:tc>
          </w:tr>
        </w:tbl>
        <w:p w:rsidR="004E6FA8" w:rsidRDefault="004E6FA8" w:rsidP="004E6FA8">
          <w:pPr>
            <w:pStyle w:val="Header"/>
          </w:pPr>
          <w:r>
            <w:t>Note: effective available capacity is the offered capacity adjusted for the energy output of the generator.</w:t>
          </w:r>
        </w:p>
        <w:p w:rsidR="004E6FA8" w:rsidRDefault="004E6FA8" w:rsidP="004E6FA8">
          <w:pPr>
            <w:pStyle w:val="Caption"/>
          </w:pPr>
          <w:bookmarkStart w:id="6" w:name="_Ref437433539"/>
          <w:r>
            <w:t xml:space="preserve">Table </w:t>
          </w:r>
          <w:fldSimple w:instr=" SEQ Table \* ARABIC ">
            <w:r w:rsidR="006A1105">
              <w:rPr>
                <w:noProof/>
              </w:rPr>
              <w:t>2</w:t>
            </w:r>
          </w:fldSimple>
          <w:bookmarkEnd w:id="6"/>
          <w:r>
            <w:t>: Actual and forecast Raise regulation price, requirement and effective available capacity</w:t>
          </w:r>
        </w:p>
        <w:tbl>
          <w:tblPr>
            <w:tblStyle w:val="AERsummarytable"/>
            <w:tblW w:w="8693" w:type="dxa"/>
            <w:tblLayout w:type="fixed"/>
            <w:tblLook w:val="04A0" w:firstRow="1" w:lastRow="0" w:firstColumn="1" w:lastColumn="0" w:noHBand="0" w:noVBand="1"/>
          </w:tblPr>
          <w:tblGrid>
            <w:gridCol w:w="817"/>
            <w:gridCol w:w="999"/>
            <w:gridCol w:w="844"/>
            <w:gridCol w:w="850"/>
            <w:gridCol w:w="851"/>
            <w:gridCol w:w="1430"/>
            <w:gridCol w:w="980"/>
            <w:gridCol w:w="966"/>
            <w:gridCol w:w="956"/>
          </w:tblGrid>
          <w:tr w:rsidR="004E6FA8" w:rsidTr="004E6FA8">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il"/>
                  <w:left w:val="nil"/>
                  <w:bottom w:val="nil"/>
                  <w:right w:val="nil"/>
                </w:tcBorders>
              </w:tcPr>
              <w:p w:rsidR="004E6FA8" w:rsidRDefault="004E6FA8" w:rsidP="004E6FA8">
                <w:pPr>
                  <w:ind w:right="-108"/>
                  <w:rPr>
                    <w:szCs w:val="18"/>
                  </w:rPr>
                </w:pPr>
                <w:r>
                  <w:rPr>
                    <w:szCs w:val="18"/>
                  </w:rPr>
                  <w:t>Date</w:t>
                </w:r>
              </w:p>
            </w:tc>
            <w:tc>
              <w:tcPr>
                <w:tcW w:w="999" w:type="dxa"/>
                <w:tcBorders>
                  <w:top w:val="nil"/>
                  <w:left w:val="nil"/>
                  <w:bottom w:val="nil"/>
                  <w:right w:val="nil"/>
                </w:tcBorders>
                <w:hideMark/>
              </w:tcPr>
              <w:p w:rsidR="004E6FA8" w:rsidRDefault="004E6FA8" w:rsidP="004E6FA8">
                <w:pPr>
                  <w:tabs>
                    <w:tab w:val="left" w:pos="736"/>
                  </w:tabs>
                  <w:jc w:val="center"/>
                  <w:rPr>
                    <w:szCs w:val="18"/>
                  </w:rPr>
                </w:pPr>
                <w:r>
                  <w:rPr>
                    <w:szCs w:val="18"/>
                  </w:rPr>
                  <w:t>Dispatch interval</w:t>
                </w:r>
              </w:p>
            </w:tc>
            <w:tc>
              <w:tcPr>
                <w:tcW w:w="2545" w:type="dxa"/>
                <w:gridSpan w:val="3"/>
                <w:tcBorders>
                  <w:top w:val="nil"/>
                  <w:left w:val="nil"/>
                  <w:bottom w:val="nil"/>
                  <w:right w:val="nil"/>
                </w:tcBorders>
                <w:hideMark/>
              </w:tcPr>
              <w:p w:rsidR="004E6FA8" w:rsidRDefault="004E6FA8" w:rsidP="004E6FA8">
                <w:pPr>
                  <w:jc w:val="center"/>
                  <w:rPr>
                    <w:szCs w:val="18"/>
                  </w:rPr>
                </w:pPr>
                <w:r>
                  <w:rPr>
                    <w:szCs w:val="18"/>
                  </w:rPr>
                  <w:t>FCAS Price ($/MW)</w:t>
                </w:r>
              </w:p>
            </w:tc>
            <w:tc>
              <w:tcPr>
                <w:tcW w:w="1430" w:type="dxa"/>
                <w:tcBorders>
                  <w:top w:val="nil"/>
                  <w:left w:val="nil"/>
                  <w:bottom w:val="nil"/>
                  <w:right w:val="nil"/>
                </w:tcBorders>
                <w:hideMark/>
              </w:tcPr>
              <w:p w:rsidR="004E6FA8" w:rsidRDefault="004E6FA8" w:rsidP="004E6FA8">
                <w:pPr>
                  <w:jc w:val="center"/>
                  <w:rPr>
                    <w:b w:val="0"/>
                    <w:szCs w:val="18"/>
                  </w:rPr>
                </w:pPr>
                <w:r>
                  <w:rPr>
                    <w:szCs w:val="18"/>
                  </w:rPr>
                  <w:t>FCAS requirement (MW)</w:t>
                </w:r>
              </w:p>
            </w:tc>
            <w:tc>
              <w:tcPr>
                <w:tcW w:w="2902" w:type="dxa"/>
                <w:gridSpan w:val="3"/>
                <w:tcBorders>
                  <w:top w:val="nil"/>
                  <w:left w:val="nil"/>
                  <w:bottom w:val="nil"/>
                  <w:right w:val="nil"/>
                </w:tcBorders>
              </w:tcPr>
              <w:p w:rsidR="004E6FA8" w:rsidRDefault="004E6FA8" w:rsidP="004E6FA8">
                <w:pPr>
                  <w:jc w:val="center"/>
                  <w:rPr>
                    <w:szCs w:val="18"/>
                  </w:rPr>
                </w:pPr>
                <w:r>
                  <w:rPr>
                    <w:szCs w:val="18"/>
                  </w:rPr>
                  <w:t>Effective Available Capacity (MW)</w:t>
                </w:r>
              </w:p>
            </w:tc>
          </w:tr>
          <w:tr w:rsidR="004E6FA8" w:rsidTr="004E6FA8">
            <w:trPr>
              <w:cnfStyle w:val="100000000000" w:firstRow="1" w:lastRow="0" w:firstColumn="0" w:lastColumn="0" w:oddVBand="0" w:evenVBand="0" w:oddHBand="0" w:evenHBand="0" w:firstRowFirstColumn="0" w:firstRowLastColumn="0" w:lastRowFirstColumn="0" w:lastRowLastColumn="0"/>
              <w:tblHeader/>
            </w:trPr>
            <w:tc>
              <w:tcPr>
                <w:tcW w:w="817" w:type="dxa"/>
                <w:tcBorders>
                  <w:top w:val="nil"/>
                  <w:left w:val="nil"/>
                  <w:bottom w:val="nil"/>
                  <w:right w:val="nil"/>
                </w:tcBorders>
              </w:tcPr>
              <w:p w:rsidR="004E6FA8" w:rsidRDefault="004E6FA8" w:rsidP="004E6FA8">
                <w:pPr>
                  <w:ind w:left="-31" w:right="-108" w:firstLine="10"/>
                  <w:rPr>
                    <w:szCs w:val="18"/>
                  </w:rPr>
                </w:pPr>
              </w:p>
            </w:tc>
            <w:tc>
              <w:tcPr>
                <w:tcW w:w="999" w:type="dxa"/>
                <w:tcBorders>
                  <w:top w:val="nil"/>
                  <w:left w:val="nil"/>
                  <w:bottom w:val="nil"/>
                  <w:right w:val="nil"/>
                </w:tcBorders>
                <w:tcMar>
                  <w:top w:w="0" w:type="dxa"/>
                  <w:left w:w="85" w:type="dxa"/>
                  <w:bottom w:w="0" w:type="dxa"/>
                  <w:right w:w="85" w:type="dxa"/>
                </w:tcMar>
              </w:tcPr>
              <w:p w:rsidR="004E6FA8" w:rsidRDefault="004E6FA8" w:rsidP="004E6FA8">
                <w:pPr>
                  <w:ind w:left="-31" w:right="-108" w:firstLine="10"/>
                  <w:rPr>
                    <w:szCs w:val="18"/>
                  </w:rPr>
                </w:pPr>
              </w:p>
            </w:tc>
            <w:tc>
              <w:tcPr>
                <w:tcW w:w="844"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Actual</w:t>
                </w:r>
              </w:p>
            </w:tc>
            <w:tc>
              <w:tcPr>
                <w:tcW w:w="850" w:type="dxa"/>
                <w:tcBorders>
                  <w:top w:val="nil"/>
                  <w:left w:val="nil"/>
                  <w:bottom w:val="nil"/>
                  <w:right w:val="nil"/>
                </w:tcBorders>
                <w:tcMar>
                  <w:top w:w="0" w:type="dxa"/>
                  <w:left w:w="85" w:type="dxa"/>
                  <w:bottom w:w="0" w:type="dxa"/>
                  <w:right w:w="85" w:type="dxa"/>
                </w:tcMar>
                <w:hideMark/>
              </w:tcPr>
              <w:p w:rsidR="004E6FA8" w:rsidRDefault="004E6FA8" w:rsidP="004E6FA8">
                <w:pPr>
                  <w:ind w:left="-13" w:right="-14"/>
                  <w:jc w:val="center"/>
                  <w:rPr>
                    <w:szCs w:val="18"/>
                  </w:rPr>
                </w:pPr>
                <w:r>
                  <w:rPr>
                    <w:szCs w:val="18"/>
                  </w:rPr>
                  <w:t>4 hr forecast</w:t>
                </w:r>
              </w:p>
            </w:tc>
            <w:tc>
              <w:tcPr>
                <w:tcW w:w="851" w:type="dxa"/>
                <w:tcBorders>
                  <w:top w:val="nil"/>
                  <w:left w:val="nil"/>
                  <w:bottom w:val="nil"/>
                  <w:right w:val="nil"/>
                </w:tcBorders>
                <w:tcMar>
                  <w:top w:w="0" w:type="dxa"/>
                  <w:left w:w="85" w:type="dxa"/>
                  <w:bottom w:w="0" w:type="dxa"/>
                  <w:right w:w="85" w:type="dxa"/>
                </w:tcMar>
                <w:hideMark/>
              </w:tcPr>
              <w:p w:rsidR="004E6FA8" w:rsidRDefault="004E6FA8" w:rsidP="004E6FA8">
                <w:pPr>
                  <w:ind w:left="-60"/>
                  <w:jc w:val="center"/>
                  <w:rPr>
                    <w:szCs w:val="18"/>
                  </w:rPr>
                </w:pPr>
                <w:r>
                  <w:rPr>
                    <w:szCs w:val="18"/>
                  </w:rPr>
                  <w:t>12 hr forecast</w:t>
                </w:r>
              </w:p>
            </w:tc>
            <w:tc>
              <w:tcPr>
                <w:tcW w:w="1430"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Requirement</w:t>
                </w:r>
              </w:p>
            </w:tc>
            <w:tc>
              <w:tcPr>
                <w:tcW w:w="980"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Actual </w:t>
                </w:r>
              </w:p>
            </w:tc>
            <w:tc>
              <w:tcPr>
                <w:tcW w:w="966"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4 hr forecast </w:t>
                </w:r>
              </w:p>
            </w:tc>
            <w:tc>
              <w:tcPr>
                <w:tcW w:w="956" w:type="dxa"/>
                <w:tcBorders>
                  <w:top w:val="nil"/>
                  <w:left w:val="nil"/>
                  <w:bottom w:val="nil"/>
                  <w:right w:val="nil"/>
                </w:tcBorders>
                <w:tcMar>
                  <w:top w:w="0" w:type="dxa"/>
                  <w:left w:w="85" w:type="dxa"/>
                  <w:bottom w:w="0" w:type="dxa"/>
                  <w:right w:w="85" w:type="dxa"/>
                </w:tcMar>
                <w:hideMark/>
              </w:tcPr>
              <w:p w:rsidR="004E6FA8" w:rsidRDefault="004E6FA8" w:rsidP="004E6FA8">
                <w:pPr>
                  <w:jc w:val="center"/>
                  <w:rPr>
                    <w:szCs w:val="18"/>
                  </w:rPr>
                </w:pPr>
                <w:r>
                  <w:rPr>
                    <w:szCs w:val="18"/>
                  </w:rPr>
                  <w:t xml:space="preserve">12 hr forecast </w:t>
                </w:r>
              </w:p>
            </w:tc>
          </w:tr>
          <w:tr w:rsidR="004E6FA8" w:rsidTr="004E6FA8">
            <w:trPr>
              <w:cnfStyle w:val="000000100000" w:firstRow="0" w:lastRow="0" w:firstColumn="0" w:lastColumn="0" w:oddVBand="0" w:evenVBand="0" w:oddHBand="1" w:evenHBand="0" w:firstRowFirstColumn="0" w:firstRowLastColumn="0" w:lastRowFirstColumn="0" w:lastRowLastColumn="0"/>
            </w:trPr>
            <w:tc>
              <w:tcPr>
                <w:tcW w:w="817" w:type="dxa"/>
                <w:tcBorders>
                  <w:top w:val="nil"/>
                  <w:left w:val="nil"/>
                  <w:bottom w:val="nil"/>
                  <w:right w:val="nil"/>
                </w:tcBorders>
              </w:tcPr>
              <w:p w:rsidR="004E6FA8" w:rsidRDefault="004E6FA8" w:rsidP="004E6FA8">
                <w:pPr>
                  <w:pStyle w:val="tablebody"/>
                  <w:ind w:right="-108"/>
                  <w:jc w:val="left"/>
                </w:pPr>
                <w:r>
                  <w:t>11 Oct</w:t>
                </w:r>
              </w:p>
            </w:tc>
            <w:tc>
              <w:tcPr>
                <w:tcW w:w="999" w:type="dxa"/>
                <w:tcBorders>
                  <w:top w:val="nil"/>
                  <w:left w:val="nil"/>
                  <w:bottom w:val="nil"/>
                  <w:right w:val="nil"/>
                </w:tcBorders>
                <w:vAlign w:val="center"/>
              </w:tcPr>
              <w:p w:rsidR="004E6FA8" w:rsidRDefault="004E6FA8" w:rsidP="004E6FA8">
                <w:pPr>
                  <w:pStyle w:val="tablebody"/>
                  <w:ind w:right="-108"/>
                  <w:jc w:val="left"/>
                </w:pPr>
                <w:r>
                  <w:t>8.25 pm</w:t>
                </w:r>
              </w:p>
            </w:tc>
            <w:tc>
              <w:tcPr>
                <w:tcW w:w="844" w:type="dxa"/>
                <w:tcBorders>
                  <w:top w:val="nil"/>
                  <w:left w:val="nil"/>
                  <w:bottom w:val="nil"/>
                  <w:right w:val="nil"/>
                </w:tcBorders>
                <w:vAlign w:val="center"/>
              </w:tcPr>
              <w:p w:rsidR="004E6FA8" w:rsidRDefault="004E6FA8" w:rsidP="004E6FA8">
                <w:pPr>
                  <w:spacing w:after="0" w:line="240" w:lineRule="auto"/>
                  <w:jc w:val="center"/>
                </w:pPr>
                <w:r>
                  <w:t>13 100</w:t>
                </w:r>
              </w:p>
            </w:tc>
            <w:tc>
              <w:tcPr>
                <w:tcW w:w="850" w:type="dxa"/>
                <w:tcBorders>
                  <w:top w:val="nil"/>
                  <w:left w:val="nil"/>
                  <w:bottom w:val="nil"/>
                  <w:right w:val="nil"/>
                </w:tcBorders>
                <w:vAlign w:val="center"/>
              </w:tcPr>
              <w:p w:rsidR="004E6FA8" w:rsidRDefault="004E6FA8" w:rsidP="004E6FA8">
                <w:pPr>
                  <w:spacing w:after="0" w:line="240" w:lineRule="auto"/>
                  <w:jc w:val="center"/>
                </w:pPr>
                <w:r>
                  <w:t>0.015</w:t>
                </w:r>
              </w:p>
            </w:tc>
            <w:tc>
              <w:tcPr>
                <w:tcW w:w="851" w:type="dxa"/>
                <w:tcBorders>
                  <w:top w:val="nil"/>
                  <w:left w:val="nil"/>
                  <w:bottom w:val="nil"/>
                  <w:right w:val="nil"/>
                </w:tcBorders>
                <w:vAlign w:val="center"/>
              </w:tcPr>
              <w:p w:rsidR="004E6FA8" w:rsidRDefault="004E6FA8" w:rsidP="004E6FA8">
                <w:pPr>
                  <w:spacing w:after="0" w:line="240" w:lineRule="auto"/>
                  <w:jc w:val="center"/>
                </w:pPr>
                <w:r>
                  <w:t>0.018</w:t>
                </w:r>
              </w:p>
            </w:tc>
            <w:tc>
              <w:tcPr>
                <w:tcW w:w="1430" w:type="dxa"/>
                <w:tcBorders>
                  <w:top w:val="nil"/>
                  <w:left w:val="nil"/>
                  <w:bottom w:val="nil"/>
                  <w:right w:val="nil"/>
                </w:tcBorders>
                <w:vAlign w:val="center"/>
              </w:tcPr>
              <w:p w:rsidR="004E6FA8" w:rsidRDefault="004E6FA8" w:rsidP="004E6FA8">
                <w:pPr>
                  <w:spacing w:after="0" w:line="240" w:lineRule="auto"/>
                  <w:jc w:val="center"/>
                </w:pPr>
                <w:r>
                  <w:t>35</w:t>
                </w:r>
              </w:p>
            </w:tc>
            <w:tc>
              <w:tcPr>
                <w:tcW w:w="980" w:type="dxa"/>
                <w:tcBorders>
                  <w:top w:val="nil"/>
                  <w:left w:val="nil"/>
                  <w:bottom w:val="nil"/>
                  <w:right w:val="nil"/>
                </w:tcBorders>
                <w:vAlign w:val="center"/>
              </w:tcPr>
              <w:p w:rsidR="004E6FA8" w:rsidRDefault="004E6FA8" w:rsidP="004E6FA8">
                <w:pPr>
                  <w:spacing w:after="0" w:line="240" w:lineRule="auto"/>
                  <w:jc w:val="center"/>
                </w:pPr>
                <w:r>
                  <w:t>111</w:t>
                </w:r>
              </w:p>
            </w:tc>
            <w:tc>
              <w:tcPr>
                <w:tcW w:w="966" w:type="dxa"/>
                <w:tcBorders>
                  <w:top w:val="nil"/>
                  <w:left w:val="nil"/>
                  <w:bottom w:val="nil"/>
                  <w:right w:val="nil"/>
                </w:tcBorders>
                <w:vAlign w:val="center"/>
              </w:tcPr>
              <w:p w:rsidR="004E6FA8" w:rsidRDefault="004E6FA8" w:rsidP="004E6FA8">
                <w:pPr>
                  <w:spacing w:after="0" w:line="240" w:lineRule="auto"/>
                  <w:jc w:val="center"/>
                </w:pPr>
                <w:r>
                  <w:t>83</w:t>
                </w:r>
              </w:p>
            </w:tc>
            <w:tc>
              <w:tcPr>
                <w:tcW w:w="956" w:type="dxa"/>
                <w:tcBorders>
                  <w:top w:val="nil"/>
                  <w:left w:val="nil"/>
                  <w:bottom w:val="nil"/>
                  <w:right w:val="nil"/>
                </w:tcBorders>
                <w:vAlign w:val="center"/>
              </w:tcPr>
              <w:p w:rsidR="004E6FA8" w:rsidRDefault="004E6FA8" w:rsidP="004E6FA8">
                <w:pPr>
                  <w:spacing w:after="0" w:line="240" w:lineRule="auto"/>
                  <w:jc w:val="center"/>
                </w:pPr>
                <w:r>
                  <w:t>70</w:t>
                </w:r>
              </w:p>
            </w:tc>
          </w:tr>
          <w:tr w:rsidR="004E6FA8" w:rsidTr="004E6FA8">
            <w:trPr>
              <w:cnfStyle w:val="000000010000" w:firstRow="0" w:lastRow="0" w:firstColumn="0" w:lastColumn="0" w:oddVBand="0" w:evenVBand="0" w:oddHBand="0" w:evenHBand="1" w:firstRowFirstColumn="0" w:firstRowLastColumn="0" w:lastRowFirstColumn="0" w:lastRowLastColumn="0"/>
            </w:trPr>
            <w:tc>
              <w:tcPr>
                <w:tcW w:w="817" w:type="dxa"/>
                <w:tcBorders>
                  <w:top w:val="nil"/>
                  <w:left w:val="nil"/>
                  <w:bottom w:val="single" w:sz="4" w:space="0" w:color="auto"/>
                  <w:right w:val="nil"/>
                </w:tcBorders>
              </w:tcPr>
              <w:p w:rsidR="004E6FA8" w:rsidRDefault="004E6FA8" w:rsidP="004E6FA8">
                <w:pPr>
                  <w:pStyle w:val="tablebody"/>
                  <w:ind w:right="-108"/>
                  <w:jc w:val="left"/>
                </w:pPr>
                <w:r>
                  <w:t>25 Oct</w:t>
                </w:r>
              </w:p>
            </w:tc>
            <w:tc>
              <w:tcPr>
                <w:tcW w:w="999" w:type="dxa"/>
                <w:tcBorders>
                  <w:top w:val="nil"/>
                  <w:left w:val="nil"/>
                  <w:bottom w:val="single" w:sz="4" w:space="0" w:color="auto"/>
                  <w:right w:val="nil"/>
                </w:tcBorders>
                <w:vAlign w:val="center"/>
              </w:tcPr>
              <w:p w:rsidR="004E6FA8" w:rsidRDefault="004E6FA8" w:rsidP="004E6FA8">
                <w:pPr>
                  <w:pStyle w:val="tablebody"/>
                  <w:ind w:right="-108"/>
                  <w:jc w:val="left"/>
                </w:pPr>
                <w:r>
                  <w:t>1.10 pm</w:t>
                </w:r>
              </w:p>
            </w:tc>
            <w:tc>
              <w:tcPr>
                <w:tcW w:w="844" w:type="dxa"/>
                <w:tcBorders>
                  <w:top w:val="nil"/>
                  <w:left w:val="nil"/>
                  <w:bottom w:val="single" w:sz="4" w:space="0" w:color="auto"/>
                  <w:right w:val="nil"/>
                </w:tcBorders>
                <w:vAlign w:val="center"/>
              </w:tcPr>
              <w:p w:rsidR="004E6FA8" w:rsidRDefault="004E6FA8" w:rsidP="004E6FA8">
                <w:pPr>
                  <w:spacing w:after="0" w:line="240" w:lineRule="auto"/>
                  <w:jc w:val="center"/>
                </w:pPr>
                <w:r>
                  <w:t>12 400</w:t>
                </w:r>
              </w:p>
            </w:tc>
            <w:tc>
              <w:tcPr>
                <w:tcW w:w="850" w:type="dxa"/>
                <w:tcBorders>
                  <w:top w:val="nil"/>
                  <w:left w:val="nil"/>
                  <w:bottom w:val="single" w:sz="4" w:space="0" w:color="auto"/>
                  <w:right w:val="nil"/>
                </w:tcBorders>
                <w:vAlign w:val="center"/>
              </w:tcPr>
              <w:p w:rsidR="004E6FA8" w:rsidRDefault="004E6FA8" w:rsidP="004E6FA8">
                <w:pPr>
                  <w:spacing w:after="0" w:line="240" w:lineRule="auto"/>
                  <w:jc w:val="center"/>
                </w:pPr>
                <w:r>
                  <w:t>1.20</w:t>
                </w:r>
              </w:p>
            </w:tc>
            <w:tc>
              <w:tcPr>
                <w:tcW w:w="851" w:type="dxa"/>
                <w:tcBorders>
                  <w:top w:val="nil"/>
                  <w:left w:val="nil"/>
                  <w:bottom w:val="single" w:sz="4" w:space="0" w:color="auto"/>
                  <w:right w:val="nil"/>
                </w:tcBorders>
                <w:vAlign w:val="center"/>
              </w:tcPr>
              <w:p w:rsidR="004E6FA8" w:rsidRDefault="004E6FA8" w:rsidP="004E6FA8">
                <w:pPr>
                  <w:spacing w:after="0" w:line="240" w:lineRule="auto"/>
                  <w:jc w:val="center"/>
                </w:pPr>
                <w:r>
                  <w:t>1.20</w:t>
                </w:r>
              </w:p>
            </w:tc>
            <w:tc>
              <w:tcPr>
                <w:tcW w:w="1430" w:type="dxa"/>
                <w:tcBorders>
                  <w:top w:val="nil"/>
                  <w:left w:val="nil"/>
                  <w:bottom w:val="single" w:sz="4" w:space="0" w:color="auto"/>
                  <w:right w:val="nil"/>
                </w:tcBorders>
                <w:vAlign w:val="center"/>
              </w:tcPr>
              <w:p w:rsidR="004E6FA8" w:rsidRDefault="004E6FA8" w:rsidP="004E6FA8">
                <w:pPr>
                  <w:spacing w:after="0" w:line="240" w:lineRule="auto"/>
                  <w:jc w:val="center"/>
                </w:pPr>
                <w:r>
                  <w:t>35</w:t>
                </w:r>
              </w:p>
            </w:tc>
            <w:tc>
              <w:tcPr>
                <w:tcW w:w="980" w:type="dxa"/>
                <w:tcBorders>
                  <w:top w:val="nil"/>
                  <w:left w:val="nil"/>
                  <w:bottom w:val="single" w:sz="4" w:space="0" w:color="auto"/>
                  <w:right w:val="nil"/>
                </w:tcBorders>
                <w:vAlign w:val="center"/>
              </w:tcPr>
              <w:p w:rsidR="004E6FA8" w:rsidRDefault="004E6FA8" w:rsidP="004E6FA8">
                <w:pPr>
                  <w:spacing w:after="0" w:line="240" w:lineRule="auto"/>
                  <w:jc w:val="center"/>
                </w:pPr>
                <w:r>
                  <w:t>80</w:t>
                </w:r>
              </w:p>
            </w:tc>
            <w:tc>
              <w:tcPr>
                <w:tcW w:w="966" w:type="dxa"/>
                <w:tcBorders>
                  <w:top w:val="nil"/>
                  <w:left w:val="nil"/>
                  <w:bottom w:val="single" w:sz="4" w:space="0" w:color="auto"/>
                  <w:right w:val="nil"/>
                </w:tcBorders>
                <w:vAlign w:val="center"/>
              </w:tcPr>
              <w:p w:rsidR="004E6FA8" w:rsidRDefault="004E6FA8" w:rsidP="004E6FA8">
                <w:pPr>
                  <w:spacing w:after="0" w:line="240" w:lineRule="auto"/>
                  <w:jc w:val="center"/>
                </w:pPr>
                <w:r>
                  <w:t>120</w:t>
                </w:r>
              </w:p>
            </w:tc>
            <w:tc>
              <w:tcPr>
                <w:tcW w:w="956" w:type="dxa"/>
                <w:tcBorders>
                  <w:top w:val="nil"/>
                  <w:left w:val="nil"/>
                  <w:bottom w:val="single" w:sz="4" w:space="0" w:color="auto"/>
                  <w:right w:val="nil"/>
                </w:tcBorders>
                <w:vAlign w:val="center"/>
              </w:tcPr>
              <w:p w:rsidR="004E6FA8" w:rsidRDefault="004E6FA8" w:rsidP="004E6FA8">
                <w:pPr>
                  <w:spacing w:after="0" w:line="240" w:lineRule="auto"/>
                  <w:jc w:val="center"/>
                </w:pPr>
                <w:r>
                  <w:t>120</w:t>
                </w:r>
              </w:p>
            </w:tc>
          </w:tr>
        </w:tbl>
        <w:p w:rsidR="004E6FA8" w:rsidRDefault="004E6FA8" w:rsidP="004E6FA8">
          <w:r>
            <w:t xml:space="preserve">The high </w:t>
          </w:r>
          <w:r w:rsidR="00146D5D">
            <w:t xml:space="preserve">regulation </w:t>
          </w:r>
          <w:r>
            <w:t>prices were not forecast on any of the days and there was enough effective availability to meet the 35 MW requirements for both regulation services. High prices for both events were triggered by rebidding. On 25</w:t>
          </w:r>
          <w:r w:rsidR="00EE71EE">
            <w:t> </w:t>
          </w:r>
          <w:r>
            <w:t>October the actual effective availability was lower than forecast as Pelican Point was rebid unavailable by GDF</w:t>
          </w:r>
          <w:r w:rsidR="00EE71EE">
            <w:t> </w:t>
          </w:r>
          <w:r>
            <w:t>Suez just before the high price occurred.</w:t>
          </w:r>
        </w:p>
        <w:p w:rsidR="004E6FA8" w:rsidRDefault="004E6FA8" w:rsidP="004E6FA8">
          <w:r>
            <w:lastRenderedPageBreak/>
            <w:t>What follows is a more extensive exploration of</w:t>
          </w:r>
          <w:r w:rsidR="00FA5670">
            <w:t xml:space="preserve"> </w:t>
          </w:r>
          <w:r>
            <w:t xml:space="preserve">rebidding that </w:t>
          </w:r>
          <w:r w:rsidR="00F95AE5">
            <w:t xml:space="preserve">caused high </w:t>
          </w:r>
          <w:r w:rsidR="00146D5D">
            <w:t xml:space="preserve">regulation </w:t>
          </w:r>
          <w:r w:rsidR="00F95AE5">
            <w:t>prices,</w:t>
          </w:r>
          <w:r>
            <w:t xml:space="preserve"> </w:t>
          </w:r>
          <w:r w:rsidR="00F95AE5">
            <w:t xml:space="preserve">triggered </w:t>
          </w:r>
          <w:r>
            <w:t xml:space="preserve">the CPT and </w:t>
          </w:r>
          <w:r w:rsidR="00FA5670">
            <w:t xml:space="preserve">affected </w:t>
          </w:r>
          <w:r>
            <w:t>behaviours after the imposition of the administered price cap.</w:t>
          </w:r>
        </w:p>
        <w:p w:rsidR="004E6FA8" w:rsidRDefault="004E6FA8" w:rsidP="004E6FA8">
          <w:pPr>
            <w:pStyle w:val="Heading2"/>
            <w:keepNext/>
            <w:ind w:left="578" w:hanging="578"/>
          </w:pPr>
          <w:bookmarkStart w:id="7" w:name="_Toc438476553"/>
          <w:r>
            <w:t>Generator regulation service offers</w:t>
          </w:r>
          <w:bookmarkEnd w:id="7"/>
        </w:p>
        <w:p w:rsidR="004E6FA8" w:rsidRDefault="00146D5D" w:rsidP="004E6FA8">
          <w:r>
            <w:t>T</w:t>
          </w:r>
          <w:r w:rsidR="004E6FA8">
            <w:t xml:space="preserve">here were only three power stations registered to provide Raise and Lower regulation services in South Australia: </w:t>
          </w:r>
        </w:p>
        <w:p w:rsidR="004E6FA8" w:rsidRDefault="004E6FA8" w:rsidP="004E6FA8">
          <w:pPr>
            <w:pStyle w:val="ListParagraph"/>
            <w:numPr>
              <w:ilvl w:val="0"/>
              <w:numId w:val="44"/>
            </w:numPr>
          </w:pPr>
          <w:r>
            <w:t xml:space="preserve">Northern Power Station (owned by </w:t>
          </w:r>
          <w:proofErr w:type="spellStart"/>
          <w:r>
            <w:t>Alinta</w:t>
          </w:r>
          <w:proofErr w:type="spellEnd"/>
          <w:r>
            <w:t xml:space="preserve"> Energy); </w:t>
          </w:r>
        </w:p>
        <w:p w:rsidR="004E6FA8" w:rsidRDefault="004E6FA8" w:rsidP="004E6FA8">
          <w:pPr>
            <w:pStyle w:val="ListParagraph"/>
            <w:numPr>
              <w:ilvl w:val="0"/>
              <w:numId w:val="44"/>
            </w:numPr>
          </w:pPr>
          <w:r>
            <w:t xml:space="preserve">Torrens Island A and B (owned by AGL); and </w:t>
          </w:r>
        </w:p>
        <w:p w:rsidR="004E6FA8" w:rsidRDefault="004E6FA8" w:rsidP="004E6FA8">
          <w:pPr>
            <w:pStyle w:val="ListParagraph"/>
            <w:numPr>
              <w:ilvl w:val="0"/>
              <w:numId w:val="44"/>
            </w:numPr>
          </w:pPr>
          <w:r>
            <w:t xml:space="preserve">Pelican Point Power Station (owned by GDF Suez). </w:t>
          </w:r>
        </w:p>
        <w:p w:rsidR="004E6FA8" w:rsidRDefault="004E6FA8" w:rsidP="004E6FA8">
          <w:r>
            <w:fldChar w:fldCharType="begin"/>
          </w:r>
          <w:r>
            <w:instrText xml:space="preserve"> REF _Ref437433944 \h </w:instrText>
          </w:r>
          <w:r>
            <w:fldChar w:fldCharType="separate"/>
          </w:r>
          <w:r w:rsidR="006A1105">
            <w:t xml:space="preserve">Table </w:t>
          </w:r>
          <w:r w:rsidR="006A1105">
            <w:rPr>
              <w:noProof/>
            </w:rPr>
            <w:t>3</w:t>
          </w:r>
          <w:r>
            <w:fldChar w:fldCharType="end"/>
          </w:r>
          <w:r>
            <w:t xml:space="preserve"> shows the maximum capacity available by station; Torrens Island is the largest registered provider of regulation services in South Australia with Northern the smallest. If the requirement for regulation services is above 20 MW then either Pelican Point or Torrens Island will need to be dispatched.</w:t>
          </w:r>
        </w:p>
        <w:p w:rsidR="004E6FA8" w:rsidRDefault="004E6FA8" w:rsidP="004E6FA8">
          <w:pPr>
            <w:pStyle w:val="Caption"/>
            <w:jc w:val="both"/>
          </w:pPr>
          <w:bookmarkStart w:id="8" w:name="_Ref437433944"/>
          <w:r>
            <w:t xml:space="preserve">Table </w:t>
          </w:r>
          <w:fldSimple w:instr=" SEQ Table \* ARABIC ">
            <w:r w:rsidR="006A1105">
              <w:rPr>
                <w:noProof/>
              </w:rPr>
              <w:t>3</w:t>
            </w:r>
          </w:fldSimple>
          <w:bookmarkEnd w:id="8"/>
          <w:r>
            <w:t>: Maximum capacity available by station and regulation service</w:t>
          </w:r>
        </w:p>
        <w:tbl>
          <w:tblPr>
            <w:tblStyle w:val="AERsummarytable"/>
            <w:tblW w:w="6840" w:type="dxa"/>
            <w:tblInd w:w="108" w:type="dxa"/>
            <w:tblLook w:val="04A0" w:firstRow="1" w:lastRow="0" w:firstColumn="1" w:lastColumn="0" w:noHBand="0" w:noVBand="1"/>
          </w:tblPr>
          <w:tblGrid>
            <w:gridCol w:w="3369"/>
            <w:gridCol w:w="1671"/>
            <w:gridCol w:w="1800"/>
          </w:tblGrid>
          <w:tr w:rsidR="004E6FA8" w:rsidRPr="008D2C93" w:rsidTr="004E6FA8">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4E6FA8" w:rsidRPr="008D2C93" w:rsidRDefault="004E6FA8" w:rsidP="004E6FA8">
                <w:pPr>
                  <w:spacing w:before="0" w:after="0" w:line="240" w:lineRule="auto"/>
                  <w:jc w:val="center"/>
                  <w:rPr>
                    <w:rFonts w:eastAsia="Times New Roman" w:cs="Arial"/>
                    <w:color w:val="000000"/>
                    <w:lang w:eastAsia="en-AU"/>
                  </w:rPr>
                </w:pPr>
                <w:r w:rsidRPr="001219D0">
                  <w:rPr>
                    <w:rFonts w:eastAsia="Times New Roman" w:cs="Arial"/>
                    <w:lang w:eastAsia="en-AU"/>
                  </w:rPr>
                  <w:t>Power Station</w:t>
                </w:r>
              </w:p>
            </w:tc>
            <w:tc>
              <w:tcPr>
                <w:tcW w:w="3471" w:type="dxa"/>
                <w:gridSpan w:val="2"/>
                <w:tcBorders>
                  <w:bottom w:val="nil"/>
                </w:tcBorders>
                <w:shd w:val="clear" w:color="auto" w:fill="076A92" w:themeFill="text1"/>
                <w:noWrap/>
                <w:vAlign w:val="center"/>
                <w:hideMark/>
              </w:tcPr>
              <w:p w:rsidR="004E6FA8" w:rsidRPr="008D2C93" w:rsidRDefault="004E6FA8" w:rsidP="004E6FA8">
                <w:pPr>
                  <w:spacing w:before="0" w:after="0" w:line="240" w:lineRule="auto"/>
                  <w:jc w:val="center"/>
                  <w:rPr>
                    <w:rFonts w:eastAsia="Times New Roman" w:cs="Arial"/>
                    <w:lang w:eastAsia="en-AU"/>
                  </w:rPr>
                </w:pPr>
                <w:r w:rsidRPr="008D2C93">
                  <w:rPr>
                    <w:rFonts w:eastAsia="Times New Roman" w:cs="Arial"/>
                    <w:lang w:eastAsia="en-AU"/>
                  </w:rPr>
                  <w:t>Max Capacity</w:t>
                </w:r>
              </w:p>
            </w:tc>
          </w:tr>
          <w:tr w:rsidR="004E6FA8" w:rsidRPr="004D0B56" w:rsidTr="004E6FA8">
            <w:trPr>
              <w:cnfStyle w:val="100000000000" w:firstRow="1" w:lastRow="0" w:firstColumn="0" w:lastColumn="0" w:oddVBand="0" w:evenVBand="0" w:oddHBand="0" w:evenHBand="0" w:firstRowFirstColumn="0" w:firstRowLastColumn="0" w:lastRowFirstColumn="0" w:lastRowLastColumn="0"/>
              <w:trHeight w:val="340"/>
              <w:tblHeader/>
            </w:trPr>
            <w:tc>
              <w:tcPr>
                <w:tcW w:w="3369" w:type="dxa"/>
                <w:tcBorders>
                  <w:bottom w:val="nil"/>
                </w:tcBorders>
                <w:shd w:val="clear" w:color="auto" w:fill="076A92" w:themeFill="text1"/>
                <w:noWrap/>
                <w:vAlign w:val="center"/>
                <w:hideMark/>
              </w:tcPr>
              <w:p w:rsidR="004E6FA8" w:rsidRPr="004D0B56" w:rsidRDefault="004E6FA8" w:rsidP="004E6FA8">
                <w:pPr>
                  <w:spacing w:after="0" w:line="240" w:lineRule="auto"/>
                  <w:jc w:val="center"/>
                  <w:rPr>
                    <w:rFonts w:eastAsia="Times New Roman" w:cs="Arial"/>
                    <w:color w:val="000000"/>
                    <w:lang w:eastAsia="en-AU"/>
                  </w:rPr>
                </w:pPr>
              </w:p>
            </w:tc>
            <w:tc>
              <w:tcPr>
                <w:tcW w:w="1671" w:type="dxa"/>
                <w:tcBorders>
                  <w:bottom w:val="nil"/>
                </w:tcBorders>
                <w:shd w:val="clear" w:color="auto" w:fill="076A92" w:themeFill="text1"/>
                <w:noWrap/>
                <w:vAlign w:val="center"/>
                <w:hideMark/>
              </w:tcPr>
              <w:p w:rsidR="004E6FA8" w:rsidRPr="004D0B56" w:rsidRDefault="004E6FA8" w:rsidP="004E6FA8">
                <w:pPr>
                  <w:spacing w:after="0" w:line="240" w:lineRule="auto"/>
                  <w:jc w:val="center"/>
                  <w:rPr>
                    <w:rFonts w:eastAsia="Times New Roman" w:cs="Arial"/>
                    <w:lang w:eastAsia="en-AU"/>
                  </w:rPr>
                </w:pPr>
                <w:r w:rsidRPr="004D0B56">
                  <w:rPr>
                    <w:rFonts w:eastAsia="Times New Roman" w:cs="Arial"/>
                    <w:lang w:eastAsia="en-AU"/>
                  </w:rPr>
                  <w:t>Lower regulation</w:t>
                </w:r>
              </w:p>
            </w:tc>
            <w:tc>
              <w:tcPr>
                <w:tcW w:w="1800" w:type="dxa"/>
                <w:tcBorders>
                  <w:bottom w:val="nil"/>
                </w:tcBorders>
                <w:shd w:val="clear" w:color="auto" w:fill="076A92" w:themeFill="text1"/>
                <w:noWrap/>
                <w:vAlign w:val="center"/>
                <w:hideMark/>
              </w:tcPr>
              <w:p w:rsidR="004E6FA8" w:rsidRPr="004D0B56" w:rsidRDefault="004E6FA8" w:rsidP="004E6FA8">
                <w:pPr>
                  <w:spacing w:after="0" w:line="240" w:lineRule="auto"/>
                  <w:jc w:val="center"/>
                  <w:rPr>
                    <w:rFonts w:eastAsia="Times New Roman" w:cs="Arial"/>
                    <w:lang w:eastAsia="en-AU"/>
                  </w:rPr>
                </w:pPr>
                <w:r w:rsidRPr="004D0B56">
                  <w:rPr>
                    <w:rFonts w:eastAsia="Times New Roman" w:cs="Arial"/>
                    <w:lang w:eastAsia="en-AU"/>
                  </w:rPr>
                  <w:t>Raise regulation</w:t>
                </w:r>
              </w:p>
            </w:tc>
          </w:tr>
          <w:tr w:rsidR="004E6FA8" w:rsidRPr="008D2C93" w:rsidTr="004E6FA8">
            <w:trPr>
              <w:cnfStyle w:val="000000100000" w:firstRow="0" w:lastRow="0" w:firstColumn="0" w:lastColumn="0" w:oddVBand="0" w:evenVBand="0" w:oddHBand="1" w:evenHBand="0" w:firstRowFirstColumn="0" w:firstRowLastColumn="0" w:lastRowFirstColumn="0" w:lastRowLastColumn="0"/>
              <w:trHeight w:val="340"/>
            </w:trPr>
            <w:tc>
              <w:tcPr>
                <w:tcW w:w="3369" w:type="dxa"/>
                <w:tcBorders>
                  <w:top w:val="nil"/>
                </w:tcBorders>
                <w:noWrap/>
                <w:vAlign w:val="center"/>
                <w:hideMark/>
              </w:tcPr>
              <w:p w:rsidR="004E6FA8" w:rsidRPr="008D2C93" w:rsidRDefault="004E6FA8" w:rsidP="004E6FA8">
                <w:pPr>
                  <w:spacing w:after="0" w:line="240" w:lineRule="auto"/>
                  <w:jc w:val="left"/>
                  <w:rPr>
                    <w:rFonts w:eastAsia="Times New Roman" w:cs="Arial"/>
                    <w:color w:val="000000"/>
                    <w:lang w:eastAsia="en-AU"/>
                  </w:rPr>
                </w:pPr>
                <w:r w:rsidRPr="008D2C93">
                  <w:rPr>
                    <w:rFonts w:eastAsia="Times New Roman" w:cs="Arial"/>
                    <w:color w:val="000000"/>
                    <w:lang w:eastAsia="en-AU"/>
                  </w:rPr>
                  <w:t>Northern</w:t>
                </w:r>
              </w:p>
            </w:tc>
            <w:tc>
              <w:tcPr>
                <w:tcW w:w="1671" w:type="dxa"/>
                <w:tcBorders>
                  <w:top w:val="nil"/>
                </w:tcBorders>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20</w:t>
                </w:r>
              </w:p>
            </w:tc>
            <w:tc>
              <w:tcPr>
                <w:tcW w:w="1800" w:type="dxa"/>
                <w:tcBorders>
                  <w:top w:val="nil"/>
                </w:tcBorders>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20</w:t>
                </w:r>
              </w:p>
            </w:tc>
          </w:tr>
          <w:tr w:rsidR="004E6FA8" w:rsidRPr="008D2C93" w:rsidTr="004E6FA8">
            <w:trPr>
              <w:cnfStyle w:val="000000010000" w:firstRow="0" w:lastRow="0" w:firstColumn="0" w:lastColumn="0" w:oddVBand="0" w:evenVBand="0" w:oddHBand="0" w:evenHBand="1" w:firstRowFirstColumn="0" w:firstRowLastColumn="0" w:lastRowFirstColumn="0" w:lastRowLastColumn="0"/>
              <w:trHeight w:val="340"/>
            </w:trPr>
            <w:tc>
              <w:tcPr>
                <w:tcW w:w="3369" w:type="dxa"/>
                <w:noWrap/>
                <w:vAlign w:val="center"/>
                <w:hideMark/>
              </w:tcPr>
              <w:p w:rsidR="004E6FA8" w:rsidRPr="008D2C93" w:rsidRDefault="004E6FA8" w:rsidP="004E6FA8">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w:t>
                </w:r>
              </w:p>
            </w:tc>
            <w:tc>
              <w:tcPr>
                <w:tcW w:w="1671" w:type="dxa"/>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c>
              <w:tcPr>
                <w:tcW w:w="1800" w:type="dxa"/>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100</w:t>
                </w:r>
              </w:p>
            </w:tc>
          </w:tr>
          <w:tr w:rsidR="004E6FA8" w:rsidRPr="008D2C93" w:rsidTr="004E6FA8">
            <w:trPr>
              <w:cnfStyle w:val="000000100000" w:firstRow="0" w:lastRow="0" w:firstColumn="0" w:lastColumn="0" w:oddVBand="0" w:evenVBand="0" w:oddHBand="1" w:evenHBand="0" w:firstRowFirstColumn="0" w:firstRowLastColumn="0" w:lastRowFirstColumn="0" w:lastRowLastColumn="0"/>
              <w:trHeight w:val="340"/>
            </w:trPr>
            <w:tc>
              <w:tcPr>
                <w:tcW w:w="3369" w:type="dxa"/>
                <w:noWrap/>
                <w:vAlign w:val="center"/>
                <w:hideMark/>
              </w:tcPr>
              <w:p w:rsidR="004E6FA8" w:rsidRPr="008D2C93" w:rsidRDefault="004E6FA8" w:rsidP="004E6FA8">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p>
            </w:tc>
            <w:tc>
              <w:tcPr>
                <w:tcW w:w="1671" w:type="dxa"/>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200</w:t>
                </w:r>
              </w:p>
            </w:tc>
            <w:tc>
              <w:tcPr>
                <w:tcW w:w="1800" w:type="dxa"/>
                <w:noWrap/>
                <w:vAlign w:val="center"/>
                <w:hideMark/>
              </w:tcPr>
              <w:p w:rsidR="004E6FA8" w:rsidRPr="008D2C93" w:rsidRDefault="004E6FA8" w:rsidP="004E6FA8">
                <w:pPr>
                  <w:spacing w:after="0" w:line="240" w:lineRule="auto"/>
                  <w:jc w:val="center"/>
                  <w:rPr>
                    <w:rFonts w:eastAsia="Times New Roman" w:cs="Arial"/>
                    <w:color w:val="000000"/>
                    <w:lang w:eastAsia="en-AU"/>
                  </w:rPr>
                </w:pPr>
                <w:r w:rsidRPr="008D2C93">
                  <w:rPr>
                    <w:rFonts w:eastAsia="Times New Roman" w:cs="Arial"/>
                    <w:color w:val="000000"/>
                    <w:lang w:eastAsia="en-AU"/>
                  </w:rPr>
                  <w:t>260</w:t>
                </w:r>
              </w:p>
            </w:tc>
          </w:tr>
        </w:tbl>
        <w:p w:rsidR="004E6FA8" w:rsidRDefault="004E6FA8" w:rsidP="004E6FA8">
          <w:r>
            <w:t xml:space="preserve">The market dispatch engine co-optimises FCAS and energy offers to ensure the most cost effective pricing solution. Similar to energy offers, participants may spread the capacity offered into each FCAS market into different price bands. Co-optimisation in the dispatch process accounts for the targeted energy dispatch level, FCAS requirements and generator offers for all services; while a generator may offer a large volume of capacity into an FCAS market, the effective available capacity may be less depending on how much energy the generator is providing at the time. </w:t>
          </w:r>
        </w:p>
        <w:p w:rsidR="004E6FA8" w:rsidRDefault="004E6FA8" w:rsidP="004E6FA8">
          <w:pPr>
            <w:pStyle w:val="Heading3"/>
          </w:pPr>
          <w:bookmarkStart w:id="9" w:name="_Toc438476554"/>
          <w:r>
            <w:t>Rebidding on 11 and 12 October</w:t>
          </w:r>
          <w:bookmarkEnd w:id="9"/>
          <w:r>
            <w:t xml:space="preserve"> </w:t>
          </w:r>
        </w:p>
        <w:p w:rsidR="004E6FA8" w:rsidRDefault="004E6FA8" w:rsidP="004E6FA8">
          <w:r>
            <w:t xml:space="preserve">On 11 and 12 October, only Torrens Island and Northern had offers to provide regulation services in South Australia. During the high price period, Torrens Island had four out of eight units </w:t>
          </w:r>
          <w:r w:rsidR="00146D5D">
            <w:t>operating</w:t>
          </w:r>
          <w:r>
            <w:t xml:space="preserve">; Northern was running one unit. Out of 320 MW of capacity registered for lower regulation services, only 110 MW was offered as available to the market. With the requirement set by AEMO at 35 MW, </w:t>
          </w:r>
          <w:r w:rsidR="00FA5670">
            <w:t xml:space="preserve">with </w:t>
          </w:r>
          <w:r>
            <w:t>only 10 MW from Northern</w:t>
          </w:r>
          <w:r w:rsidR="00FA5670">
            <w:t>,</w:t>
          </w:r>
          <w:r>
            <w:t xml:space="preserve"> the remaining 25 MW needed to be sourced from Torrens Island. AGL </w:t>
          </w:r>
          <w:r w:rsidR="00FA5670">
            <w:t xml:space="preserve">therefore </w:t>
          </w:r>
          <w:r w:rsidR="00146D5D">
            <w:t xml:space="preserve">was needed to satisfy the requirement and </w:t>
          </w:r>
          <w:r>
            <w:t>could set price.</w:t>
          </w:r>
        </w:p>
        <w:p w:rsidR="004E6FA8" w:rsidRDefault="004E6FA8" w:rsidP="004E6FA8">
          <w:r>
            <w:t xml:space="preserve">At 8.18 pm, effective from 8.25 pm, AGL rebid </w:t>
          </w:r>
          <w:r w:rsidR="00407B22">
            <w:t>6</w:t>
          </w:r>
          <w:r>
            <w:t xml:space="preserve">0 MW of capacity at Torrens Island in both lower and raise services from </w:t>
          </w:r>
          <w:r w:rsidRPr="002F63F2">
            <w:t xml:space="preserve">low prices </w:t>
          </w:r>
          <w:r w:rsidRPr="00E125B3">
            <w:t>to $13 </w:t>
          </w:r>
          <w:r w:rsidRPr="00621217">
            <w:t>100/MW. Immediately the price for both services reached $13 100/</w:t>
          </w:r>
          <w:r>
            <w:t>MW, and stayed around that price. At 4.05 pm on 12</w:t>
          </w:r>
          <w:r w:rsidR="00CC35B8">
            <w:t> </w:t>
          </w:r>
          <w:r>
            <w:t xml:space="preserve">October the CPT was breached and the administered price cap of $300/MW was </w:t>
          </w:r>
          <w:r>
            <w:lastRenderedPageBreak/>
            <w:t>applied (see Appendix</w:t>
          </w:r>
          <w:r w:rsidR="00EE71EE">
            <w:t> </w:t>
          </w:r>
          <w:r w:rsidR="00992010">
            <w:t xml:space="preserve">A </w:t>
          </w:r>
          <w:r>
            <w:t>for a description of FCAS</w:t>
          </w:r>
          <w:r w:rsidR="008A481E">
            <w:t xml:space="preserve"> and Appendix</w:t>
          </w:r>
          <w:r w:rsidR="00EE71EE">
            <w:t> </w:t>
          </w:r>
          <w:r w:rsidR="008A481E">
            <w:t>D for the effect of these rebid on their closing bids</w:t>
          </w:r>
          <w:r>
            <w:t>).</w:t>
          </w:r>
        </w:p>
        <w:p w:rsidR="004E6FA8" w:rsidRDefault="004E6FA8" w:rsidP="004E6FA8">
          <w:r>
            <w:fldChar w:fldCharType="begin"/>
          </w:r>
          <w:r>
            <w:instrText xml:space="preserve"> REF _Ref436820573 \h </w:instrText>
          </w:r>
          <w:r>
            <w:fldChar w:fldCharType="separate"/>
          </w:r>
          <w:r w:rsidR="006A1105">
            <w:t xml:space="preserve">Figure </w:t>
          </w:r>
          <w:r w:rsidR="006A1105">
            <w:rPr>
              <w:noProof/>
            </w:rPr>
            <w:t>1</w:t>
          </w:r>
          <w:r>
            <w:fldChar w:fldCharType="end"/>
          </w:r>
          <w:r>
            <w:t xml:space="preserve"> and </w:t>
          </w:r>
          <w:r>
            <w:fldChar w:fldCharType="begin"/>
          </w:r>
          <w:r>
            <w:instrText xml:space="preserve"> REF _Ref436821905 \h </w:instrText>
          </w:r>
          <w:r>
            <w:fldChar w:fldCharType="separate"/>
          </w:r>
          <w:r w:rsidR="006A1105">
            <w:t xml:space="preserve">Figure </w:t>
          </w:r>
          <w:r w:rsidR="006A1105">
            <w:rPr>
              <w:noProof/>
            </w:rPr>
            <w:t>2</w:t>
          </w:r>
          <w:r>
            <w:fldChar w:fldCharType="end"/>
          </w:r>
          <w:r>
            <w:t xml:space="preserve"> show the effective offers for South Australian lower and raise regulation services as well as the price and requirement on 11 and 12 October. </w:t>
          </w:r>
          <w:r w:rsidR="00146D5D" w:rsidRPr="00146D5D">
            <w:t xml:space="preserve">It </w:t>
          </w:r>
          <w:r w:rsidR="00FA5670">
            <w:t>shows</w:t>
          </w:r>
          <w:r w:rsidR="00146D5D" w:rsidRPr="00146D5D">
            <w:t xml:space="preserve"> the </w:t>
          </w:r>
          <w:r w:rsidR="00146D5D">
            <w:t>impact</w:t>
          </w:r>
          <w:r w:rsidR="00146D5D" w:rsidRPr="00146D5D">
            <w:t xml:space="preserve"> of </w:t>
          </w:r>
          <w:r w:rsidR="00FA5670">
            <w:t xml:space="preserve">AGL’s </w:t>
          </w:r>
          <w:r w:rsidR="00146D5D" w:rsidRPr="00146D5D">
            <w:t>rebidding</w:t>
          </w:r>
          <w:r w:rsidR="00146D5D">
            <w:t xml:space="preserve">. </w:t>
          </w:r>
        </w:p>
        <w:p w:rsidR="004E6FA8" w:rsidRDefault="004E6FA8" w:rsidP="004E6FA8">
          <w:pPr>
            <w:pStyle w:val="Caption"/>
          </w:pPr>
          <w:bookmarkStart w:id="10" w:name="_Ref436820573"/>
          <w:r>
            <w:t xml:space="preserve">Figure </w:t>
          </w:r>
          <w:fldSimple w:instr=" SEQ Figure \* ARABIC ">
            <w:r w:rsidR="006A1105">
              <w:rPr>
                <w:noProof/>
              </w:rPr>
              <w:t>1</w:t>
            </w:r>
          </w:fldSimple>
          <w:bookmarkEnd w:id="10"/>
          <w:r>
            <w:t>: South Australian Lower regulation services price, requirement and effective offers on 11 and 12 October</w:t>
          </w:r>
        </w:p>
        <w:p w:rsidR="004E6FA8" w:rsidRDefault="004E6FA8" w:rsidP="004E6FA8">
          <w:r w:rsidRPr="00432F60">
            <w:rPr>
              <w:noProof/>
              <w:lang w:eastAsia="en-AU"/>
            </w:rPr>
            <w:drawing>
              <wp:inline distT="0" distB="0" distL="0" distR="0" wp14:anchorId="044B7741" wp14:editId="5E2ABE72">
                <wp:extent cx="5384800" cy="3149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148486"/>
                        </a:xfrm>
                        <a:prstGeom prst="rect">
                          <a:avLst/>
                        </a:prstGeom>
                        <a:noFill/>
                        <a:ln>
                          <a:noFill/>
                        </a:ln>
                      </pic:spPr>
                    </pic:pic>
                  </a:graphicData>
                </a:graphic>
              </wp:inline>
            </w:drawing>
          </w:r>
        </w:p>
        <w:p w:rsidR="004E6FA8" w:rsidRDefault="004E6FA8" w:rsidP="004E6FA8">
          <w:pPr>
            <w:pStyle w:val="Caption"/>
          </w:pPr>
          <w:bookmarkStart w:id="11" w:name="_Ref436821905"/>
          <w:r>
            <w:t xml:space="preserve">Figure </w:t>
          </w:r>
          <w:fldSimple w:instr=" SEQ Figure \* ARABIC ">
            <w:r w:rsidR="006A1105">
              <w:rPr>
                <w:noProof/>
              </w:rPr>
              <w:t>2</w:t>
            </w:r>
          </w:fldSimple>
          <w:bookmarkEnd w:id="11"/>
          <w:r>
            <w:t>: South Australian Raise regulation services price, requirement and effective offers on 11 and 12 October</w:t>
          </w:r>
        </w:p>
        <w:p w:rsidR="004E6FA8" w:rsidRDefault="004E6FA8" w:rsidP="004E6FA8">
          <w:r w:rsidRPr="00432F60">
            <w:rPr>
              <w:noProof/>
              <w:lang w:eastAsia="en-AU"/>
            </w:rPr>
            <w:drawing>
              <wp:inline distT="0" distB="0" distL="0" distR="0" wp14:anchorId="28D90058" wp14:editId="27EEFD26">
                <wp:extent cx="5384800" cy="3219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218311"/>
                        </a:xfrm>
                        <a:prstGeom prst="rect">
                          <a:avLst/>
                        </a:prstGeom>
                        <a:noFill/>
                        <a:ln>
                          <a:noFill/>
                        </a:ln>
                      </pic:spPr>
                    </pic:pic>
                  </a:graphicData>
                </a:graphic>
              </wp:inline>
            </w:drawing>
          </w:r>
        </w:p>
        <w:p w:rsidR="004E6FA8" w:rsidRDefault="004E6FA8" w:rsidP="004E6FA8">
          <w:pPr>
            <w:pStyle w:val="Heading3"/>
            <w:keepNext/>
          </w:pPr>
          <w:bookmarkStart w:id="12" w:name="_Toc438476555"/>
          <w:r>
            <w:lastRenderedPageBreak/>
            <w:t>Rebidding on 25 October</w:t>
          </w:r>
          <w:bookmarkEnd w:id="12"/>
        </w:p>
        <w:p w:rsidR="004E6FA8" w:rsidRDefault="004E6FA8" w:rsidP="004E6FA8">
          <w:r>
            <w:t xml:space="preserve">Following the high prices of 11 and 12 October a second Northern unit and one Pelican Point unit were brought </w:t>
          </w:r>
          <w:r w:rsidR="00146D5D">
            <w:t>into service</w:t>
          </w:r>
          <w:r>
            <w:t xml:space="preserve">. On 15 October, coinciding with the commencement of the next set of network outages, the local </w:t>
          </w:r>
          <w:r w:rsidR="000F4D76">
            <w:t xml:space="preserve">regulation </w:t>
          </w:r>
          <w:r>
            <w:t xml:space="preserve">constraints </w:t>
          </w:r>
          <w:r w:rsidR="00547A1A">
            <w:t xml:space="preserve">were </w:t>
          </w:r>
          <w:r>
            <w:t xml:space="preserve">invoked again and were in place </w:t>
          </w:r>
          <w:r w:rsidR="00146D5D">
            <w:t>continually</w:t>
          </w:r>
          <w:r>
            <w:t xml:space="preserve"> until the 26 October</w:t>
          </w:r>
          <w:r w:rsidR="00146D5D">
            <w:t>.</w:t>
          </w:r>
          <w:r>
            <w:t xml:space="preserve"> </w:t>
          </w:r>
          <w:r w:rsidR="00146D5D">
            <w:t xml:space="preserve">During the period 15 October to 25 October at 12.30 am the </w:t>
          </w:r>
          <w:r>
            <w:t>three powers stations registered to provide FCAS in South Australia were operating to meet the requirement</w:t>
          </w:r>
          <w:r>
            <w:rPr>
              <w:rStyle w:val="FootnoteReference"/>
            </w:rPr>
            <w:footnoteReference w:id="5"/>
          </w:r>
          <w:r>
            <w:t>:</w:t>
          </w:r>
        </w:p>
        <w:p w:rsidR="004E6FA8" w:rsidRDefault="004E6FA8" w:rsidP="004E6FA8">
          <w:pPr>
            <w:pStyle w:val="Bulletpoint"/>
          </w:pPr>
          <w:r>
            <w:t xml:space="preserve">regulation services prices were operating at around $300/MW with an occasional spike to about $6000/MW; </w:t>
          </w:r>
        </w:p>
        <w:p w:rsidR="004E6FA8" w:rsidRDefault="004E6FA8" w:rsidP="004E6FA8">
          <w:pPr>
            <w:pStyle w:val="Bulletpoint"/>
          </w:pPr>
          <w:proofErr w:type="gramStart"/>
          <w:r>
            <w:t>energy</w:t>
          </w:r>
          <w:proofErr w:type="gramEnd"/>
          <w:r>
            <w:t xml:space="preserve"> prices were quite variable as a consequence of additional units operating to provide FCAS. Varying between -$45/MWh and $250/MWh with an average around $37/MWh; </w:t>
          </w:r>
        </w:p>
        <w:p w:rsidR="004E6FA8" w:rsidRDefault="004E6FA8" w:rsidP="004E6FA8">
          <w:pPr>
            <w:pStyle w:val="Bulletpoint"/>
          </w:pPr>
          <w:proofErr w:type="gramStart"/>
          <w:r>
            <w:t>five</w:t>
          </w:r>
          <w:proofErr w:type="gramEnd"/>
          <w:r>
            <w:t xml:space="preserve"> units in South Australia were offering regulation capacity to the market, including both units of Northern and one Pelican Point unit.</w:t>
          </w:r>
        </w:p>
        <w:p w:rsidR="004E6FA8" w:rsidRPr="009E027D" w:rsidRDefault="004E6FA8" w:rsidP="004E6FA8">
          <w:r>
            <w:t xml:space="preserve">On </w:t>
          </w:r>
          <w:r w:rsidR="00547A1A">
            <w:t>25 </w:t>
          </w:r>
          <w:r>
            <w:t xml:space="preserve">October, </w:t>
          </w:r>
          <w:proofErr w:type="spellStart"/>
          <w:r>
            <w:t>Alinta</w:t>
          </w:r>
          <w:proofErr w:type="spellEnd"/>
          <w:r>
            <w:t xml:space="preserve"> and GDF Suez made the following amendments to their raise and lower regulation offers, both taking effect from 12.45 pm: </w:t>
          </w:r>
        </w:p>
        <w:p w:rsidR="004E6FA8" w:rsidRDefault="004E6FA8" w:rsidP="004E6FA8">
          <w:pPr>
            <w:pStyle w:val="Bulletpoint"/>
          </w:pPr>
          <w:r>
            <w:t xml:space="preserve">at 12.35 pm </w:t>
          </w:r>
          <w:proofErr w:type="spellStart"/>
          <w:r>
            <w:t>Alinta</w:t>
          </w:r>
          <w:proofErr w:type="spellEnd"/>
          <w:r>
            <w:t xml:space="preserve"> rebid 10 MW of capacity at Northern from $0.8/MW to $1500/MW in </w:t>
          </w:r>
          <w:r w:rsidR="00586DCB">
            <w:t>regulation</w:t>
          </w:r>
          <w:r>
            <w:t>; and</w:t>
          </w:r>
        </w:p>
        <w:p w:rsidR="004E6FA8" w:rsidRDefault="004E6FA8" w:rsidP="004E6FA8">
          <w:pPr>
            <w:pStyle w:val="Bulletpoint"/>
          </w:pPr>
          <w:proofErr w:type="gramStart"/>
          <w:r>
            <w:t>at</w:t>
          </w:r>
          <w:proofErr w:type="gramEnd"/>
          <w:r>
            <w:t xml:space="preserve"> 12.38 pm GDF Suez withdrew Pelican Point from the market, reducing the offered availability of regulation by 30 MW. </w:t>
          </w:r>
        </w:p>
        <w:p w:rsidR="004E6FA8" w:rsidRDefault="004E6FA8" w:rsidP="004E6FA8">
          <w:r>
            <w:t>As a result of these rebids, the dispatch price for both services went from $800/MW (set by Pelican Point) at 12.</w:t>
          </w:r>
          <w:r w:rsidRPr="00DF7368">
            <w:t>40</w:t>
          </w:r>
          <w:r>
            <w:t xml:space="preserve"> pm </w:t>
          </w:r>
          <w:r w:rsidRPr="00DF7368">
            <w:t>to</w:t>
          </w:r>
          <w:r>
            <w:t xml:space="preserve"> $1500/MW (set by Northern) at 12.45 pm</w:t>
          </w:r>
          <w:r w:rsidR="00F95AE5">
            <w:t xml:space="preserve"> (the rebids made by the participants in </w:t>
          </w:r>
          <w:r w:rsidR="00CC35B8">
            <w:t xml:space="preserve">South </w:t>
          </w:r>
          <w:r w:rsidR="00F95AE5">
            <w:t xml:space="preserve">Australia that effected the regulation price are listed in </w:t>
          </w:r>
          <w:r w:rsidR="00992010">
            <w:t>A</w:t>
          </w:r>
          <w:r w:rsidR="00F95AE5">
            <w:t xml:space="preserve">ppendix </w:t>
          </w:r>
          <w:r w:rsidR="00992010">
            <w:t>C</w:t>
          </w:r>
          <w:r w:rsidR="00F95AE5">
            <w:t>).</w:t>
          </w:r>
        </w:p>
        <w:p w:rsidR="004E6FA8" w:rsidRDefault="004E6FA8" w:rsidP="004E6FA8">
          <w:r>
            <w:t xml:space="preserve">At 1.01 pm, effective from 1.10 pm, </w:t>
          </w:r>
          <w:proofErr w:type="spellStart"/>
          <w:r>
            <w:t>Alinta</w:t>
          </w:r>
          <w:proofErr w:type="spellEnd"/>
          <w:r>
            <w:t xml:space="preserve"> rebid 10 MW of capacity at Northern in both services from $1500/MW to $12 400/MW, setting the price. The price of both raise and lower services stayed around or above $12 400/MW until </w:t>
          </w:r>
          <w:r w:rsidRPr="00F67E33">
            <w:t>six times</w:t>
          </w:r>
          <w:r>
            <w:t xml:space="preserve"> the CPT was again breached and prices were capped to $300/MW at 4.20 pm.</w:t>
          </w:r>
        </w:p>
        <w:p w:rsidR="004E6FA8" w:rsidRPr="00E54195" w:rsidRDefault="004E6FA8" w:rsidP="004E6FA8">
          <w:r>
            <w:fldChar w:fldCharType="begin"/>
          </w:r>
          <w:r>
            <w:instrText xml:space="preserve"> REF _Ref436999953 \h  \* MERGEFORMAT </w:instrText>
          </w:r>
          <w:r>
            <w:fldChar w:fldCharType="separate"/>
          </w:r>
          <w:r w:rsidR="006A1105">
            <w:t xml:space="preserve">Figure </w:t>
          </w:r>
          <w:r w:rsidR="006A1105">
            <w:rPr>
              <w:noProof/>
            </w:rPr>
            <w:t>3</w:t>
          </w:r>
          <w:r>
            <w:fldChar w:fldCharType="end"/>
          </w:r>
          <w:r>
            <w:t xml:space="preserve"> and </w:t>
          </w:r>
          <w:r>
            <w:fldChar w:fldCharType="begin"/>
          </w:r>
          <w:r>
            <w:instrText xml:space="preserve"> REF _Ref436999963 \h  \* MERGEFORMAT </w:instrText>
          </w:r>
          <w:r>
            <w:fldChar w:fldCharType="separate"/>
          </w:r>
          <w:r w:rsidR="006A1105">
            <w:t xml:space="preserve">Figure </w:t>
          </w:r>
          <w:r w:rsidR="006A1105">
            <w:rPr>
              <w:noProof/>
            </w:rPr>
            <w:t>4</w:t>
          </w:r>
          <w:r>
            <w:fldChar w:fldCharType="end"/>
          </w:r>
          <w:r>
            <w:t xml:space="preserve"> show the effective offers for South Australian lower and raise regulation services as well as the price and requirement on 25 October.</w:t>
          </w:r>
        </w:p>
        <w:p w:rsidR="004E6FA8" w:rsidRDefault="004E6FA8" w:rsidP="004E6FA8">
          <w:pPr>
            <w:pStyle w:val="Caption"/>
          </w:pPr>
          <w:bookmarkStart w:id="13" w:name="_Ref436999953"/>
          <w:r>
            <w:lastRenderedPageBreak/>
            <w:t xml:space="preserve">Figure </w:t>
          </w:r>
          <w:fldSimple w:instr=" SEQ Figure \* ARABIC ">
            <w:r w:rsidR="006A1105">
              <w:rPr>
                <w:noProof/>
              </w:rPr>
              <w:t>3</w:t>
            </w:r>
          </w:fldSimple>
          <w:bookmarkEnd w:id="13"/>
          <w:r>
            <w:t xml:space="preserve">: South Australian </w:t>
          </w:r>
          <w:r w:rsidR="00146D5D">
            <w:t xml:space="preserve">Lower </w:t>
          </w:r>
          <w:r>
            <w:t>regulation services price, requirement and effective offers on 25 October</w:t>
          </w:r>
        </w:p>
        <w:p w:rsidR="004E6FA8" w:rsidRDefault="004E6FA8" w:rsidP="004E6FA8">
          <w:r w:rsidRPr="00432F60">
            <w:rPr>
              <w:noProof/>
              <w:lang w:eastAsia="en-AU"/>
            </w:rPr>
            <w:drawing>
              <wp:inline distT="0" distB="0" distL="0" distR="0" wp14:anchorId="167251BB" wp14:editId="3AB62BE1">
                <wp:extent cx="5382895" cy="348958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489587"/>
                        </a:xfrm>
                        <a:prstGeom prst="rect">
                          <a:avLst/>
                        </a:prstGeom>
                        <a:noFill/>
                        <a:ln>
                          <a:noFill/>
                        </a:ln>
                      </pic:spPr>
                    </pic:pic>
                  </a:graphicData>
                </a:graphic>
              </wp:inline>
            </w:drawing>
          </w:r>
        </w:p>
        <w:p w:rsidR="004E6FA8" w:rsidRDefault="004E6FA8" w:rsidP="004E6FA8"/>
        <w:p w:rsidR="004E6FA8" w:rsidRDefault="004E6FA8" w:rsidP="004E6FA8">
          <w:pPr>
            <w:pStyle w:val="Caption"/>
          </w:pPr>
          <w:bookmarkStart w:id="14" w:name="_Ref436999963"/>
          <w:r>
            <w:t xml:space="preserve">Figure </w:t>
          </w:r>
          <w:fldSimple w:instr=" SEQ Figure \* ARABIC ">
            <w:r w:rsidR="006A1105">
              <w:rPr>
                <w:noProof/>
              </w:rPr>
              <w:t>4</w:t>
            </w:r>
          </w:fldSimple>
          <w:bookmarkEnd w:id="14"/>
          <w:r>
            <w:t xml:space="preserve">: South Australian </w:t>
          </w:r>
          <w:r w:rsidR="00146D5D">
            <w:t xml:space="preserve">raise </w:t>
          </w:r>
          <w:r>
            <w:t>regulation services price, requirement and effective offers on 25 October</w:t>
          </w:r>
        </w:p>
        <w:p w:rsidR="004E6FA8" w:rsidRDefault="004E6FA8" w:rsidP="004E6FA8">
          <w:r w:rsidRPr="00432F60">
            <w:rPr>
              <w:noProof/>
              <w:lang w:eastAsia="en-AU"/>
            </w:rPr>
            <w:drawing>
              <wp:inline distT="0" distB="0" distL="0" distR="0" wp14:anchorId="79BE325F" wp14:editId="109F6C56">
                <wp:extent cx="5382895" cy="3489587"/>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489587"/>
                        </a:xfrm>
                        <a:prstGeom prst="rect">
                          <a:avLst/>
                        </a:prstGeom>
                        <a:noFill/>
                        <a:ln>
                          <a:noFill/>
                        </a:ln>
                      </pic:spPr>
                    </pic:pic>
                  </a:graphicData>
                </a:graphic>
              </wp:inline>
            </w:drawing>
          </w:r>
        </w:p>
        <w:p w:rsidR="004E6FA8" w:rsidRDefault="00586DCB" w:rsidP="004E6FA8">
          <w:r>
            <w:lastRenderedPageBreak/>
            <w:t xml:space="preserve">Appendix F details the </w:t>
          </w:r>
          <w:r w:rsidR="004E6FA8">
            <w:t>generators involved in setting the price during the high-price period and how that price was determined by the market systems. The closing bids of the generators offering lower and raise regulation serv</w:t>
          </w:r>
          <w:r w:rsidR="00992010">
            <w:t>ices are presented in Appendix</w:t>
          </w:r>
          <w:r>
            <w:t> </w:t>
          </w:r>
          <w:r w:rsidR="00992010">
            <w:t>D</w:t>
          </w:r>
          <w:r w:rsidR="004E6FA8">
            <w:t>.</w:t>
          </w:r>
        </w:p>
        <w:p w:rsidR="004E6FA8" w:rsidRDefault="004E6FA8" w:rsidP="004E6FA8">
          <w:pPr>
            <w:pStyle w:val="Heading2"/>
          </w:pPr>
          <w:bookmarkStart w:id="15" w:name="_Ref438024823"/>
          <w:bookmarkStart w:id="16" w:name="_Toc438476556"/>
          <w:r>
            <w:t>Prices and the cumulative price threshold</w:t>
          </w:r>
          <w:bookmarkEnd w:id="15"/>
          <w:bookmarkEnd w:id="16"/>
        </w:p>
        <w:p w:rsidR="004E6FA8" w:rsidRDefault="004E6FA8" w:rsidP="004E6FA8">
          <w:r>
            <w:t xml:space="preserve">Under the National Electricity </w:t>
          </w:r>
          <w:r w:rsidR="00146D5D">
            <w:t>Rules</w:t>
          </w:r>
          <w:r>
            <w:t>, if the accumulation of the previous 2016 dispatch prices exceeds six times the Cumulative Price Threshold (CPT) of $207 000 for any FCAS then an administered price cap of $300/MW</w:t>
          </w:r>
          <w:r>
            <w:rPr>
              <w:rStyle w:val="FootnoteReference"/>
            </w:rPr>
            <w:footnoteReference w:id="6"/>
          </w:r>
          <w:r>
            <w:t xml:space="preserve"> is applied to all services where the price would exceed the administered price cap. In summary:</w:t>
          </w:r>
        </w:p>
        <w:p w:rsidR="004E6FA8" w:rsidRDefault="004E6FA8" w:rsidP="004E6FA8">
          <w:pPr>
            <w:pStyle w:val="Bulletpoint"/>
          </w:pPr>
          <w:r>
            <w:t>From 8.25 pm on 11 October to 4 am on 12 October the price for regulation exceeded $13 00/MW. The CPT was breached at 4 am on 12 October and the administered price cap of $300/MW was applied from 4.05 pm until 4 am on 19</w:t>
          </w:r>
          <w:r w:rsidR="00D408C7">
            <w:t> </w:t>
          </w:r>
          <w:r>
            <w:t>October.</w:t>
          </w:r>
        </w:p>
        <w:p w:rsidR="004E6FA8" w:rsidRDefault="004E6FA8" w:rsidP="004E6FA8">
          <w:pPr>
            <w:pStyle w:val="Bulletpoint"/>
          </w:pPr>
          <w:r>
            <w:t>From 1.10 pm to 4.15 pm on 25 October the price for regulation exceeded $12 300/MW. The CPT was breached at 4.15 pm on 25 October</w:t>
          </w:r>
          <w:r w:rsidRPr="009F7A8E">
            <w:t xml:space="preserve"> </w:t>
          </w:r>
          <w:r>
            <w:t>and the administered price cap was applied from 4.20 pm to 4 am on 27 October.</w:t>
          </w:r>
          <w:r w:rsidRPr="00850F12">
            <w:t xml:space="preserve"> </w:t>
          </w:r>
        </w:p>
        <w:p w:rsidR="004E6FA8" w:rsidRDefault="004E6FA8" w:rsidP="004E6FA8">
          <w:r>
            <w:fldChar w:fldCharType="begin"/>
          </w:r>
          <w:r>
            <w:instrText xml:space="preserve"> REF _Ref436743497 \h </w:instrText>
          </w:r>
          <w:r>
            <w:fldChar w:fldCharType="separate"/>
          </w:r>
          <w:r w:rsidR="006A1105">
            <w:t xml:space="preserve">Figure </w:t>
          </w:r>
          <w:r w:rsidR="006A1105">
            <w:rPr>
              <w:noProof/>
            </w:rPr>
            <w:t>5</w:t>
          </w:r>
          <w:r>
            <w:fldChar w:fldCharType="end"/>
          </w:r>
          <w:r>
            <w:t xml:space="preserve"> shows the dispatch price and requirements for </w:t>
          </w:r>
          <w:r w:rsidR="009B4EEA">
            <w:t xml:space="preserve">local </w:t>
          </w:r>
          <w:r>
            <w:t>regulation in South Australia between 10 and 26 October.</w:t>
          </w:r>
        </w:p>
        <w:p w:rsidR="004E6FA8" w:rsidRDefault="004E6FA8" w:rsidP="004E6FA8">
          <w:pPr>
            <w:pStyle w:val="Caption"/>
          </w:pPr>
          <w:bookmarkStart w:id="17" w:name="_Ref436743497"/>
          <w:r>
            <w:t xml:space="preserve">Figure </w:t>
          </w:r>
          <w:fldSimple w:instr=" SEQ Figure \* ARABIC ">
            <w:r w:rsidR="006A1105">
              <w:rPr>
                <w:noProof/>
              </w:rPr>
              <w:t>5</w:t>
            </w:r>
          </w:fldSimple>
          <w:bookmarkEnd w:id="17"/>
          <w:r>
            <w:t xml:space="preserve">: </w:t>
          </w:r>
          <w:r w:rsidRPr="00121F23">
            <w:t>South Australian local regulation service requirements and price, 10 - 26 October</w:t>
          </w:r>
        </w:p>
        <w:p w:rsidR="004E6FA8" w:rsidRDefault="003B4D22" w:rsidP="004E6FA8">
          <w:r w:rsidRPr="003B4D22">
            <w:rPr>
              <w:noProof/>
              <w:lang w:eastAsia="en-AU"/>
            </w:rPr>
            <w:drawing>
              <wp:inline distT="0" distB="0" distL="0" distR="0" wp14:anchorId="4F0BE274" wp14:editId="15FB535C">
                <wp:extent cx="5382000" cy="324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4E6FA8" w:rsidRDefault="004E6FA8" w:rsidP="004E6FA8">
          <w:r>
            <w:lastRenderedPageBreak/>
            <w:fldChar w:fldCharType="begin"/>
          </w:r>
          <w:r>
            <w:instrText xml:space="preserve"> REF _Ref436743907 \h </w:instrText>
          </w:r>
          <w:r>
            <w:fldChar w:fldCharType="separate"/>
          </w:r>
          <w:r w:rsidR="006A1105">
            <w:t xml:space="preserve">Figure </w:t>
          </w:r>
          <w:r w:rsidR="006A1105">
            <w:rPr>
              <w:noProof/>
            </w:rPr>
            <w:t>6</w:t>
          </w:r>
          <w:r>
            <w:fldChar w:fldCharType="end"/>
          </w:r>
          <w:r>
            <w:t xml:space="preserve"> shows the accumulated </w:t>
          </w:r>
          <w:r w:rsidR="009B4EEA">
            <w:t>price</w:t>
          </w:r>
          <w:r>
            <w:t xml:space="preserve"> of regulation, the dispatch price and six times the CPT value. It shows that the threshold was breached on both 12 October </w:t>
          </w:r>
          <w:r w:rsidRPr="00134063">
            <w:t xml:space="preserve">(the first time it has been breached for any </w:t>
          </w:r>
          <w:r>
            <w:t>FCAS</w:t>
          </w:r>
          <w:r w:rsidRPr="00134063">
            <w:t>)</w:t>
          </w:r>
          <w:r>
            <w:t xml:space="preserve"> and </w:t>
          </w:r>
          <w:r w:rsidR="00F6329E">
            <w:t>25 </w:t>
          </w:r>
          <w:r w:rsidRPr="00134063">
            <w:t>October and</w:t>
          </w:r>
          <w:r>
            <w:t xml:space="preserve"> that all FCAS prices were capped at $300/MW until the accumulated </w:t>
          </w:r>
          <w:r w:rsidR="009B4EEA">
            <w:t>price</w:t>
          </w:r>
          <w:r>
            <w:t xml:space="preserve"> went below six times the </w:t>
          </w:r>
          <w:r w:rsidR="009B4EEA">
            <w:t>threshold</w:t>
          </w:r>
          <w:r>
            <w:t>.</w:t>
          </w:r>
        </w:p>
        <w:p w:rsidR="004E6FA8" w:rsidRDefault="004E6FA8" w:rsidP="004E6FA8">
          <w:pPr>
            <w:pStyle w:val="Caption"/>
          </w:pPr>
          <w:bookmarkStart w:id="18" w:name="_Ref436743907"/>
          <w:r>
            <w:t xml:space="preserve">Figure </w:t>
          </w:r>
          <w:fldSimple w:instr=" SEQ Figure \* ARABIC ">
            <w:r w:rsidR="006A1105">
              <w:rPr>
                <w:noProof/>
              </w:rPr>
              <w:t>6</w:t>
            </w:r>
          </w:fldSimple>
          <w:bookmarkEnd w:id="18"/>
          <w:r>
            <w:t>: South Australian local regulation services price, cumulative price and CPT</w:t>
          </w:r>
        </w:p>
        <w:p w:rsidR="004E6FA8" w:rsidRDefault="004E6FA8" w:rsidP="004E6FA8">
          <w:r w:rsidRPr="00432F60">
            <w:rPr>
              <w:noProof/>
              <w:lang w:eastAsia="en-AU"/>
            </w:rPr>
            <w:drawing>
              <wp:inline distT="0" distB="0" distL="0" distR="0" wp14:anchorId="65B9B461" wp14:editId="2049E3C7">
                <wp:extent cx="5382000"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4E6FA8" w:rsidRDefault="004E6FA8" w:rsidP="004E6FA8">
          <w:r>
            <w:t xml:space="preserve">The solid red and blue lines in </w:t>
          </w:r>
          <w:r>
            <w:fldChar w:fldCharType="begin"/>
          </w:r>
          <w:r>
            <w:instrText xml:space="preserve"> REF _Ref436743907 \h </w:instrText>
          </w:r>
          <w:r>
            <w:fldChar w:fldCharType="separate"/>
          </w:r>
          <w:r w:rsidR="006A1105">
            <w:t xml:space="preserve">Figure </w:t>
          </w:r>
          <w:r w:rsidR="006A1105">
            <w:rPr>
              <w:noProof/>
            </w:rPr>
            <w:t>6</w:t>
          </w:r>
          <w:r>
            <w:fldChar w:fldCharType="end"/>
          </w:r>
          <w:r>
            <w:t xml:space="preserve"> show the actual five minute prices for the raise and lower </w:t>
          </w:r>
          <w:r w:rsidR="00F6329E">
            <w:t>regulation</w:t>
          </w:r>
          <w:r>
            <w:t xml:space="preserve"> services, while the dashed red and blue lines show the accumulated price</w:t>
          </w:r>
          <w:r w:rsidR="00F6329E">
            <w:t xml:space="preserve"> of those services</w:t>
          </w:r>
          <w:r>
            <w:t xml:space="preserve">. The FCAS CPT is shown as the solid green horizontal line in </w:t>
          </w:r>
          <w:r>
            <w:fldChar w:fldCharType="begin"/>
          </w:r>
          <w:r>
            <w:instrText xml:space="preserve"> REF _Ref436743907 \h </w:instrText>
          </w:r>
          <w:r>
            <w:fldChar w:fldCharType="separate"/>
          </w:r>
          <w:r w:rsidR="006A1105">
            <w:t xml:space="preserve">Figure </w:t>
          </w:r>
          <w:r w:rsidR="006A1105">
            <w:rPr>
              <w:noProof/>
            </w:rPr>
            <w:t>6</w:t>
          </w:r>
          <w:r>
            <w:fldChar w:fldCharType="end"/>
          </w:r>
          <w:r>
            <w:t>. During an Administered price period the CPT is calculated using the uncapped price based on the generator offers</w:t>
          </w:r>
          <w:r w:rsidR="00F6329E">
            <w:t>.</w:t>
          </w:r>
          <w:r>
            <w:t xml:space="preserve"> The dashed red and blue lines continue above the CPT line because generators’ regulation offers remained high despite the CPT being triggered and the $300/MW administrative price cap being imposed.</w:t>
          </w:r>
        </w:p>
        <w:p w:rsidR="004E6FA8" w:rsidRDefault="004E6FA8" w:rsidP="004E6FA8">
          <w:r>
            <w:t xml:space="preserve">During the second event, starting 25 October, after the CPT was triggered, the generators adjusted their offers to prices at or around the administered price cap and the cumulative price only exceeded the CPT for a relatively short period of time. </w:t>
          </w:r>
        </w:p>
        <w:p w:rsidR="008C3C9E" w:rsidRDefault="000F15E7" w:rsidP="008C3C9E">
          <w:pPr>
            <w:pStyle w:val="Heading1"/>
          </w:pPr>
          <w:bookmarkStart w:id="19" w:name="_Toc437433900"/>
          <w:bookmarkStart w:id="20" w:name="_Toc437433901"/>
          <w:bookmarkStart w:id="21" w:name="_Toc437433903"/>
          <w:bookmarkStart w:id="22" w:name="_Toc437433905"/>
          <w:bookmarkStart w:id="23" w:name="_Toc437433906"/>
          <w:bookmarkStart w:id="24" w:name="_Toc437433907"/>
          <w:bookmarkStart w:id="25" w:name="_Toc438476557"/>
          <w:bookmarkEnd w:id="19"/>
          <w:bookmarkEnd w:id="20"/>
          <w:bookmarkEnd w:id="21"/>
          <w:bookmarkEnd w:id="22"/>
          <w:bookmarkEnd w:id="23"/>
          <w:bookmarkEnd w:id="24"/>
          <w:r>
            <w:lastRenderedPageBreak/>
            <w:t>FCAS requirements for South Australia</w:t>
          </w:r>
          <w:bookmarkEnd w:id="25"/>
        </w:p>
        <w:p w:rsidR="007A49B9" w:rsidRDefault="007A49B9" w:rsidP="00324878">
          <w:pPr>
            <w:pStyle w:val="Heading2"/>
          </w:pPr>
          <w:bookmarkStart w:id="26" w:name="_Toc438476558"/>
          <w:r>
            <w:t>Overview</w:t>
          </w:r>
          <w:bookmarkEnd w:id="26"/>
        </w:p>
        <w:p w:rsidR="002D41EB" w:rsidRDefault="007A49B9" w:rsidP="002D41EB">
          <w:r>
            <w:t xml:space="preserve">Network arrangements in south eastern South Australia and south western Victoria are complex but reliable. </w:t>
          </w:r>
          <w:r w:rsidR="002D41EB">
            <w:t xml:space="preserve">The Heywood Interconnector is an alternating high voltage current transmission link that connects </w:t>
          </w:r>
          <w:r w:rsidR="007E5792">
            <w:t xml:space="preserve">South East Substation </w:t>
          </w:r>
          <w:r w:rsidR="00F93E26">
            <w:t xml:space="preserve">in </w:t>
          </w:r>
          <w:r w:rsidR="002D41EB">
            <w:t xml:space="preserve">South Australia to </w:t>
          </w:r>
          <w:r w:rsidR="00F93E26">
            <w:t xml:space="preserve">the Heywood </w:t>
          </w:r>
          <w:r w:rsidR="007E5792">
            <w:t xml:space="preserve">Terminal Station </w:t>
          </w:r>
          <w:r w:rsidR="00F93E26">
            <w:t xml:space="preserve">in </w:t>
          </w:r>
          <w:r w:rsidR="00D332B9">
            <w:t xml:space="preserve">south-west </w:t>
          </w:r>
          <w:r w:rsidR="002D41EB">
            <w:t>Victoria</w:t>
          </w:r>
          <w:r w:rsidR="00F93E26">
            <w:t>.</w:t>
          </w:r>
          <w:r w:rsidR="002D41EB">
            <w:t xml:space="preserve"> </w:t>
          </w:r>
          <w:r w:rsidR="00F93E26">
            <w:t xml:space="preserve">While Murraylink also transmits </w:t>
          </w:r>
          <w:r w:rsidR="007E5792">
            <w:t xml:space="preserve">energy </w:t>
          </w:r>
          <w:r w:rsidR="00F93E26">
            <w:t xml:space="preserve">between South Australia and Victoria, Heywood </w:t>
          </w:r>
          <w:r w:rsidR="002D41EB">
            <w:t>provides synchronous connection between South Australia and the rest of the NEM</w:t>
          </w:r>
          <w:r w:rsidR="007E5792">
            <w:t xml:space="preserve"> rather than just energy</w:t>
          </w:r>
          <w:r w:rsidR="007E5792">
            <w:rPr>
              <w:rStyle w:val="FootnoteReference"/>
            </w:rPr>
            <w:footnoteReference w:id="7"/>
          </w:r>
          <w:r w:rsidR="002D41EB">
            <w:t>.</w:t>
          </w:r>
        </w:p>
        <w:p w:rsidR="00B30077" w:rsidRDefault="007A49B9" w:rsidP="002D41EB">
          <w:r>
            <w:t>Since the start of the market in December 1998</w:t>
          </w:r>
          <w:r w:rsidR="00905A72">
            <w:t>,</w:t>
          </w:r>
          <w:r>
            <w:t xml:space="preserve"> </w:t>
          </w:r>
          <w:r w:rsidR="00905A72">
            <w:t xml:space="preserve">the Heywood interconnector has failed on </w:t>
          </w:r>
          <w:r>
            <w:t>only eight occasions</w:t>
          </w:r>
          <w:r w:rsidR="00F6329E">
            <w:t>,</w:t>
          </w:r>
          <w:r>
            <w:t xml:space="preserve"> leaving South Australia as an island. </w:t>
          </w:r>
          <w:r w:rsidR="003E569C">
            <w:t>In 2001</w:t>
          </w:r>
          <w:r>
            <w:t xml:space="preserve"> </w:t>
          </w:r>
          <w:r w:rsidR="002817AA">
            <w:t xml:space="preserve">the </w:t>
          </w:r>
          <w:r w:rsidR="003E569C">
            <w:t xml:space="preserve">South Australian </w:t>
          </w:r>
          <w:r>
            <w:t xml:space="preserve">jurisdictional system security coordinator </w:t>
          </w:r>
          <w:r w:rsidR="008A11D3">
            <w:t xml:space="preserve">(JSSC) </w:t>
          </w:r>
          <w:r w:rsidR="00B30077">
            <w:t xml:space="preserve">advised the market operator that </w:t>
          </w:r>
          <w:r w:rsidR="00083FB8">
            <w:t>a wider frequency range (between 47-52</w:t>
          </w:r>
          <w:r w:rsidR="008A11D3">
            <w:t> </w:t>
          </w:r>
          <w:r w:rsidR="00083FB8">
            <w:t xml:space="preserve">Hz) would operate for </w:t>
          </w:r>
          <w:r w:rsidR="008A11D3">
            <w:t xml:space="preserve">events that would cause </w:t>
          </w:r>
          <w:r w:rsidR="00083FB8">
            <w:t xml:space="preserve">separation. </w:t>
          </w:r>
          <w:r w:rsidR="00B30077">
            <w:t>In accordance with the Rules</w:t>
          </w:r>
          <w:r w:rsidR="00437D8B">
            <w:t>,</w:t>
          </w:r>
          <w:r w:rsidR="00B30077">
            <w:t xml:space="preserve"> </w:t>
          </w:r>
          <w:r w:rsidR="00083FB8">
            <w:t xml:space="preserve">Under Frequency Load Shedding (UFLS) </w:t>
          </w:r>
          <w:r w:rsidR="00B30077">
            <w:t>operate</w:t>
          </w:r>
          <w:r w:rsidR="00437D8B">
            <w:t>s in</w:t>
          </w:r>
          <w:r w:rsidR="00B30077">
            <w:t xml:space="preserve"> </w:t>
          </w:r>
          <w:r w:rsidR="00083FB8" w:rsidRPr="00083FB8">
            <w:t>manageable blocks spread over a number of steps within under-frequency bands from 49</w:t>
          </w:r>
          <w:r w:rsidR="00083FB8">
            <w:t> </w:t>
          </w:r>
          <w:r w:rsidR="00083FB8" w:rsidRPr="00083FB8">
            <w:t>Hz down to 47</w:t>
          </w:r>
          <w:r w:rsidR="00083FB8">
            <w:t> </w:t>
          </w:r>
          <w:r w:rsidR="00083FB8" w:rsidRPr="00083FB8">
            <w:t>Hz as nominated by AEMO</w:t>
          </w:r>
          <w:r w:rsidR="00B30077">
            <w:t>.</w:t>
          </w:r>
          <w:r w:rsidR="00B30077">
            <w:rPr>
              <w:rStyle w:val="FootnoteReference"/>
            </w:rPr>
            <w:footnoteReference w:id="8"/>
          </w:r>
          <w:r w:rsidR="00B30077">
            <w:t xml:space="preserve"> </w:t>
          </w:r>
          <w:r w:rsidR="00083FB8">
            <w:t>T</w:t>
          </w:r>
          <w:r w:rsidR="00B30077">
            <w:t xml:space="preserve">he wider frequency range </w:t>
          </w:r>
          <w:r w:rsidR="00083FB8">
            <w:t xml:space="preserve">for separation events </w:t>
          </w:r>
          <w:r w:rsidR="00437D8B">
            <w:t xml:space="preserve">in South Australia </w:t>
          </w:r>
          <w:r w:rsidR="00083FB8">
            <w:t>allows UFLS to operate replac</w:t>
          </w:r>
          <w:r w:rsidR="00437D8B">
            <w:t>ing</w:t>
          </w:r>
          <w:r w:rsidR="00083FB8">
            <w:t xml:space="preserve"> contingency raise services.</w:t>
          </w:r>
        </w:p>
        <w:p w:rsidR="009F54F8" w:rsidRDefault="00A344AC" w:rsidP="002D41EB">
          <w:r>
            <w:t>Previously</w:t>
          </w:r>
          <w:r w:rsidR="00324878">
            <w:t xml:space="preserve">, after a separation event, AEMO would </w:t>
          </w:r>
          <w:r w:rsidR="00CF538C">
            <w:t xml:space="preserve">then </w:t>
          </w:r>
          <w:r w:rsidR="00324878">
            <w:t>procure local regulation services to maintain the frequency in South Australia in accordance with the standard.</w:t>
          </w:r>
        </w:p>
        <w:p w:rsidR="007A49B9" w:rsidRDefault="00324878" w:rsidP="007A49B9">
          <w:r>
            <w:t xml:space="preserve">As a result of joint work between </w:t>
          </w:r>
          <w:r w:rsidR="007A49B9">
            <w:t xml:space="preserve">AEMO </w:t>
          </w:r>
          <w:r>
            <w:t xml:space="preserve">and </w:t>
          </w:r>
          <w:r w:rsidR="007A49B9">
            <w:t>ElectraNet</w:t>
          </w:r>
          <w:r w:rsidR="002817AA">
            <w:t xml:space="preserve"> conducted in 2014</w:t>
          </w:r>
          <w:r>
            <w:t xml:space="preserve">, AEMO </w:t>
          </w:r>
          <w:r w:rsidR="007A49B9">
            <w:t xml:space="preserve">has </w:t>
          </w:r>
          <w:r w:rsidR="002817AA">
            <w:t>formed the view that</w:t>
          </w:r>
          <w:r w:rsidR="007A49B9">
            <w:t xml:space="preserve"> </w:t>
          </w:r>
          <w:r w:rsidR="00437D8B">
            <w:t>to maintain the frequency within the standard requested by the JSSC</w:t>
          </w:r>
          <w:r w:rsidR="001F36AA">
            <w:t>,</w:t>
          </w:r>
          <w:r w:rsidR="00437D8B">
            <w:t xml:space="preserve"> </w:t>
          </w:r>
          <w:r w:rsidR="001F36AA">
            <w:t xml:space="preserve">in addition to the existing UFLS and to ensure that generators registered for FCAS are operating, </w:t>
          </w:r>
          <w:r w:rsidR="007A49B9">
            <w:t xml:space="preserve">pre-contingent local regulation </w:t>
          </w:r>
          <w:r w:rsidR="001F36AA">
            <w:t xml:space="preserve">FCAS </w:t>
          </w:r>
          <w:r w:rsidR="00437D8B">
            <w:t xml:space="preserve">is required </w:t>
          </w:r>
          <w:r w:rsidR="009A4BCA">
            <w:t xml:space="preserve">for all situations when </w:t>
          </w:r>
          <w:r w:rsidR="007A49B9">
            <w:t xml:space="preserve">South Australia </w:t>
          </w:r>
          <w:r w:rsidR="009A4BCA">
            <w:t xml:space="preserve">is at risk of </w:t>
          </w:r>
          <w:r w:rsidR="007A49B9">
            <w:t>separati</w:t>
          </w:r>
          <w:r w:rsidR="00437D8B">
            <w:t>o</w:t>
          </w:r>
          <w:r w:rsidR="007A49B9">
            <w:t>n.</w:t>
          </w:r>
          <w:r w:rsidR="009A4BCA">
            <w:rPr>
              <w:rStyle w:val="FootnoteReference"/>
            </w:rPr>
            <w:footnoteReference w:id="9"/>
          </w:r>
          <w:r w:rsidR="007A49B9">
            <w:t xml:space="preserve"> </w:t>
          </w:r>
        </w:p>
        <w:p w:rsidR="004D0B56" w:rsidRDefault="004D0B56" w:rsidP="00324878">
          <w:pPr>
            <w:pStyle w:val="Heading2"/>
          </w:pPr>
          <w:bookmarkStart w:id="27" w:name="_Toc438476559"/>
          <w:r>
            <w:t>The Heywood Interconnector</w:t>
          </w:r>
          <w:bookmarkEnd w:id="27"/>
        </w:p>
        <w:p w:rsidR="00A34B9B" w:rsidRDefault="009F54F8" w:rsidP="00704FF1">
          <w:r>
            <w:t xml:space="preserve">In March 2014 </w:t>
          </w:r>
          <w:r w:rsidR="00586DCB">
            <w:t>the H</w:t>
          </w:r>
          <w:r w:rsidR="00324878">
            <w:t xml:space="preserve">eywood augmentation </w:t>
          </w:r>
          <w:r>
            <w:t>project to increase the capacity of the transmission system between South Australia and Victoria to 690 MW</w:t>
          </w:r>
          <w:r w:rsidR="00586DCB">
            <w:t xml:space="preserve"> satisfied the Regulatory Investment Test (transmission)</w:t>
          </w:r>
          <w:r w:rsidR="00324878">
            <w:t>.</w:t>
          </w:r>
          <w:r>
            <w:t xml:space="preserve"> </w:t>
          </w:r>
          <w:r w:rsidR="00943D11">
            <w:t xml:space="preserve">Until the completion of the </w:t>
          </w:r>
          <w:r w:rsidR="000C461D">
            <w:t>augmentation</w:t>
          </w:r>
          <w:r w:rsidR="00943D11">
            <w:t xml:space="preserve">, </w:t>
          </w:r>
          <w:r>
            <w:t xml:space="preserve">the </w:t>
          </w:r>
          <w:r w:rsidR="00A34B9B">
            <w:t>Heywood interconnector</w:t>
          </w:r>
          <w:r>
            <w:t xml:space="preserve"> has a nominal capacity of 460 MW</w:t>
          </w:r>
          <w:r w:rsidR="000C461D">
            <w:t>.</w:t>
          </w:r>
          <w:r>
            <w:t xml:space="preserve"> </w:t>
          </w:r>
          <w:r w:rsidR="000C461D">
            <w:t>W</w:t>
          </w:r>
          <w:r w:rsidR="007E5792">
            <w:t xml:space="preserve">hile </w:t>
          </w:r>
          <w:r w:rsidR="000C461D">
            <w:t>the Heywood interconnector</w:t>
          </w:r>
          <w:r w:rsidR="007E5792">
            <w:t xml:space="preserve"> is notionally only the lines between South East Substation and the Heywood Terminal Station it </w:t>
          </w:r>
          <w:r w:rsidR="00A34B9B">
            <w:t>effectively comprised:</w:t>
          </w:r>
        </w:p>
        <w:p w:rsidR="00A34B9B" w:rsidRDefault="00943D11" w:rsidP="00A05C26">
          <w:pPr>
            <w:pStyle w:val="Bulletpoint"/>
          </w:pPr>
          <w:proofErr w:type="gramStart"/>
          <w:r>
            <w:t>four</w:t>
          </w:r>
          <w:proofErr w:type="gramEnd"/>
          <w:r>
            <w:t xml:space="preserve"> parallel circuits (two circuits operating at 275</w:t>
          </w:r>
          <w:r w:rsidR="00C76F8E">
            <w:t> </w:t>
          </w:r>
          <w:r>
            <w:t>kV and two circuits operating at 132</w:t>
          </w:r>
          <w:r w:rsidR="00C76F8E">
            <w:t> </w:t>
          </w:r>
          <w:r>
            <w:t xml:space="preserve">kV) </w:t>
          </w:r>
          <w:r w:rsidR="00A34B9B">
            <w:t>b</w:t>
          </w:r>
          <w:r w:rsidR="00572A42">
            <w:t>etween</w:t>
          </w:r>
          <w:r w:rsidR="00A15502">
            <w:t xml:space="preserve"> Tailem Bend </w:t>
          </w:r>
          <w:r w:rsidR="00324878">
            <w:t>(</w:t>
          </w:r>
          <w:r w:rsidR="00572A42">
            <w:t>near Adelaide</w:t>
          </w:r>
          <w:r w:rsidR="00324878">
            <w:t>)</w:t>
          </w:r>
          <w:r w:rsidR="00572A42">
            <w:t xml:space="preserve"> and </w:t>
          </w:r>
          <w:r w:rsidR="00A15502">
            <w:t xml:space="preserve">South East Substation </w:t>
          </w:r>
          <w:r w:rsidR="00324878">
            <w:t>(</w:t>
          </w:r>
          <w:r w:rsidR="00A15502">
            <w:t>close to the border</w:t>
          </w:r>
          <w:r w:rsidR="00324878">
            <w:t>)</w:t>
          </w:r>
          <w:r w:rsidR="00C76F8E">
            <w:t xml:space="preserve">. These lines also deliver power to the load centres at Keith, </w:t>
          </w:r>
          <w:proofErr w:type="spellStart"/>
          <w:r w:rsidR="00C76F8E">
            <w:t>Kincraig</w:t>
          </w:r>
          <w:proofErr w:type="spellEnd"/>
          <w:r w:rsidR="00324878">
            <w:t xml:space="preserve">; </w:t>
          </w:r>
          <w:r w:rsidR="00C76F8E">
            <w:t xml:space="preserve">Penola, Blanche </w:t>
          </w:r>
          <w:r w:rsidR="00324878">
            <w:t>and</w:t>
          </w:r>
          <w:r w:rsidR="00A15502">
            <w:t xml:space="preserve"> </w:t>
          </w:r>
          <w:r w:rsidR="00C76F8E">
            <w:t>Mount Gambier; and</w:t>
          </w:r>
        </w:p>
        <w:p w:rsidR="00A15502" w:rsidRDefault="00A34B9B" w:rsidP="00A05C26">
          <w:pPr>
            <w:pStyle w:val="Bulletpoint"/>
          </w:pPr>
          <w:r>
            <w:lastRenderedPageBreak/>
            <w:t xml:space="preserve">two parallel </w:t>
          </w:r>
          <w:r w:rsidR="002B6D54">
            <w:t>275</w:t>
          </w:r>
          <w:r w:rsidR="00C76F8E">
            <w:t> </w:t>
          </w:r>
          <w:r w:rsidR="002B6D54">
            <w:t xml:space="preserve">kV </w:t>
          </w:r>
          <w:r>
            <w:t xml:space="preserve">circuits between </w:t>
          </w:r>
          <w:r w:rsidR="00A15502">
            <w:t xml:space="preserve">South East Substation </w:t>
          </w:r>
          <w:r w:rsidR="004319DA">
            <w:t xml:space="preserve">to </w:t>
          </w:r>
          <w:r>
            <w:t>Heywood</w:t>
          </w:r>
          <w:r w:rsidR="00D816CB">
            <w:t xml:space="preserve"> </w:t>
          </w:r>
          <w:r w:rsidR="00F05C2E">
            <w:t xml:space="preserve">Terminal Station </w:t>
          </w:r>
          <w:r w:rsidR="002817AA">
            <w:t xml:space="preserve">in </w:t>
          </w:r>
          <w:r w:rsidR="00D332B9">
            <w:t xml:space="preserve">south-west </w:t>
          </w:r>
          <w:r w:rsidR="002817AA">
            <w:t xml:space="preserve">Victoria </w:t>
          </w:r>
          <w:r>
            <w:t xml:space="preserve">and </w:t>
          </w:r>
          <w:r w:rsidR="004319DA">
            <w:t xml:space="preserve">two parallel </w:t>
          </w:r>
          <w:r w:rsidR="002B6D54">
            <w:t>500</w:t>
          </w:r>
          <w:r w:rsidR="00C76F8E">
            <w:t> </w:t>
          </w:r>
          <w:r w:rsidR="002B6D54">
            <w:t xml:space="preserve">kV </w:t>
          </w:r>
          <w:r w:rsidR="004319DA">
            <w:t xml:space="preserve">circuits </w:t>
          </w:r>
          <w:r w:rsidR="002B6D54">
            <w:t xml:space="preserve">from the </w:t>
          </w:r>
          <w:r w:rsidR="00D332B9">
            <w:t xml:space="preserve">Heywood Terminal Station </w:t>
          </w:r>
          <w:r w:rsidR="002B6D54">
            <w:t xml:space="preserve">to </w:t>
          </w:r>
          <w:r>
            <w:t xml:space="preserve">Moorabool </w:t>
          </w:r>
          <w:r w:rsidR="00D332B9">
            <w:t xml:space="preserve">Terminal Stations </w:t>
          </w:r>
          <w:r w:rsidR="002B6D54">
            <w:t xml:space="preserve">and on </w:t>
          </w:r>
          <w:r w:rsidR="00A15502">
            <w:t xml:space="preserve">to </w:t>
          </w:r>
          <w:r w:rsidR="002B6D54">
            <w:t xml:space="preserve">the </w:t>
          </w:r>
          <w:r w:rsidR="00A15502">
            <w:t xml:space="preserve">Sydenham Terminal Station in </w:t>
          </w:r>
          <w:r w:rsidR="002817AA">
            <w:t xml:space="preserve">the </w:t>
          </w:r>
          <w:r w:rsidR="00D332B9">
            <w:t>29kms n</w:t>
          </w:r>
          <w:r w:rsidR="002817AA">
            <w:t>orth west of Melbourne</w:t>
          </w:r>
          <w:r w:rsidR="00A15502">
            <w:t>.</w:t>
          </w:r>
          <w:r w:rsidR="00D816CB">
            <w:t xml:space="preserve"> </w:t>
          </w:r>
        </w:p>
        <w:p w:rsidR="004D0B56" w:rsidRDefault="00572A42" w:rsidP="0054028F">
          <w:r>
            <w:t>T</w:t>
          </w:r>
          <w:r w:rsidR="00A15502">
            <w:t>he</w:t>
          </w:r>
          <w:r w:rsidR="0054028F">
            <w:t xml:space="preserve"> upgrade</w:t>
          </w:r>
          <w:r w:rsidR="00A15502">
            <w:t xml:space="preserve"> works</w:t>
          </w:r>
          <w:r w:rsidR="004D0B56">
            <w:t>:</w:t>
          </w:r>
        </w:p>
        <w:p w:rsidR="004D0B56" w:rsidRDefault="00A15502" w:rsidP="004655C5">
          <w:pPr>
            <w:pStyle w:val="Bulletpoint"/>
          </w:pPr>
          <w:r>
            <w:t xml:space="preserve">reduce the number of parallel circuits </w:t>
          </w:r>
          <w:r w:rsidR="0054028F">
            <w:t xml:space="preserve">in </w:t>
          </w:r>
          <w:r>
            <w:t xml:space="preserve">South Australia </w:t>
          </w:r>
          <w:r w:rsidR="00572A42">
            <w:t>between Tailem Bend and South East Substation to three</w:t>
          </w:r>
          <w:r w:rsidR="009F54F8">
            <w:t>; and</w:t>
          </w:r>
          <w:r w:rsidR="00572A42">
            <w:t xml:space="preserve"> </w:t>
          </w:r>
        </w:p>
        <w:p w:rsidR="004D0B56" w:rsidRDefault="00572A42" w:rsidP="004655C5">
          <w:pPr>
            <w:pStyle w:val="Bulletpoint"/>
          </w:pPr>
          <w:proofErr w:type="gramStart"/>
          <w:r>
            <w:t>install</w:t>
          </w:r>
          <w:proofErr w:type="gramEnd"/>
          <w:r>
            <w:t xml:space="preserve"> </w:t>
          </w:r>
          <w:r w:rsidR="0054028F">
            <w:t xml:space="preserve">an additional transformer and associated switchgear at Heywood terminal station and compensation </w:t>
          </w:r>
          <w:r>
            <w:t>equipment along the transmission path</w:t>
          </w:r>
          <w:r w:rsidR="00A34B9B">
            <w:t>.</w:t>
          </w:r>
          <w:r w:rsidR="008C3C9E">
            <w:t xml:space="preserve"> </w:t>
          </w:r>
        </w:p>
        <w:p w:rsidR="004319DA" w:rsidRDefault="00A34B9B" w:rsidP="004655C5">
          <w:r>
            <w:t xml:space="preserve">Around 25 outages </w:t>
          </w:r>
          <w:r w:rsidR="00FB57D9">
            <w:t xml:space="preserve">on the </w:t>
          </w:r>
          <w:r>
            <w:t xml:space="preserve">Victorian </w:t>
          </w:r>
          <w:r w:rsidR="00FB57D9">
            <w:t xml:space="preserve">network </w:t>
          </w:r>
          <w:r>
            <w:t xml:space="preserve">were completed </w:t>
          </w:r>
          <w:r w:rsidR="00FB57D9">
            <w:t xml:space="preserve">in the months leading up to August 2015. In South Australia </w:t>
          </w:r>
          <w:r w:rsidR="00542CA9">
            <w:t xml:space="preserve">in the order of </w:t>
          </w:r>
          <w:r w:rsidR="00FB57D9">
            <w:t>15 non</w:t>
          </w:r>
          <w:r w:rsidR="0054028F">
            <w:t>-</w:t>
          </w:r>
          <w:r w:rsidR="00FB57D9">
            <w:t xml:space="preserve">recall outages </w:t>
          </w:r>
          <w:r w:rsidR="00113CC5">
            <w:t xml:space="preserve">were </w:t>
          </w:r>
          <w:r w:rsidR="00FB57D9">
            <w:t>needed</w:t>
          </w:r>
          <w:r w:rsidR="00324878">
            <w:t>.</w:t>
          </w:r>
          <w:r w:rsidR="008C3C9E">
            <w:rPr>
              <w:rStyle w:val="FootnoteReference"/>
            </w:rPr>
            <w:footnoteReference w:id="10"/>
          </w:r>
          <w:r w:rsidR="008C3C9E">
            <w:t xml:space="preserve"> </w:t>
          </w:r>
          <w:r w:rsidR="007B2DB3">
            <w:t xml:space="preserve">The outages required by ElectraNet for the </w:t>
          </w:r>
          <w:r w:rsidR="004D0B56">
            <w:t xml:space="preserve">Heywood </w:t>
          </w:r>
          <w:r w:rsidR="007B2DB3">
            <w:t xml:space="preserve">upgrade </w:t>
          </w:r>
          <w:r w:rsidR="004D0B56">
            <w:t>ar</w:t>
          </w:r>
          <w:r w:rsidR="00992010">
            <w:t>e listed in Appendix B</w:t>
          </w:r>
          <w:r w:rsidR="007B2DB3">
            <w:t>.</w:t>
          </w:r>
        </w:p>
        <w:p w:rsidR="007A49B9" w:rsidRDefault="007A49B9" w:rsidP="007A49B9">
          <w:r>
            <w:t xml:space="preserve">ElectraNet listed the outages for the Heywood upgrade into the </w:t>
          </w:r>
          <w:r w:rsidR="00324878">
            <w:t>NOS</w:t>
          </w:r>
          <w:r>
            <w:t xml:space="preserve"> in June 2015. </w:t>
          </w:r>
        </w:p>
        <w:p w:rsidR="004D0B56" w:rsidRDefault="004D0B56" w:rsidP="00324878">
          <w:pPr>
            <w:pStyle w:val="Heading2"/>
          </w:pPr>
          <w:bookmarkStart w:id="28" w:name="_Toc438476560"/>
          <w:r w:rsidRPr="009B4746">
            <w:t xml:space="preserve">Joint </w:t>
          </w:r>
          <w:r w:rsidR="009B4746" w:rsidRPr="009B4746">
            <w:t>s</w:t>
          </w:r>
          <w:r w:rsidRPr="009B4746">
            <w:t>tudies by</w:t>
          </w:r>
          <w:r>
            <w:t xml:space="preserve"> AEMO and ElectraNet</w:t>
          </w:r>
          <w:bookmarkEnd w:id="28"/>
        </w:p>
        <w:p w:rsidR="00DA5EEB" w:rsidRDefault="003570BD" w:rsidP="00DA5EEB">
          <w:r>
            <w:t xml:space="preserve">The </w:t>
          </w:r>
          <w:r w:rsidR="00DA5EEB">
            <w:t xml:space="preserve">first commercial wind generation was commissioned in South Australia in 2004, </w:t>
          </w:r>
          <w:r>
            <w:t xml:space="preserve">and since that time </w:t>
          </w:r>
          <w:r w:rsidR="00DA5EEB">
            <w:t xml:space="preserve">the level of </w:t>
          </w:r>
          <w:r w:rsidR="00324878">
            <w:t xml:space="preserve">installed </w:t>
          </w:r>
          <w:r w:rsidR="00DA5EEB">
            <w:t xml:space="preserve">wind </w:t>
          </w:r>
          <w:r w:rsidR="00324878">
            <w:t xml:space="preserve">capacity </w:t>
          </w:r>
          <w:r w:rsidR="00DA5EEB">
            <w:t>has progressively increased</w:t>
          </w:r>
          <w:r>
            <w:t>.</w:t>
          </w:r>
          <w:r w:rsidR="00DA5EEB">
            <w:t xml:space="preserve"> </w:t>
          </w:r>
          <w:r>
            <w:t xml:space="preserve">More </w:t>
          </w:r>
          <w:r w:rsidR="00DA5EEB">
            <w:t xml:space="preserve">recently, the contribution from distributed domestic roof top PV has </w:t>
          </w:r>
          <w:r>
            <w:t xml:space="preserve">also </w:t>
          </w:r>
          <w:r w:rsidR="00DA5EEB">
            <w:t>become more material.</w:t>
          </w:r>
          <w:r w:rsidR="00D816CB">
            <w:t xml:space="preserve"> </w:t>
          </w:r>
          <w:r w:rsidR="00DA5EEB">
            <w:t>Currently South Australia has the highest volume wind and rooftop PV generation of any region in the NEM</w:t>
          </w:r>
          <w:r w:rsidR="001D287B">
            <w:t>.</w:t>
          </w:r>
          <w:r w:rsidR="00DA5EEB">
            <w:rPr>
              <w:rStyle w:val="FootnoteReference"/>
            </w:rPr>
            <w:footnoteReference w:id="11"/>
          </w:r>
          <w:r w:rsidR="00DA5EEB">
            <w:t xml:space="preserve"> </w:t>
          </w:r>
          <w:r w:rsidR="001D287B">
            <w:t xml:space="preserve">Almost one in four (25%) residential rooftops in the State has a </w:t>
          </w:r>
          <w:r w:rsidR="00DA5EEB">
            <w:t>rooftop PV installation.</w:t>
          </w:r>
        </w:p>
        <w:p w:rsidR="00DA5EEB" w:rsidRDefault="001D287B" w:rsidP="00DA5EEB">
          <w:r>
            <w:t>T</w:t>
          </w:r>
          <w:r w:rsidR="00DA5EEB">
            <w:t xml:space="preserve">he </w:t>
          </w:r>
          <w:r>
            <w:t xml:space="preserve">energy contribution of these technologies and lower overall energy demand </w:t>
          </w:r>
          <w:r w:rsidR="002817AA">
            <w:t>a</w:t>
          </w:r>
          <w:r w:rsidR="002817AA" w:rsidRPr="002817AA">
            <w:t xml:space="preserve">nd changes in the dynamics between the gas and electricity segments </w:t>
          </w:r>
          <w:r>
            <w:t xml:space="preserve">has materially </w:t>
          </w:r>
          <w:r w:rsidR="00DA5EEB">
            <w:t>altered the role of existing thermal generation.</w:t>
          </w:r>
          <w:r w:rsidR="00DA5EEB" w:rsidRPr="001D2A0F">
            <w:t xml:space="preserve"> </w:t>
          </w:r>
          <w:r w:rsidR="00DA5EEB">
            <w:t>Only three participants were registered in South Australia to provide local frequency control services</w:t>
          </w:r>
          <w:r w:rsidR="00835A3D">
            <w:t xml:space="preserve">; </w:t>
          </w:r>
          <w:r w:rsidR="00DA5EEB">
            <w:t xml:space="preserve">AGL (Torrens Island) and </w:t>
          </w:r>
          <w:proofErr w:type="spellStart"/>
          <w:r w:rsidR="00DA5EEB">
            <w:t>Alinta</w:t>
          </w:r>
          <w:proofErr w:type="spellEnd"/>
          <w:r w:rsidR="00DA5EEB">
            <w:t xml:space="preserve"> (Northern)</w:t>
          </w:r>
          <w:r w:rsidR="00835A3D">
            <w:t xml:space="preserve"> and GDF Suez (Pelican Point)</w:t>
          </w:r>
          <w:r w:rsidR="00DA5EEB">
            <w:t>.</w:t>
          </w:r>
          <w:r w:rsidR="003570BD">
            <w:rPr>
              <w:rStyle w:val="FootnoteReference"/>
            </w:rPr>
            <w:footnoteReference w:id="12"/>
          </w:r>
        </w:p>
        <w:p w:rsidR="004319DA" w:rsidRDefault="004319DA" w:rsidP="004319DA">
          <w:r>
            <w:t xml:space="preserve">Since February 2014 AEMO has been working with ElectraNet to identify existing limits to secure power system operation in South Australia. In a paper published in October 2014, they concluded that: </w:t>
          </w:r>
        </w:p>
        <w:p w:rsidR="004319DA" w:rsidRDefault="004319DA" w:rsidP="00835A3D">
          <w:pPr>
            <w:pStyle w:val="Quotes"/>
          </w:pPr>
          <w:r w:rsidRPr="00835A3D">
            <w:rPr>
              <w:i/>
              <w:iCs/>
            </w:rPr>
            <w:t>“</w:t>
          </w:r>
          <w:proofErr w:type="gramStart"/>
          <w:r w:rsidRPr="00835A3D">
            <w:rPr>
              <w:i/>
              <w:iCs/>
            </w:rPr>
            <w:t>the</w:t>
          </w:r>
          <w:proofErr w:type="gramEnd"/>
          <w:r w:rsidRPr="00835A3D">
            <w:rPr>
              <w:i/>
              <w:iCs/>
            </w:rPr>
            <w:t xml:space="preserve"> SA power system could operate securely when both circuits of the Heywood Interconnector are connected, or at least one of the key conventional synchronous generator registered to provide FCAS (e.g. Northern Power Station, Pelican Point, or Torrens Island) is online.”</w:t>
          </w:r>
          <w:r w:rsidRPr="00F05C2E">
            <w:rPr>
              <w:vertAlign w:val="superscript"/>
            </w:rPr>
            <w:footnoteReference w:id="13"/>
          </w:r>
        </w:p>
        <w:p w:rsidR="004319DA" w:rsidRPr="00F05C2E" w:rsidRDefault="005171A9" w:rsidP="00F05C2E">
          <w:pPr>
            <w:pStyle w:val="Quotes"/>
            <w:spacing w:before="0" w:after="0"/>
            <w:ind w:right="794"/>
            <w:rPr>
              <w:sz w:val="14"/>
            </w:rPr>
          </w:pPr>
          <w:r w:rsidRPr="00F05C2E">
            <w:rPr>
              <w:sz w:val="14"/>
            </w:rPr>
            <w:t>…</w:t>
          </w:r>
        </w:p>
        <w:p w:rsidR="004319DA" w:rsidRPr="004319DA" w:rsidRDefault="004319DA" w:rsidP="00835A3D">
          <w:pPr>
            <w:pStyle w:val="Quotes"/>
          </w:pPr>
          <w:r w:rsidRPr="00835A3D">
            <w:rPr>
              <w:i/>
              <w:iCs/>
            </w:rPr>
            <w:lastRenderedPageBreak/>
            <w:t>”while considered a very low probability the worst-case high-impact scenario the loss of the Heywood interconnector would result in a state-wide power outage if no synchronous generator was online at the time.”</w:t>
          </w:r>
        </w:p>
        <w:p w:rsidR="004319DA" w:rsidRPr="00F05C2E" w:rsidRDefault="005171A9" w:rsidP="00F05C2E">
          <w:pPr>
            <w:pStyle w:val="Quotes"/>
            <w:spacing w:before="0" w:after="0"/>
            <w:ind w:right="794"/>
            <w:rPr>
              <w:sz w:val="14"/>
            </w:rPr>
          </w:pPr>
          <w:r w:rsidRPr="00F05C2E">
            <w:rPr>
              <w:sz w:val="14"/>
            </w:rPr>
            <w:t>…</w:t>
          </w:r>
        </w:p>
        <w:p w:rsidR="004319DA" w:rsidRPr="00F05C2E" w:rsidRDefault="004319DA" w:rsidP="00835A3D">
          <w:pPr>
            <w:pStyle w:val="Quotes"/>
            <w:rPr>
              <w:i/>
            </w:rPr>
          </w:pPr>
          <w:r w:rsidRPr="00F05C2E">
            <w:rPr>
              <w:i/>
            </w:rPr>
            <w:t>“Under credible separation conditions, AEMO is to ensure there is sufficient generation online in SA to actively control frequency, prior to actual separation occurring. AEMO will establish new arrangements for monitoring the availability of local regulation FCAS in SA, for use when there is a credible risk of separation.”</w:t>
          </w:r>
        </w:p>
        <w:p w:rsidR="00151193" w:rsidRDefault="007A49B9" w:rsidP="00151193">
          <w:r w:rsidRPr="009B4746">
            <w:t>AEMO considered that</w:t>
          </w:r>
          <w:r>
            <w:t xml:space="preserve"> the increased risk of long term islanding</w:t>
          </w:r>
          <w:r w:rsidR="001D287B">
            <w:t>,</w:t>
          </w:r>
          <w:r>
            <w:t xml:space="preserve"> or where electricity would be unavailable until the outages </w:t>
          </w:r>
          <w:r w:rsidR="001D287B">
            <w:t>were completed,</w:t>
          </w:r>
          <w:r>
            <w:t xml:space="preserve"> could be managed by the imposition of local regulation requirements</w:t>
          </w:r>
          <w:r w:rsidR="008E3267">
            <w:t>.</w:t>
          </w:r>
          <w:r>
            <w:t xml:space="preserve"> </w:t>
          </w:r>
          <w:r w:rsidR="00151193">
            <w:t>At a high level AEMO considered the following factors:</w:t>
          </w:r>
        </w:p>
        <w:p w:rsidR="00151193" w:rsidRDefault="00151193" w:rsidP="00151193">
          <w:pPr>
            <w:pStyle w:val="Bulletpoint"/>
          </w:pPr>
          <w:r>
            <w:t xml:space="preserve">South Australia is a relatively small region with significant levels of large scale intermittent wind and domestic roof top PV in comparison to the typical demand; </w:t>
          </w:r>
        </w:p>
        <w:p w:rsidR="00151193" w:rsidRDefault="00151193" w:rsidP="00151193">
          <w:pPr>
            <w:pStyle w:val="Bulletpoint"/>
          </w:pPr>
          <w:r>
            <w:t xml:space="preserve">South Australia has a small number </w:t>
          </w:r>
          <w:r w:rsidR="008E3267">
            <w:t xml:space="preserve">of </w:t>
          </w:r>
          <w:r>
            <w:t xml:space="preserve">participants registered to supply regulation services and these participants are operating their plant less frequently; </w:t>
          </w:r>
        </w:p>
        <w:p w:rsidR="00151193" w:rsidRDefault="00151193" w:rsidP="00151193">
          <w:pPr>
            <w:pStyle w:val="Bulletpoint"/>
          </w:pPr>
          <w:r>
            <w:t>It is possible that</w:t>
          </w:r>
          <w:r w:rsidR="008E3267">
            <w:t>,</w:t>
          </w:r>
          <w:r>
            <w:t xml:space="preserve"> </w:t>
          </w:r>
          <w:r w:rsidR="008E3267">
            <w:t>if</w:t>
          </w:r>
          <w:r>
            <w:t xml:space="preserve"> the</w:t>
          </w:r>
          <w:r w:rsidR="008E3267">
            <w:t>re was no</w:t>
          </w:r>
          <w:r>
            <w:t xml:space="preserve"> market signal from the FCAS requirement</w:t>
          </w:r>
          <w:r w:rsidR="008E3267">
            <w:t>,</w:t>
          </w:r>
          <w:r>
            <w:t xml:space="preserve"> during periods of high wind and solar generation that the generators registered to supply FCAS may de-commit their plant; and </w:t>
          </w:r>
        </w:p>
        <w:p w:rsidR="00151193" w:rsidRDefault="00151193" w:rsidP="00151193">
          <w:pPr>
            <w:pStyle w:val="Bulletpoint"/>
          </w:pPr>
          <w:r>
            <w:t>Analysis by AEMO that</w:t>
          </w:r>
          <w:r w:rsidR="008E3267">
            <w:t>, while raising</w:t>
          </w:r>
          <w:r>
            <w:t xml:space="preserve"> concerns regarding the efficacy of existing arrangements to arrest a frequency excursion during periods of high solar output</w:t>
          </w:r>
          <w:r w:rsidR="008E3267">
            <w:t>,</w:t>
          </w:r>
          <w:r w:rsidR="007A49B9">
            <w:t xml:space="preserve"> </w:t>
          </w:r>
          <w:r w:rsidR="008E3267">
            <w:t xml:space="preserve">indicated </w:t>
          </w:r>
          <w:r w:rsidR="007A49B9">
            <w:t>that the level of regulation required could be reduced from 70 MW to 35 MW.</w:t>
          </w:r>
          <w:r>
            <w:t xml:space="preserve"> </w:t>
          </w:r>
        </w:p>
        <w:p w:rsidR="00324878" w:rsidRDefault="008C3C9E" w:rsidP="00C701C4">
          <w:r>
            <w:t xml:space="preserve">AEMO </w:t>
          </w:r>
          <w:r w:rsidR="003570BD">
            <w:t xml:space="preserve">has now </w:t>
          </w:r>
          <w:r>
            <w:t xml:space="preserve">adjusted its FCAS management procedures for South Australia such that these </w:t>
          </w:r>
          <w:r w:rsidR="008E3267">
            <w:t xml:space="preserve">regulation </w:t>
          </w:r>
          <w:r>
            <w:t>constraints will be invoked for all circumstances where a single contingency would island South Australia</w:t>
          </w:r>
          <w:r w:rsidR="008E3267">
            <w:t>.</w:t>
          </w:r>
          <w:r>
            <w:rPr>
              <w:rStyle w:val="FootnoteReference"/>
            </w:rPr>
            <w:footnoteReference w:id="14"/>
          </w:r>
          <w:r w:rsidR="008E3267">
            <w:t xml:space="preserve"> This ensures that there are adequate sources of regulation immediately available in a separation</w:t>
          </w:r>
          <w:r w:rsidR="002817AA">
            <w:t xml:space="preserve"> event</w:t>
          </w:r>
          <w:r w:rsidR="008E3267">
            <w:t xml:space="preserve"> for the management of the frequency within the island post contingency.</w:t>
          </w:r>
        </w:p>
        <w:p w:rsidR="003570BD" w:rsidRDefault="00324878" w:rsidP="00324878">
          <w:pPr>
            <w:pStyle w:val="Heading2"/>
          </w:pPr>
          <w:bookmarkStart w:id="29" w:name="_Toc438476561"/>
          <w:r>
            <w:t>Communication</w:t>
          </w:r>
          <w:bookmarkEnd w:id="29"/>
        </w:p>
        <w:p w:rsidR="008D7D4B" w:rsidRDefault="008D7D4B" w:rsidP="008D7D4B">
          <w:pPr>
            <w:pStyle w:val="Caption"/>
          </w:pPr>
          <w:bookmarkStart w:id="30" w:name="_Ref438462046"/>
          <w:r>
            <w:t xml:space="preserve">Table </w:t>
          </w:r>
          <w:fldSimple w:instr=" SEQ Table \* ARABIC ">
            <w:r w:rsidR="006A1105">
              <w:rPr>
                <w:noProof/>
              </w:rPr>
              <w:t>4</w:t>
            </w:r>
          </w:fldSimple>
          <w:bookmarkEnd w:id="30"/>
          <w:r>
            <w:t>: Timeline of events</w:t>
          </w:r>
        </w:p>
        <w:tbl>
          <w:tblPr>
            <w:tblStyle w:val="AERsummarytable"/>
            <w:tblW w:w="0" w:type="auto"/>
            <w:tblLook w:val="04A0" w:firstRow="1" w:lastRow="0" w:firstColumn="1" w:lastColumn="0" w:noHBand="0" w:noVBand="1"/>
          </w:tblPr>
          <w:tblGrid>
            <w:gridCol w:w="6204"/>
            <w:gridCol w:w="2489"/>
          </w:tblGrid>
          <w:tr w:rsidR="008D7D4B" w:rsidRPr="008D7D4B" w:rsidTr="001F36AA">
            <w:trPr>
              <w:cnfStyle w:val="100000000000" w:firstRow="1" w:lastRow="0" w:firstColumn="0" w:lastColumn="0" w:oddVBand="0" w:evenVBand="0" w:oddHBand="0" w:evenHBand="0" w:firstRowFirstColumn="0" w:firstRowLastColumn="0" w:lastRowFirstColumn="0" w:lastRowLastColumn="0"/>
              <w:tblHeader/>
            </w:trPr>
            <w:tc>
              <w:tcPr>
                <w:tcW w:w="6204" w:type="dxa"/>
              </w:tcPr>
              <w:p w:rsidR="008D7D4B" w:rsidRPr="008D7D4B" w:rsidRDefault="008D7D4B" w:rsidP="00A344AC">
                <w:r w:rsidRPr="008D7D4B">
                  <w:t>Action</w:t>
                </w:r>
              </w:p>
            </w:tc>
            <w:tc>
              <w:tcPr>
                <w:tcW w:w="2489" w:type="dxa"/>
              </w:tcPr>
              <w:p w:rsidR="008D7D4B" w:rsidRPr="008D7D4B" w:rsidRDefault="008D7D4B" w:rsidP="00FF3E5B">
                <w:pPr>
                  <w:jc w:val="center"/>
                </w:pPr>
                <w:r w:rsidRPr="008D7D4B">
                  <w:t>Date / Time</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FF3E5B" w:rsidP="00FF3E5B">
                <w:pPr>
                  <w:pStyle w:val="tabletext0"/>
                </w:pPr>
                <w:r>
                  <w:t xml:space="preserve">Publish - Renewable Energy Integration in South Australia - Joint </w:t>
                </w:r>
                <w:r w:rsidR="0049588F">
                  <w:t xml:space="preserve">AEMO and ElectraNet </w:t>
                </w:r>
                <w:r>
                  <w:t>study</w:t>
                </w:r>
              </w:p>
            </w:tc>
            <w:tc>
              <w:tcPr>
                <w:tcW w:w="2489" w:type="dxa"/>
                <w:vAlign w:val="center"/>
              </w:tcPr>
              <w:p w:rsidR="008D7D4B" w:rsidRPr="008D7D4B" w:rsidRDefault="00FF3E5B" w:rsidP="00FF3E5B">
                <w:pPr>
                  <w:pStyle w:val="tabletext0"/>
                </w:pPr>
                <w:r>
                  <w:t>October 2014</w:t>
                </w:r>
              </w:p>
            </w:tc>
          </w:tr>
          <w:tr w:rsidR="008D7D4B" w:rsidRPr="008D7D4B" w:rsidTr="00FF3E5B">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8D7D4B" w:rsidRPr="008D7D4B" w:rsidRDefault="008D7D4B" w:rsidP="00FF3E5B">
                <w:pPr>
                  <w:pStyle w:val="tabletext0"/>
                </w:pPr>
                <w:r w:rsidRPr="008D7D4B">
                  <w:t xml:space="preserve">ElectraNet requests outages </w:t>
                </w:r>
              </w:p>
            </w:tc>
            <w:tc>
              <w:tcPr>
                <w:tcW w:w="2489" w:type="dxa"/>
                <w:vAlign w:val="center"/>
              </w:tcPr>
              <w:p w:rsidR="008D7D4B" w:rsidRPr="008D7D4B" w:rsidRDefault="008D7D4B" w:rsidP="00FF3E5B">
                <w:pPr>
                  <w:pStyle w:val="tabletext0"/>
                </w:pPr>
                <w:r w:rsidRPr="008D7D4B">
                  <w:t>26 Jun</w:t>
                </w:r>
                <w:r w:rsidR="00FF3E5B">
                  <w:t>e</w:t>
                </w:r>
                <w:r w:rsidRPr="008D7D4B">
                  <w:t xml:space="preserve"> 2015</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8D7D4B" w:rsidP="00FF3E5B">
                <w:pPr>
                  <w:pStyle w:val="tabletext0"/>
                </w:pPr>
                <w:r w:rsidRPr="008D7D4B">
                  <w:t>Medium Term likely to proceed</w:t>
                </w:r>
              </w:p>
            </w:tc>
            <w:tc>
              <w:tcPr>
                <w:tcW w:w="2489" w:type="dxa"/>
                <w:vAlign w:val="center"/>
              </w:tcPr>
              <w:p w:rsidR="008D7D4B" w:rsidRPr="008D7D4B" w:rsidRDefault="008D7D4B" w:rsidP="00FF3E5B">
                <w:pPr>
                  <w:pStyle w:val="tabletext0"/>
                </w:pPr>
                <w:r w:rsidRPr="008D7D4B">
                  <w:t>07 Oct</w:t>
                </w:r>
                <w:r w:rsidR="00FF3E5B">
                  <w:t>ober</w:t>
                </w:r>
                <w:r w:rsidRPr="008D7D4B">
                  <w:t xml:space="preserve"> 2015 09:43</w:t>
                </w:r>
              </w:p>
            </w:tc>
          </w:tr>
          <w:tr w:rsidR="008D7D4B" w:rsidRPr="008D7D4B" w:rsidTr="00FF3E5B">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8D7D4B" w:rsidRPr="008D7D4B" w:rsidRDefault="008D7D4B" w:rsidP="00FF3E5B">
                <w:pPr>
                  <w:pStyle w:val="tabletext0"/>
                </w:pPr>
                <w:r w:rsidRPr="008D7D4B">
                  <w:t>Short Term likely to proceed</w:t>
                </w:r>
              </w:p>
            </w:tc>
            <w:tc>
              <w:tcPr>
                <w:tcW w:w="2489" w:type="dxa"/>
                <w:vAlign w:val="center"/>
              </w:tcPr>
              <w:p w:rsidR="008D7D4B" w:rsidRPr="008D7D4B" w:rsidRDefault="008D7D4B" w:rsidP="00FF3E5B">
                <w:pPr>
                  <w:pStyle w:val="tabletext0"/>
                </w:pPr>
                <w:r w:rsidRPr="008D7D4B">
                  <w:t>07 Oct</w:t>
                </w:r>
                <w:r w:rsidR="00FF3E5B">
                  <w:t>ober</w:t>
                </w:r>
                <w:r w:rsidRPr="008D7D4B">
                  <w:t xml:space="preserve"> 2015 14:01</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8D7D4B" w:rsidP="00FF3E5B">
                <w:pPr>
                  <w:pStyle w:val="tabletext0"/>
                </w:pPr>
                <w:r w:rsidRPr="008D7D4B">
                  <w:t>AEMO compl</w:t>
                </w:r>
                <w:r>
                  <w:t>etes studies/modelling/analysis</w:t>
                </w:r>
              </w:p>
            </w:tc>
            <w:tc>
              <w:tcPr>
                <w:tcW w:w="2489" w:type="dxa"/>
                <w:vAlign w:val="center"/>
              </w:tcPr>
              <w:p w:rsidR="008D7D4B" w:rsidRPr="008D7D4B" w:rsidRDefault="008D7D4B" w:rsidP="00FF3E5B">
                <w:pPr>
                  <w:pStyle w:val="tabletext0"/>
                </w:pPr>
                <w:r w:rsidRPr="008D7D4B">
                  <w:t>08 Oct</w:t>
                </w:r>
                <w:r w:rsidR="00FF3E5B">
                  <w:t>ober</w:t>
                </w:r>
                <w:r w:rsidRPr="008D7D4B">
                  <w:t xml:space="preserve"> 2015</w:t>
                </w:r>
              </w:p>
            </w:tc>
          </w:tr>
          <w:tr w:rsidR="008D7D4B" w:rsidRPr="008D7D4B" w:rsidTr="00FF3E5B">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8D7D4B" w:rsidRPr="008D7D4B" w:rsidRDefault="008D7D4B" w:rsidP="00FF3E5B">
                <w:pPr>
                  <w:pStyle w:val="tabletext0"/>
                </w:pPr>
                <w:r w:rsidRPr="008D7D4B">
                  <w:lastRenderedPageBreak/>
                  <w:t>FCAS Constraints invoked</w:t>
                </w:r>
              </w:p>
            </w:tc>
            <w:tc>
              <w:tcPr>
                <w:tcW w:w="2489" w:type="dxa"/>
                <w:vAlign w:val="center"/>
              </w:tcPr>
              <w:p w:rsidR="008D7D4B" w:rsidRPr="008D7D4B" w:rsidRDefault="008D7D4B" w:rsidP="00FF3E5B">
                <w:pPr>
                  <w:pStyle w:val="tabletext0"/>
                </w:pPr>
                <w:r w:rsidRPr="008D7D4B">
                  <w:t>08 Oct</w:t>
                </w:r>
                <w:r w:rsidR="00FF3E5B">
                  <w:t>ober</w:t>
                </w:r>
                <w:r w:rsidRPr="008D7D4B">
                  <w:t xml:space="preserve"> 2015 09:56</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8D7D4B" w:rsidP="00FF3E5B">
                <w:pPr>
                  <w:pStyle w:val="tabletext0"/>
                </w:pPr>
                <w:r w:rsidRPr="008D7D4B">
                  <w:t>FCAS Constraints publically available through NOS</w:t>
                </w:r>
              </w:p>
            </w:tc>
            <w:tc>
              <w:tcPr>
                <w:tcW w:w="2489" w:type="dxa"/>
                <w:vAlign w:val="center"/>
              </w:tcPr>
              <w:p w:rsidR="008D7D4B" w:rsidRPr="008D7D4B" w:rsidRDefault="008D7D4B" w:rsidP="00FF3E5B">
                <w:pPr>
                  <w:pStyle w:val="tabletext0"/>
                </w:pPr>
                <w:r w:rsidRPr="008D7D4B">
                  <w:t>08 Oct</w:t>
                </w:r>
                <w:r w:rsidR="00FF3E5B">
                  <w:t>ober</w:t>
                </w:r>
                <w:r w:rsidRPr="008D7D4B">
                  <w:t xml:space="preserve"> 2015 10:00</w:t>
                </w:r>
              </w:p>
            </w:tc>
          </w:tr>
          <w:tr w:rsidR="008D7D4B" w:rsidRPr="008D7D4B" w:rsidTr="00FF3E5B">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8D7D4B" w:rsidRPr="008D7D4B" w:rsidRDefault="008D7D4B" w:rsidP="00FF3E5B">
                <w:pPr>
                  <w:pStyle w:val="tabletext0"/>
                </w:pPr>
                <w:r w:rsidRPr="008D7D4B">
                  <w:t>Rescheduled to start 1hr earlier, Short Term likely to proceed</w:t>
                </w:r>
              </w:p>
            </w:tc>
            <w:tc>
              <w:tcPr>
                <w:tcW w:w="2489" w:type="dxa"/>
                <w:vAlign w:val="center"/>
              </w:tcPr>
              <w:p w:rsidR="008D7D4B" w:rsidRPr="008D7D4B" w:rsidRDefault="008D7D4B" w:rsidP="00FF3E5B">
                <w:pPr>
                  <w:pStyle w:val="tabletext0"/>
                </w:pPr>
                <w:r w:rsidRPr="008D7D4B">
                  <w:t>09 Oct</w:t>
                </w:r>
                <w:r w:rsidR="00FF3E5B">
                  <w:t>ober</w:t>
                </w:r>
                <w:r w:rsidRPr="008D7D4B">
                  <w:t xml:space="preserve"> 2015 12:59</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8D7D4B" w:rsidP="00FF3E5B">
                <w:pPr>
                  <w:pStyle w:val="tabletext0"/>
                </w:pPr>
                <w:r w:rsidRPr="008D7D4B">
                  <w:t>Pre Dispatch likely to proceed</w:t>
                </w:r>
              </w:p>
            </w:tc>
            <w:tc>
              <w:tcPr>
                <w:tcW w:w="2489" w:type="dxa"/>
                <w:vAlign w:val="center"/>
              </w:tcPr>
              <w:p w:rsidR="008D7D4B" w:rsidRPr="008D7D4B" w:rsidRDefault="008D7D4B" w:rsidP="00FF3E5B">
                <w:pPr>
                  <w:pStyle w:val="tabletext0"/>
                </w:pPr>
                <w:r w:rsidRPr="008D7D4B">
                  <w:t>10 Oct</w:t>
                </w:r>
                <w:r w:rsidR="00FF3E5B">
                  <w:t>ober</w:t>
                </w:r>
                <w:r w:rsidRPr="008D7D4B">
                  <w:t xml:space="preserve"> 2015 16:19</w:t>
                </w:r>
              </w:p>
            </w:tc>
          </w:tr>
          <w:tr w:rsidR="00207783" w:rsidRPr="008D7D4B" w:rsidTr="00A344AC">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207783" w:rsidRPr="008D7D4B" w:rsidRDefault="00207783" w:rsidP="00A344AC">
                <w:pPr>
                  <w:pStyle w:val="tabletext0"/>
                </w:pPr>
                <w:r>
                  <w:t>Outages commenced</w:t>
                </w:r>
              </w:p>
            </w:tc>
            <w:tc>
              <w:tcPr>
                <w:tcW w:w="2489" w:type="dxa"/>
                <w:vAlign w:val="center"/>
              </w:tcPr>
              <w:p w:rsidR="00207783" w:rsidRPr="008D7D4B" w:rsidRDefault="00207783" w:rsidP="00A344AC">
                <w:pPr>
                  <w:pStyle w:val="tabletext0"/>
                </w:pPr>
                <w:r>
                  <w:t>11 October 2015 07:00</w:t>
                </w:r>
              </w:p>
            </w:tc>
          </w:tr>
          <w:tr w:rsidR="008D7D4B" w:rsidRPr="008D7D4B" w:rsidTr="00FF3E5B">
            <w:trPr>
              <w:cnfStyle w:val="000000100000" w:firstRow="0" w:lastRow="0" w:firstColumn="0" w:lastColumn="0" w:oddVBand="0" w:evenVBand="0" w:oddHBand="1" w:evenHBand="0" w:firstRowFirstColumn="0" w:firstRowLastColumn="0" w:lastRowFirstColumn="0" w:lastRowLastColumn="0"/>
            </w:trPr>
            <w:tc>
              <w:tcPr>
                <w:tcW w:w="6204" w:type="dxa"/>
                <w:vAlign w:val="center"/>
              </w:tcPr>
              <w:p w:rsidR="008D7D4B" w:rsidRPr="008D7D4B" w:rsidRDefault="008D7D4B" w:rsidP="00FF3E5B">
                <w:pPr>
                  <w:pStyle w:val="tabletext0"/>
                </w:pPr>
                <w:r w:rsidRPr="008D7D4B">
                  <w:t>Permission to proceed</w:t>
                </w:r>
              </w:p>
            </w:tc>
            <w:tc>
              <w:tcPr>
                <w:tcW w:w="2489" w:type="dxa"/>
                <w:vAlign w:val="center"/>
              </w:tcPr>
              <w:p w:rsidR="008D7D4B" w:rsidRPr="008D7D4B" w:rsidRDefault="008D7D4B" w:rsidP="00FF3E5B">
                <w:pPr>
                  <w:pStyle w:val="tabletext0"/>
                </w:pPr>
                <w:r w:rsidRPr="008D7D4B">
                  <w:t>11 Oct</w:t>
                </w:r>
                <w:r w:rsidR="00FF3E5B">
                  <w:t>ober</w:t>
                </w:r>
                <w:r w:rsidRPr="008D7D4B">
                  <w:t xml:space="preserve"> 2015 10:36</w:t>
                </w:r>
              </w:p>
            </w:tc>
          </w:tr>
          <w:tr w:rsidR="008D7D4B" w:rsidRPr="008D7D4B" w:rsidTr="00FF3E5B">
            <w:trPr>
              <w:cnfStyle w:val="000000010000" w:firstRow="0" w:lastRow="0" w:firstColumn="0" w:lastColumn="0" w:oddVBand="0" w:evenVBand="0" w:oddHBand="0" w:evenHBand="1" w:firstRowFirstColumn="0" w:firstRowLastColumn="0" w:lastRowFirstColumn="0" w:lastRowLastColumn="0"/>
            </w:trPr>
            <w:tc>
              <w:tcPr>
                <w:tcW w:w="6204" w:type="dxa"/>
                <w:vAlign w:val="center"/>
              </w:tcPr>
              <w:p w:rsidR="008D7D4B" w:rsidRPr="008D7D4B" w:rsidRDefault="008D7D4B" w:rsidP="000A6DEE">
                <w:pPr>
                  <w:pStyle w:val="tabletext0"/>
                </w:pPr>
                <w:r w:rsidRPr="008D7D4B">
                  <w:t xml:space="preserve">Market notice </w:t>
                </w:r>
                <w:r>
                  <w:t xml:space="preserve">50003 published </w:t>
                </w:r>
                <w:r w:rsidR="00FF3E5B">
                  <w:t xml:space="preserve">informing </w:t>
                </w:r>
                <w:r>
                  <w:t>market participants</w:t>
                </w:r>
                <w:r w:rsidR="00FF3E5B">
                  <w:t xml:space="preserve"> of </w:t>
                </w:r>
                <w:r w:rsidR="000A6DEE">
                  <w:t xml:space="preserve">35 MW regulation </w:t>
                </w:r>
                <w:r w:rsidR="00FF3E5B">
                  <w:t xml:space="preserve">FCAS </w:t>
                </w:r>
                <w:r w:rsidR="000A6DEE">
                  <w:t xml:space="preserve">requirement </w:t>
                </w:r>
                <w:r w:rsidR="00FF3E5B">
                  <w:t>in South Australia</w:t>
                </w:r>
                <w:r w:rsidR="000A6DEE">
                  <w:t>.</w:t>
                </w:r>
              </w:p>
            </w:tc>
            <w:tc>
              <w:tcPr>
                <w:tcW w:w="2489" w:type="dxa"/>
                <w:vAlign w:val="center"/>
              </w:tcPr>
              <w:p w:rsidR="008D7D4B" w:rsidRPr="008D7D4B" w:rsidRDefault="008D7D4B" w:rsidP="00FF3E5B">
                <w:pPr>
                  <w:pStyle w:val="tabletext0"/>
                </w:pPr>
                <w:r w:rsidRPr="008D7D4B">
                  <w:t>12 Oct</w:t>
                </w:r>
                <w:r w:rsidR="00FF3E5B">
                  <w:t>ober</w:t>
                </w:r>
                <w:r w:rsidRPr="008D7D4B">
                  <w:t xml:space="preserve"> 2015 16:08</w:t>
                </w:r>
              </w:p>
            </w:tc>
          </w:tr>
        </w:tbl>
        <w:p w:rsidR="000A6DEE" w:rsidRDefault="008D7D4B" w:rsidP="00324878">
          <w:r>
            <w:fldChar w:fldCharType="begin"/>
          </w:r>
          <w:r>
            <w:instrText xml:space="preserve"> REF _Ref438462046 \h </w:instrText>
          </w:r>
          <w:r>
            <w:fldChar w:fldCharType="separate"/>
          </w:r>
          <w:r w:rsidR="006A1105">
            <w:t xml:space="preserve">Table </w:t>
          </w:r>
          <w:r w:rsidR="006A1105">
            <w:rPr>
              <w:noProof/>
            </w:rPr>
            <w:t>4</w:t>
          </w:r>
          <w:r>
            <w:fldChar w:fldCharType="end"/>
          </w:r>
          <w:r>
            <w:t xml:space="preserve"> shows the </w:t>
          </w:r>
          <w:r w:rsidR="00207783">
            <w:t>broad</w:t>
          </w:r>
          <w:r>
            <w:t xml:space="preserve"> timeline of events leading up to, and </w:t>
          </w:r>
          <w:r w:rsidR="000A6DEE">
            <w:t xml:space="preserve">during </w:t>
          </w:r>
          <w:r>
            <w:t>the ElectraNet outages for the Heywood augmentation</w:t>
          </w:r>
          <w:r w:rsidR="00207783">
            <w:t xml:space="preserve"> and until the market notices 50003 was issued by AEMO</w:t>
          </w:r>
          <w:r>
            <w:t xml:space="preserve">. </w:t>
          </w:r>
        </w:p>
        <w:p w:rsidR="00324878" w:rsidRDefault="000A6DEE" w:rsidP="00324878">
          <w:r>
            <w:t xml:space="preserve">While the AEMO – ElectraNet joint study indicated that </w:t>
          </w:r>
          <w:r w:rsidRPr="000A6DEE">
            <w:t xml:space="preserve">AEMO </w:t>
          </w:r>
          <w:r>
            <w:t xml:space="preserve">would </w:t>
          </w:r>
          <w:r w:rsidRPr="000A6DEE">
            <w:t xml:space="preserve">ensure </w:t>
          </w:r>
          <w:r>
            <w:t xml:space="preserve">that </w:t>
          </w:r>
          <w:r w:rsidRPr="000A6DEE">
            <w:t xml:space="preserve">sufficient generation </w:t>
          </w:r>
          <w:r>
            <w:t xml:space="preserve">was </w:t>
          </w:r>
          <w:r w:rsidRPr="000A6DEE">
            <w:t>online in S</w:t>
          </w:r>
          <w:r>
            <w:t xml:space="preserve">outh </w:t>
          </w:r>
          <w:r w:rsidRPr="000A6DEE">
            <w:t>A</w:t>
          </w:r>
          <w:r>
            <w:t>ustralia</w:t>
          </w:r>
          <w:r w:rsidRPr="000A6DEE">
            <w:t xml:space="preserve"> to actively control frequency, prior to separation </w:t>
          </w:r>
          <w:r>
            <w:t xml:space="preserve">and would </w:t>
          </w:r>
          <w:r w:rsidRPr="000A6DEE">
            <w:t>monitor the availability of local regulation FCAS in S</w:t>
          </w:r>
          <w:r>
            <w:t xml:space="preserve">outh </w:t>
          </w:r>
          <w:r w:rsidRPr="000A6DEE">
            <w:t>A</w:t>
          </w:r>
          <w:r>
            <w:t xml:space="preserve">ustralia, </w:t>
          </w:r>
          <w:r w:rsidR="00324878">
            <w:t xml:space="preserve">AEMO </w:t>
          </w:r>
          <w:r>
            <w:t xml:space="preserve">only listed </w:t>
          </w:r>
          <w:r w:rsidR="00324878">
            <w:t xml:space="preserve">the </w:t>
          </w:r>
          <w:r>
            <w:t xml:space="preserve">35 MW regulation requirement </w:t>
          </w:r>
          <w:r w:rsidR="00324878">
            <w:t>in the NOS</w:t>
          </w:r>
          <w:r w:rsidR="00EE71EE">
            <w:t xml:space="preserve"> </w:t>
          </w:r>
          <w:r w:rsidR="00324878">
            <w:t xml:space="preserve">only </w:t>
          </w:r>
          <w:r w:rsidR="000C461D">
            <w:t xml:space="preserve">three </w:t>
          </w:r>
          <w:r w:rsidR="00324878">
            <w:t>days prior to the commencement of the first outage.</w:t>
          </w:r>
          <w:r w:rsidR="00324878">
            <w:rPr>
              <w:rStyle w:val="FootnoteReference"/>
            </w:rPr>
            <w:footnoteReference w:id="15"/>
          </w:r>
        </w:p>
        <w:p w:rsidR="008E3267" w:rsidRDefault="000C461D" w:rsidP="003570BD">
          <w:r>
            <w:t>L</w:t>
          </w:r>
          <w:r w:rsidR="003570BD" w:rsidRPr="008E3267">
            <w:t xml:space="preserve">isting the constraints in the NOS so close to the commencement of the outages </w:t>
          </w:r>
          <w:r>
            <w:t xml:space="preserve">limited </w:t>
          </w:r>
          <w:r w:rsidR="003570BD" w:rsidRPr="008E3267">
            <w:t>market participants</w:t>
          </w:r>
          <w:r>
            <w:t>’</w:t>
          </w:r>
          <w:r w:rsidR="003570BD" w:rsidRPr="008E3267">
            <w:t xml:space="preserve"> </w:t>
          </w:r>
          <w:r>
            <w:t xml:space="preserve">ability </w:t>
          </w:r>
          <w:r w:rsidR="003570BD" w:rsidRPr="008E3267">
            <w:t>to pursue options to either register to provide these services or take steps to avoid poten</w:t>
          </w:r>
          <w:r w:rsidR="00C06A9C">
            <w:t>tial adverse financial impacts.</w:t>
          </w:r>
        </w:p>
        <w:p w:rsidR="00C701C4" w:rsidRDefault="00C701C4" w:rsidP="003570BD">
          <w:r>
            <w:t>AEMO has a number of procedures that promote engagement with market participants where there are material market consequences</w:t>
          </w:r>
          <w:r w:rsidR="008E3267">
            <w:t xml:space="preserve"> and is obliged to notify market participants of the imposition of new constraints</w:t>
          </w:r>
          <w:r>
            <w:t xml:space="preserve">. While system security </w:t>
          </w:r>
          <w:r w:rsidR="00EE71EE">
            <w:t xml:space="preserve">and timing </w:t>
          </w:r>
          <w:r>
            <w:t xml:space="preserve">were drivers of AEMO’s approach, their lack of communication </w:t>
          </w:r>
          <w:r w:rsidR="000C461D">
            <w:t xml:space="preserve">of </w:t>
          </w:r>
          <w:r>
            <w:t>the change</w:t>
          </w:r>
          <w:r w:rsidR="000C461D">
            <w:t xml:space="preserve"> to market participants reduced their ability to respond to the new 35 MW regulation requirement</w:t>
          </w:r>
          <w:r>
            <w:t>.</w:t>
          </w:r>
        </w:p>
        <w:p w:rsidR="00C7068C" w:rsidRPr="006D5E16" w:rsidRDefault="00C7068C" w:rsidP="00C7068C">
          <w:pPr>
            <w:rPr>
              <w:rStyle w:val="Bold"/>
            </w:rPr>
          </w:pPr>
          <w:r w:rsidRPr="006D5E16">
            <w:rPr>
              <w:rStyle w:val="Bold"/>
            </w:rPr>
            <w:t>Australian Energy Regulator</w:t>
          </w:r>
        </w:p>
        <w:p w:rsidR="00C7068C" w:rsidRPr="006D5E16" w:rsidRDefault="00220337" w:rsidP="00C7068C">
          <w:pPr>
            <w:rPr>
              <w:rStyle w:val="Bold"/>
            </w:rPr>
          </w:pPr>
          <w:r>
            <w:rPr>
              <w:rStyle w:val="Bold"/>
            </w:rPr>
            <w:t>December</w:t>
          </w:r>
          <w:r w:rsidR="00712C6A" w:rsidRPr="006D5E16">
            <w:rPr>
              <w:rStyle w:val="Bold"/>
            </w:rPr>
            <w:t xml:space="preserve"> </w:t>
          </w:r>
          <w:r w:rsidR="00C7068C" w:rsidRPr="006D5E16">
            <w:rPr>
              <w:rStyle w:val="Bold"/>
            </w:rPr>
            <w:t>2015</w:t>
          </w:r>
        </w:p>
        <w:p w:rsidR="00992010" w:rsidRDefault="00992010" w:rsidP="00992010">
          <w:pPr>
            <w:pStyle w:val="Heading1notnumber"/>
          </w:pPr>
          <w:bookmarkStart w:id="31" w:name="_Toc438476562"/>
          <w:r>
            <w:lastRenderedPageBreak/>
            <w:t xml:space="preserve">Appendix </w:t>
          </w:r>
          <w:proofErr w:type="spellStart"/>
          <w:proofErr w:type="gramStart"/>
          <w:r>
            <w:t>A</w:t>
          </w:r>
          <w:proofErr w:type="spellEnd"/>
          <w:proofErr w:type="gramEnd"/>
          <w:r>
            <w:tab/>
            <w:t>Explanation of FCAS</w:t>
          </w:r>
          <w:bookmarkEnd w:id="31"/>
        </w:p>
        <w:p w:rsidR="00992010" w:rsidRDefault="00992010" w:rsidP="00992010">
          <w:r>
            <w:t xml:space="preserve">Frequency control ancillary services (FCAS) are required to maintain the frequency of the power system within the frequency operating standards. There are two </w:t>
          </w:r>
          <w:r w:rsidR="001F37F7">
            <w:t xml:space="preserve">general categories </w:t>
          </w:r>
          <w:r>
            <w:t xml:space="preserve">of FCAS: </w:t>
          </w:r>
        </w:p>
        <w:p w:rsidR="00992010" w:rsidRDefault="00992010" w:rsidP="00992010">
          <w:pPr>
            <w:pStyle w:val="Bulletpoint"/>
          </w:pPr>
          <w:r>
            <w:t xml:space="preserve">Regulation services, which continuously </w:t>
          </w:r>
          <w:r w:rsidR="001F37F7">
            <w:t>adjust to</w:t>
          </w:r>
          <w:r>
            <w:t xml:space="preserve"> small changes in demand or supply (changes that cause the frequency to move by only a small amount away from 50</w:t>
          </w:r>
          <w:r w:rsidR="00D623D8">
            <w:t> </w:t>
          </w:r>
          <w:r>
            <w:t>Hz). There are regulation services to increase the frequency (raise regulation or RREG) and services to decrease the frequency (lower regulation or LREG).</w:t>
          </w:r>
        </w:p>
        <w:p w:rsidR="00992010" w:rsidRDefault="00992010" w:rsidP="00992010">
          <w:pPr>
            <w:pStyle w:val="Bulletpoint"/>
          </w:pPr>
          <w:r>
            <w:t xml:space="preserve">Contingency services, which manage large changes in demand or supply that occur relatively rarely and move the frequency by a large amount. </w:t>
          </w:r>
          <w:r w:rsidR="008B66AF">
            <w:t>T</w:t>
          </w:r>
          <w:r>
            <w:t xml:space="preserve">here are </w:t>
          </w:r>
          <w:r w:rsidR="001F37F7">
            <w:t xml:space="preserve">three </w:t>
          </w:r>
          <w:r>
            <w:t xml:space="preserve">contingency services to increase the frequency and </w:t>
          </w:r>
          <w:r w:rsidR="001F37F7">
            <w:t xml:space="preserve">three </w:t>
          </w:r>
          <w:r>
            <w:t>contingency services to decrease the frequency.</w:t>
          </w:r>
          <w:r w:rsidR="008B66AF">
            <w:t xml:space="preserve"> </w:t>
          </w:r>
        </w:p>
        <w:p w:rsidR="00992010" w:rsidRDefault="00992010" w:rsidP="00992010">
          <w:r>
            <w:t xml:space="preserve">Raise </w:t>
          </w:r>
          <w:r w:rsidR="00F75714">
            <w:t xml:space="preserve">Contingency </w:t>
          </w:r>
          <w:r>
            <w:t>FCAS are required to be available to correct the frequency excursions that have arisen from a credible contingency event that leads to a decrease in frequency. As these contingency events usually involve step reductions in supply</w:t>
          </w:r>
          <w:r w:rsidR="001F37F7">
            <w:t xml:space="preserve"> side</w:t>
          </w:r>
          <w:r>
            <w:t xml:space="preserve">, the Electricity Rules stipulate that generators pay for these services. </w:t>
          </w:r>
        </w:p>
        <w:p w:rsidR="00992010" w:rsidRDefault="00992010" w:rsidP="00992010">
          <w:r>
            <w:t xml:space="preserve">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customers pay for these services. </w:t>
          </w:r>
        </w:p>
        <w:p w:rsidR="00F57A15" w:rsidRDefault="00F57A15" w:rsidP="00992010">
          <w:r>
            <w:t>Participants providing regulation services will receive adjusted dispatch targets every 5 minutes via their automatic generation co</w:t>
          </w:r>
          <w:r w:rsidR="00D623D8">
            <w:t xml:space="preserve">ntrol (AGC) signals from AEMO. </w:t>
          </w:r>
          <w:r>
            <w:t xml:space="preserve">Participants are paid through the FCAS markets in accordance with their offered volumes. Their energy </w:t>
          </w:r>
          <w:proofErr w:type="gramStart"/>
          <w:r>
            <w:t>production</w:t>
          </w:r>
          <w:proofErr w:type="gramEnd"/>
          <w:r w:rsidR="00D623D8">
            <w:t>,</w:t>
          </w:r>
          <w:r>
            <w:t xml:space="preserve"> that may be higher or lower depending on the AGC signals they receive</w:t>
          </w:r>
          <w:r w:rsidR="00D623D8">
            <w:t>,</w:t>
          </w:r>
          <w:r>
            <w:t xml:space="preserve"> are settled in accordance with energy market prices.</w:t>
          </w:r>
        </w:p>
        <w:p w:rsidR="00992010" w:rsidRDefault="00992010" w:rsidP="00992010">
          <w:r>
            <w:t>There are three lower and three raise contingency services:</w:t>
          </w:r>
        </w:p>
        <w:p w:rsidR="00992010" w:rsidRDefault="00992010" w:rsidP="00992010">
          <w:pPr>
            <w:pStyle w:val="Bulletpoint"/>
          </w:pPr>
          <w:r>
            <w:t>fast services, which arrest a frequency deviation within the first six seconds of a contingent event (L6 and R6);</w:t>
          </w:r>
        </w:p>
        <w:p w:rsidR="00992010" w:rsidRDefault="00992010" w:rsidP="00992010">
          <w:pPr>
            <w:pStyle w:val="Bulletpoint"/>
          </w:pPr>
          <w:r>
            <w:t>slow services, which stabilise frequency deviations within sixty seconds of the event (L60/R60); and</w:t>
          </w:r>
        </w:p>
        <w:p w:rsidR="00992010" w:rsidRDefault="00992010" w:rsidP="00992010">
          <w:pPr>
            <w:pStyle w:val="Bulletpoint"/>
          </w:pPr>
          <w:proofErr w:type="gramStart"/>
          <w:r>
            <w:t>delayed</w:t>
          </w:r>
          <w:proofErr w:type="gramEnd"/>
          <w:r>
            <w:t xml:space="preserve"> services, which stabilise frequency deviations within five minutes of the event (L5/R5).</w:t>
          </w:r>
        </w:p>
        <w:p w:rsidR="00F57A15" w:rsidRDefault="00F57A15" w:rsidP="00F57A15">
          <w:r>
            <w:t xml:space="preserve">Participants offering to provide contingency services are enabled in accordance with the “trapezium” </w:t>
          </w:r>
          <w:r w:rsidR="00D623D8">
            <w:t>supplied in their offers.</w:t>
          </w:r>
          <w:r>
            <w:t xml:space="preserve"> While participants will not necessarily be supplying these services until a contingency occurs they are paid in accordance with their enablement.</w:t>
          </w:r>
        </w:p>
        <w:p w:rsidR="00F57A15" w:rsidRDefault="00F57A15">
          <w:pPr>
            <w:spacing w:line="240" w:lineRule="auto"/>
            <w:jc w:val="left"/>
            <w:rPr>
              <w:rFonts w:eastAsia="Times New Roman" w:cs="Times New Roman"/>
              <w:b/>
              <w:bCs/>
              <w:color w:val="70635A" w:themeColor="text2"/>
              <w:sz w:val="28"/>
              <w:szCs w:val="20"/>
            </w:rPr>
          </w:pPr>
          <w:r>
            <w:br w:type="page"/>
          </w:r>
        </w:p>
        <w:p w:rsidR="00992010" w:rsidRDefault="00992010" w:rsidP="00992010">
          <w:pPr>
            <w:pStyle w:val="Heading3notnumbered"/>
          </w:pPr>
          <w:bookmarkStart w:id="32" w:name="_Toc438476563"/>
          <w:r>
            <w:lastRenderedPageBreak/>
            <w:t xml:space="preserve">Local </w:t>
          </w:r>
          <w:r w:rsidR="00611A92">
            <w:t>Frequency Control Ancillary Services</w:t>
          </w:r>
          <w:bookmarkEnd w:id="32"/>
        </w:p>
        <w:p w:rsidR="00992010" w:rsidRDefault="00992010" w:rsidP="00992010">
          <w:r>
            <w:t xml:space="preserve">AEMO sets the requirement for FCAS to ensure that the frequency standard (as set by the Reliability Panel) is maintained in the event of step changes in supply </w:t>
          </w:r>
          <w:r w:rsidR="001F37F7">
            <w:t xml:space="preserve">or demand </w:t>
          </w:r>
          <w:r>
            <w:t xml:space="preserve">that results from credible contingencies. Where a credible contingency results in the loss of an interconnector it is termed a “separation event”. </w:t>
          </w:r>
        </w:p>
        <w:p w:rsidR="00992010" w:rsidRDefault="00992010" w:rsidP="00992010">
          <w:r>
            <w:t>The standard states that in the event of a “separation event” the frequency must be contained within 49 to 51</w:t>
          </w:r>
          <w:r w:rsidR="00D623D8">
            <w:t> </w:t>
          </w:r>
          <w:r>
            <w:t xml:space="preserve">Hz or a wider band notified to AEMO by a relevant </w:t>
          </w:r>
          <w:r w:rsidR="008A11D3">
            <w:t>JSSC</w:t>
          </w:r>
          <w:r>
            <w:t xml:space="preserve">. In the case of South Australia the </w:t>
          </w:r>
          <w:r w:rsidR="00CC35B8" w:rsidRPr="00CC35B8">
            <w:t xml:space="preserve">JSSC </w:t>
          </w:r>
          <w:r w:rsidRPr="00CC35B8">
            <w:t>notified AEMO that the frequency band for separation of the South Australian power system is 47 to 52</w:t>
          </w:r>
          <w:r w:rsidR="00D623D8">
            <w:t> </w:t>
          </w:r>
          <w:r w:rsidRPr="00CC35B8">
            <w:t>Hz</w:t>
          </w:r>
          <w:r w:rsidR="00CC35B8" w:rsidRPr="00CC35B8">
            <w:t xml:space="preserve"> and that </w:t>
          </w:r>
          <w:r w:rsidRPr="00CC35B8">
            <w:t>under frequency relays will operate at frequency level</w:t>
          </w:r>
          <w:r w:rsidR="001C4856" w:rsidRPr="00CC35B8">
            <w:t>s in the low end of this range.</w:t>
          </w:r>
        </w:p>
        <w:p w:rsidR="00992010" w:rsidRDefault="00992010" w:rsidP="00992010">
          <w:r>
            <w:t xml:space="preserve">When there is a potential separation event caused by the loss of an interconnector “local frequency control ancillary services” are usually required. </w:t>
          </w:r>
        </w:p>
        <w:p w:rsidR="00992010" w:rsidRDefault="00992010" w:rsidP="00992010">
          <w:r>
            <w:t xml:space="preserve">If the region was exporting at the time the interconnector fails, then as a consequence of the immediate over supply situation local contingency “lower” services are required </w:t>
          </w:r>
          <w:r w:rsidR="001C4856">
            <w:t xml:space="preserve">in the islanded region </w:t>
          </w:r>
          <w:r>
            <w:t>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992010" w:rsidRDefault="00992010" w:rsidP="00992010">
          <w:r w:rsidRPr="00CC35B8">
            <w:t>A similar situation exists for contingency “raise” services for all other regions except South Australia where</w:t>
          </w:r>
          <w:r w:rsidR="00CC35B8" w:rsidRPr="00CC35B8">
            <w:t>,</w:t>
          </w:r>
          <w:r w:rsidRPr="00CC35B8">
            <w:t xml:space="preserve"> </w:t>
          </w:r>
          <w:r w:rsidR="00CC35B8" w:rsidRPr="00CC35B8">
            <w:t xml:space="preserve">in accordance with the advice from the JSSC, </w:t>
          </w:r>
          <w:r w:rsidRPr="00CC35B8">
            <w:t>the raise requirement is covered by under frequency load shedding. In other</w:t>
          </w:r>
          <w:r>
            <w:t xml:space="preserve">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992010" w:rsidRDefault="00992010" w:rsidP="00992010">
          <w:r w:rsidRPr="005A2081">
            <w:t xml:space="preserve">In either event, in the past, in the period immediately following the separation event AEMO would invoke local regulation services and establish a local regulation reference source to manage frequency until the region can be reconnected to the rest of the NEM. It is this aspect that has been </w:t>
          </w:r>
          <w:r>
            <w:t xml:space="preserve">recently </w:t>
          </w:r>
          <w:r w:rsidRPr="005A2081">
            <w:t>changed by AEMO. AEMO will now impose a requirement for local lower and raise</w:t>
          </w:r>
          <w:r>
            <w:t xml:space="preserve"> regulation services in South Australia prior to the failure of the interconnector so that frequency after an island is formed, and after the contingency services have operated, can be smoothly maintained.</w:t>
          </w:r>
        </w:p>
        <w:p w:rsidR="00F57A15" w:rsidRDefault="00F57A15">
          <w:pPr>
            <w:spacing w:line="240" w:lineRule="auto"/>
            <w:jc w:val="left"/>
            <w:rPr>
              <w:rFonts w:eastAsia="Times New Roman" w:cs="Times New Roman"/>
              <w:b/>
              <w:bCs/>
              <w:color w:val="70635A" w:themeColor="text2"/>
              <w:sz w:val="28"/>
              <w:szCs w:val="20"/>
              <w:lang w:eastAsia="en-AU"/>
            </w:rPr>
          </w:pPr>
          <w:r>
            <w:rPr>
              <w:lang w:eastAsia="en-AU"/>
            </w:rPr>
            <w:br w:type="page"/>
          </w:r>
        </w:p>
        <w:p w:rsidR="00992010" w:rsidRDefault="00992010" w:rsidP="00992010">
          <w:pPr>
            <w:pStyle w:val="Heading3notnumbered"/>
            <w:rPr>
              <w:lang w:eastAsia="en-AU"/>
            </w:rPr>
          </w:pPr>
          <w:bookmarkStart w:id="33" w:name="_Toc438476564"/>
          <w:r>
            <w:rPr>
              <w:lang w:eastAsia="en-AU"/>
            </w:rPr>
            <w:lastRenderedPageBreak/>
            <w:t>Frequency Control Ancillary Service Settlement</w:t>
          </w:r>
          <w:bookmarkEnd w:id="33"/>
        </w:p>
        <w:p w:rsidR="00992010" w:rsidRPr="00F014DC" w:rsidRDefault="00992010" w:rsidP="00992010">
          <w:pPr>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16"/>
          </w:r>
          <w:r w:rsidRPr="00F014DC">
            <w:rPr>
              <w:lang w:eastAsia="en-AU"/>
            </w:rPr>
            <w:t>.</w:t>
          </w:r>
        </w:p>
        <w:p w:rsidR="00992010" w:rsidRPr="00F014DC" w:rsidRDefault="00992010" w:rsidP="00992010">
          <w:pPr>
            <w:pStyle w:val="Bulletpoint"/>
            <w:rPr>
              <w:lang w:eastAsia="en-AU"/>
            </w:rPr>
          </w:pPr>
          <w:r w:rsidRPr="00F014DC">
            <w:rPr>
              <w:lang w:eastAsia="en-AU"/>
            </w:rPr>
            <w:t xml:space="preserve">Contingency FCAS: Generators pay for Raise Services and customers pay for Lower Services. </w:t>
          </w:r>
        </w:p>
        <w:p w:rsidR="00992010" w:rsidRPr="00F014DC" w:rsidRDefault="00992010" w:rsidP="00992010">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17"/>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992010" w:rsidRPr="00F014DC" w:rsidRDefault="00992010" w:rsidP="00992010">
          <w:pPr>
            <w:rPr>
              <w:lang w:eastAsia="en-AU"/>
            </w:rPr>
          </w:pPr>
          <w:r w:rsidRPr="00F014DC">
            <w:rPr>
              <w:lang w:eastAsia="en-AU"/>
            </w:rPr>
            <w:t xml:space="preserve">The ‘Causer Pays’ Procedure allocates </w:t>
          </w:r>
          <w:r w:rsidR="00F75714" w:rsidRPr="00F014DC">
            <w:rPr>
              <w:lang w:eastAsia="en-AU"/>
            </w:rPr>
            <w:t xml:space="preserve">regulation </w:t>
          </w:r>
          <w:r w:rsidRPr="00F014DC">
            <w:rPr>
              <w:lang w:eastAsia="en-AU"/>
            </w:rPr>
            <w:t xml:space="preserve">FCAS costs to those market generators, customers and small generation aggregators with facilities that have the metering capable of determining their contribution to frequency deviations at any time. </w:t>
          </w:r>
        </w:p>
        <w:p w:rsidR="00992010" w:rsidRPr="00F014DC" w:rsidRDefault="00992010" w:rsidP="00992010">
          <w:pPr>
            <w:rPr>
              <w:lang w:eastAsia="en-AU"/>
            </w:rPr>
          </w:pPr>
          <w:r w:rsidRPr="00F014DC">
            <w:rPr>
              <w:lang w:eastAsia="en-AU"/>
            </w:rPr>
            <w:t xml:space="preserve">Every four weeks based on historical data </w:t>
          </w:r>
          <w:r>
            <w:rPr>
              <w:lang w:eastAsia="en-AU"/>
            </w:rPr>
            <w:t xml:space="preserve">AEMO calculates </w:t>
          </w:r>
          <w:r w:rsidRPr="00F014DC">
            <w:rPr>
              <w:lang w:eastAsia="en-AU"/>
            </w:rPr>
            <w:t xml:space="preserve">a single causer pays contribution factor </w:t>
          </w:r>
          <w:r>
            <w:rPr>
              <w:lang w:eastAsia="en-AU"/>
            </w:rPr>
            <w:t xml:space="preserve">that represents each market participants </w:t>
          </w:r>
          <w:r w:rsidRPr="00F014DC">
            <w:rPr>
              <w:lang w:eastAsia="en-AU"/>
            </w:rPr>
            <w:t>aggregate contribution to the need for Regulation FCAS on a portfolio basis across the NEM</w:t>
          </w:r>
          <w:r>
            <w:rPr>
              <w:lang w:eastAsia="en-AU"/>
            </w:rPr>
            <w:t xml:space="preserve">. </w:t>
          </w:r>
          <w:r w:rsidRPr="00F014DC">
            <w:rPr>
              <w:lang w:eastAsia="en-AU"/>
            </w:rPr>
            <w:t>This contribution factor is not dependent on the amount of energy purchased/consumed by the participant – consequently a generator with a non-zero factor in a particular period will still pay a share of FCAS costs irrespective of how much of its generation is running. Any market generator</w:t>
          </w:r>
          <w:r w:rsidR="00F75714">
            <w:rPr>
              <w:lang w:eastAsia="en-AU"/>
            </w:rPr>
            <w:t>,</w:t>
          </w:r>
          <w:r w:rsidRPr="00F014DC">
            <w:rPr>
              <w:lang w:eastAsia="en-AU"/>
            </w:rPr>
            <w:t xml:space="preserve"> with a non-zero contribution factor </w:t>
          </w:r>
          <w:r w:rsidR="00F75714">
            <w:rPr>
              <w:lang w:eastAsia="en-AU"/>
            </w:rPr>
            <w:t xml:space="preserve">with </w:t>
          </w:r>
          <w:r w:rsidRPr="00F014DC">
            <w:rPr>
              <w:lang w:eastAsia="en-AU"/>
            </w:rPr>
            <w:t>generating units in SA</w:t>
          </w:r>
          <w:r w:rsidR="00F75714">
            <w:rPr>
              <w:lang w:eastAsia="en-AU"/>
            </w:rPr>
            <w:t>,</w:t>
          </w:r>
          <w:r w:rsidRPr="00F014DC">
            <w:rPr>
              <w:lang w:eastAsia="en-AU"/>
            </w:rPr>
            <w:t xml:space="preserve"> will incur </w:t>
          </w:r>
          <w:r>
            <w:rPr>
              <w:lang w:eastAsia="en-AU"/>
            </w:rPr>
            <w:t>r</w:t>
          </w:r>
          <w:r w:rsidRPr="00F014DC">
            <w:rPr>
              <w:lang w:eastAsia="en-AU"/>
            </w:rPr>
            <w:t>egulation FCAS costs.</w:t>
          </w:r>
        </w:p>
        <w:p w:rsidR="00992010" w:rsidRPr="00F014DC" w:rsidRDefault="00992010" w:rsidP="00992010">
          <w:pPr>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992010" w:rsidRDefault="00992010" w:rsidP="00992010">
          <w:pPr>
            <w:pStyle w:val="Heading1notnumber"/>
          </w:pPr>
          <w:bookmarkStart w:id="34" w:name="_Toc438476565"/>
          <w:r>
            <w:lastRenderedPageBreak/>
            <w:t>Appendix B</w:t>
          </w:r>
          <w:r>
            <w:tab/>
            <w:t>ElectraNet Network outages for the Heywood interconnector upgrade</w:t>
          </w:r>
          <w:bookmarkEnd w:id="34"/>
        </w:p>
        <w:p w:rsidR="00992010" w:rsidRPr="00F014DC" w:rsidRDefault="00D408C7" w:rsidP="00992010">
          <w:pPr>
            <w:rPr>
              <w:lang w:eastAsia="en-AU"/>
            </w:rPr>
          </w:pPr>
          <w:r>
            <w:rPr>
              <w:lang w:eastAsia="en-AU"/>
            </w:rPr>
            <w:t xml:space="preserve">The </w:t>
          </w:r>
          <w:r w:rsidR="00C06A9C">
            <w:rPr>
              <w:lang w:eastAsia="en-AU"/>
            </w:rPr>
            <w:t xml:space="preserve">Rules </w:t>
          </w:r>
          <w:r>
            <w:rPr>
              <w:lang w:eastAsia="en-AU"/>
            </w:rPr>
            <w:t xml:space="preserve">require </w:t>
          </w:r>
          <w:r w:rsidR="00C06A9C">
            <w:rPr>
              <w:lang w:eastAsia="en-AU"/>
            </w:rPr>
            <w:t>Transmission Network Service Providers</w:t>
          </w:r>
          <w:r>
            <w:rPr>
              <w:lang w:eastAsia="en-AU"/>
            </w:rPr>
            <w:t xml:space="preserve"> to provide information, up to </w:t>
          </w:r>
          <w:r w:rsidR="00C06A9C">
            <w:rPr>
              <w:lang w:eastAsia="en-AU"/>
            </w:rPr>
            <w:t xml:space="preserve">two years </w:t>
          </w:r>
          <w:r>
            <w:rPr>
              <w:lang w:eastAsia="en-AU"/>
            </w:rPr>
            <w:t xml:space="preserve">in advance, to AEMO and the market of upcoming network outages and their implications. </w:t>
          </w:r>
          <w:r w:rsidR="00992010">
            <w:rPr>
              <w:lang w:eastAsia="en-AU"/>
            </w:rPr>
            <w:t>The following tables list the outages planned by ElectraNet to complete the South Australian interconnector upgrade works. AEMO applied the FCAS regulation requirement for all of these outages.</w:t>
          </w:r>
          <w:r w:rsidR="002D41EB">
            <w:rPr>
              <w:lang w:eastAsia="en-AU"/>
            </w:rPr>
            <w:t xml:space="preserve"> Constraints to manage these outages were first entered into the NOS on 26 June 2015. </w:t>
          </w:r>
        </w:p>
        <w:p w:rsidR="00992010" w:rsidRDefault="00992010" w:rsidP="00992010">
          <w:pPr>
            <w:pStyle w:val="Caption"/>
          </w:pPr>
          <w:r>
            <w:t xml:space="preserve">Table F1 – Heywood Outages scheduled by ElectraNet on the </w:t>
          </w:r>
          <w:r w:rsidRPr="00E6653D">
            <w:t>South East Heywood no 1 275kV Line</w:t>
          </w:r>
        </w:p>
        <w:tbl>
          <w:tblPr>
            <w:tblStyle w:val="AERTable-Text"/>
            <w:tblW w:w="7338" w:type="dxa"/>
            <w:tblLook w:val="04A0" w:firstRow="1" w:lastRow="0" w:firstColumn="1" w:lastColumn="0" w:noHBand="0" w:noVBand="1"/>
          </w:tblPr>
          <w:tblGrid>
            <w:gridCol w:w="2093"/>
            <w:gridCol w:w="2551"/>
            <w:gridCol w:w="2694"/>
          </w:tblGrid>
          <w:tr w:rsidR="00992010" w:rsidTr="009B4746">
            <w:trPr>
              <w:cnfStyle w:val="100000000000" w:firstRow="1" w:lastRow="0" w:firstColumn="0" w:lastColumn="0" w:oddVBand="0" w:evenVBand="0" w:oddHBand="0" w:evenHBand="0" w:firstRowFirstColumn="0" w:firstRowLastColumn="0" w:lastRowFirstColumn="0" w:lastRowLastColumn="0"/>
            </w:trPr>
            <w:tc>
              <w:tcPr>
                <w:tcW w:w="2093" w:type="dxa"/>
              </w:tcPr>
              <w:p w:rsidR="00992010" w:rsidRDefault="00992010" w:rsidP="00013D02">
                <w:pPr>
                  <w:jc w:val="center"/>
                </w:pPr>
                <w:r>
                  <w:t>Out of service Date</w:t>
                </w:r>
              </w:p>
            </w:tc>
            <w:tc>
              <w:tcPr>
                <w:tcW w:w="2551" w:type="dxa"/>
              </w:tcPr>
              <w:p w:rsidR="00992010" w:rsidRDefault="00992010" w:rsidP="00013D02">
                <w:pPr>
                  <w:jc w:val="center"/>
                </w:pPr>
                <w:r>
                  <w:t>Return to service date</w:t>
                </w:r>
              </w:p>
            </w:tc>
            <w:tc>
              <w:tcPr>
                <w:tcW w:w="2694" w:type="dxa"/>
              </w:tcPr>
              <w:p w:rsidR="00992010" w:rsidRDefault="00992010" w:rsidP="00405DEA">
                <w:pPr>
                  <w:jc w:val="center"/>
                  <w:rPr>
                    <w:rFonts w:cs="Arial"/>
                    <w:bCs/>
                    <w:color w:val="008080"/>
                    <w:szCs w:val="20"/>
                    <w:u w:val="single"/>
                  </w:rPr>
                </w:pPr>
                <w:r>
                  <w:t>Outage</w:t>
                </w:r>
                <w:r w:rsidRPr="00113CC5">
                  <w:t xml:space="preserve"> duration</w:t>
                </w:r>
                <w:r>
                  <w:t xml:space="preserve"> (days)</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 xml:space="preserve">11/10/2015 </w:t>
                </w:r>
                <w:r>
                  <w:rPr>
                    <w:rFonts w:asciiTheme="minorHAnsi" w:hAnsiTheme="minorHAnsi" w:cstheme="minorHAnsi"/>
                    <w:sz w:val="20"/>
                    <w:szCs w:val="20"/>
                  </w:rPr>
                  <w:t>07:00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15/10/2015 07:00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4.00</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15/10/2015 07:00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20/10/2015 07:00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5.00</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20/10/2015 07:00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22/10/2015 16:30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2.40</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22/10/2015 16:30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22/10/2015 18:30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0.08</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22/10/2015 18:30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23/10/2015 07:00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0.52</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23/10/2015 07:00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23/10/2015 12:30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0.23</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23/10/2015 12:30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24/10/2015 07:00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0.77</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24/10/2015 07:00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24/10/2015 12:30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0.23</w:t>
                </w:r>
              </w:p>
            </w:tc>
          </w:tr>
        </w:tbl>
        <w:p w:rsidR="00992010" w:rsidRDefault="00992010" w:rsidP="00992010">
          <w:pPr>
            <w:pStyle w:val="Caption"/>
          </w:pPr>
          <w:r>
            <w:t>Table F2 – Heywood Outages scheduled by ElectraNet on the South East Heywood no 2</w:t>
          </w:r>
          <w:r w:rsidRPr="00E6653D">
            <w:t xml:space="preserve"> 275kV Line</w:t>
          </w:r>
        </w:p>
        <w:tbl>
          <w:tblPr>
            <w:tblStyle w:val="AERTable-Text"/>
            <w:tblW w:w="7338" w:type="dxa"/>
            <w:tblLook w:val="04A0" w:firstRow="1" w:lastRow="0" w:firstColumn="1" w:lastColumn="0" w:noHBand="0" w:noVBand="1"/>
          </w:tblPr>
          <w:tblGrid>
            <w:gridCol w:w="2093"/>
            <w:gridCol w:w="2551"/>
            <w:gridCol w:w="2694"/>
          </w:tblGrid>
          <w:tr w:rsidR="00992010" w:rsidTr="009B4746">
            <w:trPr>
              <w:cnfStyle w:val="100000000000" w:firstRow="1" w:lastRow="0" w:firstColumn="0" w:lastColumn="0" w:oddVBand="0" w:evenVBand="0" w:oddHBand="0" w:evenHBand="0" w:firstRowFirstColumn="0" w:firstRowLastColumn="0" w:lastRowFirstColumn="0" w:lastRowLastColumn="0"/>
            </w:trPr>
            <w:tc>
              <w:tcPr>
                <w:tcW w:w="2093" w:type="dxa"/>
              </w:tcPr>
              <w:p w:rsidR="00992010" w:rsidRDefault="00992010" w:rsidP="00013D02">
                <w:pPr>
                  <w:jc w:val="center"/>
                </w:pPr>
                <w:r>
                  <w:t>Out of service date</w:t>
                </w:r>
              </w:p>
            </w:tc>
            <w:tc>
              <w:tcPr>
                <w:tcW w:w="2551" w:type="dxa"/>
              </w:tcPr>
              <w:p w:rsidR="00992010" w:rsidRDefault="00992010" w:rsidP="00013D02">
                <w:pPr>
                  <w:jc w:val="center"/>
                </w:pPr>
                <w:r>
                  <w:t>Return to service date</w:t>
                </w:r>
              </w:p>
            </w:tc>
            <w:tc>
              <w:tcPr>
                <w:tcW w:w="2694" w:type="dxa"/>
              </w:tcPr>
              <w:p w:rsidR="00992010" w:rsidRDefault="00992010" w:rsidP="00405DEA">
                <w:pPr>
                  <w:jc w:val="center"/>
                  <w:rPr>
                    <w:rFonts w:cs="Arial"/>
                    <w:bCs/>
                    <w:color w:val="008080"/>
                    <w:szCs w:val="20"/>
                    <w:u w:val="single"/>
                  </w:rPr>
                </w:pPr>
                <w:r>
                  <w:t>Outage</w:t>
                </w:r>
                <w:r w:rsidRPr="00113CC5">
                  <w:t xml:space="preserve"> duration</w:t>
                </w:r>
                <w:r>
                  <w:t xml:space="preserve"> (days)</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29/10/2015 07:00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03/11/2015 07:00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5.00</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03/11/2015 07:00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05/11/2015 16:30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2.40</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05/11/2015 16:30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05/11/2015 18:30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0.08</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05/11/2015 18:30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06/11/2015 07:00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0.52</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06/11/2015 07:00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06/11/2015 12:30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0.23</w:t>
                </w:r>
              </w:p>
            </w:tc>
          </w:tr>
          <w:tr w:rsidR="00992010" w:rsidRPr="004D0B56" w:rsidTr="009B4746">
            <w:trPr>
              <w:cnfStyle w:val="000000010000" w:firstRow="0" w:lastRow="0" w:firstColumn="0" w:lastColumn="0" w:oddVBand="0" w:evenVBand="0" w:oddHBand="0" w:evenHBand="1"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06/11/2015 12:30</w:t>
                </w:r>
              </w:p>
            </w:tc>
            <w:tc>
              <w:tcPr>
                <w:tcW w:w="2551" w:type="dxa"/>
              </w:tcPr>
              <w:p w:rsidR="00992010" w:rsidRPr="004D0B56" w:rsidRDefault="00992010" w:rsidP="00013D02">
                <w:pPr>
                  <w:jc w:val="center"/>
                  <w:rPr>
                    <w:rFonts w:asciiTheme="minorHAnsi" w:hAnsiTheme="minorHAnsi" w:cstheme="minorHAnsi"/>
                    <w:szCs w:val="20"/>
                  </w:rPr>
                </w:pPr>
                <w:r w:rsidRPr="004D0B56">
                  <w:rPr>
                    <w:rFonts w:asciiTheme="minorHAnsi" w:hAnsiTheme="minorHAnsi" w:cstheme="minorHAnsi"/>
                    <w:szCs w:val="20"/>
                  </w:rPr>
                  <w:t>07/11/2015 07:00</w:t>
                </w:r>
              </w:p>
            </w:tc>
            <w:tc>
              <w:tcPr>
                <w:tcW w:w="2694" w:type="dxa"/>
              </w:tcPr>
              <w:p w:rsidR="00992010" w:rsidRPr="00E6653D" w:rsidRDefault="00992010" w:rsidP="009B4746">
                <w:pPr>
                  <w:jc w:val="center"/>
                  <w:rPr>
                    <w:rFonts w:asciiTheme="minorHAnsi" w:hAnsiTheme="minorHAnsi" w:cstheme="minorHAnsi"/>
                    <w:szCs w:val="20"/>
                  </w:rPr>
                </w:pPr>
                <w:r w:rsidRPr="00E6653D">
                  <w:rPr>
                    <w:rFonts w:asciiTheme="minorHAnsi" w:hAnsiTheme="minorHAnsi" w:cstheme="minorHAnsi"/>
                    <w:szCs w:val="20"/>
                  </w:rPr>
                  <w:t>0.77</w:t>
                </w:r>
              </w:p>
            </w:tc>
          </w:tr>
          <w:tr w:rsidR="00992010" w:rsidRPr="004D0B56" w:rsidTr="009B4746">
            <w:trPr>
              <w:cnfStyle w:val="000000100000" w:firstRow="0" w:lastRow="0" w:firstColumn="0" w:lastColumn="0" w:oddVBand="0" w:evenVBand="0" w:oddHBand="1" w:evenHBand="0" w:firstRowFirstColumn="0" w:firstRowLastColumn="0" w:lastRowFirstColumn="0" w:lastRowLastColumn="0"/>
            </w:trPr>
            <w:tc>
              <w:tcPr>
                <w:tcW w:w="2093"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07/11/2015 07:00</w:t>
                </w:r>
              </w:p>
            </w:tc>
            <w:tc>
              <w:tcPr>
                <w:tcW w:w="2551" w:type="dxa"/>
              </w:tcPr>
              <w:p w:rsidR="00992010" w:rsidRPr="004D0B56" w:rsidRDefault="00992010" w:rsidP="00013D02">
                <w:pPr>
                  <w:jc w:val="center"/>
                  <w:rPr>
                    <w:rFonts w:asciiTheme="minorHAnsi" w:hAnsiTheme="minorHAnsi" w:cstheme="minorHAnsi"/>
                    <w:sz w:val="20"/>
                    <w:szCs w:val="20"/>
                  </w:rPr>
                </w:pPr>
                <w:r w:rsidRPr="004D0B56">
                  <w:rPr>
                    <w:rFonts w:asciiTheme="minorHAnsi" w:hAnsiTheme="minorHAnsi" w:cstheme="minorHAnsi"/>
                    <w:sz w:val="20"/>
                    <w:szCs w:val="20"/>
                  </w:rPr>
                  <w:t>07/11/2015 12:30</w:t>
                </w:r>
              </w:p>
            </w:tc>
            <w:tc>
              <w:tcPr>
                <w:tcW w:w="2694" w:type="dxa"/>
              </w:tcPr>
              <w:p w:rsidR="00992010" w:rsidRPr="00E6653D" w:rsidRDefault="00992010" w:rsidP="009B4746">
                <w:pPr>
                  <w:jc w:val="center"/>
                  <w:rPr>
                    <w:rFonts w:asciiTheme="minorHAnsi" w:hAnsiTheme="minorHAnsi" w:cstheme="minorHAnsi"/>
                    <w:sz w:val="20"/>
                    <w:szCs w:val="20"/>
                  </w:rPr>
                </w:pPr>
                <w:r w:rsidRPr="00E6653D">
                  <w:rPr>
                    <w:rFonts w:asciiTheme="minorHAnsi" w:hAnsiTheme="minorHAnsi" w:cstheme="minorHAnsi"/>
                    <w:sz w:val="20"/>
                    <w:szCs w:val="20"/>
                  </w:rPr>
                  <w:t>0.23</w:t>
                </w:r>
              </w:p>
            </w:tc>
          </w:tr>
        </w:tbl>
        <w:p w:rsidR="00C7068C" w:rsidRDefault="00F1391C" w:rsidP="00C7068C">
          <w:pPr>
            <w:pStyle w:val="Heading1notnumber"/>
          </w:pPr>
          <w:bookmarkStart w:id="35" w:name="_Toc438476566"/>
          <w:r>
            <w:lastRenderedPageBreak/>
            <w:t xml:space="preserve">Appendix </w:t>
          </w:r>
          <w:r w:rsidR="00992010">
            <w:t>C</w:t>
          </w:r>
          <w:r w:rsidR="00C7068C">
            <w:tab/>
            <w:t>Significant Rebids</w:t>
          </w:r>
          <w:bookmarkEnd w:id="35"/>
        </w:p>
        <w:p w:rsidR="00C7068C" w:rsidRDefault="00C7068C" w:rsidP="00C7068C">
          <w:r w:rsidRPr="003E380F">
            <w:t xml:space="preserve">The rebidding tables highlight the relevant rebids submitted by generators that impacted on market outcomes during the </w:t>
          </w:r>
          <w:r>
            <w:t xml:space="preserve">time of </w:t>
          </w:r>
          <w:r w:rsidRPr="003E380F">
            <w:t>high price</w:t>
          </w:r>
          <w:r>
            <w:t>s. It details</w:t>
          </w:r>
          <w:r w:rsidRPr="003E380F">
            <w:t xml:space="preserve"> the time the rebid was submitted and used by the dispatch process, the capacity involved</w:t>
          </w:r>
          <w:r w:rsidR="00CC65AF">
            <w:t>,</w:t>
          </w:r>
          <w:r w:rsidRPr="003E380F">
            <w:t xml:space="preserve"> the change in the price of the capacity was being offered</w:t>
          </w:r>
          <w:r w:rsidR="00CC65AF">
            <w:t xml:space="preserve"> and</w:t>
          </w:r>
          <w:r w:rsidRPr="003E380F">
            <w:t xml:space="preserve"> </w:t>
          </w:r>
          <w:r w:rsidR="00CC65AF">
            <w:t>t</w:t>
          </w:r>
          <w:r w:rsidRPr="003E380F">
            <w:t xml:space="preserve">he </w:t>
          </w:r>
          <w:r w:rsidR="00CC65AF">
            <w:t>rebid reason</w:t>
          </w:r>
          <w:r w:rsidRPr="003E380F">
            <w:t>.</w:t>
          </w:r>
        </w:p>
        <w:p w:rsidR="00C7068C" w:rsidRDefault="00C7068C" w:rsidP="00C7068C">
          <w:pPr>
            <w:pStyle w:val="Caption"/>
          </w:pPr>
          <w:r>
            <w:t xml:space="preserve">Significant </w:t>
          </w:r>
          <w:r w:rsidR="006F3333">
            <w:t xml:space="preserve">rebids </w:t>
          </w:r>
          <w:r>
            <w:t xml:space="preserve">for </w:t>
          </w:r>
          <w:r w:rsidR="00F26E06">
            <w:t>11 October</w:t>
          </w:r>
          <w:r w:rsidR="009D1002">
            <w:t xml:space="preserve"> – lower </w:t>
          </w:r>
          <w:r w:rsidR="00774131">
            <w:t xml:space="preserve">and raise </w:t>
          </w:r>
          <w:r w:rsidR="009D1002">
            <w:t>regulation</w:t>
          </w:r>
        </w:p>
        <w:tbl>
          <w:tblPr>
            <w:tblStyle w:val="AERsummarytable"/>
            <w:tblW w:w="8693" w:type="dxa"/>
            <w:tblLayout w:type="fixed"/>
            <w:tblLook w:val="04A0" w:firstRow="1" w:lastRow="0" w:firstColumn="1" w:lastColumn="0" w:noHBand="0" w:noVBand="1"/>
          </w:tblPr>
          <w:tblGrid>
            <w:gridCol w:w="878"/>
            <w:gridCol w:w="952"/>
            <w:gridCol w:w="1338"/>
            <w:gridCol w:w="1112"/>
            <w:gridCol w:w="980"/>
            <w:gridCol w:w="923"/>
            <w:gridCol w:w="924"/>
            <w:gridCol w:w="1586"/>
          </w:tblGrid>
          <w:tr w:rsidR="00B80409" w:rsidRPr="00FE396E" w:rsidTr="00B80409">
            <w:trPr>
              <w:cnfStyle w:val="100000000000" w:firstRow="1" w:lastRow="0" w:firstColumn="0" w:lastColumn="0" w:oddVBand="0" w:evenVBand="0" w:oddHBand="0" w:evenHBand="0" w:firstRowFirstColumn="0" w:firstRowLastColumn="0" w:lastRowFirstColumn="0" w:lastRowLastColumn="0"/>
              <w:trHeight w:val="780"/>
              <w:tblHeader/>
            </w:trPr>
            <w:tc>
              <w:tcPr>
                <w:tcW w:w="878" w:type="dxa"/>
              </w:tcPr>
              <w:p w:rsidR="00B80409" w:rsidRDefault="00B80409" w:rsidP="00B80409">
                <w:pPr>
                  <w:jc w:val="center"/>
                  <w:textAlignment w:val="top"/>
                  <w:divId w:val="1297251709"/>
                  <w:rPr>
                    <w:sz w:val="2"/>
                    <w:szCs w:val="2"/>
                  </w:rPr>
                </w:pPr>
                <w:r>
                  <w:rPr>
                    <w:rStyle w:val="a531"/>
                  </w:rPr>
                  <w:t>Submit time</w:t>
                </w:r>
              </w:p>
            </w:tc>
            <w:tc>
              <w:tcPr>
                <w:tcW w:w="952" w:type="dxa"/>
              </w:tcPr>
              <w:p w:rsidR="00B80409" w:rsidRDefault="00B80409">
                <w:pPr>
                  <w:jc w:val="center"/>
                  <w:textAlignment w:val="top"/>
                  <w:divId w:val="330447966"/>
                  <w:rPr>
                    <w:sz w:val="2"/>
                    <w:szCs w:val="2"/>
                  </w:rPr>
                </w:pPr>
                <w:r>
                  <w:rPr>
                    <w:rStyle w:val="a571"/>
                  </w:rPr>
                  <w:t>Time</w:t>
                </w:r>
                <w:r>
                  <w:rPr>
                    <w:rFonts w:cs="Arial"/>
                    <w:color w:val="FFFFFF"/>
                    <w:szCs w:val="18"/>
                  </w:rPr>
                  <w:br/>
                </w:r>
                <w:r>
                  <w:rPr>
                    <w:rStyle w:val="a571"/>
                  </w:rPr>
                  <w:t>effective</w:t>
                </w:r>
              </w:p>
            </w:tc>
            <w:tc>
              <w:tcPr>
                <w:tcW w:w="1338" w:type="dxa"/>
                <w:hideMark/>
              </w:tcPr>
              <w:p w:rsidR="00B80409" w:rsidRDefault="00B80409">
                <w:pPr>
                  <w:jc w:val="center"/>
                  <w:textAlignment w:val="top"/>
                  <w:rPr>
                    <w:rFonts w:cs="Arial"/>
                    <w:color w:val="FFFFFF"/>
                    <w:szCs w:val="18"/>
                  </w:rPr>
                </w:pPr>
                <w:r>
                  <w:rPr>
                    <w:rFonts w:cs="Arial"/>
                    <w:color w:val="FFFFFF"/>
                    <w:szCs w:val="18"/>
                  </w:rPr>
                  <w:t>Participant</w:t>
                </w:r>
              </w:p>
            </w:tc>
            <w:tc>
              <w:tcPr>
                <w:tcW w:w="1112" w:type="dxa"/>
                <w:hideMark/>
              </w:tcPr>
              <w:p w:rsidR="00B80409" w:rsidRDefault="00B80409">
                <w:pPr>
                  <w:jc w:val="center"/>
                  <w:textAlignment w:val="top"/>
                  <w:rPr>
                    <w:rFonts w:cs="Arial"/>
                    <w:color w:val="FFFFFF"/>
                    <w:szCs w:val="18"/>
                  </w:rPr>
                </w:pPr>
                <w:r>
                  <w:rPr>
                    <w:rFonts w:cs="Arial"/>
                    <w:color w:val="FFFFFF"/>
                    <w:szCs w:val="18"/>
                  </w:rPr>
                  <w:t>Station</w:t>
                </w:r>
              </w:p>
            </w:tc>
            <w:tc>
              <w:tcPr>
                <w:tcW w:w="980" w:type="dxa"/>
                <w:hideMark/>
              </w:tcPr>
              <w:p w:rsidR="00B80409" w:rsidRDefault="00B80409">
                <w:pPr>
                  <w:jc w:val="center"/>
                  <w:textAlignment w:val="top"/>
                  <w:divId w:val="1761215993"/>
                  <w:rPr>
                    <w:sz w:val="2"/>
                    <w:szCs w:val="2"/>
                  </w:rPr>
                </w:pPr>
                <w:r>
                  <w:rPr>
                    <w:rStyle w:val="a691"/>
                  </w:rPr>
                  <w:t>Capacity rebid</w:t>
                </w:r>
                <w:r>
                  <w:rPr>
                    <w:rFonts w:cs="Arial"/>
                    <w:color w:val="FFFFFF"/>
                    <w:szCs w:val="18"/>
                  </w:rPr>
                  <w:br/>
                </w:r>
                <w:r>
                  <w:rPr>
                    <w:rStyle w:val="a691"/>
                  </w:rPr>
                  <w:t>(MW)</w:t>
                </w:r>
              </w:p>
            </w:tc>
            <w:tc>
              <w:tcPr>
                <w:tcW w:w="923" w:type="dxa"/>
                <w:hideMark/>
              </w:tcPr>
              <w:p w:rsidR="00B80409" w:rsidRDefault="00B80409" w:rsidP="00432F60">
                <w:pPr>
                  <w:jc w:val="center"/>
                  <w:textAlignment w:val="top"/>
                  <w:divId w:val="161817275"/>
                  <w:rPr>
                    <w:sz w:val="2"/>
                    <w:szCs w:val="2"/>
                  </w:rPr>
                </w:pPr>
                <w:r>
                  <w:rPr>
                    <w:rStyle w:val="a731"/>
                  </w:rPr>
                  <w:t>Price from</w:t>
                </w:r>
                <w:r>
                  <w:rPr>
                    <w:rFonts w:cs="Arial"/>
                    <w:color w:val="FFFFFF"/>
                    <w:szCs w:val="18"/>
                  </w:rPr>
                  <w:br/>
                </w:r>
                <w:r>
                  <w:rPr>
                    <w:rStyle w:val="a731"/>
                  </w:rPr>
                  <w:t>($/MW)</w:t>
                </w:r>
              </w:p>
            </w:tc>
            <w:tc>
              <w:tcPr>
                <w:tcW w:w="924" w:type="dxa"/>
                <w:hideMark/>
              </w:tcPr>
              <w:p w:rsidR="00B80409" w:rsidRDefault="00B80409" w:rsidP="00432F60">
                <w:pPr>
                  <w:jc w:val="center"/>
                  <w:textAlignment w:val="top"/>
                  <w:divId w:val="1395664897"/>
                  <w:rPr>
                    <w:sz w:val="2"/>
                    <w:szCs w:val="2"/>
                  </w:rPr>
                </w:pPr>
                <w:r>
                  <w:rPr>
                    <w:rStyle w:val="a771"/>
                  </w:rPr>
                  <w:t>Price to ($/MW)</w:t>
                </w:r>
              </w:p>
            </w:tc>
            <w:tc>
              <w:tcPr>
                <w:tcW w:w="1586" w:type="dxa"/>
                <w:hideMark/>
              </w:tcPr>
              <w:p w:rsidR="00B80409" w:rsidRDefault="00B80409">
                <w:pPr>
                  <w:jc w:val="center"/>
                  <w:textAlignment w:val="top"/>
                  <w:rPr>
                    <w:rFonts w:cs="Arial"/>
                    <w:color w:val="FFFFFF"/>
                    <w:szCs w:val="18"/>
                  </w:rPr>
                </w:pPr>
                <w:r>
                  <w:rPr>
                    <w:rFonts w:cs="Arial"/>
                    <w:color w:val="FFFFFF"/>
                    <w:szCs w:val="18"/>
                  </w:rPr>
                  <w:t>Rebid reason</w:t>
                </w:r>
              </w:p>
            </w:tc>
          </w:tr>
          <w:tr w:rsidR="00B80409" w:rsidRPr="00FE396E" w:rsidTr="00B80409">
            <w:trPr>
              <w:cnfStyle w:val="000000100000" w:firstRow="0" w:lastRow="0" w:firstColumn="0" w:lastColumn="0" w:oddVBand="0" w:evenVBand="0" w:oddHBand="1" w:evenHBand="0" w:firstRowFirstColumn="0" w:firstRowLastColumn="0" w:lastRowFirstColumn="0" w:lastRowLastColumn="0"/>
              <w:trHeight w:val="606"/>
            </w:trPr>
            <w:tc>
              <w:tcPr>
                <w:tcW w:w="878" w:type="dxa"/>
                <w:vAlign w:val="center"/>
              </w:tcPr>
              <w:p w:rsidR="00B80409" w:rsidRDefault="00F26E06" w:rsidP="00F26E06">
                <w:pPr>
                  <w:jc w:val="center"/>
                  <w:textAlignment w:val="center"/>
                  <w:rPr>
                    <w:rFonts w:cs="Arial"/>
                    <w:color w:val="000000"/>
                    <w:szCs w:val="18"/>
                  </w:rPr>
                </w:pPr>
                <w:r>
                  <w:rPr>
                    <w:rFonts w:cs="Arial"/>
                    <w:color w:val="000000"/>
                    <w:szCs w:val="18"/>
                  </w:rPr>
                  <w:t>8</w:t>
                </w:r>
                <w:r w:rsidR="00B80409">
                  <w:rPr>
                    <w:rFonts w:cs="Arial"/>
                    <w:color w:val="000000"/>
                    <w:szCs w:val="18"/>
                  </w:rPr>
                  <w:t>.</w:t>
                </w:r>
                <w:r>
                  <w:rPr>
                    <w:rFonts w:cs="Arial"/>
                    <w:color w:val="000000"/>
                    <w:szCs w:val="18"/>
                  </w:rPr>
                  <w:t>18</w:t>
                </w:r>
                <w:r w:rsidR="00B80409">
                  <w:rPr>
                    <w:rFonts w:cs="Arial"/>
                    <w:color w:val="000000"/>
                    <w:szCs w:val="18"/>
                  </w:rPr>
                  <w:t xml:space="preserve"> pm</w:t>
                </w:r>
              </w:p>
            </w:tc>
            <w:tc>
              <w:tcPr>
                <w:tcW w:w="952" w:type="dxa"/>
                <w:vAlign w:val="center"/>
              </w:tcPr>
              <w:p w:rsidR="00B80409" w:rsidRDefault="00F26E06" w:rsidP="00F26E06">
                <w:pPr>
                  <w:jc w:val="center"/>
                  <w:textAlignment w:val="center"/>
                  <w:rPr>
                    <w:sz w:val="24"/>
                    <w:szCs w:val="24"/>
                  </w:rPr>
                </w:pPr>
                <w:r w:rsidRPr="00F26E06">
                  <w:rPr>
                    <w:rFonts w:cs="Arial"/>
                    <w:color w:val="000000"/>
                    <w:szCs w:val="18"/>
                  </w:rPr>
                  <w:t>8.25 pm</w:t>
                </w:r>
              </w:p>
            </w:tc>
            <w:tc>
              <w:tcPr>
                <w:tcW w:w="1338" w:type="dxa"/>
                <w:vAlign w:val="center"/>
              </w:tcPr>
              <w:p w:rsidR="00B80409" w:rsidRDefault="00F26E06">
                <w:pPr>
                  <w:textAlignment w:val="center"/>
                  <w:rPr>
                    <w:rFonts w:cs="Arial"/>
                    <w:color w:val="000000"/>
                    <w:szCs w:val="18"/>
                  </w:rPr>
                </w:pPr>
                <w:r>
                  <w:rPr>
                    <w:rFonts w:cs="Arial"/>
                    <w:color w:val="000000"/>
                    <w:szCs w:val="18"/>
                  </w:rPr>
                  <w:t>AGL</w:t>
                </w:r>
              </w:p>
            </w:tc>
            <w:tc>
              <w:tcPr>
                <w:tcW w:w="1112" w:type="dxa"/>
                <w:vAlign w:val="center"/>
              </w:tcPr>
              <w:p w:rsidR="00B80409" w:rsidRDefault="00F26E06">
                <w:pPr>
                  <w:textAlignment w:val="center"/>
                  <w:rPr>
                    <w:rFonts w:cs="Arial"/>
                    <w:color w:val="000000"/>
                    <w:szCs w:val="18"/>
                  </w:rPr>
                </w:pPr>
                <w:r>
                  <w:rPr>
                    <w:rFonts w:cs="Arial"/>
                    <w:color w:val="000000"/>
                    <w:szCs w:val="18"/>
                  </w:rPr>
                  <w:t>Torrens</w:t>
                </w:r>
              </w:p>
            </w:tc>
            <w:tc>
              <w:tcPr>
                <w:tcW w:w="980" w:type="dxa"/>
                <w:vAlign w:val="center"/>
              </w:tcPr>
              <w:p w:rsidR="00B80409" w:rsidRDefault="00F26E06">
                <w:pPr>
                  <w:jc w:val="center"/>
                  <w:textAlignment w:val="center"/>
                  <w:rPr>
                    <w:rFonts w:cs="Arial"/>
                    <w:color w:val="000000"/>
                    <w:szCs w:val="18"/>
                  </w:rPr>
                </w:pPr>
                <w:r>
                  <w:rPr>
                    <w:rFonts w:cs="Arial"/>
                    <w:color w:val="000000"/>
                    <w:szCs w:val="18"/>
                  </w:rPr>
                  <w:t>8</w:t>
                </w:r>
                <w:r w:rsidR="00B80409">
                  <w:rPr>
                    <w:rFonts w:cs="Arial"/>
                    <w:color w:val="000000"/>
                    <w:szCs w:val="18"/>
                  </w:rPr>
                  <w:t>0</w:t>
                </w:r>
              </w:p>
            </w:tc>
            <w:tc>
              <w:tcPr>
                <w:tcW w:w="923" w:type="dxa"/>
                <w:vAlign w:val="center"/>
              </w:tcPr>
              <w:p w:rsidR="00B80409" w:rsidRDefault="00F26E06">
                <w:pPr>
                  <w:jc w:val="center"/>
                  <w:textAlignment w:val="center"/>
                  <w:rPr>
                    <w:rFonts w:cs="Arial"/>
                    <w:color w:val="000000"/>
                    <w:szCs w:val="18"/>
                  </w:rPr>
                </w:pPr>
                <w:r>
                  <w:rPr>
                    <w:rFonts w:cs="Arial"/>
                    <w:color w:val="000000"/>
                    <w:szCs w:val="18"/>
                  </w:rPr>
                  <w:t>&lt;8000</w:t>
                </w:r>
              </w:p>
            </w:tc>
            <w:tc>
              <w:tcPr>
                <w:tcW w:w="924" w:type="dxa"/>
                <w:vAlign w:val="center"/>
              </w:tcPr>
              <w:p w:rsidR="00B80409" w:rsidRDefault="00F26E06">
                <w:pPr>
                  <w:jc w:val="center"/>
                  <w:textAlignment w:val="center"/>
                  <w:rPr>
                    <w:rFonts w:cs="Arial"/>
                    <w:color w:val="000000"/>
                    <w:szCs w:val="18"/>
                  </w:rPr>
                </w:pPr>
                <w:r>
                  <w:rPr>
                    <w:rFonts w:cs="Arial"/>
                    <w:color w:val="000000"/>
                    <w:szCs w:val="18"/>
                  </w:rPr>
                  <w:t>13 100</w:t>
                </w:r>
              </w:p>
            </w:tc>
            <w:tc>
              <w:tcPr>
                <w:tcW w:w="1586" w:type="dxa"/>
                <w:vAlign w:val="center"/>
              </w:tcPr>
              <w:p w:rsidR="00B80409" w:rsidRPr="00F26E06" w:rsidRDefault="00F26E06" w:rsidP="00475ED4">
                <w:pPr>
                  <w:jc w:val="left"/>
                  <w:textAlignment w:val="center"/>
                  <w:rPr>
                    <w:rFonts w:cs="Arial"/>
                    <w:color w:val="000000"/>
                    <w:szCs w:val="18"/>
                  </w:rPr>
                </w:pPr>
                <w:r w:rsidRPr="00F26E06">
                  <w:rPr>
                    <w:rFonts w:cs="Arial"/>
                    <w:szCs w:val="18"/>
                  </w:rPr>
                  <w:t>1955~A~020 AEMO MARKET NOTICE~ID 49991</w:t>
                </w:r>
              </w:p>
            </w:tc>
          </w:tr>
        </w:tbl>
        <w:p w:rsidR="008C2CF2" w:rsidRPr="008C2CF2" w:rsidRDefault="008C2CF2" w:rsidP="008C2CF2">
          <w:pPr>
            <w:rPr>
              <w:sz w:val="18"/>
              <w:szCs w:val="18"/>
            </w:rPr>
          </w:pPr>
          <w:r w:rsidRPr="008C2CF2">
            <w:rPr>
              <w:sz w:val="18"/>
              <w:szCs w:val="18"/>
            </w:rPr>
            <w:t>Note: At 8.32 AGL submitted a correcting rebid which only changed the rebid reason to reference Market Notice ID 49990 for the 8.18 pm rebid.</w:t>
          </w:r>
        </w:p>
        <w:p w:rsidR="002F025A" w:rsidRDefault="002F025A" w:rsidP="002F025A">
          <w:pPr>
            <w:pStyle w:val="Caption"/>
          </w:pPr>
          <w:r>
            <w:t xml:space="preserve">Significant </w:t>
          </w:r>
          <w:r w:rsidR="006F3333">
            <w:t xml:space="preserve">rebids </w:t>
          </w:r>
          <w:r>
            <w:t xml:space="preserve">for </w:t>
          </w:r>
          <w:r w:rsidR="00F26E06">
            <w:t>25 October</w:t>
          </w:r>
          <w:r w:rsidR="009D1002">
            <w:t xml:space="preserve"> – lower </w:t>
          </w:r>
          <w:r w:rsidR="00774131">
            <w:t xml:space="preserve">and raise </w:t>
          </w:r>
          <w:r w:rsidR="009D1002">
            <w:t>regulation</w:t>
          </w:r>
        </w:p>
        <w:tbl>
          <w:tblPr>
            <w:tblStyle w:val="AERsummarytable"/>
            <w:tblW w:w="8617" w:type="dxa"/>
            <w:tblLayout w:type="fixed"/>
            <w:tblLook w:val="04A0" w:firstRow="1" w:lastRow="0" w:firstColumn="1" w:lastColumn="0" w:noHBand="0" w:noVBand="1"/>
          </w:tblPr>
          <w:tblGrid>
            <w:gridCol w:w="976"/>
            <w:gridCol w:w="975"/>
            <w:gridCol w:w="1181"/>
            <w:gridCol w:w="1072"/>
            <w:gridCol w:w="980"/>
            <w:gridCol w:w="923"/>
            <w:gridCol w:w="924"/>
            <w:gridCol w:w="1586"/>
          </w:tblGrid>
          <w:tr w:rsidR="00B80409" w:rsidRPr="004D2432" w:rsidTr="00774131">
            <w:trPr>
              <w:cnfStyle w:val="100000000000" w:firstRow="1" w:lastRow="0" w:firstColumn="0" w:lastColumn="0" w:oddVBand="0" w:evenVBand="0" w:oddHBand="0" w:evenHBand="0" w:firstRowFirstColumn="0" w:firstRowLastColumn="0" w:lastRowFirstColumn="0" w:lastRowLastColumn="0"/>
              <w:trHeight w:val="780"/>
              <w:tblHeader/>
            </w:trPr>
            <w:tc>
              <w:tcPr>
                <w:tcW w:w="976" w:type="dxa"/>
              </w:tcPr>
              <w:p w:rsidR="00B80409" w:rsidRDefault="00B80409" w:rsidP="00B80409">
                <w:pPr>
                  <w:jc w:val="center"/>
                  <w:textAlignment w:val="top"/>
                  <w:divId w:val="295184323"/>
                  <w:rPr>
                    <w:sz w:val="2"/>
                    <w:szCs w:val="2"/>
                  </w:rPr>
                </w:pPr>
                <w:r>
                  <w:rPr>
                    <w:rStyle w:val="a531"/>
                  </w:rPr>
                  <w:t>Submit</w:t>
                </w:r>
                <w:r>
                  <w:rPr>
                    <w:rFonts w:cs="Arial"/>
                    <w:color w:val="FFFFFF"/>
                    <w:szCs w:val="18"/>
                  </w:rPr>
                  <w:br/>
                </w:r>
                <w:r>
                  <w:rPr>
                    <w:rStyle w:val="a531"/>
                  </w:rPr>
                  <w:t>time</w:t>
                </w:r>
              </w:p>
            </w:tc>
            <w:tc>
              <w:tcPr>
                <w:tcW w:w="975" w:type="dxa"/>
              </w:tcPr>
              <w:p w:rsidR="00B80409" w:rsidRDefault="00B80409">
                <w:pPr>
                  <w:jc w:val="center"/>
                  <w:textAlignment w:val="top"/>
                  <w:divId w:val="2033143719"/>
                  <w:rPr>
                    <w:sz w:val="2"/>
                    <w:szCs w:val="2"/>
                  </w:rPr>
                </w:pPr>
                <w:r>
                  <w:rPr>
                    <w:rStyle w:val="a571"/>
                  </w:rPr>
                  <w:t>Time</w:t>
                </w:r>
                <w:r>
                  <w:rPr>
                    <w:rFonts w:cs="Arial"/>
                    <w:color w:val="FFFFFF"/>
                    <w:szCs w:val="18"/>
                  </w:rPr>
                  <w:br/>
                </w:r>
                <w:r>
                  <w:rPr>
                    <w:rStyle w:val="a571"/>
                  </w:rPr>
                  <w:t>effective</w:t>
                </w:r>
              </w:p>
            </w:tc>
            <w:tc>
              <w:tcPr>
                <w:tcW w:w="1181" w:type="dxa"/>
                <w:hideMark/>
              </w:tcPr>
              <w:p w:rsidR="00B80409" w:rsidRDefault="00B80409">
                <w:pPr>
                  <w:jc w:val="center"/>
                  <w:textAlignment w:val="top"/>
                  <w:rPr>
                    <w:rFonts w:cs="Arial"/>
                    <w:color w:val="FFFFFF"/>
                    <w:szCs w:val="18"/>
                  </w:rPr>
                </w:pPr>
                <w:r>
                  <w:rPr>
                    <w:rFonts w:cs="Arial"/>
                    <w:color w:val="FFFFFF"/>
                    <w:szCs w:val="18"/>
                  </w:rPr>
                  <w:t>Participant</w:t>
                </w:r>
              </w:p>
            </w:tc>
            <w:tc>
              <w:tcPr>
                <w:tcW w:w="1072" w:type="dxa"/>
                <w:hideMark/>
              </w:tcPr>
              <w:p w:rsidR="00B80409" w:rsidRDefault="00B80409">
                <w:pPr>
                  <w:jc w:val="center"/>
                  <w:textAlignment w:val="top"/>
                  <w:rPr>
                    <w:rFonts w:cs="Arial"/>
                    <w:color w:val="FFFFFF"/>
                    <w:szCs w:val="18"/>
                  </w:rPr>
                </w:pPr>
                <w:r>
                  <w:rPr>
                    <w:rFonts w:cs="Arial"/>
                    <w:color w:val="FFFFFF"/>
                    <w:szCs w:val="18"/>
                  </w:rPr>
                  <w:t>Station</w:t>
                </w:r>
              </w:p>
            </w:tc>
            <w:tc>
              <w:tcPr>
                <w:tcW w:w="980" w:type="dxa"/>
                <w:hideMark/>
              </w:tcPr>
              <w:p w:rsidR="00B80409" w:rsidRDefault="00B80409">
                <w:pPr>
                  <w:jc w:val="center"/>
                  <w:textAlignment w:val="top"/>
                  <w:divId w:val="1429424888"/>
                  <w:rPr>
                    <w:sz w:val="2"/>
                    <w:szCs w:val="2"/>
                  </w:rPr>
                </w:pPr>
                <w:r>
                  <w:rPr>
                    <w:rStyle w:val="a691"/>
                  </w:rPr>
                  <w:t>Capacity rebid</w:t>
                </w:r>
                <w:r>
                  <w:rPr>
                    <w:rFonts w:cs="Arial"/>
                    <w:color w:val="FFFFFF"/>
                    <w:szCs w:val="18"/>
                  </w:rPr>
                  <w:br/>
                </w:r>
                <w:r>
                  <w:rPr>
                    <w:rStyle w:val="a691"/>
                  </w:rPr>
                  <w:t>(MW)</w:t>
                </w:r>
              </w:p>
            </w:tc>
            <w:tc>
              <w:tcPr>
                <w:tcW w:w="923" w:type="dxa"/>
                <w:hideMark/>
              </w:tcPr>
              <w:p w:rsidR="00B80409" w:rsidRDefault="00B80409" w:rsidP="00432F60">
                <w:pPr>
                  <w:jc w:val="center"/>
                  <w:textAlignment w:val="top"/>
                  <w:divId w:val="2040277009"/>
                  <w:rPr>
                    <w:sz w:val="2"/>
                    <w:szCs w:val="2"/>
                  </w:rPr>
                </w:pPr>
                <w:r>
                  <w:rPr>
                    <w:rStyle w:val="a731"/>
                  </w:rPr>
                  <w:t>Price from</w:t>
                </w:r>
                <w:r>
                  <w:rPr>
                    <w:rFonts w:cs="Arial"/>
                    <w:color w:val="FFFFFF"/>
                    <w:szCs w:val="18"/>
                  </w:rPr>
                  <w:br/>
                </w:r>
                <w:r>
                  <w:rPr>
                    <w:rStyle w:val="a731"/>
                  </w:rPr>
                  <w:t>($/MW)</w:t>
                </w:r>
              </w:p>
            </w:tc>
            <w:tc>
              <w:tcPr>
                <w:tcW w:w="924" w:type="dxa"/>
                <w:hideMark/>
              </w:tcPr>
              <w:p w:rsidR="00B80409" w:rsidRPr="00432F60" w:rsidRDefault="00B80409" w:rsidP="00432F60">
                <w:pPr>
                  <w:jc w:val="center"/>
                  <w:textAlignment w:val="top"/>
                  <w:divId w:val="1152986130"/>
                  <w:rPr>
                    <w:rFonts w:cs="Arial"/>
                    <w:color w:val="FFFFFF"/>
                    <w:szCs w:val="18"/>
                  </w:rPr>
                </w:pPr>
                <w:r>
                  <w:rPr>
                    <w:rStyle w:val="a771"/>
                  </w:rPr>
                  <w:t>Price to</w:t>
                </w:r>
                <w:r>
                  <w:rPr>
                    <w:rFonts w:cs="Arial"/>
                    <w:color w:val="FFFFFF"/>
                    <w:szCs w:val="18"/>
                  </w:rPr>
                  <w:br/>
                </w:r>
                <w:r>
                  <w:rPr>
                    <w:rStyle w:val="a771"/>
                  </w:rPr>
                  <w:t>($/</w:t>
                </w:r>
                <w:r w:rsidR="00432F60">
                  <w:rPr>
                    <w:rStyle w:val="a771"/>
                  </w:rPr>
                  <w:t>MW</w:t>
                </w:r>
                <w:r>
                  <w:rPr>
                    <w:rStyle w:val="a771"/>
                  </w:rPr>
                  <w:t>)</w:t>
                </w:r>
              </w:p>
            </w:tc>
            <w:tc>
              <w:tcPr>
                <w:tcW w:w="1586" w:type="dxa"/>
                <w:hideMark/>
              </w:tcPr>
              <w:p w:rsidR="00B80409" w:rsidRPr="00774131" w:rsidRDefault="00B80409">
                <w:pPr>
                  <w:jc w:val="center"/>
                  <w:textAlignment w:val="top"/>
                  <w:rPr>
                    <w:rFonts w:cs="Arial"/>
                    <w:b w:val="0"/>
                    <w:color w:val="auto"/>
                    <w:szCs w:val="18"/>
                  </w:rPr>
                </w:pPr>
                <w:r w:rsidRPr="008C2CF2">
                  <w:rPr>
                    <w:rStyle w:val="a771"/>
                  </w:rPr>
                  <w:t>Rebid reason</w:t>
                </w:r>
              </w:p>
            </w:tc>
          </w:tr>
          <w:tr w:rsidR="00774131" w:rsidRPr="004D2432" w:rsidTr="00774131">
            <w:trPr>
              <w:cnfStyle w:val="000000100000" w:firstRow="0" w:lastRow="0" w:firstColumn="0" w:lastColumn="0" w:oddVBand="0" w:evenVBand="0" w:oddHBand="1" w:evenHBand="0" w:firstRowFirstColumn="0" w:firstRowLastColumn="0" w:lastRowFirstColumn="0" w:lastRowLastColumn="0"/>
              <w:trHeight w:val="606"/>
            </w:trPr>
            <w:tc>
              <w:tcPr>
                <w:tcW w:w="976" w:type="dxa"/>
                <w:vAlign w:val="center"/>
              </w:tcPr>
              <w:p w:rsidR="00774131" w:rsidRDefault="00774131">
                <w:pPr>
                  <w:jc w:val="center"/>
                  <w:textAlignment w:val="center"/>
                  <w:rPr>
                    <w:rFonts w:cs="Arial"/>
                    <w:color w:val="000000"/>
                    <w:szCs w:val="18"/>
                  </w:rPr>
                </w:pPr>
                <w:r>
                  <w:rPr>
                    <w:rFonts w:cs="Arial"/>
                    <w:color w:val="000000"/>
                    <w:szCs w:val="18"/>
                  </w:rPr>
                  <w:t>12.35 pm</w:t>
                </w:r>
              </w:p>
            </w:tc>
            <w:tc>
              <w:tcPr>
                <w:tcW w:w="975" w:type="dxa"/>
                <w:vAlign w:val="center"/>
              </w:tcPr>
              <w:p w:rsidR="00774131" w:rsidRDefault="00774131" w:rsidP="00774131">
                <w:pPr>
                  <w:jc w:val="center"/>
                  <w:textAlignment w:val="center"/>
                  <w:rPr>
                    <w:rFonts w:cs="Arial"/>
                    <w:color w:val="000000"/>
                    <w:szCs w:val="18"/>
                  </w:rPr>
                </w:pPr>
                <w:r>
                  <w:rPr>
                    <w:rFonts w:cs="Arial"/>
                    <w:color w:val="000000"/>
                    <w:szCs w:val="18"/>
                  </w:rPr>
                  <w:t>12.45 pm</w:t>
                </w:r>
              </w:p>
            </w:tc>
            <w:tc>
              <w:tcPr>
                <w:tcW w:w="1181" w:type="dxa"/>
                <w:vAlign w:val="center"/>
              </w:tcPr>
              <w:p w:rsidR="00774131" w:rsidRDefault="00774131" w:rsidP="009F095A">
                <w:pPr>
                  <w:textAlignment w:val="center"/>
                  <w:rPr>
                    <w:rFonts w:cs="Arial"/>
                    <w:color w:val="000000"/>
                    <w:szCs w:val="18"/>
                  </w:rPr>
                </w:pPr>
                <w:proofErr w:type="spellStart"/>
                <w:r>
                  <w:rPr>
                    <w:rFonts w:cs="Arial"/>
                    <w:color w:val="000000"/>
                    <w:szCs w:val="18"/>
                  </w:rPr>
                  <w:t>Alinta</w:t>
                </w:r>
                <w:proofErr w:type="spellEnd"/>
              </w:p>
            </w:tc>
            <w:tc>
              <w:tcPr>
                <w:tcW w:w="1072" w:type="dxa"/>
                <w:vAlign w:val="center"/>
              </w:tcPr>
              <w:p w:rsidR="00774131" w:rsidRDefault="00774131" w:rsidP="009F095A">
                <w:pPr>
                  <w:textAlignment w:val="center"/>
                  <w:rPr>
                    <w:rFonts w:cs="Arial"/>
                    <w:color w:val="000000"/>
                    <w:szCs w:val="18"/>
                  </w:rPr>
                </w:pPr>
                <w:r>
                  <w:rPr>
                    <w:rFonts w:cs="Arial"/>
                    <w:color w:val="000000"/>
                    <w:szCs w:val="18"/>
                  </w:rPr>
                  <w:t>Northern</w:t>
                </w:r>
              </w:p>
            </w:tc>
            <w:tc>
              <w:tcPr>
                <w:tcW w:w="980" w:type="dxa"/>
                <w:vAlign w:val="center"/>
              </w:tcPr>
              <w:p w:rsidR="00774131" w:rsidRDefault="00774131" w:rsidP="009F095A">
                <w:pPr>
                  <w:jc w:val="center"/>
                  <w:textAlignment w:val="center"/>
                  <w:rPr>
                    <w:rFonts w:cs="Arial"/>
                    <w:color w:val="000000"/>
                    <w:szCs w:val="18"/>
                  </w:rPr>
                </w:pPr>
                <w:r>
                  <w:rPr>
                    <w:rFonts w:cs="Arial"/>
                    <w:color w:val="000000"/>
                    <w:szCs w:val="18"/>
                  </w:rPr>
                  <w:t>10</w:t>
                </w:r>
              </w:p>
            </w:tc>
            <w:tc>
              <w:tcPr>
                <w:tcW w:w="923" w:type="dxa"/>
                <w:vAlign w:val="center"/>
              </w:tcPr>
              <w:p w:rsidR="00774131" w:rsidRDefault="00774131">
                <w:pPr>
                  <w:jc w:val="center"/>
                  <w:textAlignment w:val="center"/>
                  <w:rPr>
                    <w:rFonts w:cs="Arial"/>
                    <w:color w:val="000000"/>
                    <w:szCs w:val="18"/>
                  </w:rPr>
                </w:pPr>
                <w:r>
                  <w:rPr>
                    <w:rFonts w:cs="Arial"/>
                    <w:color w:val="000000"/>
                    <w:szCs w:val="18"/>
                  </w:rPr>
                  <w:t>0.80</w:t>
                </w:r>
              </w:p>
            </w:tc>
            <w:tc>
              <w:tcPr>
                <w:tcW w:w="924" w:type="dxa"/>
                <w:vAlign w:val="center"/>
              </w:tcPr>
              <w:p w:rsidR="00774131" w:rsidRDefault="00774131">
                <w:pPr>
                  <w:jc w:val="center"/>
                  <w:textAlignment w:val="center"/>
                  <w:rPr>
                    <w:rFonts w:cs="Arial"/>
                    <w:color w:val="000000"/>
                    <w:szCs w:val="18"/>
                  </w:rPr>
                </w:pPr>
                <w:r>
                  <w:rPr>
                    <w:rFonts w:cs="Arial"/>
                    <w:color w:val="000000"/>
                    <w:szCs w:val="18"/>
                  </w:rPr>
                  <w:t>1500</w:t>
                </w:r>
              </w:p>
            </w:tc>
            <w:tc>
              <w:tcPr>
                <w:tcW w:w="1586" w:type="dxa"/>
                <w:vAlign w:val="center"/>
              </w:tcPr>
              <w:p w:rsidR="00774131" w:rsidRPr="0054547A" w:rsidRDefault="00774131" w:rsidP="00627307">
                <w:pPr>
                  <w:jc w:val="left"/>
                  <w:textAlignment w:val="center"/>
                  <w:rPr>
                    <w:rFonts w:cs="Arial"/>
                    <w:szCs w:val="18"/>
                  </w:rPr>
                </w:pPr>
                <w:r w:rsidRPr="00774131">
                  <w:rPr>
                    <w:rFonts w:cs="Arial"/>
                    <w:szCs w:val="18"/>
                  </w:rPr>
                  <w:t>1230~F~FCAS ENERGY OPTIMISATION. SA SPOT PRICE NEGATIVE $45. NPS2 TO MIN LOAD</w:t>
                </w:r>
                <w:proofErr w:type="gramStart"/>
                <w:r w:rsidRPr="00774131">
                  <w:rPr>
                    <w:rFonts w:cs="Arial"/>
                    <w:szCs w:val="18"/>
                  </w:rPr>
                  <w:t>.~</w:t>
                </w:r>
                <w:proofErr w:type="gramEnd"/>
              </w:p>
            </w:tc>
          </w:tr>
          <w:tr w:rsidR="00B80409" w:rsidRPr="004D2432" w:rsidTr="00774131">
            <w:trPr>
              <w:cnfStyle w:val="000000010000" w:firstRow="0" w:lastRow="0" w:firstColumn="0" w:lastColumn="0" w:oddVBand="0" w:evenVBand="0" w:oddHBand="0" w:evenHBand="1" w:firstRowFirstColumn="0" w:firstRowLastColumn="0" w:lastRowFirstColumn="0" w:lastRowLastColumn="0"/>
              <w:trHeight w:val="606"/>
            </w:trPr>
            <w:tc>
              <w:tcPr>
                <w:tcW w:w="976" w:type="dxa"/>
                <w:vAlign w:val="center"/>
              </w:tcPr>
              <w:p w:rsidR="00B80409" w:rsidRDefault="009D1002">
                <w:pPr>
                  <w:jc w:val="center"/>
                  <w:textAlignment w:val="center"/>
                  <w:rPr>
                    <w:rFonts w:cs="Arial"/>
                    <w:color w:val="000000"/>
                    <w:szCs w:val="18"/>
                  </w:rPr>
                </w:pPr>
                <w:r>
                  <w:rPr>
                    <w:rFonts w:cs="Arial"/>
                    <w:color w:val="000000"/>
                    <w:szCs w:val="18"/>
                  </w:rPr>
                  <w:t>12.38</w:t>
                </w:r>
                <w:r w:rsidR="00B80409">
                  <w:rPr>
                    <w:rFonts w:cs="Arial"/>
                    <w:color w:val="000000"/>
                    <w:szCs w:val="18"/>
                  </w:rPr>
                  <w:t xml:space="preserve"> pm</w:t>
                </w:r>
              </w:p>
            </w:tc>
            <w:tc>
              <w:tcPr>
                <w:tcW w:w="975" w:type="dxa"/>
                <w:vAlign w:val="center"/>
              </w:tcPr>
              <w:p w:rsidR="00B80409" w:rsidRDefault="00774131">
                <w:pPr>
                  <w:jc w:val="center"/>
                  <w:rPr>
                    <w:sz w:val="24"/>
                    <w:szCs w:val="24"/>
                  </w:rPr>
                </w:pPr>
                <w:r>
                  <w:rPr>
                    <w:rFonts w:cs="Arial"/>
                    <w:color w:val="000000"/>
                    <w:szCs w:val="18"/>
                  </w:rPr>
                  <w:t>12.45 pm</w:t>
                </w:r>
              </w:p>
            </w:tc>
            <w:tc>
              <w:tcPr>
                <w:tcW w:w="1181" w:type="dxa"/>
                <w:vAlign w:val="center"/>
              </w:tcPr>
              <w:p w:rsidR="00B80409" w:rsidRDefault="0054547A">
                <w:pPr>
                  <w:textAlignment w:val="center"/>
                  <w:rPr>
                    <w:rFonts w:cs="Arial"/>
                    <w:color w:val="000000"/>
                    <w:szCs w:val="18"/>
                  </w:rPr>
                </w:pPr>
                <w:r>
                  <w:rPr>
                    <w:rFonts w:cs="Arial"/>
                    <w:color w:val="000000"/>
                    <w:szCs w:val="18"/>
                  </w:rPr>
                  <w:t>GDF Suez</w:t>
                </w:r>
              </w:p>
            </w:tc>
            <w:tc>
              <w:tcPr>
                <w:tcW w:w="1072" w:type="dxa"/>
                <w:vAlign w:val="center"/>
              </w:tcPr>
              <w:p w:rsidR="00B80409" w:rsidRDefault="0054547A">
                <w:pPr>
                  <w:textAlignment w:val="center"/>
                  <w:rPr>
                    <w:rFonts w:cs="Arial"/>
                    <w:color w:val="000000"/>
                    <w:szCs w:val="18"/>
                  </w:rPr>
                </w:pPr>
                <w:r>
                  <w:rPr>
                    <w:rFonts w:cs="Arial"/>
                    <w:color w:val="000000"/>
                    <w:szCs w:val="18"/>
                  </w:rPr>
                  <w:t>Pelican Point</w:t>
                </w:r>
              </w:p>
            </w:tc>
            <w:tc>
              <w:tcPr>
                <w:tcW w:w="980" w:type="dxa"/>
                <w:vAlign w:val="center"/>
              </w:tcPr>
              <w:p w:rsidR="00B80409" w:rsidRDefault="0054547A">
                <w:pPr>
                  <w:jc w:val="center"/>
                  <w:textAlignment w:val="center"/>
                  <w:rPr>
                    <w:rFonts w:cs="Arial"/>
                    <w:color w:val="000000"/>
                    <w:szCs w:val="18"/>
                  </w:rPr>
                </w:pPr>
                <w:r>
                  <w:rPr>
                    <w:rFonts w:cs="Arial"/>
                    <w:color w:val="000000"/>
                    <w:szCs w:val="18"/>
                  </w:rPr>
                  <w:t>-30</w:t>
                </w:r>
              </w:p>
            </w:tc>
            <w:tc>
              <w:tcPr>
                <w:tcW w:w="923" w:type="dxa"/>
                <w:vAlign w:val="center"/>
              </w:tcPr>
              <w:p w:rsidR="00B80409" w:rsidRDefault="0054547A">
                <w:pPr>
                  <w:jc w:val="center"/>
                  <w:textAlignment w:val="center"/>
                  <w:rPr>
                    <w:rFonts w:cs="Arial"/>
                    <w:color w:val="000000"/>
                    <w:szCs w:val="18"/>
                  </w:rPr>
                </w:pPr>
                <w:r>
                  <w:rPr>
                    <w:rFonts w:cs="Arial"/>
                    <w:color w:val="000000"/>
                    <w:szCs w:val="18"/>
                  </w:rPr>
                  <w:t>&gt;800</w:t>
                </w:r>
              </w:p>
            </w:tc>
            <w:tc>
              <w:tcPr>
                <w:tcW w:w="924" w:type="dxa"/>
                <w:vAlign w:val="center"/>
              </w:tcPr>
              <w:p w:rsidR="00B80409" w:rsidRDefault="0054547A">
                <w:pPr>
                  <w:jc w:val="center"/>
                  <w:textAlignment w:val="center"/>
                  <w:rPr>
                    <w:rFonts w:cs="Arial"/>
                    <w:color w:val="000000"/>
                    <w:szCs w:val="18"/>
                  </w:rPr>
                </w:pPr>
                <w:r>
                  <w:rPr>
                    <w:rFonts w:cs="Arial"/>
                    <w:color w:val="000000"/>
                    <w:szCs w:val="18"/>
                  </w:rPr>
                  <w:t>N/A</w:t>
                </w:r>
              </w:p>
            </w:tc>
            <w:tc>
              <w:tcPr>
                <w:tcW w:w="1586" w:type="dxa"/>
                <w:vAlign w:val="center"/>
              </w:tcPr>
              <w:p w:rsidR="00B80409" w:rsidRPr="0054547A" w:rsidRDefault="0054547A" w:rsidP="00627307">
                <w:pPr>
                  <w:jc w:val="left"/>
                  <w:textAlignment w:val="center"/>
                  <w:rPr>
                    <w:rFonts w:cs="Arial"/>
                    <w:color w:val="000000"/>
                    <w:szCs w:val="18"/>
                  </w:rPr>
                </w:pPr>
                <w:r w:rsidRPr="0054547A">
                  <w:rPr>
                    <w:rFonts w:cs="Arial"/>
                    <w:szCs w:val="18"/>
                  </w:rPr>
                  <w:t>1235A AVOID UNECONOMIC DISPATCH: ADJUST OOS PROFILE SL</w:t>
                </w:r>
              </w:p>
            </w:tc>
          </w:tr>
          <w:tr w:rsidR="00B80409" w:rsidRPr="004D2432" w:rsidTr="00774131">
            <w:trPr>
              <w:cnfStyle w:val="000000100000" w:firstRow="0" w:lastRow="0" w:firstColumn="0" w:lastColumn="0" w:oddVBand="0" w:evenVBand="0" w:oddHBand="1" w:evenHBand="0" w:firstRowFirstColumn="0" w:firstRowLastColumn="0" w:lastRowFirstColumn="0" w:lastRowLastColumn="0"/>
              <w:trHeight w:val="606"/>
            </w:trPr>
            <w:tc>
              <w:tcPr>
                <w:tcW w:w="976" w:type="dxa"/>
                <w:vAlign w:val="center"/>
              </w:tcPr>
              <w:p w:rsidR="00B80409" w:rsidRDefault="0054547A">
                <w:pPr>
                  <w:jc w:val="center"/>
                  <w:textAlignment w:val="center"/>
                  <w:rPr>
                    <w:rFonts w:cs="Arial"/>
                    <w:color w:val="000000"/>
                    <w:szCs w:val="18"/>
                  </w:rPr>
                </w:pPr>
                <w:r>
                  <w:rPr>
                    <w:rFonts w:cs="Arial"/>
                    <w:color w:val="000000"/>
                    <w:szCs w:val="18"/>
                  </w:rPr>
                  <w:t>1.01</w:t>
                </w:r>
                <w:r w:rsidR="00B80409">
                  <w:rPr>
                    <w:rFonts w:cs="Arial"/>
                    <w:color w:val="000000"/>
                    <w:szCs w:val="18"/>
                  </w:rPr>
                  <w:t xml:space="preserve"> pm</w:t>
                </w:r>
              </w:p>
            </w:tc>
            <w:tc>
              <w:tcPr>
                <w:tcW w:w="975" w:type="dxa"/>
                <w:vAlign w:val="center"/>
              </w:tcPr>
              <w:p w:rsidR="00B80409" w:rsidRDefault="0054547A">
                <w:pPr>
                  <w:jc w:val="center"/>
                  <w:textAlignment w:val="center"/>
                  <w:rPr>
                    <w:rFonts w:cs="Arial"/>
                    <w:color w:val="000000"/>
                    <w:szCs w:val="18"/>
                  </w:rPr>
                </w:pPr>
                <w:r>
                  <w:rPr>
                    <w:rFonts w:cs="Arial"/>
                    <w:color w:val="000000"/>
                    <w:szCs w:val="18"/>
                  </w:rPr>
                  <w:t>1.10</w:t>
                </w:r>
                <w:r w:rsidR="00B80409">
                  <w:rPr>
                    <w:rFonts w:cs="Arial"/>
                    <w:color w:val="000000"/>
                    <w:szCs w:val="18"/>
                  </w:rPr>
                  <w:t xml:space="preserve"> pm</w:t>
                </w:r>
              </w:p>
            </w:tc>
            <w:tc>
              <w:tcPr>
                <w:tcW w:w="1181" w:type="dxa"/>
                <w:vAlign w:val="center"/>
              </w:tcPr>
              <w:p w:rsidR="00B80409" w:rsidRDefault="0054547A">
                <w:pPr>
                  <w:textAlignment w:val="center"/>
                  <w:rPr>
                    <w:rFonts w:cs="Arial"/>
                    <w:color w:val="000000"/>
                    <w:szCs w:val="18"/>
                  </w:rPr>
                </w:pPr>
                <w:proofErr w:type="spellStart"/>
                <w:r>
                  <w:rPr>
                    <w:rFonts w:cs="Arial"/>
                    <w:color w:val="000000"/>
                    <w:szCs w:val="18"/>
                  </w:rPr>
                  <w:t>Alinta</w:t>
                </w:r>
                <w:proofErr w:type="spellEnd"/>
              </w:p>
            </w:tc>
            <w:tc>
              <w:tcPr>
                <w:tcW w:w="1072" w:type="dxa"/>
                <w:vAlign w:val="center"/>
              </w:tcPr>
              <w:p w:rsidR="00B80409" w:rsidRDefault="0054547A">
                <w:pPr>
                  <w:textAlignment w:val="center"/>
                  <w:rPr>
                    <w:rFonts w:cs="Arial"/>
                    <w:color w:val="000000"/>
                    <w:szCs w:val="18"/>
                  </w:rPr>
                </w:pPr>
                <w:r>
                  <w:rPr>
                    <w:rFonts w:cs="Arial"/>
                    <w:color w:val="000000"/>
                    <w:szCs w:val="18"/>
                  </w:rPr>
                  <w:t>Northern</w:t>
                </w:r>
              </w:p>
            </w:tc>
            <w:tc>
              <w:tcPr>
                <w:tcW w:w="980" w:type="dxa"/>
                <w:vAlign w:val="center"/>
              </w:tcPr>
              <w:p w:rsidR="00B80409" w:rsidRDefault="0054547A">
                <w:pPr>
                  <w:jc w:val="center"/>
                  <w:textAlignment w:val="center"/>
                  <w:rPr>
                    <w:rFonts w:cs="Arial"/>
                    <w:color w:val="000000"/>
                    <w:szCs w:val="18"/>
                  </w:rPr>
                </w:pPr>
                <w:r>
                  <w:rPr>
                    <w:rFonts w:cs="Arial"/>
                    <w:color w:val="000000"/>
                    <w:szCs w:val="18"/>
                  </w:rPr>
                  <w:t>10</w:t>
                </w:r>
              </w:p>
            </w:tc>
            <w:tc>
              <w:tcPr>
                <w:tcW w:w="923" w:type="dxa"/>
                <w:vAlign w:val="center"/>
              </w:tcPr>
              <w:p w:rsidR="00B80409" w:rsidRDefault="0054547A">
                <w:pPr>
                  <w:jc w:val="center"/>
                  <w:textAlignment w:val="center"/>
                  <w:rPr>
                    <w:rFonts w:cs="Arial"/>
                    <w:color w:val="000000"/>
                    <w:szCs w:val="18"/>
                  </w:rPr>
                </w:pPr>
                <w:r>
                  <w:rPr>
                    <w:rFonts w:cs="Arial"/>
                    <w:color w:val="000000"/>
                    <w:szCs w:val="18"/>
                  </w:rPr>
                  <w:t>1</w:t>
                </w:r>
                <w:r w:rsidR="00B80409">
                  <w:rPr>
                    <w:rFonts w:cs="Arial"/>
                    <w:color w:val="000000"/>
                    <w:szCs w:val="18"/>
                  </w:rPr>
                  <w:t>500</w:t>
                </w:r>
              </w:p>
            </w:tc>
            <w:tc>
              <w:tcPr>
                <w:tcW w:w="924" w:type="dxa"/>
                <w:vAlign w:val="center"/>
              </w:tcPr>
              <w:p w:rsidR="00B80409" w:rsidRDefault="0054547A">
                <w:pPr>
                  <w:jc w:val="center"/>
                  <w:textAlignment w:val="center"/>
                  <w:rPr>
                    <w:rFonts w:cs="Arial"/>
                    <w:color w:val="000000"/>
                    <w:szCs w:val="18"/>
                  </w:rPr>
                </w:pPr>
                <w:r>
                  <w:rPr>
                    <w:rFonts w:cs="Arial"/>
                    <w:color w:val="000000"/>
                    <w:szCs w:val="18"/>
                  </w:rPr>
                  <w:t>12 400</w:t>
                </w:r>
              </w:p>
            </w:tc>
            <w:tc>
              <w:tcPr>
                <w:tcW w:w="1586" w:type="dxa"/>
                <w:vAlign w:val="center"/>
              </w:tcPr>
              <w:p w:rsidR="00B80409" w:rsidRPr="0054547A" w:rsidRDefault="0054547A" w:rsidP="00627307">
                <w:pPr>
                  <w:jc w:val="left"/>
                  <w:textAlignment w:val="center"/>
                  <w:rPr>
                    <w:rFonts w:cs="Arial"/>
                    <w:color w:val="000000"/>
                    <w:szCs w:val="18"/>
                  </w:rPr>
                </w:pPr>
                <w:r w:rsidRPr="0054547A">
                  <w:rPr>
                    <w:rFonts w:cs="Arial"/>
                    <w:szCs w:val="18"/>
                  </w:rPr>
                  <w:t>1300~F~FCAS ENERGY OPTIMISATION~</w:t>
                </w:r>
              </w:p>
            </w:tc>
          </w:tr>
        </w:tbl>
        <w:p w:rsidR="00992010" w:rsidRDefault="00992010" w:rsidP="00992010">
          <w:pPr>
            <w:pStyle w:val="Heading1notnumber"/>
          </w:pPr>
          <w:bookmarkStart w:id="36" w:name="_Toc438476567"/>
          <w:r>
            <w:lastRenderedPageBreak/>
            <w:t>Appendix D</w:t>
          </w:r>
          <w:r>
            <w:tab/>
            <w:t>Closing bids</w:t>
          </w:r>
          <w:bookmarkEnd w:id="36"/>
          <w:r>
            <w:t xml:space="preserve"> </w:t>
          </w:r>
        </w:p>
        <w:p w:rsidR="001E75EC" w:rsidRDefault="00992010" w:rsidP="00992010">
          <w:r w:rsidRPr="00296D34">
            <w:t xml:space="preserve">Figures </w:t>
          </w:r>
          <w:r w:rsidR="003C2B11">
            <w:t>D</w:t>
          </w:r>
          <w:r w:rsidRPr="00296D34">
            <w:t xml:space="preserve">1a to </w:t>
          </w:r>
          <w:r w:rsidR="003C2B11">
            <w:t>D</w:t>
          </w:r>
          <w:r w:rsidRPr="00296D34">
            <w:t>10a highlight</w:t>
          </w:r>
          <w:r>
            <w:t xml:space="preserve"> for each dispatch interval the lower and raise regulation </w:t>
          </w:r>
          <w:r w:rsidR="003C2B11">
            <w:t>services</w:t>
          </w:r>
          <w:r>
            <w:t xml:space="preserve"> closing bids for AGL, </w:t>
          </w:r>
          <w:proofErr w:type="spellStart"/>
          <w:r>
            <w:t>Alinta</w:t>
          </w:r>
          <w:proofErr w:type="spellEnd"/>
          <w:r>
            <w:t xml:space="preserve"> Energy and GDF Suez (the only participants in South Australia with </w:t>
          </w:r>
          <w:r w:rsidR="003C2B11">
            <w:t>ancillary service capability</w:t>
          </w:r>
          <w:r>
            <w:t xml:space="preserve">). It also shows the dispatch level of the respective services at each station and the dispatch price. </w:t>
          </w:r>
        </w:p>
        <w:p w:rsidR="001E75EC" w:rsidRDefault="001E75EC" w:rsidP="00992010">
          <w:r>
            <w:t>Regulation services, like all other FCAS services, are co-optimised with energy offers.  For example a generator that is operating at its maximum capacity cannot provide raise services so their effective available capacity for raise services would be zero.</w:t>
          </w:r>
        </w:p>
        <w:p w:rsidR="00992010" w:rsidRDefault="005F5C0D" w:rsidP="00992010">
          <w:r>
            <w:t xml:space="preserve">Figures denoted with an “a” refer to the quantities offered while those with a “b” refer to the effective quantities available to the market after </w:t>
          </w:r>
          <w:r w:rsidR="00992010">
            <w:t>account</w:t>
          </w:r>
          <w:r>
            <w:t>ing for</w:t>
          </w:r>
          <w:r w:rsidR="00992010">
            <w:t xml:space="preserve"> the interaction </w:t>
          </w:r>
          <w:r>
            <w:t xml:space="preserve">between </w:t>
          </w:r>
          <w:r w:rsidR="00992010">
            <w:t>energy and FCAS.</w:t>
          </w:r>
        </w:p>
        <w:p w:rsidR="00A9661C" w:rsidRDefault="00A9661C">
          <w:pPr>
            <w:spacing w:line="240" w:lineRule="auto"/>
            <w:jc w:val="left"/>
          </w:pPr>
          <w:r>
            <w:br w:type="page"/>
          </w:r>
        </w:p>
        <w:p w:rsidR="00A9661C" w:rsidRDefault="001E75EC" w:rsidP="00A9661C">
          <w:pPr>
            <w:spacing w:line="240" w:lineRule="auto"/>
            <w:jc w:val="left"/>
          </w:pPr>
          <w:r>
            <w:lastRenderedPageBreak/>
            <w:t>R</w:t>
          </w:r>
          <w:r w:rsidR="00A9661C">
            <w:t xml:space="preserve">ebidding of 60 MW </w:t>
          </w:r>
          <w:r>
            <w:t xml:space="preserve">of lower regulation from </w:t>
          </w:r>
          <w:r w:rsidR="00A9661C">
            <w:t xml:space="preserve">Torrens Island capacity </w:t>
          </w:r>
          <w:r>
            <w:t xml:space="preserve">by AGL </w:t>
          </w:r>
          <w:r w:rsidR="00A9661C">
            <w:t>from prices &lt;$30/MW to &gt;$12 500 is evident in Figure D1a and Figure D1b at about 8 pm on 11 October, initiating high prices. These rebids remained in place until after the administrative price cap was imposed at about 4 am on 12 October.</w:t>
          </w:r>
        </w:p>
        <w:p w:rsidR="00992010" w:rsidRDefault="00992010" w:rsidP="00992010">
          <w:pPr>
            <w:pStyle w:val="Tabletitle"/>
            <w:spacing w:before="120" w:line="240" w:lineRule="auto"/>
          </w:pPr>
          <w:r>
            <w:t xml:space="preserve">Figure </w:t>
          </w:r>
          <w:r w:rsidR="003C2B11">
            <w:t>D</w:t>
          </w:r>
          <w:r>
            <w:t>1a: Torrens Island (AGL) lower regulation service closing bid prices, dispatch and dispatch price for 11 and 12 October</w:t>
          </w:r>
        </w:p>
        <w:p w:rsidR="00992010" w:rsidRDefault="00282EAC" w:rsidP="00992010">
          <w:pPr>
            <w:pStyle w:val="Tabletitle"/>
            <w:spacing w:before="120" w:line="240" w:lineRule="auto"/>
          </w:pPr>
          <w:r w:rsidRPr="00282EAC">
            <w:rPr>
              <w:noProof/>
              <w:lang w:eastAsia="en-AU"/>
            </w:rPr>
            <w:drawing>
              <wp:inline distT="0" distB="0" distL="0" distR="0" wp14:anchorId="023C6045" wp14:editId="6145EBAA">
                <wp:extent cx="5382000" cy="3240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1b: Torrens Island (AGL) lower regulation service closing bid prices, dispatch and dispatch price for 11 and 12 October – effective offers</w:t>
          </w:r>
        </w:p>
        <w:p w:rsidR="00992010" w:rsidRDefault="00992010" w:rsidP="00992010">
          <w:pPr>
            <w:pStyle w:val="Tabletitle"/>
            <w:spacing w:before="120" w:line="240" w:lineRule="auto"/>
          </w:pPr>
          <w:r w:rsidRPr="00F71B0D">
            <w:rPr>
              <w:noProof/>
              <w:lang w:eastAsia="en-AU"/>
            </w:rPr>
            <w:drawing>
              <wp:inline distT="0" distB="0" distL="0" distR="0" wp14:anchorId="0FCDBCA7" wp14:editId="62CB1859">
                <wp:extent cx="5382000" cy="3240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A9661C" w:rsidRDefault="00A9661C" w:rsidP="00A9661C">
          <w:r>
            <w:lastRenderedPageBreak/>
            <w:t xml:space="preserve">As shown in Figure D2a and Figure D2b, in the hours prior to, and during, the high price period </w:t>
          </w:r>
          <w:proofErr w:type="spellStart"/>
          <w:r>
            <w:t>Alinta’s</w:t>
          </w:r>
          <w:proofErr w:type="spellEnd"/>
          <w:r>
            <w:t xml:space="preserve"> offers remained static.  </w:t>
          </w:r>
        </w:p>
        <w:p w:rsidR="00992010" w:rsidRDefault="00992010" w:rsidP="00992010">
          <w:pPr>
            <w:pStyle w:val="Tabletitle"/>
            <w:spacing w:before="120" w:line="240" w:lineRule="auto"/>
          </w:pPr>
          <w:r>
            <w:t xml:space="preserve">Figure </w:t>
          </w:r>
          <w:r w:rsidR="003C2B11">
            <w:t>D</w:t>
          </w:r>
          <w:r>
            <w:t>2a: Northern Power Station (</w:t>
          </w:r>
          <w:proofErr w:type="spellStart"/>
          <w:r>
            <w:t>Alinta</w:t>
          </w:r>
          <w:proofErr w:type="spellEnd"/>
          <w:r>
            <w:t xml:space="preserve"> Energy) lower regulation service closing bid prices, dispatch and dispatch price for 11 and 12 October</w:t>
          </w:r>
        </w:p>
        <w:p w:rsidR="00992010" w:rsidRDefault="00992010" w:rsidP="00992010">
          <w:pPr>
            <w:pStyle w:val="Tabletitle"/>
            <w:spacing w:before="120" w:line="240" w:lineRule="auto"/>
          </w:pPr>
          <w:r w:rsidRPr="003B4D22">
            <w:rPr>
              <w:noProof/>
              <w:lang w:eastAsia="en-AU"/>
            </w:rPr>
            <w:drawing>
              <wp:inline distT="0" distB="0" distL="0" distR="0" wp14:anchorId="24720BB0" wp14:editId="4637345B">
                <wp:extent cx="5382000" cy="324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2b: Northern Power Station (</w:t>
          </w:r>
          <w:proofErr w:type="spellStart"/>
          <w:r>
            <w:t>Alinta</w:t>
          </w:r>
          <w:proofErr w:type="spellEnd"/>
          <w:r>
            <w:t xml:space="preserve"> Energy) lower regulation service closing bid prices, dispatch and dispatch price for 11 and 12 October – effective offers</w:t>
          </w:r>
        </w:p>
        <w:p w:rsidR="00A9661C" w:rsidRDefault="00992010" w:rsidP="00992010">
          <w:pPr>
            <w:pStyle w:val="Tabletitle"/>
          </w:pPr>
          <w:r w:rsidRPr="000872A0">
            <w:rPr>
              <w:noProof/>
              <w:lang w:eastAsia="en-AU"/>
            </w:rPr>
            <w:drawing>
              <wp:inline distT="0" distB="0" distL="0" distR="0" wp14:anchorId="4EE06398" wp14:editId="1159A493">
                <wp:extent cx="5382000" cy="3240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A9661C" w:rsidRDefault="00A9661C">
          <w:pPr>
            <w:spacing w:line="240" w:lineRule="auto"/>
            <w:jc w:val="left"/>
            <w:rPr>
              <w:b/>
              <w:color w:val="076A92" w:themeColor="text1"/>
              <w:sz w:val="24"/>
              <w:szCs w:val="20"/>
            </w:rPr>
          </w:pPr>
          <w:r>
            <w:br w:type="page"/>
          </w:r>
        </w:p>
        <w:p w:rsidR="00A9661C" w:rsidRDefault="00A9661C" w:rsidP="00A9661C">
          <w:pPr>
            <w:spacing w:line="240" w:lineRule="auto"/>
            <w:jc w:val="left"/>
          </w:pPr>
          <w:r>
            <w:lastRenderedPageBreak/>
            <w:t xml:space="preserve">The rebidding of Torrens Island capacity </w:t>
          </w:r>
          <w:r w:rsidR="001E75EC">
            <w:t xml:space="preserve">by AGL that occurred for lower services also occurred in </w:t>
          </w:r>
          <w:r>
            <w:t>raise regulation</w:t>
          </w:r>
          <w:r w:rsidR="001E75EC">
            <w:t xml:space="preserve"> where 60 MW of raise regulation was rebid from </w:t>
          </w:r>
          <w:r>
            <w:t xml:space="preserve">&lt;$30/MW to &gt;$12 500 </w:t>
          </w:r>
          <w:r w:rsidR="001E75EC">
            <w:t>as</w:t>
          </w:r>
          <w:r>
            <w:t xml:space="preserve"> evident in Figure</w:t>
          </w:r>
          <w:r w:rsidR="001E75EC">
            <w:t xml:space="preserve"> D3</w:t>
          </w:r>
          <w:r>
            <w:t>a and Figure</w:t>
          </w:r>
          <w:r w:rsidR="001E75EC">
            <w:t xml:space="preserve"> D3</w:t>
          </w:r>
          <w:r>
            <w:t xml:space="preserve">b. These rebids remained in place until after the administrative price cap was imposed at about 4 am on 12 October. </w:t>
          </w:r>
        </w:p>
        <w:p w:rsidR="00992010" w:rsidRDefault="00992010" w:rsidP="00992010">
          <w:pPr>
            <w:pStyle w:val="Tabletitle"/>
            <w:spacing w:before="120" w:line="240" w:lineRule="auto"/>
          </w:pPr>
          <w:r>
            <w:t xml:space="preserve">Figure </w:t>
          </w:r>
          <w:r w:rsidR="003C2B11">
            <w:t>D</w:t>
          </w:r>
          <w:r>
            <w:t>3a: Torrens Island (AGL) raise regulation service closing bid prices, dispatch and dispatch price for 11 and 12 October</w:t>
          </w:r>
        </w:p>
        <w:p w:rsidR="00992010" w:rsidRDefault="00282EAC" w:rsidP="00992010">
          <w:pPr>
            <w:pStyle w:val="Tabletitle"/>
            <w:spacing w:before="120" w:line="240" w:lineRule="auto"/>
          </w:pPr>
          <w:r w:rsidRPr="00282EAC">
            <w:rPr>
              <w:noProof/>
              <w:lang w:eastAsia="en-AU"/>
            </w:rPr>
            <w:drawing>
              <wp:inline distT="0" distB="0" distL="0" distR="0" wp14:anchorId="3F2BDAA9" wp14:editId="10706408">
                <wp:extent cx="5382000" cy="32400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A9661C">
          <w:pPr>
            <w:pStyle w:val="Tabletitle"/>
            <w:keepNext/>
            <w:spacing w:before="120" w:line="240" w:lineRule="auto"/>
          </w:pPr>
          <w:r>
            <w:t xml:space="preserve">Figure </w:t>
          </w:r>
          <w:r w:rsidR="003C2B11">
            <w:t>D</w:t>
          </w:r>
          <w:r>
            <w:t>3b: Torrens Island (AGL) raise regulation service closing bid prices, dispatch and dispatch price for 11 and 12 October – effective offers</w:t>
          </w:r>
        </w:p>
        <w:p w:rsidR="00992010" w:rsidRDefault="00992010" w:rsidP="00992010">
          <w:pPr>
            <w:pStyle w:val="Tabletitle"/>
            <w:spacing w:before="120" w:line="240" w:lineRule="auto"/>
          </w:pPr>
          <w:r w:rsidRPr="00324CCF">
            <w:rPr>
              <w:noProof/>
              <w:lang w:eastAsia="en-AU"/>
            </w:rPr>
            <w:drawing>
              <wp:inline distT="0" distB="0" distL="0" distR="0" wp14:anchorId="5ADE3DC1" wp14:editId="1AF3FA92">
                <wp:extent cx="5382000" cy="3240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1E75EC" w:rsidRDefault="001E75EC" w:rsidP="001E75EC">
          <w:r>
            <w:lastRenderedPageBreak/>
            <w:t xml:space="preserve">As shown in Figure D4a and Figure D4b, in the hours prior to, and during, the high price period </w:t>
          </w:r>
          <w:proofErr w:type="spellStart"/>
          <w:r>
            <w:t>Alinta’s</w:t>
          </w:r>
          <w:proofErr w:type="spellEnd"/>
          <w:r>
            <w:t xml:space="preserve"> offers remained static.  </w:t>
          </w:r>
        </w:p>
        <w:p w:rsidR="00992010" w:rsidRDefault="00992010" w:rsidP="00992010">
          <w:pPr>
            <w:pStyle w:val="Tabletitle"/>
            <w:spacing w:before="120" w:line="240" w:lineRule="auto"/>
          </w:pPr>
          <w:r>
            <w:t xml:space="preserve">Figure </w:t>
          </w:r>
          <w:r w:rsidR="003C2B11">
            <w:t>D</w:t>
          </w:r>
          <w:r>
            <w:t>4a: Northern Power Station (</w:t>
          </w:r>
          <w:proofErr w:type="spellStart"/>
          <w:r>
            <w:t>Alinta</w:t>
          </w:r>
          <w:proofErr w:type="spellEnd"/>
          <w:r>
            <w:t xml:space="preserve"> Energy) raise regulation service closing bid prices, dispatch and dispatch price for 11 and 12 October</w:t>
          </w:r>
        </w:p>
        <w:p w:rsidR="00992010" w:rsidRDefault="00992010" w:rsidP="00992010">
          <w:pPr>
            <w:pStyle w:val="Tabletitle"/>
            <w:spacing w:before="120" w:line="240" w:lineRule="auto"/>
          </w:pPr>
          <w:r w:rsidRPr="003B4D22">
            <w:rPr>
              <w:noProof/>
              <w:lang w:eastAsia="en-AU"/>
            </w:rPr>
            <w:drawing>
              <wp:inline distT="0" distB="0" distL="0" distR="0" wp14:anchorId="1CE06445" wp14:editId="67736B81">
                <wp:extent cx="5382000" cy="324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4b: Northern Power Station (</w:t>
          </w:r>
          <w:proofErr w:type="spellStart"/>
          <w:r>
            <w:t>Alinta</w:t>
          </w:r>
          <w:proofErr w:type="spellEnd"/>
          <w:r>
            <w:t xml:space="preserve"> Energy) raise regulation service closing bid prices, dispatch and dispatch price for 11 and 12 October – effective offers</w:t>
          </w:r>
        </w:p>
        <w:p w:rsidR="00992010" w:rsidRDefault="00992010" w:rsidP="00992010">
          <w:pPr>
            <w:pStyle w:val="Tabletitle"/>
          </w:pPr>
          <w:r w:rsidRPr="00324CCF">
            <w:rPr>
              <w:noProof/>
              <w:lang w:eastAsia="en-AU"/>
            </w:rPr>
            <w:drawing>
              <wp:inline distT="0" distB="0" distL="0" distR="0" wp14:anchorId="51F015CB" wp14:editId="0280F619">
                <wp:extent cx="5382000" cy="3240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1E75EC" w:rsidRDefault="001E75EC" w:rsidP="001E75EC">
          <w:r>
            <w:lastRenderedPageBreak/>
            <w:t>As shown in Figure D</w:t>
          </w:r>
          <w:r w:rsidR="00694E92">
            <w:t>5</w:t>
          </w:r>
          <w:r>
            <w:t>a and Figure D</w:t>
          </w:r>
          <w:r w:rsidR="00694E92">
            <w:t>5</w:t>
          </w:r>
          <w:r>
            <w:t xml:space="preserve">b, in the hours prior to, and during, the high price period AGL’s offers remained static. Once the administrative price cap had been imposed AGL rebid </w:t>
          </w:r>
          <w:r w:rsidR="00694E92">
            <w:t>to redistribute their regulation offers into bands between $30/MW and $500/MW.</w:t>
          </w:r>
        </w:p>
        <w:p w:rsidR="00992010" w:rsidRDefault="00992010" w:rsidP="00992010">
          <w:pPr>
            <w:pStyle w:val="Tabletitle"/>
            <w:spacing w:before="120" w:line="240" w:lineRule="auto"/>
          </w:pPr>
          <w:r>
            <w:t xml:space="preserve">Figure </w:t>
          </w:r>
          <w:r w:rsidR="003C2B11">
            <w:t>D</w:t>
          </w:r>
          <w:r>
            <w:t>5a: Torrens Island (AGL) lower regulation service closing bid prices, dispatch and dispatch price for 25 October</w:t>
          </w:r>
        </w:p>
        <w:p w:rsidR="00992010" w:rsidRDefault="00282EAC" w:rsidP="00992010">
          <w:pPr>
            <w:pStyle w:val="Tabletitle"/>
            <w:spacing w:before="120" w:line="240" w:lineRule="auto"/>
          </w:pPr>
          <w:r w:rsidRPr="00282EAC">
            <w:rPr>
              <w:noProof/>
              <w:lang w:eastAsia="en-AU"/>
            </w:rPr>
            <w:drawing>
              <wp:inline distT="0" distB="0" distL="0" distR="0" wp14:anchorId="37448DF5" wp14:editId="5C06C828">
                <wp:extent cx="5382000" cy="324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5b: Torrens Island (AGL) lower regulation service closing bid prices, dispatch and dispatch price for 25 October – effective offers</w:t>
          </w:r>
        </w:p>
        <w:p w:rsidR="00992010" w:rsidRDefault="00992010" w:rsidP="00992010">
          <w:pPr>
            <w:pStyle w:val="Tabletitle"/>
            <w:spacing w:before="120" w:line="240" w:lineRule="auto"/>
          </w:pPr>
          <w:r w:rsidRPr="00FF724D">
            <w:rPr>
              <w:noProof/>
              <w:lang w:eastAsia="en-AU"/>
            </w:rPr>
            <w:drawing>
              <wp:inline distT="0" distB="0" distL="0" distR="0" wp14:anchorId="572DDD81" wp14:editId="159786D7">
                <wp:extent cx="5382000" cy="32400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694E92" w:rsidRDefault="00694E92" w:rsidP="007E24B2">
          <w:r>
            <w:lastRenderedPageBreak/>
            <w:t xml:space="preserve">As shown in Figure D6a and Figure D6b, </w:t>
          </w:r>
          <w:r w:rsidR="007E24B2">
            <w:t xml:space="preserve">at about 12.45 pm </w:t>
          </w:r>
          <w:proofErr w:type="spellStart"/>
          <w:r w:rsidR="007E24B2">
            <w:t>Alinta</w:t>
          </w:r>
          <w:proofErr w:type="spellEnd"/>
          <w:r w:rsidR="007E24B2">
            <w:t xml:space="preserve"> rebid 10 MW of capacity at Northern from about zero to $1500/MW in both services and at about 1 pm rebid 10 MW from $1500/MW to $12 400/MW.</w:t>
          </w:r>
        </w:p>
        <w:p w:rsidR="00992010" w:rsidRDefault="00992010" w:rsidP="00992010">
          <w:pPr>
            <w:pStyle w:val="Tabletitle"/>
            <w:spacing w:before="120" w:line="240" w:lineRule="auto"/>
          </w:pPr>
          <w:r>
            <w:t xml:space="preserve">Figure </w:t>
          </w:r>
          <w:r w:rsidR="003C2B11">
            <w:t>D</w:t>
          </w:r>
          <w:r>
            <w:t>6a: Northern Power Station (</w:t>
          </w:r>
          <w:proofErr w:type="spellStart"/>
          <w:r>
            <w:t>Alinta</w:t>
          </w:r>
          <w:proofErr w:type="spellEnd"/>
          <w:r>
            <w:t xml:space="preserve"> Energy) lower regulation service closing bid prices, dispatch and dispatch price for 25 October</w:t>
          </w:r>
        </w:p>
        <w:p w:rsidR="00992010" w:rsidRDefault="00992010" w:rsidP="00992010">
          <w:pPr>
            <w:pStyle w:val="Tabletitle"/>
            <w:spacing w:before="120" w:line="240" w:lineRule="auto"/>
          </w:pPr>
          <w:r w:rsidRPr="00FF724D">
            <w:rPr>
              <w:noProof/>
              <w:lang w:eastAsia="en-AU"/>
            </w:rPr>
            <w:drawing>
              <wp:inline distT="0" distB="0" distL="0" distR="0" wp14:anchorId="711CABF0" wp14:editId="73FCFB1D">
                <wp:extent cx="5382000" cy="32400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6b: Northern Power Station (</w:t>
          </w:r>
          <w:proofErr w:type="spellStart"/>
          <w:r>
            <w:t>Alinta</w:t>
          </w:r>
          <w:proofErr w:type="spellEnd"/>
          <w:r>
            <w:t xml:space="preserve"> Energy) lower regulation service closing bid prices, dispatch and dispatch price for 25 October – effective offers</w:t>
          </w:r>
        </w:p>
        <w:p w:rsidR="00992010" w:rsidRDefault="00992010" w:rsidP="00992010">
          <w:pPr>
            <w:pStyle w:val="Tabletitle"/>
            <w:spacing w:before="120" w:line="240" w:lineRule="auto"/>
          </w:pPr>
          <w:r w:rsidRPr="00FF724D">
            <w:rPr>
              <w:noProof/>
              <w:lang w:eastAsia="en-AU"/>
            </w:rPr>
            <w:drawing>
              <wp:inline distT="0" distB="0" distL="0" distR="0" wp14:anchorId="4B3A7B26" wp14:editId="1D934523">
                <wp:extent cx="5382000" cy="32400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0E0460" w:rsidRDefault="000E0460" w:rsidP="000E0460">
          <w:r>
            <w:lastRenderedPageBreak/>
            <w:t>Figure D7a and Figure D7b for Pelican Point Power Station show clearly their withdrawal from the market at about 12.30 pm. At the time pelican point shut down the price increased to $1500/MW set by Northern Power Station.</w:t>
          </w:r>
        </w:p>
        <w:p w:rsidR="00992010" w:rsidRDefault="00992010" w:rsidP="00992010">
          <w:pPr>
            <w:pStyle w:val="Tabletitle"/>
          </w:pPr>
          <w:r>
            <w:t xml:space="preserve">Figure </w:t>
          </w:r>
          <w:r w:rsidR="003C2B11">
            <w:t>D</w:t>
          </w:r>
          <w:r>
            <w:t>7a: Pelican Point Power Station (GDF Suez) lower regulation service closing bid prices, dispatch and dispatch price for 25 October</w:t>
          </w:r>
        </w:p>
        <w:p w:rsidR="00992010" w:rsidRDefault="00992010" w:rsidP="00992010">
          <w:pPr>
            <w:pStyle w:val="Tabletitle"/>
          </w:pPr>
          <w:r w:rsidRPr="00FF724D">
            <w:rPr>
              <w:noProof/>
              <w:lang w:eastAsia="en-AU"/>
            </w:rPr>
            <w:drawing>
              <wp:inline distT="0" distB="0" distL="0" distR="0" wp14:anchorId="35D00B82" wp14:editId="0956521F">
                <wp:extent cx="5382000" cy="32400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pPr>
          <w:r>
            <w:t xml:space="preserve">Figure </w:t>
          </w:r>
          <w:r w:rsidR="003C2B11">
            <w:t>D</w:t>
          </w:r>
          <w:r>
            <w:t>7b: Pelican Point Power Station (GDF Suez) lower regulation service closing bid prices, dispatch and dispatch price for 25 October – effective offers</w:t>
          </w:r>
        </w:p>
        <w:p w:rsidR="00992010" w:rsidRDefault="00992010" w:rsidP="00992010">
          <w:pPr>
            <w:pStyle w:val="Tabletitle"/>
          </w:pPr>
          <w:r w:rsidRPr="00FF724D">
            <w:rPr>
              <w:noProof/>
              <w:lang w:eastAsia="en-AU"/>
            </w:rPr>
            <w:drawing>
              <wp:inline distT="0" distB="0" distL="0" distR="0" wp14:anchorId="4F992536" wp14:editId="41355A11">
                <wp:extent cx="5382000" cy="3240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rsidP="007E24B2">
          <w:r>
            <w:lastRenderedPageBreak/>
            <w:t>As shown in Figure D</w:t>
          </w:r>
          <w:r w:rsidR="00282EAC">
            <w:t>8</w:t>
          </w:r>
          <w:r>
            <w:t>a and Figure D</w:t>
          </w:r>
          <w:r w:rsidR="00282EAC">
            <w:t>8</w:t>
          </w:r>
          <w:r>
            <w:t>b, in the hours prior to, and during, the high price period AGL’s offers remained static. Once the administrative price cap had been imposed AGL rebid to redistribute their regulation offers into bands between $30/MW and $500/MW.</w:t>
          </w:r>
        </w:p>
        <w:p w:rsidR="00992010" w:rsidRDefault="00992010" w:rsidP="00992010">
          <w:pPr>
            <w:pStyle w:val="Tabletitle"/>
            <w:spacing w:before="120" w:line="240" w:lineRule="auto"/>
          </w:pPr>
          <w:r>
            <w:t xml:space="preserve">Figure </w:t>
          </w:r>
          <w:r w:rsidR="003C2B11">
            <w:t>D</w:t>
          </w:r>
          <w:r>
            <w:t>8a: Torrens Island (AGL) raise regulation service closing bid prices, dispatch and dispatch price for 25 October</w:t>
          </w:r>
        </w:p>
        <w:p w:rsidR="00992010" w:rsidRDefault="00282EAC" w:rsidP="00992010">
          <w:pPr>
            <w:pStyle w:val="Tabletitle"/>
            <w:spacing w:before="120" w:line="240" w:lineRule="auto"/>
          </w:pPr>
          <w:r w:rsidRPr="00282EAC">
            <w:rPr>
              <w:noProof/>
              <w:lang w:eastAsia="en-AU"/>
            </w:rPr>
            <w:drawing>
              <wp:inline distT="0" distB="0" distL="0" distR="0" wp14:anchorId="427D912C" wp14:editId="66370EF0">
                <wp:extent cx="5382000" cy="3240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120" w:line="240" w:lineRule="auto"/>
          </w:pPr>
          <w:r>
            <w:t xml:space="preserve">Figure </w:t>
          </w:r>
          <w:r w:rsidR="003C2B11">
            <w:t>D</w:t>
          </w:r>
          <w:r>
            <w:t>8b: Torrens Island (AGL) raise regulation service closing bid prices, dispatch and dispatch price for 25 October – effective offers</w:t>
          </w:r>
        </w:p>
        <w:p w:rsidR="00992010" w:rsidRDefault="00992010" w:rsidP="00992010">
          <w:pPr>
            <w:pStyle w:val="Tabletitle"/>
            <w:spacing w:before="120" w:line="240" w:lineRule="auto"/>
          </w:pPr>
          <w:r w:rsidRPr="00FF724D">
            <w:rPr>
              <w:noProof/>
              <w:lang w:eastAsia="en-AU"/>
            </w:rPr>
            <w:drawing>
              <wp:inline distT="0" distB="0" distL="0" distR="0" wp14:anchorId="022F792E" wp14:editId="724889E3">
                <wp:extent cx="5382000" cy="32400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282EAC" w:rsidRDefault="00282EAC" w:rsidP="00282EAC">
          <w:r>
            <w:lastRenderedPageBreak/>
            <w:t xml:space="preserve">As shown in Figure D9a and Figure D9b, at about 12.45 pm </w:t>
          </w:r>
          <w:proofErr w:type="spellStart"/>
          <w:r>
            <w:t>Alinta</w:t>
          </w:r>
          <w:proofErr w:type="spellEnd"/>
          <w:r>
            <w:t xml:space="preserve"> rebid 10 MW of capacity at Northern from about zero to $1500/MW in both services and at about 1 pm rebid 10 MW from $1500/MW to $12 400/MW.</w:t>
          </w:r>
        </w:p>
        <w:p w:rsidR="00992010" w:rsidRDefault="00992010" w:rsidP="00992010">
          <w:pPr>
            <w:pStyle w:val="Tabletitle"/>
            <w:spacing w:before="120" w:line="240" w:lineRule="auto"/>
          </w:pPr>
          <w:r>
            <w:t xml:space="preserve">Figure </w:t>
          </w:r>
          <w:r w:rsidR="003C2B11">
            <w:t>D</w:t>
          </w:r>
          <w:r>
            <w:t>9a: Northern Power Station (</w:t>
          </w:r>
          <w:proofErr w:type="spellStart"/>
          <w:r>
            <w:t>Alinta</w:t>
          </w:r>
          <w:proofErr w:type="spellEnd"/>
          <w:r>
            <w:t xml:space="preserve"> Energy) raise regulation service closing bid prices, dispatch and dispatch price for 25 October</w:t>
          </w:r>
        </w:p>
        <w:p w:rsidR="00992010" w:rsidRDefault="00992010" w:rsidP="00992010">
          <w:pPr>
            <w:pStyle w:val="Tabletitle"/>
            <w:spacing w:before="120" w:line="240" w:lineRule="auto"/>
          </w:pPr>
          <w:r w:rsidRPr="00FF724D">
            <w:rPr>
              <w:noProof/>
              <w:lang w:eastAsia="en-AU"/>
            </w:rPr>
            <w:drawing>
              <wp:inline distT="0" distB="0" distL="0" distR="0" wp14:anchorId="63DEC1CD" wp14:editId="73BDBB4C">
                <wp:extent cx="5382000" cy="32400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spacing w:before="0" w:line="240" w:lineRule="auto"/>
          </w:pPr>
          <w:r>
            <w:t xml:space="preserve">Figure </w:t>
          </w:r>
          <w:r w:rsidR="003C2B11">
            <w:t>D</w:t>
          </w:r>
          <w:r>
            <w:t>9b: Northern Power Station (</w:t>
          </w:r>
          <w:proofErr w:type="spellStart"/>
          <w:r>
            <w:t>Alinta</w:t>
          </w:r>
          <w:proofErr w:type="spellEnd"/>
          <w:r>
            <w:t xml:space="preserve"> Energy) raise regulation service closing bid prices, dispatch and dispatch price for 25 October – effective offers</w:t>
          </w:r>
        </w:p>
        <w:p w:rsidR="00992010" w:rsidRDefault="00992010" w:rsidP="00992010">
          <w:pPr>
            <w:pStyle w:val="Tabletitle"/>
            <w:spacing w:before="0" w:line="240" w:lineRule="auto"/>
          </w:pPr>
          <w:r w:rsidRPr="00FF724D">
            <w:rPr>
              <w:noProof/>
              <w:lang w:eastAsia="en-AU"/>
            </w:rPr>
            <w:drawing>
              <wp:inline distT="0" distB="0" distL="0" distR="0" wp14:anchorId="50C74D0B" wp14:editId="08E37132">
                <wp:extent cx="5382000" cy="3240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7E24B2" w:rsidRDefault="007E24B2">
          <w:pPr>
            <w:spacing w:line="240" w:lineRule="auto"/>
            <w:jc w:val="left"/>
          </w:pPr>
          <w:r>
            <w:br w:type="page"/>
          </w:r>
        </w:p>
        <w:p w:rsidR="007E24B2" w:rsidRDefault="007E24B2" w:rsidP="007E24B2">
          <w:r>
            <w:lastRenderedPageBreak/>
            <w:t>Figure D10a and Figure D10b for Pelican Point Power Station show clearly their withdrawal from the market at about 12.30 pm. At the time pelican point shut down the price increased to $1500/MW set by Northern Power Station.</w:t>
          </w:r>
        </w:p>
        <w:p w:rsidR="00992010" w:rsidRDefault="00992010" w:rsidP="00992010">
          <w:pPr>
            <w:pStyle w:val="Tabletitle"/>
            <w:spacing w:before="0" w:line="240" w:lineRule="auto"/>
          </w:pPr>
          <w:r>
            <w:t xml:space="preserve">Figure </w:t>
          </w:r>
          <w:r w:rsidR="003C2B11">
            <w:t>D</w:t>
          </w:r>
          <w:r>
            <w:t>10a: Pelican Point Power Station (GDF Suez) raise regulation service closing bid prices, dispatch and dispatch price for 25 October</w:t>
          </w:r>
        </w:p>
        <w:p w:rsidR="00992010" w:rsidRDefault="00992010" w:rsidP="00992010">
          <w:pPr>
            <w:pStyle w:val="Tabletitle"/>
          </w:pPr>
          <w:r w:rsidRPr="00FF724D">
            <w:rPr>
              <w:noProof/>
              <w:lang w:eastAsia="en-AU"/>
            </w:rPr>
            <w:drawing>
              <wp:inline distT="0" distB="0" distL="0" distR="0" wp14:anchorId="187A489C" wp14:editId="26403A0D">
                <wp:extent cx="5382000" cy="3240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Default="00992010" w:rsidP="00992010">
          <w:pPr>
            <w:pStyle w:val="Tabletitle"/>
          </w:pPr>
          <w:r>
            <w:t xml:space="preserve">Figure </w:t>
          </w:r>
          <w:r w:rsidR="003C2B11">
            <w:t>D</w:t>
          </w:r>
          <w:r>
            <w:t>10b: Pelican Point Power Station (GDF Suez) raise regulation service closing bid prices, dispatch and dispatch price for 25 October – effective offers</w:t>
          </w:r>
        </w:p>
        <w:p w:rsidR="00992010" w:rsidRDefault="00992010" w:rsidP="00992010">
          <w:pPr>
            <w:pStyle w:val="Tabletitle"/>
          </w:pPr>
          <w:r w:rsidRPr="00103C36">
            <w:rPr>
              <w:noProof/>
              <w:lang w:eastAsia="en-AU"/>
            </w:rPr>
            <w:drawing>
              <wp:inline distT="0" distB="0" distL="0" distR="0" wp14:anchorId="08FFD31A" wp14:editId="59523FC5">
                <wp:extent cx="5382000" cy="32400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000" cy="3240000"/>
                        </a:xfrm>
                        <a:prstGeom prst="rect">
                          <a:avLst/>
                        </a:prstGeom>
                        <a:noFill/>
                        <a:ln>
                          <a:noFill/>
                        </a:ln>
                      </pic:spPr>
                    </pic:pic>
                  </a:graphicData>
                </a:graphic>
              </wp:inline>
            </w:drawing>
          </w:r>
        </w:p>
        <w:p w:rsidR="00992010" w:rsidRPr="00F1391C" w:rsidRDefault="00992010" w:rsidP="00992010">
          <w:pPr>
            <w:rPr>
              <w:noProof/>
              <w:lang w:eastAsia="en-AU"/>
            </w:rPr>
          </w:pPr>
        </w:p>
        <w:p w:rsidR="00992010" w:rsidRDefault="00992010" w:rsidP="00992010">
          <w:pPr>
            <w:pStyle w:val="Heading1notnumber"/>
          </w:pPr>
          <w:bookmarkStart w:id="37" w:name="_Toc438476568"/>
          <w:r>
            <w:lastRenderedPageBreak/>
            <w:t>Appendix E</w:t>
          </w:r>
          <w:r>
            <w:tab/>
            <w:t>Relevant Market Notices</w:t>
          </w:r>
          <w:bookmarkEnd w:id="37"/>
        </w:p>
        <w:p w:rsidR="001C4856" w:rsidRDefault="001C4856" w:rsidP="001C4856">
          <w:r>
            <w:t>The following market notices either were notifying the market of the regulation requirement for South Australia or were referenced in participant rebidding reasons.</w:t>
          </w:r>
        </w:p>
        <w:p w:rsidR="001C4856" w:rsidRDefault="001C4856" w:rsidP="001C4856">
          <w:r>
            <w:t>Market</w:t>
          </w:r>
          <w:r w:rsidRPr="001C4856">
            <w:t xml:space="preserve"> notice </w:t>
          </w:r>
          <w:r>
            <w:t xml:space="preserve">50003 </w:t>
          </w:r>
          <w:r w:rsidRPr="001C4856">
            <w:t xml:space="preserve">was issued on 12 October </w:t>
          </w:r>
          <w:r>
            <w:t xml:space="preserve">one day </w:t>
          </w:r>
          <w:r w:rsidRPr="001C4856">
            <w:t>after the commencement of the outage</w:t>
          </w:r>
          <w:r>
            <w:t>.</w:t>
          </w:r>
        </w:p>
        <w:tbl>
          <w:tblPr>
            <w:tblStyle w:val="AERsummarytable"/>
            <w:tblW w:w="0" w:type="auto"/>
            <w:tblLook w:val="04A0" w:firstRow="1" w:lastRow="0" w:firstColumn="1" w:lastColumn="0" w:noHBand="0" w:noVBand="1"/>
          </w:tblPr>
          <w:tblGrid>
            <w:gridCol w:w="2173"/>
            <w:gridCol w:w="2173"/>
            <w:gridCol w:w="2173"/>
            <w:gridCol w:w="2174"/>
          </w:tblGrid>
          <w:tr w:rsidR="00992010" w:rsidTr="00405DEA">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992010" w:rsidRDefault="00992010" w:rsidP="00405DEA">
                <w:r>
                  <w:t>Market Notice</w:t>
                </w:r>
              </w:p>
            </w:tc>
            <w:tc>
              <w:tcPr>
                <w:tcW w:w="2173" w:type="dxa"/>
              </w:tcPr>
              <w:p w:rsidR="00992010" w:rsidRDefault="00992010" w:rsidP="00405DEA">
                <w:r>
                  <w:t>Type</w:t>
                </w:r>
              </w:p>
            </w:tc>
            <w:tc>
              <w:tcPr>
                <w:tcW w:w="2173" w:type="dxa"/>
              </w:tcPr>
              <w:p w:rsidR="00992010" w:rsidRDefault="00992010" w:rsidP="00405DEA">
                <w:r>
                  <w:t>Date of issue</w:t>
                </w:r>
              </w:p>
            </w:tc>
            <w:tc>
              <w:tcPr>
                <w:tcW w:w="2174" w:type="dxa"/>
              </w:tcPr>
              <w:p w:rsidR="00992010" w:rsidRDefault="00992010" w:rsidP="00405DEA">
                <w:r>
                  <w:t>Last Changed</w:t>
                </w:r>
              </w:p>
            </w:tc>
          </w:tr>
          <w:tr w:rsidR="00992010" w:rsidTr="00405DEA">
            <w:trPr>
              <w:cnfStyle w:val="000000100000" w:firstRow="0" w:lastRow="0" w:firstColumn="0" w:lastColumn="0" w:oddVBand="0" w:evenVBand="0" w:oddHBand="1" w:evenHBand="0" w:firstRowFirstColumn="0" w:firstRowLastColumn="0" w:lastRowFirstColumn="0" w:lastRowLastColumn="0"/>
            </w:trPr>
            <w:tc>
              <w:tcPr>
                <w:tcW w:w="2173" w:type="dxa"/>
              </w:tcPr>
              <w:p w:rsidR="00992010" w:rsidRDefault="00992010" w:rsidP="00405DEA">
                <w:r>
                  <w:t>50003</w:t>
                </w:r>
              </w:p>
            </w:tc>
            <w:tc>
              <w:tcPr>
                <w:tcW w:w="2173" w:type="dxa"/>
              </w:tcPr>
              <w:p w:rsidR="00992010" w:rsidRDefault="00992010" w:rsidP="00405DEA">
                <w:r>
                  <w:t>General Notice</w:t>
                </w:r>
              </w:p>
            </w:tc>
            <w:tc>
              <w:tcPr>
                <w:tcW w:w="2173" w:type="dxa"/>
              </w:tcPr>
              <w:p w:rsidR="00992010" w:rsidRDefault="00992010" w:rsidP="00405DEA">
                <w:r>
                  <w:t>12/10/2015 16:08:36</w:t>
                </w:r>
              </w:p>
            </w:tc>
            <w:tc>
              <w:tcPr>
                <w:tcW w:w="2174" w:type="dxa"/>
              </w:tcPr>
              <w:p w:rsidR="00992010" w:rsidRDefault="00992010" w:rsidP="00405DEA">
                <w:r>
                  <w:t>12/10/2015 16:08:36</w:t>
                </w:r>
              </w:p>
            </w:tc>
          </w:tr>
          <w:tr w:rsidR="00992010" w:rsidRPr="008E53EA" w:rsidTr="00405DE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92010" w:rsidRPr="00C701C4" w:rsidRDefault="00992010" w:rsidP="00405DEA">
                <w:pPr>
                  <w:spacing w:before="240"/>
                  <w:rPr>
                    <w:b/>
                    <w:color w:val="FFFFFF" w:themeColor="background1"/>
                  </w:rPr>
                </w:pPr>
                <w:r w:rsidRPr="00C701C4">
                  <w:rPr>
                    <w:b/>
                    <w:color w:val="FFFFFF" w:themeColor="background1"/>
                  </w:rPr>
                  <w:t>Reason</w:t>
                </w:r>
              </w:p>
            </w:tc>
          </w:tr>
          <w:tr w:rsidR="00992010" w:rsidTr="00405DE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92010" w:rsidRDefault="00992010" w:rsidP="00405DEA">
                <w:pPr>
                  <w:rPr>
                    <w:rFonts w:cs="Arial"/>
                    <w:b/>
                    <w:szCs w:val="18"/>
                  </w:rPr>
                </w:pPr>
                <w:r w:rsidRPr="00EB389D">
                  <w:rPr>
                    <w:rFonts w:cs="Arial"/>
                    <w:szCs w:val="18"/>
                  </w:rPr>
                  <w:t xml:space="preserve">AEMO ELECTRICITY MARKET NOTICE </w:t>
                </w:r>
              </w:p>
              <w:p w:rsidR="00992010" w:rsidRDefault="00992010" w:rsidP="00405DEA">
                <w:pPr>
                  <w:rPr>
                    <w:rFonts w:cs="Arial"/>
                    <w:b/>
                    <w:szCs w:val="18"/>
                  </w:rPr>
                </w:pPr>
                <w:r w:rsidRPr="00EB389D">
                  <w:rPr>
                    <w:rFonts w:cs="Arial"/>
                    <w:szCs w:val="18"/>
                  </w:rPr>
                  <w:t xml:space="preserve">For the outages of the South East - Heywood 275kV lines AEMO has invoked constraint equations for South Australian raise and lower regulation of 35 MW in the following constraint sets: </w:t>
                </w:r>
              </w:p>
              <w:p w:rsidR="00992010" w:rsidRPr="00C701C4" w:rsidRDefault="00992010" w:rsidP="00405DEA">
                <w:pPr>
                  <w:rPr>
                    <w:rFonts w:cs="Arial"/>
                    <w:szCs w:val="18"/>
                  </w:rPr>
                </w:pPr>
                <w:r w:rsidRPr="00C701C4">
                  <w:rPr>
                    <w:rFonts w:cs="Arial"/>
                    <w:szCs w:val="18"/>
                  </w:rPr>
                  <w:t>F-S_RREG_0035</w:t>
                </w:r>
              </w:p>
              <w:p w:rsidR="00992010" w:rsidRDefault="00992010" w:rsidP="00405DEA">
                <w:pPr>
                  <w:rPr>
                    <w:rFonts w:cs="Arial"/>
                    <w:b/>
                    <w:szCs w:val="18"/>
                  </w:rPr>
                </w:pPr>
                <w:r w:rsidRPr="00EB389D">
                  <w:rPr>
                    <w:rFonts w:cs="Arial"/>
                    <w:szCs w:val="18"/>
                  </w:rPr>
                  <w:t>F-S_LREG_0035</w:t>
                </w:r>
              </w:p>
              <w:p w:rsidR="00992010" w:rsidRPr="00C701C4" w:rsidRDefault="00992010" w:rsidP="00405DEA">
                <w:pPr>
                  <w:rPr>
                    <w:rFonts w:cs="Arial"/>
                    <w:szCs w:val="18"/>
                  </w:rPr>
                </w:pPr>
                <w:r w:rsidRPr="00EB389D">
                  <w:rPr>
                    <w:rFonts w:cs="Arial"/>
                    <w:szCs w:val="18"/>
                  </w:rPr>
                  <w:t>In the event of South Australia islanding this ensures sufficient raise and lower regulation i</w:t>
                </w:r>
                <w:r w:rsidRPr="00C701C4">
                  <w:rPr>
                    <w:rFonts w:cs="Arial"/>
                    <w:szCs w:val="18"/>
                  </w:rPr>
                  <w:t xml:space="preserve">s available within 30 minutes. </w:t>
                </w:r>
              </w:p>
              <w:p w:rsidR="00992010" w:rsidRPr="00C701C4" w:rsidRDefault="00992010" w:rsidP="00405DEA">
                <w:pPr>
                  <w:rPr>
                    <w:rFonts w:cs="Arial"/>
                    <w:szCs w:val="18"/>
                  </w:rPr>
                </w:pPr>
                <w:r w:rsidRPr="00EB389D">
                  <w:rPr>
                    <w:rFonts w:cs="Arial"/>
                    <w:szCs w:val="18"/>
                  </w:rPr>
                  <w:t>More information on the Settlements outcomes, for cost recovery, is available via MMS Data Interchange table: SET_F</w:t>
                </w:r>
                <w:r w:rsidRPr="00C701C4">
                  <w:rPr>
                    <w:rFonts w:cs="Arial"/>
                    <w:szCs w:val="18"/>
                  </w:rPr>
                  <w:t xml:space="preserve">CAS_RECOVERY </w:t>
                </w:r>
              </w:p>
              <w:p w:rsidR="00992010" w:rsidRDefault="00992010" w:rsidP="00405DEA">
                <w:pPr>
                  <w:rPr>
                    <w:rFonts w:cs="Arial"/>
                    <w:b/>
                    <w:szCs w:val="18"/>
                  </w:rPr>
                </w:pPr>
                <w:r w:rsidRPr="00EB389D">
                  <w:rPr>
                    <w:rFonts w:cs="Arial"/>
                    <w:szCs w:val="18"/>
                  </w:rPr>
                  <w:t xml:space="preserve">These constraint sets have been attached to the NOS entries for all the outages of the South East - Heywood 275kV lines. For future outages please refer to the Network Outage Schedule on the AEMO website: http://www.aemo.com.au/Electricity/Data/Network-Data/Network-Outage-Schedule. </w:t>
                </w:r>
              </w:p>
              <w:p w:rsidR="00992010" w:rsidRPr="00C701C4" w:rsidRDefault="00992010" w:rsidP="00405DEA">
                <w:pPr>
                  <w:rPr>
                    <w:rFonts w:cs="Arial"/>
                    <w:szCs w:val="18"/>
                  </w:rPr>
                </w:pPr>
                <w:r w:rsidRPr="00EB389D">
                  <w:rPr>
                    <w:rFonts w:cs="Arial"/>
                    <w:szCs w:val="18"/>
                  </w:rPr>
                  <w:t xml:space="preserve">Ben </w:t>
                </w:r>
                <w:r w:rsidRPr="00C701C4">
                  <w:rPr>
                    <w:rFonts w:cs="Arial"/>
                    <w:szCs w:val="18"/>
                  </w:rPr>
                  <w:t xml:space="preserve">Blake </w:t>
                </w:r>
              </w:p>
              <w:p w:rsidR="00992010" w:rsidRDefault="00992010" w:rsidP="00405DEA">
                <w:r w:rsidRPr="00EB389D">
                  <w:rPr>
                    <w:rFonts w:cs="Arial"/>
                    <w:szCs w:val="18"/>
                  </w:rPr>
                  <w:t>AEMO Operations</w:t>
                </w:r>
              </w:p>
            </w:tc>
          </w:tr>
        </w:tbl>
        <w:p w:rsidR="00992010" w:rsidRDefault="00992010" w:rsidP="00992010">
          <w:pPr>
            <w:spacing w:line="240" w:lineRule="auto"/>
            <w:jc w:val="left"/>
          </w:pPr>
          <w:r>
            <w:br w:type="page"/>
          </w:r>
        </w:p>
        <w:tbl>
          <w:tblPr>
            <w:tblStyle w:val="AERsummarytable"/>
            <w:tblW w:w="0" w:type="auto"/>
            <w:tblLook w:val="04A0" w:firstRow="1" w:lastRow="0" w:firstColumn="1" w:lastColumn="0" w:noHBand="0" w:noVBand="1"/>
          </w:tblPr>
          <w:tblGrid>
            <w:gridCol w:w="2173"/>
            <w:gridCol w:w="2173"/>
            <w:gridCol w:w="2173"/>
            <w:gridCol w:w="2174"/>
          </w:tblGrid>
          <w:tr w:rsidR="00992010" w:rsidTr="00405DEA">
            <w:trPr>
              <w:cnfStyle w:val="100000000000" w:firstRow="1" w:lastRow="0" w:firstColumn="0" w:lastColumn="0" w:oddVBand="0" w:evenVBand="0" w:oddHBand="0" w:evenHBand="0" w:firstRowFirstColumn="0" w:firstRowLastColumn="0" w:lastRowFirstColumn="0" w:lastRowLastColumn="0"/>
            </w:trPr>
            <w:tc>
              <w:tcPr>
                <w:tcW w:w="2173" w:type="dxa"/>
              </w:tcPr>
              <w:p w:rsidR="00992010" w:rsidRDefault="00992010" w:rsidP="00405DEA">
                <w:r>
                  <w:lastRenderedPageBreak/>
                  <w:t>Market Notice</w:t>
                </w:r>
              </w:p>
            </w:tc>
            <w:tc>
              <w:tcPr>
                <w:tcW w:w="2173" w:type="dxa"/>
              </w:tcPr>
              <w:p w:rsidR="00992010" w:rsidRDefault="00992010" w:rsidP="00405DEA">
                <w:r>
                  <w:t>Type</w:t>
                </w:r>
              </w:p>
            </w:tc>
            <w:tc>
              <w:tcPr>
                <w:tcW w:w="2173" w:type="dxa"/>
              </w:tcPr>
              <w:p w:rsidR="00992010" w:rsidRDefault="00992010" w:rsidP="00405DEA">
                <w:r>
                  <w:t>Date of issue</w:t>
                </w:r>
              </w:p>
            </w:tc>
            <w:tc>
              <w:tcPr>
                <w:tcW w:w="2174" w:type="dxa"/>
              </w:tcPr>
              <w:p w:rsidR="00992010" w:rsidRDefault="00992010" w:rsidP="00405DEA">
                <w:r>
                  <w:t>Last Changed</w:t>
                </w:r>
              </w:p>
            </w:tc>
          </w:tr>
          <w:tr w:rsidR="00992010" w:rsidTr="00405DEA">
            <w:trPr>
              <w:cnfStyle w:val="000000100000" w:firstRow="0" w:lastRow="0" w:firstColumn="0" w:lastColumn="0" w:oddVBand="0" w:evenVBand="0" w:oddHBand="1" w:evenHBand="0" w:firstRowFirstColumn="0" w:firstRowLastColumn="0" w:lastRowFirstColumn="0" w:lastRowLastColumn="0"/>
            </w:trPr>
            <w:tc>
              <w:tcPr>
                <w:tcW w:w="2173" w:type="dxa"/>
              </w:tcPr>
              <w:p w:rsidR="00992010" w:rsidRDefault="00992010" w:rsidP="00405DEA">
                <w:r>
                  <w:t>49990</w:t>
                </w:r>
              </w:p>
            </w:tc>
            <w:tc>
              <w:tcPr>
                <w:tcW w:w="2173" w:type="dxa"/>
              </w:tcPr>
              <w:p w:rsidR="00992010" w:rsidRDefault="00992010" w:rsidP="00405DEA">
                <w:r>
                  <w:t>Reclassify Contingency</w:t>
                </w:r>
              </w:p>
            </w:tc>
            <w:tc>
              <w:tcPr>
                <w:tcW w:w="2173" w:type="dxa"/>
              </w:tcPr>
              <w:p w:rsidR="00992010" w:rsidRDefault="00992010" w:rsidP="00405DEA">
                <w:r>
                  <w:t>11/10/2015 19:34:24</w:t>
                </w:r>
              </w:p>
            </w:tc>
            <w:tc>
              <w:tcPr>
                <w:tcW w:w="2174" w:type="dxa"/>
              </w:tcPr>
              <w:p w:rsidR="00992010" w:rsidRDefault="00992010" w:rsidP="00405DEA">
                <w:r>
                  <w:t>11/10/2015 19:34:24</w:t>
                </w:r>
              </w:p>
            </w:tc>
          </w:tr>
          <w:tr w:rsidR="00992010" w:rsidRPr="008E53EA" w:rsidTr="00405DE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92010" w:rsidRPr="00C701C4" w:rsidRDefault="00992010" w:rsidP="00405DEA">
                <w:pPr>
                  <w:spacing w:before="240"/>
                  <w:rPr>
                    <w:b/>
                    <w:color w:val="FFFFFF" w:themeColor="background1"/>
                  </w:rPr>
                </w:pPr>
                <w:r w:rsidRPr="00C701C4">
                  <w:rPr>
                    <w:b/>
                    <w:color w:val="FFFFFF" w:themeColor="background1"/>
                  </w:rPr>
                  <w:t>External Reference</w:t>
                </w:r>
              </w:p>
            </w:tc>
          </w:tr>
          <w:tr w:rsidR="00992010" w:rsidRPr="00EB389D" w:rsidTr="00405DE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92010" w:rsidRPr="00EB389D" w:rsidRDefault="00992010" w:rsidP="00405DEA">
                <w:r w:rsidRPr="005A2081">
                  <w:t>Reclassification of a Non-Credible Contingency Event: Dederang - Glenrowan No. 1 and No. 3 220 kV Lines in Victoria due to Lightning.</w:t>
                </w:r>
              </w:p>
            </w:tc>
          </w:tr>
          <w:tr w:rsidR="00992010" w:rsidRPr="008E53EA" w:rsidTr="00405DE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92010" w:rsidRPr="00C701C4" w:rsidRDefault="00992010" w:rsidP="00405DEA">
                <w:pPr>
                  <w:spacing w:before="240"/>
                  <w:rPr>
                    <w:b/>
                    <w:color w:val="FFFFFF" w:themeColor="background1"/>
                  </w:rPr>
                </w:pPr>
                <w:r w:rsidRPr="00C701C4">
                  <w:rPr>
                    <w:b/>
                    <w:color w:val="FFFFFF" w:themeColor="background1"/>
                  </w:rPr>
                  <w:t>Reason</w:t>
                </w:r>
              </w:p>
            </w:tc>
          </w:tr>
          <w:tr w:rsidR="00992010" w:rsidRPr="00EB389D" w:rsidTr="00405DE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92010" w:rsidRDefault="00992010" w:rsidP="00405DEA">
                <w:pPr>
                  <w:rPr>
                    <w:rFonts w:cs="Arial"/>
                    <w:szCs w:val="18"/>
                  </w:rPr>
                </w:pPr>
                <w:r>
                  <w:rPr>
                    <w:rFonts w:cs="Arial"/>
                    <w:szCs w:val="18"/>
                  </w:rPr>
                  <w:t>AEMO ELECTRICITY MARKET NOTICE</w:t>
                </w:r>
              </w:p>
              <w:p w:rsidR="00992010" w:rsidRDefault="00992010" w:rsidP="00405DEA">
                <w:pPr>
                  <w:rPr>
                    <w:rFonts w:cs="Arial"/>
                    <w:szCs w:val="18"/>
                  </w:rPr>
                </w:pPr>
                <w:r>
                  <w:rPr>
                    <w:rFonts w:cs="Arial"/>
                    <w:szCs w:val="18"/>
                  </w:rPr>
                  <w:t xml:space="preserve">Reclassification of a Non-Credible Contingency Event: Dederang - Glenrowan No. 1 and No. 3 220 kV Lines in Victoria due to Lightning. </w:t>
                </w:r>
              </w:p>
              <w:p w:rsidR="00992010" w:rsidRDefault="00992010" w:rsidP="00405DEA">
                <w:pPr>
                  <w:rPr>
                    <w:rFonts w:cs="Arial"/>
                    <w:szCs w:val="18"/>
                  </w:rPr>
                </w:pPr>
                <w:r>
                  <w:rPr>
                    <w:rFonts w:cs="Arial"/>
                    <w:szCs w:val="18"/>
                  </w:rPr>
                  <w:t xml:space="preserve">Lightning is occurring near the Dederang - Glenrowan No. 1 and No. 3 220 kV Lines. </w:t>
                </w:r>
              </w:p>
              <w:p w:rsidR="00992010" w:rsidRDefault="00992010" w:rsidP="00405DEA">
                <w:pPr>
                  <w:rPr>
                    <w:rFonts w:cs="Arial"/>
                    <w:szCs w:val="18"/>
                  </w:rPr>
                </w:pPr>
                <w:r>
                  <w:rPr>
                    <w:rFonts w:cs="Arial"/>
                    <w:szCs w:val="18"/>
                  </w:rPr>
                  <w:t xml:space="preserve">AEMO considers the simultaneous trip of those circuits to now be more likely. </w:t>
                </w:r>
              </w:p>
              <w:p w:rsidR="00992010" w:rsidRDefault="00992010" w:rsidP="00405DEA">
                <w:pPr>
                  <w:rPr>
                    <w:rFonts w:cs="Arial"/>
                    <w:szCs w:val="18"/>
                  </w:rPr>
                </w:pPr>
                <w:r>
                  <w:rPr>
                    <w:rFonts w:cs="Arial"/>
                    <w:szCs w:val="18"/>
                  </w:rPr>
                  <w:t xml:space="preserve">Therefore AEMO has reclassified this as a credible contingency event from 1925 hrs Sunday, 11 October 2015 until further notice. </w:t>
                </w:r>
              </w:p>
              <w:p w:rsidR="00992010" w:rsidRDefault="00992010" w:rsidP="00405DEA">
                <w:pPr>
                  <w:rPr>
                    <w:rFonts w:cs="Arial"/>
                    <w:szCs w:val="18"/>
                  </w:rPr>
                </w:pPr>
                <w:r>
                  <w:rPr>
                    <w:rFonts w:cs="Arial"/>
                    <w:szCs w:val="18"/>
                  </w:rPr>
                  <w:t xml:space="preserve">Constraint Set V-DDGN_N-2 invoked. </w:t>
                </w:r>
              </w:p>
              <w:p w:rsidR="00992010" w:rsidRDefault="00992010" w:rsidP="00405DEA">
                <w:pPr>
                  <w:rPr>
                    <w:rFonts w:cs="Arial"/>
                    <w:szCs w:val="18"/>
                  </w:rPr>
                </w:pPr>
                <w:r>
                  <w:rPr>
                    <w:rFonts w:cs="Arial"/>
                    <w:szCs w:val="18"/>
                  </w:rPr>
                  <w:t xml:space="preserve">This Constraint Set contains equations with the following interconnectors on the LHS. </w:t>
                </w:r>
                <w:r>
                  <w:rPr>
                    <w:rFonts w:cs="Arial"/>
                    <w:szCs w:val="18"/>
                  </w:rPr>
                  <w:br/>
                  <w:t xml:space="preserve">V-S-MNSP1 </w:t>
                </w:r>
                <w:r>
                  <w:rPr>
                    <w:rFonts w:cs="Arial"/>
                    <w:szCs w:val="18"/>
                  </w:rPr>
                  <w:br/>
                  <w:t xml:space="preserve">V-SA </w:t>
                </w:r>
                <w:r>
                  <w:rPr>
                    <w:rFonts w:cs="Arial"/>
                    <w:szCs w:val="18"/>
                  </w:rPr>
                  <w:br/>
                  <w:t>VIC1-NSW1</w:t>
                </w:r>
              </w:p>
              <w:p w:rsidR="00992010" w:rsidRPr="00EB389D" w:rsidRDefault="00992010" w:rsidP="00405DEA">
                <w:r>
                  <w:t>Manager NEM Real Time Operations</w:t>
                </w:r>
              </w:p>
            </w:tc>
          </w:tr>
        </w:tbl>
        <w:p w:rsidR="00992010" w:rsidRDefault="00992010" w:rsidP="00992010">
          <w:pPr>
            <w:spacing w:line="240" w:lineRule="auto"/>
            <w:jc w:val="left"/>
          </w:pPr>
        </w:p>
        <w:tbl>
          <w:tblPr>
            <w:tblStyle w:val="AERsummarytable"/>
            <w:tblW w:w="0" w:type="auto"/>
            <w:tblLook w:val="04A0" w:firstRow="1" w:lastRow="0" w:firstColumn="1" w:lastColumn="0" w:noHBand="0" w:noVBand="1"/>
          </w:tblPr>
          <w:tblGrid>
            <w:gridCol w:w="2173"/>
            <w:gridCol w:w="2173"/>
            <w:gridCol w:w="2173"/>
            <w:gridCol w:w="2174"/>
          </w:tblGrid>
          <w:tr w:rsidR="00992010" w:rsidTr="00405DEA">
            <w:trPr>
              <w:cnfStyle w:val="100000000000" w:firstRow="1" w:lastRow="0" w:firstColumn="0" w:lastColumn="0" w:oddVBand="0" w:evenVBand="0" w:oddHBand="0" w:evenHBand="0" w:firstRowFirstColumn="0" w:firstRowLastColumn="0" w:lastRowFirstColumn="0" w:lastRowLastColumn="0"/>
            </w:trPr>
            <w:tc>
              <w:tcPr>
                <w:tcW w:w="2173" w:type="dxa"/>
              </w:tcPr>
              <w:p w:rsidR="00992010" w:rsidRDefault="00992010" w:rsidP="00405DEA">
                <w:r>
                  <w:t>Market Notice</w:t>
                </w:r>
              </w:p>
            </w:tc>
            <w:tc>
              <w:tcPr>
                <w:tcW w:w="2173" w:type="dxa"/>
              </w:tcPr>
              <w:p w:rsidR="00992010" w:rsidRDefault="00992010" w:rsidP="00405DEA">
                <w:r>
                  <w:t>Type</w:t>
                </w:r>
              </w:p>
            </w:tc>
            <w:tc>
              <w:tcPr>
                <w:tcW w:w="2173" w:type="dxa"/>
              </w:tcPr>
              <w:p w:rsidR="00992010" w:rsidRDefault="00992010" w:rsidP="00405DEA">
                <w:r>
                  <w:t>Date of issue</w:t>
                </w:r>
              </w:p>
            </w:tc>
            <w:tc>
              <w:tcPr>
                <w:tcW w:w="2174" w:type="dxa"/>
              </w:tcPr>
              <w:p w:rsidR="00992010" w:rsidRDefault="00992010" w:rsidP="00405DEA">
                <w:r>
                  <w:t>Last Changed</w:t>
                </w:r>
              </w:p>
            </w:tc>
          </w:tr>
          <w:tr w:rsidR="00992010" w:rsidTr="00405DEA">
            <w:trPr>
              <w:cnfStyle w:val="000000100000" w:firstRow="0" w:lastRow="0" w:firstColumn="0" w:lastColumn="0" w:oddVBand="0" w:evenVBand="0" w:oddHBand="1" w:evenHBand="0" w:firstRowFirstColumn="0" w:firstRowLastColumn="0" w:lastRowFirstColumn="0" w:lastRowLastColumn="0"/>
            </w:trPr>
            <w:tc>
              <w:tcPr>
                <w:tcW w:w="2173" w:type="dxa"/>
              </w:tcPr>
              <w:p w:rsidR="00992010" w:rsidRDefault="00992010" w:rsidP="00405DEA">
                <w:r>
                  <w:t>49991</w:t>
                </w:r>
              </w:p>
            </w:tc>
            <w:tc>
              <w:tcPr>
                <w:tcW w:w="2173" w:type="dxa"/>
              </w:tcPr>
              <w:p w:rsidR="00992010" w:rsidRDefault="00992010" w:rsidP="00405DEA">
                <w:r>
                  <w:t>Reclassify Contingency</w:t>
                </w:r>
              </w:p>
            </w:tc>
            <w:tc>
              <w:tcPr>
                <w:tcW w:w="2173" w:type="dxa"/>
              </w:tcPr>
              <w:p w:rsidR="00992010" w:rsidRDefault="00992010" w:rsidP="00405DEA">
                <w:r>
                  <w:t>11/10/2015 19:55:20</w:t>
                </w:r>
              </w:p>
            </w:tc>
            <w:tc>
              <w:tcPr>
                <w:tcW w:w="2174" w:type="dxa"/>
              </w:tcPr>
              <w:p w:rsidR="00992010" w:rsidRDefault="00992010" w:rsidP="00405DEA">
                <w:r>
                  <w:t>11/10/2019:55:20</w:t>
                </w:r>
              </w:p>
            </w:tc>
          </w:tr>
          <w:tr w:rsidR="00992010" w:rsidRPr="008E53EA" w:rsidTr="00405DE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92010" w:rsidRPr="00C701C4" w:rsidRDefault="00992010" w:rsidP="00405DEA">
                <w:pPr>
                  <w:spacing w:before="240"/>
                  <w:rPr>
                    <w:b/>
                    <w:color w:val="FFFFFF" w:themeColor="background1"/>
                  </w:rPr>
                </w:pPr>
                <w:r w:rsidRPr="00C701C4">
                  <w:rPr>
                    <w:b/>
                    <w:color w:val="FFFFFF" w:themeColor="background1"/>
                  </w:rPr>
                  <w:t>External Reference</w:t>
                </w:r>
              </w:p>
            </w:tc>
          </w:tr>
          <w:tr w:rsidR="00992010" w:rsidRPr="00EB389D" w:rsidTr="00405DE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92010" w:rsidRPr="00EB389D" w:rsidRDefault="00992010" w:rsidP="00405DEA">
                <w:r w:rsidRPr="00EB389D">
                  <w:t>Reclassification of a Non Credible Contingency Event: Eildon-Mt. Beauty No.1 and No.2 220kV lines in Victoria.</w:t>
                </w:r>
              </w:p>
            </w:tc>
          </w:tr>
          <w:tr w:rsidR="00992010" w:rsidRPr="008E53EA" w:rsidTr="00405DE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92010" w:rsidRPr="00C701C4" w:rsidRDefault="00992010" w:rsidP="00405DEA">
                <w:pPr>
                  <w:spacing w:before="240"/>
                  <w:rPr>
                    <w:b/>
                    <w:color w:val="FFFFFF" w:themeColor="background1"/>
                  </w:rPr>
                </w:pPr>
                <w:r w:rsidRPr="00C701C4">
                  <w:rPr>
                    <w:b/>
                    <w:color w:val="FFFFFF" w:themeColor="background1"/>
                  </w:rPr>
                  <w:t>Reason</w:t>
                </w:r>
              </w:p>
            </w:tc>
          </w:tr>
          <w:tr w:rsidR="00992010" w:rsidRPr="00EB389D" w:rsidTr="00405DE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92010" w:rsidRPr="00EB389D" w:rsidRDefault="00992010" w:rsidP="00405DEA">
                <w:pPr>
                  <w:rPr>
                    <w:rFonts w:cs="Arial"/>
                    <w:szCs w:val="18"/>
                  </w:rPr>
                </w:pPr>
                <w:r w:rsidRPr="00EB389D">
                  <w:rPr>
                    <w:rFonts w:cs="Arial"/>
                    <w:szCs w:val="18"/>
                  </w:rPr>
                  <w:t xml:space="preserve">AEMO ELECTRICITY MARKET NOTICE </w:t>
                </w:r>
              </w:p>
              <w:p w:rsidR="00992010" w:rsidRPr="00EB389D" w:rsidRDefault="00992010" w:rsidP="00405DEA">
                <w:pPr>
                  <w:rPr>
                    <w:rFonts w:cs="Arial"/>
                    <w:szCs w:val="18"/>
                  </w:rPr>
                </w:pPr>
                <w:r w:rsidRPr="00EB389D">
                  <w:rPr>
                    <w:rFonts w:cs="Arial"/>
                    <w:szCs w:val="18"/>
                  </w:rPr>
                  <w:t xml:space="preserve">Reclassification of a Non Credible Contingency Event: Eildon-Mt. Beauty No.1 and No.2 220kV lines in Victoria. </w:t>
                </w:r>
              </w:p>
              <w:p w:rsidR="00992010" w:rsidRPr="00EB389D" w:rsidRDefault="00992010" w:rsidP="00405DEA">
                <w:pPr>
                  <w:rPr>
                    <w:rFonts w:cs="Arial"/>
                    <w:szCs w:val="18"/>
                  </w:rPr>
                </w:pPr>
                <w:r w:rsidRPr="00EB389D">
                  <w:rPr>
                    <w:rFonts w:cs="Arial"/>
                    <w:szCs w:val="18"/>
                  </w:rPr>
                  <w:t xml:space="preserve">Lightning is occurring near the Eildon- Mt. Beauty No.1 and No.2 220kV lines. </w:t>
                </w:r>
              </w:p>
              <w:p w:rsidR="00992010" w:rsidRPr="00EB389D" w:rsidRDefault="00992010" w:rsidP="00405DEA">
                <w:pPr>
                  <w:rPr>
                    <w:rFonts w:cs="Arial"/>
                    <w:szCs w:val="18"/>
                  </w:rPr>
                </w:pPr>
                <w:r w:rsidRPr="00EB389D">
                  <w:rPr>
                    <w:rFonts w:cs="Arial"/>
                    <w:szCs w:val="18"/>
                  </w:rPr>
                  <w:t xml:space="preserve">AEMO considers the simultaneous trip of those circuits to now be more likely. </w:t>
                </w:r>
              </w:p>
              <w:p w:rsidR="00992010" w:rsidRPr="00EB389D" w:rsidRDefault="00992010" w:rsidP="00405DEA">
                <w:pPr>
                  <w:rPr>
                    <w:rFonts w:cs="Arial"/>
                    <w:szCs w:val="18"/>
                  </w:rPr>
                </w:pPr>
                <w:r w:rsidRPr="00EB389D">
                  <w:rPr>
                    <w:rFonts w:cs="Arial"/>
                    <w:szCs w:val="18"/>
                  </w:rPr>
                  <w:t xml:space="preserve">Therefore AEMO has reclassified this as a credible contingency event from 1950 hrs Sunday, 11 October 2015 until further notice. </w:t>
                </w:r>
              </w:p>
              <w:p w:rsidR="00992010" w:rsidRPr="00EB389D" w:rsidRDefault="00992010" w:rsidP="00405DEA">
                <w:r w:rsidRPr="00EB389D">
                  <w:rPr>
                    <w:rFonts w:cs="Arial"/>
                    <w:szCs w:val="18"/>
                  </w:rPr>
                  <w:t>Manager NEM Real Time Operations</w:t>
                </w:r>
              </w:p>
            </w:tc>
          </w:tr>
        </w:tbl>
        <w:p w:rsidR="00C7068C" w:rsidRDefault="00F1391C" w:rsidP="00296D34">
          <w:pPr>
            <w:pStyle w:val="Heading1notnumber"/>
          </w:pPr>
          <w:bookmarkStart w:id="38" w:name="_Toc438476569"/>
          <w:r>
            <w:lastRenderedPageBreak/>
            <w:t xml:space="preserve">Appendix </w:t>
          </w:r>
          <w:r w:rsidR="00992010">
            <w:t>F</w:t>
          </w:r>
          <w:r w:rsidR="00C7068C">
            <w:tab/>
            <w:t>Price setter</w:t>
          </w:r>
          <w:bookmarkEnd w:id="38"/>
        </w:p>
        <w:p w:rsidR="00F0248A" w:rsidRDefault="00F0248A" w:rsidP="00F0248A">
          <w:r>
            <w:t xml:space="preserve">The following tables identify for </w:t>
          </w:r>
          <w:r w:rsidR="00E125B3">
            <w:t xml:space="preserve">each </w:t>
          </w:r>
          <w:r>
            <w:t>five-minute</w:t>
          </w:r>
          <w:r w:rsidR="00E125B3">
            <w:t xml:space="preserve"> dispatch interval where</w:t>
          </w:r>
          <w:r>
            <w:t xml:space="preserve"> </w:t>
          </w:r>
          <w:r w:rsidR="00FD6B42">
            <w:t xml:space="preserve">regulation </w:t>
          </w:r>
          <w:r>
            <w:t xml:space="preserve">dispatch prices </w:t>
          </w:r>
          <w:r w:rsidR="003C2B11">
            <w:t xml:space="preserve">were </w:t>
          </w:r>
          <w:r>
            <w:t xml:space="preserve">above $5000/MW, </w:t>
          </w:r>
          <w:r w:rsidR="00E125B3">
            <w:t xml:space="preserve">the </w:t>
          </w:r>
          <w:r>
            <w:t xml:space="preserve">price and the generating units involved in setting the price for each of the lower </w:t>
          </w:r>
          <w:r w:rsidR="00E125B3">
            <w:t>and raise regulation services</w:t>
          </w:r>
          <w:r>
            <w:t xml:space="preserve"> in South Australia. </w:t>
          </w:r>
          <w:r w:rsidRPr="006D5E16">
            <w:t>This information is published by AEMO</w:t>
          </w:r>
          <w:r w:rsidR="00E125B3">
            <w:t>.</w:t>
          </w:r>
          <w:r w:rsidRPr="006D5E16">
            <w:rPr>
              <w:rStyle w:val="FootnoteReference"/>
            </w:rPr>
            <w:footnoteReference w:id="18"/>
          </w:r>
          <w:r>
            <w:t xml:space="preserve"> Also shown </w:t>
          </w:r>
          <w:r w:rsidR="00E125B3">
            <w:t xml:space="preserve">are </w:t>
          </w:r>
          <w:r>
            <w:t>the offer prices involved in determining the dispatch price</w:t>
          </w:r>
          <w:r w:rsidR="00E125B3">
            <w:t>,</w:t>
          </w:r>
          <w:r>
            <w:t xml:space="preserve"> together with the quantity of that service and the contribution to the total</w:t>
          </w:r>
          <w:r w:rsidR="0054243F">
            <w:t xml:space="preserve"> </w:t>
          </w:r>
          <w:r>
            <w:t>price. AEMO reports an increase as a negative marginal change in FCAS price setter. Generator offers which contributed zero to the price have been removed for clarity.</w:t>
          </w:r>
        </w:p>
        <w:p w:rsidR="00EC4A12" w:rsidRDefault="00CF7345" w:rsidP="00EC4A12">
          <w:pPr>
            <w:pStyle w:val="Tabletitle"/>
          </w:pPr>
          <w:r>
            <w:t>Lower regulation</w:t>
          </w:r>
          <w:r w:rsidR="008315BA">
            <w:t xml:space="preserve"> 11 and 12 October</w:t>
          </w:r>
        </w:p>
        <w:tbl>
          <w:tblPr>
            <w:tblStyle w:val="AERTable-Text"/>
            <w:tblW w:w="5117" w:type="pct"/>
            <w:tblLayout w:type="fixed"/>
            <w:tblLook w:val="04A0" w:firstRow="1" w:lastRow="0" w:firstColumn="1" w:lastColumn="0" w:noHBand="0" w:noVBand="1"/>
          </w:tblPr>
          <w:tblGrid>
            <w:gridCol w:w="626"/>
            <w:gridCol w:w="1037"/>
            <w:gridCol w:w="1422"/>
            <w:gridCol w:w="1276"/>
            <w:gridCol w:w="1176"/>
            <w:gridCol w:w="1035"/>
            <w:gridCol w:w="968"/>
            <w:gridCol w:w="1356"/>
          </w:tblGrid>
          <w:tr w:rsidR="00EC2107" w:rsidRPr="00DD0001" w:rsidTr="00EC2107">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094459" w:rsidRPr="00010B1A" w:rsidRDefault="00094459" w:rsidP="00D34940">
                <w:pPr>
                  <w:jc w:val="left"/>
                  <w:rPr>
                    <w:sz w:val="18"/>
                  </w:rPr>
                </w:pPr>
                <w:r>
                  <w:rPr>
                    <w:sz w:val="18"/>
                  </w:rPr>
                  <w:t>DI</w:t>
                </w:r>
              </w:p>
            </w:tc>
            <w:tc>
              <w:tcPr>
                <w:tcW w:w="583" w:type="pct"/>
                <w:tcBorders>
                  <w:bottom w:val="nil"/>
                </w:tcBorders>
                <w:vAlign w:val="center"/>
              </w:tcPr>
              <w:p w:rsidR="00094459" w:rsidRPr="00010B1A" w:rsidRDefault="00094459" w:rsidP="001A34CC">
                <w:pPr>
                  <w:spacing w:before="0" w:after="0"/>
                  <w:jc w:val="left"/>
                  <w:rPr>
                    <w:sz w:val="18"/>
                  </w:rPr>
                </w:pPr>
                <w:r w:rsidRPr="00010B1A">
                  <w:rPr>
                    <w:sz w:val="18"/>
                  </w:rPr>
                  <w:t>Dispatch Price</w:t>
                </w:r>
                <w:r>
                  <w:rPr>
                    <w:sz w:val="18"/>
                  </w:rPr>
                  <w:t xml:space="preserve"> ($/MW)</w:t>
                </w:r>
              </w:p>
            </w:tc>
            <w:tc>
              <w:tcPr>
                <w:tcW w:w="799" w:type="pct"/>
                <w:tcBorders>
                  <w:bottom w:val="nil"/>
                </w:tcBorders>
                <w:vAlign w:val="center"/>
              </w:tcPr>
              <w:p w:rsidR="00094459" w:rsidRPr="00010B1A" w:rsidRDefault="00094459" w:rsidP="00247FC3">
                <w:pPr>
                  <w:spacing w:before="0" w:after="0"/>
                  <w:jc w:val="left"/>
                  <w:rPr>
                    <w:sz w:val="18"/>
                  </w:rPr>
                </w:pPr>
                <w:r w:rsidRPr="00010B1A">
                  <w:rPr>
                    <w:sz w:val="18"/>
                  </w:rPr>
                  <w:t>Participant</w:t>
                </w:r>
              </w:p>
            </w:tc>
            <w:tc>
              <w:tcPr>
                <w:tcW w:w="717" w:type="pct"/>
                <w:tcBorders>
                  <w:bottom w:val="nil"/>
                </w:tcBorders>
                <w:vAlign w:val="center"/>
              </w:tcPr>
              <w:p w:rsidR="00094459" w:rsidRPr="00010B1A" w:rsidRDefault="00094459" w:rsidP="00D34940">
                <w:pPr>
                  <w:spacing w:before="0" w:after="0"/>
                  <w:jc w:val="left"/>
                  <w:rPr>
                    <w:sz w:val="18"/>
                  </w:rPr>
                </w:pPr>
                <w:r w:rsidRPr="00010B1A">
                  <w:rPr>
                    <w:sz w:val="18"/>
                  </w:rPr>
                  <w:t>Unit</w:t>
                </w:r>
              </w:p>
            </w:tc>
            <w:tc>
              <w:tcPr>
                <w:tcW w:w="661" w:type="pct"/>
                <w:tcBorders>
                  <w:bottom w:val="nil"/>
                </w:tcBorders>
                <w:vAlign w:val="center"/>
              </w:tcPr>
              <w:p w:rsidR="00094459" w:rsidRPr="00010B1A" w:rsidRDefault="00094459" w:rsidP="00D34940">
                <w:pPr>
                  <w:spacing w:before="0" w:after="0"/>
                  <w:jc w:val="left"/>
                  <w:rPr>
                    <w:sz w:val="18"/>
                  </w:rPr>
                </w:pPr>
                <w:r w:rsidRPr="00010B1A">
                  <w:rPr>
                    <w:sz w:val="18"/>
                  </w:rPr>
                  <w:t>Service</w:t>
                </w:r>
              </w:p>
            </w:tc>
            <w:tc>
              <w:tcPr>
                <w:tcW w:w="582" w:type="pct"/>
                <w:tcBorders>
                  <w:bottom w:val="nil"/>
                </w:tcBorders>
                <w:vAlign w:val="center"/>
              </w:tcPr>
              <w:p w:rsidR="00094459" w:rsidRPr="00010B1A" w:rsidRDefault="00094459" w:rsidP="001A34CC">
                <w:pPr>
                  <w:spacing w:before="0" w:after="0"/>
                  <w:jc w:val="left"/>
                  <w:rPr>
                    <w:sz w:val="18"/>
                  </w:rPr>
                </w:pPr>
                <w:r>
                  <w:rPr>
                    <w:sz w:val="18"/>
                  </w:rPr>
                  <w:t>Offer price ($/MW)</w:t>
                </w:r>
              </w:p>
            </w:tc>
            <w:tc>
              <w:tcPr>
                <w:tcW w:w="544" w:type="pct"/>
                <w:tcBorders>
                  <w:bottom w:val="nil"/>
                </w:tcBorders>
                <w:vAlign w:val="center"/>
              </w:tcPr>
              <w:p w:rsidR="00094459" w:rsidRPr="00010B1A" w:rsidRDefault="00094459" w:rsidP="00D34940">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094459" w:rsidRPr="00010B1A" w:rsidRDefault="00094459" w:rsidP="00D34940">
                <w:pPr>
                  <w:jc w:val="left"/>
                  <w:rPr>
                    <w:sz w:val="18"/>
                  </w:rPr>
                </w:pPr>
                <w:r>
                  <w:rPr>
                    <w:sz w:val="18"/>
                  </w:rPr>
                  <w:t>Contribution</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20:25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20:30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20:35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20:40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20:45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247FC3"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20:50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20:55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21:00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21:05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247FC3"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21:10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21:15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21:20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21:25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Raise 6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21:30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21:35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21:40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108.94</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$9.34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$9.34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$9.34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$9.34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21:45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113.66</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-$2358.00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-$2358.00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-$2358.00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-$2358.00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-$2358.00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-$6157.00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$4585.00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-$8.28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-$8.28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-$8.28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-$21.62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$9.62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$9.62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$9.62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ENOF,ER01,4,ER03,4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ENOF,ER02,4,ER03,4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ENOF,ER03,4,ER04,4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3.89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3.89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3.89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-18.82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-18.82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21:50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114.81</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-$2751.00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-$2751.00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-$2751.00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-$2751.00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-$7467.00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$5633.00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-$9.66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-$26.21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$28.87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Delta Electricity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VP5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ENOF,ER01,4,ER03,4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101.70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ENOF,ER02,4,ER03,4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101.70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ENOF,ER03,4,ER04,4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101.70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ENOF,TORRA1,2,TORRA4,2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ENOF,TORRA3,2,TORRA4,2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-8.57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-22.86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-22.86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21:55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117.21</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$25.54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$25.54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$25.54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5 min</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ENOF,ER01,3,ER03,3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-13.61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ENOF,ER02,3,ER03,3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-13.61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ENOF,ER03,3,ER04,3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-13.61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22:00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116.81</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ENOF,BW01,4,BW02,4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95.66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ENOF,BW02,4,BW03,4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95.66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ENOF,BW02,4,BW04,4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95.66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3.81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3.81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3.81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22:05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106.43</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TALWA1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$34.02</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$35.72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4.78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4.78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4.78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ENOF,TORRB2,2,TORRB4,2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22:10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107.39</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$8777.00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$7.13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ENOF,BW01,5,BW02,5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ENOF,BW01,5,BW04,5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ENOF,BW02,5,BW03,5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ENOF,BW02,5,LD01,5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6.25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ENOF,BW02,5,LD04,5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6.25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ENOF,BW03,5,BW04,5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ENOF,BW04,5,LD01,5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-6.25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ENOF,BW04,5,LD04,5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-6.25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22:15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413.64</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CS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GSTONE2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$34.68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$0.81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ENOF,GSTONE1,3,GSTONE2,3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ENOF,GSTONE2,3,GSTONE3,3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ENOF,GSTONE2,3,GSTONE4,3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ENOF,GSTONE2,3,GSTONE5,3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ENOF,GSTONE2,3,GSTONE6,3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22:20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417.30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$29.72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TARONG#4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$0.83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ENOF,ER01,4,ER03,4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104.63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ENOF,ER02,4,ER03,4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104.63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ENOF,ER03,4,ER04,4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104.63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22:25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418.50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22:30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419.95</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22:35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418.45</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TARONG#1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$32.04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TARONG#3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$32.04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TARONG#4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$32.04</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$10.25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22:40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$13420.57</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$7.36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22:45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422.65</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$0.65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22:50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421.24</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-$350.99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3.78</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3.78</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3.78</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22:55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$26</w:t>
                </w:r>
                <w:r w:rsidR="00140C95">
                  <w:rPr>
                    <w:rFonts w:cs="Arial"/>
                    <w:sz w:val="16"/>
                    <w:szCs w:val="16"/>
                  </w:rPr>
                  <w:t xml:space="preserve"> </w:t>
                </w:r>
                <w:r>
                  <w:rPr>
                    <w:rFonts w:cs="Arial"/>
                    <w:sz w:val="16"/>
                    <w:szCs w:val="16"/>
                  </w:rPr>
                  <w:t>866.93</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800.00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800.00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$28.30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Delta Electricity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VP6</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ER04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ENOF,ER01,4,ER02,4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-52.60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ENOF,ER01,4,ER03,4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-52.60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ENOF,ER02,4,ER04,4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-52.60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ENOF,ER03,4,ER04,4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-52.60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ENOF,PPCCGT,10,TORRB4,10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ENOF,QPS1,10,TORRB4,10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ENOF,QPS2,10,TORRB4,10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ENOF,QPS3,10,TORRB4,10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ENOF,QPS4,10,TORRB4,10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ENOF,QPS5,10,TORRB4,10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-128.00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ENOF,TORRB1,10,TORRB4,10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ENOF,TORRB2,10,TORRB4,10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ENOF,TORRB3,10,TORRB4,10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23:00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$26</w:t>
                </w:r>
                <w:r w:rsidR="00140C95">
                  <w:rPr>
                    <w:rFonts w:cs="Arial"/>
                    <w:sz w:val="16"/>
                    <w:szCs w:val="16"/>
                  </w:rPr>
                  <w:t xml:space="preserve"> </w:t>
                </w:r>
                <w:r>
                  <w:rPr>
                    <w:rFonts w:cs="Arial"/>
                    <w:sz w:val="16"/>
                    <w:szCs w:val="16"/>
                  </w:rPr>
                  <w:t>870.67</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800.00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800.00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LYA4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$0.97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ENOF,BW01,4,BW02,4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97.42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ENOF,BW02,4,BW03,4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97.42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ENOF,BW02,4,BW04,4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97.42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ENOF,LYA1,4,LYA2,4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3.40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ENOF,LYA2,4,LYA3,4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3.40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ENOF,LYA2,4,LYA4,4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3.40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ENOF,PPCCGT,10,TORRB4,10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ENOF,QPS1,10,TORRB4,10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ENOF,QPS2,10,TORRB4,10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ENOF,QPS3,10,TORRB4,10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ENOF,QPS4,10,TORRB4,10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ENOF,QPS5,10,TORRB4,10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-128.00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ENOF,TORRB1,10,TORRB4,10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ENOF,TORRB2,10,TORRB4,10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ENOF,TORRB3,10,TORRB4,10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lastRenderedPageBreak/>
                  <w:t>23:05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23:10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23:15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23:20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23:25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23:30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23:35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23:40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23:45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23:50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23:55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00:10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00:30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00:35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00:40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00:55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105.70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$13.49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$13.49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$13.49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$6550.00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-$6550.00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ENOF,TORRA1,2,TORRA3,2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ENOF,TORRA3,2,TORRA4,2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-22.50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ENOF,TORRA4,2,TORRB1,2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113.29</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$8777.00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TARONG#1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$9.24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TARONG#3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$9.24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Stanwell</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TARONG#4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$24.97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$9.24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ENOF,TORRA4,2,TORRB1,2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01:35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01:40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01:45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109.00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118.58</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$3.98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$3.98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$3.98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$3.40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$16.20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$3.40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ENOF,LOYYB1,3,LYA2,4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ENOF,LOYYB2,3,LYA2,4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02:10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02:15</w:t>
                </w:r>
              </w:p>
            </w:tc>
            <w:tc>
              <w:tcPr>
                <w:tcW w:w="583"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02:20</w:t>
                </w:r>
              </w:p>
            </w:tc>
            <w:tc>
              <w:tcPr>
                <w:tcW w:w="583"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02:25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123.22</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$1.47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$1.47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-0.14</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02:30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123.88</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$19.92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5 min</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$0.79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-$0.83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ER02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$0.43</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ENOF,ER01,2,ER02,2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41.80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ENOF,ER02,2,ER03,2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41.80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ENOF,ER02,2,ER04,2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41.80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02:35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123.94</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02:40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133.22</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02:45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133.51</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02:50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133.51</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02:55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133.51</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03:00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134.75</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$2.28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$0.63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ENOF,BW01,3,BW04,3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-23.37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ENOF,BW02,3,BW04,3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-18.70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ENOF,BW03,3,BW04,3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-23.37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ENOF,BW04,3,LD01,3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ENOF,BW04,3,LD02,3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ENOF,BW04,3,LD04,3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03:05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133.81</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03:10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134.47</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$0.74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0.07</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$0.74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03:15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134.20</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$0.84</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-0.08</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03:20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133.23</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03:25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133.51</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133.24</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132.96</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132.67</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03:45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132.39</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-0.27</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132.94</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133.79</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$2.84</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$0.95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04:00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122.66</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0.20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$3.79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$1.68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roofErr w:type="spellStart"/>
                <w:r>
                  <w:rPr>
                    <w:rFonts w:cs="Arial"/>
                    <w:sz w:val="16"/>
                    <w:szCs w:val="16"/>
                  </w:rPr>
                  <w:t>EnergyAustralia</w:t>
                </w:r>
                <w:proofErr w:type="spellEnd"/>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YWPS2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Lower 60 sec</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04:05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133.22</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0.16</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$3.03</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0.19</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$3.60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$18.96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$1.90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ENOF,TORRA2,3,TORRB4,3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04:10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125.71</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$1.37</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ENOF,TORRA2,3,TORRB4,3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04:15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140C95">
                  <w:rPr>
                    <w:rFonts w:cs="Arial"/>
                    <w:sz w:val="16"/>
                    <w:szCs w:val="16"/>
                  </w:rPr>
                  <w:t xml:space="preserve"> </w:t>
                </w:r>
                <w:r>
                  <w:rPr>
                    <w:rFonts w:cs="Arial"/>
                    <w:sz w:val="16"/>
                    <w:szCs w:val="16"/>
                  </w:rPr>
                  <w:t>126.32</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-$54.99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ENOF,TORRA2,3,TORRB4,3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ENOF,TORRA4,3,TORRB4,3</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04:20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$26</w:t>
                </w:r>
                <w:r w:rsidR="008315BA">
                  <w:rPr>
                    <w:rFonts w:cs="Arial"/>
                    <w:sz w:val="16"/>
                    <w:szCs w:val="16"/>
                  </w:rPr>
                  <w:t xml:space="preserve"> </w:t>
                </w:r>
                <w:r>
                  <w:rPr>
                    <w:rFonts w:cs="Arial"/>
                    <w:sz w:val="16"/>
                    <w:szCs w:val="16"/>
                  </w:rPr>
                  <w:t>871.02</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8C2CF2">
                  <w:rPr>
                    <w:rFonts w:cs="Arial"/>
                    <w:sz w:val="16"/>
                    <w:szCs w:val="16"/>
                  </w:rPr>
                  <w:t> </w:t>
                </w:r>
                <w:r>
                  <w:rPr>
                    <w:rFonts w:cs="Arial"/>
                    <w:sz w:val="16"/>
                    <w:szCs w:val="16"/>
                  </w:rPr>
                  <w:t>800.00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8C2CF2">
                  <w:rPr>
                    <w:rFonts w:cs="Arial"/>
                    <w:sz w:val="16"/>
                    <w:szCs w:val="16"/>
                  </w:rPr>
                  <w:t> </w:t>
                </w:r>
                <w:r>
                  <w:rPr>
                    <w:rFonts w:cs="Arial"/>
                    <w:sz w:val="16"/>
                    <w:szCs w:val="16"/>
                  </w:rPr>
                  <w:t>800.00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Delta Electricity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VP5</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0.56</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$14.25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Delta Electricity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VP6</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$25.45</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0.48</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$12.22</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ENOF,LADBROK1,10,TORRB4,10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ENOF,LADBROK2,10,TORRB4,10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-50.00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ENOF,PPCCGT,10,TORRB4,10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ENOF,QPS1,10,TORRB4,10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ENOF,QPS2,10,TORRB4,10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ENOF,QPS3,10,TORRB4,10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ENOF,QPS4,10,TORRB4,10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ENOF,QPS5,10,TORRB4,10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-128.00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ENOF,TORRB1,10,TORRB4,10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ENOF,TORRB2,10,TORRB4,10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ENOF,TORRB3,10,TORRB4,10</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04:25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$26</w:t>
                </w:r>
                <w:r w:rsidR="008315BA">
                  <w:rPr>
                    <w:rFonts w:cs="Arial"/>
                    <w:sz w:val="16"/>
                    <w:szCs w:val="16"/>
                  </w:rPr>
                  <w:t xml:space="preserve"> </w:t>
                </w:r>
                <w:r>
                  <w:rPr>
                    <w:rFonts w:cs="Arial"/>
                    <w:sz w:val="16"/>
                    <w:szCs w:val="16"/>
                  </w:rPr>
                  <w:t>870.84</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8C2CF2">
                  <w:rPr>
                    <w:rFonts w:cs="Arial"/>
                    <w:sz w:val="16"/>
                    <w:szCs w:val="16"/>
                  </w:rPr>
                  <w:t> </w:t>
                </w:r>
                <w:r>
                  <w:rPr>
                    <w:rFonts w:cs="Arial"/>
                    <w:sz w:val="16"/>
                    <w:szCs w:val="16"/>
                  </w:rPr>
                  <w:t>800.00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8C2CF2">
                  <w:rPr>
                    <w:rFonts w:cs="Arial"/>
                    <w:sz w:val="16"/>
                    <w:szCs w:val="16"/>
                  </w:rPr>
                  <w:t> </w:t>
                </w:r>
                <w:r>
                  <w:rPr>
                    <w:rFonts w:cs="Arial"/>
                    <w:sz w:val="16"/>
                    <w:szCs w:val="16"/>
                  </w:rPr>
                  <w:t>800.00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w:t>
                </w:r>
                <w:r w:rsidR="00140C95">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BW04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$25.46</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0.12</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ENOF,LADBROK1,10,TORRB4,10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ENOF,LADBROK2,10,TORRB4,10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-50.00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ENOF,PPCCGT,10,TORRB4,10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ENOF,QPS1,10,TORRB4,10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ENOF,QPS2,10,TORRB4,10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ENOF,QPS3,10,TORRB4,10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ENOF,QPS4,10,TORRB4,10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ENOF,QPS5,10,TORRB4,10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-128.00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ENOF,TORRB1,10,TORRB4,10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ENOF,TORRB2,10,TORRB4,10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ENOF,TORRB3,10,TORRB4,10</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-10.00</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04:30</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8315BA">
                  <w:rPr>
                    <w:rFonts w:cs="Arial"/>
                    <w:sz w:val="16"/>
                    <w:szCs w:val="16"/>
                  </w:rPr>
                  <w:t xml:space="preserve"> </w:t>
                </w:r>
                <w:r>
                  <w:rPr>
                    <w:rFonts w:cs="Arial"/>
                    <w:sz w:val="16"/>
                    <w:szCs w:val="16"/>
                  </w:rPr>
                  <w:t>117.59</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TORRB4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0.34</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$8.66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0.10</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ENOF,TORRA1,2,TORRA2,2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ENOF,TORRA2,2,TORRA3,2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ENOF,TORRA2,2,TORRA4,2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04:35</w:t>
                </w:r>
              </w:p>
            </w:tc>
            <w:tc>
              <w:tcPr>
                <w:tcW w:w="583"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$13</w:t>
                </w:r>
                <w:r w:rsidR="008315BA">
                  <w:rPr>
                    <w:rFonts w:cs="Arial"/>
                    <w:sz w:val="16"/>
                    <w:szCs w:val="16"/>
                  </w:rPr>
                  <w:t xml:space="preserve"> </w:t>
                </w:r>
                <w:r>
                  <w:rPr>
                    <w:rFonts w:cs="Arial"/>
                    <w:sz w:val="16"/>
                    <w:szCs w:val="16"/>
                  </w:rPr>
                  <w:t>117.12</w:t>
                </w: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auto"/>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auto"/>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ENOF,TORRA1,2,TORRA2,2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ENOF,TORRA2,2,TORRA3,2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ENOF,TORRA2,2,TORRA4,2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28085B" w:rsidRDefault="0028085B">
                <w:pPr>
                  <w:rPr>
                    <w:rFonts w:cs="Arial"/>
                    <w:sz w:val="16"/>
                    <w:szCs w:val="16"/>
                  </w:rPr>
                </w:pPr>
              </w:p>
            </w:tc>
            <w:tc>
              <w:tcPr>
                <w:tcW w:w="583" w:type="pct"/>
                <w:tcBorders>
                  <w:bottom w:val="nil"/>
                </w:tcBorders>
                <w:shd w:val="clear" w:color="auto" w:fill="auto"/>
                <w:vAlign w:val="bottom"/>
              </w:tcPr>
              <w:p w:rsidR="0028085B" w:rsidRDefault="0028085B">
                <w:pPr>
                  <w:rPr>
                    <w:rFonts w:cs="Arial"/>
                    <w:sz w:val="16"/>
                    <w:szCs w:val="16"/>
                  </w:rPr>
                </w:pPr>
              </w:p>
            </w:tc>
            <w:tc>
              <w:tcPr>
                <w:tcW w:w="799" w:type="pct"/>
                <w:tcBorders>
                  <w:bottom w:val="nil"/>
                </w:tcBorders>
                <w:shd w:val="clear" w:color="auto" w:fill="auto"/>
                <w:vAlign w:val="bottom"/>
              </w:tcPr>
              <w:p w:rsidR="0028085B" w:rsidRDefault="0028085B">
                <w:pPr>
                  <w:rPr>
                    <w:rFonts w:cs="Arial"/>
                    <w:sz w:val="16"/>
                    <w:szCs w:val="16"/>
                  </w:rPr>
                </w:pPr>
              </w:p>
            </w:tc>
            <w:tc>
              <w:tcPr>
                <w:tcW w:w="717" w:type="pct"/>
                <w:tcBorders>
                  <w:bottom w:val="nil"/>
                </w:tcBorders>
                <w:shd w:val="clear" w:color="auto" w:fill="auto"/>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auto"/>
                <w:vAlign w:val="bottom"/>
              </w:tcPr>
              <w:p w:rsidR="0028085B" w:rsidRDefault="0028085B">
                <w:pPr>
                  <w:rPr>
                    <w:rFonts w:cs="Arial"/>
                    <w:sz w:val="16"/>
                    <w:szCs w:val="16"/>
                  </w:rPr>
                </w:pPr>
              </w:p>
            </w:tc>
            <w:tc>
              <w:tcPr>
                <w:tcW w:w="58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auto"/>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04:35</w:t>
                </w:r>
              </w:p>
            </w:tc>
            <w:tc>
              <w:tcPr>
                <w:tcW w:w="583"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$13</w:t>
                </w:r>
                <w:r w:rsidR="008315BA">
                  <w:rPr>
                    <w:rFonts w:cs="Arial"/>
                    <w:sz w:val="16"/>
                    <w:szCs w:val="16"/>
                  </w:rPr>
                  <w:t xml:space="preserve"> </w:t>
                </w:r>
                <w:r>
                  <w:rPr>
                    <w:rFonts w:cs="Arial"/>
                    <w:sz w:val="16"/>
                    <w:szCs w:val="16"/>
                  </w:rPr>
                  <w:t>117.12</w:t>
                </w: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tcBorders>
                  <w:bottom w:val="nil"/>
                </w:tcBorders>
                <w:shd w:val="clear" w:color="auto" w:fill="D4E2FF" w:themeFill="accent3" w:themeFillTint="1A"/>
                <w:vAlign w:val="bottom"/>
              </w:tcPr>
              <w:p w:rsidR="0028085B" w:rsidRDefault="00140C95">
                <w:pPr>
                  <w:jc w:val="right"/>
                  <w:rPr>
                    <w:rFonts w:cs="Arial"/>
                    <w:sz w:val="16"/>
                    <w:szCs w:val="16"/>
                  </w:rPr>
                </w:pPr>
                <w:r>
                  <w:rPr>
                    <w:rFonts w:cs="Arial"/>
                    <w:sz w:val="16"/>
                    <w:szCs w:val="16"/>
                  </w:rPr>
                  <w:t>$13 100.00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-$4323.00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TORRA3</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TORRA4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$45.99</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LD04</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$25.47</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0.35</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$8.91</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LOYYB1</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GDF Suez</w:t>
                </w: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LOYYB2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Energy</w:t>
                </w: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$10.50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0.11</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$1.16</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ENOF,TORRA1,2,TORRA2,2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ENOF,TORRA1,2,TORRB4,2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ENOF,TORRA2,2,TORRA3,2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ENOF,TORRA2,2,TORRA4,2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ENOF,TORRA3,2,TORRB4,2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28085B" w:rsidRDefault="0028085B">
                <w:pPr>
                  <w:rPr>
                    <w:rFonts w:cs="Arial"/>
                    <w:sz w:val="16"/>
                    <w:szCs w:val="16"/>
                  </w:rPr>
                </w:pPr>
              </w:p>
            </w:tc>
            <w:tc>
              <w:tcPr>
                <w:tcW w:w="583" w:type="pct"/>
                <w:tcBorders>
                  <w:bottom w:val="nil"/>
                </w:tcBorders>
                <w:shd w:val="clear" w:color="auto" w:fill="D4E2FF" w:themeFill="accent3" w:themeFillTint="1A"/>
                <w:vAlign w:val="bottom"/>
              </w:tcPr>
              <w:p w:rsidR="0028085B" w:rsidRDefault="0028085B">
                <w:pPr>
                  <w:rPr>
                    <w:rFonts w:cs="Arial"/>
                    <w:sz w:val="16"/>
                    <w:szCs w:val="16"/>
                  </w:rPr>
                </w:pPr>
              </w:p>
            </w:tc>
            <w:tc>
              <w:tcPr>
                <w:tcW w:w="799" w:type="pct"/>
                <w:tcBorders>
                  <w:bottom w:val="nil"/>
                </w:tcBorders>
                <w:shd w:val="clear" w:color="auto" w:fill="D4E2FF" w:themeFill="accent3" w:themeFillTint="1A"/>
                <w:vAlign w:val="bottom"/>
              </w:tcPr>
              <w:p w:rsidR="0028085B" w:rsidRDefault="0028085B">
                <w:pPr>
                  <w:rPr>
                    <w:rFonts w:cs="Arial"/>
                    <w:sz w:val="16"/>
                    <w:szCs w:val="16"/>
                  </w:rPr>
                </w:pPr>
              </w:p>
            </w:tc>
            <w:tc>
              <w:tcPr>
                <w:tcW w:w="717" w:type="pct"/>
                <w:tcBorders>
                  <w:bottom w:val="nil"/>
                </w:tcBorders>
                <w:shd w:val="clear" w:color="auto" w:fill="D4E2FF" w:themeFill="accent3" w:themeFillTint="1A"/>
                <w:vAlign w:val="bottom"/>
              </w:tcPr>
              <w:p w:rsidR="0028085B" w:rsidRDefault="0028085B">
                <w:pPr>
                  <w:rPr>
                    <w:rFonts w:cs="Arial"/>
                    <w:sz w:val="16"/>
                    <w:szCs w:val="16"/>
                  </w:rPr>
                </w:pPr>
                <w:r>
                  <w:rPr>
                    <w:rFonts w:cs="Arial"/>
                    <w:sz w:val="16"/>
                    <w:szCs w:val="16"/>
                  </w:rPr>
                  <w:t>ENOF,TORRA4,2,TORRB4,2</w:t>
                </w:r>
              </w:p>
            </w:tc>
            <w:tc>
              <w:tcPr>
                <w:tcW w:w="661" w:type="pct"/>
                <w:tcBorders>
                  <w:bottom w:val="nil"/>
                </w:tcBorders>
                <w:shd w:val="clear" w:color="auto" w:fill="D4E2FF" w:themeFill="accent3" w:themeFillTint="1A"/>
                <w:vAlign w:val="bottom"/>
              </w:tcPr>
              <w:p w:rsidR="0028085B" w:rsidRDefault="0028085B">
                <w:pPr>
                  <w:rPr>
                    <w:rFonts w:cs="Arial"/>
                    <w:sz w:val="16"/>
                    <w:szCs w:val="16"/>
                  </w:rPr>
                </w:pPr>
              </w:p>
            </w:tc>
            <w:tc>
              <w:tcPr>
                <w:tcW w:w="58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c>
              <w:tcPr>
                <w:tcW w:w="544"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3.33</w:t>
                </w:r>
              </w:p>
            </w:tc>
            <w:tc>
              <w:tcPr>
                <w:tcW w:w="762" w:type="pct"/>
                <w:tcBorders>
                  <w:bottom w:val="nil"/>
                </w:tcBorders>
                <w:shd w:val="clear" w:color="auto" w:fill="D4E2FF" w:themeFill="accent3" w:themeFillTint="1A"/>
                <w:vAlign w:val="bottom"/>
              </w:tcPr>
              <w:p w:rsidR="0028085B" w:rsidRDefault="0028085B">
                <w:pPr>
                  <w:jc w:val="right"/>
                  <w:rPr>
                    <w:rFonts w:cs="Arial"/>
                    <w:sz w:val="16"/>
                    <w:szCs w:val="16"/>
                  </w:rPr>
                </w:pPr>
                <w:r>
                  <w:rPr>
                    <w:rFonts w:cs="Arial"/>
                    <w:sz w:val="16"/>
                    <w:szCs w:val="16"/>
                  </w:rPr>
                  <w:t>$0.00</w:t>
                </w:r>
              </w:p>
            </w:tc>
          </w:tr>
        </w:tbl>
        <w:p w:rsidR="000E3FA1" w:rsidRDefault="000E3FA1" w:rsidP="000E3FA1">
          <w:pPr>
            <w:pStyle w:val="Tabletitle"/>
          </w:pPr>
          <w:r>
            <w:t>Raise regulation 11 and 12 October</w:t>
          </w:r>
        </w:p>
        <w:tbl>
          <w:tblPr>
            <w:tblStyle w:val="AERTable-Text"/>
            <w:tblW w:w="5117" w:type="pct"/>
            <w:tblLayout w:type="fixed"/>
            <w:tblLook w:val="04A0" w:firstRow="1" w:lastRow="0" w:firstColumn="1" w:lastColumn="0" w:noHBand="0" w:noVBand="1"/>
          </w:tblPr>
          <w:tblGrid>
            <w:gridCol w:w="627"/>
            <w:gridCol w:w="1038"/>
            <w:gridCol w:w="1425"/>
            <w:gridCol w:w="1276"/>
            <w:gridCol w:w="1160"/>
            <w:gridCol w:w="1050"/>
            <w:gridCol w:w="964"/>
            <w:gridCol w:w="1356"/>
          </w:tblGrid>
          <w:tr w:rsidR="00EC2107" w:rsidRPr="00DD0001" w:rsidTr="00EC2107">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0E3FA1" w:rsidRPr="00010B1A" w:rsidRDefault="000E3FA1" w:rsidP="00EC2107">
                <w:pPr>
                  <w:jc w:val="left"/>
                  <w:rPr>
                    <w:sz w:val="18"/>
                  </w:rPr>
                </w:pPr>
                <w:r>
                  <w:rPr>
                    <w:sz w:val="18"/>
                  </w:rPr>
                  <w:lastRenderedPageBreak/>
                  <w:t>DI</w:t>
                </w:r>
              </w:p>
            </w:tc>
            <w:tc>
              <w:tcPr>
                <w:tcW w:w="583" w:type="pct"/>
                <w:tcBorders>
                  <w:bottom w:val="nil"/>
                </w:tcBorders>
                <w:vAlign w:val="center"/>
              </w:tcPr>
              <w:p w:rsidR="000E3FA1" w:rsidRPr="00010B1A" w:rsidRDefault="000E3FA1" w:rsidP="00EC2107">
                <w:pPr>
                  <w:spacing w:before="0" w:after="0"/>
                  <w:jc w:val="left"/>
                  <w:rPr>
                    <w:sz w:val="18"/>
                  </w:rPr>
                </w:pPr>
                <w:r w:rsidRPr="00010B1A">
                  <w:rPr>
                    <w:sz w:val="18"/>
                  </w:rPr>
                  <w:t>Dispatch Price</w:t>
                </w:r>
                <w:r>
                  <w:rPr>
                    <w:sz w:val="18"/>
                  </w:rPr>
                  <w:t xml:space="preserve"> ($/MW)</w:t>
                </w:r>
              </w:p>
            </w:tc>
            <w:tc>
              <w:tcPr>
                <w:tcW w:w="801" w:type="pct"/>
                <w:tcBorders>
                  <w:bottom w:val="nil"/>
                </w:tcBorders>
                <w:vAlign w:val="center"/>
              </w:tcPr>
              <w:p w:rsidR="000E3FA1" w:rsidRPr="00010B1A" w:rsidRDefault="000E3FA1" w:rsidP="00EC2107">
                <w:pPr>
                  <w:spacing w:before="0" w:after="0"/>
                  <w:jc w:val="left"/>
                  <w:rPr>
                    <w:sz w:val="18"/>
                  </w:rPr>
                </w:pPr>
                <w:r w:rsidRPr="00010B1A">
                  <w:rPr>
                    <w:sz w:val="18"/>
                  </w:rPr>
                  <w:t>Participant</w:t>
                </w:r>
              </w:p>
            </w:tc>
            <w:tc>
              <w:tcPr>
                <w:tcW w:w="717" w:type="pct"/>
                <w:tcBorders>
                  <w:bottom w:val="nil"/>
                </w:tcBorders>
                <w:vAlign w:val="center"/>
              </w:tcPr>
              <w:p w:rsidR="000E3FA1" w:rsidRPr="00010B1A" w:rsidRDefault="000E3FA1" w:rsidP="00EC2107">
                <w:pPr>
                  <w:spacing w:before="0" w:after="0"/>
                  <w:jc w:val="left"/>
                  <w:rPr>
                    <w:sz w:val="18"/>
                  </w:rPr>
                </w:pPr>
                <w:r w:rsidRPr="00010B1A">
                  <w:rPr>
                    <w:sz w:val="18"/>
                  </w:rPr>
                  <w:t>Unit</w:t>
                </w:r>
              </w:p>
            </w:tc>
            <w:tc>
              <w:tcPr>
                <w:tcW w:w="652" w:type="pct"/>
                <w:tcBorders>
                  <w:bottom w:val="nil"/>
                </w:tcBorders>
                <w:vAlign w:val="center"/>
              </w:tcPr>
              <w:p w:rsidR="000E3FA1" w:rsidRPr="00010B1A" w:rsidRDefault="000E3FA1" w:rsidP="00EC2107">
                <w:pPr>
                  <w:spacing w:before="0" w:after="0"/>
                  <w:jc w:val="left"/>
                  <w:rPr>
                    <w:sz w:val="18"/>
                  </w:rPr>
                </w:pPr>
                <w:r w:rsidRPr="00010B1A">
                  <w:rPr>
                    <w:sz w:val="18"/>
                  </w:rPr>
                  <w:t>Service</w:t>
                </w:r>
              </w:p>
            </w:tc>
            <w:tc>
              <w:tcPr>
                <w:tcW w:w="590" w:type="pct"/>
                <w:tcBorders>
                  <w:bottom w:val="nil"/>
                </w:tcBorders>
                <w:vAlign w:val="center"/>
              </w:tcPr>
              <w:p w:rsidR="000E3FA1" w:rsidRPr="00010B1A" w:rsidRDefault="000E3FA1" w:rsidP="00EC2107">
                <w:pPr>
                  <w:spacing w:before="0" w:after="0"/>
                  <w:jc w:val="left"/>
                  <w:rPr>
                    <w:sz w:val="18"/>
                  </w:rPr>
                </w:pPr>
                <w:r>
                  <w:rPr>
                    <w:sz w:val="18"/>
                  </w:rPr>
                  <w:t>Offer price ($/MW)</w:t>
                </w:r>
              </w:p>
            </w:tc>
            <w:tc>
              <w:tcPr>
                <w:tcW w:w="542" w:type="pct"/>
                <w:tcBorders>
                  <w:bottom w:val="nil"/>
                </w:tcBorders>
                <w:vAlign w:val="center"/>
              </w:tcPr>
              <w:p w:rsidR="000E3FA1" w:rsidRPr="00010B1A" w:rsidRDefault="000E3FA1" w:rsidP="00EC2107">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0E3FA1" w:rsidRPr="00010B1A" w:rsidRDefault="000E3FA1" w:rsidP="00EC2107">
                <w:pPr>
                  <w:jc w:val="left"/>
                  <w:rPr>
                    <w:sz w:val="18"/>
                  </w:rPr>
                </w:pPr>
                <w:r>
                  <w:rPr>
                    <w:sz w:val="18"/>
                  </w:rPr>
                  <w:t>Contribution</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20:25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20:30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20:35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20:40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20:45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247FC3"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20:50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20:55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247FC3"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247FC3"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21:50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21:55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22:50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22:55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23:05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23:15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23:25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lastRenderedPageBreak/>
                  <w:t>23:35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23:45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23:50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23:55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00:50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TORRA1</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Energy</w:t>
                </w: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$45.99</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TORRA3</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Energy</w:t>
                </w: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$45.99</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-$15.18</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TORRA4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Energy</w:t>
                </w: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$45.99</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-$15.18</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Energy</w:t>
                </w: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$45.99</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$45.99</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ENOF,TORRA1,2,TORRB4,2</w:t>
                </w:r>
              </w:p>
            </w:tc>
            <w:tc>
              <w:tcPr>
                <w:tcW w:w="652" w:type="pct"/>
                <w:tcBorders>
                  <w:bottom w:val="nil"/>
                </w:tcBorders>
                <w:shd w:val="clear" w:color="auto" w:fill="auto"/>
                <w:vAlign w:val="bottom"/>
              </w:tcPr>
              <w:p w:rsidR="000E3FA1" w:rsidRDefault="000E3FA1">
                <w:pPr>
                  <w:rPr>
                    <w:rFonts w:cs="Arial"/>
                    <w:sz w:val="16"/>
                    <w:szCs w:val="16"/>
                  </w:rPr>
                </w:pP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ENOF,TORRA3,2,TORRB4,2</w:t>
                </w:r>
              </w:p>
            </w:tc>
            <w:tc>
              <w:tcPr>
                <w:tcW w:w="652" w:type="pct"/>
                <w:tcBorders>
                  <w:bottom w:val="nil"/>
                </w:tcBorders>
                <w:shd w:val="clear" w:color="auto" w:fill="auto"/>
                <w:vAlign w:val="bottom"/>
              </w:tcPr>
              <w:p w:rsidR="000E3FA1" w:rsidRDefault="000E3FA1">
                <w:pPr>
                  <w:rPr>
                    <w:rFonts w:cs="Arial"/>
                    <w:sz w:val="16"/>
                    <w:szCs w:val="16"/>
                  </w:rPr>
                </w:pP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rPr>
                    <w:rFonts w:cs="Arial"/>
                    <w:sz w:val="16"/>
                    <w:szCs w:val="16"/>
                  </w:rPr>
                </w:pPr>
              </w:p>
            </w:tc>
            <w:tc>
              <w:tcPr>
                <w:tcW w:w="583" w:type="pct"/>
                <w:tcBorders>
                  <w:bottom w:val="nil"/>
                </w:tcBorders>
                <w:shd w:val="clear" w:color="auto" w:fill="auto"/>
                <w:vAlign w:val="bottom"/>
              </w:tcPr>
              <w:p w:rsidR="000E3FA1" w:rsidRDefault="000E3FA1">
                <w:pPr>
                  <w:rPr>
                    <w:rFonts w:cs="Arial"/>
                    <w:sz w:val="16"/>
                    <w:szCs w:val="16"/>
                  </w:rPr>
                </w:pPr>
              </w:p>
            </w:tc>
            <w:tc>
              <w:tcPr>
                <w:tcW w:w="801" w:type="pct"/>
                <w:tcBorders>
                  <w:bottom w:val="nil"/>
                </w:tcBorders>
                <w:shd w:val="clear" w:color="auto" w:fill="auto"/>
                <w:vAlign w:val="bottom"/>
              </w:tcPr>
              <w:p w:rsidR="000E3FA1" w:rsidRDefault="000E3FA1">
                <w:pPr>
                  <w:rPr>
                    <w:rFonts w:cs="Arial"/>
                    <w:sz w:val="16"/>
                    <w:szCs w:val="16"/>
                  </w:rPr>
                </w:pP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ENOF,TORRA4,2,TORRB4,2</w:t>
                </w:r>
              </w:p>
            </w:tc>
            <w:tc>
              <w:tcPr>
                <w:tcW w:w="652" w:type="pct"/>
                <w:tcBorders>
                  <w:bottom w:val="nil"/>
                </w:tcBorders>
                <w:shd w:val="clear" w:color="auto" w:fill="auto"/>
                <w:vAlign w:val="bottom"/>
              </w:tcPr>
              <w:p w:rsidR="000E3FA1" w:rsidRDefault="000E3FA1">
                <w:pPr>
                  <w:rPr>
                    <w:rFonts w:cs="Arial"/>
                    <w:sz w:val="16"/>
                    <w:szCs w:val="16"/>
                  </w:rPr>
                </w:pPr>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-18.33</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01:50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01:55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02:00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lastRenderedPageBreak/>
                  <w:t>02:10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02:20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02:30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02:40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02:50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02:55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03:40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03:45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03:50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03:55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04:00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04:05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04:10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04:15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04:20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04:25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04:30</w:t>
                </w:r>
              </w:p>
            </w:tc>
            <w:tc>
              <w:tcPr>
                <w:tcW w:w="583"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E3FA1" w:rsidRDefault="000E3FA1">
                <w:pPr>
                  <w:jc w:val="right"/>
                  <w:rPr>
                    <w:rFonts w:cs="Arial"/>
                    <w:sz w:val="16"/>
                    <w:szCs w:val="16"/>
                  </w:rPr>
                </w:pPr>
                <w:r>
                  <w:rPr>
                    <w:rFonts w:cs="Arial"/>
                    <w:sz w:val="16"/>
                    <w:szCs w:val="16"/>
                  </w:rPr>
                  <w:t>-$13 100.00</w:t>
                </w:r>
              </w:p>
            </w:tc>
          </w:tr>
          <w:tr w:rsidR="00EC2107" w:rsidRPr="00796046" w:rsidTr="00EC2107">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04:35</w:t>
                </w:r>
              </w:p>
            </w:tc>
            <w:tc>
              <w:tcPr>
                <w:tcW w:w="583"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801" w:type="pct"/>
                <w:tcBorders>
                  <w:bottom w:val="nil"/>
                </w:tcBorders>
                <w:shd w:val="clear" w:color="auto" w:fill="auto"/>
                <w:vAlign w:val="bottom"/>
              </w:tcPr>
              <w:p w:rsidR="000E3FA1" w:rsidRDefault="000E3FA1">
                <w:pPr>
                  <w:rPr>
                    <w:rFonts w:cs="Arial"/>
                    <w:sz w:val="16"/>
                    <w:szCs w:val="16"/>
                  </w:rPr>
                </w:pPr>
                <w:r>
                  <w:rPr>
                    <w:rFonts w:cs="Arial"/>
                    <w:sz w:val="16"/>
                    <w:szCs w:val="16"/>
                  </w:rPr>
                  <w:t>AGL (SA)</w:t>
                </w:r>
              </w:p>
            </w:tc>
            <w:tc>
              <w:tcPr>
                <w:tcW w:w="717" w:type="pct"/>
                <w:tcBorders>
                  <w:bottom w:val="nil"/>
                </w:tcBorders>
                <w:shd w:val="clear" w:color="auto" w:fill="auto"/>
                <w:vAlign w:val="bottom"/>
              </w:tcPr>
              <w:p w:rsidR="000E3FA1" w:rsidRDefault="000E3FA1">
                <w:pPr>
                  <w:rPr>
                    <w:rFonts w:cs="Arial"/>
                    <w:sz w:val="16"/>
                    <w:szCs w:val="16"/>
                  </w:rPr>
                </w:pPr>
                <w:r>
                  <w:rPr>
                    <w:rFonts w:cs="Arial"/>
                    <w:sz w:val="16"/>
                    <w:szCs w:val="16"/>
                  </w:rPr>
                  <w:t>TORRB4</w:t>
                </w:r>
              </w:p>
            </w:tc>
            <w:tc>
              <w:tcPr>
                <w:tcW w:w="652" w:type="pct"/>
                <w:tcBorders>
                  <w:bottom w:val="nil"/>
                </w:tcBorders>
                <w:shd w:val="clear" w:color="auto" w:fill="auto"/>
                <w:vAlign w:val="bottom"/>
              </w:tcPr>
              <w:p w:rsidR="000E3FA1" w:rsidRDefault="000E3FA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c>
              <w:tcPr>
                <w:tcW w:w="54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E3FA1" w:rsidRDefault="000E3FA1">
                <w:pPr>
                  <w:jc w:val="right"/>
                  <w:rPr>
                    <w:rFonts w:cs="Arial"/>
                    <w:sz w:val="16"/>
                    <w:szCs w:val="16"/>
                  </w:rPr>
                </w:pPr>
                <w:r>
                  <w:rPr>
                    <w:rFonts w:cs="Arial"/>
                    <w:sz w:val="16"/>
                    <w:szCs w:val="16"/>
                  </w:rPr>
                  <w:t>-$13 100.00</w:t>
                </w:r>
              </w:p>
            </w:tc>
          </w:tr>
        </w:tbl>
        <w:p w:rsidR="00B27E58" w:rsidRDefault="00B27E58" w:rsidP="00B27E58">
          <w:pPr>
            <w:pStyle w:val="Tabletitle"/>
          </w:pPr>
          <w:r>
            <w:t>Lower regulation 25 October</w:t>
          </w:r>
        </w:p>
        <w:tbl>
          <w:tblPr>
            <w:tblStyle w:val="AERTable-Text"/>
            <w:tblW w:w="5117" w:type="pct"/>
            <w:tblLayout w:type="fixed"/>
            <w:tblLook w:val="04A0" w:firstRow="1" w:lastRow="0" w:firstColumn="1" w:lastColumn="0" w:noHBand="0" w:noVBand="1"/>
          </w:tblPr>
          <w:tblGrid>
            <w:gridCol w:w="627"/>
            <w:gridCol w:w="1038"/>
            <w:gridCol w:w="1425"/>
            <w:gridCol w:w="1276"/>
            <w:gridCol w:w="1160"/>
            <w:gridCol w:w="1050"/>
            <w:gridCol w:w="964"/>
            <w:gridCol w:w="1356"/>
          </w:tblGrid>
          <w:tr w:rsidR="00B27E58" w:rsidRPr="00DD0001" w:rsidTr="000F720B">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B27E58" w:rsidRPr="00010B1A" w:rsidRDefault="00B27E58" w:rsidP="000F720B">
                <w:pPr>
                  <w:jc w:val="left"/>
                  <w:rPr>
                    <w:sz w:val="18"/>
                  </w:rPr>
                </w:pPr>
                <w:r>
                  <w:rPr>
                    <w:sz w:val="18"/>
                  </w:rPr>
                  <w:t>DI</w:t>
                </w:r>
              </w:p>
            </w:tc>
            <w:tc>
              <w:tcPr>
                <w:tcW w:w="583" w:type="pct"/>
                <w:tcBorders>
                  <w:bottom w:val="nil"/>
                </w:tcBorders>
                <w:vAlign w:val="center"/>
              </w:tcPr>
              <w:p w:rsidR="00B27E58" w:rsidRPr="00010B1A" w:rsidRDefault="00B27E58" w:rsidP="00475ED4">
                <w:pPr>
                  <w:spacing w:before="0" w:after="0"/>
                  <w:jc w:val="left"/>
                  <w:rPr>
                    <w:sz w:val="18"/>
                  </w:rPr>
                </w:pPr>
                <w:r w:rsidRPr="00010B1A">
                  <w:rPr>
                    <w:sz w:val="18"/>
                  </w:rPr>
                  <w:t>Dispatch Price</w:t>
                </w:r>
                <w:r>
                  <w:rPr>
                    <w:sz w:val="18"/>
                  </w:rPr>
                  <w:t xml:space="preserve"> ($/MW)</w:t>
                </w:r>
              </w:p>
            </w:tc>
            <w:tc>
              <w:tcPr>
                <w:tcW w:w="801" w:type="pct"/>
                <w:tcBorders>
                  <w:bottom w:val="nil"/>
                </w:tcBorders>
                <w:vAlign w:val="center"/>
              </w:tcPr>
              <w:p w:rsidR="00B27E58" w:rsidRPr="00010B1A" w:rsidRDefault="00B27E58" w:rsidP="000F720B">
                <w:pPr>
                  <w:spacing w:before="0" w:after="0"/>
                  <w:jc w:val="left"/>
                  <w:rPr>
                    <w:sz w:val="18"/>
                  </w:rPr>
                </w:pPr>
                <w:r w:rsidRPr="00010B1A">
                  <w:rPr>
                    <w:sz w:val="18"/>
                  </w:rPr>
                  <w:t>Participant</w:t>
                </w:r>
              </w:p>
            </w:tc>
            <w:tc>
              <w:tcPr>
                <w:tcW w:w="717" w:type="pct"/>
                <w:tcBorders>
                  <w:bottom w:val="nil"/>
                </w:tcBorders>
                <w:vAlign w:val="center"/>
              </w:tcPr>
              <w:p w:rsidR="00B27E58" w:rsidRPr="00010B1A" w:rsidRDefault="00B27E58" w:rsidP="000F720B">
                <w:pPr>
                  <w:spacing w:before="0" w:after="0"/>
                  <w:jc w:val="left"/>
                  <w:rPr>
                    <w:sz w:val="18"/>
                  </w:rPr>
                </w:pPr>
                <w:r w:rsidRPr="00010B1A">
                  <w:rPr>
                    <w:sz w:val="18"/>
                  </w:rPr>
                  <w:t>Unit</w:t>
                </w:r>
              </w:p>
            </w:tc>
            <w:tc>
              <w:tcPr>
                <w:tcW w:w="652" w:type="pct"/>
                <w:tcBorders>
                  <w:bottom w:val="nil"/>
                </w:tcBorders>
                <w:vAlign w:val="center"/>
              </w:tcPr>
              <w:p w:rsidR="00B27E58" w:rsidRPr="00010B1A" w:rsidRDefault="00B27E58" w:rsidP="000F720B">
                <w:pPr>
                  <w:spacing w:before="0" w:after="0"/>
                  <w:jc w:val="left"/>
                  <w:rPr>
                    <w:sz w:val="18"/>
                  </w:rPr>
                </w:pPr>
                <w:r w:rsidRPr="00010B1A">
                  <w:rPr>
                    <w:sz w:val="18"/>
                  </w:rPr>
                  <w:t>Service</w:t>
                </w:r>
              </w:p>
            </w:tc>
            <w:tc>
              <w:tcPr>
                <w:tcW w:w="590" w:type="pct"/>
                <w:tcBorders>
                  <w:bottom w:val="nil"/>
                </w:tcBorders>
                <w:vAlign w:val="center"/>
              </w:tcPr>
              <w:p w:rsidR="00B27E58" w:rsidRPr="00010B1A" w:rsidRDefault="00B27E58" w:rsidP="00475ED4">
                <w:pPr>
                  <w:spacing w:before="0" w:after="0"/>
                  <w:jc w:val="left"/>
                  <w:rPr>
                    <w:sz w:val="18"/>
                  </w:rPr>
                </w:pPr>
                <w:r>
                  <w:rPr>
                    <w:sz w:val="18"/>
                  </w:rPr>
                  <w:t>Offer price ($/MW)</w:t>
                </w:r>
              </w:p>
            </w:tc>
            <w:tc>
              <w:tcPr>
                <w:tcW w:w="542" w:type="pct"/>
                <w:tcBorders>
                  <w:bottom w:val="nil"/>
                </w:tcBorders>
                <w:vAlign w:val="center"/>
              </w:tcPr>
              <w:p w:rsidR="00B27E58" w:rsidRPr="00010B1A" w:rsidRDefault="00B27E58" w:rsidP="000F720B">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B27E58" w:rsidRPr="00010B1A" w:rsidRDefault="00B27E58" w:rsidP="000F720B">
                <w:pPr>
                  <w:jc w:val="left"/>
                  <w:rPr>
                    <w:sz w:val="18"/>
                  </w:rPr>
                </w:pPr>
                <w:r>
                  <w:rPr>
                    <w:sz w:val="18"/>
                  </w:rPr>
                  <w:t>Contribution</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13:10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13:15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13:20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13:25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lastRenderedPageBreak/>
                  <w:t>13:30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247FC3"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13:35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13:40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13:45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13:50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247FC3"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13:55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14:00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14:05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14:10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14:15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14:20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14:25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14:30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442.33</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SNOWTWN1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14:35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433.70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ENOF,SNOWNTH1,1,SNOWSTH1,1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144.00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SNOWSTH1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14:40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14:45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442.33</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SNOWTWN1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-$43.49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-$43.49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14:50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433.70</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ENOF,SNOWNTH1,1,SNOWSTH1,1</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144.00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SNOWSTH1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-$34.86</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-$34.86</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14:55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15:00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15:05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15:10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15:15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15:20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$12442.33</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SNOWTWN1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15:25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15:30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442.33</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SNOWTWN1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15:35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433.70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ENOF,SNOWNTH1,1,SNOWSTH1,1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-144.00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SNOWSTH1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15:40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15:45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$12</w:t>
                </w:r>
                <w:r w:rsidR="00D60A95">
                  <w:rPr>
                    <w:rFonts w:cs="Arial"/>
                    <w:sz w:val="16"/>
                    <w:szCs w:val="16"/>
                  </w:rPr>
                  <w:t xml:space="preserve"> </w:t>
                </w:r>
                <w:r>
                  <w:rPr>
                    <w:rFonts w:cs="Arial"/>
                    <w:sz w:val="16"/>
                    <w:szCs w:val="16"/>
                  </w:rPr>
                  <w:t>433.70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$12 399.79</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ENOF,SNOWNTH1,1,SNOWSTH1,1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-144.00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SNOWSTH1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-$34.86</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15:50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15:55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16:00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16:05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D60A95">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16:10</w:t>
                </w:r>
              </w:p>
            </w:tc>
            <w:tc>
              <w:tcPr>
                <w:tcW w:w="583"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r w:rsidR="000F720B" w:rsidRPr="00796046" w:rsidTr="00D60A95">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16:15</w:t>
                </w:r>
              </w:p>
            </w:tc>
            <w:tc>
              <w:tcPr>
                <w:tcW w:w="583"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D60A95">
                <w:pPr>
                  <w:jc w:val="right"/>
                  <w:rPr>
                    <w:rFonts w:cs="Arial"/>
                    <w:sz w:val="16"/>
                    <w:szCs w:val="16"/>
                  </w:rPr>
                </w:pPr>
                <w:r>
                  <w:rPr>
                    <w:rFonts w:cs="Arial"/>
                    <w:sz w:val="16"/>
                    <w:szCs w:val="16"/>
                  </w:rPr>
                  <w:t>$13 800.00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D60A95">
                  <w:rPr>
                    <w:rFonts w:cs="Arial"/>
                    <w:sz w:val="16"/>
                    <w:szCs w:val="16"/>
                  </w:rPr>
                  <w:t>$13 800.00</w:t>
                </w:r>
              </w:p>
            </w:tc>
          </w:tr>
        </w:tbl>
        <w:p w:rsidR="000F720B" w:rsidRDefault="000F720B" w:rsidP="00A66985">
          <w:pPr>
            <w:pStyle w:val="Tabletitle"/>
            <w:keepNext/>
          </w:pPr>
          <w:r>
            <w:t>Raise regulation 25 October</w:t>
          </w:r>
        </w:p>
        <w:tbl>
          <w:tblPr>
            <w:tblStyle w:val="AERTable-Text"/>
            <w:tblW w:w="5117" w:type="pct"/>
            <w:tblLayout w:type="fixed"/>
            <w:tblLook w:val="04A0" w:firstRow="1" w:lastRow="0" w:firstColumn="1" w:lastColumn="0" w:noHBand="0" w:noVBand="1"/>
          </w:tblPr>
          <w:tblGrid>
            <w:gridCol w:w="627"/>
            <w:gridCol w:w="1038"/>
            <w:gridCol w:w="1425"/>
            <w:gridCol w:w="1276"/>
            <w:gridCol w:w="1160"/>
            <w:gridCol w:w="1050"/>
            <w:gridCol w:w="964"/>
            <w:gridCol w:w="1356"/>
          </w:tblGrid>
          <w:tr w:rsidR="000F720B" w:rsidRPr="00DD0001" w:rsidTr="000F720B">
            <w:trPr>
              <w:cnfStyle w:val="100000000000" w:firstRow="1" w:lastRow="0" w:firstColumn="0" w:lastColumn="0" w:oddVBand="0" w:evenVBand="0" w:oddHBand="0" w:evenHBand="0" w:firstRowFirstColumn="0" w:firstRowLastColumn="0" w:lastRowFirstColumn="0" w:lastRowLastColumn="0"/>
              <w:trHeight w:hRule="exact" w:val="737"/>
              <w:tblHeader/>
            </w:trPr>
            <w:tc>
              <w:tcPr>
                <w:tcW w:w="352" w:type="pct"/>
                <w:tcBorders>
                  <w:bottom w:val="nil"/>
                </w:tcBorders>
                <w:vAlign w:val="center"/>
              </w:tcPr>
              <w:p w:rsidR="000F720B" w:rsidRPr="00010B1A" w:rsidRDefault="000F720B" w:rsidP="000F720B">
                <w:pPr>
                  <w:jc w:val="left"/>
                  <w:rPr>
                    <w:sz w:val="18"/>
                  </w:rPr>
                </w:pPr>
                <w:r>
                  <w:rPr>
                    <w:sz w:val="18"/>
                  </w:rPr>
                  <w:t>DI</w:t>
                </w:r>
              </w:p>
            </w:tc>
            <w:tc>
              <w:tcPr>
                <w:tcW w:w="583" w:type="pct"/>
                <w:tcBorders>
                  <w:bottom w:val="nil"/>
                </w:tcBorders>
                <w:vAlign w:val="center"/>
              </w:tcPr>
              <w:p w:rsidR="000F720B" w:rsidRPr="00010B1A" w:rsidRDefault="000F720B" w:rsidP="00475ED4">
                <w:pPr>
                  <w:spacing w:before="0" w:after="0"/>
                  <w:jc w:val="left"/>
                  <w:rPr>
                    <w:sz w:val="18"/>
                  </w:rPr>
                </w:pPr>
                <w:r w:rsidRPr="00010B1A">
                  <w:rPr>
                    <w:sz w:val="18"/>
                  </w:rPr>
                  <w:t>Dispatch Price</w:t>
                </w:r>
                <w:r>
                  <w:rPr>
                    <w:sz w:val="18"/>
                  </w:rPr>
                  <w:t xml:space="preserve"> ($/MW)</w:t>
                </w:r>
              </w:p>
            </w:tc>
            <w:tc>
              <w:tcPr>
                <w:tcW w:w="801" w:type="pct"/>
                <w:tcBorders>
                  <w:bottom w:val="nil"/>
                </w:tcBorders>
                <w:vAlign w:val="center"/>
              </w:tcPr>
              <w:p w:rsidR="000F720B" w:rsidRPr="00010B1A" w:rsidRDefault="000F720B" w:rsidP="000F720B">
                <w:pPr>
                  <w:spacing w:before="0" w:after="0"/>
                  <w:jc w:val="left"/>
                  <w:rPr>
                    <w:sz w:val="18"/>
                  </w:rPr>
                </w:pPr>
                <w:r w:rsidRPr="00010B1A">
                  <w:rPr>
                    <w:sz w:val="18"/>
                  </w:rPr>
                  <w:t>Participant</w:t>
                </w:r>
              </w:p>
            </w:tc>
            <w:tc>
              <w:tcPr>
                <w:tcW w:w="717" w:type="pct"/>
                <w:tcBorders>
                  <w:bottom w:val="nil"/>
                </w:tcBorders>
                <w:vAlign w:val="center"/>
              </w:tcPr>
              <w:p w:rsidR="000F720B" w:rsidRPr="00010B1A" w:rsidRDefault="000F720B" w:rsidP="000F720B">
                <w:pPr>
                  <w:spacing w:before="0" w:after="0"/>
                  <w:jc w:val="left"/>
                  <w:rPr>
                    <w:sz w:val="18"/>
                  </w:rPr>
                </w:pPr>
                <w:r w:rsidRPr="00010B1A">
                  <w:rPr>
                    <w:sz w:val="18"/>
                  </w:rPr>
                  <w:t>Unit</w:t>
                </w:r>
              </w:p>
            </w:tc>
            <w:tc>
              <w:tcPr>
                <w:tcW w:w="652" w:type="pct"/>
                <w:tcBorders>
                  <w:bottom w:val="nil"/>
                </w:tcBorders>
                <w:vAlign w:val="center"/>
              </w:tcPr>
              <w:p w:rsidR="000F720B" w:rsidRPr="00010B1A" w:rsidRDefault="000F720B" w:rsidP="000F720B">
                <w:pPr>
                  <w:spacing w:before="0" w:after="0"/>
                  <w:jc w:val="left"/>
                  <w:rPr>
                    <w:sz w:val="18"/>
                  </w:rPr>
                </w:pPr>
                <w:r w:rsidRPr="00010B1A">
                  <w:rPr>
                    <w:sz w:val="18"/>
                  </w:rPr>
                  <w:t>Service</w:t>
                </w:r>
              </w:p>
            </w:tc>
            <w:tc>
              <w:tcPr>
                <w:tcW w:w="590" w:type="pct"/>
                <w:tcBorders>
                  <w:bottom w:val="nil"/>
                </w:tcBorders>
                <w:vAlign w:val="center"/>
              </w:tcPr>
              <w:p w:rsidR="000F720B" w:rsidRPr="00010B1A" w:rsidRDefault="000F720B" w:rsidP="00475ED4">
                <w:pPr>
                  <w:spacing w:before="0" w:after="0"/>
                  <w:jc w:val="left"/>
                  <w:rPr>
                    <w:sz w:val="18"/>
                  </w:rPr>
                </w:pPr>
                <w:r>
                  <w:rPr>
                    <w:sz w:val="18"/>
                  </w:rPr>
                  <w:t>Offer price ($/MW)</w:t>
                </w:r>
              </w:p>
            </w:tc>
            <w:tc>
              <w:tcPr>
                <w:tcW w:w="542" w:type="pct"/>
                <w:tcBorders>
                  <w:bottom w:val="nil"/>
                </w:tcBorders>
                <w:vAlign w:val="center"/>
              </w:tcPr>
              <w:p w:rsidR="000F720B" w:rsidRPr="00010B1A" w:rsidRDefault="000F720B" w:rsidP="000F720B">
                <w:pPr>
                  <w:jc w:val="left"/>
                  <w:rPr>
                    <w:sz w:val="18"/>
                  </w:rPr>
                </w:pPr>
                <w:r w:rsidRPr="00010B1A">
                  <w:rPr>
                    <w:sz w:val="18"/>
                  </w:rPr>
                  <w:t>Margi</w:t>
                </w:r>
                <w:r>
                  <w:rPr>
                    <w:sz w:val="18"/>
                  </w:rPr>
                  <w:t>nal</w:t>
                </w:r>
                <w:r w:rsidRPr="00010B1A">
                  <w:rPr>
                    <w:sz w:val="18"/>
                  </w:rPr>
                  <w:t xml:space="preserve"> change</w:t>
                </w:r>
              </w:p>
            </w:tc>
            <w:tc>
              <w:tcPr>
                <w:tcW w:w="762" w:type="pct"/>
                <w:tcBorders>
                  <w:bottom w:val="nil"/>
                </w:tcBorders>
                <w:vAlign w:val="center"/>
              </w:tcPr>
              <w:p w:rsidR="000F720B" w:rsidRPr="00010B1A" w:rsidRDefault="000F720B" w:rsidP="000F720B">
                <w:pPr>
                  <w:jc w:val="left"/>
                  <w:rPr>
                    <w:sz w:val="18"/>
                  </w:rPr>
                </w:pPr>
                <w:r>
                  <w:rPr>
                    <w:sz w:val="18"/>
                  </w:rPr>
                  <w:t>Contribution</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13:10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13:15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13:20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13:25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13:30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247FC3"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13:35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13:40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13:45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247FC3"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13:50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247FC3"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13:55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lastRenderedPageBreak/>
                  <w:t>14:00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14:05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14:10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14:15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14:20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14:25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14:30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14:35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14:40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606422">
                  <w:rPr>
                    <w:rFonts w:cs="Arial"/>
                    <w:sz w:val="16"/>
                    <w:szCs w:val="16"/>
                  </w:rPr>
                  <w:t xml:space="preserve"> </w:t>
                </w:r>
                <w:r>
                  <w:rPr>
                    <w:rFonts w:cs="Arial"/>
                    <w:sz w:val="16"/>
                    <w:szCs w:val="16"/>
                  </w:rPr>
                  <w:t>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8C2CF2">
                  <w:rPr>
                    <w:rFonts w:cs="Arial"/>
                    <w:sz w:val="16"/>
                    <w:szCs w:val="16"/>
                  </w:rPr>
                  <w:t> </w:t>
                </w:r>
                <w:r>
                  <w:rPr>
                    <w:rFonts w:cs="Arial"/>
                    <w:sz w:val="16"/>
                    <w:szCs w:val="16"/>
                  </w:rPr>
                  <w:t>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606422">
                  <w:rPr>
                    <w:rFonts w:cs="Arial"/>
                    <w:sz w:val="16"/>
                    <w:szCs w:val="16"/>
                  </w:rPr>
                  <w:t xml:space="preserve"> </w:t>
                </w:r>
                <w:r>
                  <w:rPr>
                    <w:rFonts w:cs="Arial"/>
                    <w:sz w:val="16"/>
                    <w:szCs w:val="16"/>
                  </w:rPr>
                  <w:t>800.00</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14:45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14:50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14:55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$12</w:t>
                </w:r>
                <w:r w:rsidR="00107D12">
                  <w:rPr>
                    <w:rFonts w:cs="Arial"/>
                    <w:sz w:val="16"/>
                    <w:szCs w:val="16"/>
                  </w:rPr>
                  <w:t xml:space="preserve"> </w:t>
                </w:r>
                <w:r>
                  <w:rPr>
                    <w:rFonts w:cs="Arial"/>
                    <w:sz w:val="16"/>
                    <w:szCs w:val="16"/>
                  </w:rPr>
                  <w:t>427.43</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ER01</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-0.30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-$10.19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ER02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-0.30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-$10.19</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ER04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-0.30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-$10.19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LYA3</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$16.20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$1.94</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Energy</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LYA4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$16.20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0.12</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$1.94</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ENOF,ER01,4,ER03,4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15.06</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ENOF,ER02,4,ER03,4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15.06</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ENOF,ER03,4,ER04,4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15.06</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ENOF,LYA1,4,LYA3,4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6.21</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ENOF,LYA1,4,LYA4,4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6.21</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ENOF,LYA2,4,LYA3,4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7.45</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ENOF,LYA2,4,LYA4,4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7.45</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rPr>
                    <w:rFonts w:cs="Arial"/>
                    <w:sz w:val="16"/>
                    <w:szCs w:val="16"/>
                  </w:rPr>
                </w:pPr>
              </w:p>
            </w:tc>
            <w:tc>
              <w:tcPr>
                <w:tcW w:w="583" w:type="pct"/>
                <w:tcBorders>
                  <w:bottom w:val="nil"/>
                </w:tcBorders>
                <w:shd w:val="clear" w:color="auto" w:fill="D4E2FF" w:themeFill="accent3" w:themeFillTint="1A"/>
                <w:vAlign w:val="bottom"/>
              </w:tcPr>
              <w:p w:rsidR="000F720B" w:rsidRDefault="000F720B">
                <w:pPr>
                  <w:rPr>
                    <w:rFonts w:cs="Arial"/>
                    <w:sz w:val="16"/>
                    <w:szCs w:val="16"/>
                  </w:rPr>
                </w:pP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-$0.95</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15:00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15:05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15:10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w:t>
                </w:r>
                <w:r w:rsidR="00107D12">
                  <w:rPr>
                    <w:rFonts w:cs="Arial"/>
                    <w:sz w:val="16"/>
                    <w:szCs w:val="16"/>
                  </w:rPr>
                  <w:t xml:space="preserve"> </w:t>
                </w:r>
                <w:r>
                  <w:rPr>
                    <w:rFonts w:cs="Arial"/>
                    <w:sz w:val="16"/>
                    <w:szCs w:val="16"/>
                  </w:rPr>
                  <w:t>427.09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ER01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-0.17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-$5.78</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ER02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-0.17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-$5.78</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ER03</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-0.17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-$5.78</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Origin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ER04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$33.98</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-0.17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-$5.78</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LYA1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$16.20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-$1.13</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LYA3</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$16.20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-$1.13</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Energy</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LYA4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$16.20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-0.07</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-$1.13</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Lower 6 sec</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$0.04</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1.21</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$0.05</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GDF Suez</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LOYYB1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Lower 6 sec</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$0.02</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-1.21</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-$0.02</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ENOF,LYA1,4,LYA2,4</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-3.91</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ENOF,LYA2,4,LYA3,4</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-3.91</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ENOF,LYA2,4,LYA4,4</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-3.91</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15:15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15:20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15:25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15:30</w:t>
                </w:r>
              </w:p>
            </w:tc>
            <w:tc>
              <w:tcPr>
                <w:tcW w:w="583"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0F720B">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15:35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15:40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$12</w:t>
                </w:r>
                <w:r w:rsidR="00107D12">
                  <w:rPr>
                    <w:rFonts w:cs="Arial"/>
                    <w:sz w:val="16"/>
                    <w:szCs w:val="16"/>
                  </w:rPr>
                  <w:t xml:space="preserve"> </w:t>
                </w:r>
                <w:r>
                  <w:rPr>
                    <w:rFonts w:cs="Arial"/>
                    <w:sz w:val="16"/>
                    <w:szCs w:val="16"/>
                  </w:rPr>
                  <w:t>442.33</w:t>
                </w: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ENOF,NPS1,2,NPS2,2</w:t>
                </w:r>
              </w:p>
            </w:tc>
            <w:tc>
              <w:tcPr>
                <w:tcW w:w="652" w:type="pct"/>
                <w:tcBorders>
                  <w:bottom w:val="nil"/>
                </w:tcBorders>
                <w:shd w:val="clear" w:color="auto" w:fill="auto"/>
                <w:vAlign w:val="bottom"/>
              </w:tcPr>
              <w:p w:rsidR="000F720B" w:rsidRDefault="000F720B">
                <w:pPr>
                  <w:rPr>
                    <w:rFonts w:cs="Arial"/>
                    <w:sz w:val="16"/>
                    <w:szCs w:val="16"/>
                  </w:rPr>
                </w:pP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40.00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$0.00</w:t>
                </w:r>
              </w:p>
            </w:tc>
          </w:tr>
          <w:tr w:rsidR="000F720B" w:rsidRPr="00796046" w:rsidTr="000F720B">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$0.95</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rPr>
                    <w:rFonts w:cs="Arial"/>
                    <w:sz w:val="16"/>
                    <w:szCs w:val="16"/>
                  </w:rPr>
                </w:pPr>
              </w:p>
            </w:tc>
            <w:tc>
              <w:tcPr>
                <w:tcW w:w="583" w:type="pct"/>
                <w:tcBorders>
                  <w:bottom w:val="nil"/>
                </w:tcBorders>
                <w:shd w:val="clear" w:color="auto" w:fill="auto"/>
                <w:vAlign w:val="bottom"/>
              </w:tcPr>
              <w:p w:rsidR="000F720B" w:rsidRDefault="000F720B">
                <w:pPr>
                  <w:rPr>
                    <w:rFonts w:cs="Arial"/>
                    <w:sz w:val="16"/>
                    <w:szCs w:val="16"/>
                  </w:rPr>
                </w:pPr>
              </w:p>
            </w:tc>
            <w:tc>
              <w:tcPr>
                <w:tcW w:w="801" w:type="pct"/>
                <w:tcBorders>
                  <w:bottom w:val="nil"/>
                </w:tcBorders>
                <w:shd w:val="clear" w:color="auto" w:fill="auto"/>
                <w:vAlign w:val="bottom"/>
              </w:tcPr>
              <w:p w:rsidR="000F720B" w:rsidRDefault="000F720B">
                <w:pPr>
                  <w:rPr>
                    <w:rFonts w:cs="Arial"/>
                    <w:sz w:val="16"/>
                    <w:szCs w:val="16"/>
                  </w:rPr>
                </w:pP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SNOWTWN1</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Energy</w:t>
                </w:r>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-$43.49</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15:45</w:t>
                </w:r>
              </w:p>
            </w:tc>
            <w:tc>
              <w:tcPr>
                <w:tcW w:w="583"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proofErr w:type="spellStart"/>
                <w:r>
                  <w:rPr>
                    <w:rFonts w:cs="Arial"/>
                    <w:sz w:val="16"/>
                    <w:szCs w:val="16"/>
                  </w:rPr>
                  <w:t>Alinta</w:t>
                </w:r>
                <w:proofErr w:type="spellEnd"/>
                <w:r>
                  <w:rPr>
                    <w:rFonts w:cs="Arial"/>
                    <w:sz w:val="16"/>
                    <w:szCs w:val="16"/>
                  </w:rPr>
                  <w:t xml:space="preserve"> Power</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NPS2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606422">
                <w:pPr>
                  <w:jc w:val="right"/>
                  <w:rPr>
                    <w:rFonts w:cs="Arial"/>
                    <w:sz w:val="16"/>
                    <w:szCs w:val="16"/>
                  </w:rPr>
                </w:pPr>
                <w:r>
                  <w:rPr>
                    <w:rFonts w:cs="Arial"/>
                    <w:sz w:val="16"/>
                    <w:szCs w:val="16"/>
                  </w:rPr>
                  <w:t>$12 399.79</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w:t>
                </w:r>
                <w:r w:rsidR="00606422">
                  <w:rPr>
                    <w:rFonts w:cs="Arial"/>
                    <w:sz w:val="16"/>
                    <w:szCs w:val="16"/>
                  </w:rPr>
                  <w:t>$12 399.79</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15:50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15:55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TORRB2</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16:00</w:t>
                </w:r>
              </w:p>
            </w:tc>
            <w:tc>
              <w:tcPr>
                <w:tcW w:w="583"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16:05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r w:rsidR="000F720B" w:rsidRPr="00796046" w:rsidTr="00107D12">
            <w:trPr>
              <w:cnfStyle w:val="000000010000" w:firstRow="0" w:lastRow="0" w:firstColumn="0" w:lastColumn="0" w:oddVBand="0" w:evenVBand="0" w:oddHBand="0" w:evenHBand="1" w:firstRowFirstColumn="0" w:firstRowLastColumn="0" w:lastRowFirstColumn="0" w:lastRowLastColumn="0"/>
              <w:trHeight w:hRule="exact" w:val="340"/>
            </w:trPr>
            <w:tc>
              <w:tcPr>
                <w:tcW w:w="352" w:type="pct"/>
                <w:tcBorders>
                  <w:top w:val="nil"/>
                  <w:bottom w:val="nil"/>
                </w:tcBorders>
                <w:shd w:val="clear" w:color="auto" w:fill="auto"/>
                <w:vAlign w:val="bottom"/>
              </w:tcPr>
              <w:p w:rsidR="000F720B" w:rsidRDefault="000F720B">
                <w:pPr>
                  <w:jc w:val="right"/>
                  <w:rPr>
                    <w:rFonts w:cs="Arial"/>
                    <w:sz w:val="16"/>
                    <w:szCs w:val="16"/>
                  </w:rPr>
                </w:pPr>
                <w:r>
                  <w:rPr>
                    <w:rFonts w:cs="Arial"/>
                    <w:sz w:val="16"/>
                    <w:szCs w:val="16"/>
                  </w:rPr>
                  <w:t>16:10</w:t>
                </w:r>
              </w:p>
            </w:tc>
            <w:tc>
              <w:tcPr>
                <w:tcW w:w="583" w:type="pct"/>
                <w:tcBorders>
                  <w:top w:val="nil"/>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top w:val="nil"/>
                  <w:bottom w:val="nil"/>
                </w:tcBorders>
                <w:shd w:val="clear" w:color="auto" w:fill="auto"/>
                <w:vAlign w:val="bottom"/>
              </w:tcPr>
              <w:p w:rsidR="000F720B" w:rsidRDefault="000F720B">
                <w:pPr>
                  <w:rPr>
                    <w:rFonts w:cs="Arial"/>
                    <w:sz w:val="16"/>
                    <w:szCs w:val="16"/>
                  </w:rPr>
                </w:pPr>
                <w:r>
                  <w:rPr>
                    <w:rFonts w:cs="Arial"/>
                    <w:sz w:val="16"/>
                    <w:szCs w:val="16"/>
                  </w:rPr>
                  <w:t>AGL (SA)</w:t>
                </w:r>
              </w:p>
            </w:tc>
            <w:tc>
              <w:tcPr>
                <w:tcW w:w="717" w:type="pct"/>
                <w:tcBorders>
                  <w:top w:val="nil"/>
                  <w:bottom w:val="nil"/>
                </w:tcBorders>
                <w:shd w:val="clear" w:color="auto" w:fill="auto"/>
                <w:vAlign w:val="bottom"/>
              </w:tcPr>
              <w:p w:rsidR="000F720B" w:rsidRDefault="000F720B">
                <w:pPr>
                  <w:rPr>
                    <w:rFonts w:cs="Arial"/>
                    <w:sz w:val="16"/>
                    <w:szCs w:val="16"/>
                  </w:rPr>
                </w:pPr>
                <w:r>
                  <w:rPr>
                    <w:rFonts w:cs="Arial"/>
                    <w:sz w:val="16"/>
                    <w:szCs w:val="16"/>
                  </w:rPr>
                  <w:t>TORRB4</w:t>
                </w:r>
              </w:p>
            </w:tc>
            <w:tc>
              <w:tcPr>
                <w:tcW w:w="652" w:type="pct"/>
                <w:tcBorders>
                  <w:top w:val="nil"/>
                  <w:bottom w:val="nil"/>
                </w:tcBorders>
                <w:shd w:val="clear" w:color="auto" w:fill="auto"/>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top w:val="nil"/>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top w:val="nil"/>
                  <w:bottom w:val="nil"/>
                </w:tcBorders>
                <w:shd w:val="clear" w:color="auto" w:fill="auto"/>
                <w:vAlign w:val="bottom"/>
              </w:tcPr>
              <w:p w:rsidR="000F720B" w:rsidRDefault="000F720B">
                <w:pPr>
                  <w:jc w:val="right"/>
                  <w:rPr>
                    <w:rFonts w:cs="Arial"/>
                    <w:sz w:val="16"/>
                    <w:szCs w:val="16"/>
                  </w:rPr>
                </w:pPr>
                <w:r>
                  <w:rPr>
                    <w:rFonts w:cs="Arial"/>
                    <w:sz w:val="16"/>
                    <w:szCs w:val="16"/>
                  </w:rPr>
                  <w:t>-1.00</w:t>
                </w:r>
              </w:p>
            </w:tc>
            <w:tc>
              <w:tcPr>
                <w:tcW w:w="762" w:type="pct"/>
                <w:tcBorders>
                  <w:top w:val="nil"/>
                  <w:bottom w:val="nil"/>
                </w:tcBorders>
                <w:shd w:val="clear" w:color="auto" w:fill="auto"/>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r w:rsidR="000F720B" w:rsidRPr="00796046" w:rsidTr="00107D12">
            <w:trPr>
              <w:cnfStyle w:val="000000100000" w:firstRow="0" w:lastRow="0" w:firstColumn="0" w:lastColumn="0" w:oddVBand="0" w:evenVBand="0" w:oddHBand="1" w:evenHBand="0" w:firstRowFirstColumn="0" w:firstRowLastColumn="0" w:lastRowFirstColumn="0" w:lastRowLastColumn="0"/>
              <w:trHeight w:hRule="exact" w:val="340"/>
            </w:trPr>
            <w:tc>
              <w:tcPr>
                <w:tcW w:w="35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16:15</w:t>
                </w:r>
              </w:p>
            </w:tc>
            <w:tc>
              <w:tcPr>
                <w:tcW w:w="583"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801"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AGL (SA)</w:t>
                </w:r>
              </w:p>
            </w:tc>
            <w:tc>
              <w:tcPr>
                <w:tcW w:w="717"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TORRB4</w:t>
                </w:r>
              </w:p>
            </w:tc>
            <w:tc>
              <w:tcPr>
                <w:tcW w:w="652" w:type="pct"/>
                <w:tcBorders>
                  <w:bottom w:val="nil"/>
                </w:tcBorders>
                <w:shd w:val="clear" w:color="auto" w:fill="D4E2FF" w:themeFill="accent3" w:themeFillTint="1A"/>
                <w:vAlign w:val="bottom"/>
              </w:tcPr>
              <w:p w:rsidR="000F720B" w:rsidRDefault="000F720B">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90"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c>
              <w:tcPr>
                <w:tcW w:w="54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-1.00</w:t>
                </w:r>
              </w:p>
            </w:tc>
            <w:tc>
              <w:tcPr>
                <w:tcW w:w="762" w:type="pct"/>
                <w:tcBorders>
                  <w:bottom w:val="nil"/>
                </w:tcBorders>
                <w:shd w:val="clear" w:color="auto" w:fill="D4E2FF" w:themeFill="accent3" w:themeFillTint="1A"/>
                <w:vAlign w:val="bottom"/>
              </w:tcPr>
              <w:p w:rsidR="000F720B" w:rsidRDefault="000F720B">
                <w:pPr>
                  <w:jc w:val="right"/>
                  <w:rPr>
                    <w:rFonts w:cs="Arial"/>
                    <w:sz w:val="16"/>
                    <w:szCs w:val="16"/>
                  </w:rPr>
                </w:pPr>
                <w:r>
                  <w:rPr>
                    <w:rFonts w:cs="Arial"/>
                    <w:sz w:val="16"/>
                    <w:szCs w:val="16"/>
                  </w:rPr>
                  <w:t>-$13</w:t>
                </w:r>
                <w:r w:rsidR="00107D12">
                  <w:rPr>
                    <w:rFonts w:cs="Arial"/>
                    <w:sz w:val="16"/>
                    <w:szCs w:val="16"/>
                  </w:rPr>
                  <w:t xml:space="preserve"> </w:t>
                </w:r>
                <w:r>
                  <w:rPr>
                    <w:rFonts w:cs="Arial"/>
                    <w:sz w:val="16"/>
                    <w:szCs w:val="16"/>
                  </w:rPr>
                  <w:t>800.00</w:t>
                </w:r>
              </w:p>
            </w:tc>
          </w:tr>
        </w:tbl>
      </w:sdtContent>
    </w:sdt>
    <w:p w:rsidR="004D0B56" w:rsidRDefault="004D0B56" w:rsidP="00C06A9C">
      <w:pPr>
        <w:pStyle w:val="Tabletitle"/>
      </w:pPr>
    </w:p>
    <w:sectPr w:rsidR="004D0B56" w:rsidSect="00F71B0D">
      <w:footerReference w:type="even" r:id="rId44"/>
      <w:footerReference w:type="default" r:id="rId45"/>
      <w:footerReference w:type="first" r:id="rId46"/>
      <w:pgSz w:w="11906" w:h="16838" w:code="9"/>
      <w:pgMar w:top="1134" w:right="1700" w:bottom="1134"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AD2" w:rsidRDefault="00147AD2">
      <w:pPr>
        <w:spacing w:before="0" w:line="240" w:lineRule="auto"/>
      </w:pPr>
      <w:r>
        <w:separator/>
      </w:r>
    </w:p>
  </w:endnote>
  <w:endnote w:type="continuationSeparator" w:id="0">
    <w:p w:rsidR="00147AD2" w:rsidRDefault="00147A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Pr="007A4D1F" w:rsidRDefault="00147AD2"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6A1105" w:rsidRPr="006A1105">
      <w:rPr>
        <w:rFonts w:eastAsia="Arial" w:cs="Times New Roman"/>
        <w:b/>
        <w:bCs/>
        <w:noProof/>
        <w:color w:val="076A92" w:themeColor="text1"/>
        <w:sz w:val="18"/>
        <w:lang w:val="en-US"/>
      </w:rPr>
      <w:t>Report</w:t>
    </w:r>
    <w:r w:rsidR="006A1105">
      <w:rPr>
        <w:rFonts w:eastAsia="Arial" w:cs="Times New Roman"/>
        <w:noProof/>
        <w:color w:val="076A92" w:themeColor="text1"/>
        <w:sz w:val="18"/>
      </w:rPr>
      <w:t xml:space="preserve"> into Market ancillary service prices above $5000</w:t>
    </w:r>
    <w:r>
      <w:rPr>
        <w:rFonts w:eastAsia="Arial" w:cs="Times New Roman"/>
        <w:color w:val="076A92" w:themeColor="text1"/>
        <w:sz w:val="18"/>
      </w:rPr>
      <w:fldChar w:fldCharType="end"/>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6A1105">
      <w:rPr>
        <w:rFonts w:eastAsia="Arial" w:cs="Times New Roman"/>
        <w:noProof/>
        <w:color w:val="076A92" w:themeColor="text1"/>
        <w:sz w:val="18"/>
      </w:rPr>
      <w:t>iii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147AD2" w:rsidRDefault="00147AD2" w:rsidP="003610D1">
    <w:pPr>
      <w:pStyle w:val="Footer"/>
      <w:tabs>
        <w:tab w:val="clear" w:pos="4513"/>
        <w:tab w:val="clear" w:pos="9026"/>
        <w:tab w:val="left" w:pos="8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Pr="00A91A9E" w:rsidRDefault="00147AD2"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147AD2" w:rsidRDefault="00147AD2"/>
  <w:p w:rsidR="00147AD2" w:rsidRDefault="00147A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rsidP="003610D1">
    <w:pPr>
      <w:pStyle w:val="Footer"/>
      <w:tabs>
        <w:tab w:val="clear" w:pos="9026"/>
        <w:tab w:val="right" w:pos="8505"/>
      </w:tabs>
    </w:pPr>
    <w:fldSimple w:instr=" STYLEREF  &quot;Report Title&quot;  \* MERGEFORMAT ">
      <w:r w:rsidR="006A1105" w:rsidRPr="006A1105">
        <w:rPr>
          <w:b/>
          <w:bCs/>
          <w:noProof/>
          <w:lang w:val="en-US"/>
        </w:rPr>
        <w:t xml:space="preserve">Report into Market ancillary service prices </w:t>
      </w:r>
      <w:r w:rsidR="006A1105">
        <w:rPr>
          <w:noProof/>
        </w:rPr>
        <w:t>above $5000</w:t>
      </w:r>
    </w:fldSimple>
    <w:r>
      <w:tab/>
    </w:r>
    <w:r>
      <w:tab/>
    </w:r>
    <w:r>
      <w:fldChar w:fldCharType="begin"/>
    </w:r>
    <w:r>
      <w:instrText xml:space="preserve"> PAGE   \* MERGEFORMAT </w:instrText>
    </w:r>
    <w:r>
      <w:fldChar w:fldCharType="separate"/>
    </w:r>
    <w:r w:rsidR="006A1105">
      <w:rPr>
        <w:noProof/>
      </w:rPr>
      <w:t>65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rsidP="003610D1">
    <w:pPr>
      <w:pStyle w:val="Footer"/>
      <w:tabs>
        <w:tab w:val="clear" w:pos="9026"/>
        <w:tab w:val="right" w:pos="8505"/>
      </w:tabs>
    </w:pPr>
    <w:fldSimple w:instr=" STYLEREF  &quot;Report Title&quot;  \* MERGEFORMAT ">
      <w:r w:rsidR="006A1105">
        <w:rPr>
          <w:noProof/>
        </w:rPr>
        <w:t>Report into Market ancillary service prices above $5000</w:t>
      </w:r>
    </w:fldSimple>
    <w:r>
      <w:tab/>
    </w:r>
    <w:r>
      <w:tab/>
    </w:r>
    <w:r>
      <w:fldChar w:fldCharType="begin"/>
    </w:r>
    <w:r>
      <w:instrText xml:space="preserve"> PAGE   \* MERGEFORMAT </w:instrText>
    </w:r>
    <w:r>
      <w:fldChar w:fldCharType="separate"/>
    </w:r>
    <w:r>
      <w:rPr>
        <w:noProof/>
      </w:rPr>
      <w:t>1</w:t>
    </w:r>
    <w:r>
      <w:fldChar w:fldCharType="end"/>
    </w:r>
  </w:p>
  <w:p w:rsidR="00147AD2" w:rsidRDefault="00147AD2">
    <w:pPr>
      <w:pStyle w:val="Footer"/>
    </w:pPr>
  </w:p>
  <w:p w:rsidR="00147AD2" w:rsidRDefault="00147AD2"/>
  <w:p w:rsidR="00147AD2" w:rsidRDefault="00147A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AD2" w:rsidRDefault="00147AD2">
      <w:pPr>
        <w:spacing w:before="0" w:line="240" w:lineRule="auto"/>
      </w:pPr>
      <w:r>
        <w:separator/>
      </w:r>
    </w:p>
  </w:footnote>
  <w:footnote w:type="continuationSeparator" w:id="0">
    <w:p w:rsidR="00147AD2" w:rsidRDefault="00147AD2">
      <w:pPr>
        <w:spacing w:before="0" w:line="240" w:lineRule="auto"/>
      </w:pPr>
      <w:r>
        <w:continuationSeparator/>
      </w:r>
    </w:p>
  </w:footnote>
  <w:footnote w:id="1">
    <w:p w:rsidR="00147AD2" w:rsidRDefault="00147AD2">
      <w:pPr>
        <w:pStyle w:val="FootnoteText"/>
      </w:pPr>
      <w:r>
        <w:rPr>
          <w:rStyle w:val="FootnoteReference"/>
        </w:rPr>
        <w:footnoteRef/>
      </w:r>
      <w:r>
        <w:t xml:space="preserve"> </w:t>
      </w:r>
      <w:r>
        <w:tab/>
      </w:r>
      <w:r w:rsidRPr="005412A6">
        <w:t>Appendix A contains an explanation of frequency control ancillary services (FCAS).</w:t>
      </w:r>
    </w:p>
  </w:footnote>
  <w:footnote w:id="2">
    <w:p w:rsidR="00147AD2" w:rsidRDefault="00147AD2" w:rsidP="008C3C9E">
      <w:pPr>
        <w:pStyle w:val="FootnoteText"/>
      </w:pPr>
      <w:r>
        <w:rPr>
          <w:rStyle w:val="FootnoteReference"/>
        </w:rPr>
        <w:footnoteRef/>
      </w:r>
      <w:r>
        <w:t xml:space="preserve"> </w:t>
      </w:r>
      <w:r>
        <w:tab/>
        <w:t>See the FCAS settlement notes in Appendix A</w:t>
      </w:r>
    </w:p>
  </w:footnote>
  <w:footnote w:id="3">
    <w:p w:rsidR="00147AD2" w:rsidRDefault="00147AD2" w:rsidP="00FC08E8">
      <w:pPr>
        <w:pStyle w:val="FootnoteText"/>
      </w:pPr>
      <w:r>
        <w:rPr>
          <w:rStyle w:val="FootnoteReference"/>
        </w:rPr>
        <w:footnoteRef/>
      </w:r>
      <w:r>
        <w:t xml:space="preserve"> </w:t>
      </w:r>
      <w:r>
        <w:tab/>
        <w:t>Previously, the services were locally sourced only after South Australia separated from the market.</w:t>
      </w:r>
    </w:p>
  </w:footnote>
  <w:footnote w:id="4">
    <w:p w:rsidR="00147AD2" w:rsidRDefault="00147AD2">
      <w:pPr>
        <w:pStyle w:val="FootnoteText"/>
      </w:pPr>
      <w:r>
        <w:rPr>
          <w:rStyle w:val="FootnoteReference"/>
        </w:rPr>
        <w:footnoteRef/>
      </w:r>
      <w:r>
        <w:t xml:space="preserve"> </w:t>
      </w:r>
      <w:r>
        <w:tab/>
        <w:t>After the commencement of the outages, on 12 October 2015 AEMO issued market Notice 50003 (see Appendix E).</w:t>
      </w:r>
    </w:p>
  </w:footnote>
  <w:footnote w:id="5">
    <w:p w:rsidR="00147AD2" w:rsidRDefault="00147AD2" w:rsidP="004E6FA8">
      <w:pPr>
        <w:pStyle w:val="FootnoteText"/>
      </w:pPr>
      <w:r>
        <w:rPr>
          <w:rStyle w:val="FootnoteReference"/>
        </w:rPr>
        <w:footnoteRef/>
      </w:r>
      <w:r>
        <w:t xml:space="preserve"> Pelican Point Power Station returned one unit to services at midday on 15 October 2015.</w:t>
      </w:r>
    </w:p>
  </w:footnote>
  <w:footnote w:id="6">
    <w:p w:rsidR="00147AD2" w:rsidRDefault="00147AD2" w:rsidP="004E6FA8">
      <w:pPr>
        <w:pStyle w:val="FootnoteText"/>
      </w:pPr>
      <w:r>
        <w:rPr>
          <w:rStyle w:val="FootnoteReference"/>
        </w:rPr>
        <w:footnoteRef/>
      </w:r>
      <w:r>
        <w:t xml:space="preserve"> </w:t>
      </w:r>
      <w:r>
        <w:tab/>
        <w:t xml:space="preserve">See </w:t>
      </w:r>
      <w:r w:rsidRPr="00F659DE">
        <w:t xml:space="preserve">Power System Operating Procedure </w:t>
      </w:r>
      <w:r>
        <w:t>–</w:t>
      </w:r>
      <w:r w:rsidRPr="00F659DE">
        <w:t xml:space="preserve"> Dispatch</w:t>
      </w:r>
      <w:r>
        <w:t xml:space="preserve"> So_Op3705 Version: 80 Date: 23 October 2014 , Section 18.5.2 </w:t>
      </w:r>
      <w:hyperlink r:id="rId1" w:history="1">
        <w:r w:rsidRPr="00B6763C">
          <w:rPr>
            <w:rStyle w:val="Hyperlink"/>
            <w:sz w:val="16"/>
          </w:rPr>
          <w:t>http://www.aemo.com.au/Electricity/Policies-and-Procedures/System-Operating-Procedures/Dispatch-SO_OP3705</w:t>
        </w:r>
      </w:hyperlink>
      <w:r>
        <w:t xml:space="preserve"> </w:t>
      </w:r>
    </w:p>
  </w:footnote>
  <w:footnote w:id="7">
    <w:p w:rsidR="00147AD2" w:rsidRDefault="00147AD2">
      <w:pPr>
        <w:pStyle w:val="FootnoteText"/>
      </w:pPr>
      <w:r>
        <w:rPr>
          <w:rStyle w:val="FootnoteReference"/>
        </w:rPr>
        <w:footnoteRef/>
      </w:r>
      <w:r>
        <w:t xml:space="preserve"> </w:t>
      </w:r>
      <w:r>
        <w:tab/>
        <w:t xml:space="preserve">Murraylink is a 200 MW Direct Current interconnector between </w:t>
      </w:r>
      <w:r>
        <w:rPr>
          <w:rFonts w:cs="Arial"/>
          <w:color w:val="222222"/>
        </w:rPr>
        <w:t xml:space="preserve">Berri in South Australia and Red Cliffs in Victoria. </w:t>
      </w:r>
    </w:p>
  </w:footnote>
  <w:footnote w:id="8">
    <w:p w:rsidR="00147AD2" w:rsidRDefault="00147AD2" w:rsidP="00B30077">
      <w:pPr>
        <w:pStyle w:val="FootnoteText"/>
      </w:pPr>
      <w:r>
        <w:rPr>
          <w:rStyle w:val="FootnoteReference"/>
        </w:rPr>
        <w:footnoteRef/>
      </w:r>
      <w:r>
        <w:t xml:space="preserve"> </w:t>
      </w:r>
      <w:r>
        <w:tab/>
        <w:t>Rules Clause 4.3.5 (b)</w:t>
      </w:r>
    </w:p>
  </w:footnote>
  <w:footnote w:id="9">
    <w:p w:rsidR="00147AD2" w:rsidRDefault="00147AD2">
      <w:pPr>
        <w:pStyle w:val="FootnoteText"/>
      </w:pPr>
      <w:r>
        <w:rPr>
          <w:rStyle w:val="FootnoteReference"/>
        </w:rPr>
        <w:footnoteRef/>
      </w:r>
      <w:r>
        <w:t xml:space="preserve"> </w:t>
      </w:r>
      <w:r>
        <w:tab/>
        <w:t>This requirement will be implemented for all single line outages of the 500/275kV network between Sydenham TS and south east substation.</w:t>
      </w:r>
    </w:p>
  </w:footnote>
  <w:footnote w:id="10">
    <w:p w:rsidR="00147AD2" w:rsidRDefault="00147AD2" w:rsidP="008C3C9E">
      <w:pPr>
        <w:pStyle w:val="FootnoteText"/>
      </w:pPr>
      <w:r>
        <w:rPr>
          <w:rStyle w:val="FootnoteReference"/>
        </w:rPr>
        <w:footnoteRef/>
      </w:r>
      <w:r>
        <w:t xml:space="preserve"> </w:t>
      </w:r>
      <w:r>
        <w:tab/>
        <w:t>A non-recall outage is an outage where, once started, the work must be completed before it can be reinstated.</w:t>
      </w:r>
    </w:p>
  </w:footnote>
  <w:footnote w:id="11">
    <w:p w:rsidR="00147AD2" w:rsidRDefault="00147AD2" w:rsidP="00DA5EEB">
      <w:pPr>
        <w:pStyle w:val="FootnoteText"/>
      </w:pPr>
      <w:r>
        <w:rPr>
          <w:rStyle w:val="FootnoteReference"/>
        </w:rPr>
        <w:footnoteRef/>
      </w:r>
      <w:r>
        <w:t xml:space="preserve"> </w:t>
      </w:r>
      <w:r>
        <w:tab/>
        <w:t>At present, South Australia has approximately 1,475 MW of wind generation and almost 630 MW of roof top PV, equating to 40% of the total installed wind and 16% of the total PV capacity in the NEM.</w:t>
      </w:r>
    </w:p>
  </w:footnote>
  <w:footnote w:id="12">
    <w:p w:rsidR="00147AD2" w:rsidRDefault="00147AD2">
      <w:pPr>
        <w:pStyle w:val="FootnoteText"/>
      </w:pPr>
      <w:r>
        <w:rPr>
          <w:rStyle w:val="FootnoteReference"/>
        </w:rPr>
        <w:footnoteRef/>
      </w:r>
      <w:r>
        <w:t xml:space="preserve"> </w:t>
      </w:r>
      <w:r>
        <w:tab/>
      </w:r>
      <w:r w:rsidRPr="003570BD">
        <w:t>Since the high price events in October 2015, Origin Energy has applied to register Quarantine Power Station Unit 5 to provide FCAS, which was approved by AEMO effective from 1 December 2015.</w:t>
      </w:r>
    </w:p>
  </w:footnote>
  <w:footnote w:id="13">
    <w:p w:rsidR="00147AD2" w:rsidRDefault="00147AD2" w:rsidP="004319DA">
      <w:pPr>
        <w:pStyle w:val="FootnoteText"/>
      </w:pPr>
      <w:r>
        <w:rPr>
          <w:rStyle w:val="FootnoteReference"/>
        </w:rPr>
        <w:footnoteRef/>
      </w:r>
      <w:r>
        <w:t xml:space="preserve"> </w:t>
      </w:r>
      <w:r>
        <w:tab/>
        <w:t xml:space="preserve">Renewable energy integration in South Australia – Joint AEMO and ElectraNet study – October 2014. </w:t>
      </w:r>
    </w:p>
  </w:footnote>
  <w:footnote w:id="14">
    <w:p w:rsidR="00147AD2" w:rsidRDefault="00147AD2" w:rsidP="008C3C9E">
      <w:pPr>
        <w:pStyle w:val="FootnoteText"/>
      </w:pPr>
      <w:r>
        <w:rPr>
          <w:rStyle w:val="FootnoteReference"/>
        </w:rPr>
        <w:footnoteRef/>
      </w:r>
      <w:r>
        <w:t xml:space="preserve"> </w:t>
      </w:r>
      <w:r>
        <w:tab/>
        <w:t>This includes the lines between Sydenham in Victoria and Tailem Bend in South Australia and circumstances such as: bushfire or lightening in the vicinity of the lines and planned and un-planned outages.</w:t>
      </w:r>
    </w:p>
  </w:footnote>
  <w:footnote w:id="15">
    <w:p w:rsidR="00147AD2" w:rsidRDefault="00147AD2" w:rsidP="00324878">
      <w:pPr>
        <w:pStyle w:val="FootnoteText"/>
      </w:pPr>
      <w:r>
        <w:rPr>
          <w:rStyle w:val="FootnoteReference"/>
        </w:rPr>
        <w:footnoteRef/>
      </w:r>
      <w:r>
        <w:t xml:space="preserve"> </w:t>
      </w:r>
      <w:r>
        <w:tab/>
        <w:t>The 35 MW</w:t>
      </w:r>
      <w:r w:rsidRPr="00151193">
        <w:t xml:space="preserve"> FCAS regulation constraints were added to the NOS for the planned Heywood outages commencing 10 October 2015, on 8 October 2015.</w:t>
      </w:r>
    </w:p>
  </w:footnote>
  <w:footnote w:id="16">
    <w:p w:rsidR="00147AD2" w:rsidRDefault="00147AD2" w:rsidP="00992010">
      <w:pPr>
        <w:pStyle w:val="FootnoteText"/>
      </w:pPr>
      <w:r>
        <w:rPr>
          <w:rStyle w:val="FootnoteReference"/>
        </w:rPr>
        <w:footnoteRef/>
      </w:r>
      <w:r>
        <w:t xml:space="preserve"> </w:t>
      </w:r>
      <w:r>
        <w:tab/>
        <w:t xml:space="preserve">For a full description go to </w:t>
      </w:r>
      <w:hyperlink r:id="rId2" w:tgtFrame="_blank" w:history="1">
        <w:r w:rsidRPr="00F014DC">
          <w:rPr>
            <w:color w:val="0000FF"/>
            <w:u w:val="single"/>
            <w:lang w:eastAsia="en-AU"/>
          </w:rPr>
          <w:t>http://www.aemo.com.au/Electricity/Data/Ancillary-Services/Ancillary-Services-Payments-and-Recovery</w:t>
        </w:r>
      </w:hyperlink>
    </w:p>
  </w:footnote>
  <w:footnote w:id="17">
    <w:p w:rsidR="00147AD2" w:rsidRDefault="00147AD2" w:rsidP="00992010">
      <w:pPr>
        <w:pStyle w:val="FootnoteText"/>
      </w:pPr>
      <w:r>
        <w:rPr>
          <w:rStyle w:val="FootnoteReference"/>
        </w:rPr>
        <w:footnoteRef/>
      </w:r>
      <w:r>
        <w:tab/>
        <w:t xml:space="preserve">For a full description go to </w:t>
      </w:r>
      <w:hyperlink r:id="rId3" w:history="1">
        <w:r w:rsidRPr="00E45B00">
          <w:rPr>
            <w:rStyle w:val="Hyperlink"/>
            <w:sz w:val="16"/>
          </w:rPr>
          <w:t>http://www.aemo.com.au/Electricity/Market-Operations/Ancillary-Services/Process-Documentation/Ancillary-Services-Causer-Pays-Contribution-Factors</w:t>
        </w:r>
      </w:hyperlink>
    </w:p>
  </w:footnote>
  <w:footnote w:id="18">
    <w:p w:rsidR="00147AD2" w:rsidRPr="004D709E" w:rsidRDefault="00147AD2"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4" w:history="1">
        <w:r w:rsidRPr="00E125B3">
          <w:rPr>
            <w:rStyle w:val="Hyperlink"/>
            <w:sz w:val="16"/>
            <w:szCs w:val="16"/>
          </w:rPr>
          <w:t>www.aemo.com.au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AD2" w:rsidRDefault="00147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07F36BB"/>
    <w:multiLevelType w:val="hybridMultilevel"/>
    <w:tmpl w:val="D8BC2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8A1409F"/>
    <w:multiLevelType w:val="hybridMultilevel"/>
    <w:tmpl w:val="C52EEF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34528C"/>
    <w:multiLevelType w:val="hybridMultilevel"/>
    <w:tmpl w:val="32C4D3F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3">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2281ADA"/>
    <w:multiLevelType w:val="multilevel"/>
    <w:tmpl w:val="67EAD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30">
    <w:nsid w:val="68D61594"/>
    <w:multiLevelType w:val="hybridMultilevel"/>
    <w:tmpl w:val="0C9A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434525"/>
    <w:multiLevelType w:val="hybridMultilevel"/>
    <w:tmpl w:val="E4F4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58D6ED8"/>
    <w:multiLevelType w:val="hybridMultilevel"/>
    <w:tmpl w:val="591276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76707394"/>
    <w:multiLevelType w:val="multilevel"/>
    <w:tmpl w:val="67EAD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1"/>
  </w:num>
  <w:num w:numId="14">
    <w:abstractNumId w:val="14"/>
  </w:num>
  <w:num w:numId="15">
    <w:abstractNumId w:val="17"/>
  </w:num>
  <w:num w:numId="16">
    <w:abstractNumId w:val="24"/>
  </w:num>
  <w:num w:numId="17">
    <w:abstractNumId w:val="13"/>
  </w:num>
  <w:num w:numId="18">
    <w:abstractNumId w:val="19"/>
  </w:num>
  <w:num w:numId="19">
    <w:abstractNumId w:val="12"/>
  </w:num>
  <w:num w:numId="20">
    <w:abstractNumId w:val="25"/>
  </w:num>
  <w:num w:numId="21">
    <w:abstractNumId w:val="32"/>
  </w:num>
  <w:num w:numId="22">
    <w:abstractNumId w:val="18"/>
  </w:num>
  <w:num w:numId="23">
    <w:abstractNumId w:val="2"/>
    <w:lvlOverride w:ilvl="0">
      <w:startOverride w:val="1"/>
    </w:lvlOverride>
  </w:num>
  <w:num w:numId="24">
    <w:abstractNumId w:val="19"/>
    <w:lvlOverride w:ilvl="0">
      <w:startOverride w:val="1"/>
    </w:lvlOverride>
  </w:num>
  <w:num w:numId="25">
    <w:abstractNumId w:val="28"/>
  </w:num>
  <w:num w:numId="26">
    <w:abstractNumId w:val="23"/>
  </w:num>
  <w:num w:numId="27">
    <w:abstractNumId w:val="10"/>
  </w:num>
  <w:num w:numId="28">
    <w:abstractNumId w:val="16"/>
  </w:num>
  <w:num w:numId="29">
    <w:abstractNumId w:val="11"/>
  </w:num>
  <w:num w:numId="30">
    <w:abstractNumId w:val="27"/>
  </w:num>
  <w:num w:numId="31">
    <w:abstractNumId w:val="17"/>
  </w:num>
  <w:num w:numId="32">
    <w:abstractNumId w:val="14"/>
  </w:num>
  <w:num w:numId="33">
    <w:abstractNumId w:val="11"/>
  </w:num>
  <w:num w:numId="34">
    <w:abstractNumId w:val="11"/>
  </w:num>
  <w:num w:numId="35">
    <w:abstractNumId w:val="9"/>
  </w:num>
  <w:num w:numId="36">
    <w:abstractNumId w:val="11"/>
  </w:num>
  <w:num w:numId="37">
    <w:abstractNumId w:val="11"/>
  </w:num>
  <w:num w:numId="38">
    <w:abstractNumId w:val="31"/>
  </w:num>
  <w:num w:numId="39">
    <w:abstractNumId w:val="11"/>
  </w:num>
  <w:num w:numId="40">
    <w:abstractNumId w:val="33"/>
  </w:num>
  <w:num w:numId="41">
    <w:abstractNumId w:val="34"/>
  </w:num>
  <w:num w:numId="42">
    <w:abstractNumId w:val="26"/>
  </w:num>
  <w:num w:numId="43">
    <w:abstractNumId w:val="11"/>
  </w:num>
  <w:num w:numId="44">
    <w:abstractNumId w:val="30"/>
  </w:num>
  <w:num w:numId="45">
    <w:abstractNumId w:val="22"/>
  </w:num>
  <w:num w:numId="4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20"/>
  <w:characterSpacingControl w:val="doNotCompress"/>
  <w:hdrShapeDefaults>
    <o:shapedefaults v:ext="edit" spidmax="26625">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sjohn\Prices above $5000MW  11 October 2015 (SA).docx"/>
  </w:docVars>
  <w:rsids>
    <w:rsidRoot w:val="003610D1"/>
    <w:rsid w:val="00001779"/>
    <w:rsid w:val="00010B1A"/>
    <w:rsid w:val="00013CDB"/>
    <w:rsid w:val="00013D02"/>
    <w:rsid w:val="00017BF7"/>
    <w:rsid w:val="00021644"/>
    <w:rsid w:val="000221E2"/>
    <w:rsid w:val="00024297"/>
    <w:rsid w:val="000342CE"/>
    <w:rsid w:val="00041065"/>
    <w:rsid w:val="00043F8E"/>
    <w:rsid w:val="0004626C"/>
    <w:rsid w:val="000508E0"/>
    <w:rsid w:val="0005162D"/>
    <w:rsid w:val="00051AA5"/>
    <w:rsid w:val="000545DD"/>
    <w:rsid w:val="00055385"/>
    <w:rsid w:val="000554BB"/>
    <w:rsid w:val="000570C9"/>
    <w:rsid w:val="00061A48"/>
    <w:rsid w:val="000635D7"/>
    <w:rsid w:val="00066AAB"/>
    <w:rsid w:val="000708CF"/>
    <w:rsid w:val="0007263E"/>
    <w:rsid w:val="000801EF"/>
    <w:rsid w:val="00080C63"/>
    <w:rsid w:val="00083FB8"/>
    <w:rsid w:val="000844CC"/>
    <w:rsid w:val="000851EA"/>
    <w:rsid w:val="00085C6B"/>
    <w:rsid w:val="000872A0"/>
    <w:rsid w:val="00090DE0"/>
    <w:rsid w:val="00090E9D"/>
    <w:rsid w:val="00094459"/>
    <w:rsid w:val="000A434F"/>
    <w:rsid w:val="000A5BD1"/>
    <w:rsid w:val="000A6DEE"/>
    <w:rsid w:val="000B1671"/>
    <w:rsid w:val="000B5557"/>
    <w:rsid w:val="000B5C64"/>
    <w:rsid w:val="000C0941"/>
    <w:rsid w:val="000C0E4B"/>
    <w:rsid w:val="000C3347"/>
    <w:rsid w:val="000C461D"/>
    <w:rsid w:val="000C55AE"/>
    <w:rsid w:val="000C6CDD"/>
    <w:rsid w:val="000D0554"/>
    <w:rsid w:val="000D107C"/>
    <w:rsid w:val="000D557D"/>
    <w:rsid w:val="000E0460"/>
    <w:rsid w:val="000E32A2"/>
    <w:rsid w:val="000E3FA1"/>
    <w:rsid w:val="000F15E7"/>
    <w:rsid w:val="000F4D76"/>
    <w:rsid w:val="000F5D51"/>
    <w:rsid w:val="000F720B"/>
    <w:rsid w:val="000F761B"/>
    <w:rsid w:val="00101A55"/>
    <w:rsid w:val="00103088"/>
    <w:rsid w:val="00103C36"/>
    <w:rsid w:val="00103D3D"/>
    <w:rsid w:val="001060D2"/>
    <w:rsid w:val="00107D12"/>
    <w:rsid w:val="00111FF2"/>
    <w:rsid w:val="00112012"/>
    <w:rsid w:val="00113CC5"/>
    <w:rsid w:val="001143C4"/>
    <w:rsid w:val="00114564"/>
    <w:rsid w:val="0011518C"/>
    <w:rsid w:val="0012004B"/>
    <w:rsid w:val="001251A8"/>
    <w:rsid w:val="00132B65"/>
    <w:rsid w:val="00134063"/>
    <w:rsid w:val="00136AF6"/>
    <w:rsid w:val="00140C95"/>
    <w:rsid w:val="00141D53"/>
    <w:rsid w:val="00144712"/>
    <w:rsid w:val="00144763"/>
    <w:rsid w:val="00145A16"/>
    <w:rsid w:val="00146D5D"/>
    <w:rsid w:val="00147AD2"/>
    <w:rsid w:val="00151193"/>
    <w:rsid w:val="00151CC0"/>
    <w:rsid w:val="00155CFA"/>
    <w:rsid w:val="0015715D"/>
    <w:rsid w:val="001571AB"/>
    <w:rsid w:val="00157982"/>
    <w:rsid w:val="00157B32"/>
    <w:rsid w:val="001640AB"/>
    <w:rsid w:val="0016468E"/>
    <w:rsid w:val="001651C0"/>
    <w:rsid w:val="001653F0"/>
    <w:rsid w:val="00165EF5"/>
    <w:rsid w:val="001716FC"/>
    <w:rsid w:val="00174796"/>
    <w:rsid w:val="00183F9A"/>
    <w:rsid w:val="001841B5"/>
    <w:rsid w:val="00185629"/>
    <w:rsid w:val="0019021C"/>
    <w:rsid w:val="00197545"/>
    <w:rsid w:val="001A2CD9"/>
    <w:rsid w:val="001A34CC"/>
    <w:rsid w:val="001B0767"/>
    <w:rsid w:val="001B26A5"/>
    <w:rsid w:val="001B311E"/>
    <w:rsid w:val="001B70FC"/>
    <w:rsid w:val="001C2CEA"/>
    <w:rsid w:val="001C4856"/>
    <w:rsid w:val="001C5A6F"/>
    <w:rsid w:val="001C6D91"/>
    <w:rsid w:val="001D287B"/>
    <w:rsid w:val="001D3866"/>
    <w:rsid w:val="001D4960"/>
    <w:rsid w:val="001E1DEB"/>
    <w:rsid w:val="001E50C3"/>
    <w:rsid w:val="001E5BF5"/>
    <w:rsid w:val="001E75EC"/>
    <w:rsid w:val="001E78DB"/>
    <w:rsid w:val="001E7E6E"/>
    <w:rsid w:val="001F36AA"/>
    <w:rsid w:val="001F37F7"/>
    <w:rsid w:val="001F6C30"/>
    <w:rsid w:val="0020088C"/>
    <w:rsid w:val="0020179E"/>
    <w:rsid w:val="00206817"/>
    <w:rsid w:val="00207783"/>
    <w:rsid w:val="00210172"/>
    <w:rsid w:val="002114E0"/>
    <w:rsid w:val="002114E4"/>
    <w:rsid w:val="002122ED"/>
    <w:rsid w:val="00220318"/>
    <w:rsid w:val="00220337"/>
    <w:rsid w:val="00221530"/>
    <w:rsid w:val="002239C4"/>
    <w:rsid w:val="00224DCB"/>
    <w:rsid w:val="00233351"/>
    <w:rsid w:val="002337E0"/>
    <w:rsid w:val="00235D6C"/>
    <w:rsid w:val="00247FC3"/>
    <w:rsid w:val="00251131"/>
    <w:rsid w:val="00251D61"/>
    <w:rsid w:val="00254B38"/>
    <w:rsid w:val="00255EEF"/>
    <w:rsid w:val="002614FF"/>
    <w:rsid w:val="00264398"/>
    <w:rsid w:val="002667D4"/>
    <w:rsid w:val="002743BE"/>
    <w:rsid w:val="00277918"/>
    <w:rsid w:val="0028085B"/>
    <w:rsid w:val="0028094F"/>
    <w:rsid w:val="002812C2"/>
    <w:rsid w:val="002813D7"/>
    <w:rsid w:val="002817AA"/>
    <w:rsid w:val="00282EAC"/>
    <w:rsid w:val="0028532A"/>
    <w:rsid w:val="002931DC"/>
    <w:rsid w:val="00293A0A"/>
    <w:rsid w:val="0029452B"/>
    <w:rsid w:val="00296D34"/>
    <w:rsid w:val="00297821"/>
    <w:rsid w:val="00297D01"/>
    <w:rsid w:val="002A5CF9"/>
    <w:rsid w:val="002A6276"/>
    <w:rsid w:val="002A68C4"/>
    <w:rsid w:val="002B20BA"/>
    <w:rsid w:val="002B2896"/>
    <w:rsid w:val="002B4F2D"/>
    <w:rsid w:val="002B6D54"/>
    <w:rsid w:val="002B6EDD"/>
    <w:rsid w:val="002B701C"/>
    <w:rsid w:val="002D0F6E"/>
    <w:rsid w:val="002D2BAB"/>
    <w:rsid w:val="002D3A96"/>
    <w:rsid w:val="002D41EB"/>
    <w:rsid w:val="002D4EE4"/>
    <w:rsid w:val="002D5D79"/>
    <w:rsid w:val="002E0AF3"/>
    <w:rsid w:val="002E5340"/>
    <w:rsid w:val="002E6ABC"/>
    <w:rsid w:val="002F025A"/>
    <w:rsid w:val="002F48D5"/>
    <w:rsid w:val="002F59A8"/>
    <w:rsid w:val="002F5EE3"/>
    <w:rsid w:val="002F60BE"/>
    <w:rsid w:val="002F63F2"/>
    <w:rsid w:val="0030268F"/>
    <w:rsid w:val="00302CCE"/>
    <w:rsid w:val="00311066"/>
    <w:rsid w:val="0031159B"/>
    <w:rsid w:val="00311893"/>
    <w:rsid w:val="00313B2B"/>
    <w:rsid w:val="003168F1"/>
    <w:rsid w:val="00321D5A"/>
    <w:rsid w:val="00324878"/>
    <w:rsid w:val="00324CCF"/>
    <w:rsid w:val="00332AAD"/>
    <w:rsid w:val="003364FF"/>
    <w:rsid w:val="00346649"/>
    <w:rsid w:val="0035174A"/>
    <w:rsid w:val="00353C34"/>
    <w:rsid w:val="003570BD"/>
    <w:rsid w:val="003610D1"/>
    <w:rsid w:val="00370288"/>
    <w:rsid w:val="0037052A"/>
    <w:rsid w:val="003712DE"/>
    <w:rsid w:val="00372443"/>
    <w:rsid w:val="003745C3"/>
    <w:rsid w:val="00374AB0"/>
    <w:rsid w:val="00381538"/>
    <w:rsid w:val="00381976"/>
    <w:rsid w:val="00386951"/>
    <w:rsid w:val="003874BC"/>
    <w:rsid w:val="00390216"/>
    <w:rsid w:val="00390B79"/>
    <w:rsid w:val="003913F5"/>
    <w:rsid w:val="00393A49"/>
    <w:rsid w:val="003A3C41"/>
    <w:rsid w:val="003A4880"/>
    <w:rsid w:val="003B07C1"/>
    <w:rsid w:val="003B2283"/>
    <w:rsid w:val="003B2F44"/>
    <w:rsid w:val="003B37A3"/>
    <w:rsid w:val="003B4D22"/>
    <w:rsid w:val="003B6009"/>
    <w:rsid w:val="003C2ADB"/>
    <w:rsid w:val="003C2B11"/>
    <w:rsid w:val="003C4833"/>
    <w:rsid w:val="003C5F95"/>
    <w:rsid w:val="003D32A1"/>
    <w:rsid w:val="003D360E"/>
    <w:rsid w:val="003E569C"/>
    <w:rsid w:val="003E5F2A"/>
    <w:rsid w:val="003E78F9"/>
    <w:rsid w:val="003F3477"/>
    <w:rsid w:val="003F4971"/>
    <w:rsid w:val="003F4BAB"/>
    <w:rsid w:val="00405DEA"/>
    <w:rsid w:val="004075BD"/>
    <w:rsid w:val="004079A7"/>
    <w:rsid w:val="00407B22"/>
    <w:rsid w:val="00411EE1"/>
    <w:rsid w:val="00413568"/>
    <w:rsid w:val="00413CE7"/>
    <w:rsid w:val="00416B89"/>
    <w:rsid w:val="004225A4"/>
    <w:rsid w:val="004300F1"/>
    <w:rsid w:val="00430FFC"/>
    <w:rsid w:val="00431500"/>
    <w:rsid w:val="004319DA"/>
    <w:rsid w:val="00432771"/>
    <w:rsid w:val="00432F60"/>
    <w:rsid w:val="00437D8B"/>
    <w:rsid w:val="00440F08"/>
    <w:rsid w:val="004442C5"/>
    <w:rsid w:val="00445B07"/>
    <w:rsid w:val="004523FB"/>
    <w:rsid w:val="00461394"/>
    <w:rsid w:val="004655C5"/>
    <w:rsid w:val="00465F35"/>
    <w:rsid w:val="004710D5"/>
    <w:rsid w:val="00473AAF"/>
    <w:rsid w:val="00473E87"/>
    <w:rsid w:val="00475ED4"/>
    <w:rsid w:val="0048005B"/>
    <w:rsid w:val="004812E7"/>
    <w:rsid w:val="0048191E"/>
    <w:rsid w:val="00485C9C"/>
    <w:rsid w:val="0049123B"/>
    <w:rsid w:val="00491930"/>
    <w:rsid w:val="00494F70"/>
    <w:rsid w:val="004954EE"/>
    <w:rsid w:val="0049588F"/>
    <w:rsid w:val="004A0304"/>
    <w:rsid w:val="004A0D3E"/>
    <w:rsid w:val="004A7E7D"/>
    <w:rsid w:val="004B0A01"/>
    <w:rsid w:val="004B56EF"/>
    <w:rsid w:val="004C6120"/>
    <w:rsid w:val="004C61C9"/>
    <w:rsid w:val="004C6FFD"/>
    <w:rsid w:val="004C76E6"/>
    <w:rsid w:val="004D0B56"/>
    <w:rsid w:val="004D2432"/>
    <w:rsid w:val="004D438D"/>
    <w:rsid w:val="004D51D9"/>
    <w:rsid w:val="004D7BFF"/>
    <w:rsid w:val="004E5C29"/>
    <w:rsid w:val="004E6FA8"/>
    <w:rsid w:val="004F5584"/>
    <w:rsid w:val="00505844"/>
    <w:rsid w:val="005171A9"/>
    <w:rsid w:val="005174A6"/>
    <w:rsid w:val="00517C7C"/>
    <w:rsid w:val="00521216"/>
    <w:rsid w:val="00522217"/>
    <w:rsid w:val="005244F6"/>
    <w:rsid w:val="005366CC"/>
    <w:rsid w:val="0054028F"/>
    <w:rsid w:val="005412A6"/>
    <w:rsid w:val="0054243F"/>
    <w:rsid w:val="00542497"/>
    <w:rsid w:val="00542CA9"/>
    <w:rsid w:val="00543D9D"/>
    <w:rsid w:val="0054547A"/>
    <w:rsid w:val="00545DEE"/>
    <w:rsid w:val="005467C2"/>
    <w:rsid w:val="00547484"/>
    <w:rsid w:val="00547A1A"/>
    <w:rsid w:val="0055566B"/>
    <w:rsid w:val="00562CBF"/>
    <w:rsid w:val="00564052"/>
    <w:rsid w:val="00565294"/>
    <w:rsid w:val="005668D7"/>
    <w:rsid w:val="00571067"/>
    <w:rsid w:val="00571963"/>
    <w:rsid w:val="00572A42"/>
    <w:rsid w:val="0057715F"/>
    <w:rsid w:val="00581454"/>
    <w:rsid w:val="005860BC"/>
    <w:rsid w:val="00586DCB"/>
    <w:rsid w:val="005961E9"/>
    <w:rsid w:val="005A0009"/>
    <w:rsid w:val="005A1498"/>
    <w:rsid w:val="005A2081"/>
    <w:rsid w:val="005A33ED"/>
    <w:rsid w:val="005B115B"/>
    <w:rsid w:val="005B12BB"/>
    <w:rsid w:val="005B2572"/>
    <w:rsid w:val="005B6B0F"/>
    <w:rsid w:val="005B7713"/>
    <w:rsid w:val="005C1074"/>
    <w:rsid w:val="005C10DA"/>
    <w:rsid w:val="005C139A"/>
    <w:rsid w:val="005C167B"/>
    <w:rsid w:val="005C2E42"/>
    <w:rsid w:val="005C3E6D"/>
    <w:rsid w:val="005C3EC3"/>
    <w:rsid w:val="005C3F69"/>
    <w:rsid w:val="005D0F29"/>
    <w:rsid w:val="005D259F"/>
    <w:rsid w:val="005D502B"/>
    <w:rsid w:val="005D581A"/>
    <w:rsid w:val="005E385C"/>
    <w:rsid w:val="005E49B6"/>
    <w:rsid w:val="005E51B2"/>
    <w:rsid w:val="005F05B1"/>
    <w:rsid w:val="005F52A5"/>
    <w:rsid w:val="005F5C0D"/>
    <w:rsid w:val="005F6137"/>
    <w:rsid w:val="00606422"/>
    <w:rsid w:val="00611A92"/>
    <w:rsid w:val="00612500"/>
    <w:rsid w:val="00616C07"/>
    <w:rsid w:val="00621217"/>
    <w:rsid w:val="00624E14"/>
    <w:rsid w:val="00625E5E"/>
    <w:rsid w:val="00627307"/>
    <w:rsid w:val="00631FA3"/>
    <w:rsid w:val="00633BFF"/>
    <w:rsid w:val="0063775E"/>
    <w:rsid w:val="006412A3"/>
    <w:rsid w:val="00643B62"/>
    <w:rsid w:val="00646207"/>
    <w:rsid w:val="00647F47"/>
    <w:rsid w:val="00651659"/>
    <w:rsid w:val="00652C6E"/>
    <w:rsid w:val="00655E33"/>
    <w:rsid w:val="00663313"/>
    <w:rsid w:val="00665553"/>
    <w:rsid w:val="0067052C"/>
    <w:rsid w:val="00674962"/>
    <w:rsid w:val="006756DD"/>
    <w:rsid w:val="00685F9B"/>
    <w:rsid w:val="006869C4"/>
    <w:rsid w:val="00694E92"/>
    <w:rsid w:val="00695C84"/>
    <w:rsid w:val="00695FA0"/>
    <w:rsid w:val="006978F9"/>
    <w:rsid w:val="006A1105"/>
    <w:rsid w:val="006B0099"/>
    <w:rsid w:val="006B038C"/>
    <w:rsid w:val="006C1FFB"/>
    <w:rsid w:val="006D45CA"/>
    <w:rsid w:val="006D79CD"/>
    <w:rsid w:val="006E3FF1"/>
    <w:rsid w:val="006F0224"/>
    <w:rsid w:val="006F2091"/>
    <w:rsid w:val="006F2861"/>
    <w:rsid w:val="006F2875"/>
    <w:rsid w:val="006F3333"/>
    <w:rsid w:val="006F5343"/>
    <w:rsid w:val="006F6E4E"/>
    <w:rsid w:val="00700FDA"/>
    <w:rsid w:val="00703233"/>
    <w:rsid w:val="00704FF1"/>
    <w:rsid w:val="00712C6A"/>
    <w:rsid w:val="007151A3"/>
    <w:rsid w:val="00716EED"/>
    <w:rsid w:val="00726D9E"/>
    <w:rsid w:val="007307B0"/>
    <w:rsid w:val="0073081F"/>
    <w:rsid w:val="00730CF1"/>
    <w:rsid w:val="00740C0E"/>
    <w:rsid w:val="00743AA7"/>
    <w:rsid w:val="007462CD"/>
    <w:rsid w:val="00751A5F"/>
    <w:rsid w:val="0075399C"/>
    <w:rsid w:val="007566A7"/>
    <w:rsid w:val="00756B95"/>
    <w:rsid w:val="0077094F"/>
    <w:rsid w:val="00770A8B"/>
    <w:rsid w:val="00774131"/>
    <w:rsid w:val="00775925"/>
    <w:rsid w:val="007762CF"/>
    <w:rsid w:val="00776DF6"/>
    <w:rsid w:val="00777DEE"/>
    <w:rsid w:val="00782108"/>
    <w:rsid w:val="007821EC"/>
    <w:rsid w:val="007853D7"/>
    <w:rsid w:val="007A0814"/>
    <w:rsid w:val="007A210A"/>
    <w:rsid w:val="007A223D"/>
    <w:rsid w:val="007A23C8"/>
    <w:rsid w:val="007A3970"/>
    <w:rsid w:val="007A49B9"/>
    <w:rsid w:val="007B1D4F"/>
    <w:rsid w:val="007B2DB3"/>
    <w:rsid w:val="007B5014"/>
    <w:rsid w:val="007B7BBD"/>
    <w:rsid w:val="007C005E"/>
    <w:rsid w:val="007C31DF"/>
    <w:rsid w:val="007C4AAD"/>
    <w:rsid w:val="007C51E1"/>
    <w:rsid w:val="007C66BE"/>
    <w:rsid w:val="007C7FCB"/>
    <w:rsid w:val="007E24B2"/>
    <w:rsid w:val="007E29C4"/>
    <w:rsid w:val="007E5792"/>
    <w:rsid w:val="007E7313"/>
    <w:rsid w:val="007E7E05"/>
    <w:rsid w:val="007F4415"/>
    <w:rsid w:val="00800E60"/>
    <w:rsid w:val="00803E40"/>
    <w:rsid w:val="00810A0D"/>
    <w:rsid w:val="00814E82"/>
    <w:rsid w:val="00817300"/>
    <w:rsid w:val="00820444"/>
    <w:rsid w:val="008204FE"/>
    <w:rsid w:val="00822B1B"/>
    <w:rsid w:val="008315BA"/>
    <w:rsid w:val="00832689"/>
    <w:rsid w:val="00835A3D"/>
    <w:rsid w:val="00843BA8"/>
    <w:rsid w:val="00850300"/>
    <w:rsid w:val="00850F12"/>
    <w:rsid w:val="00852168"/>
    <w:rsid w:val="0085477B"/>
    <w:rsid w:val="00855153"/>
    <w:rsid w:val="00862328"/>
    <w:rsid w:val="0086284F"/>
    <w:rsid w:val="008634F6"/>
    <w:rsid w:val="00867568"/>
    <w:rsid w:val="00867A64"/>
    <w:rsid w:val="00870107"/>
    <w:rsid w:val="00872C3A"/>
    <w:rsid w:val="00874BA5"/>
    <w:rsid w:val="00874E50"/>
    <w:rsid w:val="008850C7"/>
    <w:rsid w:val="0088523D"/>
    <w:rsid w:val="00886B8A"/>
    <w:rsid w:val="00892119"/>
    <w:rsid w:val="008928BC"/>
    <w:rsid w:val="00892FEA"/>
    <w:rsid w:val="00895102"/>
    <w:rsid w:val="00895669"/>
    <w:rsid w:val="00896B0F"/>
    <w:rsid w:val="008A11D3"/>
    <w:rsid w:val="008A28E4"/>
    <w:rsid w:val="008A2B2A"/>
    <w:rsid w:val="008A481E"/>
    <w:rsid w:val="008A7820"/>
    <w:rsid w:val="008B4C96"/>
    <w:rsid w:val="008B66AF"/>
    <w:rsid w:val="008C2CF2"/>
    <w:rsid w:val="008C3C9E"/>
    <w:rsid w:val="008C3E60"/>
    <w:rsid w:val="008D0F8B"/>
    <w:rsid w:val="008D16C0"/>
    <w:rsid w:val="008D1FFC"/>
    <w:rsid w:val="008D2C93"/>
    <w:rsid w:val="008D7D4B"/>
    <w:rsid w:val="008E00B5"/>
    <w:rsid w:val="008E3267"/>
    <w:rsid w:val="008E53EA"/>
    <w:rsid w:val="008E626F"/>
    <w:rsid w:val="008F0410"/>
    <w:rsid w:val="008F3083"/>
    <w:rsid w:val="008F3779"/>
    <w:rsid w:val="008F4AE1"/>
    <w:rsid w:val="008F53DD"/>
    <w:rsid w:val="008F56DA"/>
    <w:rsid w:val="00901619"/>
    <w:rsid w:val="00905A72"/>
    <w:rsid w:val="0090736F"/>
    <w:rsid w:val="00907A32"/>
    <w:rsid w:val="009100EB"/>
    <w:rsid w:val="00913476"/>
    <w:rsid w:val="009213C6"/>
    <w:rsid w:val="00931A04"/>
    <w:rsid w:val="00932DA9"/>
    <w:rsid w:val="00936DE7"/>
    <w:rsid w:val="00937BE5"/>
    <w:rsid w:val="00937D26"/>
    <w:rsid w:val="0094213A"/>
    <w:rsid w:val="00943D11"/>
    <w:rsid w:val="00950032"/>
    <w:rsid w:val="00956522"/>
    <w:rsid w:val="00962DE8"/>
    <w:rsid w:val="00965C10"/>
    <w:rsid w:val="00971493"/>
    <w:rsid w:val="00975AFF"/>
    <w:rsid w:val="00981107"/>
    <w:rsid w:val="0098584D"/>
    <w:rsid w:val="0098706B"/>
    <w:rsid w:val="009903BA"/>
    <w:rsid w:val="00991247"/>
    <w:rsid w:val="00992010"/>
    <w:rsid w:val="0099408E"/>
    <w:rsid w:val="009A0E05"/>
    <w:rsid w:val="009A3422"/>
    <w:rsid w:val="009A4BCA"/>
    <w:rsid w:val="009A6124"/>
    <w:rsid w:val="009B028C"/>
    <w:rsid w:val="009B2617"/>
    <w:rsid w:val="009B4746"/>
    <w:rsid w:val="009B4EEA"/>
    <w:rsid w:val="009B5488"/>
    <w:rsid w:val="009B5D0A"/>
    <w:rsid w:val="009B5D66"/>
    <w:rsid w:val="009B7798"/>
    <w:rsid w:val="009B77DD"/>
    <w:rsid w:val="009C06A3"/>
    <w:rsid w:val="009C454F"/>
    <w:rsid w:val="009C6724"/>
    <w:rsid w:val="009C6AAF"/>
    <w:rsid w:val="009D1002"/>
    <w:rsid w:val="009D3582"/>
    <w:rsid w:val="009D44E3"/>
    <w:rsid w:val="009D5039"/>
    <w:rsid w:val="009D59C9"/>
    <w:rsid w:val="009E027D"/>
    <w:rsid w:val="009E1941"/>
    <w:rsid w:val="009E58E4"/>
    <w:rsid w:val="009E7D16"/>
    <w:rsid w:val="009F037A"/>
    <w:rsid w:val="009F095A"/>
    <w:rsid w:val="009F54F8"/>
    <w:rsid w:val="009F7A8E"/>
    <w:rsid w:val="00A03107"/>
    <w:rsid w:val="00A033A8"/>
    <w:rsid w:val="00A05C26"/>
    <w:rsid w:val="00A10C65"/>
    <w:rsid w:val="00A11DDF"/>
    <w:rsid w:val="00A12CAE"/>
    <w:rsid w:val="00A14EDE"/>
    <w:rsid w:val="00A15502"/>
    <w:rsid w:val="00A344AC"/>
    <w:rsid w:val="00A34B9B"/>
    <w:rsid w:val="00A36187"/>
    <w:rsid w:val="00A375C9"/>
    <w:rsid w:val="00A41576"/>
    <w:rsid w:val="00A50591"/>
    <w:rsid w:val="00A50632"/>
    <w:rsid w:val="00A514B2"/>
    <w:rsid w:val="00A61060"/>
    <w:rsid w:val="00A61E01"/>
    <w:rsid w:val="00A62AFE"/>
    <w:rsid w:val="00A6326C"/>
    <w:rsid w:val="00A66985"/>
    <w:rsid w:val="00A70456"/>
    <w:rsid w:val="00A7077C"/>
    <w:rsid w:val="00A86749"/>
    <w:rsid w:val="00A912E6"/>
    <w:rsid w:val="00A9530C"/>
    <w:rsid w:val="00A9591D"/>
    <w:rsid w:val="00A9661C"/>
    <w:rsid w:val="00AA2D90"/>
    <w:rsid w:val="00AA36A0"/>
    <w:rsid w:val="00AA40BA"/>
    <w:rsid w:val="00AA44B4"/>
    <w:rsid w:val="00AA55ED"/>
    <w:rsid w:val="00AB0647"/>
    <w:rsid w:val="00AB494E"/>
    <w:rsid w:val="00AB58CB"/>
    <w:rsid w:val="00AB6A90"/>
    <w:rsid w:val="00AC06B3"/>
    <w:rsid w:val="00AC4901"/>
    <w:rsid w:val="00AD285D"/>
    <w:rsid w:val="00AD2AFD"/>
    <w:rsid w:val="00AD3A94"/>
    <w:rsid w:val="00AD3DAC"/>
    <w:rsid w:val="00AD7592"/>
    <w:rsid w:val="00AE09CE"/>
    <w:rsid w:val="00AE1E9B"/>
    <w:rsid w:val="00AE2502"/>
    <w:rsid w:val="00AE6347"/>
    <w:rsid w:val="00AE641A"/>
    <w:rsid w:val="00AE6710"/>
    <w:rsid w:val="00AE7C54"/>
    <w:rsid w:val="00AF09C5"/>
    <w:rsid w:val="00AF4D75"/>
    <w:rsid w:val="00B010B8"/>
    <w:rsid w:val="00B01FE1"/>
    <w:rsid w:val="00B04C51"/>
    <w:rsid w:val="00B10674"/>
    <w:rsid w:val="00B10EDC"/>
    <w:rsid w:val="00B11FAE"/>
    <w:rsid w:val="00B133B4"/>
    <w:rsid w:val="00B15946"/>
    <w:rsid w:val="00B16BC8"/>
    <w:rsid w:val="00B21C95"/>
    <w:rsid w:val="00B21F58"/>
    <w:rsid w:val="00B26225"/>
    <w:rsid w:val="00B27E58"/>
    <w:rsid w:val="00B30077"/>
    <w:rsid w:val="00B319BB"/>
    <w:rsid w:val="00B35883"/>
    <w:rsid w:val="00B35AE4"/>
    <w:rsid w:val="00B37F64"/>
    <w:rsid w:val="00B40C1B"/>
    <w:rsid w:val="00B41F75"/>
    <w:rsid w:val="00B46D3C"/>
    <w:rsid w:val="00B46F0C"/>
    <w:rsid w:val="00B472EC"/>
    <w:rsid w:val="00B479E9"/>
    <w:rsid w:val="00B47D8C"/>
    <w:rsid w:val="00B57905"/>
    <w:rsid w:val="00B65E5B"/>
    <w:rsid w:val="00B67430"/>
    <w:rsid w:val="00B70ECC"/>
    <w:rsid w:val="00B718C2"/>
    <w:rsid w:val="00B72D11"/>
    <w:rsid w:val="00B72D5C"/>
    <w:rsid w:val="00B73881"/>
    <w:rsid w:val="00B76E1A"/>
    <w:rsid w:val="00B77FC4"/>
    <w:rsid w:val="00B80409"/>
    <w:rsid w:val="00B825A6"/>
    <w:rsid w:val="00B8287F"/>
    <w:rsid w:val="00B82F0C"/>
    <w:rsid w:val="00B85679"/>
    <w:rsid w:val="00B861B8"/>
    <w:rsid w:val="00B8689A"/>
    <w:rsid w:val="00BA741E"/>
    <w:rsid w:val="00BB3C3E"/>
    <w:rsid w:val="00BB54EA"/>
    <w:rsid w:val="00BB6777"/>
    <w:rsid w:val="00BC036D"/>
    <w:rsid w:val="00BC15D5"/>
    <w:rsid w:val="00BC452D"/>
    <w:rsid w:val="00BC4C6E"/>
    <w:rsid w:val="00BC794B"/>
    <w:rsid w:val="00BC7EB6"/>
    <w:rsid w:val="00BD3D5C"/>
    <w:rsid w:val="00BD58B9"/>
    <w:rsid w:val="00BD593D"/>
    <w:rsid w:val="00BD7141"/>
    <w:rsid w:val="00BE09C6"/>
    <w:rsid w:val="00BE0D8B"/>
    <w:rsid w:val="00BE168A"/>
    <w:rsid w:val="00BE3D09"/>
    <w:rsid w:val="00BE49AA"/>
    <w:rsid w:val="00BE5B26"/>
    <w:rsid w:val="00BF51F4"/>
    <w:rsid w:val="00BF5A4B"/>
    <w:rsid w:val="00C0059B"/>
    <w:rsid w:val="00C0159F"/>
    <w:rsid w:val="00C045E9"/>
    <w:rsid w:val="00C0477C"/>
    <w:rsid w:val="00C05F4E"/>
    <w:rsid w:val="00C06A9C"/>
    <w:rsid w:val="00C15B58"/>
    <w:rsid w:val="00C16089"/>
    <w:rsid w:val="00C2594F"/>
    <w:rsid w:val="00C27A73"/>
    <w:rsid w:val="00C27FBD"/>
    <w:rsid w:val="00C301DC"/>
    <w:rsid w:val="00C30A3A"/>
    <w:rsid w:val="00C30ACC"/>
    <w:rsid w:val="00C30B5C"/>
    <w:rsid w:val="00C36729"/>
    <w:rsid w:val="00C376CD"/>
    <w:rsid w:val="00C424C5"/>
    <w:rsid w:val="00C45908"/>
    <w:rsid w:val="00C47E86"/>
    <w:rsid w:val="00C50D21"/>
    <w:rsid w:val="00C50FE2"/>
    <w:rsid w:val="00C5408F"/>
    <w:rsid w:val="00C557F5"/>
    <w:rsid w:val="00C628B0"/>
    <w:rsid w:val="00C66E57"/>
    <w:rsid w:val="00C67A44"/>
    <w:rsid w:val="00C701C4"/>
    <w:rsid w:val="00C7068C"/>
    <w:rsid w:val="00C7072B"/>
    <w:rsid w:val="00C76187"/>
    <w:rsid w:val="00C76F8E"/>
    <w:rsid w:val="00C821CE"/>
    <w:rsid w:val="00C82235"/>
    <w:rsid w:val="00C9343E"/>
    <w:rsid w:val="00C945B1"/>
    <w:rsid w:val="00C95114"/>
    <w:rsid w:val="00CA2626"/>
    <w:rsid w:val="00CA467B"/>
    <w:rsid w:val="00CA7CEA"/>
    <w:rsid w:val="00CB2BEB"/>
    <w:rsid w:val="00CC29E6"/>
    <w:rsid w:val="00CC3154"/>
    <w:rsid w:val="00CC35B8"/>
    <w:rsid w:val="00CC63CD"/>
    <w:rsid w:val="00CC65AF"/>
    <w:rsid w:val="00CC7EB2"/>
    <w:rsid w:val="00CD2D44"/>
    <w:rsid w:val="00CD2FDB"/>
    <w:rsid w:val="00CE3937"/>
    <w:rsid w:val="00CE3BF3"/>
    <w:rsid w:val="00CE4343"/>
    <w:rsid w:val="00CE634A"/>
    <w:rsid w:val="00CF0BC0"/>
    <w:rsid w:val="00CF2FAC"/>
    <w:rsid w:val="00CF34E2"/>
    <w:rsid w:val="00CF538C"/>
    <w:rsid w:val="00CF69BC"/>
    <w:rsid w:val="00CF7345"/>
    <w:rsid w:val="00D02FD5"/>
    <w:rsid w:val="00D03922"/>
    <w:rsid w:val="00D057E0"/>
    <w:rsid w:val="00D10573"/>
    <w:rsid w:val="00D20EFE"/>
    <w:rsid w:val="00D229F3"/>
    <w:rsid w:val="00D24C4B"/>
    <w:rsid w:val="00D31B41"/>
    <w:rsid w:val="00D332B9"/>
    <w:rsid w:val="00D33AA3"/>
    <w:rsid w:val="00D34940"/>
    <w:rsid w:val="00D34B6B"/>
    <w:rsid w:val="00D34CBC"/>
    <w:rsid w:val="00D408C7"/>
    <w:rsid w:val="00D42B1C"/>
    <w:rsid w:val="00D47BB3"/>
    <w:rsid w:val="00D5707F"/>
    <w:rsid w:val="00D57396"/>
    <w:rsid w:val="00D6069F"/>
    <w:rsid w:val="00D60A95"/>
    <w:rsid w:val="00D623D8"/>
    <w:rsid w:val="00D64AB7"/>
    <w:rsid w:val="00D67C0C"/>
    <w:rsid w:val="00D75AEF"/>
    <w:rsid w:val="00D770AB"/>
    <w:rsid w:val="00D816CB"/>
    <w:rsid w:val="00D83055"/>
    <w:rsid w:val="00D92E7C"/>
    <w:rsid w:val="00D9491D"/>
    <w:rsid w:val="00DA0766"/>
    <w:rsid w:val="00DA5EEB"/>
    <w:rsid w:val="00DA7635"/>
    <w:rsid w:val="00DB297C"/>
    <w:rsid w:val="00DB4344"/>
    <w:rsid w:val="00DB7186"/>
    <w:rsid w:val="00DC0086"/>
    <w:rsid w:val="00DC0473"/>
    <w:rsid w:val="00DC2146"/>
    <w:rsid w:val="00DC5D0F"/>
    <w:rsid w:val="00DC6A2F"/>
    <w:rsid w:val="00DD1440"/>
    <w:rsid w:val="00DD1C3C"/>
    <w:rsid w:val="00DD20E9"/>
    <w:rsid w:val="00DE1655"/>
    <w:rsid w:val="00DE165D"/>
    <w:rsid w:val="00DE6540"/>
    <w:rsid w:val="00DE7ED9"/>
    <w:rsid w:val="00DF05A0"/>
    <w:rsid w:val="00DF47DA"/>
    <w:rsid w:val="00DF50B3"/>
    <w:rsid w:val="00DF5E1F"/>
    <w:rsid w:val="00DF7368"/>
    <w:rsid w:val="00E0036B"/>
    <w:rsid w:val="00E019E6"/>
    <w:rsid w:val="00E01FC2"/>
    <w:rsid w:val="00E034B3"/>
    <w:rsid w:val="00E11C68"/>
    <w:rsid w:val="00E1222B"/>
    <w:rsid w:val="00E125B3"/>
    <w:rsid w:val="00E126C3"/>
    <w:rsid w:val="00E12F97"/>
    <w:rsid w:val="00E1378E"/>
    <w:rsid w:val="00E13C7D"/>
    <w:rsid w:val="00E13FA6"/>
    <w:rsid w:val="00E150A1"/>
    <w:rsid w:val="00E2254B"/>
    <w:rsid w:val="00E33279"/>
    <w:rsid w:val="00E34012"/>
    <w:rsid w:val="00E34093"/>
    <w:rsid w:val="00E34784"/>
    <w:rsid w:val="00E36CA0"/>
    <w:rsid w:val="00E42071"/>
    <w:rsid w:val="00E42DF8"/>
    <w:rsid w:val="00E4508C"/>
    <w:rsid w:val="00E46574"/>
    <w:rsid w:val="00E5211B"/>
    <w:rsid w:val="00E54160"/>
    <w:rsid w:val="00E54195"/>
    <w:rsid w:val="00E5528A"/>
    <w:rsid w:val="00E55476"/>
    <w:rsid w:val="00E64375"/>
    <w:rsid w:val="00E6653D"/>
    <w:rsid w:val="00E715BB"/>
    <w:rsid w:val="00E73F72"/>
    <w:rsid w:val="00E811A4"/>
    <w:rsid w:val="00E90FB3"/>
    <w:rsid w:val="00EA0C2B"/>
    <w:rsid w:val="00EA2A70"/>
    <w:rsid w:val="00EA67B9"/>
    <w:rsid w:val="00EB02BE"/>
    <w:rsid w:val="00EB2A7A"/>
    <w:rsid w:val="00EB389D"/>
    <w:rsid w:val="00EB421C"/>
    <w:rsid w:val="00EB551D"/>
    <w:rsid w:val="00EB55A1"/>
    <w:rsid w:val="00EB620E"/>
    <w:rsid w:val="00EC2107"/>
    <w:rsid w:val="00EC4A12"/>
    <w:rsid w:val="00ED1616"/>
    <w:rsid w:val="00ED6CBD"/>
    <w:rsid w:val="00EE1A85"/>
    <w:rsid w:val="00EE3C5B"/>
    <w:rsid w:val="00EE60CF"/>
    <w:rsid w:val="00EE6E03"/>
    <w:rsid w:val="00EE71EE"/>
    <w:rsid w:val="00EF5A84"/>
    <w:rsid w:val="00F003BE"/>
    <w:rsid w:val="00F004F3"/>
    <w:rsid w:val="00F014DC"/>
    <w:rsid w:val="00F0248A"/>
    <w:rsid w:val="00F05C2E"/>
    <w:rsid w:val="00F11DDE"/>
    <w:rsid w:val="00F12B6C"/>
    <w:rsid w:val="00F1391C"/>
    <w:rsid w:val="00F14A68"/>
    <w:rsid w:val="00F23835"/>
    <w:rsid w:val="00F25465"/>
    <w:rsid w:val="00F266D1"/>
    <w:rsid w:val="00F26E06"/>
    <w:rsid w:val="00F37732"/>
    <w:rsid w:val="00F449DD"/>
    <w:rsid w:val="00F46007"/>
    <w:rsid w:val="00F468BE"/>
    <w:rsid w:val="00F56B0F"/>
    <w:rsid w:val="00F57A15"/>
    <w:rsid w:val="00F6329E"/>
    <w:rsid w:val="00F6401E"/>
    <w:rsid w:val="00F659DE"/>
    <w:rsid w:val="00F67E33"/>
    <w:rsid w:val="00F70DD1"/>
    <w:rsid w:val="00F71B0D"/>
    <w:rsid w:val="00F75714"/>
    <w:rsid w:val="00F758CE"/>
    <w:rsid w:val="00F815D2"/>
    <w:rsid w:val="00F841AF"/>
    <w:rsid w:val="00F87A7C"/>
    <w:rsid w:val="00F9096B"/>
    <w:rsid w:val="00F92702"/>
    <w:rsid w:val="00F93E26"/>
    <w:rsid w:val="00F95AE5"/>
    <w:rsid w:val="00F97A85"/>
    <w:rsid w:val="00FA5670"/>
    <w:rsid w:val="00FA6096"/>
    <w:rsid w:val="00FA78BF"/>
    <w:rsid w:val="00FA79D1"/>
    <w:rsid w:val="00FB1E4E"/>
    <w:rsid w:val="00FB57D9"/>
    <w:rsid w:val="00FC08E8"/>
    <w:rsid w:val="00FC1A2C"/>
    <w:rsid w:val="00FC687D"/>
    <w:rsid w:val="00FC77CC"/>
    <w:rsid w:val="00FD1F7F"/>
    <w:rsid w:val="00FD331D"/>
    <w:rsid w:val="00FD5F26"/>
    <w:rsid w:val="00FD6B42"/>
    <w:rsid w:val="00FE3312"/>
    <w:rsid w:val="00FE396E"/>
    <w:rsid w:val="00FE5583"/>
    <w:rsid w:val="00FE6075"/>
    <w:rsid w:val="00FE6F18"/>
    <w:rsid w:val="00FE7816"/>
    <w:rsid w:val="00FE7BD4"/>
    <w:rsid w:val="00FF0A2D"/>
    <w:rsid w:val="00FF1093"/>
    <w:rsid w:val="00FF2BBB"/>
    <w:rsid w:val="00FF3E5B"/>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uiPriority="0"/>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9"/>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9"/>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9"/>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9"/>
      </w:numPr>
      <w:tabs>
        <w:tab w:val="left" w:pos="1021"/>
      </w:tabs>
      <w:spacing w:before="240"/>
      <w:ind w:left="1021" w:hanging="1021"/>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9"/>
      </w:numPr>
      <w:tabs>
        <w:tab w:val="left" w:pos="1361"/>
      </w:tabs>
      <w:spacing w:line="240" w:lineRule="atLeast"/>
      <w:ind w:left="1361" w:hanging="1361"/>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9"/>
      </w:numPr>
      <w:tabs>
        <w:tab w:val="left" w:pos="1361"/>
      </w:tabs>
      <w:spacing w:before="240"/>
      <w:ind w:left="1361" w:hanging="1361"/>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9"/>
      </w:numPr>
      <w:tabs>
        <w:tab w:val="left" w:pos="1701"/>
      </w:tabs>
      <w:spacing w:before="240"/>
      <w:ind w:left="1701" w:hanging="1701"/>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9"/>
      </w:numPr>
      <w:tabs>
        <w:tab w:val="left" w:pos="1701"/>
      </w:tabs>
      <w:spacing w:before="240"/>
      <w:ind w:left="1701" w:hanging="1701"/>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9"/>
      </w:numPr>
      <w:tabs>
        <w:tab w:val="left" w:pos="1701"/>
      </w:tabs>
      <w:spacing w:before="240"/>
      <w:ind w:left="1701" w:hanging="1701"/>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20"/>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1"/>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5"/>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8"/>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Electricity/Market-Operations/Ancillary-Services/Process-Documentation/Ancillary-Services-Causer-Pays-Contribution-Factors" TargetMode="External"/><Relationship Id="rId2" Type="http://schemas.openxmlformats.org/officeDocument/2006/relationships/hyperlink" Target="http://www.aemo.com.au/Electricity/Data/Ancillary-Services/Ancillary-Services-Payments-and-Recovery" TargetMode="External"/><Relationship Id="rId1" Type="http://schemas.openxmlformats.org/officeDocument/2006/relationships/hyperlink" Target="http://www.aemo.com.au/Electricity/Policies-and-Procedures/System-Operating-Procedures/Dispatch-SO_OP3705" TargetMode="External"/><Relationship Id="rId4" Type="http://schemas.openxmlformats.org/officeDocument/2006/relationships/hyperlink" Target="http://www.aemo.com.au"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6456AC-F914-442A-8F22-1889539F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41D33EC</Template>
  <TotalTime>0</TotalTime>
  <Pages>65</Pages>
  <Words>15779</Words>
  <Characters>89946</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2015-12-22T01:35:00Z</dcterms:created>
  <dcterms:modified xsi:type="dcterms:W3CDTF">2015-12-22T01:38:00Z</dcterms:modified>
</cp:coreProperties>
</file>