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4B8" w:rsidRDefault="006814B8" w:rsidP="006814B8">
      <w:pPr>
        <w:rPr>
          <w:rFonts w:ascii="Times New Roman" w:hAnsi="Times New Roman"/>
        </w:rPr>
      </w:pPr>
      <w:bookmarkStart w:id="0" w:name="_GoBack"/>
      <w:bookmarkEnd w:id="0"/>
      <w:r>
        <w:rPr>
          <w:rFonts w:ascii="Times New Roman" w:hAnsi="Times New Roman"/>
          <w:noProof/>
          <w:lang w:val="en-AU"/>
        </w:rPr>
        <w:drawing>
          <wp:anchor distT="0" distB="0" distL="114300" distR="114300" simplePos="0" relativeHeight="251659264" behindDoc="0" locked="0" layoutInCell="1" allowOverlap="1">
            <wp:simplePos x="0" y="0"/>
            <wp:positionH relativeFrom="column">
              <wp:posOffset>2411730</wp:posOffset>
            </wp:positionH>
            <wp:positionV relativeFrom="paragraph">
              <wp:posOffset>-690880</wp:posOffset>
            </wp:positionV>
            <wp:extent cx="3981450" cy="2028190"/>
            <wp:effectExtent l="0" t="0" r="0" b="0"/>
            <wp:wrapNone/>
            <wp:docPr id="2" name="Picture 2"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Pr="004A1E8A" w:rsidRDefault="006814B8" w:rsidP="006814B8">
      <w:pPr>
        <w:rPr>
          <w:rFonts w:ascii="Times New Roman" w:hAnsi="Times New Roman"/>
          <w:sz w:val="20"/>
        </w:rPr>
      </w:pPr>
      <w:r w:rsidRPr="004A1E8A">
        <w:rPr>
          <w:rFonts w:ascii="Times New Roman" w:hAnsi="Times New Roman"/>
          <w:sz w:val="20"/>
        </w:rPr>
        <w:t>Our Ref:</w:t>
      </w:r>
      <w:r w:rsidRPr="004A1E8A">
        <w:rPr>
          <w:rFonts w:ascii="Times New Roman" w:hAnsi="Times New Roman"/>
          <w:sz w:val="20"/>
        </w:rPr>
        <w:tab/>
      </w:r>
      <w:r w:rsidRPr="004A1E8A">
        <w:rPr>
          <w:rFonts w:ascii="Times New Roman" w:hAnsi="Times New Roman"/>
          <w:sz w:val="20"/>
        </w:rPr>
        <w:tab/>
      </w:r>
      <w:bookmarkStart w:id="1" w:name="OurRef"/>
      <w:bookmarkEnd w:id="1"/>
      <w:r>
        <w:rPr>
          <w:rFonts w:ascii="Times New Roman" w:hAnsi="Times New Roman"/>
          <w:sz w:val="20"/>
        </w:rPr>
        <w:t>57948</w:t>
      </w:r>
    </w:p>
    <w:p w:rsidR="006814B8" w:rsidRPr="004A1E8A" w:rsidRDefault="006814B8" w:rsidP="006814B8">
      <w:pPr>
        <w:rPr>
          <w:rFonts w:ascii="Times New Roman" w:hAnsi="Times New Roman"/>
          <w:sz w:val="20"/>
        </w:rPr>
      </w:pPr>
      <w:r w:rsidRPr="004A1E8A">
        <w:rPr>
          <w:rFonts w:ascii="Times New Roman" w:hAnsi="Times New Roman"/>
          <w:sz w:val="20"/>
        </w:rPr>
        <w:t xml:space="preserve">Contact Officer: </w:t>
      </w:r>
      <w:r w:rsidRPr="004A1E8A">
        <w:rPr>
          <w:rFonts w:ascii="Times New Roman" w:hAnsi="Times New Roman"/>
          <w:sz w:val="20"/>
        </w:rPr>
        <w:tab/>
      </w:r>
      <w:r>
        <w:rPr>
          <w:rFonts w:ascii="Times New Roman" w:hAnsi="Times New Roman"/>
          <w:sz w:val="20"/>
        </w:rPr>
        <w:t>Tom</w:t>
      </w:r>
      <w:r w:rsidRPr="004A1E8A">
        <w:rPr>
          <w:rFonts w:ascii="Times New Roman" w:hAnsi="Times New Roman"/>
          <w:sz w:val="20"/>
        </w:rPr>
        <w:t xml:space="preserve"> </w:t>
      </w:r>
      <w:r>
        <w:rPr>
          <w:rFonts w:ascii="Times New Roman" w:hAnsi="Times New Roman"/>
          <w:sz w:val="20"/>
        </w:rPr>
        <w:t>Stevens-Downie</w:t>
      </w:r>
      <w:r w:rsidRPr="004A1E8A">
        <w:rPr>
          <w:rFonts w:ascii="Times New Roman" w:hAnsi="Times New Roman"/>
          <w:sz w:val="20"/>
        </w:rPr>
        <w:t xml:space="preserve"> </w:t>
      </w:r>
    </w:p>
    <w:p w:rsidR="006814B8" w:rsidRPr="004A1E8A" w:rsidRDefault="006814B8" w:rsidP="006814B8">
      <w:pPr>
        <w:rPr>
          <w:rFonts w:ascii="Times New Roman" w:hAnsi="Times New Roman"/>
          <w:sz w:val="20"/>
        </w:rPr>
      </w:pPr>
      <w:r w:rsidRPr="004A1E8A">
        <w:rPr>
          <w:rFonts w:ascii="Times New Roman" w:hAnsi="Times New Roman"/>
          <w:sz w:val="20"/>
        </w:rPr>
        <w:t>Contact Phone:</w:t>
      </w:r>
      <w:r w:rsidRPr="004A1E8A">
        <w:rPr>
          <w:rFonts w:ascii="Times New Roman" w:hAnsi="Times New Roman"/>
          <w:sz w:val="20"/>
        </w:rPr>
        <w:tab/>
      </w:r>
      <w:bookmarkStart w:id="2" w:name="ContactPhone"/>
      <w:bookmarkEnd w:id="2"/>
      <w:r w:rsidRPr="004A1E8A">
        <w:rPr>
          <w:rFonts w:ascii="Times New Roman" w:hAnsi="Times New Roman"/>
          <w:sz w:val="20"/>
        </w:rPr>
        <w:t>0</w:t>
      </w:r>
      <w:r>
        <w:rPr>
          <w:rFonts w:ascii="Times New Roman" w:hAnsi="Times New Roman"/>
          <w:sz w:val="20"/>
        </w:rPr>
        <w:t>3</w:t>
      </w:r>
      <w:r w:rsidRPr="004A1E8A">
        <w:rPr>
          <w:rFonts w:ascii="Times New Roman" w:hAnsi="Times New Roman"/>
          <w:sz w:val="20"/>
        </w:rPr>
        <w:t xml:space="preserve"> </w:t>
      </w:r>
      <w:r>
        <w:rPr>
          <w:rFonts w:ascii="Times New Roman" w:hAnsi="Times New Roman"/>
          <w:sz w:val="20"/>
        </w:rPr>
        <w:t>9290</w:t>
      </w:r>
      <w:r w:rsidRPr="004A1E8A">
        <w:rPr>
          <w:rFonts w:ascii="Times New Roman" w:hAnsi="Times New Roman"/>
          <w:sz w:val="20"/>
        </w:rPr>
        <w:t xml:space="preserve"> </w:t>
      </w:r>
      <w:r>
        <w:rPr>
          <w:rFonts w:ascii="Times New Roman" w:hAnsi="Times New Roman"/>
          <w:sz w:val="20"/>
        </w:rPr>
        <w:t>6984</w:t>
      </w:r>
    </w:p>
    <w:p w:rsidR="006814B8" w:rsidRPr="004A1E8A" w:rsidRDefault="006814B8" w:rsidP="006814B8">
      <w:pPr>
        <w:rPr>
          <w:rFonts w:ascii="Times New Roman" w:hAnsi="Times New Roman"/>
          <w:sz w:val="20"/>
        </w:rPr>
      </w:pPr>
    </w:p>
    <w:p w:rsidR="006814B8" w:rsidRPr="004A1E8A" w:rsidRDefault="006814B8" w:rsidP="006814B8">
      <w:pPr>
        <w:rPr>
          <w:rFonts w:ascii="Times New Roman" w:hAnsi="Times New Roman"/>
        </w:rPr>
      </w:pPr>
      <w:bookmarkStart w:id="3" w:name="Date"/>
      <w:bookmarkEnd w:id="3"/>
      <w:r>
        <w:rPr>
          <w:rFonts w:ascii="Times New Roman" w:hAnsi="Times New Roman"/>
        </w:rPr>
        <w:t>9</w:t>
      </w:r>
      <w:r w:rsidRPr="004A1E8A">
        <w:rPr>
          <w:rFonts w:ascii="Times New Roman" w:hAnsi="Times New Roman"/>
        </w:rPr>
        <w:t xml:space="preserve"> </w:t>
      </w:r>
      <w:r w:rsidR="00795690">
        <w:rPr>
          <w:rFonts w:ascii="Times New Roman" w:hAnsi="Times New Roman"/>
        </w:rPr>
        <w:t>October</w:t>
      </w:r>
      <w:r w:rsidRPr="004A1E8A">
        <w:rPr>
          <w:rFonts w:ascii="Times New Roman" w:hAnsi="Times New Roman"/>
        </w:rPr>
        <w:t xml:space="preserve"> 201</w:t>
      </w:r>
      <w:r>
        <w:rPr>
          <w:rFonts w:ascii="Times New Roman" w:hAnsi="Times New Roman"/>
        </w:rPr>
        <w:t>5</w:t>
      </w:r>
      <w:r w:rsidRPr="004A1E8A">
        <w:rPr>
          <w:rFonts w:ascii="Times New Roman" w:hAnsi="Times New Roman"/>
        </w:rPr>
        <w:t xml:space="preserve"> </w:t>
      </w:r>
    </w:p>
    <w:p w:rsidR="006814B8" w:rsidRPr="004A1E8A" w:rsidRDefault="006814B8" w:rsidP="006814B8">
      <w:pPr>
        <w:rPr>
          <w:rFonts w:ascii="Times New Roman" w:hAnsi="Times New Roman"/>
        </w:rPr>
      </w:pPr>
    </w:p>
    <w:p w:rsidR="006814B8" w:rsidRPr="004A1E8A" w:rsidRDefault="006814B8" w:rsidP="006814B8">
      <w:pPr>
        <w:rPr>
          <w:rFonts w:ascii="Times New Roman" w:hAnsi="Times New Roman"/>
          <w:lang w:val="en-AU"/>
        </w:rPr>
      </w:pPr>
      <w:r>
        <w:rPr>
          <w:rFonts w:ascii="Times New Roman" w:hAnsi="Times New Roman"/>
          <w:lang w:val="en-AU"/>
        </w:rPr>
        <w:t>Mr</w:t>
      </w:r>
      <w:r w:rsidRPr="004A1E8A">
        <w:rPr>
          <w:rFonts w:ascii="Times New Roman" w:hAnsi="Times New Roman"/>
          <w:lang w:val="en-AU"/>
        </w:rPr>
        <w:t xml:space="preserve"> </w:t>
      </w:r>
      <w:r>
        <w:rPr>
          <w:rFonts w:ascii="Times New Roman" w:hAnsi="Times New Roman"/>
          <w:lang w:val="en-AU"/>
        </w:rPr>
        <w:t>Mark Gleeson</w:t>
      </w:r>
    </w:p>
    <w:p w:rsidR="006814B8" w:rsidRPr="004A1E8A" w:rsidRDefault="006814B8" w:rsidP="006814B8">
      <w:pPr>
        <w:rPr>
          <w:rFonts w:ascii="Times New Roman" w:hAnsi="Times New Roman"/>
          <w:lang w:val="en-AU"/>
        </w:rPr>
      </w:pPr>
      <w:r>
        <w:rPr>
          <w:rFonts w:ascii="Times New Roman" w:hAnsi="Times New Roman"/>
          <w:lang w:val="en-AU"/>
        </w:rPr>
        <w:t>National Facilities</w:t>
      </w:r>
      <w:r w:rsidRPr="004A1E8A">
        <w:rPr>
          <w:rFonts w:ascii="Times New Roman" w:hAnsi="Times New Roman"/>
          <w:lang w:val="en-AU"/>
        </w:rPr>
        <w:t xml:space="preserve"> Manager</w:t>
      </w:r>
    </w:p>
    <w:p w:rsidR="006814B8" w:rsidRPr="004A1E8A" w:rsidRDefault="006814B8" w:rsidP="006814B8">
      <w:pPr>
        <w:rPr>
          <w:rFonts w:ascii="Times New Roman" w:hAnsi="Times New Roman"/>
          <w:lang w:val="en-AU"/>
        </w:rPr>
      </w:pPr>
      <w:proofErr w:type="spellStart"/>
      <w:r>
        <w:rPr>
          <w:rFonts w:ascii="Times New Roman" w:hAnsi="Times New Roman"/>
          <w:lang w:val="en-AU"/>
        </w:rPr>
        <w:t>Scentre</w:t>
      </w:r>
      <w:proofErr w:type="spellEnd"/>
      <w:r>
        <w:rPr>
          <w:rFonts w:ascii="Times New Roman" w:hAnsi="Times New Roman"/>
          <w:lang w:val="en-AU"/>
        </w:rPr>
        <w:t xml:space="preserve"> Group</w:t>
      </w:r>
    </w:p>
    <w:p w:rsidR="006814B8" w:rsidRPr="004A1E8A" w:rsidRDefault="006814B8" w:rsidP="006814B8">
      <w:pPr>
        <w:rPr>
          <w:rFonts w:ascii="Times New Roman" w:hAnsi="Times New Roman"/>
          <w:lang w:val="en-AU"/>
        </w:rPr>
      </w:pPr>
      <w:r>
        <w:rPr>
          <w:rFonts w:ascii="Times New Roman" w:hAnsi="Times New Roman"/>
          <w:lang w:val="en-AU"/>
        </w:rPr>
        <w:t>85 Castlereagh Street</w:t>
      </w:r>
      <w:r w:rsidRPr="004A1E8A">
        <w:rPr>
          <w:rFonts w:ascii="Times New Roman" w:hAnsi="Times New Roman"/>
          <w:lang w:val="en-AU"/>
        </w:rPr>
        <w:t>, Sydney NSW 2000</w:t>
      </w:r>
    </w:p>
    <w:p w:rsidR="006814B8" w:rsidRPr="004A1E8A" w:rsidRDefault="006814B8" w:rsidP="006814B8">
      <w:pPr>
        <w:rPr>
          <w:rFonts w:ascii="Times New Roman" w:hAnsi="Times New Roman"/>
        </w:rPr>
      </w:pPr>
      <w:bookmarkStart w:id="4" w:name="Recipient"/>
      <w:bookmarkEnd w:id="4"/>
    </w:p>
    <w:p w:rsidR="006814B8" w:rsidRPr="004A1E8A" w:rsidRDefault="006814B8" w:rsidP="006814B8">
      <w:pPr>
        <w:rPr>
          <w:rFonts w:ascii="Times New Roman" w:hAnsi="Times New Roman"/>
        </w:rPr>
      </w:pPr>
      <w:bookmarkStart w:id="5" w:name="Salutation"/>
      <w:bookmarkEnd w:id="5"/>
      <w:r w:rsidRPr="004A1E8A">
        <w:rPr>
          <w:rFonts w:ascii="Times New Roman" w:hAnsi="Times New Roman"/>
        </w:rPr>
        <w:t>Dear M</w:t>
      </w:r>
      <w:r>
        <w:rPr>
          <w:rFonts w:ascii="Times New Roman" w:hAnsi="Times New Roman"/>
        </w:rPr>
        <w:t>r</w:t>
      </w:r>
      <w:r w:rsidRPr="004A1E8A">
        <w:rPr>
          <w:rFonts w:ascii="Times New Roman" w:hAnsi="Times New Roman"/>
        </w:rPr>
        <w:t xml:space="preserve"> </w:t>
      </w:r>
      <w:r>
        <w:rPr>
          <w:rFonts w:ascii="Times New Roman" w:hAnsi="Times New Roman"/>
        </w:rPr>
        <w:t>Gleeson</w:t>
      </w:r>
    </w:p>
    <w:p w:rsidR="006814B8" w:rsidRPr="004A1E8A" w:rsidRDefault="006814B8" w:rsidP="006814B8">
      <w:pPr>
        <w:rPr>
          <w:rFonts w:ascii="Times New Roman" w:hAnsi="Times New Roman"/>
        </w:rPr>
      </w:pPr>
    </w:p>
    <w:p w:rsidR="006814B8" w:rsidRPr="008850D3" w:rsidRDefault="006814B8" w:rsidP="006814B8">
      <w:pPr>
        <w:rPr>
          <w:rFonts w:ascii="Times New Roman" w:hAnsi="Times New Roman"/>
          <w:lang w:val="en-AU"/>
        </w:rPr>
      </w:pPr>
      <w:proofErr w:type="spellStart"/>
      <w:r>
        <w:rPr>
          <w:rFonts w:ascii="Times New Roman" w:hAnsi="Times New Roman"/>
          <w:b/>
        </w:rPr>
        <w:t>Scentre</w:t>
      </w:r>
      <w:proofErr w:type="spellEnd"/>
      <w:r>
        <w:rPr>
          <w:rFonts w:ascii="Times New Roman" w:hAnsi="Times New Roman"/>
          <w:b/>
        </w:rPr>
        <w:t xml:space="preserve"> Group</w:t>
      </w:r>
      <w:r w:rsidRPr="004A1E8A">
        <w:rPr>
          <w:rFonts w:ascii="Times New Roman" w:hAnsi="Times New Roman"/>
          <w:lang w:val="en-AU"/>
        </w:rPr>
        <w:t xml:space="preserve"> </w:t>
      </w:r>
      <w:r w:rsidRPr="004A1E8A">
        <w:rPr>
          <w:rFonts w:ascii="Times New Roman" w:hAnsi="Times New Roman"/>
          <w:b/>
        </w:rPr>
        <w:t>application</w:t>
      </w:r>
      <w:r>
        <w:rPr>
          <w:rFonts w:ascii="Times New Roman" w:hAnsi="Times New Roman"/>
          <w:b/>
        </w:rPr>
        <w:t>s</w:t>
      </w:r>
      <w:r w:rsidRPr="004A1E8A">
        <w:rPr>
          <w:rFonts w:ascii="Times New Roman" w:hAnsi="Times New Roman"/>
          <w:b/>
        </w:rPr>
        <w:t xml:space="preserve"> for an electricity individual exemption</w:t>
      </w:r>
      <w:r>
        <w:rPr>
          <w:rFonts w:ascii="Times New Roman" w:hAnsi="Times New Roman"/>
          <w:b/>
        </w:rPr>
        <w:t xml:space="preserve">  </w:t>
      </w:r>
    </w:p>
    <w:p w:rsidR="006814B8" w:rsidRDefault="006814B8" w:rsidP="006814B8">
      <w:pPr>
        <w:pStyle w:val="AERbodytext"/>
        <w:spacing w:after="0"/>
        <w:rPr>
          <w:b/>
        </w:rPr>
      </w:pPr>
      <w:bookmarkStart w:id="6" w:name="Subject"/>
      <w:bookmarkEnd w:id="6"/>
    </w:p>
    <w:p w:rsidR="006814B8" w:rsidRDefault="006814B8" w:rsidP="006814B8">
      <w:pPr>
        <w:rPr>
          <w:rFonts w:ascii="Times New Roman" w:hAnsi="Times New Roman"/>
        </w:rPr>
      </w:pPr>
      <w:r w:rsidRPr="004A1E8A">
        <w:rPr>
          <w:rFonts w:ascii="Times New Roman" w:hAnsi="Times New Roman"/>
        </w:rPr>
        <w:t>I refer to your application</w:t>
      </w:r>
      <w:r>
        <w:rPr>
          <w:rFonts w:ascii="Times New Roman" w:hAnsi="Times New Roman"/>
        </w:rPr>
        <w:t>s</w:t>
      </w:r>
      <w:r w:rsidRPr="004A1E8A">
        <w:rPr>
          <w:rFonts w:ascii="Times New Roman" w:hAnsi="Times New Roman"/>
        </w:rPr>
        <w:t xml:space="preserve"> of </w:t>
      </w:r>
      <w:r>
        <w:rPr>
          <w:rFonts w:ascii="Times New Roman" w:hAnsi="Times New Roman"/>
        </w:rPr>
        <w:t>10 July 2015</w:t>
      </w:r>
      <w:r w:rsidRPr="00926315">
        <w:rPr>
          <w:rFonts w:ascii="Times New Roman" w:hAnsi="Times New Roman"/>
        </w:rPr>
        <w:t xml:space="preserve"> </w:t>
      </w:r>
      <w:r>
        <w:rPr>
          <w:rFonts w:ascii="Times New Roman" w:hAnsi="Times New Roman"/>
        </w:rPr>
        <w:t>for</w:t>
      </w:r>
      <w:r w:rsidRPr="00333B3C">
        <w:rPr>
          <w:rFonts w:ascii="Times New Roman" w:hAnsi="Times New Roman"/>
        </w:rPr>
        <w:t xml:space="preserve"> </w:t>
      </w:r>
      <w:r w:rsidRPr="008850D3">
        <w:rPr>
          <w:rFonts w:ascii="Times New Roman" w:hAnsi="Times New Roman"/>
        </w:rPr>
        <w:t xml:space="preserve">an individual exemption </w:t>
      </w:r>
      <w:r>
        <w:rPr>
          <w:rFonts w:ascii="Times New Roman" w:hAnsi="Times New Roman"/>
        </w:rPr>
        <w:t>under the</w:t>
      </w:r>
      <w:r w:rsidRPr="00333B3C">
        <w:rPr>
          <w:rFonts w:ascii="Times New Roman" w:hAnsi="Times New Roman"/>
        </w:rPr>
        <w:t xml:space="preserve"> </w:t>
      </w:r>
      <w:r w:rsidR="00A81A7D">
        <w:rPr>
          <w:rFonts w:ascii="Times New Roman" w:hAnsi="Times New Roman"/>
        </w:rPr>
        <w:t>National </w:t>
      </w:r>
      <w:r w:rsidRPr="00333B3C">
        <w:rPr>
          <w:rFonts w:ascii="Times New Roman" w:hAnsi="Times New Roman"/>
        </w:rPr>
        <w:t>Energy Retail Law</w:t>
      </w:r>
      <w:r>
        <w:rPr>
          <w:rFonts w:ascii="Times New Roman" w:hAnsi="Times New Roman"/>
        </w:rPr>
        <w:t xml:space="preserve"> (Retail Law) to sell electricity under the following legal entities at the following commercial premises in NSW:</w:t>
      </w:r>
    </w:p>
    <w:p w:rsidR="006814B8" w:rsidRDefault="006814B8" w:rsidP="006814B8">
      <w:pPr>
        <w:numPr>
          <w:ilvl w:val="0"/>
          <w:numId w:val="39"/>
        </w:numPr>
        <w:rPr>
          <w:rFonts w:ascii="Times New Roman" w:hAnsi="Times New Roman"/>
        </w:rPr>
      </w:pPr>
      <w:r>
        <w:rPr>
          <w:rFonts w:ascii="Times New Roman" w:hAnsi="Times New Roman"/>
        </w:rPr>
        <w:t xml:space="preserve">P.T. Limited, Westfield </w:t>
      </w:r>
      <w:proofErr w:type="spellStart"/>
      <w:r>
        <w:rPr>
          <w:rFonts w:ascii="Times New Roman" w:hAnsi="Times New Roman"/>
        </w:rPr>
        <w:t>Chatswood</w:t>
      </w:r>
      <w:proofErr w:type="spellEnd"/>
      <w:r>
        <w:rPr>
          <w:rFonts w:ascii="Times New Roman" w:hAnsi="Times New Roman"/>
        </w:rPr>
        <w:t xml:space="preserve">, 1 Anderson Street, </w:t>
      </w:r>
      <w:proofErr w:type="spellStart"/>
      <w:r>
        <w:rPr>
          <w:rFonts w:ascii="Times New Roman" w:hAnsi="Times New Roman"/>
        </w:rPr>
        <w:t>Chatswood</w:t>
      </w:r>
      <w:proofErr w:type="spellEnd"/>
      <w:r>
        <w:rPr>
          <w:rFonts w:ascii="Times New Roman" w:hAnsi="Times New Roman"/>
        </w:rPr>
        <w:t xml:space="preserve"> 2067</w:t>
      </w:r>
    </w:p>
    <w:p w:rsidR="006814B8" w:rsidRDefault="006814B8" w:rsidP="006814B8">
      <w:pPr>
        <w:numPr>
          <w:ilvl w:val="0"/>
          <w:numId w:val="39"/>
        </w:numPr>
        <w:rPr>
          <w:rFonts w:ascii="Times New Roman" w:hAnsi="Times New Roman"/>
        </w:rPr>
      </w:pPr>
      <w:r>
        <w:rPr>
          <w:rFonts w:ascii="Times New Roman" w:hAnsi="Times New Roman"/>
        </w:rPr>
        <w:t xml:space="preserve">P.T. Limited, Westfield </w:t>
      </w:r>
      <w:proofErr w:type="spellStart"/>
      <w:r>
        <w:rPr>
          <w:rFonts w:ascii="Times New Roman" w:hAnsi="Times New Roman"/>
        </w:rPr>
        <w:t>Tuggerah</w:t>
      </w:r>
      <w:proofErr w:type="spellEnd"/>
      <w:r>
        <w:rPr>
          <w:rFonts w:ascii="Times New Roman" w:hAnsi="Times New Roman"/>
        </w:rPr>
        <w:t xml:space="preserve">, 50 </w:t>
      </w:r>
      <w:proofErr w:type="spellStart"/>
      <w:r>
        <w:rPr>
          <w:rFonts w:ascii="Times New Roman" w:hAnsi="Times New Roman"/>
        </w:rPr>
        <w:t>Wyong</w:t>
      </w:r>
      <w:proofErr w:type="spellEnd"/>
      <w:r>
        <w:rPr>
          <w:rFonts w:ascii="Times New Roman" w:hAnsi="Times New Roman"/>
        </w:rPr>
        <w:t xml:space="preserve"> Road, </w:t>
      </w:r>
      <w:proofErr w:type="spellStart"/>
      <w:r>
        <w:rPr>
          <w:rFonts w:ascii="Times New Roman" w:hAnsi="Times New Roman"/>
        </w:rPr>
        <w:t>Tuggerah</w:t>
      </w:r>
      <w:proofErr w:type="spellEnd"/>
      <w:r>
        <w:rPr>
          <w:rFonts w:ascii="Times New Roman" w:hAnsi="Times New Roman"/>
        </w:rPr>
        <w:t xml:space="preserve"> 2259</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Custodian Pty Limited, Westfield </w:t>
      </w:r>
      <w:proofErr w:type="spellStart"/>
      <w:r>
        <w:rPr>
          <w:rFonts w:ascii="Times New Roman" w:hAnsi="Times New Roman"/>
        </w:rPr>
        <w:t>Kotara</w:t>
      </w:r>
      <w:proofErr w:type="spellEnd"/>
      <w:r>
        <w:rPr>
          <w:rFonts w:ascii="Times New Roman" w:hAnsi="Times New Roman"/>
        </w:rPr>
        <w:t xml:space="preserve">, Corner of Park Avenue and </w:t>
      </w:r>
      <w:proofErr w:type="spellStart"/>
      <w:r>
        <w:rPr>
          <w:rFonts w:ascii="Times New Roman" w:hAnsi="Times New Roman"/>
        </w:rPr>
        <w:t>Northcott</w:t>
      </w:r>
      <w:proofErr w:type="spellEnd"/>
      <w:r>
        <w:rPr>
          <w:rFonts w:ascii="Times New Roman" w:hAnsi="Times New Roman"/>
        </w:rPr>
        <w:t xml:space="preserve"> Drive, </w:t>
      </w:r>
      <w:proofErr w:type="spellStart"/>
      <w:r>
        <w:rPr>
          <w:rFonts w:ascii="Times New Roman" w:hAnsi="Times New Roman"/>
        </w:rPr>
        <w:t>Kotara</w:t>
      </w:r>
      <w:proofErr w:type="spellEnd"/>
      <w:r>
        <w:rPr>
          <w:rFonts w:ascii="Times New Roman" w:hAnsi="Times New Roman"/>
        </w:rPr>
        <w:t xml:space="preserve"> 2289</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Management Limited, Westfield Bondi, 500 Oxford Street, Bondi Junction 2022</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Management Limited, Westfield </w:t>
      </w:r>
      <w:proofErr w:type="spellStart"/>
      <w:r>
        <w:rPr>
          <w:rFonts w:ascii="Times New Roman" w:hAnsi="Times New Roman"/>
        </w:rPr>
        <w:t>Hurstville</w:t>
      </w:r>
      <w:proofErr w:type="spellEnd"/>
      <w:r>
        <w:rPr>
          <w:rFonts w:ascii="Times New Roman" w:hAnsi="Times New Roman"/>
        </w:rPr>
        <w:t xml:space="preserve">, Corner of Cross Street and Park Road, </w:t>
      </w:r>
      <w:proofErr w:type="spellStart"/>
      <w:r>
        <w:rPr>
          <w:rFonts w:ascii="Times New Roman" w:hAnsi="Times New Roman"/>
        </w:rPr>
        <w:t>Hurstville</w:t>
      </w:r>
      <w:proofErr w:type="spellEnd"/>
      <w:r>
        <w:rPr>
          <w:rFonts w:ascii="Times New Roman" w:hAnsi="Times New Roman"/>
        </w:rPr>
        <w:t xml:space="preserve"> 2220</w:t>
      </w:r>
    </w:p>
    <w:p w:rsidR="006814B8" w:rsidRDefault="006814B8" w:rsidP="006814B8">
      <w:pPr>
        <w:rPr>
          <w:rFonts w:ascii="Times New Roman" w:hAnsi="Times New Roman"/>
        </w:rPr>
      </w:pPr>
    </w:p>
    <w:p w:rsidR="006814B8" w:rsidRDefault="006814B8" w:rsidP="006814B8">
      <w:pPr>
        <w:rPr>
          <w:rFonts w:ascii="Times New Roman" w:hAnsi="Times New Roman"/>
          <w:highlight w:val="yellow"/>
        </w:rPr>
      </w:pPr>
      <w:r>
        <w:rPr>
          <w:rFonts w:ascii="Times New Roman" w:hAnsi="Times New Roman"/>
        </w:rPr>
        <w:t xml:space="preserve">I </w:t>
      </w:r>
      <w:r w:rsidRPr="00333B3C">
        <w:rPr>
          <w:rFonts w:ascii="Times New Roman" w:hAnsi="Times New Roman"/>
        </w:rPr>
        <w:t>am writing to inform you that</w:t>
      </w:r>
      <w:r w:rsidRPr="00732610">
        <w:rPr>
          <w:rFonts w:ascii="Times New Roman" w:hAnsi="Times New Roman"/>
        </w:rPr>
        <w:t xml:space="preserve"> </w:t>
      </w:r>
      <w:r w:rsidRPr="00333B3C">
        <w:rPr>
          <w:rFonts w:ascii="Times New Roman" w:hAnsi="Times New Roman"/>
        </w:rPr>
        <w:t xml:space="preserve">that the Australian Energy Regulator (AER) has </w:t>
      </w:r>
      <w:r>
        <w:rPr>
          <w:rFonts w:ascii="Times New Roman" w:hAnsi="Times New Roman"/>
        </w:rPr>
        <w:t xml:space="preserve">considered </w:t>
      </w:r>
      <w:proofErr w:type="spellStart"/>
      <w:r>
        <w:rPr>
          <w:rFonts w:ascii="Times New Roman" w:hAnsi="Times New Roman"/>
        </w:rPr>
        <w:t>Scentre</w:t>
      </w:r>
      <w:proofErr w:type="spellEnd"/>
      <w:r>
        <w:rPr>
          <w:rFonts w:ascii="Times New Roman" w:hAnsi="Times New Roman"/>
        </w:rPr>
        <w:t xml:space="preserve"> Group’s applications for an individual exemption</w:t>
      </w:r>
      <w:r w:rsidRPr="00333B3C">
        <w:rPr>
          <w:rFonts w:ascii="Times New Roman" w:hAnsi="Times New Roman"/>
        </w:rPr>
        <w:t xml:space="preserve"> </w:t>
      </w:r>
      <w:r>
        <w:rPr>
          <w:rFonts w:ascii="Times New Roman" w:hAnsi="Times New Roman"/>
        </w:rPr>
        <w:t xml:space="preserve">and that it </w:t>
      </w:r>
      <w:r w:rsidRPr="00333B3C">
        <w:rPr>
          <w:rFonts w:ascii="Times New Roman" w:hAnsi="Times New Roman"/>
        </w:rPr>
        <w:t>decided</w:t>
      </w:r>
      <w:r>
        <w:rPr>
          <w:rFonts w:ascii="Times New Roman" w:hAnsi="Times New Roman"/>
        </w:rPr>
        <w:t xml:space="preserve">, on </w:t>
      </w:r>
      <w:r w:rsidR="00101745">
        <w:rPr>
          <w:rFonts w:ascii="Times New Roman" w:hAnsi="Times New Roman"/>
        </w:rPr>
        <w:t>9</w:t>
      </w:r>
      <w:r w:rsidRPr="004A1E8A">
        <w:rPr>
          <w:rFonts w:ascii="Times New Roman" w:hAnsi="Times New Roman"/>
        </w:rPr>
        <w:t xml:space="preserve"> </w:t>
      </w:r>
      <w:r w:rsidR="00795690">
        <w:rPr>
          <w:rFonts w:ascii="Times New Roman" w:hAnsi="Times New Roman"/>
        </w:rPr>
        <w:t>Octobe</w:t>
      </w:r>
      <w:r w:rsidR="00101745">
        <w:rPr>
          <w:rFonts w:ascii="Times New Roman" w:hAnsi="Times New Roman"/>
        </w:rPr>
        <w:t>r</w:t>
      </w:r>
      <w:r w:rsidRPr="004A1E8A">
        <w:rPr>
          <w:rFonts w:ascii="Times New Roman" w:hAnsi="Times New Roman"/>
        </w:rPr>
        <w:t xml:space="preserve"> </w:t>
      </w:r>
      <w:r>
        <w:rPr>
          <w:rFonts w:ascii="Times New Roman" w:hAnsi="Times New Roman"/>
        </w:rPr>
        <w:t>2015,</w:t>
      </w:r>
      <w:r w:rsidRPr="00333B3C">
        <w:rPr>
          <w:rFonts w:ascii="Times New Roman" w:hAnsi="Times New Roman"/>
        </w:rPr>
        <w:t xml:space="preserve"> to </w:t>
      </w:r>
      <w:r>
        <w:rPr>
          <w:rFonts w:ascii="Times New Roman" w:hAnsi="Times New Roman"/>
        </w:rPr>
        <w:t xml:space="preserve">grant </w:t>
      </w:r>
      <w:r w:rsidR="00101745">
        <w:rPr>
          <w:rFonts w:ascii="Times New Roman" w:hAnsi="Times New Roman"/>
        </w:rPr>
        <w:t>all five</w:t>
      </w:r>
      <w:r w:rsidRPr="008850D3">
        <w:rPr>
          <w:rFonts w:ascii="Times New Roman" w:hAnsi="Times New Roman"/>
        </w:rPr>
        <w:t xml:space="preserve"> individual exemption</w:t>
      </w:r>
      <w:r w:rsidR="00101745">
        <w:rPr>
          <w:rFonts w:ascii="Times New Roman" w:hAnsi="Times New Roman"/>
        </w:rPr>
        <w:t>s</w:t>
      </w:r>
      <w:r w:rsidRPr="008850D3">
        <w:rPr>
          <w:rFonts w:ascii="Times New Roman" w:hAnsi="Times New Roman"/>
        </w:rPr>
        <w:t xml:space="preserve"> in</w:t>
      </w:r>
      <w:r>
        <w:rPr>
          <w:rFonts w:ascii="Times New Roman" w:hAnsi="Times New Roman"/>
        </w:rPr>
        <w:t xml:space="preserve"> accordance with s.110</w:t>
      </w:r>
      <w:r w:rsidRPr="00333B3C">
        <w:rPr>
          <w:rFonts w:ascii="Times New Roman" w:hAnsi="Times New Roman"/>
        </w:rPr>
        <w:t xml:space="preserve"> of the </w:t>
      </w:r>
      <w:r>
        <w:rPr>
          <w:rFonts w:ascii="Times New Roman" w:hAnsi="Times New Roman"/>
        </w:rPr>
        <w:t>Retail Law</w:t>
      </w:r>
      <w:r w:rsidRPr="005A600D">
        <w:rPr>
          <w:rFonts w:ascii="Times New Roman" w:hAnsi="Times New Roman"/>
        </w:rPr>
        <w:t>.</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In accordance with the National Energy Retail Rules, the AER has published the application</w:t>
      </w:r>
      <w:r w:rsidR="00101745">
        <w:rPr>
          <w:rFonts w:ascii="Times New Roman" w:hAnsi="Times New Roman"/>
        </w:rPr>
        <w:t>s</w:t>
      </w:r>
      <w:r>
        <w:rPr>
          <w:rFonts w:ascii="Times New Roman" w:hAnsi="Times New Roman"/>
        </w:rPr>
        <w:t xml:space="preserve"> on its website, and sought submissions from interested parties.</w:t>
      </w:r>
      <w:r>
        <w:rPr>
          <w:rStyle w:val="FootnoteReference"/>
          <w:rFonts w:ascii="Times New Roman" w:hAnsi="Times New Roman"/>
        </w:rPr>
        <w:footnoteReference w:id="1"/>
      </w:r>
      <w:r>
        <w:rPr>
          <w:rFonts w:ascii="Times New Roman" w:hAnsi="Times New Roman"/>
        </w:rPr>
        <w:t xml:space="preserve">  The AER</w:t>
      </w:r>
      <w:r w:rsidRPr="000A097F">
        <w:rPr>
          <w:rFonts w:ascii="Times New Roman" w:hAnsi="Times New Roman"/>
        </w:rPr>
        <w:t xml:space="preserve"> </w:t>
      </w:r>
      <w:r>
        <w:rPr>
          <w:rFonts w:ascii="Times New Roman" w:hAnsi="Times New Roman"/>
        </w:rPr>
        <w:t>did not r</w:t>
      </w:r>
      <w:r w:rsidRPr="000A097F">
        <w:rPr>
          <w:rFonts w:ascii="Times New Roman" w:hAnsi="Times New Roman"/>
        </w:rPr>
        <w:t>eceive</w:t>
      </w:r>
      <w:r>
        <w:rPr>
          <w:rFonts w:ascii="Times New Roman" w:hAnsi="Times New Roman"/>
        </w:rPr>
        <w:t xml:space="preserve"> any </w:t>
      </w:r>
      <w:r w:rsidRPr="000A097F">
        <w:rPr>
          <w:rFonts w:ascii="Times New Roman" w:hAnsi="Times New Roman"/>
        </w:rPr>
        <w:t>submission</w:t>
      </w:r>
      <w:r>
        <w:rPr>
          <w:rFonts w:ascii="Times New Roman" w:hAnsi="Times New Roman"/>
        </w:rPr>
        <w:t>s</w:t>
      </w:r>
      <w:r w:rsidRPr="000A097F">
        <w:rPr>
          <w:rFonts w:ascii="Times New Roman" w:hAnsi="Times New Roman"/>
        </w:rPr>
        <w:t xml:space="preserve"> in response </w:t>
      </w:r>
      <w:r w:rsidRPr="00070CC1">
        <w:rPr>
          <w:rFonts w:ascii="Times New Roman" w:hAnsi="Times New Roman"/>
        </w:rPr>
        <w:t xml:space="preserve">to </w:t>
      </w:r>
      <w:proofErr w:type="spellStart"/>
      <w:r w:rsidR="00101745">
        <w:rPr>
          <w:rFonts w:ascii="Times New Roman" w:hAnsi="Times New Roman"/>
        </w:rPr>
        <w:t>Scentre</w:t>
      </w:r>
      <w:proofErr w:type="spellEnd"/>
      <w:r w:rsidR="00101745">
        <w:rPr>
          <w:rFonts w:ascii="Times New Roman" w:hAnsi="Times New Roman"/>
        </w:rPr>
        <w:t xml:space="preserve"> Group</w:t>
      </w:r>
      <w:r>
        <w:rPr>
          <w:rFonts w:ascii="Times New Roman" w:hAnsi="Times New Roman"/>
        </w:rPr>
        <w:t>’s</w:t>
      </w:r>
      <w:r w:rsidRPr="000A097F">
        <w:rPr>
          <w:rFonts w:ascii="Times New Roman" w:hAnsi="Times New Roman"/>
        </w:rPr>
        <w:t xml:space="preserve"> application</w:t>
      </w:r>
      <w:r w:rsidR="00101745">
        <w:rPr>
          <w:rFonts w:ascii="Times New Roman" w:hAnsi="Times New Roman"/>
        </w:rPr>
        <w:t>s</w:t>
      </w:r>
      <w:r w:rsidRPr="000A097F">
        <w:rPr>
          <w:rFonts w:ascii="Times New Roman" w:hAnsi="Times New Roman"/>
        </w:rPr>
        <w:t xml:space="preserve">. </w:t>
      </w:r>
      <w:r>
        <w:rPr>
          <w:rFonts w:ascii="Times New Roman" w:hAnsi="Times New Roman"/>
        </w:rPr>
        <w:t xml:space="preserve">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 xml:space="preserve">The AER has considered the policy principles relating to exempt selling in s. 114 of the Retail Law, being: </w:t>
      </w:r>
    </w:p>
    <w:p w:rsidR="006814B8" w:rsidRDefault="006814B8" w:rsidP="006814B8">
      <w:pPr>
        <w:rPr>
          <w:rFonts w:ascii="Times New Roman" w:hAnsi="Times New Roman"/>
        </w:rPr>
      </w:pPr>
    </w:p>
    <w:p w:rsidR="006814B8"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r>
        <w:rPr>
          <w:rFonts w:ascii="Times New Roman" w:eastAsia="Calibri" w:hAnsi="Times New Roman"/>
          <w:sz w:val="20"/>
          <w:lang w:val="en-AU" w:eastAsia="en-US"/>
        </w:rPr>
        <w:t xml:space="preserve">regulatory arrangements for exempt sellers should not unnecessarily diverge from those applying to retailers,  </w:t>
      </w:r>
    </w:p>
    <w:p w:rsidR="006814B8" w:rsidRPr="00AC2CA5" w:rsidRDefault="006814B8" w:rsidP="006814B8">
      <w:pPr>
        <w:pStyle w:val="ListParagraph"/>
        <w:autoSpaceDE w:val="0"/>
        <w:autoSpaceDN w:val="0"/>
        <w:adjustRightInd w:val="0"/>
        <w:rPr>
          <w:rFonts w:ascii="Times New Roman" w:eastAsia="Calibri" w:hAnsi="Times New Roman"/>
          <w:sz w:val="20"/>
          <w:lang w:val="en-AU" w:eastAsia="en-US"/>
        </w:rPr>
      </w:pPr>
    </w:p>
    <w:p w:rsidR="006814B8"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r>
        <w:rPr>
          <w:rFonts w:ascii="Times New Roman" w:eastAsia="Calibri" w:hAnsi="Times New Roman"/>
          <w:sz w:val="20"/>
          <w:lang w:val="en-AU" w:eastAsia="en-US"/>
        </w:rPr>
        <w:t xml:space="preserve">exempt customers, should, as far as practicable, be afforded the right to a choice of retailer in the same way comparable retail customers in the same jurisdiction have that right, </w:t>
      </w:r>
    </w:p>
    <w:p w:rsidR="006814B8" w:rsidRDefault="006814B8" w:rsidP="006814B8">
      <w:pPr>
        <w:pStyle w:val="ListParagraph"/>
        <w:rPr>
          <w:rFonts w:ascii="Times New Roman" w:eastAsia="Calibri" w:hAnsi="Times New Roman"/>
          <w:sz w:val="20"/>
          <w:lang w:val="en-AU" w:eastAsia="en-US"/>
        </w:rPr>
      </w:pPr>
    </w:p>
    <w:p w:rsidR="006814B8" w:rsidRPr="008850D3"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proofErr w:type="gramStart"/>
      <w:r w:rsidRPr="008850D3">
        <w:rPr>
          <w:rFonts w:ascii="Times New Roman" w:eastAsia="Calibri" w:hAnsi="Times New Roman"/>
          <w:sz w:val="20"/>
          <w:lang w:val="en-AU" w:eastAsia="en-US"/>
        </w:rPr>
        <w:t>exempt</w:t>
      </w:r>
      <w:proofErr w:type="gramEnd"/>
      <w:r w:rsidRPr="008850D3">
        <w:rPr>
          <w:rFonts w:ascii="Times New Roman" w:eastAsia="Calibri" w:hAnsi="Times New Roman"/>
          <w:sz w:val="20"/>
          <w:lang w:val="en-AU" w:eastAsia="en-US"/>
        </w:rPr>
        <w:t xml:space="preserve"> customers, should, as far as practicable,</w:t>
      </w:r>
      <w:r>
        <w:rPr>
          <w:rFonts w:ascii="Times New Roman" w:eastAsia="Calibri" w:hAnsi="Times New Roman"/>
          <w:sz w:val="20"/>
          <w:lang w:val="en-AU" w:eastAsia="en-US"/>
        </w:rPr>
        <w:t xml:space="preserve"> not be denied customer protections afforded to retail customers under this Law and Rules.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In making its decision, the AER is guided by the objective of the Retail Law</w:t>
      </w:r>
      <w:r>
        <w:rPr>
          <w:rStyle w:val="FootnoteReference"/>
          <w:rFonts w:ascii="Times New Roman" w:hAnsi="Times New Roman"/>
        </w:rPr>
        <w:footnoteReference w:id="2"/>
      </w:r>
      <w:r>
        <w:rPr>
          <w:rFonts w:ascii="Times New Roman" w:hAnsi="Times New Roman"/>
        </w:rPr>
        <w:t>, the exempt seller factors,</w:t>
      </w:r>
      <w:r>
        <w:rPr>
          <w:rStyle w:val="FootnoteReference"/>
          <w:rFonts w:ascii="Times New Roman" w:hAnsi="Times New Roman"/>
        </w:rPr>
        <w:footnoteReference w:id="3"/>
      </w:r>
      <w:r>
        <w:rPr>
          <w:rFonts w:ascii="Times New Roman" w:hAnsi="Times New Roman"/>
        </w:rPr>
        <w:t xml:space="preserve"> the customer related factors,</w:t>
      </w:r>
      <w:r>
        <w:rPr>
          <w:rStyle w:val="FootnoteReference"/>
          <w:rFonts w:ascii="Times New Roman" w:hAnsi="Times New Roman"/>
        </w:rPr>
        <w:footnoteReference w:id="4"/>
      </w:r>
      <w:r>
        <w:rPr>
          <w:rFonts w:ascii="Times New Roman" w:hAnsi="Times New Roman"/>
        </w:rPr>
        <w:t xml:space="preserve"> and the assessment approach outlined in the AER’s </w:t>
      </w:r>
      <w:r>
        <w:rPr>
          <w:rFonts w:ascii="Times New Roman" w:hAnsi="Times New Roman"/>
          <w:i/>
        </w:rPr>
        <w:t>Exempt Selling Guideline</w:t>
      </w:r>
      <w:r>
        <w:rPr>
          <w:rFonts w:ascii="Times New Roman" w:hAnsi="Times New Roman"/>
        </w:rPr>
        <w:t xml:space="preserve">.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 xml:space="preserve">The AER is satisfied that </w:t>
      </w:r>
      <w:proofErr w:type="spellStart"/>
      <w:r w:rsidR="00101745">
        <w:rPr>
          <w:rFonts w:ascii="Times New Roman" w:hAnsi="Times New Roman"/>
        </w:rPr>
        <w:t>Scentre</w:t>
      </w:r>
      <w:proofErr w:type="spellEnd"/>
      <w:r w:rsidR="00101745">
        <w:rPr>
          <w:rFonts w:ascii="Times New Roman" w:hAnsi="Times New Roman"/>
        </w:rPr>
        <w:t xml:space="preserve"> Group</w:t>
      </w:r>
      <w:r>
        <w:rPr>
          <w:rFonts w:ascii="Times New Roman" w:hAnsi="Times New Roman"/>
        </w:rPr>
        <w:t xml:space="preserve"> should be exempt from the requirement to hold a national retailer authorisation, having regard to the considerations outlined above. </w:t>
      </w:r>
      <w:r w:rsidR="002E5F59">
        <w:rPr>
          <w:rFonts w:ascii="Times New Roman" w:hAnsi="Times New Roman"/>
        </w:rPr>
        <w:t xml:space="preserve">Each of these </w:t>
      </w:r>
      <w:r>
        <w:rPr>
          <w:rFonts w:ascii="Times New Roman" w:hAnsi="Times New Roman"/>
        </w:rPr>
        <w:t>individual exemption</w:t>
      </w:r>
      <w:r w:rsidR="00101745">
        <w:rPr>
          <w:rFonts w:ascii="Times New Roman" w:hAnsi="Times New Roman"/>
        </w:rPr>
        <w:t>s</w:t>
      </w:r>
      <w:r>
        <w:rPr>
          <w:rFonts w:ascii="Times New Roman" w:hAnsi="Times New Roman"/>
        </w:rPr>
        <w:t xml:space="preserve"> </w:t>
      </w:r>
      <w:r w:rsidR="002E5F59">
        <w:rPr>
          <w:rFonts w:ascii="Times New Roman" w:hAnsi="Times New Roman"/>
        </w:rPr>
        <w:t xml:space="preserve">is </w:t>
      </w:r>
      <w:r w:rsidRPr="00787B86">
        <w:rPr>
          <w:rFonts w:ascii="Times New Roman" w:hAnsi="Times New Roman"/>
        </w:rPr>
        <w:t>subject</w:t>
      </w:r>
      <w:r>
        <w:rPr>
          <w:rFonts w:ascii="Times New Roman" w:hAnsi="Times New Roman"/>
        </w:rPr>
        <w:t xml:space="preserve"> to the conditions</w:t>
      </w:r>
      <w:r w:rsidR="002E5F59">
        <w:rPr>
          <w:rFonts w:ascii="Times New Roman" w:hAnsi="Times New Roman"/>
        </w:rPr>
        <w:t xml:space="preserve"> </w:t>
      </w:r>
      <w:r>
        <w:rPr>
          <w:rFonts w:ascii="Times New Roman" w:hAnsi="Times New Roman"/>
        </w:rPr>
        <w:t>set out at Appendix A of the attached Instrument</w:t>
      </w:r>
      <w:r w:rsidR="00101745">
        <w:rPr>
          <w:rFonts w:ascii="Times New Roman" w:hAnsi="Times New Roman"/>
        </w:rPr>
        <w:t>s</w:t>
      </w:r>
      <w:r>
        <w:rPr>
          <w:rFonts w:ascii="Times New Roman" w:hAnsi="Times New Roman"/>
        </w:rPr>
        <w:t xml:space="preserve"> of Exemption</w:t>
      </w:r>
      <w:r w:rsidR="002E5F59">
        <w:rPr>
          <w:rFonts w:ascii="Times New Roman" w:hAnsi="Times New Roman"/>
        </w:rPr>
        <w:t xml:space="preserve"> and subject to your acceptance of those conditions</w:t>
      </w:r>
      <w:r>
        <w:rPr>
          <w:rFonts w:ascii="Times New Roman" w:hAnsi="Times New Roman"/>
        </w:rPr>
        <w:t>.</w:t>
      </w:r>
      <w:r w:rsidR="002E5F59">
        <w:rPr>
          <w:rStyle w:val="FootnoteReference"/>
          <w:rFonts w:ascii="Times New Roman" w:hAnsi="Times New Roman"/>
        </w:rPr>
        <w:footnoteReference w:id="5"/>
      </w:r>
    </w:p>
    <w:p w:rsidR="006814B8" w:rsidRDefault="006814B8" w:rsidP="006814B8">
      <w:pPr>
        <w:rPr>
          <w:rFonts w:ascii="Times New Roman" w:hAnsi="Times New Roman"/>
        </w:rPr>
      </w:pPr>
    </w:p>
    <w:p w:rsidR="006814B8" w:rsidRDefault="006814B8" w:rsidP="006814B8">
      <w:pPr>
        <w:rPr>
          <w:rFonts w:ascii="Times New Roman" w:hAnsi="Times New Roman"/>
        </w:rPr>
      </w:pPr>
      <w:r w:rsidRPr="002E5F59">
        <w:rPr>
          <w:rFonts w:ascii="Times New Roman" w:hAnsi="Times New Roman"/>
        </w:rPr>
        <w:t>We also note that for th</w:t>
      </w:r>
      <w:r w:rsidR="00101745" w:rsidRPr="002E5F59">
        <w:rPr>
          <w:rFonts w:ascii="Times New Roman" w:hAnsi="Times New Roman"/>
        </w:rPr>
        <w:t>ese</w:t>
      </w:r>
      <w:r w:rsidRPr="002E5F59">
        <w:rPr>
          <w:rFonts w:ascii="Times New Roman" w:hAnsi="Times New Roman"/>
        </w:rPr>
        <w:t xml:space="preserve"> application</w:t>
      </w:r>
      <w:r w:rsidR="00101745" w:rsidRPr="002E5F59">
        <w:rPr>
          <w:rFonts w:ascii="Times New Roman" w:hAnsi="Times New Roman"/>
        </w:rPr>
        <w:t>s</w:t>
      </w:r>
      <w:r w:rsidRPr="002E5F59">
        <w:rPr>
          <w:rFonts w:ascii="Times New Roman" w:hAnsi="Times New Roman"/>
        </w:rPr>
        <w:t xml:space="preserve"> you have stated you are unlikely to obtain the consent of every existing market connected tenant for the conversion of the existing network to a private embedded network. Subject to your acceptance of the conditions set out in </w:t>
      </w:r>
      <w:r w:rsidR="00843846">
        <w:rPr>
          <w:rFonts w:ascii="Times New Roman" w:hAnsi="Times New Roman"/>
        </w:rPr>
        <w:t>Appendix</w:t>
      </w:r>
      <w:r w:rsidRPr="002E5F59">
        <w:rPr>
          <w:rFonts w:ascii="Times New Roman" w:hAnsi="Times New Roman"/>
        </w:rPr>
        <w:t xml:space="preserve"> A, the AER </w:t>
      </w:r>
      <w:r w:rsidR="002E5F59">
        <w:rPr>
          <w:rFonts w:ascii="Times New Roman" w:hAnsi="Times New Roman"/>
        </w:rPr>
        <w:t xml:space="preserve">will not seek to enforce </w:t>
      </w:r>
      <w:r w:rsidRPr="002E5F59">
        <w:rPr>
          <w:rFonts w:ascii="Times New Roman" w:hAnsi="Times New Roman"/>
        </w:rPr>
        <w:t xml:space="preserve">the requirement of condition 12 of the AER’s </w:t>
      </w:r>
      <w:r w:rsidRPr="002E5F59">
        <w:rPr>
          <w:rFonts w:ascii="Times New Roman" w:hAnsi="Times New Roman"/>
          <w:i/>
        </w:rPr>
        <w:t>Electricity Network Service Provider Registration Exemption Guideline</w:t>
      </w:r>
      <w:r w:rsidRPr="002E5F59">
        <w:rPr>
          <w:rFonts w:ascii="Times New Roman" w:hAnsi="Times New Roman"/>
        </w:rPr>
        <w:t xml:space="preserve"> that every tenant consent to the conversion to this application. This </w:t>
      </w:r>
      <w:r w:rsidR="002E5F59">
        <w:rPr>
          <w:rFonts w:ascii="Times New Roman" w:hAnsi="Times New Roman"/>
        </w:rPr>
        <w:t xml:space="preserve">position </w:t>
      </w:r>
      <w:r w:rsidRPr="002E5F59">
        <w:rPr>
          <w:rFonts w:ascii="Times New Roman" w:hAnsi="Times New Roman"/>
        </w:rPr>
        <w:t xml:space="preserve">is subject to </w:t>
      </w:r>
      <w:proofErr w:type="spellStart"/>
      <w:r w:rsidR="00A83529" w:rsidRPr="002E5F59">
        <w:rPr>
          <w:rFonts w:ascii="Times New Roman" w:hAnsi="Times New Roman"/>
        </w:rPr>
        <w:t>Scentre</w:t>
      </w:r>
      <w:proofErr w:type="spellEnd"/>
      <w:r w:rsidR="00A83529" w:rsidRPr="002E5F59">
        <w:rPr>
          <w:rFonts w:ascii="Times New Roman" w:hAnsi="Times New Roman"/>
        </w:rPr>
        <w:t xml:space="preserve"> Group</w:t>
      </w:r>
      <w:r w:rsidRPr="002E5F59">
        <w:rPr>
          <w:rFonts w:ascii="Times New Roman" w:hAnsi="Times New Roman"/>
        </w:rPr>
        <w:t xml:space="preserve"> obtaining</w:t>
      </w:r>
      <w:r w:rsidR="002E5F59">
        <w:rPr>
          <w:rFonts w:ascii="Times New Roman" w:hAnsi="Times New Roman"/>
        </w:rPr>
        <w:t xml:space="preserve"> and keeping</w:t>
      </w:r>
      <w:r w:rsidRPr="002E5F59">
        <w:rPr>
          <w:rFonts w:ascii="Times New Roman" w:hAnsi="Times New Roman"/>
        </w:rPr>
        <w:t xml:space="preserve"> </w:t>
      </w:r>
      <w:r w:rsidR="002E5F59">
        <w:rPr>
          <w:rFonts w:ascii="Times New Roman" w:hAnsi="Times New Roman"/>
        </w:rPr>
        <w:t xml:space="preserve">for five years </w:t>
      </w:r>
      <w:r w:rsidRPr="002E5F59">
        <w:rPr>
          <w:rFonts w:ascii="Times New Roman" w:hAnsi="Times New Roman"/>
        </w:rPr>
        <w:t>written consent to the conversion from 60% or more of tenants, measured by number of active tenants.</w:t>
      </w:r>
      <w:r>
        <w:rPr>
          <w:rFonts w:ascii="Times New Roman" w:hAnsi="Times New Roman"/>
        </w:rPr>
        <w:t xml:space="preserve"> </w:t>
      </w:r>
    </w:p>
    <w:p w:rsidR="006814B8" w:rsidRDefault="006814B8" w:rsidP="006814B8">
      <w:pPr>
        <w:rPr>
          <w:rFonts w:ascii="Times New Roman" w:hAnsi="Times New Roman"/>
        </w:rPr>
      </w:pPr>
    </w:p>
    <w:p w:rsidR="006814B8" w:rsidRDefault="00A83529" w:rsidP="006814B8">
      <w:p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Group</w:t>
      </w:r>
      <w:r w:rsidR="006814B8" w:rsidRPr="00B02586">
        <w:rPr>
          <w:rFonts w:ascii="Times New Roman" w:hAnsi="Times New Roman"/>
        </w:rPr>
        <w:t xml:space="preserve"> </w:t>
      </w:r>
      <w:r w:rsidR="006814B8">
        <w:rPr>
          <w:rFonts w:ascii="Times New Roman" w:hAnsi="Times New Roman"/>
        </w:rPr>
        <w:t xml:space="preserve">must advise the AER in writing, by </w:t>
      </w:r>
      <w:r w:rsidR="00CF3749">
        <w:rPr>
          <w:rFonts w:ascii="Times New Roman" w:hAnsi="Times New Roman"/>
          <w:b/>
        </w:rPr>
        <w:t>9</w:t>
      </w:r>
      <w:r w:rsidR="006814B8">
        <w:rPr>
          <w:rFonts w:ascii="Times New Roman" w:hAnsi="Times New Roman"/>
          <w:b/>
        </w:rPr>
        <w:t xml:space="preserve"> </w:t>
      </w:r>
      <w:r>
        <w:rPr>
          <w:rFonts w:ascii="Times New Roman" w:hAnsi="Times New Roman"/>
          <w:b/>
        </w:rPr>
        <w:t xml:space="preserve">November </w:t>
      </w:r>
      <w:r w:rsidR="006814B8">
        <w:rPr>
          <w:rFonts w:ascii="Times New Roman" w:hAnsi="Times New Roman"/>
          <w:b/>
        </w:rPr>
        <w:t>2015</w:t>
      </w:r>
      <w:r w:rsidR="006814B8" w:rsidRPr="001320DB">
        <w:rPr>
          <w:rFonts w:ascii="Times New Roman" w:hAnsi="Times New Roman"/>
        </w:rPr>
        <w:t xml:space="preserve">, </w:t>
      </w:r>
      <w:r w:rsidR="006814B8">
        <w:rPr>
          <w:rFonts w:ascii="Times New Roman" w:hAnsi="Times New Roman"/>
        </w:rPr>
        <w:t xml:space="preserve">whether it accepts these conditions. </w:t>
      </w:r>
    </w:p>
    <w:p w:rsidR="006814B8" w:rsidRDefault="006814B8" w:rsidP="006814B8">
      <w:pPr>
        <w:rPr>
          <w:rFonts w:ascii="Times New Roman" w:hAnsi="Times New Roman"/>
        </w:rPr>
      </w:pPr>
    </w:p>
    <w:p w:rsidR="006814B8" w:rsidRDefault="006814B8" w:rsidP="006814B8">
      <w:pPr>
        <w:pStyle w:val="AERbodytext"/>
      </w:pPr>
      <w:r>
        <w:t>If you have any further queries, or would like to discuss t</w:t>
      </w:r>
      <w:r w:rsidR="00A83529">
        <w:t>his further, please contact Tom </w:t>
      </w:r>
      <w:r>
        <w:t xml:space="preserve">Stevens-Downie on 03 </w:t>
      </w:r>
      <w:r w:rsidRPr="00E57A42">
        <w:t>9290 6984</w:t>
      </w:r>
      <w:r>
        <w:t>.</w:t>
      </w:r>
    </w:p>
    <w:p w:rsidR="006814B8" w:rsidRDefault="006814B8" w:rsidP="006814B8">
      <w:pPr>
        <w:rPr>
          <w:rFonts w:ascii="Times New Roman" w:hAnsi="Times New Roman"/>
        </w:rPr>
      </w:pPr>
      <w:r>
        <w:rPr>
          <w:rFonts w:ascii="Times New Roman" w:hAnsi="Times New Roman"/>
        </w:rPr>
        <w:t>Yours sincerely</w:t>
      </w:r>
    </w:p>
    <w:p w:rsidR="006814B8" w:rsidRDefault="006814B8" w:rsidP="006814B8">
      <w:pPr>
        <w:rPr>
          <w:rFonts w:ascii="Times New Roman" w:hAnsi="Times New Roman"/>
        </w:rPr>
      </w:pPr>
      <w:bookmarkStart w:id="7" w:name="Signature"/>
      <w:bookmarkEnd w:id="7"/>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Sarah Proudfoot</w:t>
      </w:r>
    </w:p>
    <w:p w:rsidR="006814B8" w:rsidRDefault="006814B8" w:rsidP="006814B8">
      <w:pPr>
        <w:autoSpaceDE w:val="0"/>
        <w:autoSpaceDN w:val="0"/>
        <w:adjustRightInd w:val="0"/>
        <w:rPr>
          <w:rFonts w:ascii="Times New Roman" w:hAnsi="Times New Roman"/>
          <w:szCs w:val="24"/>
          <w:lang w:val="en-AU"/>
        </w:rPr>
      </w:pPr>
      <w:r>
        <w:rPr>
          <w:rFonts w:ascii="Times New Roman" w:hAnsi="Times New Roman"/>
          <w:szCs w:val="24"/>
          <w:lang w:val="en-AU"/>
        </w:rPr>
        <w:t>General Manager</w:t>
      </w:r>
    </w:p>
    <w:p w:rsidR="006814B8" w:rsidRPr="00F47466" w:rsidRDefault="006814B8" w:rsidP="006814B8">
      <w:pPr>
        <w:autoSpaceDE w:val="0"/>
        <w:autoSpaceDN w:val="0"/>
        <w:adjustRightInd w:val="0"/>
        <w:rPr>
          <w:rFonts w:ascii="Times New Roman" w:hAnsi="Times New Roman"/>
          <w:szCs w:val="24"/>
          <w:lang w:val="en-AU"/>
        </w:rPr>
      </w:pPr>
      <w:r>
        <w:rPr>
          <w:rFonts w:ascii="Times New Roman" w:hAnsi="Times New Roman"/>
          <w:szCs w:val="24"/>
          <w:lang w:val="en-AU"/>
        </w:rPr>
        <w:t>Retail Markets</w:t>
      </w:r>
    </w:p>
    <w:p w:rsidR="006814B8" w:rsidRPr="00F47466" w:rsidRDefault="006814B8" w:rsidP="006814B8">
      <w:pPr>
        <w:autoSpaceDE w:val="0"/>
        <w:autoSpaceDN w:val="0"/>
        <w:adjustRightInd w:val="0"/>
        <w:rPr>
          <w:rFonts w:ascii="Times New Roman" w:hAnsi="Times New Roman"/>
          <w:szCs w:val="24"/>
          <w:lang w:val="en-AU"/>
        </w:rPr>
      </w:pPr>
      <w:r w:rsidRPr="00F47466">
        <w:rPr>
          <w:rFonts w:ascii="Times New Roman" w:hAnsi="Times New Roman"/>
          <w:szCs w:val="24"/>
          <w:lang w:val="en-AU"/>
        </w:rPr>
        <w:t>Australian Energy Regulator</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Pr>
          <w:rFonts w:ascii="Times New Roman" w:hAnsi="Times New Roman"/>
        </w:rPr>
        <w:br w:type="page"/>
      </w:r>
      <w:r w:rsidR="00795690" w:rsidRPr="00795690">
        <w:rPr>
          <w:rFonts w:ascii="Times New Roman" w:eastAsia="Calibri" w:hAnsi="Times New Roman"/>
          <w:b/>
          <w:bCs/>
          <w:szCs w:val="24"/>
          <w:lang w:val="en-AU" w:eastAsia="en-US"/>
        </w:rPr>
        <w:lastRenderedPageBreak/>
        <w:t xml:space="preserve">Schedule 1: </w:t>
      </w:r>
      <w:r w:rsidRPr="00795690">
        <w:rPr>
          <w:rFonts w:ascii="Times New Roman" w:eastAsia="Calibri" w:hAnsi="Times New Roman"/>
          <w:b/>
          <w:bCs/>
          <w:szCs w:val="24"/>
          <w:lang w:val="en-AU" w:eastAsia="en-US"/>
        </w:rPr>
        <w:t>Instrument of Exemption</w:t>
      </w:r>
    </w:p>
    <w:p w:rsidR="006814B8" w:rsidRPr="00795690" w:rsidRDefault="006814B8" w:rsidP="006814B8">
      <w:pPr>
        <w:autoSpaceDE w:val="0"/>
        <w:autoSpaceDN w:val="0"/>
        <w:adjustRightInd w:val="0"/>
        <w:rPr>
          <w:rFonts w:ascii="Times New Roman" w:eastAsia="Calibri" w:hAnsi="Times New Roman"/>
          <w:b/>
          <w:bCs/>
          <w:szCs w:val="24"/>
          <w:lang w:val="en-AU" w:eastAsia="en-US"/>
        </w:rPr>
      </w:pP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sidR="00795690">
        <w:rPr>
          <w:rFonts w:ascii="Times New Roman" w:hAnsi="Times New Roman"/>
          <w:b/>
          <w:szCs w:val="24"/>
        </w:rPr>
        <w:t>9</w:t>
      </w:r>
      <w:r w:rsidRPr="00795690">
        <w:rPr>
          <w:rFonts w:ascii="Times New Roman" w:hAnsi="Times New Roman"/>
          <w:b/>
          <w:szCs w:val="24"/>
        </w:rPr>
        <w:t xml:space="preserve"> </w:t>
      </w:r>
      <w:r w:rsidR="00795690">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814B8" w:rsidRPr="00795690" w:rsidRDefault="006814B8" w:rsidP="006814B8">
      <w:pPr>
        <w:autoSpaceDE w:val="0"/>
        <w:autoSpaceDN w:val="0"/>
        <w:adjustRightInd w:val="0"/>
        <w:rPr>
          <w:rFonts w:ascii="Times New Roman" w:eastAsia="Calibri" w:hAnsi="Times New Roman"/>
          <w:b/>
          <w:bCs/>
          <w:szCs w:val="24"/>
          <w:lang w:val="en-AU" w:eastAsia="en-US"/>
        </w:rPr>
      </w:pPr>
    </w:p>
    <w:p w:rsidR="00FC30B9" w:rsidRDefault="006814B8" w:rsidP="006814B8">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sidR="00795690">
        <w:rPr>
          <w:rFonts w:ascii="Times New Roman" w:hAnsi="Times New Roman"/>
          <w:szCs w:val="24"/>
        </w:rPr>
        <w:t>9</w:t>
      </w:r>
      <w:r w:rsidRPr="00795690">
        <w:rPr>
          <w:rFonts w:ascii="Times New Roman" w:hAnsi="Times New Roman"/>
          <w:szCs w:val="24"/>
        </w:rPr>
        <w:t xml:space="preserve"> </w:t>
      </w:r>
      <w:r w:rsidR="00795690">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r w:rsidR="00795690">
        <w:rPr>
          <w:rFonts w:ascii="Times New Roman" w:hAnsi="Times New Roman"/>
        </w:rPr>
        <w:t>P.T. Limited</w:t>
      </w:r>
      <w:r w:rsidRPr="00795690">
        <w:rPr>
          <w:rFonts w:ascii="Times New Roman" w:eastAsia="Calibri" w:hAnsi="Times New Roman"/>
          <w:szCs w:val="24"/>
          <w:lang w:val="en-AU" w:eastAsia="en-US"/>
        </w:rPr>
        <w:t xml:space="preserve"> (ABN </w:t>
      </w:r>
      <w:r w:rsidR="00795690" w:rsidRPr="00795690">
        <w:rPr>
          <w:rFonts w:ascii="Times New Roman" w:eastAsia="Calibri" w:hAnsi="Times New Roman"/>
          <w:szCs w:val="24"/>
          <w:lang w:val="en-AU" w:eastAsia="en-US"/>
        </w:rPr>
        <w:t>67 004 454 666</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subject to </w:t>
      </w:r>
      <w:r w:rsidR="002E5F59">
        <w:rPr>
          <w:rFonts w:ascii="Times New Roman" w:eastAsia="Calibri" w:hAnsi="Times New Roman"/>
          <w:szCs w:val="24"/>
          <w:lang w:val="en-AU" w:eastAsia="en-US"/>
        </w:rPr>
        <w:t>the</w:t>
      </w:r>
      <w:r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Pr="00795690">
        <w:rPr>
          <w:rFonts w:ascii="Times New Roman" w:eastAsia="Calibri" w:hAnsi="Times New Roman"/>
          <w:szCs w:val="24"/>
          <w:lang w:val="en-AU" w:eastAsia="en-US"/>
        </w:rPr>
        <w:t xml:space="preserve">Appendix A. This exemption applies to the premises at </w:t>
      </w:r>
      <w:r w:rsidR="006B2380" w:rsidRPr="006B2380">
        <w:rPr>
          <w:rFonts w:ascii="Times New Roman" w:eastAsia="Calibri" w:hAnsi="Times New Roman"/>
          <w:szCs w:val="24"/>
          <w:lang w:val="en-AU" w:eastAsia="en-US"/>
        </w:rPr>
        <w:t>Westfield Chatswood</w:t>
      </w:r>
      <w:r w:rsidRPr="00795690">
        <w:rPr>
          <w:rFonts w:ascii="Times New Roman" w:eastAsia="Calibri" w:hAnsi="Times New Roman"/>
          <w:szCs w:val="24"/>
          <w:lang w:val="en-AU" w:eastAsia="en-US"/>
        </w:rPr>
        <w:t xml:space="preserve">, </w:t>
      </w:r>
      <w:r w:rsidR="006B2380">
        <w:rPr>
          <w:rFonts w:ascii="Times New Roman" w:hAnsi="Times New Roman"/>
        </w:rPr>
        <w:t xml:space="preserve">1 Anderson Street, </w:t>
      </w:r>
      <w:proofErr w:type="spellStart"/>
      <w:r w:rsidR="006B2380">
        <w:rPr>
          <w:rFonts w:ascii="Times New Roman" w:hAnsi="Times New Roman"/>
        </w:rPr>
        <w:t>Chatswood</w:t>
      </w:r>
      <w:proofErr w:type="spellEnd"/>
      <w:r w:rsidR="006B2380">
        <w:rPr>
          <w:rFonts w:ascii="Times New Roman" w:hAnsi="Times New Roman"/>
        </w:rPr>
        <w:t xml:space="preserve"> NSW 2067</w:t>
      </w:r>
      <w:r w:rsidR="006B2380">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at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Chatswood</w:t>
      </w:r>
    </w:p>
    <w:p w:rsidR="00FC30B9" w:rsidRDefault="00FC30B9" w:rsidP="00FC30B9">
      <w:pPr>
        <w:spacing w:after="200" w:line="276" w:lineRule="auto"/>
        <w:rPr>
          <w:rFonts w:ascii="Times New Roman" w:eastAsia="Calibri" w:hAnsi="Times New Roman"/>
          <w:b/>
          <w:szCs w:val="24"/>
          <w:lang w:val="en-AU" w:eastAsia="en-US"/>
        </w:rPr>
      </w:pPr>
      <w:r>
        <w:rPr>
          <w:noProof/>
          <w:lang w:val="en-AU"/>
        </w:rPr>
        <w:drawing>
          <wp:inline distT="0" distB="0" distL="0" distR="0">
            <wp:extent cx="5172075" cy="3371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371850"/>
                    </a:xfrm>
                    <a:prstGeom prst="rect">
                      <a:avLst/>
                    </a:prstGeom>
                    <a:noFill/>
                    <a:ln>
                      <a:noFill/>
                    </a:ln>
                  </pic:spPr>
                </pic:pic>
              </a:graphicData>
            </a:graphic>
          </wp:inline>
        </w:drawing>
      </w:r>
    </w:p>
    <w:p w:rsidR="006814B8" w:rsidRDefault="006814B8" w:rsidP="006814B8">
      <w:pPr>
        <w:autoSpaceDE w:val="0"/>
        <w:autoSpaceDN w:val="0"/>
        <w:adjustRightInd w:val="0"/>
        <w:rPr>
          <w:rFonts w:ascii="Times New Roman" w:hAnsi="Times New Roman"/>
          <w:b/>
          <w:bCs/>
          <w:sz w:val="26"/>
          <w:szCs w:val="26"/>
          <w:lang w:val="en-AU" w:eastAsia="en-US"/>
        </w:rPr>
      </w:pPr>
      <w:r w:rsidRPr="00FE6F80">
        <w:rPr>
          <w:rFonts w:ascii="Times New Roman" w:hAnsi="Times New Roman"/>
          <w:b/>
          <w:bCs/>
          <w:sz w:val="26"/>
          <w:szCs w:val="26"/>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lastRenderedPageBreak/>
        <w:t xml:space="preserve">Schedule </w:t>
      </w:r>
      <w:r>
        <w:rPr>
          <w:rFonts w:ascii="Times New Roman" w:eastAsia="Calibri" w:hAnsi="Times New Roman"/>
          <w:b/>
          <w:bCs/>
          <w:szCs w:val="24"/>
          <w:lang w:val="en-AU" w:eastAsia="en-US"/>
        </w:rPr>
        <w:t>2</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r>
        <w:rPr>
          <w:rFonts w:ascii="Times New Roman" w:hAnsi="Times New Roman"/>
        </w:rPr>
        <w:t>P.T. Limited</w:t>
      </w:r>
      <w:r w:rsidRPr="00795690">
        <w:rPr>
          <w:rFonts w:ascii="Times New Roman" w:eastAsia="Calibri" w:hAnsi="Times New Roman"/>
          <w:szCs w:val="24"/>
          <w:lang w:val="en-AU" w:eastAsia="en-US"/>
        </w:rPr>
        <w:t xml:space="preserve"> (ABN 67 004 454 666) an exemption from the requirement to hold a retailer authorisation under section 88 of the National Energy Retail Law, subject to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Tuggerah, 50 Wyong Road, </w:t>
      </w:r>
      <w:proofErr w:type="gramStart"/>
      <w:r w:rsidRPr="006B2380">
        <w:rPr>
          <w:rFonts w:ascii="Times New Roman" w:eastAsia="Calibri" w:hAnsi="Times New Roman"/>
          <w:szCs w:val="24"/>
          <w:lang w:val="en-AU" w:eastAsia="en-US"/>
        </w:rPr>
        <w:t>Tuggerah</w:t>
      </w:r>
      <w:proofErr w:type="gramEnd"/>
      <w:r w:rsidRPr="006B2380">
        <w:rPr>
          <w:rFonts w:ascii="Times New Roman" w:eastAsia="Calibri" w:hAnsi="Times New Roman"/>
          <w:szCs w:val="24"/>
          <w:lang w:val="en-AU" w:eastAsia="en-US"/>
        </w:rPr>
        <w:t xml:space="preserve">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2259</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Tuggerah</w:t>
      </w:r>
    </w:p>
    <w:p w:rsidR="00FC30B9" w:rsidRDefault="00FC30B9" w:rsidP="00FC30B9">
      <w:pPr>
        <w:spacing w:after="200" w:line="276" w:lineRule="auto"/>
        <w:rPr>
          <w:rFonts w:ascii="Times New Roman" w:eastAsia="Calibri" w:hAnsi="Times New Roman"/>
          <w:b/>
          <w:szCs w:val="24"/>
          <w:lang w:val="en-AU" w:eastAsia="en-US"/>
        </w:rPr>
      </w:pPr>
      <w:r>
        <w:rPr>
          <w:noProof/>
          <w:lang w:val="en-AU"/>
        </w:rPr>
        <w:drawing>
          <wp:inline distT="0" distB="0" distL="0" distR="0">
            <wp:extent cx="5095875" cy="405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4057650"/>
                    </a:xfrm>
                    <a:prstGeom prst="rect">
                      <a:avLst/>
                    </a:prstGeom>
                    <a:noFill/>
                    <a:ln>
                      <a:noFill/>
                    </a:ln>
                  </pic:spPr>
                </pic:pic>
              </a:graphicData>
            </a:graphic>
          </wp:inline>
        </w:drawing>
      </w:r>
    </w:p>
    <w:p w:rsidR="00795690" w:rsidRDefault="00795690">
      <w:pPr>
        <w:spacing w:after="200" w:line="276" w:lineRule="auto"/>
        <w:rPr>
          <w:rFonts w:ascii="Times New Roman" w:eastAsia="Calibri" w:hAnsi="Times New Roman"/>
          <w:szCs w:val="24"/>
          <w:lang w:val="en-AU" w:eastAsia="en-US"/>
        </w:rPr>
      </w:pPr>
      <w:r>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3</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Custodian Pty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62 098 698 652</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Kotara, Corner of Park Avenue and </w:t>
      </w:r>
      <w:proofErr w:type="spellStart"/>
      <w:r w:rsidRPr="006B2380">
        <w:rPr>
          <w:rFonts w:ascii="Times New Roman" w:eastAsia="Calibri" w:hAnsi="Times New Roman"/>
          <w:szCs w:val="24"/>
          <w:lang w:val="en-AU" w:eastAsia="en-US"/>
        </w:rPr>
        <w:t>Northcott</w:t>
      </w:r>
      <w:proofErr w:type="spellEnd"/>
      <w:r w:rsidRPr="006B2380">
        <w:rPr>
          <w:rFonts w:ascii="Times New Roman" w:eastAsia="Calibri" w:hAnsi="Times New Roman"/>
          <w:szCs w:val="24"/>
          <w:lang w:val="en-AU" w:eastAsia="en-US"/>
        </w:rPr>
        <w:t xml:space="preserve"> Drive, Kotara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2289</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Kotara</w:t>
      </w:r>
    </w:p>
    <w:p w:rsidR="00FC30B9" w:rsidRDefault="00FC30B9" w:rsidP="00FC30B9">
      <w:pPr>
        <w:spacing w:after="200" w:line="276" w:lineRule="auto"/>
        <w:rPr>
          <w:rFonts w:ascii="Times New Roman" w:eastAsia="Calibri" w:hAnsi="Times New Roman"/>
          <w:szCs w:val="24"/>
          <w:lang w:val="en-AU" w:eastAsia="en-US"/>
        </w:rPr>
      </w:pPr>
      <w:r>
        <w:rPr>
          <w:noProof/>
          <w:lang w:val="en-AU"/>
        </w:rPr>
        <w:drawing>
          <wp:inline distT="0" distB="0" distL="0" distR="0">
            <wp:extent cx="5057775" cy="3819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819525"/>
                    </a:xfrm>
                    <a:prstGeom prst="rect">
                      <a:avLst/>
                    </a:prstGeom>
                    <a:noFill/>
                    <a:ln>
                      <a:noFill/>
                    </a:ln>
                  </pic:spPr>
                </pic:pic>
              </a:graphicData>
            </a:graphic>
          </wp:inline>
        </w:drawing>
      </w:r>
    </w:p>
    <w:p w:rsidR="00795690" w:rsidRDefault="00795690">
      <w:pPr>
        <w:spacing w:after="200" w:line="276" w:lineRule="auto"/>
        <w:rPr>
          <w:rFonts w:ascii="Times New Roman" w:eastAsia="Calibri" w:hAnsi="Times New Roman"/>
          <w:szCs w:val="24"/>
          <w:lang w:val="en-AU" w:eastAsia="en-US"/>
        </w:rPr>
      </w:pPr>
      <w:r>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4</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Management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41 001 670 579</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Bondi, 500 Oxford Street, Bondi Junction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2022</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at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Bondi</w:t>
      </w:r>
    </w:p>
    <w:p w:rsidR="00795690" w:rsidRDefault="00FC30B9">
      <w:pPr>
        <w:spacing w:after="200" w:line="276" w:lineRule="auto"/>
        <w:rPr>
          <w:rFonts w:ascii="Times New Roman" w:eastAsia="Calibri" w:hAnsi="Times New Roman"/>
          <w:szCs w:val="24"/>
          <w:lang w:val="en-AU" w:eastAsia="en-US"/>
        </w:rPr>
      </w:pPr>
      <w:r>
        <w:rPr>
          <w:noProof/>
          <w:lang w:val="en-AU"/>
        </w:rPr>
        <w:drawing>
          <wp:inline distT="0" distB="0" distL="0" distR="0">
            <wp:extent cx="5057775" cy="394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943350"/>
                    </a:xfrm>
                    <a:prstGeom prst="rect">
                      <a:avLst/>
                    </a:prstGeom>
                    <a:noFill/>
                    <a:ln>
                      <a:noFill/>
                    </a:ln>
                  </pic:spPr>
                </pic:pic>
              </a:graphicData>
            </a:graphic>
          </wp:inline>
        </w:drawing>
      </w:r>
      <w:r w:rsidR="00795690">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5</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Management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41 001 670 579</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Hurstville, Corner of Cross Street and Park Road, Hurstville </w:t>
      </w:r>
      <w:r w:rsidR="00FC30B9">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2220</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pPr>
        <w:spacing w:after="200" w:line="276" w:lineRule="auto"/>
        <w:rPr>
          <w:rFonts w:ascii="Times New Roman" w:eastAsia="Calibri" w:hAnsi="Times New Roman"/>
          <w:szCs w:val="24"/>
          <w:lang w:val="en-AU" w:eastAsia="en-US"/>
        </w:rPr>
      </w:pPr>
      <w:r w:rsidRPr="00FC30B9">
        <w:rPr>
          <w:rFonts w:ascii="Times New Roman" w:eastAsia="Calibri" w:hAnsi="Times New Roman"/>
          <w:b/>
          <w:szCs w:val="24"/>
          <w:lang w:val="en-AU" w:eastAsia="en-US"/>
        </w:rPr>
        <w:t>Map of Westfield Hurstville</w:t>
      </w:r>
    </w:p>
    <w:p w:rsidR="00FC30B9" w:rsidRPr="00FC30B9" w:rsidRDefault="00FC30B9">
      <w:pPr>
        <w:spacing w:after="200" w:line="276" w:lineRule="auto"/>
        <w:rPr>
          <w:rFonts w:ascii="Times New Roman" w:eastAsia="Calibri" w:hAnsi="Times New Roman"/>
          <w:b/>
          <w:szCs w:val="24"/>
          <w:lang w:val="en-AU" w:eastAsia="en-US"/>
        </w:rPr>
      </w:pPr>
      <w:r>
        <w:rPr>
          <w:rFonts w:ascii="Arial Bold" w:hAnsi="Arial Bold"/>
          <w:noProof/>
          <w:sz w:val="20"/>
          <w:lang w:val="en-AU"/>
        </w:rPr>
        <w:drawing>
          <wp:inline distT="0" distB="0" distL="0" distR="0">
            <wp:extent cx="54102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r w:rsidR="00795690" w:rsidRPr="00FC30B9">
        <w:rPr>
          <w:rFonts w:ascii="Times New Roman" w:eastAsia="Calibri" w:hAnsi="Times New Roman"/>
          <w:b/>
          <w:szCs w:val="24"/>
          <w:lang w:val="en-AU" w:eastAsia="en-US"/>
        </w:rPr>
        <w:br w:type="page"/>
      </w:r>
    </w:p>
    <w:p w:rsidR="006814B8" w:rsidRPr="00FE6F80" w:rsidRDefault="006814B8" w:rsidP="006814B8">
      <w:pPr>
        <w:keepNext/>
        <w:spacing w:after="240" w:line="276" w:lineRule="auto"/>
        <w:rPr>
          <w:rFonts w:ascii="Times New Roman" w:hAnsi="Times New Roman"/>
          <w:b/>
          <w:bCs/>
          <w:sz w:val="32"/>
          <w:szCs w:val="32"/>
          <w:lang w:val="en-AU" w:eastAsia="en-US"/>
        </w:rPr>
      </w:pPr>
      <w:r w:rsidRPr="00FE6F80">
        <w:rPr>
          <w:rFonts w:ascii="Times New Roman" w:hAnsi="Times New Roman"/>
          <w:b/>
          <w:bCs/>
          <w:sz w:val="32"/>
          <w:szCs w:val="32"/>
          <w:lang w:val="en-AU" w:eastAsia="en-US"/>
        </w:rPr>
        <w:t>A</w:t>
      </w:r>
      <w:r>
        <w:rPr>
          <w:rFonts w:ascii="Times New Roman" w:hAnsi="Times New Roman"/>
          <w:b/>
          <w:bCs/>
          <w:sz w:val="32"/>
          <w:szCs w:val="32"/>
          <w:lang w:val="en-AU" w:eastAsia="en-US"/>
        </w:rPr>
        <w:t xml:space="preserve">ppendix </w:t>
      </w:r>
      <w:r w:rsidRPr="00FE6F80">
        <w:rPr>
          <w:rFonts w:ascii="Times New Roman" w:hAnsi="Times New Roman"/>
          <w:b/>
          <w:bCs/>
          <w:sz w:val="32"/>
          <w:szCs w:val="32"/>
          <w:lang w:val="en-AU" w:eastAsia="en-US"/>
        </w:rPr>
        <w:t>A</w:t>
      </w:r>
    </w:p>
    <w:p w:rsidR="006814B8" w:rsidRPr="00FE6F80" w:rsidRDefault="006814B8" w:rsidP="006814B8">
      <w:pPr>
        <w:keepNext/>
        <w:spacing w:after="240" w:line="276" w:lineRule="auto"/>
        <w:rPr>
          <w:rFonts w:ascii="Times New Roman" w:eastAsia="Calibri" w:hAnsi="Times New Roman"/>
          <w:bCs/>
          <w:i/>
          <w:szCs w:val="24"/>
          <w:lang w:val="en-AU" w:eastAsia="en-US"/>
        </w:rPr>
      </w:pPr>
      <w:r w:rsidRPr="00FE6F80">
        <w:rPr>
          <w:rFonts w:ascii="Times New Roman" w:eastAsia="Calibri" w:hAnsi="Times New Roman"/>
          <w:szCs w:val="24"/>
          <w:lang w:val="en-AU" w:eastAsia="en-US"/>
        </w:rPr>
        <w:t>The following conditions</w:t>
      </w:r>
      <w:r>
        <w:rPr>
          <w:rFonts w:ascii="Times New Roman" w:eastAsia="Calibri" w:hAnsi="Times New Roman"/>
          <w:szCs w:val="24"/>
          <w:lang w:val="en-AU" w:eastAsia="en-US"/>
        </w:rPr>
        <w:t xml:space="preserve"> </w:t>
      </w:r>
      <w:r w:rsidRPr="00FE6F80">
        <w:rPr>
          <w:rFonts w:ascii="Times New Roman" w:eastAsia="Calibri" w:hAnsi="Times New Roman"/>
          <w:szCs w:val="24"/>
          <w:lang w:val="en-AU" w:eastAsia="en-US"/>
        </w:rPr>
        <w:t xml:space="preserve">apply under rule 153 of the National Energy Retail Rules to the sale of energy to exempt customers by exempt persons. These conditions are based on the retail customer protections provided under the National Energy Retail Law.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1 – Obligation to supply</w:t>
      </w:r>
    </w:p>
    <w:p w:rsidR="006814B8" w:rsidRPr="00FE6F80" w:rsidRDefault="006814B8" w:rsidP="006814B8">
      <w:pPr>
        <w:numPr>
          <w:ilvl w:val="0"/>
          <w:numId w:val="21"/>
        </w:numPr>
        <w:spacing w:before="120" w:after="240" w:line="240" w:lineRule="atLeast"/>
        <w:rPr>
          <w:rFonts w:ascii="Times New Roman" w:hAnsi="Times New Roman"/>
          <w:szCs w:val="24"/>
          <w:lang w:val="en-AU"/>
        </w:rPr>
      </w:pPr>
      <w:bookmarkStart w:id="8" w:name="OLE_LINK50"/>
      <w:bookmarkStart w:id="9" w:name="OLE_LINK51"/>
      <w:r w:rsidRPr="00FE6F80">
        <w:rPr>
          <w:rFonts w:ascii="Times New Roman" w:hAnsi="Times New Roman"/>
          <w:szCs w:val="24"/>
          <w:lang w:val="en-AU"/>
        </w:rPr>
        <w:t xml:space="preserve">An exempt person cannot refuse to sell energy to a customer </w:t>
      </w:r>
      <w:r w:rsidRPr="005606E2">
        <w:rPr>
          <w:rFonts w:ascii="Times New Roman" w:hAnsi="Times New Roman"/>
          <w:szCs w:val="24"/>
          <w:lang w:val="en-AU"/>
        </w:rPr>
        <w:t>within the site described by this exemption</w:t>
      </w:r>
      <w:r w:rsidRPr="00FE6F80">
        <w:rPr>
          <w:rFonts w:ascii="Times New Roman" w:hAnsi="Times New Roman"/>
          <w:szCs w:val="24"/>
          <w:lang w:val="en-AU"/>
        </w:rPr>
        <w:t xml:space="preserve"> except in accordance with relevant disconnection provisions.</w:t>
      </w:r>
    </w:p>
    <w:p w:rsidR="006814B8" w:rsidRPr="00FE6F80" w:rsidRDefault="006814B8" w:rsidP="006814B8">
      <w:pPr>
        <w:numPr>
          <w:ilvl w:val="0"/>
          <w:numId w:val="21"/>
        </w:numPr>
        <w:spacing w:before="120" w:after="240" w:line="240" w:lineRule="atLeast"/>
        <w:rPr>
          <w:rFonts w:ascii="Times New Roman" w:hAnsi="Times New Roman"/>
          <w:szCs w:val="24"/>
          <w:lang w:val="en-AU"/>
        </w:rPr>
      </w:pPr>
      <w:r w:rsidRPr="00FE6F80">
        <w:rPr>
          <w:rFonts w:ascii="Times New Roman" w:hAnsi="Times New Roman"/>
          <w:szCs w:val="24"/>
          <w:lang w:val="en-AU"/>
        </w:rPr>
        <w:t>An exempt person cannot refuse to sell energy to a customer on the basis that the customer owes the exempt person outstanding amounts from a previous account. The exempt person can include in a new account any outstanding amounts owed on a previous account (except where the unpaid amounts are for other premises for which the customer has an ongoing contract with the exempt person).</w:t>
      </w:r>
    </w:p>
    <w:bookmarkEnd w:id="8"/>
    <w:bookmarkEnd w:id="9"/>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2 - Information provision</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exempt person must advise exempt customers, in writing, at the start of their </w:t>
      </w:r>
      <w:r>
        <w:rPr>
          <w:rFonts w:ascii="Times New Roman" w:hAnsi="Times New Roman"/>
          <w:szCs w:val="24"/>
          <w:lang w:val="en-AU" w:eastAsia="en-US"/>
        </w:rPr>
        <w:t xml:space="preserve">electricity sales </w:t>
      </w:r>
      <w:r w:rsidRPr="00FE6F80">
        <w:rPr>
          <w:rFonts w:ascii="Times New Roman" w:hAnsi="Times New Roman"/>
          <w:szCs w:val="24"/>
          <w:lang w:val="en-AU" w:eastAsia="en-US"/>
        </w:rPr>
        <w:t xml:space="preserve">agreement of the following: </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any right of the exempt customer, under state or territory laws, to elect to purchase energy from a retailer of their choice and information on the options for metering that would allow this choice</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that the exempt person is not subject to all the obligations of an authorised retailer, and the exempt customer will not receive the same protections as it would if they were purchasing from an authorised retailer</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exempt customer’s rights in relation to dispute resolution including:</w:t>
      </w:r>
    </w:p>
    <w:p w:rsidR="006814B8" w:rsidRPr="00FE6F80" w:rsidRDefault="006814B8" w:rsidP="006814B8">
      <w:pPr>
        <w:numPr>
          <w:ilvl w:val="0"/>
          <w:numId w:val="11"/>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person’s procedures for handling disputes and complaints, and</w:t>
      </w:r>
    </w:p>
    <w:p w:rsidR="006814B8" w:rsidRPr="00FE6F80" w:rsidRDefault="006814B8" w:rsidP="006814B8">
      <w:pPr>
        <w:numPr>
          <w:ilvl w:val="0"/>
          <w:numId w:val="11"/>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any right that the exempt customer has to access the energy Ombudsman scheme or any other relevant external dispute resolution body in the state or territory in which the exempt customer is located</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conditions applicable to the exemption that the exempt person is operating under</w:t>
      </w:r>
    </w:p>
    <w:p w:rsidR="006814B8" w:rsidRPr="00FE6F80" w:rsidRDefault="006814B8" w:rsidP="006814B8">
      <w:pPr>
        <w:numPr>
          <w:ilvl w:val="0"/>
          <w:numId w:val="10"/>
        </w:numPr>
        <w:tabs>
          <w:tab w:val="left"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energy tariffs and all associated fees and charges that will apply to the exempt customer in relation to the sale of energy</w:t>
      </w:r>
    </w:p>
    <w:p w:rsidR="006814B8"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contact numbers in the event of a gas or electricity fault or emergency</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proofErr w:type="gramStart"/>
      <w:r>
        <w:rPr>
          <w:rFonts w:ascii="Times New Roman" w:hAnsi="Times New Roman"/>
          <w:szCs w:val="24"/>
          <w:lang w:val="en-AU" w:eastAsia="en-US"/>
        </w:rPr>
        <w:t>contact</w:t>
      </w:r>
      <w:proofErr w:type="gramEnd"/>
      <w:r>
        <w:rPr>
          <w:rFonts w:ascii="Times New Roman" w:hAnsi="Times New Roman"/>
          <w:szCs w:val="24"/>
          <w:lang w:val="en-AU" w:eastAsia="en-US"/>
        </w:rPr>
        <w:t xml:space="preserve"> details for account inquiries and complaints. Where a telephone number is provided, the charge for this call must be no more than the cost of a local call.</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In addition to the requirement to provide the information at the commencement of the exempt customer’s </w:t>
      </w:r>
      <w:r>
        <w:rPr>
          <w:rFonts w:ascii="Times New Roman" w:hAnsi="Times New Roman"/>
          <w:szCs w:val="24"/>
          <w:lang w:val="en-AU" w:eastAsia="en-US"/>
        </w:rPr>
        <w:t xml:space="preserve">electricity sales </w:t>
      </w:r>
      <w:r w:rsidRPr="00FE6F80">
        <w:rPr>
          <w:rFonts w:ascii="Times New Roman" w:hAnsi="Times New Roman"/>
          <w:szCs w:val="24"/>
          <w:lang w:val="en-AU" w:eastAsia="en-US"/>
        </w:rPr>
        <w:t>agreement, the information set out in paragraph 1 of this condition must be provided by the exempt person at any time on request by the exempt customer or the AER.</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Once the determination comes into force, the information set out in paragraph 1 of this condition must be provided by an exempt person to existing exempt customers as soon as practicable.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2</w:t>
      </w:r>
      <w:r w:rsidRPr="00FE6F80">
        <w:rPr>
          <w:rFonts w:ascii="Calibri" w:eastAsia="Calibri" w:hAnsi="Calibri"/>
          <w:b/>
          <w:bCs/>
          <w:sz w:val="22"/>
          <w:szCs w:val="22"/>
          <w:lang w:val="en-AU" w:eastAsia="en-US"/>
        </w:rPr>
        <w:t xml:space="preserve">A – </w:t>
      </w:r>
      <w:r>
        <w:rPr>
          <w:rFonts w:ascii="Calibri" w:eastAsia="Calibri" w:hAnsi="Calibri"/>
          <w:b/>
          <w:bCs/>
          <w:sz w:val="22"/>
          <w:szCs w:val="22"/>
          <w:lang w:val="en-AU" w:eastAsia="en-US"/>
        </w:rPr>
        <w:t>Information provision for fully informed consent</w:t>
      </w:r>
    </w:p>
    <w:p w:rsidR="006814B8" w:rsidRPr="00FE6F80" w:rsidRDefault="006814B8" w:rsidP="006814B8">
      <w:pPr>
        <w:numPr>
          <w:ilvl w:val="0"/>
          <w:numId w:val="33"/>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provide notice of plans to convert a brownfield site to an embedded network to all tenants/leaseholders within the proposed site</w:t>
      </w:r>
      <w:r w:rsidRPr="00FE6F80">
        <w:rPr>
          <w:rFonts w:ascii="Times New Roman" w:hAnsi="Times New Roman"/>
          <w:szCs w:val="24"/>
          <w:lang w:val="en-AU" w:eastAsia="en-US"/>
        </w:rPr>
        <w:t xml:space="preserve">. </w:t>
      </w:r>
      <w:r>
        <w:rPr>
          <w:rFonts w:ascii="Times New Roman" w:hAnsi="Times New Roman"/>
          <w:szCs w:val="24"/>
          <w:lang w:val="en-AU" w:eastAsia="en-US"/>
        </w:rPr>
        <w:t>The notice must provide information to assist potential exempt customers in providing their fully informed consent including</w:t>
      </w:r>
      <w:r w:rsidRPr="00FE6F80">
        <w:rPr>
          <w:rFonts w:ascii="Times New Roman" w:hAnsi="Times New Roman"/>
          <w:szCs w:val="24"/>
          <w:lang w:val="en-AU" w:eastAsia="en-US"/>
        </w:rPr>
        <w:t>:</w:t>
      </w:r>
    </w:p>
    <w:p w:rsidR="006814B8" w:rsidRPr="00FE6F80"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eastAsia="en-US"/>
        </w:rPr>
        <w:t>the right to choose electricity providers (for those jurisdictions with this provisio</w:t>
      </w:r>
      <w:r>
        <w:rPr>
          <w:rFonts w:ascii="Times New Roman" w:hAnsi="Times New Roman"/>
          <w:szCs w:val="24"/>
          <w:lang w:val="en-AU"/>
        </w:rPr>
        <w:t>n),</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 xml:space="preserve">the details of any third party engaged by the exempt person to facilitate </w:t>
      </w:r>
      <w:proofErr w:type="spellStart"/>
      <w:r>
        <w:rPr>
          <w:rFonts w:ascii="Times New Roman" w:hAnsi="Times New Roman"/>
          <w:szCs w:val="24"/>
          <w:lang w:val="en-AU"/>
        </w:rPr>
        <w:t>onselling</w:t>
      </w:r>
      <w:proofErr w:type="spellEnd"/>
      <w:r w:rsidRPr="00FE6F80">
        <w:rPr>
          <w:rFonts w:ascii="Times New Roman" w:hAnsi="Times New Roman"/>
          <w:szCs w:val="24"/>
          <w:lang w:val="en-AU"/>
        </w:rPr>
        <w:t>,</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the contact details of a representative who will address any concerns and queries,</w:t>
      </w:r>
    </w:p>
    <w:p w:rsidR="006814B8" w:rsidRPr="000B2916"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a copy of the electricity sales agreement to be offered by the exempt seller, and</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that should the tenant/leaseholder not choose the exempt seller as their electricity supplier:</w:t>
      </w:r>
    </w:p>
    <w:p w:rsidR="006814B8" w:rsidRDefault="006814B8" w:rsidP="006814B8">
      <w:pPr>
        <w:numPr>
          <w:ilvl w:val="1"/>
          <w:numId w:val="23"/>
        </w:numPr>
        <w:spacing w:before="120" w:after="240" w:line="276" w:lineRule="auto"/>
        <w:rPr>
          <w:rFonts w:ascii="Times New Roman" w:hAnsi="Times New Roman"/>
          <w:szCs w:val="24"/>
          <w:lang w:val="en-AU"/>
        </w:rPr>
      </w:pPr>
      <w:r>
        <w:rPr>
          <w:rFonts w:ascii="Times New Roman" w:hAnsi="Times New Roman"/>
          <w:szCs w:val="24"/>
          <w:lang w:val="en-AU"/>
        </w:rPr>
        <w:t>the tenant/leaseholder will receive separate invoices for energy charges (from their retailer) and network charges (from the exempt seller/network owner), and</w:t>
      </w:r>
    </w:p>
    <w:p w:rsidR="006814B8" w:rsidRPr="000B2916" w:rsidRDefault="006814B8" w:rsidP="006814B8">
      <w:pPr>
        <w:numPr>
          <w:ilvl w:val="1"/>
          <w:numId w:val="23"/>
        </w:numPr>
        <w:spacing w:before="120" w:after="240" w:line="276" w:lineRule="auto"/>
        <w:rPr>
          <w:rFonts w:ascii="Times New Roman" w:hAnsi="Times New Roman"/>
          <w:szCs w:val="24"/>
          <w:lang w:val="en-AU"/>
        </w:rPr>
      </w:pPr>
      <w:proofErr w:type="gramStart"/>
      <w:r>
        <w:rPr>
          <w:rFonts w:ascii="Times New Roman" w:hAnsi="Times New Roman"/>
          <w:szCs w:val="24"/>
          <w:lang w:val="en-AU"/>
        </w:rPr>
        <w:t>network</w:t>
      </w:r>
      <w:proofErr w:type="gramEnd"/>
      <w:r>
        <w:rPr>
          <w:rFonts w:ascii="Times New Roman" w:hAnsi="Times New Roman"/>
          <w:szCs w:val="24"/>
          <w:lang w:val="en-AU"/>
        </w:rPr>
        <w:t xml:space="preserve"> invoices issued by the exempt person will only seek to recover the costs of regulated network charges.</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 xml:space="preserve">Condition 3 - Billing </w:t>
      </w:r>
    </w:p>
    <w:p w:rsidR="006814B8" w:rsidRPr="00FE6F80" w:rsidRDefault="006814B8" w:rsidP="006814B8">
      <w:pPr>
        <w:numPr>
          <w:ilvl w:val="0"/>
          <w:numId w:val="22"/>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ensure that bills are issued to each exempt customer at least once every three months.</w:t>
      </w:r>
    </w:p>
    <w:p w:rsidR="006814B8" w:rsidRPr="00FE6F80" w:rsidRDefault="006814B8" w:rsidP="006814B8">
      <w:pPr>
        <w:numPr>
          <w:ilvl w:val="0"/>
          <w:numId w:val="22"/>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include the following particulars in a bill for an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name of the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address of the exempt customer’s premises.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Date that the account was issued.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identifier of the meter for the exempt customer’s premises.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pay-by date for the bill.</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Date of the current meter reading or estimate, as applicable.</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dates to which the meter reading or estimate applies (billing period).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Current meter reading or estimate in kilowatt hours and/or cubic metres, as applicable. </w:t>
      </w:r>
      <w:bookmarkStart w:id="10" w:name="OLE_LINK54"/>
      <w:bookmarkStart w:id="11" w:name="OLE_LINK55"/>
      <w:r w:rsidRPr="00FE6F80">
        <w:rPr>
          <w:rFonts w:ascii="Times New Roman" w:hAnsi="Times New Roman"/>
          <w:szCs w:val="24"/>
          <w:lang w:val="en-AU" w:eastAsia="en-US"/>
        </w:rPr>
        <w:t xml:space="preserve">Where the amount is an estimate, this must be clearly stated on the bill. </w:t>
      </w:r>
      <w:bookmarkEnd w:id="10"/>
      <w:bookmarkEnd w:id="11"/>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Previous meter reading or estimate in kilowatt hours and/or cubic metres, as applicable. Where the amount is an estimate, this must be clearly stated on the bill.</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amount of energy consumed, or estimated to be consumed, in the meter reading period. For electricity, consumption must be shown in kilowatt hours. For gas, consumption must be shown in cubic metres and mega joules and must note the heating value and pressure conversion factor that has been applied (these must be the same as those applied by the retailer from whom the exempt person purchases gas for the site).</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Tariffs, fees and charges applicable to the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basis on which tariffs, fees and charges are calculated.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Details of the available payment methods.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 telephone number for account inquiries and complaints.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4 - Estimation as basis for bills</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use best endeavours to ensure that the meter for each exempt customer is read and used as the basis, or apportioned, for any bill issued.</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cannot rely on an estimation of the meter value at the start of an energy supply arrangement with an exempt customer, or for the purpose of issuing a final bill to an exempt customer.</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may base an exempt customer’s bill on an estimation of the exempt customer’s consumption of energy where the exempt person is not able to reasonably or reliably base the bill on an actual meter reading. </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estimation is used as the basis for a exempt customer’s bill, the estimation must be based on:</w:t>
      </w:r>
    </w:p>
    <w:p w:rsidR="006814B8" w:rsidRPr="00FE6F80" w:rsidRDefault="006814B8" w:rsidP="006814B8">
      <w:pPr>
        <w:numPr>
          <w:ilvl w:val="0"/>
          <w:numId w:val="25"/>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historical metering data for the exempt customer reasonably available to the exempt person, or</w:t>
      </w:r>
    </w:p>
    <w:p w:rsidR="006814B8" w:rsidRPr="00FE6F80" w:rsidRDefault="006814B8" w:rsidP="006814B8">
      <w:pPr>
        <w:numPr>
          <w:ilvl w:val="0"/>
          <w:numId w:val="25"/>
        </w:numPr>
        <w:tabs>
          <w:tab w:val="num" w:pos="720"/>
        </w:tabs>
        <w:spacing w:before="120" w:after="240" w:line="240" w:lineRule="atLeast"/>
        <w:ind w:left="720"/>
        <w:rPr>
          <w:rFonts w:ascii="Times New Roman" w:hAnsi="Times New Roman"/>
          <w:szCs w:val="24"/>
          <w:lang w:val="en-AU" w:eastAsia="en-US"/>
        </w:rPr>
      </w:pPr>
      <w:proofErr w:type="gramStart"/>
      <w:r w:rsidRPr="00FE6F80">
        <w:rPr>
          <w:rFonts w:ascii="Times New Roman" w:hAnsi="Times New Roman"/>
          <w:szCs w:val="24"/>
          <w:lang w:val="en-AU" w:eastAsia="en-US"/>
        </w:rPr>
        <w:t>where</w:t>
      </w:r>
      <w:proofErr w:type="gramEnd"/>
      <w:r w:rsidRPr="00FE6F80">
        <w:rPr>
          <w:rFonts w:ascii="Times New Roman" w:hAnsi="Times New Roman"/>
          <w:szCs w:val="24"/>
          <w:lang w:val="en-AU" w:eastAsia="en-US"/>
        </w:rPr>
        <w:t xml:space="preserve"> this is not available, the average usage of energy by a comparable customer over the corresponding period.</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If a</w:t>
      </w:r>
      <w:r>
        <w:rPr>
          <w:rFonts w:ascii="Times New Roman" w:hAnsi="Times New Roman"/>
          <w:szCs w:val="24"/>
          <w:lang w:val="en-AU" w:eastAsia="en-US"/>
        </w:rPr>
        <w:t xml:space="preserve"> customer’s bill is based on </w:t>
      </w:r>
      <w:proofErr w:type="gramStart"/>
      <w:r>
        <w:rPr>
          <w:rFonts w:ascii="Times New Roman" w:hAnsi="Times New Roman"/>
          <w:szCs w:val="24"/>
          <w:lang w:val="en-AU" w:eastAsia="en-US"/>
        </w:rPr>
        <w:t xml:space="preserve">an </w:t>
      </w:r>
      <w:r w:rsidRPr="00FE6F80">
        <w:rPr>
          <w:rFonts w:ascii="Times New Roman" w:hAnsi="Times New Roman"/>
          <w:szCs w:val="24"/>
          <w:lang w:val="en-AU" w:eastAsia="en-US"/>
        </w:rPr>
        <w:t>estimation</w:t>
      </w:r>
      <w:proofErr w:type="gramEnd"/>
      <w:r w:rsidRPr="00FE6F80">
        <w:rPr>
          <w:rFonts w:ascii="Times New Roman" w:hAnsi="Times New Roman"/>
          <w:szCs w:val="24"/>
          <w:lang w:val="en-AU" w:eastAsia="en-US"/>
        </w:rPr>
        <w:t>, this must be clearly stated on the exempt customer’s bill.</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5 - Pay-by date</w:t>
      </w:r>
    </w:p>
    <w:p w:rsidR="006814B8" w:rsidRPr="00FE6F80" w:rsidRDefault="006814B8" w:rsidP="006814B8">
      <w:pPr>
        <w:numPr>
          <w:ilvl w:val="0"/>
          <w:numId w:val="2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pay-by date for a bill must not be less than 13 business days from the date on which the exempt person issues the bill. </w:t>
      </w:r>
    </w:p>
    <w:p w:rsidR="006814B8" w:rsidRPr="00FE6F80" w:rsidRDefault="006814B8" w:rsidP="006814B8">
      <w:pPr>
        <w:keepNext/>
        <w:spacing w:before="240"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6 - Receipts</w:t>
      </w:r>
    </w:p>
    <w:p w:rsidR="006814B8" w:rsidRPr="00FE6F80" w:rsidRDefault="006814B8" w:rsidP="006814B8">
      <w:pPr>
        <w:numPr>
          <w:ilvl w:val="0"/>
          <w:numId w:val="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provide each exempt customer with a receipt for any amount paid for energy, except where payment has been made by:</w:t>
      </w:r>
    </w:p>
    <w:p w:rsidR="006814B8" w:rsidRPr="00FE6F80" w:rsidRDefault="006814B8" w:rsidP="006814B8">
      <w:pPr>
        <w:numPr>
          <w:ilvl w:val="0"/>
          <w:numId w:val="5"/>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direct debit</w:t>
      </w:r>
      <w:r w:rsidRPr="00FD7EC8">
        <w:rPr>
          <w:rFonts w:ascii="Times New Roman" w:hAnsi="Times New Roman"/>
          <w:szCs w:val="24"/>
          <w:lang w:val="en-AU" w:eastAsia="en-US"/>
        </w:rPr>
        <w:t xml:space="preserve"> or any other form of electronic transfer of funds</w:t>
      </w:r>
      <w:r w:rsidRPr="00FE6F80">
        <w:rPr>
          <w:rFonts w:ascii="Times New Roman" w:hAnsi="Times New Roman"/>
          <w:szCs w:val="24"/>
          <w:lang w:val="en-AU" w:eastAsia="en-US"/>
        </w:rPr>
        <w:t xml:space="preserve">, or </w:t>
      </w:r>
    </w:p>
    <w:p w:rsidR="006814B8" w:rsidRPr="00FE6F80" w:rsidRDefault="006814B8" w:rsidP="006814B8">
      <w:pPr>
        <w:numPr>
          <w:ilvl w:val="0"/>
          <w:numId w:val="5"/>
        </w:numPr>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credit</w:t>
      </w:r>
      <w:proofErr w:type="gramEnd"/>
      <w:r w:rsidRPr="00FE6F80">
        <w:rPr>
          <w:rFonts w:ascii="Times New Roman" w:hAnsi="Times New Roman"/>
          <w:szCs w:val="24"/>
          <w:lang w:val="en-AU" w:eastAsia="en-US"/>
        </w:rPr>
        <w:t xml:space="preserve"> card over the phone and the customer is provided with a receipt number.</w:t>
      </w:r>
    </w:p>
    <w:p w:rsidR="006814B8" w:rsidRPr="00FE6F80" w:rsidRDefault="006814B8" w:rsidP="006814B8">
      <w:pPr>
        <w:numPr>
          <w:ilvl w:val="0"/>
          <w:numId w:val="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provide the exempt customer with a separate receipt if a payment for energy was made together with a rent payment but has not been separately identified on the rent receipt.</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7 - Pricing</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provide notice to the exempt customer of any change in the exempt customer tariff as soon as practicable, </w:t>
      </w:r>
      <w:proofErr w:type="gramStart"/>
      <w:r w:rsidRPr="00FE6F80">
        <w:rPr>
          <w:rFonts w:ascii="Times New Roman" w:hAnsi="Times New Roman"/>
          <w:szCs w:val="24"/>
          <w:lang w:val="en-AU" w:eastAsia="en-US"/>
        </w:rPr>
        <w:t>and</w:t>
      </w:r>
      <w:proofErr w:type="gramEnd"/>
      <w:r w:rsidRPr="00FE6F80">
        <w:rPr>
          <w:rFonts w:ascii="Times New Roman" w:hAnsi="Times New Roman"/>
          <w:szCs w:val="24"/>
          <w:lang w:val="en-AU" w:eastAsia="en-US"/>
        </w:rPr>
        <w:t xml:space="preserve"> no later than the exempt customer’s next bill.</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 impose any charge on an exempt customer that could not be charged by the relevant local area retailer for new connections under a standard retail contract.</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limit any fee charged to a customer for late payment to a recovery of reasonably incurred costs by the exempt person as a result of the customer’s late payment.</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requirements in paragraphs 1–4 do not apply where alternative pricing requirements apply under applicable state or territory legislation.</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applies only to small customers (as defined by the Retail Law).</w:t>
      </w:r>
      <w:r w:rsidRPr="00FE6F80">
        <w:rPr>
          <w:rFonts w:ascii="Times New Roman" w:hAnsi="Times New Roman"/>
          <w:szCs w:val="24"/>
          <w:vertAlign w:val="superscript"/>
          <w:lang w:val="en-AU" w:eastAsia="en-US"/>
        </w:rPr>
        <w:footnoteReference w:id="6"/>
      </w:r>
    </w:p>
    <w:p w:rsidR="006814B8" w:rsidRPr="00FE6F80" w:rsidRDefault="006814B8" w:rsidP="006814B8">
      <w:pPr>
        <w:spacing w:after="200" w:line="276" w:lineRule="auto"/>
        <w:rPr>
          <w:rFonts w:ascii="Calibri" w:eastAsia="Calibri" w:hAnsi="Calibri"/>
          <w:b/>
          <w:sz w:val="22"/>
          <w:szCs w:val="22"/>
          <w:lang w:val="en-AU" w:eastAsia="en-US"/>
        </w:rPr>
      </w:pPr>
      <w:r w:rsidRPr="00FE6F80">
        <w:rPr>
          <w:rFonts w:ascii="Calibri" w:eastAsia="Calibri" w:hAnsi="Calibri"/>
          <w:b/>
          <w:sz w:val="22"/>
          <w:szCs w:val="22"/>
          <w:lang w:val="en-AU" w:eastAsia="en-US"/>
        </w:rPr>
        <w:t>Condition 8 – Undercharging and overcharging</w:t>
      </w:r>
    </w:p>
    <w:p w:rsidR="006814B8" w:rsidRPr="00FE6F80" w:rsidRDefault="006814B8" w:rsidP="006814B8">
      <w:pPr>
        <w:numPr>
          <w:ilvl w:val="0"/>
          <w:numId w:val="3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has been undercharged, an exempt person can recover the amount undercharged subject to the following:</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the undercharging was not the result of the exempt customer’s fault or unlawful act or omission, the exempt person is limited to recovering the amount undercharged in the 9 months before the date on which the customer is notified of the undercharging.</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person cannot charge interest on the undercharged amount.</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exempt person must offer the exempt customer time to pay the undercharged amount by instalments, over a period nominated by the customer (up to12 months, but no longer than the period of the undercharging). </w:t>
      </w:r>
    </w:p>
    <w:p w:rsidR="006814B8" w:rsidRPr="00FE6F80" w:rsidRDefault="006814B8" w:rsidP="006814B8">
      <w:pPr>
        <w:numPr>
          <w:ilvl w:val="0"/>
          <w:numId w:val="3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has been overcharged, an exempt person must inform the customer within 10 business days after becoming aware of the overcharging and repay the amount overcharged subject to the following:</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 xml:space="preserve">Where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Where the amount overcharged is less than $25, the exempt person must credit that amount to the exempt customer’s next bill.</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No interest is payable on the overcharged amount.</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Where the overcharging was the result of the exempt customer’s fault or unlawful act or omission, the exempt person is limited to repaying the amount overcharged in the 12 months before the date on which the error was discovered.</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9 - Disconnection or cessation of supply</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Subject to Condition 10, an exempt person must not proceed with disconnection or cessation of energy supply to an exempt customer unless the following requirements have been met:</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customer has requested disconnection, or</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continuity of supply to the premises would be unsafe, or</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exempt customer’s tenancy/residency/agreement has ended and the exempt customer is vacating the premises</w:t>
      </w:r>
      <w:r>
        <w:rPr>
          <w:rFonts w:ascii="Times New Roman" w:hAnsi="Times New Roman"/>
          <w:szCs w:val="24"/>
          <w:lang w:val="en-AU" w:eastAsia="en-US"/>
        </w:rPr>
        <w:t xml:space="preserve">. </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is disconnected in accordance with paragraph 1(b) of this condition, the exempt person must use its best endeavours to notify the exempt customer in person or by telephone prior to the disconnection, and must arrange for reconnection of the premises as soon as practicable.</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does not apply where state or territory tenancy legislation sets out the process and requirements for the disconnection or cessation of energy supply by the exempt person on the basis that they are a landlord.</w:t>
      </w:r>
    </w:p>
    <w:p w:rsidR="006814B8" w:rsidRPr="00FE6F80" w:rsidRDefault="006814B8" w:rsidP="006814B8">
      <w:pPr>
        <w:keepNext/>
        <w:spacing w:after="240" w:line="276" w:lineRule="auto"/>
        <w:rPr>
          <w:rFonts w:ascii="Calibri" w:eastAsia="Calibri" w:hAnsi="Calibri"/>
          <w:b/>
          <w:sz w:val="16"/>
          <w:szCs w:val="16"/>
          <w:lang w:val="en-AU" w:eastAsia="en-US"/>
        </w:rPr>
      </w:pPr>
      <w:r w:rsidRPr="00FE6F80">
        <w:rPr>
          <w:rFonts w:ascii="Calibri" w:eastAsia="Calibri" w:hAnsi="Calibri"/>
          <w:b/>
          <w:bCs/>
          <w:sz w:val="22"/>
          <w:szCs w:val="22"/>
          <w:lang w:val="en-AU" w:eastAsia="en-US"/>
        </w:rPr>
        <w:t>Condition 10 - When disconnection or cessation of supply is prohibited</w:t>
      </w:r>
    </w:p>
    <w:p w:rsidR="006814B8" w:rsidRPr="00FE6F80"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not disconnect or cease energy supply to an exempt customer’s premises where: </w:t>
      </w:r>
    </w:p>
    <w:p w:rsidR="006814B8" w:rsidRPr="00FE6F80" w:rsidRDefault="006814B8" w:rsidP="006814B8">
      <w:pPr>
        <w:numPr>
          <w:ilvl w:val="0"/>
          <w:numId w:val="14"/>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customer has made a complaint directly related to the proposed reason for disconnection or cessation of supply, to the exempt person, the energy Ombudsman or another relevant external dispute resolution body and the complaint remains unresolved, or</w:t>
      </w:r>
    </w:p>
    <w:p w:rsidR="006814B8" w:rsidRPr="00FE6F80" w:rsidRDefault="006814B8" w:rsidP="006814B8">
      <w:pPr>
        <w:numPr>
          <w:ilvl w:val="0"/>
          <w:numId w:val="14"/>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disconnection or cessation of supply would occur on:</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business day before 8am or after 3pm,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Friday or the day before a public holiday,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weekend or a public holiday,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days between 20 December and 31 December (inclusive) in any year.</w:t>
      </w:r>
    </w:p>
    <w:p w:rsidR="006814B8" w:rsidRPr="00FE6F80"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For electricity, 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6814B8"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does not apply where:</w:t>
      </w:r>
    </w:p>
    <w:p w:rsidR="006814B8" w:rsidRDefault="006814B8" w:rsidP="006814B8">
      <w:pPr>
        <w:numPr>
          <w:ilvl w:val="0"/>
          <w:numId w:val="35"/>
        </w:numPr>
        <w:spacing w:before="120" w:after="240" w:line="240" w:lineRule="atLeast"/>
        <w:rPr>
          <w:rFonts w:ascii="Times New Roman" w:hAnsi="Times New Roman"/>
          <w:szCs w:val="24"/>
          <w:lang w:val="en-AU" w:eastAsia="en-US"/>
        </w:rPr>
      </w:pPr>
      <w:r>
        <w:rPr>
          <w:rFonts w:ascii="Times New Roman" w:hAnsi="Times New Roman"/>
          <w:szCs w:val="24"/>
          <w:lang w:val="en-AU" w:eastAsia="en-US"/>
        </w:rPr>
        <w:t xml:space="preserve">the </w:t>
      </w:r>
      <w:r w:rsidRPr="00FE6F80">
        <w:rPr>
          <w:rFonts w:ascii="Times New Roman" w:hAnsi="Times New Roman"/>
          <w:szCs w:val="24"/>
          <w:lang w:val="en-AU" w:eastAsia="en-US"/>
        </w:rPr>
        <w:t xml:space="preserve">exempt customer has requested disconnection </w:t>
      </w:r>
    </w:p>
    <w:p w:rsidR="006814B8" w:rsidRPr="00FE6F80" w:rsidRDefault="006814B8" w:rsidP="006814B8">
      <w:pPr>
        <w:numPr>
          <w:ilvl w:val="0"/>
          <w:numId w:val="35"/>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state or territory legislation sets out the process and requirements for the disconnection or cessation of energy supply by the exempt person on the basis that they are a landlord</w:t>
      </w:r>
    </w:p>
    <w:p w:rsidR="006814B8" w:rsidRPr="00F43E40" w:rsidRDefault="006814B8" w:rsidP="006814B8">
      <w:pPr>
        <w:numPr>
          <w:ilvl w:val="0"/>
          <w:numId w:val="35"/>
        </w:numPr>
        <w:tabs>
          <w:tab w:val="left" w:pos="567"/>
        </w:tabs>
        <w:spacing w:before="120" w:after="240" w:line="240" w:lineRule="atLeast"/>
        <w:rPr>
          <w:rFonts w:ascii="Times New Roman" w:hAnsi="Times New Roman"/>
          <w:szCs w:val="24"/>
          <w:lang w:val="en-AU" w:eastAsia="en-US"/>
        </w:rPr>
      </w:pPr>
      <w:r>
        <w:rPr>
          <w:rFonts w:ascii="Times New Roman" w:hAnsi="Times New Roman"/>
          <w:szCs w:val="24"/>
          <w:lang w:val="en-AU" w:eastAsia="en-US"/>
        </w:rPr>
        <w:t xml:space="preserve">   </w:t>
      </w: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energy supply agreement between the exempt person and exempt customer has been terminated</w:t>
      </w:r>
      <w:r>
        <w:rPr>
          <w:rFonts w:ascii="Times New Roman" w:hAnsi="Times New Roman"/>
          <w:szCs w:val="24"/>
          <w:lang w:val="en-AU" w:eastAsia="en-US"/>
        </w:rPr>
        <w:t>.</w:t>
      </w:r>
    </w:p>
    <w:p w:rsidR="006814B8" w:rsidRPr="00FE6F80" w:rsidRDefault="006814B8" w:rsidP="006814B8">
      <w:pPr>
        <w:keepNext/>
        <w:spacing w:after="240" w:line="276" w:lineRule="auto"/>
        <w:rPr>
          <w:rFonts w:ascii="Calibri" w:eastAsia="Calibri" w:hAnsi="Calibri"/>
          <w:sz w:val="22"/>
          <w:szCs w:val="22"/>
          <w:lang w:val="en-AU" w:eastAsia="en-US"/>
        </w:rPr>
      </w:pPr>
      <w:r w:rsidRPr="00FE6F80">
        <w:rPr>
          <w:rFonts w:ascii="Calibri" w:eastAsia="Calibri" w:hAnsi="Calibri"/>
          <w:b/>
          <w:bCs/>
          <w:sz w:val="22"/>
          <w:szCs w:val="22"/>
          <w:lang w:val="en-AU" w:eastAsia="en-US"/>
        </w:rPr>
        <w:t>Condition 11 - Reconnection of supply</w:t>
      </w:r>
    </w:p>
    <w:p w:rsidR="006814B8" w:rsidRPr="00FE6F80" w:rsidRDefault="006814B8" w:rsidP="006814B8">
      <w:pPr>
        <w:numPr>
          <w:ilvl w:val="0"/>
          <w:numId w:val="2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person has arranged for the disconnection of an exempt customer’s premises and the exempt customer has within 10 business days of the disconnection:</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if relevant, rectified the matter that led to the disconnection, and</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made a request for reconnection, and</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paid any charge for reconnection, </w:t>
      </w:r>
    </w:p>
    <w:p w:rsidR="006814B8" w:rsidRPr="00FE6F80" w:rsidRDefault="006814B8" w:rsidP="006814B8">
      <w:pPr>
        <w:tabs>
          <w:tab w:val="left" w:pos="567"/>
        </w:tabs>
        <w:spacing w:after="240" w:line="240" w:lineRule="atLeast"/>
        <w:ind w:left="360"/>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exempt person must reconnect the premises</w:t>
      </w:r>
      <w:r w:rsidRPr="00FE6F80">
        <w:rPr>
          <w:rFonts w:ascii="Times New Roman" w:hAnsi="Times New Roman"/>
          <w:bCs/>
          <w:szCs w:val="24"/>
          <w:lang w:val="en-AU" w:eastAsia="en-US"/>
        </w:rPr>
        <w:t xml:space="preserve"> (or, where required, arrange with the network operator to reconnect the premises) as soon as practicable</w:t>
      </w:r>
      <w:r w:rsidRPr="00FE6F80">
        <w:rPr>
          <w:rFonts w:ascii="Times New Roman" w:hAnsi="Times New Roman"/>
          <w:szCs w:val="24"/>
          <w:lang w:val="en-AU" w:eastAsia="en-US"/>
        </w:rPr>
        <w:t>.</w:t>
      </w:r>
    </w:p>
    <w:p w:rsidR="006814B8" w:rsidRPr="00D51ECF" w:rsidRDefault="006814B8" w:rsidP="006814B8">
      <w:pPr>
        <w:keepNext/>
        <w:spacing w:after="240" w:line="276" w:lineRule="auto"/>
        <w:rPr>
          <w:rFonts w:ascii="Calibri" w:eastAsia="Calibri" w:hAnsi="Calibri"/>
          <w:sz w:val="22"/>
          <w:szCs w:val="22"/>
          <w:lang w:val="en-AU" w:eastAsia="en-US"/>
        </w:rPr>
      </w:pPr>
      <w:r w:rsidRPr="00D51ECF">
        <w:rPr>
          <w:rFonts w:ascii="Calibri" w:eastAsia="Calibri" w:hAnsi="Calibri"/>
          <w:b/>
          <w:bCs/>
          <w:sz w:val="22"/>
          <w:szCs w:val="22"/>
          <w:lang w:val="en-AU" w:eastAsia="en-US"/>
        </w:rPr>
        <w:t>Condition </w:t>
      </w:r>
      <w:r>
        <w:rPr>
          <w:rFonts w:ascii="Calibri" w:eastAsia="Calibri" w:hAnsi="Calibri"/>
          <w:b/>
          <w:bCs/>
          <w:sz w:val="22"/>
          <w:szCs w:val="22"/>
          <w:lang w:val="en-AU" w:eastAsia="en-US"/>
        </w:rPr>
        <w:t>12</w:t>
      </w:r>
      <w:r w:rsidRPr="00D51ECF">
        <w:rPr>
          <w:rFonts w:ascii="Calibri" w:eastAsia="Calibri" w:hAnsi="Calibri"/>
          <w:b/>
          <w:bCs/>
          <w:sz w:val="22"/>
          <w:szCs w:val="22"/>
          <w:lang w:val="en-AU" w:eastAsia="en-US"/>
        </w:rPr>
        <w:t xml:space="preserve"> - Choice of retailer</w:t>
      </w:r>
    </w:p>
    <w:p w:rsidR="006814B8" w:rsidRPr="00D51ECF" w:rsidRDefault="006814B8" w:rsidP="006814B8">
      <w:pPr>
        <w:numPr>
          <w:ilvl w:val="0"/>
          <w:numId w:val="31"/>
        </w:numPr>
        <w:spacing w:before="120" w:after="240" w:line="240" w:lineRule="atLeast"/>
        <w:ind w:left="357" w:hanging="357"/>
        <w:rPr>
          <w:rFonts w:ascii="Times New Roman" w:eastAsia="Calibri" w:hAnsi="Times New Roman"/>
          <w:szCs w:val="24"/>
          <w:lang w:val="en-AU"/>
        </w:rPr>
      </w:pPr>
      <w:r w:rsidRPr="00D51ECF">
        <w:rPr>
          <w:rFonts w:ascii="Times New Roman" w:eastAsia="Calibri" w:hAnsi="Times New Roman"/>
          <w:szCs w:val="24"/>
          <w:lang w:val="en-AU"/>
        </w:rPr>
        <w:t>Where an exempt customer is eligible under state or territory legislation to purchase energy from a retailer of their choice, the exempt person must not do anything to discourage or prevent them from exercising this choice, whether by:</w:t>
      </w:r>
    </w:p>
    <w:p w:rsidR="006814B8" w:rsidRPr="00D51ECF" w:rsidRDefault="006814B8" w:rsidP="006814B8">
      <w:pPr>
        <w:numPr>
          <w:ilvl w:val="0"/>
          <w:numId w:val="32"/>
        </w:numPr>
        <w:spacing w:before="120" w:after="240" w:line="240" w:lineRule="atLeast"/>
        <w:rPr>
          <w:rFonts w:ascii="Times New Roman" w:eastAsia="Calibri" w:hAnsi="Times New Roman"/>
          <w:szCs w:val="24"/>
          <w:lang w:val="en-AU"/>
        </w:rPr>
      </w:pPr>
      <w:r w:rsidRPr="00D51ECF">
        <w:rPr>
          <w:rFonts w:ascii="Times New Roman" w:eastAsia="Calibri" w:hAnsi="Times New Roman"/>
          <w:szCs w:val="24"/>
          <w:lang w:val="en-AU"/>
        </w:rPr>
        <w:t>requiring the exempt customer to waive their ability to choose a retailer;</w:t>
      </w:r>
    </w:p>
    <w:p w:rsidR="006814B8" w:rsidRPr="00D51ECF" w:rsidRDefault="006814B8" w:rsidP="006814B8">
      <w:pPr>
        <w:numPr>
          <w:ilvl w:val="0"/>
          <w:numId w:val="32"/>
        </w:numPr>
        <w:spacing w:before="120" w:after="240" w:line="240" w:lineRule="atLeast"/>
        <w:rPr>
          <w:rFonts w:ascii="Times New Roman" w:eastAsia="Calibri" w:hAnsi="Times New Roman"/>
          <w:szCs w:val="24"/>
          <w:lang w:val="en-AU"/>
        </w:rPr>
      </w:pPr>
      <w:r w:rsidRPr="00D51ECF">
        <w:rPr>
          <w:rFonts w:ascii="Times New Roman" w:eastAsia="Calibri" w:hAnsi="Times New Roman"/>
          <w:szCs w:val="24"/>
          <w:lang w:val="en-AU"/>
        </w:rPr>
        <w:t>unreasonably hindering their efforts to find another retailer; or</w:t>
      </w:r>
    </w:p>
    <w:p w:rsidR="006814B8" w:rsidRDefault="006814B8" w:rsidP="006814B8">
      <w:pPr>
        <w:numPr>
          <w:ilvl w:val="0"/>
          <w:numId w:val="32"/>
        </w:numPr>
        <w:spacing w:before="120" w:after="240" w:line="240" w:lineRule="atLeast"/>
        <w:rPr>
          <w:rFonts w:ascii="Times New Roman" w:eastAsia="Calibri" w:hAnsi="Times New Roman"/>
          <w:szCs w:val="24"/>
          <w:lang w:val="en-AU"/>
        </w:rPr>
      </w:pPr>
      <w:proofErr w:type="gramStart"/>
      <w:r w:rsidRPr="00D51ECF">
        <w:rPr>
          <w:rFonts w:ascii="Times New Roman" w:eastAsia="Calibri" w:hAnsi="Times New Roman"/>
          <w:szCs w:val="24"/>
          <w:lang w:val="en-AU"/>
        </w:rPr>
        <w:t>unreasonably</w:t>
      </w:r>
      <w:proofErr w:type="gramEnd"/>
      <w:r w:rsidRPr="00D51ECF">
        <w:rPr>
          <w:rFonts w:ascii="Times New Roman" w:eastAsia="Calibri" w:hAnsi="Times New Roman"/>
          <w:szCs w:val="24"/>
          <w:lang w:val="en-AU"/>
        </w:rPr>
        <w:t xml:space="preserve"> hindering any metering or network changes required to enable choice of retailer.</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12A</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Choice of retailer – Metering and wiring alterations</w:t>
      </w:r>
    </w:p>
    <w:p w:rsidR="006814B8" w:rsidRDefault="006814B8" w:rsidP="006814B8">
      <w:pPr>
        <w:numPr>
          <w:ilvl w:val="0"/>
          <w:numId w:val="36"/>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ensure that a tenant/leaseholder’s access to a choice of retailer is not impeded by any network conversion. Metering arrangements must allow for a change of energy provider.</w:t>
      </w:r>
    </w:p>
    <w:p w:rsidR="006814B8" w:rsidRPr="00DE4EAA" w:rsidRDefault="006814B8" w:rsidP="006814B8">
      <w:pPr>
        <w:numPr>
          <w:ilvl w:val="0"/>
          <w:numId w:val="36"/>
        </w:numPr>
        <w:tabs>
          <w:tab w:val="left" w:pos="567"/>
        </w:tabs>
        <w:spacing w:before="120" w:after="240" w:line="240" w:lineRule="atLeast"/>
        <w:rPr>
          <w:rFonts w:ascii="Times New Roman" w:hAnsi="Times New Roman"/>
          <w:szCs w:val="24"/>
          <w:lang w:val="en-AU" w:eastAsia="en-US"/>
        </w:rPr>
      </w:pPr>
      <w:r w:rsidRPr="003B1AA5">
        <w:rPr>
          <w:rFonts w:ascii="Times New Roman" w:hAnsi="Times New Roman"/>
          <w:szCs w:val="24"/>
          <w:lang w:val="en-AU" w:eastAsia="en-US"/>
        </w:rPr>
        <w:t xml:space="preserve">The costs of any changes to metering and other network alterations that take place in the course of the conversion of a brownfield site to an embedded network must be borne by the </w:t>
      </w:r>
      <w:r w:rsidRPr="00B8025D">
        <w:rPr>
          <w:rFonts w:ascii="Times New Roman" w:hAnsi="Times New Roman"/>
          <w:szCs w:val="24"/>
          <w:lang w:val="en-AU" w:eastAsia="en-US"/>
        </w:rPr>
        <w:t>exempt seller. The costs for any metering changes required after the conversion for a tenant/leaseholder to access a preferred energy retailer need not be borne by the exempt seller</w:t>
      </w:r>
    </w:p>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13</w:t>
      </w:r>
      <w:r w:rsidRPr="00FE6F80">
        <w:rPr>
          <w:rFonts w:ascii="Calibri" w:eastAsia="Calibri" w:hAnsi="Calibri"/>
          <w:b/>
          <w:bCs/>
          <w:sz w:val="22"/>
          <w:szCs w:val="22"/>
          <w:lang w:val="en-AU" w:eastAsia="en-US"/>
        </w:rPr>
        <w:t xml:space="preserve"> - Dispute resolution</w:t>
      </w:r>
    </w:p>
    <w:p w:rsidR="006814B8" w:rsidRPr="00FE6F80" w:rsidRDefault="006814B8" w:rsidP="006814B8">
      <w:pPr>
        <w:numPr>
          <w:ilvl w:val="0"/>
          <w:numId w:val="7"/>
        </w:numPr>
        <w:tabs>
          <w:tab w:val="left" w:pos="567"/>
        </w:tabs>
        <w:spacing w:before="120" w:after="240" w:line="240" w:lineRule="atLeast"/>
        <w:ind w:left="357" w:hanging="357"/>
        <w:rPr>
          <w:rFonts w:ascii="Times New Roman" w:hAnsi="Times New Roman"/>
          <w:szCs w:val="24"/>
          <w:lang w:val="en-AU" w:eastAsia="en-US"/>
        </w:rPr>
      </w:pPr>
      <w:r w:rsidRPr="00FE6F80">
        <w:rPr>
          <w:rFonts w:ascii="Times New Roman" w:hAnsi="Times New Roman"/>
          <w:szCs w:val="24"/>
          <w:lang w:val="en-AU" w:eastAsia="en-US"/>
        </w:rPr>
        <w:t>In the event of a dispute concerning the sale of energy to an exempt customer, and in the absence of a determination of the relevant tenancy tribunal if the customer is a tenant, the exempt person must:</w:t>
      </w:r>
    </w:p>
    <w:p w:rsidR="006814B8" w:rsidRPr="00FE6F80" w:rsidRDefault="006814B8" w:rsidP="006814B8">
      <w:pPr>
        <w:numPr>
          <w:ilvl w:val="0"/>
          <w:numId w:val="8"/>
        </w:numPr>
        <w:spacing w:before="120" w:after="240" w:line="240" w:lineRule="atLeast"/>
        <w:ind w:left="714" w:hanging="357"/>
        <w:rPr>
          <w:rFonts w:ascii="Times New Roman" w:hAnsi="Times New Roman"/>
          <w:szCs w:val="24"/>
          <w:lang w:val="en-AU" w:eastAsia="en-US"/>
        </w:rPr>
      </w:pPr>
      <w:r w:rsidRPr="00FE6F80">
        <w:rPr>
          <w:rFonts w:ascii="Times New Roman" w:hAnsi="Times New Roman"/>
          <w:szCs w:val="24"/>
          <w:lang w:val="en-AU" w:eastAsia="en-US"/>
        </w:rPr>
        <w:t>make reasonable endeavours to resolve the dispute, and</w:t>
      </w:r>
    </w:p>
    <w:p w:rsidR="006814B8" w:rsidRPr="00FE6F80" w:rsidRDefault="006814B8" w:rsidP="006814B8">
      <w:pPr>
        <w:numPr>
          <w:ilvl w:val="0"/>
          <w:numId w:val="8"/>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advise the exempt customer of any right that the exempt customer has to access the energy Ombudsman scheme or any other relevant external dispute resolution body in the state or territory in which the exempt customer is located, if applicable.</w:t>
      </w:r>
    </w:p>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14</w:t>
      </w:r>
      <w:r w:rsidRPr="00FE6F80">
        <w:rPr>
          <w:rFonts w:ascii="Calibri" w:eastAsia="Calibri" w:hAnsi="Calibri"/>
          <w:b/>
          <w:bCs/>
          <w:sz w:val="22"/>
          <w:szCs w:val="22"/>
          <w:lang w:val="en-AU" w:eastAsia="en-US"/>
        </w:rPr>
        <w:t xml:space="preserve"> - Continuity of supply</w:t>
      </w:r>
    </w:p>
    <w:p w:rsidR="006814B8" w:rsidRPr="00FE6F80" w:rsidRDefault="006814B8" w:rsidP="006814B8">
      <w:pPr>
        <w:numPr>
          <w:ilvl w:val="0"/>
          <w:numId w:val="9"/>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notify the exempt customers and the AER immediately if they are (or expect to be) disconnected, or there is any likelihood that they will be unable to continue selling energy.</w:t>
      </w:r>
    </w:p>
    <w:p w:rsidR="006814B8" w:rsidRPr="00FE6F80" w:rsidRDefault="006814B8" w:rsidP="006814B8">
      <w:pPr>
        <w:keepNext/>
        <w:spacing w:after="240" w:line="276" w:lineRule="auto"/>
        <w:rPr>
          <w:rFonts w:ascii="Calibri" w:eastAsia="Calibri" w:hAnsi="Calibri"/>
          <w:b/>
          <w:bCs/>
          <w:sz w:val="22"/>
          <w:szCs w:val="22"/>
          <w:lang w:val="en-AU" w:eastAsia="en-US"/>
        </w:rPr>
      </w:pPr>
      <w:bookmarkStart w:id="12" w:name="OLE_LINK56"/>
      <w:bookmarkStart w:id="13" w:name="OLE_LINK57"/>
      <w:r>
        <w:rPr>
          <w:rFonts w:ascii="Calibri" w:eastAsia="Calibri" w:hAnsi="Calibri"/>
          <w:b/>
          <w:bCs/>
          <w:sz w:val="22"/>
          <w:szCs w:val="22"/>
          <w:lang w:val="en-AU" w:eastAsia="en-US"/>
        </w:rPr>
        <w:t>Condition 15</w:t>
      </w:r>
      <w:r w:rsidRPr="00FE6F80">
        <w:rPr>
          <w:rFonts w:ascii="Calibri" w:eastAsia="Calibri" w:hAnsi="Calibri"/>
          <w:b/>
          <w:bCs/>
          <w:sz w:val="22"/>
          <w:szCs w:val="22"/>
          <w:lang w:val="en-AU" w:eastAsia="en-US"/>
        </w:rPr>
        <w:t>– Termination of energy supply agreement</w:t>
      </w:r>
    </w:p>
    <w:p w:rsidR="006814B8" w:rsidRPr="00FE6F80" w:rsidRDefault="006814B8" w:rsidP="006814B8">
      <w:pPr>
        <w:numPr>
          <w:ilvl w:val="0"/>
          <w:numId w:val="2"/>
        </w:numPr>
        <w:tabs>
          <w:tab w:val="left" w:pos="567"/>
        </w:tabs>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An energy supply agreement between the exempt person and an exempt customer will terminate:</w:t>
      </w:r>
    </w:p>
    <w:p w:rsidR="006814B8" w:rsidRPr="00FE6F80" w:rsidRDefault="006814B8" w:rsidP="006814B8">
      <w:pPr>
        <w:numPr>
          <w:ilvl w:val="0"/>
          <w:numId w:val="29"/>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on a date agreed by the exempt person and exempt customer,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five business days (or a different time agreed by the exempt person and exempt customer) from the date when the exempt customer gives the exempt person a termination notice,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at the conclusion of the exempt customer’s lease for, or occupancy of, the premises to which the energy is supplied,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when the exempt customer starts receiving energy retail services from a different retailer or exempt person,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when a different exempt customer moves in and starts receiving customer retail services for the premises,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at the end of a period of 10 business days commencing on the day the exempt customer’s premises are disconnected, where the conditions for reconnection have not been met.</w:t>
      </w:r>
    </w:p>
    <w:p w:rsidR="006814B8" w:rsidRPr="00FE6F80" w:rsidRDefault="006814B8" w:rsidP="006814B8">
      <w:pPr>
        <w:numPr>
          <w:ilvl w:val="0"/>
          <w:numId w:val="2"/>
        </w:numPr>
        <w:tabs>
          <w:tab w:val="left" w:pos="567"/>
        </w:tabs>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Termination of an arrangement to supply energy does not affect any rights or obligations that have already accrued under the agreement.</w:t>
      </w:r>
    </w:p>
    <w:bookmarkEnd w:id="12"/>
    <w:bookmarkEnd w:id="13"/>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16</w:t>
      </w:r>
      <w:r w:rsidRPr="00FE6F80">
        <w:rPr>
          <w:rFonts w:ascii="Calibri" w:eastAsia="Calibri" w:hAnsi="Calibri"/>
          <w:b/>
          <w:bCs/>
          <w:sz w:val="22"/>
          <w:szCs w:val="22"/>
          <w:lang w:val="en-AU" w:eastAsia="en-US"/>
        </w:rPr>
        <w:t xml:space="preserve"> - Maintaining records</w:t>
      </w:r>
    </w:p>
    <w:p w:rsidR="006814B8" w:rsidRPr="00FE6F80" w:rsidRDefault="006814B8" w:rsidP="006814B8">
      <w:pPr>
        <w:numPr>
          <w:ilvl w:val="0"/>
          <w:numId w:val="26"/>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maintain records of the following for each of its exempt customers: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name of the exempt customer.</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address of the exempt customer’s premises.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identifier of the meter for the exempt customer’s premises (if applicable).</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 that the customer account was created.</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Copies of any bills issued for the previous 12 months.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 of the most recent meter read for the customer (if applicable).</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basis for determining any estimates of consumption for the purpose of billing where a meter read could not be obtained.</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17</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Offer matching</w:t>
      </w:r>
    </w:p>
    <w:p w:rsidR="006814B8" w:rsidRDefault="006814B8" w:rsidP="006814B8">
      <w:pPr>
        <w:spacing w:before="120" w:after="240" w:line="240" w:lineRule="atLeast"/>
        <w:ind w:left="360" w:hanging="360"/>
      </w:pPr>
      <w:r>
        <w:rPr>
          <w:rFonts w:ascii="Times New Roman" w:hAnsi="Times New Roman"/>
          <w:szCs w:val="24"/>
          <w:lang w:val="en-AU" w:eastAsia="en-US"/>
        </w:rPr>
        <w:t>1.</w:t>
      </w:r>
      <w:r>
        <w:rPr>
          <w:rFonts w:ascii="Times New Roman" w:hAnsi="Times New Roman"/>
          <w:szCs w:val="24"/>
          <w:lang w:val="en-AU" w:eastAsia="en-US"/>
        </w:rPr>
        <w:tab/>
      </w:r>
      <w:r w:rsidRPr="00774768">
        <w:rPr>
          <w:rFonts w:ascii="Times New Roman" w:hAnsi="Times New Roman"/>
          <w:szCs w:val="24"/>
          <w:lang w:val="en-AU" w:eastAsia="en-US"/>
        </w:rPr>
        <w:t xml:space="preserve">An exempt person must match </w:t>
      </w:r>
      <w:r w:rsidRPr="00774768">
        <w:rPr>
          <w:rFonts w:ascii="Times New Roman" w:hAnsi="Times New Roman"/>
        </w:rPr>
        <w:t xml:space="preserve">any genuine price offered specifically to a tenant/leaseholder by an authorised retailer for the supply of electricity to the premises </w:t>
      </w:r>
      <w:r w:rsidRPr="00774768">
        <w:rPr>
          <w:rFonts w:ascii="Times New Roman" w:hAnsi="Times New Roman"/>
          <w:szCs w:val="24"/>
          <w:lang w:val="en-AU" w:eastAsia="en-US"/>
        </w:rPr>
        <w:t>if the tenant/leaseholder</w:t>
      </w:r>
      <w:r>
        <w:rPr>
          <w:rFonts w:ascii="Times New Roman" w:hAnsi="Times New Roman"/>
          <w:szCs w:val="24"/>
          <w:lang w:val="en-AU" w:eastAsia="en-US"/>
        </w:rPr>
        <w:t xml:space="preserve"> is a small electricity customer. </w:t>
      </w:r>
      <w:r w:rsidRPr="00774768">
        <w:t xml:space="preserve"> </w:t>
      </w:r>
    </w:p>
    <w:p w:rsidR="006814B8" w:rsidRPr="00F43FC6" w:rsidRDefault="006814B8" w:rsidP="006814B8">
      <w:pPr>
        <w:numPr>
          <w:ilvl w:val="0"/>
          <w:numId w:val="26"/>
        </w:numPr>
        <w:spacing w:before="120" w:after="240" w:line="240" w:lineRule="atLeast"/>
        <w:rPr>
          <w:rFonts w:ascii="Times New Roman" w:hAnsi="Times New Roman"/>
          <w:szCs w:val="24"/>
          <w:lang w:val="en-AU" w:eastAsia="en-US"/>
        </w:rPr>
      </w:pPr>
      <w:r w:rsidRPr="00774768">
        <w:rPr>
          <w:rFonts w:ascii="Times New Roman" w:hAnsi="Times New Roman"/>
          <w:szCs w:val="24"/>
          <w:lang w:val="en-AU" w:eastAsia="en-US"/>
        </w:rPr>
        <w:t>T</w:t>
      </w:r>
      <w:r w:rsidRPr="00774768">
        <w:rPr>
          <w:rFonts w:ascii="Times New Roman" w:hAnsi="Times New Roman"/>
        </w:rPr>
        <w:t>o the extent that the tenant/leaseholder rejects the matched price, the exempt person must pay the cost of removing the embedded network electricity meter and installing a market electricity meter.</w:t>
      </w:r>
    </w:p>
    <w:p w:rsidR="006814B8" w:rsidRPr="00FD7EC8" w:rsidRDefault="006814B8" w:rsidP="006814B8">
      <w:pPr>
        <w:numPr>
          <w:ilvl w:val="0"/>
          <w:numId w:val="26"/>
        </w:numPr>
        <w:spacing w:before="120" w:after="240" w:line="240" w:lineRule="atLeast"/>
        <w:rPr>
          <w:rFonts w:ascii="Times New Roman" w:hAnsi="Times New Roman"/>
          <w:szCs w:val="24"/>
          <w:lang w:val="en-AU" w:eastAsia="en-US"/>
        </w:rPr>
      </w:pPr>
      <w:r>
        <w:rPr>
          <w:rFonts w:ascii="Times New Roman" w:hAnsi="Times New Roman"/>
        </w:rPr>
        <w:t>Paragraphs 1 and 2 of this condition will only apply in respect of an exempt customer’s lease that is in place at the time the brownfield embedded network is created. The exempt seller’s obligations under condition 17 end when the lease term current at the date of the creation of the embedded network expires.</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18</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Duplication of network charges</w:t>
      </w:r>
    </w:p>
    <w:p w:rsidR="006814B8" w:rsidRPr="00FE6F80" w:rsidRDefault="006814B8" w:rsidP="006814B8">
      <w:pPr>
        <w:numPr>
          <w:ilvl w:val="0"/>
          <w:numId w:val="3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take all reasonable steps to ensure the avoidance of the double payment of network charges by tenants/leaseholders who choose to purchase energy from an authorised retailer. All reasonable steps include</w:t>
      </w:r>
      <w:r w:rsidRPr="00FE6F80">
        <w:rPr>
          <w:rFonts w:ascii="Times New Roman" w:hAnsi="Times New Roman"/>
          <w:szCs w:val="24"/>
          <w:lang w:val="en-AU" w:eastAsia="en-US"/>
        </w:rPr>
        <w:t>:</w:t>
      </w:r>
    </w:p>
    <w:p w:rsidR="006814B8" w:rsidRPr="00FE6F80" w:rsidRDefault="006814B8" w:rsidP="006814B8">
      <w:pPr>
        <w:numPr>
          <w:ilvl w:val="0"/>
          <w:numId w:val="38"/>
        </w:numPr>
        <w:spacing w:before="120" w:after="240" w:line="240" w:lineRule="atLeast"/>
        <w:rPr>
          <w:rFonts w:ascii="Times New Roman" w:hAnsi="Times New Roman"/>
          <w:szCs w:val="24"/>
          <w:lang w:val="en-AU" w:eastAsia="en-US"/>
        </w:rPr>
      </w:pPr>
      <w:r>
        <w:rPr>
          <w:rFonts w:ascii="Times New Roman" w:hAnsi="Times New Roman"/>
          <w:szCs w:val="24"/>
          <w:lang w:val="en-AU" w:eastAsia="en-US"/>
        </w:rPr>
        <w:t>seeking written authorisation from the tenant/leaseholder to access their meter data to accurately invoice for network charges, or</w:t>
      </w:r>
    </w:p>
    <w:p w:rsidR="003D2D81" w:rsidRDefault="006814B8" w:rsidP="00FC30B9">
      <w:pPr>
        <w:numPr>
          <w:ilvl w:val="0"/>
          <w:numId w:val="38"/>
        </w:numPr>
        <w:spacing w:before="120" w:after="240" w:line="240" w:lineRule="atLeast"/>
      </w:pPr>
      <w:proofErr w:type="gramStart"/>
      <w:r>
        <w:rPr>
          <w:rFonts w:ascii="Times New Roman" w:hAnsi="Times New Roman"/>
          <w:szCs w:val="24"/>
          <w:lang w:val="en-AU" w:eastAsia="en-US"/>
        </w:rPr>
        <w:t>seeking</w:t>
      </w:r>
      <w:proofErr w:type="gramEnd"/>
      <w:r>
        <w:rPr>
          <w:rFonts w:ascii="Times New Roman" w:hAnsi="Times New Roman"/>
          <w:szCs w:val="24"/>
          <w:lang w:val="en-AU" w:eastAsia="en-US"/>
        </w:rPr>
        <w:t xml:space="preserve"> to recover network charges directly from the tenant/leaseholder’s energy retailer</w:t>
      </w:r>
      <w:r w:rsidRPr="00FE6F80">
        <w:rPr>
          <w:rFonts w:ascii="Times New Roman" w:hAnsi="Times New Roman"/>
          <w:szCs w:val="24"/>
          <w:lang w:val="en-AU" w:eastAsia="en-US"/>
        </w:rPr>
        <w:t>.</w:t>
      </w:r>
      <w:r w:rsidR="00FC30B9">
        <w:t xml:space="preserve"> </w:t>
      </w:r>
    </w:p>
    <w:sectPr w:rsidR="003D2D81">
      <w:footerReference w:type="even" r:id="rId15"/>
      <w:footerReference w:type="default" r:id="rId16"/>
      <w:pgSz w:w="11907" w:h="16840" w:code="9"/>
      <w:pgMar w:top="1440" w:right="1440" w:bottom="1440" w:left="1440" w:header="1440" w:footer="1440" w:gutter="0"/>
      <w:paperSrc w:firs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4B8" w:rsidRDefault="006814B8" w:rsidP="006814B8">
      <w:r>
        <w:separator/>
      </w:r>
    </w:p>
  </w:endnote>
  <w:endnote w:type="continuationSeparator" w:id="0">
    <w:p w:rsidR="006814B8" w:rsidRDefault="006814B8" w:rsidP="00681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BD" w:rsidRDefault="00801A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43BD" w:rsidRDefault="00F40A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BD" w:rsidRDefault="00801A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086F">
      <w:rPr>
        <w:rStyle w:val="PageNumber"/>
        <w:noProof/>
      </w:rPr>
      <w:t>2</w:t>
    </w:r>
    <w:r>
      <w:rPr>
        <w:rStyle w:val="PageNumber"/>
      </w:rPr>
      <w:fldChar w:fldCharType="end"/>
    </w:r>
  </w:p>
  <w:p w:rsidR="00C443BD" w:rsidRDefault="00F40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4B8" w:rsidRDefault="006814B8" w:rsidP="006814B8">
      <w:r>
        <w:separator/>
      </w:r>
    </w:p>
  </w:footnote>
  <w:footnote w:type="continuationSeparator" w:id="0">
    <w:p w:rsidR="006814B8" w:rsidRDefault="006814B8" w:rsidP="006814B8">
      <w:r>
        <w:continuationSeparator/>
      </w:r>
    </w:p>
  </w:footnote>
  <w:footnote w:id="1">
    <w:p w:rsidR="006814B8" w:rsidRPr="003C7226" w:rsidRDefault="006814B8" w:rsidP="006814B8">
      <w:pPr>
        <w:pStyle w:val="FootnoteText"/>
        <w:rPr>
          <w:lang w:val="en-AU"/>
        </w:rPr>
      </w:pPr>
      <w:r>
        <w:rPr>
          <w:rStyle w:val="FootnoteReference"/>
        </w:rPr>
        <w:footnoteRef/>
      </w:r>
      <w:r>
        <w:t xml:space="preserve"> </w:t>
      </w:r>
      <w:proofErr w:type="gramStart"/>
      <w:r w:rsidRPr="003C7226">
        <w:rPr>
          <w:rFonts w:ascii="Times New Roman" w:hAnsi="Times New Roman"/>
        </w:rPr>
        <w:t>r</w:t>
      </w:r>
      <w:proofErr w:type="gramEnd"/>
      <w:r w:rsidRPr="003C7226">
        <w:rPr>
          <w:rFonts w:ascii="Times New Roman" w:hAnsi="Times New Roman"/>
        </w:rPr>
        <w:t>. 155(3) and 156, National Energy Retail Rules.</w:t>
      </w:r>
    </w:p>
  </w:footnote>
  <w:footnote w:id="2">
    <w:p w:rsidR="006814B8" w:rsidRPr="00333B3C" w:rsidRDefault="006814B8" w:rsidP="006814B8">
      <w:pPr>
        <w:pStyle w:val="FootnoteText"/>
        <w:rPr>
          <w:lang w:val="en-AU"/>
        </w:rPr>
      </w:pPr>
      <w:r>
        <w:rPr>
          <w:rStyle w:val="FootnoteReference"/>
        </w:rPr>
        <w:footnoteRef/>
      </w:r>
      <w:r>
        <w:t xml:space="preserve"> </w:t>
      </w:r>
      <w:r w:rsidRPr="00333B3C">
        <w:rPr>
          <w:rFonts w:ascii="Times New Roman" w:hAnsi="Times New Roman"/>
          <w:lang w:val="en-AU"/>
        </w:rPr>
        <w:t xml:space="preserve">The </w:t>
      </w:r>
      <w:r>
        <w:rPr>
          <w:rFonts w:ascii="Times New Roman" w:hAnsi="Times New Roman"/>
          <w:lang w:val="en-AU"/>
        </w:rPr>
        <w:t xml:space="preserve">national energy retail objective </w:t>
      </w:r>
      <w:r w:rsidRPr="00333B3C">
        <w:rPr>
          <w:rFonts w:ascii="Times New Roman" w:hAnsi="Times New Roman"/>
          <w:lang w:val="en-AU"/>
        </w:rPr>
        <w:t>is to</w:t>
      </w:r>
      <w:r>
        <w:rPr>
          <w:lang w:val="en-AU"/>
        </w:rPr>
        <w:t xml:space="preserve"> “</w:t>
      </w:r>
      <w:r>
        <w:rPr>
          <w:rFonts w:ascii="Times New Roman" w:hAnsi="Times New Roman"/>
        </w:rPr>
        <w:t>promote efficient investment in and efficient operation and use of energy services for the long term interests of energy consumers with respect to price, quality, safety, reliability and security of supply of energy”. (s. 13, Retail Law)</w:t>
      </w:r>
    </w:p>
  </w:footnote>
  <w:footnote w:id="3">
    <w:p w:rsidR="006814B8" w:rsidRPr="008850D3" w:rsidRDefault="006814B8" w:rsidP="006814B8">
      <w:pPr>
        <w:pStyle w:val="FootnoteText"/>
        <w:rPr>
          <w:lang w:val="en-AU"/>
        </w:rPr>
      </w:pPr>
      <w:r>
        <w:rPr>
          <w:rStyle w:val="FootnoteReference"/>
        </w:rPr>
        <w:footnoteRef/>
      </w:r>
      <w:r>
        <w:t xml:space="preserve"> </w:t>
      </w:r>
      <w:r>
        <w:rPr>
          <w:lang w:val="en-AU"/>
        </w:rPr>
        <w:t xml:space="preserve"> </w:t>
      </w:r>
      <w:r w:rsidRPr="008850D3">
        <w:rPr>
          <w:rFonts w:ascii="Times New Roman" w:hAnsi="Times New Roman"/>
        </w:rPr>
        <w:t>s. 115, Retail Law</w:t>
      </w:r>
      <w:r>
        <w:rPr>
          <w:rFonts w:ascii="Times New Roman" w:hAnsi="Times New Roman"/>
        </w:rPr>
        <w:t>.</w:t>
      </w:r>
      <w:r>
        <w:rPr>
          <w:lang w:val="en-AU"/>
        </w:rPr>
        <w:t xml:space="preserve"> </w:t>
      </w:r>
    </w:p>
  </w:footnote>
  <w:footnote w:id="4">
    <w:p w:rsidR="006814B8" w:rsidRPr="008850D3" w:rsidRDefault="006814B8" w:rsidP="006814B8">
      <w:pPr>
        <w:pStyle w:val="FootnoteText"/>
        <w:rPr>
          <w:lang w:val="en-AU"/>
        </w:rPr>
      </w:pPr>
      <w:r>
        <w:rPr>
          <w:rStyle w:val="FootnoteReference"/>
        </w:rPr>
        <w:footnoteRef/>
      </w:r>
      <w:r>
        <w:t xml:space="preserve"> </w:t>
      </w:r>
      <w:r>
        <w:rPr>
          <w:lang w:val="en-AU"/>
        </w:rPr>
        <w:t xml:space="preserve"> </w:t>
      </w:r>
      <w:r w:rsidRPr="008850D3">
        <w:rPr>
          <w:rFonts w:ascii="Times New Roman" w:hAnsi="Times New Roman"/>
        </w:rPr>
        <w:t>s. 11</w:t>
      </w:r>
      <w:r>
        <w:rPr>
          <w:rFonts w:ascii="Times New Roman" w:hAnsi="Times New Roman"/>
        </w:rPr>
        <w:t>6</w:t>
      </w:r>
      <w:r w:rsidRPr="008850D3">
        <w:rPr>
          <w:rFonts w:ascii="Times New Roman" w:hAnsi="Times New Roman"/>
        </w:rPr>
        <w:t>, Retail Law</w:t>
      </w:r>
      <w:r>
        <w:rPr>
          <w:rFonts w:ascii="Times New Roman" w:hAnsi="Times New Roman"/>
        </w:rPr>
        <w:t>.</w:t>
      </w:r>
    </w:p>
  </w:footnote>
  <w:footnote w:id="5">
    <w:p w:rsidR="002E5F59" w:rsidRPr="008850D3" w:rsidRDefault="002E5F59" w:rsidP="002E5F59">
      <w:pPr>
        <w:pStyle w:val="FootnoteText"/>
        <w:rPr>
          <w:lang w:val="en-AU"/>
        </w:rPr>
      </w:pPr>
      <w:r>
        <w:rPr>
          <w:rStyle w:val="FootnoteReference"/>
        </w:rPr>
        <w:footnoteRef/>
      </w:r>
      <w:r>
        <w:t xml:space="preserve"> </w:t>
      </w:r>
      <w:r>
        <w:rPr>
          <w:lang w:val="en-AU"/>
        </w:rPr>
        <w:t xml:space="preserve"> </w:t>
      </w:r>
      <w:proofErr w:type="gramStart"/>
      <w:r w:rsidRPr="00787B86">
        <w:rPr>
          <w:rFonts w:ascii="Times New Roman" w:hAnsi="Times New Roman"/>
        </w:rPr>
        <w:t>r</w:t>
      </w:r>
      <w:proofErr w:type="gramEnd"/>
      <w:r w:rsidRPr="00787B86">
        <w:rPr>
          <w:rFonts w:ascii="Times New Roman" w:hAnsi="Times New Roman"/>
        </w:rPr>
        <w:t>. 158(1), Retail Rules.</w:t>
      </w:r>
      <w:r>
        <w:rPr>
          <w:lang w:val="en-AU"/>
        </w:rPr>
        <w:t xml:space="preserve"> </w:t>
      </w:r>
    </w:p>
  </w:footnote>
  <w:footnote w:id="6">
    <w:p w:rsidR="006814B8" w:rsidRPr="0049065C" w:rsidRDefault="006814B8" w:rsidP="006814B8">
      <w:pPr>
        <w:pStyle w:val="FootnoteText"/>
        <w:rPr>
          <w:sz w:val="18"/>
          <w:szCs w:val="18"/>
        </w:rPr>
      </w:pPr>
      <w:r>
        <w:rPr>
          <w:rStyle w:val="FootnoteReference"/>
        </w:rPr>
        <w:footnoteRef/>
      </w:r>
      <w:r>
        <w:t xml:space="preserve"> </w:t>
      </w:r>
      <w:r w:rsidRPr="0049065C">
        <w:rPr>
          <w:sz w:val="18"/>
          <w:szCs w:val="18"/>
        </w:rPr>
        <w:t>Section 5, Schedule – National Energy Retail Law (South Australia) Act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7E3"/>
    <w:multiLevelType w:val="hybridMultilevel"/>
    <w:tmpl w:val="9D2405A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A632C4"/>
    <w:multiLevelType w:val="hybridMultilevel"/>
    <w:tmpl w:val="8DE297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C572970"/>
    <w:multiLevelType w:val="hybridMultilevel"/>
    <w:tmpl w:val="36E0A082"/>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nsid w:val="10680E24"/>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1AF157A3"/>
    <w:multiLevelType w:val="hybridMultilevel"/>
    <w:tmpl w:val="B79A03E6"/>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CC44812"/>
    <w:multiLevelType w:val="hybridMultilevel"/>
    <w:tmpl w:val="2BDC1476"/>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D5B53ED"/>
    <w:multiLevelType w:val="hybridMultilevel"/>
    <w:tmpl w:val="C60C393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21D52A94"/>
    <w:multiLevelType w:val="hybridMultilevel"/>
    <w:tmpl w:val="6C101A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27BB6A3E"/>
    <w:multiLevelType w:val="hybridMultilevel"/>
    <w:tmpl w:val="AF0A9A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nsid w:val="2B5B0F36"/>
    <w:multiLevelType w:val="hybridMultilevel"/>
    <w:tmpl w:val="CB90E16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2B760191"/>
    <w:multiLevelType w:val="hybridMultilevel"/>
    <w:tmpl w:val="750A953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2D71EA1"/>
    <w:multiLevelType w:val="hybridMultilevel"/>
    <w:tmpl w:val="85DEF670"/>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348505E3"/>
    <w:multiLevelType w:val="hybridMultilevel"/>
    <w:tmpl w:val="F484301E"/>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6050BB2"/>
    <w:multiLevelType w:val="hybridMultilevel"/>
    <w:tmpl w:val="AF0A9A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nsid w:val="38072878"/>
    <w:multiLevelType w:val="hybridMultilevel"/>
    <w:tmpl w:val="718EC3FE"/>
    <w:lvl w:ilvl="0" w:tplc="6456BC64">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1617611"/>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46957A02"/>
    <w:multiLevelType w:val="hybridMultilevel"/>
    <w:tmpl w:val="0540EA4A"/>
    <w:lvl w:ilvl="0" w:tplc="0C090019">
      <w:start w:val="1"/>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6F975CC"/>
    <w:multiLevelType w:val="hybridMultilevel"/>
    <w:tmpl w:val="318A094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A561401"/>
    <w:multiLevelType w:val="hybridMultilevel"/>
    <w:tmpl w:val="8DE297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4D614307"/>
    <w:multiLevelType w:val="hybridMultilevel"/>
    <w:tmpl w:val="F878C2A6"/>
    <w:lvl w:ilvl="0" w:tplc="B4B4EB9E">
      <w:start w:val="1"/>
      <w:numFmt w:val="lowerRoman"/>
      <w:lvlText w:val="%1."/>
      <w:lvlJc w:val="right"/>
      <w:pPr>
        <w:tabs>
          <w:tab w:val="num" w:pos="1260"/>
        </w:tabs>
        <w:ind w:left="1260" w:hanging="180"/>
      </w:pPr>
      <w:rPr>
        <w:rFonts w:hint="default"/>
      </w:rPr>
    </w:lvl>
    <w:lvl w:ilvl="1" w:tplc="0C090019">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3">
    <w:nsid w:val="4E8D4977"/>
    <w:multiLevelType w:val="hybridMultilevel"/>
    <w:tmpl w:val="2A6A6B00"/>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4">
    <w:nsid w:val="50076588"/>
    <w:multiLevelType w:val="hybridMultilevel"/>
    <w:tmpl w:val="BE08E98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nsid w:val="5061726D"/>
    <w:multiLevelType w:val="hybridMultilevel"/>
    <w:tmpl w:val="3E70A13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nsid w:val="50D00262"/>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nsid w:val="50F75508"/>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533D12E2"/>
    <w:multiLevelType w:val="hybridMultilevel"/>
    <w:tmpl w:val="D0001852"/>
    <w:lvl w:ilvl="0" w:tplc="0C090019">
      <w:start w:val="1"/>
      <w:numFmt w:val="lowerLetter"/>
      <w:lvlText w:val="%1."/>
      <w:lvlJc w:val="left"/>
      <w:pPr>
        <w:tabs>
          <w:tab w:val="num" w:pos="1080"/>
        </w:tabs>
        <w:ind w:left="1080" w:hanging="360"/>
      </w:pPr>
    </w:lvl>
    <w:lvl w:ilvl="1" w:tplc="0C09001B">
      <w:start w:val="1"/>
      <w:numFmt w:val="lowerRoman"/>
      <w:lvlText w:val="%2."/>
      <w:lvlJc w:val="righ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9">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61BD5C4E"/>
    <w:multiLevelType w:val="hybridMultilevel"/>
    <w:tmpl w:val="D990F3B8"/>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35E4E01"/>
    <w:multiLevelType w:val="hybridMultilevel"/>
    <w:tmpl w:val="6112596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nsid w:val="6844496C"/>
    <w:multiLevelType w:val="hybridMultilevel"/>
    <w:tmpl w:val="09D48CD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nsid w:val="6BC776B0"/>
    <w:multiLevelType w:val="hybridMultilevel"/>
    <w:tmpl w:val="56462B2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7">
    <w:nsid w:val="77862B37"/>
    <w:multiLevelType w:val="hybridMultilevel"/>
    <w:tmpl w:val="3AEE3B4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7BA8399D"/>
    <w:multiLevelType w:val="hybridMultilevel"/>
    <w:tmpl w:val="96A242B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abstractNumId w:val="33"/>
  </w:num>
  <w:num w:numId="2">
    <w:abstractNumId w:val="31"/>
  </w:num>
  <w:num w:numId="3">
    <w:abstractNumId w:val="8"/>
  </w:num>
  <w:num w:numId="4">
    <w:abstractNumId w:val="25"/>
  </w:num>
  <w:num w:numId="5">
    <w:abstractNumId w:val="13"/>
  </w:num>
  <w:num w:numId="6">
    <w:abstractNumId w:val="1"/>
  </w:num>
  <w:num w:numId="7">
    <w:abstractNumId w:val="35"/>
  </w:num>
  <w:num w:numId="8">
    <w:abstractNumId w:val="5"/>
  </w:num>
  <w:num w:numId="9">
    <w:abstractNumId w:val="4"/>
  </w:num>
  <w:num w:numId="10">
    <w:abstractNumId w:val="2"/>
  </w:num>
  <w:num w:numId="11">
    <w:abstractNumId w:val="22"/>
  </w:num>
  <w:num w:numId="12">
    <w:abstractNumId w:val="0"/>
  </w:num>
  <w:num w:numId="13">
    <w:abstractNumId w:val="6"/>
  </w:num>
  <w:num w:numId="14">
    <w:abstractNumId w:val="32"/>
  </w:num>
  <w:num w:numId="15">
    <w:abstractNumId w:val="16"/>
  </w:num>
  <w:num w:numId="16">
    <w:abstractNumId w:val="11"/>
  </w:num>
  <w:num w:numId="17">
    <w:abstractNumId w:val="7"/>
  </w:num>
  <w:num w:numId="18">
    <w:abstractNumId w:val="14"/>
  </w:num>
  <w:num w:numId="19">
    <w:abstractNumId w:val="12"/>
  </w:num>
  <w:num w:numId="20">
    <w:abstractNumId w:val="3"/>
  </w:num>
  <w:num w:numId="21">
    <w:abstractNumId w:val="37"/>
  </w:num>
  <w:num w:numId="22">
    <w:abstractNumId w:val="10"/>
  </w:num>
  <w:num w:numId="23">
    <w:abstractNumId w:val="28"/>
  </w:num>
  <w:num w:numId="24">
    <w:abstractNumId w:val="15"/>
  </w:num>
  <w:num w:numId="25">
    <w:abstractNumId w:val="23"/>
  </w:num>
  <w:num w:numId="26">
    <w:abstractNumId w:val="27"/>
  </w:num>
  <w:num w:numId="27">
    <w:abstractNumId w:val="24"/>
  </w:num>
  <w:num w:numId="28">
    <w:abstractNumId w:val="36"/>
  </w:num>
  <w:num w:numId="29">
    <w:abstractNumId w:val="20"/>
  </w:num>
  <w:num w:numId="30">
    <w:abstractNumId w:val="9"/>
  </w:num>
  <w:num w:numId="31">
    <w:abstractNumId w:val="18"/>
  </w:num>
  <w:num w:numId="32">
    <w:abstractNumId w:val="29"/>
  </w:num>
  <w:num w:numId="33">
    <w:abstractNumId w:val="30"/>
  </w:num>
  <w:num w:numId="34">
    <w:abstractNumId w:val="38"/>
  </w:num>
  <w:num w:numId="35">
    <w:abstractNumId w:val="19"/>
  </w:num>
  <w:num w:numId="36">
    <w:abstractNumId w:val="26"/>
  </w:num>
  <w:num w:numId="37">
    <w:abstractNumId w:val="17"/>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tstev\My Docs\Applications, check lists and approval letters\Notices of instrument\P.T. Limited (Westfield Chatswood) - notice of instrument - individual exemption - 9 October 2015.docx"/>
  </w:docVars>
  <w:rsids>
    <w:rsidRoot w:val="006814B8"/>
    <w:rsid w:val="00101745"/>
    <w:rsid w:val="002E5F59"/>
    <w:rsid w:val="00593ED8"/>
    <w:rsid w:val="005A0963"/>
    <w:rsid w:val="005E2F1D"/>
    <w:rsid w:val="006814B8"/>
    <w:rsid w:val="006B2380"/>
    <w:rsid w:val="00795690"/>
    <w:rsid w:val="00801A4F"/>
    <w:rsid w:val="00843846"/>
    <w:rsid w:val="00843DF8"/>
    <w:rsid w:val="0095086F"/>
    <w:rsid w:val="00A81A7D"/>
    <w:rsid w:val="00A83529"/>
    <w:rsid w:val="00CF3749"/>
    <w:rsid w:val="00EA1D2C"/>
    <w:rsid w:val="00F4700E"/>
    <w:rsid w:val="00F70E60"/>
    <w:rsid w:val="00FC30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80"/>
    <w:pPr>
      <w:spacing w:after="0" w:line="240" w:lineRule="auto"/>
    </w:pPr>
    <w:rPr>
      <w:rFonts w:ascii="Helvetica" w:eastAsia="Times New Roman" w:hAnsi="Helvetica" w:cs="Times New Roman"/>
      <w:sz w:val="24"/>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14B8"/>
    <w:pPr>
      <w:tabs>
        <w:tab w:val="center" w:pos="4819"/>
        <w:tab w:val="right" w:pos="9071"/>
      </w:tabs>
    </w:pPr>
  </w:style>
  <w:style w:type="character" w:customStyle="1" w:styleId="FooterChar">
    <w:name w:val="Footer Char"/>
    <w:basedOn w:val="DefaultParagraphFont"/>
    <w:link w:val="Footer"/>
    <w:rsid w:val="006814B8"/>
    <w:rPr>
      <w:rFonts w:ascii="Helvetica" w:eastAsia="Times New Roman" w:hAnsi="Helvetica" w:cs="Times New Roman"/>
      <w:sz w:val="24"/>
      <w:szCs w:val="20"/>
      <w:lang w:val="en-GB" w:eastAsia="en-AU"/>
    </w:rPr>
  </w:style>
  <w:style w:type="character" w:styleId="PageNumber">
    <w:name w:val="page number"/>
    <w:basedOn w:val="DefaultParagraphFont"/>
    <w:rsid w:val="006814B8"/>
  </w:style>
  <w:style w:type="paragraph" w:customStyle="1" w:styleId="AERbodytext">
    <w:name w:val="AER body text"/>
    <w:basedOn w:val="Normal"/>
    <w:link w:val="AERbodytextChar"/>
    <w:rsid w:val="006814B8"/>
    <w:pPr>
      <w:spacing w:after="240"/>
    </w:pPr>
    <w:rPr>
      <w:rFonts w:ascii="Times New Roman" w:hAnsi="Times New Roman"/>
      <w:lang w:val="en-AU"/>
    </w:rPr>
  </w:style>
  <w:style w:type="character" w:customStyle="1" w:styleId="AERbodytextChar">
    <w:name w:val="AER body text Char"/>
    <w:basedOn w:val="DefaultParagraphFont"/>
    <w:link w:val="AERbodytext"/>
    <w:rsid w:val="006814B8"/>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6814B8"/>
    <w:rPr>
      <w:vertAlign w:val="superscript"/>
    </w:rPr>
  </w:style>
  <w:style w:type="paragraph" w:styleId="FootnoteText">
    <w:name w:val="footnote text"/>
    <w:basedOn w:val="Normal"/>
    <w:link w:val="FootnoteTextChar"/>
    <w:semiHidden/>
    <w:rsid w:val="006814B8"/>
    <w:rPr>
      <w:sz w:val="20"/>
    </w:rPr>
  </w:style>
  <w:style w:type="character" w:customStyle="1" w:styleId="FootnoteTextChar">
    <w:name w:val="Footnote Text Char"/>
    <w:basedOn w:val="DefaultParagraphFont"/>
    <w:link w:val="FootnoteText"/>
    <w:semiHidden/>
    <w:rsid w:val="006814B8"/>
    <w:rPr>
      <w:rFonts w:ascii="Helvetica" w:eastAsia="Times New Roman" w:hAnsi="Helvetica" w:cs="Times New Roman"/>
      <w:sz w:val="20"/>
      <w:szCs w:val="20"/>
      <w:lang w:val="en-GB" w:eastAsia="en-AU"/>
    </w:rPr>
  </w:style>
  <w:style w:type="paragraph" w:styleId="ListParagraph">
    <w:name w:val="List Paragraph"/>
    <w:basedOn w:val="Normal"/>
    <w:uiPriority w:val="34"/>
    <w:qFormat/>
    <w:rsid w:val="006814B8"/>
    <w:pPr>
      <w:ind w:left="720"/>
      <w:contextualSpacing/>
    </w:pPr>
  </w:style>
  <w:style w:type="paragraph" w:styleId="BalloonText">
    <w:name w:val="Balloon Text"/>
    <w:basedOn w:val="Normal"/>
    <w:link w:val="BalloonTextChar"/>
    <w:uiPriority w:val="99"/>
    <w:semiHidden/>
    <w:unhideWhenUsed/>
    <w:rsid w:val="006814B8"/>
    <w:rPr>
      <w:rFonts w:ascii="Tahoma" w:hAnsi="Tahoma" w:cs="Tahoma"/>
      <w:sz w:val="16"/>
      <w:szCs w:val="16"/>
    </w:rPr>
  </w:style>
  <w:style w:type="character" w:customStyle="1" w:styleId="BalloonTextChar">
    <w:name w:val="Balloon Text Char"/>
    <w:basedOn w:val="DefaultParagraphFont"/>
    <w:link w:val="BalloonText"/>
    <w:uiPriority w:val="99"/>
    <w:semiHidden/>
    <w:rsid w:val="006814B8"/>
    <w:rPr>
      <w:rFonts w:ascii="Tahoma" w:eastAsia="Times New Roman" w:hAnsi="Tahoma" w:cs="Tahoma"/>
      <w:sz w:val="16"/>
      <w:szCs w:val="16"/>
      <w:lang w:val="en-GB" w:eastAsia="en-AU"/>
    </w:rPr>
  </w:style>
  <w:style w:type="character" w:styleId="CommentReference">
    <w:name w:val="annotation reference"/>
    <w:basedOn w:val="DefaultParagraphFont"/>
    <w:uiPriority w:val="99"/>
    <w:semiHidden/>
    <w:unhideWhenUsed/>
    <w:rsid w:val="002E5F59"/>
    <w:rPr>
      <w:sz w:val="16"/>
      <w:szCs w:val="16"/>
    </w:rPr>
  </w:style>
  <w:style w:type="paragraph" w:styleId="CommentText">
    <w:name w:val="annotation text"/>
    <w:basedOn w:val="Normal"/>
    <w:link w:val="CommentTextChar"/>
    <w:uiPriority w:val="99"/>
    <w:semiHidden/>
    <w:unhideWhenUsed/>
    <w:rsid w:val="002E5F59"/>
    <w:rPr>
      <w:sz w:val="20"/>
    </w:rPr>
  </w:style>
  <w:style w:type="character" w:customStyle="1" w:styleId="CommentTextChar">
    <w:name w:val="Comment Text Char"/>
    <w:basedOn w:val="DefaultParagraphFont"/>
    <w:link w:val="CommentText"/>
    <w:uiPriority w:val="99"/>
    <w:semiHidden/>
    <w:rsid w:val="002E5F59"/>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E5F59"/>
    <w:rPr>
      <w:b/>
      <w:bCs/>
    </w:rPr>
  </w:style>
  <w:style w:type="character" w:customStyle="1" w:styleId="CommentSubjectChar">
    <w:name w:val="Comment Subject Char"/>
    <w:basedOn w:val="CommentTextChar"/>
    <w:link w:val="CommentSubject"/>
    <w:uiPriority w:val="99"/>
    <w:semiHidden/>
    <w:rsid w:val="002E5F59"/>
    <w:rPr>
      <w:rFonts w:ascii="Helvetica" w:eastAsia="Times New Roman" w:hAnsi="Helvetica"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80"/>
    <w:pPr>
      <w:spacing w:after="0" w:line="240" w:lineRule="auto"/>
    </w:pPr>
    <w:rPr>
      <w:rFonts w:ascii="Helvetica" w:eastAsia="Times New Roman" w:hAnsi="Helvetica" w:cs="Times New Roman"/>
      <w:sz w:val="24"/>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14B8"/>
    <w:pPr>
      <w:tabs>
        <w:tab w:val="center" w:pos="4819"/>
        <w:tab w:val="right" w:pos="9071"/>
      </w:tabs>
    </w:pPr>
  </w:style>
  <w:style w:type="character" w:customStyle="1" w:styleId="FooterChar">
    <w:name w:val="Footer Char"/>
    <w:basedOn w:val="DefaultParagraphFont"/>
    <w:link w:val="Footer"/>
    <w:rsid w:val="006814B8"/>
    <w:rPr>
      <w:rFonts w:ascii="Helvetica" w:eastAsia="Times New Roman" w:hAnsi="Helvetica" w:cs="Times New Roman"/>
      <w:sz w:val="24"/>
      <w:szCs w:val="20"/>
      <w:lang w:val="en-GB" w:eastAsia="en-AU"/>
    </w:rPr>
  </w:style>
  <w:style w:type="character" w:styleId="PageNumber">
    <w:name w:val="page number"/>
    <w:basedOn w:val="DefaultParagraphFont"/>
    <w:rsid w:val="006814B8"/>
  </w:style>
  <w:style w:type="paragraph" w:customStyle="1" w:styleId="AERbodytext">
    <w:name w:val="AER body text"/>
    <w:basedOn w:val="Normal"/>
    <w:link w:val="AERbodytextChar"/>
    <w:rsid w:val="006814B8"/>
    <w:pPr>
      <w:spacing w:after="240"/>
    </w:pPr>
    <w:rPr>
      <w:rFonts w:ascii="Times New Roman" w:hAnsi="Times New Roman"/>
      <w:lang w:val="en-AU"/>
    </w:rPr>
  </w:style>
  <w:style w:type="character" w:customStyle="1" w:styleId="AERbodytextChar">
    <w:name w:val="AER body text Char"/>
    <w:basedOn w:val="DefaultParagraphFont"/>
    <w:link w:val="AERbodytext"/>
    <w:rsid w:val="006814B8"/>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6814B8"/>
    <w:rPr>
      <w:vertAlign w:val="superscript"/>
    </w:rPr>
  </w:style>
  <w:style w:type="paragraph" w:styleId="FootnoteText">
    <w:name w:val="footnote text"/>
    <w:basedOn w:val="Normal"/>
    <w:link w:val="FootnoteTextChar"/>
    <w:semiHidden/>
    <w:rsid w:val="006814B8"/>
    <w:rPr>
      <w:sz w:val="20"/>
    </w:rPr>
  </w:style>
  <w:style w:type="character" w:customStyle="1" w:styleId="FootnoteTextChar">
    <w:name w:val="Footnote Text Char"/>
    <w:basedOn w:val="DefaultParagraphFont"/>
    <w:link w:val="FootnoteText"/>
    <w:semiHidden/>
    <w:rsid w:val="006814B8"/>
    <w:rPr>
      <w:rFonts w:ascii="Helvetica" w:eastAsia="Times New Roman" w:hAnsi="Helvetica" w:cs="Times New Roman"/>
      <w:sz w:val="20"/>
      <w:szCs w:val="20"/>
      <w:lang w:val="en-GB" w:eastAsia="en-AU"/>
    </w:rPr>
  </w:style>
  <w:style w:type="paragraph" w:styleId="ListParagraph">
    <w:name w:val="List Paragraph"/>
    <w:basedOn w:val="Normal"/>
    <w:uiPriority w:val="34"/>
    <w:qFormat/>
    <w:rsid w:val="006814B8"/>
    <w:pPr>
      <w:ind w:left="720"/>
      <w:contextualSpacing/>
    </w:pPr>
  </w:style>
  <w:style w:type="paragraph" w:styleId="BalloonText">
    <w:name w:val="Balloon Text"/>
    <w:basedOn w:val="Normal"/>
    <w:link w:val="BalloonTextChar"/>
    <w:uiPriority w:val="99"/>
    <w:semiHidden/>
    <w:unhideWhenUsed/>
    <w:rsid w:val="006814B8"/>
    <w:rPr>
      <w:rFonts w:ascii="Tahoma" w:hAnsi="Tahoma" w:cs="Tahoma"/>
      <w:sz w:val="16"/>
      <w:szCs w:val="16"/>
    </w:rPr>
  </w:style>
  <w:style w:type="character" w:customStyle="1" w:styleId="BalloonTextChar">
    <w:name w:val="Balloon Text Char"/>
    <w:basedOn w:val="DefaultParagraphFont"/>
    <w:link w:val="BalloonText"/>
    <w:uiPriority w:val="99"/>
    <w:semiHidden/>
    <w:rsid w:val="006814B8"/>
    <w:rPr>
      <w:rFonts w:ascii="Tahoma" w:eastAsia="Times New Roman" w:hAnsi="Tahoma" w:cs="Tahoma"/>
      <w:sz w:val="16"/>
      <w:szCs w:val="16"/>
      <w:lang w:val="en-GB" w:eastAsia="en-AU"/>
    </w:rPr>
  </w:style>
  <w:style w:type="character" w:styleId="CommentReference">
    <w:name w:val="annotation reference"/>
    <w:basedOn w:val="DefaultParagraphFont"/>
    <w:uiPriority w:val="99"/>
    <w:semiHidden/>
    <w:unhideWhenUsed/>
    <w:rsid w:val="002E5F59"/>
    <w:rPr>
      <w:sz w:val="16"/>
      <w:szCs w:val="16"/>
    </w:rPr>
  </w:style>
  <w:style w:type="paragraph" w:styleId="CommentText">
    <w:name w:val="annotation text"/>
    <w:basedOn w:val="Normal"/>
    <w:link w:val="CommentTextChar"/>
    <w:uiPriority w:val="99"/>
    <w:semiHidden/>
    <w:unhideWhenUsed/>
    <w:rsid w:val="002E5F59"/>
    <w:rPr>
      <w:sz w:val="20"/>
    </w:rPr>
  </w:style>
  <w:style w:type="character" w:customStyle="1" w:styleId="CommentTextChar">
    <w:name w:val="Comment Text Char"/>
    <w:basedOn w:val="DefaultParagraphFont"/>
    <w:link w:val="CommentText"/>
    <w:uiPriority w:val="99"/>
    <w:semiHidden/>
    <w:rsid w:val="002E5F59"/>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E5F59"/>
    <w:rPr>
      <w:b/>
      <w:bCs/>
    </w:rPr>
  </w:style>
  <w:style w:type="character" w:customStyle="1" w:styleId="CommentSubjectChar">
    <w:name w:val="Comment Subject Char"/>
    <w:basedOn w:val="CommentTextChar"/>
    <w:link w:val="CommentSubject"/>
    <w:uiPriority w:val="99"/>
    <w:semiHidden/>
    <w:rsid w:val="002E5F59"/>
    <w:rPr>
      <w:rFonts w:ascii="Helvetica" w:eastAsia="Times New Roman" w:hAnsi="Helvetica"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E05D1-744D-45FD-8A4C-D95A8690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Stevens-Downie, Tom</dc:creator>
  <cp:lastModifiedBy>Stevens-Downie, Tom</cp:lastModifiedBy>
  <cp:revision>2</cp:revision>
  <cp:lastPrinted>2015-10-09T00:03:00Z</cp:lastPrinted>
  <dcterms:created xsi:type="dcterms:W3CDTF">2015-10-29T23:10:00Z</dcterms:created>
  <dcterms:modified xsi:type="dcterms:W3CDTF">2015-10-29T23:10:00Z</dcterms:modified>
</cp:coreProperties>
</file>