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08" w:rsidRDefault="00BF6965" w:rsidP="00D66208">
      <w:pPr>
        <w:spacing w:after="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REVIEW OF THE AER’S PROPOSED </w:t>
      </w:r>
      <w:r w:rsidR="002F7C7A">
        <w:rPr>
          <w:rFonts w:ascii="Times New Roman" w:hAnsi="Times New Roman" w:cs="Times New Roman"/>
          <w:b/>
          <w:sz w:val="24"/>
          <w:szCs w:val="24"/>
        </w:rPr>
        <w:t>DIVIDEND GROWTH MODEL</w:t>
      </w:r>
    </w:p>
    <w:p w:rsidR="00D66208" w:rsidRDefault="00D66208" w:rsidP="00D66208">
      <w:pPr>
        <w:spacing w:after="0" w:line="360" w:lineRule="auto"/>
        <w:jc w:val="center"/>
        <w:rPr>
          <w:rFonts w:ascii="Times New Roman" w:hAnsi="Times New Roman" w:cs="Times New Roman"/>
          <w:sz w:val="24"/>
          <w:szCs w:val="24"/>
        </w:rPr>
      </w:pPr>
    </w:p>
    <w:p w:rsidR="00D66208" w:rsidRDefault="00D66208" w:rsidP="00D66208">
      <w:pPr>
        <w:spacing w:after="0" w:line="360" w:lineRule="auto"/>
        <w:jc w:val="center"/>
        <w:rPr>
          <w:rFonts w:ascii="Times New Roman" w:hAnsi="Times New Roman" w:cs="Times New Roman"/>
          <w:sz w:val="24"/>
          <w:szCs w:val="24"/>
        </w:rPr>
      </w:pPr>
    </w:p>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Martin Lally</w:t>
      </w:r>
    </w:p>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School of Economics and Finance</w:t>
      </w:r>
    </w:p>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Victoria University of Wellington</w:t>
      </w:r>
    </w:p>
    <w:p w:rsidR="00D66208" w:rsidRDefault="00D66208" w:rsidP="00D66208">
      <w:pPr>
        <w:spacing w:after="0" w:line="360" w:lineRule="auto"/>
        <w:jc w:val="center"/>
        <w:rPr>
          <w:rFonts w:ascii="Times New Roman" w:hAnsi="Times New Roman" w:cs="Times New Roman"/>
          <w:sz w:val="24"/>
          <w:szCs w:val="24"/>
        </w:rPr>
      </w:pPr>
    </w:p>
    <w:p w:rsidR="00D66208" w:rsidRDefault="00333FD6"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16 December </w:t>
      </w:r>
      <w:r w:rsidR="002F7C7A">
        <w:rPr>
          <w:rFonts w:ascii="Times New Roman" w:hAnsi="Times New Roman" w:cs="Times New Roman"/>
          <w:sz w:val="24"/>
          <w:szCs w:val="24"/>
        </w:rPr>
        <w:t>2013</w:t>
      </w:r>
    </w:p>
    <w:p w:rsidR="00AF121B" w:rsidRDefault="00AF121B" w:rsidP="00AF121B">
      <w:pPr>
        <w:spacing w:after="0" w:line="360" w:lineRule="auto"/>
        <w:jc w:val="both"/>
        <w:rPr>
          <w:rFonts w:ascii="Times New Roman" w:hAnsi="Times New Roman" w:cs="Times New Roman"/>
          <w:sz w:val="24"/>
          <w:szCs w:val="24"/>
        </w:rPr>
      </w:pPr>
    </w:p>
    <w:p w:rsidR="00AF121B" w:rsidRDefault="00AF121B">
      <w:pPr>
        <w:rPr>
          <w:rFonts w:ascii="Times New Roman" w:hAnsi="Times New Roman" w:cs="Times New Roman"/>
          <w:sz w:val="24"/>
          <w:szCs w:val="24"/>
        </w:rPr>
      </w:pPr>
      <w:r>
        <w:rPr>
          <w:rFonts w:ascii="Times New Roman" w:hAnsi="Times New Roman" w:cs="Times New Roman"/>
          <w:sz w:val="24"/>
          <w:szCs w:val="24"/>
        </w:rPr>
        <w:br w:type="page"/>
      </w:r>
    </w:p>
    <w:p w:rsidR="00AF121B" w:rsidRDefault="00AF121B" w:rsidP="00AF121B">
      <w:pPr>
        <w:pStyle w:val="Heading1"/>
      </w:pPr>
      <w:r>
        <w:lastRenderedPageBreak/>
        <w:t>CONTENTS</w:t>
      </w:r>
    </w:p>
    <w:p w:rsidR="00AF121B" w:rsidRDefault="00AF121B" w:rsidP="00AF121B">
      <w:pPr>
        <w:pStyle w:val="Heading1"/>
      </w:pPr>
    </w:p>
    <w:p w:rsidR="00FD0E45" w:rsidRPr="00AF121B" w:rsidRDefault="00C35E43" w:rsidP="00AF121B">
      <w:pPr>
        <w:pStyle w:val="BodyText"/>
        <w:tabs>
          <w:tab w:val="left" w:pos="7638"/>
        </w:tabs>
        <w:rPr>
          <w:bCs/>
        </w:rPr>
      </w:pPr>
      <w:r>
        <w:rPr>
          <w:bCs/>
        </w:rPr>
        <w:t>Executive Summary</w:t>
      </w:r>
      <w:r>
        <w:rPr>
          <w:bCs/>
        </w:rPr>
        <w:tab/>
        <w:t>3</w:t>
      </w:r>
    </w:p>
    <w:p w:rsidR="00AF121B" w:rsidRPr="00AF121B" w:rsidRDefault="00A50BFE" w:rsidP="00CD4910">
      <w:pPr>
        <w:pStyle w:val="BodyText"/>
        <w:tabs>
          <w:tab w:val="left" w:pos="7638"/>
        </w:tabs>
        <w:ind w:left="426" w:hanging="426"/>
        <w:rPr>
          <w:bCs/>
        </w:rPr>
      </w:pPr>
      <w:r>
        <w:rPr>
          <w:bCs/>
        </w:rPr>
        <w:t xml:space="preserve">1.  </w:t>
      </w:r>
      <w:r w:rsidR="00CD4910">
        <w:rPr>
          <w:bCs/>
        </w:rPr>
        <w:tab/>
      </w:r>
      <w:r>
        <w:rPr>
          <w:bCs/>
        </w:rPr>
        <w:t>Introduction</w:t>
      </w:r>
      <w:r>
        <w:rPr>
          <w:bCs/>
        </w:rPr>
        <w:tab/>
        <w:t>5</w:t>
      </w:r>
    </w:p>
    <w:p w:rsidR="00AF121B" w:rsidRPr="00AF121B" w:rsidRDefault="00AF121B" w:rsidP="00CD4910">
      <w:pPr>
        <w:pStyle w:val="BodyText"/>
        <w:tabs>
          <w:tab w:val="left" w:pos="7638"/>
        </w:tabs>
        <w:ind w:left="426" w:hanging="426"/>
        <w:rPr>
          <w:bCs/>
        </w:rPr>
      </w:pPr>
      <w:r w:rsidRPr="00AF121B">
        <w:rPr>
          <w:bCs/>
        </w:rPr>
        <w:t xml:space="preserve">2.  </w:t>
      </w:r>
      <w:r w:rsidR="00CD4910">
        <w:rPr>
          <w:bCs/>
        </w:rPr>
        <w:tab/>
      </w:r>
      <w:r w:rsidRPr="00AF121B">
        <w:rPr>
          <w:bCs/>
        </w:rPr>
        <w:t xml:space="preserve">The </w:t>
      </w:r>
      <w:r w:rsidR="00D2575F">
        <w:rPr>
          <w:bCs/>
        </w:rPr>
        <w:t>AER’s Proposal</w:t>
      </w:r>
      <w:r w:rsidR="00A50BFE">
        <w:rPr>
          <w:bCs/>
        </w:rPr>
        <w:tab/>
        <w:t>5</w:t>
      </w:r>
    </w:p>
    <w:p w:rsidR="002B3BC1" w:rsidRPr="002B3BC1" w:rsidRDefault="00AF121B" w:rsidP="00CD4910">
      <w:pPr>
        <w:pStyle w:val="BodyText"/>
        <w:tabs>
          <w:tab w:val="left" w:pos="7638"/>
        </w:tabs>
        <w:ind w:left="426" w:hanging="426"/>
        <w:rPr>
          <w:bCs/>
        </w:rPr>
      </w:pPr>
      <w:r w:rsidRPr="00AF121B">
        <w:rPr>
          <w:bCs/>
        </w:rPr>
        <w:t xml:space="preserve">3.  </w:t>
      </w:r>
      <w:r w:rsidR="00CD4910">
        <w:rPr>
          <w:bCs/>
        </w:rPr>
        <w:tab/>
      </w:r>
      <w:r w:rsidR="00B22467">
        <w:rPr>
          <w:bCs/>
        </w:rPr>
        <w:t xml:space="preserve">The </w:t>
      </w:r>
      <w:r w:rsidR="00A1054D">
        <w:rPr>
          <w:bCs/>
        </w:rPr>
        <w:t>Use of a Two-Stage Model</w:t>
      </w:r>
      <w:r w:rsidR="00AB165C">
        <w:rPr>
          <w:bCs/>
        </w:rPr>
        <w:tab/>
        <w:t>6</w:t>
      </w:r>
    </w:p>
    <w:p w:rsidR="00AF121B" w:rsidRPr="00AF121B" w:rsidRDefault="00AF121B" w:rsidP="00CD4910">
      <w:pPr>
        <w:pStyle w:val="BodyText"/>
        <w:tabs>
          <w:tab w:val="left" w:pos="7638"/>
        </w:tabs>
        <w:ind w:left="426" w:hanging="426"/>
        <w:rPr>
          <w:bCs/>
        </w:rPr>
      </w:pPr>
      <w:r w:rsidRPr="00AF121B">
        <w:rPr>
          <w:bCs/>
        </w:rPr>
        <w:t xml:space="preserve">4.  </w:t>
      </w:r>
      <w:r w:rsidR="00CD4910">
        <w:rPr>
          <w:bCs/>
        </w:rPr>
        <w:tab/>
      </w:r>
      <w:r w:rsidRPr="00AF121B">
        <w:rPr>
          <w:bCs/>
        </w:rPr>
        <w:t xml:space="preserve">The </w:t>
      </w:r>
      <w:r w:rsidR="00A1054D">
        <w:rPr>
          <w:bCs/>
        </w:rPr>
        <w:t>Term Structure for the Discount Rate</w:t>
      </w:r>
      <w:r w:rsidR="00AB165C">
        <w:rPr>
          <w:bCs/>
        </w:rPr>
        <w:tab/>
        <w:t>10</w:t>
      </w:r>
    </w:p>
    <w:p w:rsidR="00AF121B" w:rsidRPr="00AF121B" w:rsidRDefault="00A1054D" w:rsidP="00CD4910">
      <w:pPr>
        <w:pStyle w:val="BodyText"/>
        <w:tabs>
          <w:tab w:val="left" w:pos="7638"/>
        </w:tabs>
        <w:ind w:left="426" w:hanging="426"/>
        <w:rPr>
          <w:bCs/>
        </w:rPr>
      </w:pPr>
      <w:r>
        <w:rPr>
          <w:bCs/>
        </w:rPr>
        <w:t xml:space="preserve">5.  </w:t>
      </w:r>
      <w:r w:rsidR="00CD4910">
        <w:rPr>
          <w:bCs/>
        </w:rPr>
        <w:tab/>
      </w:r>
      <w:r>
        <w:rPr>
          <w:bCs/>
        </w:rPr>
        <w:t>The Correction for Imputation Credits</w:t>
      </w:r>
      <w:r w:rsidR="00AB165C">
        <w:rPr>
          <w:bCs/>
        </w:rPr>
        <w:tab/>
        <w:t>13</w:t>
      </w:r>
    </w:p>
    <w:p w:rsidR="00AF121B" w:rsidRDefault="00AF121B" w:rsidP="00CD4910">
      <w:pPr>
        <w:pStyle w:val="BodyText"/>
        <w:tabs>
          <w:tab w:val="left" w:pos="7638"/>
        </w:tabs>
        <w:ind w:left="426" w:hanging="426"/>
        <w:rPr>
          <w:bCs/>
        </w:rPr>
      </w:pPr>
      <w:r w:rsidRPr="00AF121B">
        <w:rPr>
          <w:bCs/>
        </w:rPr>
        <w:t xml:space="preserve">6.  </w:t>
      </w:r>
      <w:r w:rsidR="00CD4910">
        <w:rPr>
          <w:bCs/>
        </w:rPr>
        <w:tab/>
      </w:r>
      <w:r w:rsidR="00BF6965">
        <w:rPr>
          <w:bCs/>
        </w:rPr>
        <w:t>The Long</w:t>
      </w:r>
      <w:r w:rsidR="00190CEF">
        <w:rPr>
          <w:bCs/>
        </w:rPr>
        <w:t>-Run E</w:t>
      </w:r>
      <w:r w:rsidR="00E5275D">
        <w:rPr>
          <w:bCs/>
        </w:rPr>
        <w:t>xpected Growth Rate in DPS</w:t>
      </w:r>
      <w:r w:rsidR="00AB165C">
        <w:rPr>
          <w:bCs/>
        </w:rPr>
        <w:tab/>
        <w:t>14</w:t>
      </w:r>
    </w:p>
    <w:p w:rsidR="00E5275D" w:rsidRDefault="00E5275D" w:rsidP="00CD4910">
      <w:pPr>
        <w:pStyle w:val="BodyText"/>
        <w:tabs>
          <w:tab w:val="left" w:pos="7638"/>
        </w:tabs>
        <w:ind w:left="426" w:hanging="426"/>
        <w:rPr>
          <w:bCs/>
        </w:rPr>
      </w:pPr>
      <w:r>
        <w:rPr>
          <w:bCs/>
        </w:rPr>
        <w:t>7.     The Short-Run Expected Growth Rate in DPS</w:t>
      </w:r>
      <w:r w:rsidR="00AB165C">
        <w:rPr>
          <w:bCs/>
        </w:rPr>
        <w:tab/>
        <w:t>18</w:t>
      </w:r>
    </w:p>
    <w:p w:rsidR="00392169" w:rsidRDefault="00E5275D" w:rsidP="00CD4910">
      <w:pPr>
        <w:pStyle w:val="BodyText"/>
        <w:tabs>
          <w:tab w:val="left" w:pos="7638"/>
        </w:tabs>
        <w:ind w:left="426" w:hanging="426"/>
        <w:rPr>
          <w:bCs/>
        </w:rPr>
      </w:pPr>
      <w:r>
        <w:rPr>
          <w:bCs/>
        </w:rPr>
        <w:t>8</w:t>
      </w:r>
      <w:r w:rsidR="00392169">
        <w:rPr>
          <w:bCs/>
        </w:rPr>
        <w:t xml:space="preserve">.  </w:t>
      </w:r>
      <w:r w:rsidR="00CD4910">
        <w:rPr>
          <w:bCs/>
        </w:rPr>
        <w:tab/>
      </w:r>
      <w:r w:rsidR="00392169">
        <w:rPr>
          <w:bCs/>
        </w:rPr>
        <w:t xml:space="preserve">The </w:t>
      </w:r>
      <w:r w:rsidR="00BF6965">
        <w:rPr>
          <w:bCs/>
        </w:rPr>
        <w:t>Mid-Year Correction</w:t>
      </w:r>
      <w:r w:rsidR="00AB165C">
        <w:rPr>
          <w:bCs/>
        </w:rPr>
        <w:tab/>
        <w:t>19</w:t>
      </w:r>
    </w:p>
    <w:p w:rsidR="00392169" w:rsidRDefault="00E5275D" w:rsidP="00CD4910">
      <w:pPr>
        <w:pStyle w:val="BodyText"/>
        <w:tabs>
          <w:tab w:val="left" w:pos="7638"/>
        </w:tabs>
        <w:ind w:left="426" w:hanging="426"/>
        <w:rPr>
          <w:bCs/>
        </w:rPr>
      </w:pPr>
      <w:r>
        <w:rPr>
          <w:bCs/>
        </w:rPr>
        <w:t>9</w:t>
      </w:r>
      <w:r w:rsidR="008D1171">
        <w:rPr>
          <w:bCs/>
        </w:rPr>
        <w:t xml:space="preserve">.  </w:t>
      </w:r>
      <w:r w:rsidR="00CD4910">
        <w:rPr>
          <w:bCs/>
        </w:rPr>
        <w:tab/>
      </w:r>
      <w:r w:rsidR="00BF6965">
        <w:rPr>
          <w:bCs/>
        </w:rPr>
        <w:t>The Partial-Year Correction</w:t>
      </w:r>
      <w:r w:rsidR="00AB165C">
        <w:rPr>
          <w:bCs/>
        </w:rPr>
        <w:tab/>
      </w:r>
      <w:r w:rsidR="00F15258">
        <w:rPr>
          <w:bCs/>
        </w:rPr>
        <w:t>20</w:t>
      </w:r>
    </w:p>
    <w:p w:rsidR="003438FC" w:rsidRDefault="00E5275D" w:rsidP="00CD4910">
      <w:pPr>
        <w:pStyle w:val="BodyText"/>
        <w:tabs>
          <w:tab w:val="left" w:pos="7638"/>
        </w:tabs>
        <w:ind w:left="426" w:hanging="426"/>
        <w:rPr>
          <w:bCs/>
        </w:rPr>
      </w:pPr>
      <w:r>
        <w:rPr>
          <w:bCs/>
        </w:rPr>
        <w:t>10</w:t>
      </w:r>
      <w:r w:rsidR="003438FC">
        <w:rPr>
          <w:bCs/>
        </w:rPr>
        <w:t xml:space="preserve">.  </w:t>
      </w:r>
      <w:r>
        <w:rPr>
          <w:bCs/>
        </w:rPr>
        <w:t xml:space="preserve"> </w:t>
      </w:r>
      <w:r w:rsidR="003438FC">
        <w:rPr>
          <w:bCs/>
        </w:rPr>
        <w:t>Limitations in the DGM</w:t>
      </w:r>
      <w:r w:rsidR="00CD4910">
        <w:rPr>
          <w:bCs/>
        </w:rPr>
        <w:tab/>
      </w:r>
      <w:r w:rsidR="00AB165C">
        <w:rPr>
          <w:bCs/>
        </w:rPr>
        <w:t>20</w:t>
      </w:r>
    </w:p>
    <w:p w:rsidR="00CD4910" w:rsidRDefault="00CD4910" w:rsidP="00CD4910">
      <w:pPr>
        <w:pStyle w:val="BodyText"/>
        <w:tabs>
          <w:tab w:val="left" w:pos="7638"/>
        </w:tabs>
        <w:ind w:left="426" w:hanging="426"/>
        <w:rPr>
          <w:bCs/>
        </w:rPr>
      </w:pPr>
      <w:r>
        <w:rPr>
          <w:bCs/>
        </w:rPr>
        <w:tab/>
      </w:r>
      <w:r w:rsidR="00E5275D">
        <w:rPr>
          <w:bCs/>
          <w:i/>
        </w:rPr>
        <w:t>10</w:t>
      </w:r>
      <w:r>
        <w:rPr>
          <w:bCs/>
          <w:i/>
        </w:rPr>
        <w:t>.1 The Assumption of Rational Pricing</w:t>
      </w:r>
      <w:r>
        <w:rPr>
          <w:bCs/>
        </w:rPr>
        <w:tab/>
      </w:r>
      <w:r w:rsidR="008904F3">
        <w:rPr>
          <w:bCs/>
        </w:rPr>
        <w:t>21</w:t>
      </w:r>
    </w:p>
    <w:p w:rsidR="00CD4910" w:rsidRDefault="00CD4910" w:rsidP="00CD4910">
      <w:pPr>
        <w:pStyle w:val="BodyText"/>
        <w:tabs>
          <w:tab w:val="left" w:pos="7638"/>
        </w:tabs>
        <w:ind w:left="426" w:hanging="426"/>
      </w:pPr>
      <w:r>
        <w:rPr>
          <w:bCs/>
        </w:rPr>
        <w:tab/>
      </w:r>
      <w:r w:rsidR="00E5275D">
        <w:rPr>
          <w:bCs/>
          <w:i/>
        </w:rPr>
        <w:t>10</w:t>
      </w:r>
      <w:r>
        <w:rPr>
          <w:bCs/>
          <w:i/>
        </w:rPr>
        <w:t xml:space="preserve">.2 </w:t>
      </w:r>
      <w:r>
        <w:rPr>
          <w:i/>
        </w:rPr>
        <w:t xml:space="preserve">The Impact </w:t>
      </w:r>
      <w:r w:rsidRPr="00445B4D">
        <w:rPr>
          <w:i/>
        </w:rPr>
        <w:t>of Short-Run Fluctuations in the Retention Rate</w:t>
      </w:r>
      <w:r>
        <w:tab/>
      </w:r>
      <w:r w:rsidR="00AB165C">
        <w:t>22</w:t>
      </w:r>
    </w:p>
    <w:p w:rsidR="00CD4910" w:rsidRPr="00AB165C" w:rsidRDefault="00CD4910" w:rsidP="00CD4910">
      <w:pPr>
        <w:pStyle w:val="BodyText"/>
        <w:tabs>
          <w:tab w:val="left" w:pos="7638"/>
        </w:tabs>
        <w:ind w:left="426" w:hanging="426"/>
        <w:rPr>
          <w:bCs/>
        </w:rPr>
      </w:pPr>
      <w:r>
        <w:tab/>
      </w:r>
      <w:r w:rsidR="00E5275D">
        <w:rPr>
          <w:i/>
        </w:rPr>
        <w:t>10</w:t>
      </w:r>
      <w:r>
        <w:rPr>
          <w:i/>
        </w:rPr>
        <w:t xml:space="preserve">.3 The </w:t>
      </w:r>
      <w:r w:rsidRPr="00445B4D">
        <w:rPr>
          <w:i/>
        </w:rPr>
        <w:t>Impact of Long-Run Changes in the Earnings Retention Rate</w:t>
      </w:r>
      <w:r w:rsidR="00AB165C">
        <w:tab/>
        <w:t>23</w:t>
      </w:r>
    </w:p>
    <w:p w:rsidR="00AF121B" w:rsidRPr="00AF121B" w:rsidRDefault="00E5275D" w:rsidP="00CD4910">
      <w:pPr>
        <w:pStyle w:val="BodyText"/>
        <w:tabs>
          <w:tab w:val="left" w:pos="7638"/>
        </w:tabs>
        <w:ind w:left="426" w:hanging="426"/>
        <w:rPr>
          <w:bCs/>
        </w:rPr>
      </w:pPr>
      <w:r>
        <w:rPr>
          <w:bCs/>
        </w:rPr>
        <w:t>11</w:t>
      </w:r>
      <w:r w:rsidR="00CD4910">
        <w:rPr>
          <w:bCs/>
        </w:rPr>
        <w:t xml:space="preserve">. </w:t>
      </w:r>
      <w:r w:rsidR="00CD4910">
        <w:rPr>
          <w:bCs/>
        </w:rPr>
        <w:tab/>
      </w:r>
      <w:r w:rsidR="00AB165C">
        <w:rPr>
          <w:bCs/>
        </w:rPr>
        <w:t>Conclusions</w:t>
      </w:r>
      <w:r w:rsidR="00AB165C">
        <w:rPr>
          <w:bCs/>
        </w:rPr>
        <w:tab/>
      </w:r>
      <w:r w:rsidR="00F15258">
        <w:rPr>
          <w:bCs/>
        </w:rPr>
        <w:t>24</w:t>
      </w:r>
    </w:p>
    <w:p w:rsidR="00AF121B" w:rsidRPr="00497607" w:rsidRDefault="00ED0363" w:rsidP="00497607">
      <w:pPr>
        <w:pStyle w:val="BodyText"/>
        <w:tabs>
          <w:tab w:val="left" w:pos="7638"/>
        </w:tabs>
        <w:rPr>
          <w:bCs/>
        </w:rPr>
      </w:pPr>
      <w:r>
        <w:rPr>
          <w:bCs/>
        </w:rPr>
        <w:t>References</w:t>
      </w:r>
      <w:r w:rsidR="00AB165C">
        <w:rPr>
          <w:bCs/>
        </w:rPr>
        <w:tab/>
        <w:t>26</w:t>
      </w:r>
      <w:r w:rsidR="00AF121B" w:rsidRPr="00AF121B">
        <w:br w:type="page"/>
      </w:r>
    </w:p>
    <w:p w:rsidR="00AF121B" w:rsidRPr="00AF121B" w:rsidRDefault="00AF121B" w:rsidP="00AF121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EXECUTIVE SUMMARY</w:t>
      </w:r>
    </w:p>
    <w:p w:rsidR="00AF121B" w:rsidRDefault="00AF121B" w:rsidP="00AF121B">
      <w:pPr>
        <w:spacing w:after="0" w:line="360" w:lineRule="auto"/>
        <w:jc w:val="both"/>
        <w:rPr>
          <w:rFonts w:ascii="Times New Roman" w:hAnsi="Times New Roman" w:cs="Times New Roman"/>
          <w:sz w:val="24"/>
          <w:szCs w:val="24"/>
        </w:rPr>
      </w:pPr>
    </w:p>
    <w:p w:rsidR="005741CF" w:rsidRDefault="00D603CF" w:rsidP="00574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has sought to critically review the </w:t>
      </w:r>
      <w:r w:rsidR="00346C20" w:rsidRPr="00F07DD9">
        <w:rPr>
          <w:rFonts w:ascii="Times New Roman" w:hAnsi="Times New Roman" w:cs="Times New Roman"/>
          <w:sz w:val="24"/>
          <w:szCs w:val="24"/>
        </w:rPr>
        <w:t>Australian Energy Regulator’s</w:t>
      </w:r>
      <w:r w:rsidR="00346C20">
        <w:rPr>
          <w:rFonts w:ascii="Times New Roman" w:hAnsi="Times New Roman" w:cs="Times New Roman"/>
          <w:sz w:val="24"/>
          <w:szCs w:val="24"/>
        </w:rPr>
        <w:t xml:space="preserve"> (</w:t>
      </w:r>
      <w:r>
        <w:rPr>
          <w:rFonts w:ascii="Times New Roman" w:hAnsi="Times New Roman" w:cs="Times New Roman"/>
          <w:sz w:val="24"/>
          <w:szCs w:val="24"/>
        </w:rPr>
        <w:t>AER’s</w:t>
      </w:r>
      <w:r w:rsidR="00346C20">
        <w:rPr>
          <w:rFonts w:ascii="Times New Roman" w:hAnsi="Times New Roman" w:cs="Times New Roman"/>
          <w:sz w:val="24"/>
          <w:szCs w:val="24"/>
        </w:rPr>
        <w:t>)</w:t>
      </w:r>
      <w:r>
        <w:rPr>
          <w:rFonts w:ascii="Times New Roman" w:hAnsi="Times New Roman" w:cs="Times New Roman"/>
          <w:sz w:val="24"/>
          <w:szCs w:val="24"/>
        </w:rPr>
        <w:t xml:space="preserve"> proposed methodology for estimating th</w:t>
      </w:r>
      <w:r w:rsidR="005741CF">
        <w:rPr>
          <w:rFonts w:ascii="Times New Roman" w:hAnsi="Times New Roman" w:cs="Times New Roman"/>
          <w:sz w:val="24"/>
          <w:szCs w:val="24"/>
        </w:rPr>
        <w:t xml:space="preserve">e </w:t>
      </w:r>
      <w:r w:rsidR="00346C20" w:rsidRPr="00F07DD9">
        <w:rPr>
          <w:rFonts w:ascii="Times New Roman" w:hAnsi="Times New Roman" w:cs="Times New Roman"/>
          <w:sz w:val="24"/>
          <w:szCs w:val="24"/>
        </w:rPr>
        <w:t>market risk premium</w:t>
      </w:r>
      <w:r w:rsidR="00346C20">
        <w:rPr>
          <w:rFonts w:ascii="Times New Roman" w:hAnsi="Times New Roman" w:cs="Times New Roman"/>
          <w:sz w:val="24"/>
          <w:szCs w:val="24"/>
        </w:rPr>
        <w:t xml:space="preserve"> (</w:t>
      </w:r>
      <w:r w:rsidR="005741CF">
        <w:rPr>
          <w:rFonts w:ascii="Times New Roman" w:hAnsi="Times New Roman" w:cs="Times New Roman"/>
          <w:sz w:val="24"/>
          <w:szCs w:val="24"/>
        </w:rPr>
        <w:t>MRP</w:t>
      </w:r>
      <w:r w:rsidR="00346C20">
        <w:rPr>
          <w:rFonts w:ascii="Times New Roman" w:hAnsi="Times New Roman" w:cs="Times New Roman"/>
          <w:sz w:val="24"/>
          <w:szCs w:val="24"/>
        </w:rPr>
        <w:t>)</w:t>
      </w:r>
      <w:r w:rsidR="005741CF">
        <w:rPr>
          <w:rFonts w:ascii="Times New Roman" w:hAnsi="Times New Roman" w:cs="Times New Roman"/>
          <w:sz w:val="24"/>
          <w:szCs w:val="24"/>
        </w:rPr>
        <w:t xml:space="preserve"> through a </w:t>
      </w:r>
      <w:r w:rsidR="00346C20" w:rsidRPr="00F07DD9">
        <w:rPr>
          <w:rFonts w:ascii="Times New Roman" w:hAnsi="Times New Roman" w:cs="Times New Roman"/>
          <w:sz w:val="24"/>
          <w:szCs w:val="24"/>
        </w:rPr>
        <w:t>Dividend Growth Model</w:t>
      </w:r>
      <w:r w:rsidR="00346C20">
        <w:rPr>
          <w:rFonts w:ascii="Times New Roman" w:hAnsi="Times New Roman" w:cs="Times New Roman"/>
          <w:sz w:val="24"/>
          <w:szCs w:val="24"/>
        </w:rPr>
        <w:t xml:space="preserve"> (</w:t>
      </w:r>
      <w:r w:rsidR="005741CF">
        <w:rPr>
          <w:rFonts w:ascii="Times New Roman" w:hAnsi="Times New Roman" w:cs="Times New Roman"/>
          <w:sz w:val="24"/>
          <w:szCs w:val="24"/>
        </w:rPr>
        <w:t>DGM</w:t>
      </w:r>
      <w:r w:rsidR="00346C20">
        <w:rPr>
          <w:rFonts w:ascii="Times New Roman" w:hAnsi="Times New Roman" w:cs="Times New Roman"/>
          <w:sz w:val="24"/>
          <w:szCs w:val="24"/>
        </w:rPr>
        <w:t>)</w:t>
      </w:r>
      <w:r w:rsidR="005741CF">
        <w:rPr>
          <w:rFonts w:ascii="Times New Roman" w:hAnsi="Times New Roman" w:cs="Times New Roman"/>
          <w:sz w:val="24"/>
          <w:szCs w:val="24"/>
        </w:rPr>
        <w:t xml:space="preserve"> methodology, and the conclusions are as follows. </w:t>
      </w:r>
    </w:p>
    <w:p w:rsidR="005741CF" w:rsidRDefault="005741CF" w:rsidP="005741CF">
      <w:pPr>
        <w:spacing w:after="0" w:line="360" w:lineRule="auto"/>
        <w:jc w:val="both"/>
        <w:rPr>
          <w:rFonts w:ascii="Times New Roman" w:hAnsi="Times New Roman" w:cs="Times New Roman"/>
          <w:sz w:val="24"/>
          <w:szCs w:val="24"/>
        </w:rPr>
      </w:pPr>
    </w:p>
    <w:p w:rsidR="005741CF" w:rsidRDefault="005741CF" w:rsidP="00574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Firstly, in respect of the number of stages in the model, I estimate that the incremental benefits in moving from a two to a three-stage model are even greater than in moving from a one to a two-stage model.  Consequently, given that the AER prefers a two-stage model over a one-stage model, the AER ought to adopt a three-stage model.  In using a three-stage model, I favour a linear transition in the expected </w:t>
      </w:r>
      <w:r w:rsidR="00346C20" w:rsidRPr="00F07DD9">
        <w:rPr>
          <w:rFonts w:ascii="Times New Roman" w:hAnsi="Times New Roman" w:cs="Times New Roman"/>
          <w:sz w:val="24"/>
          <w:szCs w:val="24"/>
        </w:rPr>
        <w:t>dividends per share</w:t>
      </w:r>
      <w:r w:rsidR="00346C20">
        <w:rPr>
          <w:rFonts w:ascii="Times New Roman" w:hAnsi="Times New Roman" w:cs="Times New Roman"/>
          <w:sz w:val="24"/>
          <w:szCs w:val="24"/>
        </w:rPr>
        <w:t xml:space="preserve"> (</w:t>
      </w:r>
      <w:r>
        <w:rPr>
          <w:rFonts w:ascii="Times New Roman" w:hAnsi="Times New Roman" w:cs="Times New Roman"/>
          <w:sz w:val="24"/>
          <w:szCs w:val="24"/>
        </w:rPr>
        <w:t>DPS</w:t>
      </w:r>
      <w:r w:rsidR="00346C20">
        <w:rPr>
          <w:rFonts w:ascii="Times New Roman" w:hAnsi="Times New Roman" w:cs="Times New Roman"/>
          <w:sz w:val="24"/>
          <w:szCs w:val="24"/>
        </w:rPr>
        <w:t>)</w:t>
      </w:r>
      <w:r>
        <w:rPr>
          <w:rFonts w:ascii="Times New Roman" w:hAnsi="Times New Roman" w:cs="Times New Roman"/>
          <w:sz w:val="24"/>
          <w:szCs w:val="24"/>
        </w:rPr>
        <w:t xml:space="preserve"> growth rate from the short-run values to the long-run value.</w:t>
      </w:r>
    </w:p>
    <w:p w:rsidR="005741CF" w:rsidRDefault="005741CF" w:rsidP="005741CF">
      <w:pPr>
        <w:spacing w:after="0" w:line="360" w:lineRule="auto"/>
        <w:jc w:val="both"/>
        <w:rPr>
          <w:rFonts w:ascii="Times New Roman" w:hAnsi="Times New Roman" w:cs="Times New Roman"/>
          <w:sz w:val="24"/>
          <w:szCs w:val="24"/>
        </w:rPr>
      </w:pPr>
    </w:p>
    <w:p w:rsidR="005741CF" w:rsidRDefault="005741CF" w:rsidP="00574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Secondly, it is very likely that the true term structure for the market </w:t>
      </w:r>
      <w:r w:rsidR="003B1A81">
        <w:rPr>
          <w:rFonts w:ascii="Times New Roman" w:hAnsi="Times New Roman" w:cs="Times New Roman"/>
          <w:sz w:val="24"/>
          <w:szCs w:val="24"/>
        </w:rPr>
        <w:t xml:space="preserve">cost of equity </w:t>
      </w:r>
      <w:r>
        <w:rPr>
          <w:rFonts w:ascii="Times New Roman" w:hAnsi="Times New Roman" w:cs="Times New Roman"/>
          <w:sz w:val="24"/>
          <w:szCs w:val="24"/>
        </w:rPr>
        <w:t>sometimes significantly departs from the standard assumption of a flat structure.  Consequently, at such times, there will be significant benefits from using a DGM model in which non-flat term structures are recognised.  This would involve setting the expected ten-year market cost of equity in ten years equal to the estimated long-run average value for this parameter and then using the DGM to find the current ten-year market cost of equity.</w:t>
      </w:r>
    </w:p>
    <w:p w:rsidR="005741CF" w:rsidRDefault="005741CF" w:rsidP="005741CF">
      <w:pPr>
        <w:spacing w:after="0" w:line="360" w:lineRule="auto"/>
        <w:jc w:val="both"/>
        <w:rPr>
          <w:rFonts w:ascii="Times New Roman" w:hAnsi="Times New Roman" w:cs="Times New Roman"/>
          <w:sz w:val="24"/>
          <w:szCs w:val="24"/>
        </w:rPr>
      </w:pPr>
    </w:p>
    <w:p w:rsidR="005741CF" w:rsidRDefault="005741CF" w:rsidP="00574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Thirdly, I concur with the AER’s formula for correcting expected cash dividends for imputation credits, and also with their estimate of the proportion of dividends that are fully franked, of 75%.  </w:t>
      </w:r>
    </w:p>
    <w:p w:rsidR="005741CF" w:rsidRDefault="005741CF" w:rsidP="005741CF">
      <w:pPr>
        <w:spacing w:after="0" w:line="360" w:lineRule="auto"/>
        <w:jc w:val="both"/>
        <w:rPr>
          <w:rFonts w:ascii="Times New Roman" w:hAnsi="Times New Roman" w:cs="Times New Roman"/>
          <w:sz w:val="24"/>
          <w:szCs w:val="24"/>
        </w:rPr>
      </w:pPr>
    </w:p>
    <w:p w:rsidR="005741CF" w:rsidRPr="00CC523E" w:rsidRDefault="005741CF" w:rsidP="00574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Fourthly, I concur with the AER’s estimate for the long-run expected real growth rate in DPS of 2% per year, and also with the AER’s estimate for the long-run expected inflation rate of 2.5% per year.  Accordingly I concur with the AER’s estimate of the long-run expected growth rate in DPS of 4.6% per year.</w:t>
      </w:r>
    </w:p>
    <w:p w:rsidR="005741CF" w:rsidRDefault="005741CF" w:rsidP="005741CF">
      <w:pPr>
        <w:spacing w:after="0" w:line="360" w:lineRule="auto"/>
        <w:jc w:val="both"/>
        <w:rPr>
          <w:rFonts w:ascii="Times New Roman" w:hAnsi="Times New Roman" w:cs="Times New Roman"/>
          <w:sz w:val="24"/>
          <w:szCs w:val="24"/>
        </w:rPr>
      </w:pPr>
    </w:p>
    <w:p w:rsidR="005741CF" w:rsidRDefault="005741CF" w:rsidP="00574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Fifthly, in respect of the short-term expected growth rates in DPS, relative to the Bloomberg DPS forecasts, the IBES </w:t>
      </w:r>
      <w:r w:rsidR="007F1879" w:rsidRPr="00F07DD9">
        <w:rPr>
          <w:rFonts w:ascii="Times New Roman" w:hAnsi="Times New Roman" w:cs="Times New Roman"/>
          <w:sz w:val="24"/>
          <w:szCs w:val="24"/>
        </w:rPr>
        <w:t>earnings per share</w:t>
      </w:r>
      <w:r w:rsidR="007F1879">
        <w:rPr>
          <w:rFonts w:ascii="Times New Roman" w:hAnsi="Times New Roman" w:cs="Times New Roman"/>
          <w:sz w:val="24"/>
          <w:szCs w:val="24"/>
        </w:rPr>
        <w:t xml:space="preserve"> (</w:t>
      </w:r>
      <w:r>
        <w:rPr>
          <w:rFonts w:ascii="Times New Roman" w:hAnsi="Times New Roman" w:cs="Times New Roman"/>
          <w:sz w:val="24"/>
          <w:szCs w:val="24"/>
        </w:rPr>
        <w:t>EPS</w:t>
      </w:r>
      <w:r w:rsidR="007F1879">
        <w:rPr>
          <w:rFonts w:ascii="Times New Roman" w:hAnsi="Times New Roman" w:cs="Times New Roman"/>
          <w:sz w:val="24"/>
          <w:szCs w:val="24"/>
        </w:rPr>
        <w:t>)</w:t>
      </w:r>
      <w:r>
        <w:rPr>
          <w:rFonts w:ascii="Times New Roman" w:hAnsi="Times New Roman" w:cs="Times New Roman"/>
          <w:sz w:val="24"/>
          <w:szCs w:val="24"/>
        </w:rPr>
        <w:t xml:space="preserve"> forecasts have the advantages of not being subject to short-term fluctuations in future earnings payout rates and have also been subject to extensive tests for bias.  In addition, ‘stale’ analyst forecasts ought to be deleted from whichever data set is used to the extent this is feasible.</w:t>
      </w:r>
    </w:p>
    <w:p w:rsidR="005741CF" w:rsidRDefault="005741CF" w:rsidP="005741CF">
      <w:pPr>
        <w:spacing w:after="0" w:line="360" w:lineRule="auto"/>
        <w:jc w:val="both"/>
        <w:rPr>
          <w:rFonts w:ascii="Times New Roman" w:hAnsi="Times New Roman" w:cs="Times New Roman"/>
          <w:sz w:val="24"/>
          <w:szCs w:val="24"/>
        </w:rPr>
      </w:pPr>
    </w:p>
    <w:p w:rsidR="005741CF" w:rsidRDefault="005741CF" w:rsidP="00574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Sixthly, in respect of the mid-year correction </w:t>
      </w:r>
      <w:r w:rsidR="00625DF3">
        <w:rPr>
          <w:rFonts w:ascii="Times New Roman" w:hAnsi="Times New Roman" w:cs="Times New Roman"/>
          <w:sz w:val="24"/>
          <w:szCs w:val="24"/>
        </w:rPr>
        <w:t xml:space="preserve">proposed </w:t>
      </w:r>
      <w:r>
        <w:rPr>
          <w:rFonts w:ascii="Times New Roman" w:hAnsi="Times New Roman" w:cs="Times New Roman"/>
          <w:sz w:val="24"/>
          <w:szCs w:val="24"/>
        </w:rPr>
        <w:t xml:space="preserve">by the AER, the theoretical merits of this adjustment are clear.  Failure to make the correction would lead to underestimating the market </w:t>
      </w:r>
      <w:r w:rsidR="003B1A81">
        <w:rPr>
          <w:rFonts w:ascii="Times New Roman" w:hAnsi="Times New Roman" w:cs="Times New Roman"/>
          <w:sz w:val="24"/>
          <w:szCs w:val="24"/>
        </w:rPr>
        <w:t xml:space="preserve">cost of equity, </w:t>
      </w:r>
      <w:r>
        <w:rPr>
          <w:rFonts w:ascii="Times New Roman" w:hAnsi="Times New Roman" w:cs="Times New Roman"/>
          <w:sz w:val="24"/>
          <w:szCs w:val="24"/>
        </w:rPr>
        <w:t>and therefore also the MRP, but only by about 0.25%.  Thus, if this is considered sufficiently important to warrant correction, then a three-stage DGM</w:t>
      </w:r>
      <w:r w:rsidR="00625DF3">
        <w:rPr>
          <w:rFonts w:ascii="Times New Roman" w:hAnsi="Times New Roman" w:cs="Times New Roman"/>
          <w:sz w:val="24"/>
          <w:szCs w:val="24"/>
        </w:rPr>
        <w:t xml:space="preserve"> should be preferred over a two-</w:t>
      </w:r>
      <w:r>
        <w:rPr>
          <w:rFonts w:ascii="Times New Roman" w:hAnsi="Times New Roman" w:cs="Times New Roman"/>
          <w:sz w:val="24"/>
          <w:szCs w:val="24"/>
        </w:rPr>
        <w:t xml:space="preserve">stage model and the assumption of a flat term structure in the market </w:t>
      </w:r>
      <w:r w:rsidR="00ED4584">
        <w:rPr>
          <w:rFonts w:ascii="Times New Roman" w:hAnsi="Times New Roman" w:cs="Times New Roman"/>
          <w:sz w:val="24"/>
          <w:szCs w:val="24"/>
        </w:rPr>
        <w:t xml:space="preserve">cost of equity </w:t>
      </w:r>
      <w:r>
        <w:rPr>
          <w:rFonts w:ascii="Times New Roman" w:hAnsi="Times New Roman" w:cs="Times New Roman"/>
          <w:sz w:val="24"/>
          <w:szCs w:val="24"/>
        </w:rPr>
        <w:t xml:space="preserve">should </w:t>
      </w:r>
      <w:r w:rsidR="00625DF3">
        <w:rPr>
          <w:rFonts w:ascii="Times New Roman" w:hAnsi="Times New Roman" w:cs="Times New Roman"/>
          <w:sz w:val="24"/>
          <w:szCs w:val="24"/>
        </w:rPr>
        <w:t xml:space="preserve">also </w:t>
      </w:r>
      <w:r>
        <w:rPr>
          <w:rFonts w:ascii="Times New Roman" w:hAnsi="Times New Roman" w:cs="Times New Roman"/>
          <w:sz w:val="24"/>
          <w:szCs w:val="24"/>
        </w:rPr>
        <w:t>be avoided.</w:t>
      </w:r>
    </w:p>
    <w:p w:rsidR="005741CF" w:rsidRDefault="005741CF" w:rsidP="005741CF">
      <w:pPr>
        <w:spacing w:after="0" w:line="360" w:lineRule="auto"/>
        <w:jc w:val="both"/>
        <w:rPr>
          <w:rFonts w:ascii="Times New Roman" w:hAnsi="Times New Roman" w:cs="Times New Roman"/>
          <w:sz w:val="24"/>
          <w:szCs w:val="24"/>
        </w:rPr>
      </w:pPr>
    </w:p>
    <w:p w:rsidR="005741CF" w:rsidRDefault="005741CF" w:rsidP="00574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Seventhly, and in respect of the partial-year correction </w:t>
      </w:r>
      <w:r w:rsidR="00625DF3">
        <w:rPr>
          <w:rFonts w:ascii="Times New Roman" w:hAnsi="Times New Roman" w:cs="Times New Roman"/>
          <w:sz w:val="24"/>
          <w:szCs w:val="24"/>
        </w:rPr>
        <w:t xml:space="preserve">proposed </w:t>
      </w:r>
      <w:r>
        <w:rPr>
          <w:rFonts w:ascii="Times New Roman" w:hAnsi="Times New Roman" w:cs="Times New Roman"/>
          <w:sz w:val="24"/>
          <w:szCs w:val="24"/>
        </w:rPr>
        <w:t xml:space="preserve">by the AER, failure to make this adjustment would lead to an underestimate in the market </w:t>
      </w:r>
      <w:r w:rsidR="002E64E0">
        <w:rPr>
          <w:rFonts w:ascii="Times New Roman" w:hAnsi="Times New Roman" w:cs="Times New Roman"/>
          <w:sz w:val="24"/>
          <w:szCs w:val="24"/>
        </w:rPr>
        <w:t xml:space="preserve">cost of equity, </w:t>
      </w:r>
      <w:r>
        <w:rPr>
          <w:rFonts w:ascii="Times New Roman" w:hAnsi="Times New Roman" w:cs="Times New Roman"/>
          <w:sz w:val="24"/>
          <w:szCs w:val="24"/>
        </w:rPr>
        <w:t>and therefore also the MRP, by about 0.1%.  This is not significant.  Furthermore, I understand that the Bloomberg DPS forecast are updated much more frequently than annually, and this undercuts the rationale for the adjustment.  Accordingly, I recommend against the partial-year adjustment.</w:t>
      </w:r>
    </w:p>
    <w:p w:rsidR="005741CF" w:rsidRDefault="005741CF" w:rsidP="005741CF">
      <w:pPr>
        <w:spacing w:after="0" w:line="360" w:lineRule="auto"/>
        <w:jc w:val="both"/>
        <w:rPr>
          <w:rFonts w:ascii="Times New Roman" w:hAnsi="Times New Roman" w:cs="Times New Roman"/>
          <w:sz w:val="24"/>
          <w:szCs w:val="24"/>
        </w:rPr>
      </w:pPr>
    </w:p>
    <w:p w:rsidR="005741CF" w:rsidRDefault="005741CF" w:rsidP="00574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in addition to these issues, there are a number of limitations of the DGM that should be recognised.  In particular, the DGM assumes that equity prices are equal to the present value of future dividends and therefore that the market’s expectation of the growth rate in dividends both exists and is rational.  If this expected growth rate does not exist or is not rational, then an analyst could not hope to accurately estimate it and therefore could not hope to accurately estimate the market’s </w:t>
      </w:r>
      <w:r w:rsidR="002E64E0">
        <w:rPr>
          <w:rFonts w:ascii="Times New Roman" w:hAnsi="Times New Roman" w:cs="Times New Roman"/>
          <w:sz w:val="24"/>
          <w:szCs w:val="24"/>
        </w:rPr>
        <w:t xml:space="preserve">cost of equity.  </w:t>
      </w:r>
      <w:r>
        <w:rPr>
          <w:rFonts w:ascii="Times New Roman" w:hAnsi="Times New Roman" w:cs="Times New Roman"/>
          <w:sz w:val="24"/>
          <w:szCs w:val="24"/>
        </w:rPr>
        <w:t xml:space="preserve">In addition the </w:t>
      </w:r>
      <w:r w:rsidR="002466AD">
        <w:rPr>
          <w:rFonts w:ascii="Times New Roman" w:hAnsi="Times New Roman" w:cs="Times New Roman"/>
          <w:sz w:val="24"/>
          <w:szCs w:val="24"/>
        </w:rPr>
        <w:t xml:space="preserve">DGM </w:t>
      </w:r>
      <w:r>
        <w:rPr>
          <w:rFonts w:ascii="Times New Roman" w:hAnsi="Times New Roman" w:cs="Times New Roman"/>
          <w:sz w:val="24"/>
          <w:szCs w:val="24"/>
        </w:rPr>
        <w:t>is prone to errors in the presence of short-term fluctuations in the market’s earnings retention rate and also to long-term changes in the market’s earnings retention rate.</w:t>
      </w:r>
    </w:p>
    <w:p w:rsidR="005741CF" w:rsidRDefault="005741CF" w:rsidP="00D603CF">
      <w:pPr>
        <w:spacing w:after="0" w:line="360" w:lineRule="auto"/>
        <w:jc w:val="both"/>
        <w:rPr>
          <w:rFonts w:ascii="Times New Roman" w:hAnsi="Times New Roman" w:cs="Times New Roman"/>
          <w:sz w:val="24"/>
          <w:szCs w:val="24"/>
        </w:rPr>
      </w:pPr>
    </w:p>
    <w:p w:rsidR="00A50BFE" w:rsidRDefault="00A50BFE" w:rsidP="00AF121B">
      <w:pPr>
        <w:spacing w:after="0" w:line="360" w:lineRule="auto"/>
        <w:jc w:val="both"/>
        <w:rPr>
          <w:rFonts w:ascii="Times New Roman" w:hAnsi="Times New Roman" w:cs="Times New Roman"/>
          <w:sz w:val="24"/>
          <w:szCs w:val="24"/>
        </w:rPr>
      </w:pPr>
    </w:p>
    <w:p w:rsidR="00AF121B" w:rsidRDefault="00AF121B" w:rsidP="007326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F121B" w:rsidRDefault="00AF121B" w:rsidP="00AF12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D66208" w:rsidRPr="00A54826" w:rsidRDefault="00D66208" w:rsidP="00D66208">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Introduction</w:t>
      </w:r>
    </w:p>
    <w:p w:rsidR="00D66208" w:rsidRDefault="00D66208" w:rsidP="00D66208">
      <w:pPr>
        <w:spacing w:after="0" w:line="360" w:lineRule="auto"/>
        <w:jc w:val="both"/>
        <w:rPr>
          <w:rFonts w:ascii="Times New Roman" w:hAnsi="Times New Roman" w:cs="Times New Roman"/>
          <w:sz w:val="24"/>
          <w:szCs w:val="24"/>
        </w:rPr>
      </w:pPr>
    </w:p>
    <w:p w:rsidR="00344490" w:rsidRDefault="00344490"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AER (2013, section H) has recently so</w:t>
      </w:r>
      <w:r w:rsidR="005552B4">
        <w:rPr>
          <w:rFonts w:ascii="Times New Roman" w:hAnsi="Times New Roman" w:cs="Times New Roman"/>
          <w:sz w:val="24"/>
          <w:szCs w:val="24"/>
        </w:rPr>
        <w:t xml:space="preserve">ught to develop a DGM </w:t>
      </w:r>
      <w:r>
        <w:rPr>
          <w:rFonts w:ascii="Times New Roman" w:hAnsi="Times New Roman" w:cs="Times New Roman"/>
          <w:sz w:val="24"/>
          <w:szCs w:val="24"/>
        </w:rPr>
        <w:t>methodology for estimating the MRP.  This paper seeks to provide a critical review of the AER’s proposed methodology.</w:t>
      </w:r>
    </w:p>
    <w:p w:rsidR="00BA3394" w:rsidRDefault="00BA3394" w:rsidP="009E1846">
      <w:pPr>
        <w:spacing w:after="0" w:line="360" w:lineRule="auto"/>
        <w:jc w:val="both"/>
        <w:rPr>
          <w:rFonts w:ascii="Times New Roman" w:hAnsi="Times New Roman" w:cs="Times New Roman"/>
          <w:sz w:val="24"/>
          <w:szCs w:val="24"/>
        </w:rPr>
      </w:pPr>
    </w:p>
    <w:p w:rsidR="00BA1E19" w:rsidRPr="00A54826" w:rsidRDefault="00BA1E19" w:rsidP="00BA1E19">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The AER’s Proposal</w:t>
      </w:r>
    </w:p>
    <w:p w:rsidR="00BA3394" w:rsidRDefault="00BA3394" w:rsidP="00BA1E19">
      <w:pPr>
        <w:spacing w:after="0" w:line="360" w:lineRule="auto"/>
        <w:jc w:val="both"/>
        <w:rPr>
          <w:rFonts w:ascii="Times New Roman" w:hAnsi="Times New Roman" w:cs="Times New Roman"/>
          <w:b/>
          <w:sz w:val="24"/>
          <w:szCs w:val="24"/>
        </w:rPr>
      </w:pPr>
    </w:p>
    <w:p w:rsidR="00BA3E2A" w:rsidRDefault="00BA1E19" w:rsidP="00B07866">
      <w:pPr>
        <w:spacing w:after="0" w:line="360" w:lineRule="auto"/>
        <w:jc w:val="both"/>
        <w:rPr>
          <w:rFonts w:ascii="Times New Roman" w:hAnsi="Times New Roman" w:cs="Times New Roman"/>
          <w:sz w:val="24"/>
          <w:szCs w:val="24"/>
        </w:rPr>
      </w:pPr>
      <w:r w:rsidRPr="00BA1E19">
        <w:rPr>
          <w:rFonts w:ascii="Times New Roman" w:hAnsi="Times New Roman" w:cs="Times New Roman"/>
          <w:sz w:val="24"/>
          <w:szCs w:val="24"/>
        </w:rPr>
        <w:t>The AER’s proposal involves a two-stage ve</w:t>
      </w:r>
      <w:r w:rsidR="00BA3E2A">
        <w:rPr>
          <w:rFonts w:ascii="Times New Roman" w:hAnsi="Times New Roman" w:cs="Times New Roman"/>
          <w:sz w:val="24"/>
          <w:szCs w:val="24"/>
        </w:rPr>
        <w:t xml:space="preserve">rsion of the DGM with explicit expected dividends </w:t>
      </w:r>
      <w:r>
        <w:rPr>
          <w:rFonts w:ascii="Times New Roman" w:hAnsi="Times New Roman" w:cs="Times New Roman"/>
          <w:sz w:val="24"/>
          <w:szCs w:val="24"/>
        </w:rPr>
        <w:t xml:space="preserve">for the first three years followed by a constant </w:t>
      </w:r>
      <w:r w:rsidR="00BF6965">
        <w:rPr>
          <w:rFonts w:ascii="Times New Roman" w:hAnsi="Times New Roman" w:cs="Times New Roman"/>
          <w:sz w:val="24"/>
          <w:szCs w:val="24"/>
        </w:rPr>
        <w:t xml:space="preserve">expected </w:t>
      </w:r>
      <w:r>
        <w:rPr>
          <w:rFonts w:ascii="Times New Roman" w:hAnsi="Times New Roman" w:cs="Times New Roman"/>
          <w:sz w:val="24"/>
          <w:szCs w:val="24"/>
        </w:rPr>
        <w:t xml:space="preserve">growth rate. In addition, the term structure for the </w:t>
      </w:r>
      <w:r w:rsidR="002E64E0">
        <w:rPr>
          <w:rFonts w:ascii="Times New Roman" w:hAnsi="Times New Roman" w:cs="Times New Roman"/>
          <w:sz w:val="24"/>
          <w:szCs w:val="24"/>
        </w:rPr>
        <w:t xml:space="preserve">discount rate (the market cost of equity) </w:t>
      </w:r>
      <w:r>
        <w:rPr>
          <w:rFonts w:ascii="Times New Roman" w:hAnsi="Times New Roman" w:cs="Times New Roman"/>
          <w:sz w:val="24"/>
          <w:szCs w:val="24"/>
        </w:rPr>
        <w:t xml:space="preserve">is assumed to be flat.  </w:t>
      </w:r>
      <w:r w:rsidR="00B07866">
        <w:rPr>
          <w:rFonts w:ascii="Times New Roman" w:hAnsi="Times New Roman" w:cs="Times New Roman"/>
          <w:sz w:val="24"/>
          <w:szCs w:val="24"/>
        </w:rPr>
        <w:t xml:space="preserve">Letting </w:t>
      </w:r>
      <w:r w:rsidR="00B07866" w:rsidRPr="00AF30AF">
        <w:rPr>
          <w:rFonts w:ascii="Times New Roman" w:hAnsi="Times New Roman" w:cs="Times New Roman"/>
          <w:i/>
          <w:sz w:val="24"/>
          <w:szCs w:val="24"/>
        </w:rPr>
        <w:t>S</w:t>
      </w:r>
      <w:r w:rsidR="00B07866" w:rsidRPr="00AF30AF">
        <w:rPr>
          <w:rFonts w:ascii="Times New Roman" w:hAnsi="Times New Roman" w:cs="Times New Roman"/>
          <w:i/>
          <w:sz w:val="24"/>
          <w:szCs w:val="24"/>
          <w:vertAlign w:val="subscript"/>
        </w:rPr>
        <w:t>0</w:t>
      </w:r>
      <w:r w:rsidR="00B07866">
        <w:rPr>
          <w:rFonts w:ascii="Times New Roman" w:hAnsi="Times New Roman" w:cs="Times New Roman"/>
          <w:sz w:val="24"/>
          <w:szCs w:val="24"/>
        </w:rPr>
        <w:t xml:space="preserve"> denote the current value of the market index,</w:t>
      </w:r>
      <w:r w:rsidR="00AF30AF">
        <w:rPr>
          <w:rFonts w:ascii="Times New Roman" w:hAnsi="Times New Roman" w:cs="Times New Roman"/>
          <w:sz w:val="24"/>
          <w:szCs w:val="24"/>
        </w:rPr>
        <w:t xml:space="preserve"> </w:t>
      </w:r>
      <w:r w:rsidR="00AF30AF" w:rsidRPr="00AF30AF">
        <w:rPr>
          <w:rFonts w:ascii="Times New Roman" w:hAnsi="Times New Roman" w:cs="Times New Roman"/>
          <w:i/>
          <w:sz w:val="24"/>
          <w:szCs w:val="24"/>
        </w:rPr>
        <w:t>S</w:t>
      </w:r>
      <w:r w:rsidR="00AF30AF" w:rsidRPr="00AF30AF">
        <w:rPr>
          <w:rFonts w:ascii="Times New Roman" w:hAnsi="Times New Roman" w:cs="Times New Roman"/>
          <w:i/>
          <w:sz w:val="24"/>
          <w:szCs w:val="24"/>
          <w:vertAlign w:val="subscript"/>
        </w:rPr>
        <w:t>3</w:t>
      </w:r>
      <w:r w:rsidR="00AF30AF">
        <w:rPr>
          <w:rFonts w:ascii="Times New Roman" w:hAnsi="Times New Roman" w:cs="Times New Roman"/>
          <w:sz w:val="24"/>
          <w:szCs w:val="24"/>
        </w:rPr>
        <w:t xml:space="preserve"> the expected value in three years, </w:t>
      </w:r>
      <w:r w:rsidR="00B07866" w:rsidRPr="002A492F">
        <w:rPr>
          <w:rFonts w:ascii="Times New Roman" w:hAnsi="Times New Roman" w:cs="Times New Roman"/>
          <w:i/>
          <w:sz w:val="24"/>
          <w:szCs w:val="24"/>
        </w:rPr>
        <w:t>D</w:t>
      </w:r>
      <w:r w:rsidR="00B07866">
        <w:rPr>
          <w:rFonts w:ascii="Times New Roman" w:hAnsi="Times New Roman" w:cs="Times New Roman"/>
          <w:i/>
          <w:sz w:val="24"/>
          <w:szCs w:val="24"/>
          <w:vertAlign w:val="subscript"/>
        </w:rPr>
        <w:t>t</w:t>
      </w:r>
      <w:r w:rsidR="00B07866">
        <w:rPr>
          <w:rFonts w:ascii="Times New Roman" w:hAnsi="Times New Roman" w:cs="Times New Roman"/>
          <w:sz w:val="24"/>
          <w:szCs w:val="24"/>
        </w:rPr>
        <w:t xml:space="preserve"> the </w:t>
      </w:r>
      <w:r w:rsidR="001720E3">
        <w:rPr>
          <w:rFonts w:ascii="Times New Roman" w:hAnsi="Times New Roman" w:cs="Times New Roman"/>
          <w:sz w:val="24"/>
          <w:szCs w:val="24"/>
        </w:rPr>
        <w:t>DPS</w:t>
      </w:r>
      <w:r w:rsidR="000D4B20">
        <w:rPr>
          <w:rFonts w:ascii="Times New Roman" w:hAnsi="Times New Roman" w:cs="Times New Roman"/>
          <w:sz w:val="24"/>
          <w:szCs w:val="24"/>
        </w:rPr>
        <w:t xml:space="preserve"> </w:t>
      </w:r>
      <w:r w:rsidR="00B07866">
        <w:rPr>
          <w:rFonts w:ascii="Times New Roman" w:hAnsi="Times New Roman" w:cs="Times New Roman"/>
          <w:sz w:val="24"/>
          <w:szCs w:val="24"/>
        </w:rPr>
        <w:t xml:space="preserve">expected in year </w:t>
      </w:r>
      <w:r w:rsidR="00B07866" w:rsidRPr="00B07866">
        <w:rPr>
          <w:rFonts w:ascii="Times New Roman" w:hAnsi="Times New Roman" w:cs="Times New Roman"/>
          <w:i/>
          <w:sz w:val="24"/>
          <w:szCs w:val="24"/>
        </w:rPr>
        <w:t>t</w:t>
      </w:r>
      <w:r w:rsidR="00B07866">
        <w:rPr>
          <w:rFonts w:ascii="Times New Roman" w:hAnsi="Times New Roman" w:cs="Times New Roman"/>
          <w:sz w:val="24"/>
          <w:szCs w:val="24"/>
        </w:rPr>
        <w:t xml:space="preserve">, </w:t>
      </w:r>
      <w:r w:rsidR="00B07866" w:rsidRPr="00AF30AF">
        <w:rPr>
          <w:rFonts w:ascii="Times New Roman" w:hAnsi="Times New Roman" w:cs="Times New Roman"/>
          <w:i/>
          <w:sz w:val="24"/>
          <w:szCs w:val="24"/>
        </w:rPr>
        <w:t>g</w:t>
      </w:r>
      <w:r w:rsidR="00B07866">
        <w:rPr>
          <w:rFonts w:ascii="Times New Roman" w:hAnsi="Times New Roman" w:cs="Times New Roman"/>
          <w:sz w:val="24"/>
          <w:szCs w:val="24"/>
        </w:rPr>
        <w:t xml:space="preserve"> the expected growth rate in </w:t>
      </w:r>
      <w:r w:rsidR="000D4B20">
        <w:rPr>
          <w:rFonts w:ascii="Times New Roman" w:hAnsi="Times New Roman" w:cs="Times New Roman"/>
          <w:sz w:val="24"/>
          <w:szCs w:val="24"/>
        </w:rPr>
        <w:t xml:space="preserve">DPS </w:t>
      </w:r>
      <w:r w:rsidR="00B07866">
        <w:rPr>
          <w:rFonts w:ascii="Times New Roman" w:hAnsi="Times New Roman" w:cs="Times New Roman"/>
          <w:sz w:val="24"/>
          <w:szCs w:val="24"/>
        </w:rPr>
        <w:t xml:space="preserve">from the end of year 3, </w:t>
      </w:r>
      <w:r w:rsidR="002E64E0">
        <w:rPr>
          <w:rFonts w:ascii="Times New Roman" w:hAnsi="Times New Roman" w:cs="Times New Roman"/>
          <w:sz w:val="24"/>
          <w:szCs w:val="24"/>
        </w:rPr>
        <w:t xml:space="preserve">and </w:t>
      </w:r>
      <w:r w:rsidR="002E64E0" w:rsidRPr="002E64E0">
        <w:rPr>
          <w:rFonts w:ascii="Times New Roman" w:hAnsi="Times New Roman" w:cs="Times New Roman"/>
          <w:i/>
          <w:sz w:val="24"/>
          <w:szCs w:val="24"/>
        </w:rPr>
        <w:t>k</w:t>
      </w:r>
      <w:r w:rsidR="002E64E0">
        <w:rPr>
          <w:rFonts w:ascii="Times New Roman" w:hAnsi="Times New Roman" w:cs="Times New Roman"/>
          <w:sz w:val="24"/>
          <w:szCs w:val="24"/>
        </w:rPr>
        <w:t xml:space="preserve"> the market cost of equity, </w:t>
      </w:r>
      <w:r w:rsidR="00B07866">
        <w:rPr>
          <w:rFonts w:ascii="Times New Roman" w:hAnsi="Times New Roman" w:cs="Times New Roman"/>
          <w:sz w:val="24"/>
          <w:szCs w:val="24"/>
        </w:rPr>
        <w:t>it follows that the current value of equities is as follows:</w:t>
      </w:r>
    </w:p>
    <w:p w:rsidR="00FC22A7" w:rsidRDefault="00FC22A7" w:rsidP="00B07866">
      <w:pPr>
        <w:spacing w:after="0" w:line="360" w:lineRule="auto"/>
        <w:jc w:val="both"/>
        <w:rPr>
          <w:rFonts w:ascii="Times New Roman" w:hAnsi="Times New Roman" w:cs="Times New Roman"/>
          <w:sz w:val="24"/>
          <w:szCs w:val="24"/>
        </w:rPr>
      </w:pPr>
    </w:p>
    <w:p w:rsidR="00B07866" w:rsidRDefault="00D657F9" w:rsidP="00B07866">
      <w:pPr>
        <w:spacing w:after="0" w:line="360" w:lineRule="auto"/>
        <w:jc w:val="center"/>
        <w:rPr>
          <w:b/>
          <w:bCs/>
        </w:rPr>
      </w:pPr>
      <w:r w:rsidRPr="00D2575F">
        <w:rPr>
          <w:rFonts w:ascii="Times New Roman" w:hAnsi="Times New Roman" w:cs="Times New Roman"/>
          <w:b/>
          <w:bCs/>
          <w:position w:val="-28"/>
          <w:sz w:val="24"/>
          <w:szCs w:val="24"/>
        </w:rPr>
        <w:object w:dxaOrig="3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pt;height:33.2pt" o:ole="">
            <v:imagedata r:id="rId9" o:title=""/>
          </v:shape>
          <o:OLEObject Type="Embed" ProgID="Equation.3" ShapeID="_x0000_i1025" DrawAspect="Content" ObjectID="_1448709053" r:id="rId10"/>
        </w:object>
      </w:r>
    </w:p>
    <w:p w:rsidR="00AF30AF" w:rsidRDefault="00AF30AF" w:rsidP="00AF30AF">
      <w:pPr>
        <w:spacing w:after="0" w:line="360" w:lineRule="auto"/>
        <w:jc w:val="both"/>
        <w:rPr>
          <w:rFonts w:ascii="Times New Roman" w:hAnsi="Times New Roman" w:cs="Times New Roman"/>
          <w:sz w:val="24"/>
          <w:szCs w:val="24"/>
        </w:rPr>
      </w:pPr>
      <w:r>
        <w:rPr>
          <w:b/>
          <w:bCs/>
        </w:rPr>
        <w:t xml:space="preserve">                                                        </w:t>
      </w:r>
      <w:r w:rsidR="00D657F9">
        <w:rPr>
          <w:b/>
          <w:bCs/>
        </w:rPr>
        <w:t xml:space="preserve"> </w:t>
      </w:r>
      <w:r w:rsidR="00D657F9" w:rsidRPr="00D2575F">
        <w:rPr>
          <w:rFonts w:ascii="Times New Roman" w:hAnsi="Times New Roman" w:cs="Times New Roman"/>
          <w:b/>
          <w:bCs/>
          <w:position w:val="-28"/>
          <w:sz w:val="24"/>
          <w:szCs w:val="24"/>
        </w:rPr>
        <w:object w:dxaOrig="4099" w:dyaOrig="1040">
          <v:shape id="_x0000_i1026" type="#_x0000_t75" style="width:204.75pt;height:52.6pt" o:ole="">
            <v:imagedata r:id="rId11" o:title=""/>
          </v:shape>
          <o:OLEObject Type="Embed" ProgID="Equation.3" ShapeID="_x0000_i1026" DrawAspect="Content" ObjectID="_1448709054" r:id="rId12"/>
        </w:object>
      </w:r>
      <w:r w:rsidR="00D2575F">
        <w:rPr>
          <w:b/>
          <w:bCs/>
        </w:rPr>
        <w:t xml:space="preserve">                                   </w:t>
      </w:r>
      <w:r w:rsidR="00D657F9">
        <w:rPr>
          <w:b/>
          <w:bCs/>
        </w:rPr>
        <w:t xml:space="preserve">   </w:t>
      </w:r>
      <w:r w:rsidR="00D2575F" w:rsidRPr="00D2575F">
        <w:rPr>
          <w:rFonts w:ascii="Times New Roman" w:hAnsi="Times New Roman" w:cs="Times New Roman"/>
          <w:bCs/>
          <w:sz w:val="24"/>
          <w:szCs w:val="24"/>
        </w:rPr>
        <w:t>(1)</w:t>
      </w:r>
    </w:p>
    <w:p w:rsidR="00B07866" w:rsidRDefault="00B07866" w:rsidP="00B07866">
      <w:pPr>
        <w:spacing w:after="0" w:line="360" w:lineRule="auto"/>
        <w:jc w:val="both"/>
        <w:rPr>
          <w:rFonts w:ascii="Times New Roman" w:hAnsi="Times New Roman" w:cs="Times New Roman"/>
          <w:sz w:val="24"/>
          <w:szCs w:val="24"/>
        </w:rPr>
      </w:pPr>
      <w:r>
        <w:rPr>
          <w:b/>
          <w:bCs/>
          <w:position w:val="-28"/>
        </w:rPr>
        <w:t xml:space="preserve">                                                       </w:t>
      </w:r>
    </w:p>
    <w:p w:rsidR="00F67A22" w:rsidRDefault="000C3906" w:rsidP="00B07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Solving (numerically) for </w:t>
      </w:r>
      <w:r w:rsidRPr="000C3906">
        <w:rPr>
          <w:rFonts w:ascii="Times New Roman" w:hAnsi="Times New Roman" w:cs="Times New Roman"/>
          <w:i/>
          <w:sz w:val="24"/>
          <w:szCs w:val="24"/>
        </w:rPr>
        <w:t>k</w:t>
      </w:r>
      <w:r>
        <w:rPr>
          <w:rFonts w:ascii="Times New Roman" w:hAnsi="Times New Roman" w:cs="Times New Roman"/>
          <w:sz w:val="24"/>
          <w:szCs w:val="24"/>
        </w:rPr>
        <w:t xml:space="preserve">, and then deducting the prevailing risk free rate, yields the estimate of the MRP.  </w:t>
      </w:r>
      <w:r w:rsidR="00BF7691">
        <w:rPr>
          <w:rFonts w:ascii="Times New Roman" w:hAnsi="Times New Roman" w:cs="Times New Roman"/>
          <w:sz w:val="24"/>
          <w:szCs w:val="24"/>
        </w:rPr>
        <w:t xml:space="preserve">The expected dividends in year </w:t>
      </w:r>
      <w:r w:rsidR="00BF7691" w:rsidRPr="00BF7691">
        <w:rPr>
          <w:rFonts w:ascii="Times New Roman" w:hAnsi="Times New Roman" w:cs="Times New Roman"/>
          <w:i/>
          <w:sz w:val="24"/>
          <w:szCs w:val="24"/>
        </w:rPr>
        <w:t>t</w:t>
      </w:r>
      <w:r w:rsidR="00BF7691">
        <w:rPr>
          <w:rFonts w:ascii="Times New Roman" w:hAnsi="Times New Roman" w:cs="Times New Roman"/>
          <w:sz w:val="24"/>
          <w:szCs w:val="24"/>
        </w:rPr>
        <w:t xml:space="preserve"> constitute the </w:t>
      </w:r>
      <w:r>
        <w:rPr>
          <w:rFonts w:ascii="Times New Roman" w:hAnsi="Times New Roman" w:cs="Times New Roman"/>
          <w:sz w:val="24"/>
          <w:szCs w:val="24"/>
        </w:rPr>
        <w:t xml:space="preserve">cash dividends </w:t>
      </w:r>
      <w:r w:rsidR="00DA0306">
        <w:rPr>
          <w:rFonts w:ascii="Times New Roman" w:hAnsi="Times New Roman" w:cs="Times New Roman"/>
          <w:sz w:val="24"/>
          <w:szCs w:val="24"/>
        </w:rPr>
        <w:t xml:space="preserve">subject to a correction for </w:t>
      </w:r>
      <w:r>
        <w:rPr>
          <w:rFonts w:ascii="Times New Roman" w:hAnsi="Times New Roman" w:cs="Times New Roman"/>
          <w:sz w:val="24"/>
          <w:szCs w:val="24"/>
        </w:rPr>
        <w:t xml:space="preserve">imputation credits.  </w:t>
      </w:r>
      <w:r w:rsidR="00BD1F80">
        <w:rPr>
          <w:rFonts w:ascii="Times New Roman" w:hAnsi="Times New Roman" w:cs="Times New Roman"/>
          <w:sz w:val="24"/>
          <w:szCs w:val="24"/>
        </w:rPr>
        <w:t>Letting</w:t>
      </w:r>
      <w:r>
        <w:rPr>
          <w:rFonts w:ascii="Times New Roman" w:hAnsi="Times New Roman" w:cs="Times New Roman"/>
          <w:sz w:val="24"/>
          <w:szCs w:val="24"/>
        </w:rPr>
        <w:t xml:space="preserve"> </w:t>
      </w:r>
      <w:r w:rsidRPr="000C3906">
        <w:rPr>
          <w:rFonts w:ascii="Times New Roman" w:hAnsi="Times New Roman" w:cs="Times New Roman"/>
          <w:i/>
          <w:sz w:val="24"/>
          <w:szCs w:val="24"/>
        </w:rPr>
        <w:t>D</w:t>
      </w:r>
      <w:r w:rsidRPr="000C3906">
        <w:rPr>
          <w:rFonts w:ascii="Times New Roman" w:hAnsi="Times New Roman" w:cs="Times New Roman"/>
          <w:i/>
          <w:sz w:val="24"/>
          <w:szCs w:val="24"/>
          <w:vertAlign w:val="subscript"/>
        </w:rPr>
        <w:t>ct</w:t>
      </w:r>
      <w:r>
        <w:rPr>
          <w:rFonts w:ascii="Times New Roman" w:hAnsi="Times New Roman" w:cs="Times New Roman"/>
          <w:sz w:val="24"/>
          <w:szCs w:val="24"/>
        </w:rPr>
        <w:t xml:space="preserve"> denote the expected cash dividends in year </w:t>
      </w:r>
      <w:r w:rsidRPr="000C3906">
        <w:rPr>
          <w:rFonts w:ascii="Times New Roman" w:hAnsi="Times New Roman" w:cs="Times New Roman"/>
          <w:i/>
          <w:sz w:val="24"/>
          <w:szCs w:val="24"/>
        </w:rPr>
        <w:t>t</w:t>
      </w:r>
      <w:r>
        <w:rPr>
          <w:rFonts w:ascii="Times New Roman" w:hAnsi="Times New Roman" w:cs="Times New Roman"/>
          <w:sz w:val="24"/>
          <w:szCs w:val="24"/>
        </w:rPr>
        <w:t xml:space="preserve">, </w:t>
      </w:r>
      <w:r w:rsidR="00BD1F80" w:rsidRPr="00BD1F80">
        <w:rPr>
          <w:rFonts w:ascii="Times New Roman" w:hAnsi="Times New Roman" w:cs="Times New Roman"/>
          <w:i/>
          <w:sz w:val="24"/>
          <w:szCs w:val="24"/>
        </w:rPr>
        <w:t>U</w:t>
      </w:r>
      <w:r w:rsidR="00BD1F80">
        <w:rPr>
          <w:rFonts w:ascii="Times New Roman" w:hAnsi="Times New Roman" w:cs="Times New Roman"/>
          <w:sz w:val="24"/>
          <w:szCs w:val="24"/>
        </w:rPr>
        <w:t xml:space="preserve"> the market utilisation rate for imputation credits, </w:t>
      </w:r>
      <w:r w:rsidR="00BD1F80" w:rsidRPr="00BD1F80">
        <w:rPr>
          <w:rFonts w:ascii="Times New Roman" w:hAnsi="Times New Roman" w:cs="Times New Roman"/>
          <w:i/>
          <w:sz w:val="24"/>
          <w:szCs w:val="24"/>
        </w:rPr>
        <w:t>P</w:t>
      </w:r>
      <w:r w:rsidR="00BD1F80">
        <w:rPr>
          <w:rFonts w:ascii="Times New Roman" w:hAnsi="Times New Roman" w:cs="Times New Roman"/>
          <w:sz w:val="24"/>
          <w:szCs w:val="24"/>
        </w:rPr>
        <w:t xml:space="preserve"> the proportion of dividends that are fully franked, and </w:t>
      </w:r>
      <w:r w:rsidR="00BD1F80" w:rsidRPr="00BD1F80">
        <w:rPr>
          <w:rFonts w:ascii="Times New Roman" w:hAnsi="Times New Roman" w:cs="Times New Roman"/>
          <w:i/>
          <w:sz w:val="24"/>
          <w:szCs w:val="24"/>
        </w:rPr>
        <w:t>T</w:t>
      </w:r>
      <w:r w:rsidR="00BD1F80" w:rsidRPr="00BD1F80">
        <w:rPr>
          <w:rFonts w:ascii="Times New Roman" w:hAnsi="Times New Roman" w:cs="Times New Roman"/>
          <w:i/>
          <w:sz w:val="24"/>
          <w:szCs w:val="24"/>
          <w:vertAlign w:val="subscript"/>
        </w:rPr>
        <w:t>c</w:t>
      </w:r>
      <w:r w:rsidR="00BD1F80">
        <w:rPr>
          <w:rFonts w:ascii="Times New Roman" w:hAnsi="Times New Roman" w:cs="Times New Roman"/>
          <w:sz w:val="24"/>
          <w:szCs w:val="24"/>
        </w:rPr>
        <w:t xml:space="preserve"> the corporate tax rate, </w:t>
      </w:r>
      <w:r w:rsidR="00DA0306">
        <w:rPr>
          <w:rFonts w:ascii="Times New Roman" w:hAnsi="Times New Roman" w:cs="Times New Roman"/>
          <w:sz w:val="24"/>
          <w:szCs w:val="24"/>
        </w:rPr>
        <w:t xml:space="preserve">then </w:t>
      </w:r>
    </w:p>
    <w:p w:rsidR="00DA0306" w:rsidRDefault="00DA0306" w:rsidP="00B07866">
      <w:pPr>
        <w:spacing w:after="0" w:line="360" w:lineRule="auto"/>
        <w:jc w:val="both"/>
        <w:rPr>
          <w:rFonts w:ascii="Times New Roman" w:hAnsi="Times New Roman" w:cs="Times New Roman"/>
          <w:sz w:val="24"/>
          <w:szCs w:val="24"/>
        </w:rPr>
      </w:pPr>
    </w:p>
    <w:p w:rsidR="00AF30AF" w:rsidRDefault="00A32AD8" w:rsidP="00A32AD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DA0306" w:rsidRPr="00A32AD8">
        <w:rPr>
          <w:rFonts w:ascii="Times New Roman" w:hAnsi="Times New Roman" w:cs="Times New Roman"/>
          <w:b/>
          <w:bCs/>
          <w:position w:val="-34"/>
          <w:sz w:val="24"/>
          <w:szCs w:val="24"/>
        </w:rPr>
        <w:object w:dxaOrig="2520" w:dyaOrig="800">
          <v:shape id="_x0000_i1027" type="#_x0000_t75" style="width:126.45pt;height:40.7pt" o:ole="">
            <v:imagedata r:id="rId13" o:title=""/>
          </v:shape>
          <o:OLEObject Type="Embed" ProgID="Equation.3" ShapeID="_x0000_i1027" DrawAspect="Content" ObjectID="_1448709055" r:id="rId14"/>
        </w:object>
      </w:r>
      <w:r w:rsidRPr="00A32AD8">
        <w:rPr>
          <w:rFonts w:ascii="Times New Roman" w:hAnsi="Times New Roman" w:cs="Times New Roman"/>
          <w:b/>
          <w:bCs/>
          <w:sz w:val="24"/>
          <w:szCs w:val="24"/>
        </w:rPr>
        <w:t xml:space="preserve">                                               </w:t>
      </w:r>
      <w:r>
        <w:rPr>
          <w:b/>
          <w:bCs/>
        </w:rPr>
        <w:t xml:space="preserve">    </w:t>
      </w:r>
      <w:r w:rsidRPr="00A32AD8">
        <w:rPr>
          <w:rFonts w:ascii="Times New Roman" w:hAnsi="Times New Roman" w:cs="Times New Roman"/>
          <w:bCs/>
          <w:sz w:val="24"/>
          <w:szCs w:val="24"/>
        </w:rPr>
        <w:t>(2)</w:t>
      </w:r>
    </w:p>
    <w:p w:rsidR="00BA1E19" w:rsidRDefault="00BA1E19" w:rsidP="00A32AD8">
      <w:pPr>
        <w:spacing w:after="0" w:line="360" w:lineRule="auto"/>
        <w:jc w:val="center"/>
        <w:rPr>
          <w:rFonts w:ascii="Times New Roman" w:hAnsi="Times New Roman" w:cs="Times New Roman"/>
          <w:sz w:val="24"/>
          <w:szCs w:val="24"/>
        </w:rPr>
      </w:pPr>
    </w:p>
    <w:p w:rsidR="00AB5B92" w:rsidRDefault="00F67A22" w:rsidP="00BA1E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657F9">
        <w:rPr>
          <w:rFonts w:ascii="Times New Roman" w:hAnsi="Times New Roman" w:cs="Times New Roman"/>
          <w:sz w:val="24"/>
          <w:szCs w:val="24"/>
        </w:rPr>
        <w:t xml:space="preserve">expected </w:t>
      </w:r>
      <w:r>
        <w:rPr>
          <w:rFonts w:ascii="Times New Roman" w:hAnsi="Times New Roman" w:cs="Times New Roman"/>
          <w:sz w:val="24"/>
          <w:szCs w:val="24"/>
        </w:rPr>
        <w:t xml:space="preserve">cash </w:t>
      </w:r>
      <w:r w:rsidR="00D657F9">
        <w:rPr>
          <w:rFonts w:ascii="Times New Roman" w:hAnsi="Times New Roman" w:cs="Times New Roman"/>
          <w:sz w:val="24"/>
          <w:szCs w:val="24"/>
        </w:rPr>
        <w:t xml:space="preserve">dividends </w:t>
      </w:r>
      <w:r>
        <w:rPr>
          <w:rFonts w:ascii="Times New Roman" w:hAnsi="Times New Roman" w:cs="Times New Roman"/>
          <w:sz w:val="24"/>
          <w:szCs w:val="24"/>
        </w:rPr>
        <w:t xml:space="preserve">are drawn from Bloomberg and the estimate of </w:t>
      </w:r>
      <w:r w:rsidRPr="00413EC1">
        <w:rPr>
          <w:rFonts w:ascii="Times New Roman" w:hAnsi="Times New Roman" w:cs="Times New Roman"/>
          <w:i/>
          <w:sz w:val="24"/>
          <w:szCs w:val="24"/>
        </w:rPr>
        <w:t>P</w:t>
      </w:r>
      <w:r>
        <w:rPr>
          <w:rFonts w:ascii="Times New Roman" w:hAnsi="Times New Roman" w:cs="Times New Roman"/>
          <w:sz w:val="24"/>
          <w:szCs w:val="24"/>
        </w:rPr>
        <w:t xml:space="preserve"> </w:t>
      </w:r>
      <w:r w:rsidR="00413EC1">
        <w:rPr>
          <w:rFonts w:ascii="Times New Roman" w:hAnsi="Times New Roman" w:cs="Times New Roman"/>
          <w:sz w:val="24"/>
          <w:szCs w:val="24"/>
        </w:rPr>
        <w:t xml:space="preserve">of 0.75 </w:t>
      </w:r>
      <w:r>
        <w:rPr>
          <w:rFonts w:ascii="Times New Roman" w:hAnsi="Times New Roman" w:cs="Times New Roman"/>
          <w:sz w:val="24"/>
          <w:szCs w:val="24"/>
        </w:rPr>
        <w:t>is drawn from B</w:t>
      </w:r>
      <w:r w:rsidR="00D2575F">
        <w:rPr>
          <w:rFonts w:ascii="Times New Roman" w:hAnsi="Times New Roman" w:cs="Times New Roman"/>
          <w:sz w:val="24"/>
          <w:szCs w:val="24"/>
        </w:rPr>
        <w:t xml:space="preserve">railsford et al (2008, page 85).  </w:t>
      </w:r>
      <w:r w:rsidR="00AB5B92">
        <w:rPr>
          <w:rFonts w:ascii="Times New Roman" w:hAnsi="Times New Roman" w:cs="Times New Roman"/>
          <w:sz w:val="24"/>
          <w:szCs w:val="24"/>
        </w:rPr>
        <w:t xml:space="preserve">The estimate of </w:t>
      </w:r>
      <w:r w:rsidR="00AB5B92" w:rsidRPr="00AB5B92">
        <w:rPr>
          <w:rFonts w:ascii="Times New Roman" w:hAnsi="Times New Roman" w:cs="Times New Roman"/>
          <w:i/>
          <w:sz w:val="24"/>
          <w:szCs w:val="24"/>
        </w:rPr>
        <w:t>g</w:t>
      </w:r>
      <w:r w:rsidR="00AB5B92">
        <w:rPr>
          <w:rFonts w:ascii="Times New Roman" w:hAnsi="Times New Roman" w:cs="Times New Roman"/>
          <w:sz w:val="24"/>
          <w:szCs w:val="24"/>
        </w:rPr>
        <w:t xml:space="preserve"> is </w:t>
      </w:r>
      <w:r w:rsidR="00341E8F">
        <w:rPr>
          <w:rFonts w:ascii="Times New Roman" w:hAnsi="Times New Roman" w:cs="Times New Roman"/>
          <w:sz w:val="24"/>
          <w:szCs w:val="24"/>
        </w:rPr>
        <w:t xml:space="preserve">4.6%, </w:t>
      </w:r>
      <w:r w:rsidR="00AB5B92">
        <w:rPr>
          <w:rFonts w:ascii="Times New Roman" w:hAnsi="Times New Roman" w:cs="Times New Roman"/>
          <w:sz w:val="24"/>
          <w:szCs w:val="24"/>
        </w:rPr>
        <w:t xml:space="preserve">comprising expected inflation of 2.5% (the midpoint of the </w:t>
      </w:r>
      <w:r w:rsidR="0015274A" w:rsidRPr="00F07DD9">
        <w:rPr>
          <w:rFonts w:ascii="Times New Roman" w:hAnsi="Times New Roman" w:cs="Times New Roman"/>
          <w:sz w:val="24"/>
          <w:szCs w:val="24"/>
        </w:rPr>
        <w:t>Reserve Bank of Australia’s</w:t>
      </w:r>
      <w:r w:rsidR="0015274A">
        <w:rPr>
          <w:rFonts w:ascii="Times New Roman" w:hAnsi="Times New Roman" w:cs="Times New Roman"/>
          <w:sz w:val="24"/>
          <w:szCs w:val="24"/>
        </w:rPr>
        <w:t xml:space="preserve"> </w:t>
      </w:r>
      <w:r w:rsidR="00AB5B92">
        <w:rPr>
          <w:rFonts w:ascii="Times New Roman" w:hAnsi="Times New Roman" w:cs="Times New Roman"/>
          <w:sz w:val="24"/>
          <w:szCs w:val="24"/>
        </w:rPr>
        <w:t xml:space="preserve">target range) and expected </w:t>
      </w:r>
      <w:r w:rsidR="00AB5B92">
        <w:rPr>
          <w:rFonts w:ascii="Times New Roman" w:hAnsi="Times New Roman" w:cs="Times New Roman"/>
          <w:sz w:val="24"/>
          <w:szCs w:val="24"/>
        </w:rPr>
        <w:lastRenderedPageBreak/>
        <w:t xml:space="preserve">real growth in DPS of 2%, with the latter figure being </w:t>
      </w:r>
      <w:r w:rsidR="005552B4">
        <w:rPr>
          <w:rFonts w:ascii="Times New Roman" w:hAnsi="Times New Roman" w:cs="Times New Roman"/>
          <w:sz w:val="24"/>
          <w:szCs w:val="24"/>
        </w:rPr>
        <w:t xml:space="preserve">the </w:t>
      </w:r>
      <w:r w:rsidR="00AB5B92">
        <w:rPr>
          <w:rFonts w:ascii="Times New Roman" w:hAnsi="Times New Roman" w:cs="Times New Roman"/>
          <w:sz w:val="24"/>
          <w:szCs w:val="24"/>
        </w:rPr>
        <w:t xml:space="preserve">expected </w:t>
      </w:r>
      <w:r w:rsidR="005552B4">
        <w:rPr>
          <w:rFonts w:ascii="Times New Roman" w:hAnsi="Times New Roman" w:cs="Times New Roman"/>
          <w:sz w:val="24"/>
          <w:szCs w:val="24"/>
        </w:rPr>
        <w:t xml:space="preserve">long-run </w:t>
      </w:r>
      <w:r w:rsidR="00AB5B92">
        <w:rPr>
          <w:rFonts w:ascii="Times New Roman" w:hAnsi="Times New Roman" w:cs="Times New Roman"/>
          <w:sz w:val="24"/>
          <w:szCs w:val="24"/>
        </w:rPr>
        <w:t xml:space="preserve">real growth in GDP of 3% less a deduction of 1% for the net creation of new shares from new companies and new share issues (net of buybacks) from existing companies, i.e., </w:t>
      </w:r>
    </w:p>
    <w:p w:rsidR="00AB5B92" w:rsidRDefault="00AB5B92" w:rsidP="00BA1E19">
      <w:pPr>
        <w:spacing w:after="0" w:line="360" w:lineRule="auto"/>
        <w:jc w:val="both"/>
        <w:rPr>
          <w:rFonts w:ascii="Times New Roman" w:hAnsi="Times New Roman" w:cs="Times New Roman"/>
          <w:sz w:val="24"/>
          <w:szCs w:val="24"/>
        </w:rPr>
      </w:pPr>
    </w:p>
    <w:p w:rsidR="00AB5B92" w:rsidRDefault="00AB5B92" w:rsidP="00AB5B92">
      <w:pPr>
        <w:spacing w:after="0" w:line="360" w:lineRule="auto"/>
        <w:jc w:val="center"/>
        <w:rPr>
          <w:rFonts w:ascii="Times New Roman" w:hAnsi="Times New Roman" w:cs="Times New Roman"/>
          <w:sz w:val="24"/>
          <w:szCs w:val="24"/>
        </w:rPr>
      </w:pPr>
      <w:r w:rsidRPr="00AB5B92">
        <w:rPr>
          <w:rFonts w:ascii="Times New Roman" w:hAnsi="Times New Roman" w:cs="Times New Roman"/>
          <w:b/>
          <w:bCs/>
          <w:position w:val="-10"/>
          <w:sz w:val="24"/>
          <w:szCs w:val="24"/>
        </w:rPr>
        <w:object w:dxaOrig="3519" w:dyaOrig="320">
          <v:shape id="_x0000_i1028" type="#_x0000_t75" style="width:176.55pt;height:16.3pt" o:ole="">
            <v:imagedata r:id="rId15" o:title=""/>
          </v:shape>
          <o:OLEObject Type="Embed" ProgID="Equation.3" ShapeID="_x0000_i1028" DrawAspect="Content" ObjectID="_1448709056" r:id="rId16"/>
        </w:object>
      </w:r>
    </w:p>
    <w:p w:rsidR="00AB5B92" w:rsidRDefault="00AB5B92" w:rsidP="00BA1E19">
      <w:pPr>
        <w:spacing w:after="0" w:line="360" w:lineRule="auto"/>
        <w:jc w:val="both"/>
        <w:rPr>
          <w:rFonts w:ascii="Times New Roman" w:hAnsi="Times New Roman" w:cs="Times New Roman"/>
          <w:sz w:val="24"/>
          <w:szCs w:val="24"/>
        </w:rPr>
      </w:pPr>
    </w:p>
    <w:p w:rsidR="00F67A22" w:rsidRDefault="00413DAA" w:rsidP="00BA1E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(1) assumes that </w:t>
      </w:r>
      <w:r w:rsidR="00D2575F">
        <w:rPr>
          <w:rFonts w:ascii="Times New Roman" w:hAnsi="Times New Roman" w:cs="Times New Roman"/>
          <w:sz w:val="24"/>
          <w:szCs w:val="24"/>
        </w:rPr>
        <w:t xml:space="preserve">the dividends for year </w:t>
      </w:r>
      <w:r w:rsidR="00D2575F" w:rsidRPr="00413DAA">
        <w:rPr>
          <w:rFonts w:ascii="Times New Roman" w:hAnsi="Times New Roman" w:cs="Times New Roman"/>
          <w:i/>
          <w:sz w:val="24"/>
          <w:szCs w:val="24"/>
        </w:rPr>
        <w:t>t</w:t>
      </w:r>
      <w:r w:rsidR="00D2575F">
        <w:rPr>
          <w:rFonts w:ascii="Times New Roman" w:hAnsi="Times New Roman" w:cs="Times New Roman"/>
          <w:sz w:val="24"/>
          <w:szCs w:val="24"/>
        </w:rPr>
        <w:t xml:space="preserve"> are received at the end of year </w:t>
      </w:r>
      <w:r w:rsidR="00D2575F" w:rsidRPr="00413DAA">
        <w:rPr>
          <w:rFonts w:ascii="Times New Roman" w:hAnsi="Times New Roman" w:cs="Times New Roman"/>
          <w:i/>
          <w:sz w:val="24"/>
          <w:szCs w:val="24"/>
        </w:rPr>
        <w:t>t</w:t>
      </w:r>
      <w:r w:rsidR="00D2575F">
        <w:rPr>
          <w:rFonts w:ascii="Times New Roman" w:hAnsi="Times New Roman" w:cs="Times New Roman"/>
          <w:sz w:val="24"/>
          <w:szCs w:val="24"/>
        </w:rPr>
        <w:t xml:space="preserve">.  However, the dividends in year </w:t>
      </w:r>
      <w:r w:rsidR="00D2575F" w:rsidRPr="00413DAA">
        <w:rPr>
          <w:rFonts w:ascii="Times New Roman" w:hAnsi="Times New Roman" w:cs="Times New Roman"/>
          <w:i/>
          <w:sz w:val="24"/>
          <w:szCs w:val="24"/>
        </w:rPr>
        <w:t>t</w:t>
      </w:r>
      <w:r w:rsidR="00D2575F">
        <w:rPr>
          <w:rFonts w:ascii="Times New Roman" w:hAnsi="Times New Roman" w:cs="Times New Roman"/>
          <w:sz w:val="24"/>
          <w:szCs w:val="24"/>
        </w:rPr>
        <w:t xml:space="preserve"> would be received in a continuous stream throughout the year, with an average term ti</w:t>
      </w:r>
      <w:r w:rsidR="00BA3E2A">
        <w:rPr>
          <w:rFonts w:ascii="Times New Roman" w:hAnsi="Times New Roman" w:cs="Times New Roman"/>
          <w:sz w:val="24"/>
          <w:szCs w:val="24"/>
        </w:rPr>
        <w:t>ll receipt of six months.  Thus, following Pratt and Grabowski (</w:t>
      </w:r>
      <w:r w:rsidR="002E64E0">
        <w:rPr>
          <w:rFonts w:ascii="Times New Roman" w:hAnsi="Times New Roman" w:cs="Times New Roman"/>
          <w:sz w:val="24"/>
          <w:szCs w:val="24"/>
        </w:rPr>
        <w:t xml:space="preserve">2010, </w:t>
      </w:r>
      <w:r w:rsidR="00BA3E2A">
        <w:rPr>
          <w:rFonts w:ascii="Times New Roman" w:hAnsi="Times New Roman" w:cs="Times New Roman"/>
          <w:sz w:val="24"/>
          <w:szCs w:val="24"/>
        </w:rPr>
        <w:t xml:space="preserve">equation (4.14)), </w:t>
      </w:r>
      <w:r w:rsidR="00D2575F">
        <w:rPr>
          <w:rFonts w:ascii="Times New Roman" w:hAnsi="Times New Roman" w:cs="Times New Roman"/>
          <w:sz w:val="24"/>
          <w:szCs w:val="24"/>
        </w:rPr>
        <w:t>the AER reduces the term of discounting by six months in respect of each year.  Accordingly, equation (1) becomes:</w:t>
      </w:r>
    </w:p>
    <w:p w:rsidR="00D2575F" w:rsidRDefault="00D2575F" w:rsidP="00BA1E19">
      <w:pPr>
        <w:spacing w:after="0" w:line="360" w:lineRule="auto"/>
        <w:jc w:val="both"/>
        <w:rPr>
          <w:rFonts w:ascii="Times New Roman" w:hAnsi="Times New Roman" w:cs="Times New Roman"/>
          <w:sz w:val="24"/>
          <w:szCs w:val="24"/>
        </w:rPr>
      </w:pPr>
    </w:p>
    <w:p w:rsidR="00D657F9" w:rsidRDefault="00AB5B92" w:rsidP="00AB5B9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2F58E6" w:rsidRPr="00D2575F">
        <w:rPr>
          <w:rFonts w:ascii="Times New Roman" w:hAnsi="Times New Roman" w:cs="Times New Roman"/>
          <w:b/>
          <w:bCs/>
          <w:position w:val="-28"/>
          <w:sz w:val="24"/>
          <w:szCs w:val="24"/>
        </w:rPr>
        <w:object w:dxaOrig="4940" w:dyaOrig="1040">
          <v:shape id="_x0000_i1029" type="#_x0000_t75" style="width:247.3pt;height:52.6pt" o:ole="">
            <v:imagedata r:id="rId17" o:title=""/>
          </v:shape>
          <o:OLEObject Type="Embed" ProgID="Equation.3" ShapeID="_x0000_i1029" DrawAspect="Content" ObjectID="_1448709057" r:id="rId18"/>
        </w:object>
      </w:r>
      <w:r>
        <w:rPr>
          <w:rFonts w:ascii="Times New Roman" w:hAnsi="Times New Roman" w:cs="Times New Roman"/>
          <w:b/>
          <w:bCs/>
          <w:sz w:val="24"/>
          <w:szCs w:val="24"/>
        </w:rPr>
        <w:t xml:space="preserve">                              </w:t>
      </w:r>
      <w:r w:rsidR="00A32AD8">
        <w:rPr>
          <w:rFonts w:ascii="Times New Roman" w:hAnsi="Times New Roman" w:cs="Times New Roman"/>
          <w:bCs/>
          <w:sz w:val="24"/>
          <w:szCs w:val="24"/>
        </w:rPr>
        <w:t>(3</w:t>
      </w:r>
      <w:r w:rsidRPr="00AB5B92">
        <w:rPr>
          <w:rFonts w:ascii="Times New Roman" w:hAnsi="Times New Roman" w:cs="Times New Roman"/>
          <w:bCs/>
          <w:sz w:val="24"/>
          <w:szCs w:val="24"/>
        </w:rPr>
        <w:t>)</w:t>
      </w:r>
    </w:p>
    <w:p w:rsidR="00875940" w:rsidRDefault="00875940" w:rsidP="00875940">
      <w:pPr>
        <w:spacing w:after="0" w:line="360" w:lineRule="auto"/>
        <w:jc w:val="center"/>
        <w:rPr>
          <w:rFonts w:ascii="Times New Roman" w:hAnsi="Times New Roman" w:cs="Times New Roman"/>
          <w:sz w:val="24"/>
          <w:szCs w:val="24"/>
        </w:rPr>
      </w:pPr>
    </w:p>
    <w:p w:rsidR="002F58E6" w:rsidRDefault="0053390B"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Finally, the AER</w:t>
      </w:r>
      <w:r w:rsidR="00D657F9">
        <w:rPr>
          <w:rFonts w:ascii="Times New Roman" w:hAnsi="Times New Roman" w:cs="Times New Roman"/>
          <w:sz w:val="24"/>
          <w:szCs w:val="24"/>
        </w:rPr>
        <w:t xml:space="preserve"> adjusts the model if the analysis is done part way through the financial year rather than at the beginning of the year.  </w:t>
      </w:r>
      <w:r w:rsidR="00BA3E2A">
        <w:rPr>
          <w:rFonts w:ascii="Times New Roman" w:hAnsi="Times New Roman" w:cs="Times New Roman"/>
          <w:sz w:val="24"/>
          <w:szCs w:val="24"/>
        </w:rPr>
        <w:t>Following Pratt and Grabowski (</w:t>
      </w:r>
      <w:r w:rsidR="002E64E0">
        <w:rPr>
          <w:rFonts w:ascii="Times New Roman" w:hAnsi="Times New Roman" w:cs="Times New Roman"/>
          <w:sz w:val="24"/>
          <w:szCs w:val="24"/>
        </w:rPr>
        <w:t xml:space="preserve">2010, </w:t>
      </w:r>
      <w:r w:rsidR="00BA3E2A">
        <w:rPr>
          <w:rFonts w:ascii="Times New Roman" w:hAnsi="Times New Roman" w:cs="Times New Roman"/>
          <w:sz w:val="24"/>
          <w:szCs w:val="24"/>
        </w:rPr>
        <w:t xml:space="preserve">equation (4.18)), </w:t>
      </w:r>
      <w:r w:rsidR="00D657F9">
        <w:rPr>
          <w:rFonts w:ascii="Times New Roman" w:hAnsi="Times New Roman" w:cs="Times New Roman"/>
          <w:sz w:val="24"/>
          <w:szCs w:val="24"/>
        </w:rPr>
        <w:t xml:space="preserve">if the analysis done at a point </w:t>
      </w:r>
      <w:r w:rsidR="002F58E6">
        <w:rPr>
          <w:rFonts w:ascii="Times New Roman" w:hAnsi="Times New Roman" w:cs="Times New Roman"/>
          <w:sz w:val="24"/>
          <w:szCs w:val="24"/>
        </w:rPr>
        <w:t>such that proport</w:t>
      </w:r>
      <w:r w:rsidR="00875940">
        <w:rPr>
          <w:rFonts w:ascii="Times New Roman" w:hAnsi="Times New Roman" w:cs="Times New Roman"/>
          <w:sz w:val="24"/>
          <w:szCs w:val="24"/>
        </w:rPr>
        <w:t xml:space="preserve">ion </w:t>
      </w:r>
      <w:r w:rsidR="00875940" w:rsidRPr="00875940">
        <w:rPr>
          <w:rFonts w:ascii="Times New Roman" w:hAnsi="Times New Roman" w:cs="Times New Roman"/>
          <w:i/>
          <w:sz w:val="24"/>
          <w:szCs w:val="24"/>
        </w:rPr>
        <w:t>y</w:t>
      </w:r>
      <w:r w:rsidR="002F58E6">
        <w:rPr>
          <w:rFonts w:ascii="Times New Roman" w:hAnsi="Times New Roman" w:cs="Times New Roman"/>
          <w:sz w:val="24"/>
          <w:szCs w:val="24"/>
        </w:rPr>
        <w:t xml:space="preserve"> of the year remains then</w:t>
      </w:r>
      <w:r w:rsidR="00A32AD8">
        <w:rPr>
          <w:rFonts w:ascii="Times New Roman" w:hAnsi="Times New Roman" w:cs="Times New Roman"/>
          <w:sz w:val="24"/>
          <w:szCs w:val="24"/>
        </w:rPr>
        <w:t xml:space="preserve"> equation (3</w:t>
      </w:r>
      <w:r w:rsidR="002F58E6">
        <w:rPr>
          <w:rFonts w:ascii="Times New Roman" w:hAnsi="Times New Roman" w:cs="Times New Roman"/>
          <w:sz w:val="24"/>
          <w:szCs w:val="24"/>
        </w:rPr>
        <w:t>) becomes</w:t>
      </w:r>
      <w:r w:rsidR="002C7C3C">
        <w:rPr>
          <w:rFonts w:ascii="Times New Roman" w:hAnsi="Times New Roman" w:cs="Times New Roman"/>
          <w:sz w:val="24"/>
          <w:szCs w:val="24"/>
        </w:rPr>
        <w:t>:</w:t>
      </w:r>
      <w:r w:rsidR="00875940">
        <w:rPr>
          <w:rStyle w:val="FootnoteReference"/>
          <w:rFonts w:ascii="Times New Roman" w:hAnsi="Times New Roman" w:cs="Times New Roman"/>
          <w:sz w:val="24"/>
          <w:szCs w:val="24"/>
        </w:rPr>
        <w:footnoteReference w:id="1"/>
      </w:r>
    </w:p>
    <w:p w:rsidR="00875940" w:rsidRDefault="00694722" w:rsidP="0069472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875940" w:rsidRPr="00D2575F">
        <w:rPr>
          <w:rFonts w:ascii="Times New Roman" w:hAnsi="Times New Roman" w:cs="Times New Roman"/>
          <w:b/>
          <w:bCs/>
          <w:position w:val="-28"/>
          <w:sz w:val="24"/>
          <w:szCs w:val="24"/>
        </w:rPr>
        <w:object w:dxaOrig="5400" w:dyaOrig="1040">
          <v:shape id="_x0000_i1030" type="#_x0000_t75" style="width:271.1pt;height:52.6pt" o:ole="">
            <v:imagedata r:id="rId19" o:title=""/>
          </v:shape>
          <o:OLEObject Type="Embed" ProgID="Equation.3" ShapeID="_x0000_i1030" DrawAspect="Content" ObjectID="_1448709058" r:id="rId20"/>
        </w:object>
      </w:r>
      <w:r>
        <w:rPr>
          <w:rFonts w:ascii="Times New Roman" w:hAnsi="Times New Roman" w:cs="Times New Roman"/>
          <w:b/>
          <w:bCs/>
          <w:sz w:val="24"/>
          <w:szCs w:val="24"/>
        </w:rPr>
        <w:t xml:space="preserve">                          </w:t>
      </w:r>
      <w:r w:rsidR="00A32AD8">
        <w:rPr>
          <w:rFonts w:ascii="Times New Roman" w:hAnsi="Times New Roman" w:cs="Times New Roman"/>
          <w:bCs/>
          <w:sz w:val="24"/>
          <w:szCs w:val="24"/>
        </w:rPr>
        <w:t>(4</w:t>
      </w:r>
      <w:r w:rsidRPr="00694722">
        <w:rPr>
          <w:rFonts w:ascii="Times New Roman" w:hAnsi="Times New Roman" w:cs="Times New Roman"/>
          <w:bCs/>
          <w:sz w:val="24"/>
          <w:szCs w:val="24"/>
        </w:rPr>
        <w:t>)</w:t>
      </w:r>
    </w:p>
    <w:p w:rsidR="00344490" w:rsidRDefault="00344490" w:rsidP="009E1846">
      <w:pPr>
        <w:spacing w:after="0" w:line="360" w:lineRule="auto"/>
        <w:jc w:val="both"/>
        <w:rPr>
          <w:rFonts w:ascii="Times New Roman" w:hAnsi="Times New Roman" w:cs="Times New Roman"/>
          <w:sz w:val="24"/>
          <w:szCs w:val="24"/>
        </w:rPr>
      </w:pPr>
    </w:p>
    <w:p w:rsidR="00326E78" w:rsidRPr="00A54826" w:rsidRDefault="00326E78" w:rsidP="00326E78">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The Use of a Two-Stage Model</w:t>
      </w:r>
    </w:p>
    <w:p w:rsidR="00326E78" w:rsidRDefault="00326E78" w:rsidP="009E1846">
      <w:pPr>
        <w:spacing w:after="0" w:line="360" w:lineRule="auto"/>
        <w:jc w:val="both"/>
        <w:rPr>
          <w:rFonts w:ascii="Times New Roman" w:hAnsi="Times New Roman" w:cs="Times New Roman"/>
          <w:sz w:val="24"/>
          <w:szCs w:val="24"/>
        </w:rPr>
      </w:pPr>
    </w:p>
    <w:p w:rsidR="001B7277" w:rsidRDefault="00326E78"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AER’s use of </w:t>
      </w:r>
      <w:r w:rsidR="002C7C3C">
        <w:rPr>
          <w:rFonts w:ascii="Times New Roman" w:hAnsi="Times New Roman" w:cs="Times New Roman"/>
          <w:sz w:val="24"/>
          <w:szCs w:val="24"/>
        </w:rPr>
        <w:t xml:space="preserve">a </w:t>
      </w:r>
      <w:r>
        <w:rPr>
          <w:rFonts w:ascii="Times New Roman" w:hAnsi="Times New Roman" w:cs="Times New Roman"/>
          <w:sz w:val="24"/>
          <w:szCs w:val="24"/>
        </w:rPr>
        <w:t xml:space="preserve">two-stage model implies a preference for </w:t>
      </w:r>
      <w:r w:rsidR="00020FBD">
        <w:rPr>
          <w:rFonts w:ascii="Times New Roman" w:hAnsi="Times New Roman" w:cs="Times New Roman"/>
          <w:sz w:val="24"/>
          <w:szCs w:val="24"/>
        </w:rPr>
        <w:t xml:space="preserve">this over </w:t>
      </w:r>
      <w:r>
        <w:rPr>
          <w:rFonts w:ascii="Times New Roman" w:hAnsi="Times New Roman" w:cs="Times New Roman"/>
          <w:sz w:val="24"/>
          <w:szCs w:val="24"/>
        </w:rPr>
        <w:t>a one-sta</w:t>
      </w:r>
      <w:r w:rsidR="00020FBD">
        <w:rPr>
          <w:rFonts w:ascii="Times New Roman" w:hAnsi="Times New Roman" w:cs="Times New Roman"/>
          <w:sz w:val="24"/>
          <w:szCs w:val="24"/>
        </w:rPr>
        <w:t xml:space="preserve">ge model or a three-stage model.  A one-stage model involves the assumption that the long-run expected growth rate applies immediately and therefore explicit forecasts of dividends for the first few years are ignored.  This involves ignoring a potentially valuable piece of information, and particularly so when the economy is booming or in recession (when forecast dividend growth </w:t>
      </w:r>
      <w:r w:rsidR="00020FBD">
        <w:rPr>
          <w:rFonts w:ascii="Times New Roman" w:hAnsi="Times New Roman" w:cs="Times New Roman"/>
          <w:sz w:val="24"/>
          <w:szCs w:val="24"/>
        </w:rPr>
        <w:lastRenderedPageBreak/>
        <w:t>rates for the next few years are likely to be unusu</w:t>
      </w:r>
      <w:r w:rsidR="006E402F">
        <w:rPr>
          <w:rFonts w:ascii="Times New Roman" w:hAnsi="Times New Roman" w:cs="Times New Roman"/>
          <w:sz w:val="24"/>
          <w:szCs w:val="24"/>
        </w:rPr>
        <w:t xml:space="preserve">al).  By contrast a three-stage model </w:t>
      </w:r>
      <w:r w:rsidR="00020FBD">
        <w:rPr>
          <w:rFonts w:ascii="Times New Roman" w:hAnsi="Times New Roman" w:cs="Times New Roman"/>
          <w:sz w:val="24"/>
          <w:szCs w:val="24"/>
        </w:rPr>
        <w:t>utilises explicit forecasts of di</w:t>
      </w:r>
      <w:r w:rsidR="00205016">
        <w:rPr>
          <w:rFonts w:ascii="Times New Roman" w:hAnsi="Times New Roman" w:cs="Times New Roman"/>
          <w:sz w:val="24"/>
          <w:szCs w:val="24"/>
        </w:rPr>
        <w:t xml:space="preserve">vidends for the first few years, a long-term growth rate, </w:t>
      </w:r>
      <w:r w:rsidR="00020FBD">
        <w:rPr>
          <w:rFonts w:ascii="Times New Roman" w:hAnsi="Times New Roman" w:cs="Times New Roman"/>
          <w:sz w:val="24"/>
          <w:szCs w:val="24"/>
        </w:rPr>
        <w:t xml:space="preserve">and assumes that </w:t>
      </w:r>
      <w:r w:rsidR="00205016">
        <w:rPr>
          <w:rFonts w:ascii="Times New Roman" w:hAnsi="Times New Roman" w:cs="Times New Roman"/>
          <w:sz w:val="24"/>
          <w:szCs w:val="24"/>
        </w:rPr>
        <w:t xml:space="preserve">there is a transitional period between the two in which the expected growth rate in dividends linearly converges from </w:t>
      </w:r>
      <w:r w:rsidR="00020FBD">
        <w:rPr>
          <w:rFonts w:ascii="Times New Roman" w:hAnsi="Times New Roman" w:cs="Times New Roman"/>
          <w:sz w:val="24"/>
          <w:szCs w:val="24"/>
        </w:rPr>
        <w:t>the last growth r</w:t>
      </w:r>
      <w:r w:rsidR="00205016">
        <w:rPr>
          <w:rFonts w:ascii="Times New Roman" w:hAnsi="Times New Roman" w:cs="Times New Roman"/>
          <w:sz w:val="24"/>
          <w:szCs w:val="24"/>
        </w:rPr>
        <w:t xml:space="preserve">ate in </w:t>
      </w:r>
      <w:r w:rsidR="0029007D">
        <w:rPr>
          <w:rFonts w:ascii="Times New Roman" w:hAnsi="Times New Roman" w:cs="Times New Roman"/>
          <w:sz w:val="24"/>
          <w:szCs w:val="24"/>
        </w:rPr>
        <w:t xml:space="preserve">the </w:t>
      </w:r>
      <w:r w:rsidR="00205016">
        <w:rPr>
          <w:rFonts w:ascii="Times New Roman" w:hAnsi="Times New Roman" w:cs="Times New Roman"/>
          <w:sz w:val="24"/>
          <w:szCs w:val="24"/>
        </w:rPr>
        <w:t xml:space="preserve">first stage to the </w:t>
      </w:r>
      <w:r w:rsidR="00B81B0B">
        <w:rPr>
          <w:rFonts w:ascii="Times New Roman" w:hAnsi="Times New Roman" w:cs="Times New Roman"/>
          <w:sz w:val="24"/>
          <w:szCs w:val="24"/>
        </w:rPr>
        <w:t xml:space="preserve">long-run expected growth rate.  </w:t>
      </w:r>
    </w:p>
    <w:p w:rsidR="001B7277" w:rsidRDefault="001B7277" w:rsidP="009E1846">
      <w:pPr>
        <w:spacing w:after="0" w:line="360" w:lineRule="auto"/>
        <w:jc w:val="both"/>
        <w:rPr>
          <w:rFonts w:ascii="Times New Roman" w:hAnsi="Times New Roman" w:cs="Times New Roman"/>
          <w:sz w:val="24"/>
          <w:szCs w:val="24"/>
        </w:rPr>
      </w:pPr>
    </w:p>
    <w:p w:rsidR="009D3C19" w:rsidRDefault="00B81B0B"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Clearly a three-stage model is more likely to be </w:t>
      </w:r>
      <w:r w:rsidR="00440943">
        <w:rPr>
          <w:rFonts w:ascii="Times New Roman" w:hAnsi="Times New Roman" w:cs="Times New Roman"/>
          <w:sz w:val="24"/>
          <w:szCs w:val="24"/>
        </w:rPr>
        <w:t xml:space="preserve">closer to the truth than </w:t>
      </w:r>
      <w:r>
        <w:rPr>
          <w:rFonts w:ascii="Times New Roman" w:hAnsi="Times New Roman" w:cs="Times New Roman"/>
          <w:sz w:val="24"/>
          <w:szCs w:val="24"/>
        </w:rPr>
        <w:t xml:space="preserve">either a one or two-stage model, </w:t>
      </w:r>
      <w:r w:rsidR="00440943">
        <w:rPr>
          <w:rFonts w:ascii="Times New Roman" w:hAnsi="Times New Roman" w:cs="Times New Roman"/>
          <w:sz w:val="24"/>
          <w:szCs w:val="24"/>
        </w:rPr>
        <w:t xml:space="preserve">and a two-stage model is more likely to be closer to the truth than a one-stage model.  So, </w:t>
      </w:r>
      <w:r w:rsidR="001B7277">
        <w:rPr>
          <w:rFonts w:ascii="Times New Roman" w:hAnsi="Times New Roman" w:cs="Times New Roman"/>
          <w:sz w:val="24"/>
          <w:szCs w:val="24"/>
        </w:rPr>
        <w:t xml:space="preserve">to </w:t>
      </w:r>
      <w:r w:rsidR="00EA0F73">
        <w:rPr>
          <w:rFonts w:ascii="Times New Roman" w:hAnsi="Times New Roman" w:cs="Times New Roman"/>
          <w:sz w:val="24"/>
          <w:szCs w:val="24"/>
        </w:rPr>
        <w:t xml:space="preserve">investigate </w:t>
      </w:r>
      <w:r w:rsidR="001B7277">
        <w:rPr>
          <w:rFonts w:ascii="Times New Roman" w:hAnsi="Times New Roman" w:cs="Times New Roman"/>
          <w:sz w:val="24"/>
          <w:szCs w:val="24"/>
        </w:rPr>
        <w:t xml:space="preserve">the relative merits of </w:t>
      </w:r>
      <w:r w:rsidR="00EA0F73">
        <w:rPr>
          <w:rFonts w:ascii="Times New Roman" w:hAnsi="Times New Roman" w:cs="Times New Roman"/>
          <w:sz w:val="24"/>
          <w:szCs w:val="24"/>
        </w:rPr>
        <w:t xml:space="preserve">this question, suppose that the true model is a </w:t>
      </w:r>
      <w:r w:rsidR="001B7277">
        <w:rPr>
          <w:rFonts w:ascii="Times New Roman" w:hAnsi="Times New Roman" w:cs="Times New Roman"/>
          <w:sz w:val="24"/>
          <w:szCs w:val="24"/>
        </w:rPr>
        <w:t>three-stage</w:t>
      </w:r>
      <w:r w:rsidR="00EA0F73">
        <w:rPr>
          <w:rFonts w:ascii="Times New Roman" w:hAnsi="Times New Roman" w:cs="Times New Roman"/>
          <w:sz w:val="24"/>
          <w:szCs w:val="24"/>
        </w:rPr>
        <w:t xml:space="preserve"> model with divid</w:t>
      </w:r>
      <w:r w:rsidR="001B7277">
        <w:rPr>
          <w:rFonts w:ascii="Times New Roman" w:hAnsi="Times New Roman" w:cs="Times New Roman"/>
          <w:sz w:val="24"/>
          <w:szCs w:val="24"/>
        </w:rPr>
        <w:t>ends in the latest year of $1b</w:t>
      </w:r>
      <w:r w:rsidR="00EA0F73">
        <w:rPr>
          <w:rFonts w:ascii="Times New Roman" w:hAnsi="Times New Roman" w:cs="Times New Roman"/>
          <w:sz w:val="24"/>
          <w:szCs w:val="24"/>
        </w:rPr>
        <w:t xml:space="preserve">, an expected growth rate of 7% for each of the next three years and linear convergence to the long-run expected growth rate of 4.6% over </w:t>
      </w:r>
      <w:r w:rsidR="004717FC">
        <w:rPr>
          <w:rFonts w:ascii="Times New Roman" w:hAnsi="Times New Roman" w:cs="Times New Roman"/>
          <w:sz w:val="24"/>
          <w:szCs w:val="24"/>
        </w:rPr>
        <w:t xml:space="preserve">the following </w:t>
      </w:r>
      <w:r w:rsidR="00EA0F73">
        <w:rPr>
          <w:rFonts w:ascii="Times New Roman" w:hAnsi="Times New Roman" w:cs="Times New Roman"/>
          <w:sz w:val="24"/>
          <w:szCs w:val="24"/>
        </w:rPr>
        <w:t>ten years.</w:t>
      </w:r>
      <w:r w:rsidR="00F67BFE">
        <w:rPr>
          <w:rStyle w:val="FootnoteReference"/>
          <w:rFonts w:ascii="Times New Roman" w:hAnsi="Times New Roman" w:cs="Times New Roman"/>
          <w:sz w:val="24"/>
          <w:szCs w:val="24"/>
        </w:rPr>
        <w:footnoteReference w:id="2"/>
      </w:r>
      <w:r w:rsidR="00EA0F73">
        <w:rPr>
          <w:rFonts w:ascii="Times New Roman" w:hAnsi="Times New Roman" w:cs="Times New Roman"/>
          <w:sz w:val="24"/>
          <w:szCs w:val="24"/>
        </w:rPr>
        <w:t xml:space="preserve">  In ad</w:t>
      </w:r>
      <w:r w:rsidR="001B7277">
        <w:rPr>
          <w:rFonts w:ascii="Times New Roman" w:hAnsi="Times New Roman" w:cs="Times New Roman"/>
          <w:sz w:val="24"/>
          <w:szCs w:val="24"/>
        </w:rPr>
        <w:t xml:space="preserve">dition the </w:t>
      </w:r>
      <w:r w:rsidR="00093831">
        <w:rPr>
          <w:rFonts w:ascii="Times New Roman" w:hAnsi="Times New Roman" w:cs="Times New Roman"/>
          <w:sz w:val="24"/>
          <w:szCs w:val="24"/>
        </w:rPr>
        <w:t xml:space="preserve">market cost of equity </w:t>
      </w:r>
      <w:r w:rsidR="001B7277">
        <w:rPr>
          <w:rFonts w:ascii="Times New Roman" w:hAnsi="Times New Roman" w:cs="Times New Roman"/>
          <w:sz w:val="24"/>
          <w:szCs w:val="24"/>
        </w:rPr>
        <w:t xml:space="preserve">is 10%.  We also assume that the analysis is done at the beginning of the financial year and we leave aside the mid-year correction.  The </w:t>
      </w:r>
      <w:r w:rsidR="009D3C19">
        <w:rPr>
          <w:rFonts w:ascii="Times New Roman" w:hAnsi="Times New Roman" w:cs="Times New Roman"/>
          <w:sz w:val="24"/>
          <w:szCs w:val="24"/>
        </w:rPr>
        <w:t>expected dividend for year 13 is then</w:t>
      </w:r>
    </w:p>
    <w:p w:rsidR="009D3C19" w:rsidRDefault="009D3C19" w:rsidP="009E1846">
      <w:pPr>
        <w:spacing w:after="0" w:line="360" w:lineRule="auto"/>
        <w:jc w:val="both"/>
        <w:rPr>
          <w:rFonts w:ascii="Times New Roman" w:hAnsi="Times New Roman" w:cs="Times New Roman"/>
          <w:sz w:val="24"/>
          <w:szCs w:val="24"/>
        </w:rPr>
      </w:pPr>
    </w:p>
    <w:p w:rsidR="009D3C19" w:rsidRDefault="009D3C19" w:rsidP="009D3C19">
      <w:pPr>
        <w:spacing w:after="0" w:line="360" w:lineRule="auto"/>
        <w:jc w:val="center"/>
        <w:rPr>
          <w:rFonts w:ascii="Times New Roman" w:hAnsi="Times New Roman" w:cs="Times New Roman"/>
          <w:sz w:val="24"/>
          <w:szCs w:val="24"/>
        </w:rPr>
      </w:pPr>
      <w:r w:rsidRPr="009D3C19">
        <w:rPr>
          <w:rFonts w:ascii="Times New Roman" w:hAnsi="Times New Roman" w:cs="Times New Roman"/>
          <w:b/>
          <w:bCs/>
          <w:position w:val="-12"/>
          <w:sz w:val="24"/>
          <w:szCs w:val="24"/>
        </w:rPr>
        <w:object w:dxaOrig="4760" w:dyaOrig="380">
          <v:shape id="_x0000_i1031" type="#_x0000_t75" style="width:237.9pt;height:18.8pt" o:ole="">
            <v:imagedata r:id="rId21" o:title=""/>
          </v:shape>
          <o:OLEObject Type="Embed" ProgID="Equation.3" ShapeID="_x0000_i1031" DrawAspect="Content" ObjectID="_1448709059" r:id="rId22"/>
        </w:object>
      </w:r>
    </w:p>
    <w:p w:rsidR="009D3C19" w:rsidRDefault="009D3C19" w:rsidP="009E1846">
      <w:pPr>
        <w:spacing w:after="0" w:line="360" w:lineRule="auto"/>
        <w:jc w:val="both"/>
        <w:rPr>
          <w:rFonts w:ascii="Times New Roman" w:hAnsi="Times New Roman" w:cs="Times New Roman"/>
          <w:sz w:val="24"/>
          <w:szCs w:val="24"/>
        </w:rPr>
      </w:pPr>
    </w:p>
    <w:p w:rsidR="00326E78" w:rsidRDefault="009D3C19"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and therefore the </w:t>
      </w:r>
      <w:r w:rsidR="001B7277">
        <w:rPr>
          <w:rFonts w:ascii="Times New Roman" w:hAnsi="Times New Roman" w:cs="Times New Roman"/>
          <w:sz w:val="24"/>
          <w:szCs w:val="24"/>
        </w:rPr>
        <w:t xml:space="preserve">resulting </w:t>
      </w:r>
      <w:r w:rsidR="004717FC">
        <w:rPr>
          <w:rFonts w:ascii="Times New Roman" w:hAnsi="Times New Roman" w:cs="Times New Roman"/>
          <w:sz w:val="24"/>
          <w:szCs w:val="24"/>
        </w:rPr>
        <w:t xml:space="preserve">current </w:t>
      </w:r>
      <w:r w:rsidR="001B7277">
        <w:rPr>
          <w:rFonts w:ascii="Times New Roman" w:hAnsi="Times New Roman" w:cs="Times New Roman"/>
          <w:sz w:val="24"/>
          <w:szCs w:val="24"/>
        </w:rPr>
        <w:t>value</w:t>
      </w:r>
      <w:r w:rsidR="00B745B0">
        <w:rPr>
          <w:rFonts w:ascii="Times New Roman" w:hAnsi="Times New Roman" w:cs="Times New Roman"/>
          <w:sz w:val="24"/>
          <w:szCs w:val="24"/>
        </w:rPr>
        <w:t xml:space="preserve"> of the market portfolio would be</w:t>
      </w:r>
    </w:p>
    <w:p w:rsidR="00C97B34" w:rsidRDefault="00C97B34" w:rsidP="009E1846">
      <w:pPr>
        <w:spacing w:after="0" w:line="360" w:lineRule="auto"/>
        <w:jc w:val="both"/>
        <w:rPr>
          <w:rFonts w:ascii="Times New Roman" w:hAnsi="Times New Roman" w:cs="Times New Roman"/>
          <w:sz w:val="24"/>
          <w:szCs w:val="24"/>
        </w:rPr>
      </w:pPr>
    </w:p>
    <w:p w:rsidR="00C97B34" w:rsidRDefault="009D3C19" w:rsidP="00C97B34">
      <w:pPr>
        <w:spacing w:after="0" w:line="360" w:lineRule="auto"/>
        <w:jc w:val="center"/>
        <w:rPr>
          <w:rFonts w:ascii="Times New Roman" w:hAnsi="Times New Roman" w:cs="Times New Roman"/>
          <w:sz w:val="24"/>
          <w:szCs w:val="24"/>
        </w:rPr>
      </w:pPr>
      <w:r w:rsidRPr="009D3C19">
        <w:rPr>
          <w:rFonts w:ascii="Times New Roman" w:hAnsi="Times New Roman" w:cs="Times New Roman"/>
          <w:b/>
          <w:bCs/>
          <w:position w:val="-28"/>
          <w:sz w:val="24"/>
          <w:szCs w:val="24"/>
        </w:rPr>
        <w:object w:dxaOrig="8580" w:dyaOrig="999">
          <v:shape id="_x0000_i1032" type="#_x0000_t75" style="width:428.85pt;height:50.7pt" o:ole="">
            <v:imagedata r:id="rId23" o:title=""/>
          </v:shape>
          <o:OLEObject Type="Embed" ProgID="Equation.3" ShapeID="_x0000_i1032" DrawAspect="Content" ObjectID="_1448709060" r:id="rId24"/>
        </w:object>
      </w:r>
    </w:p>
    <w:p w:rsidR="00326E78" w:rsidRDefault="00326E78" w:rsidP="009E1846">
      <w:pPr>
        <w:spacing w:after="0" w:line="360" w:lineRule="auto"/>
        <w:jc w:val="both"/>
        <w:rPr>
          <w:rFonts w:ascii="Times New Roman" w:hAnsi="Times New Roman" w:cs="Times New Roman"/>
          <w:b/>
          <w:sz w:val="24"/>
          <w:szCs w:val="24"/>
        </w:rPr>
      </w:pPr>
    </w:p>
    <w:p w:rsidR="009D3C19" w:rsidRDefault="000966EB" w:rsidP="009E1846">
      <w:pPr>
        <w:spacing w:after="0" w:line="360" w:lineRule="auto"/>
        <w:jc w:val="both"/>
        <w:rPr>
          <w:rFonts w:ascii="Times New Roman" w:hAnsi="Times New Roman" w:cs="Times New Roman"/>
          <w:sz w:val="24"/>
          <w:szCs w:val="24"/>
        </w:rPr>
      </w:pPr>
      <w:r w:rsidRPr="000966EB">
        <w:rPr>
          <w:rFonts w:ascii="Times New Roman" w:hAnsi="Times New Roman" w:cs="Times New Roman"/>
          <w:sz w:val="24"/>
          <w:szCs w:val="24"/>
        </w:rPr>
        <w:t xml:space="preserve">The </w:t>
      </w:r>
      <w:r>
        <w:rPr>
          <w:rFonts w:ascii="Times New Roman" w:hAnsi="Times New Roman" w:cs="Times New Roman"/>
          <w:sz w:val="24"/>
          <w:szCs w:val="24"/>
        </w:rPr>
        <w:t xml:space="preserve">user </w:t>
      </w:r>
      <w:r w:rsidRPr="000966EB">
        <w:rPr>
          <w:rFonts w:ascii="Times New Roman" w:hAnsi="Times New Roman" w:cs="Times New Roman"/>
          <w:sz w:val="24"/>
          <w:szCs w:val="24"/>
        </w:rPr>
        <w:t xml:space="preserve">of a one-stage model will then solve the following equation for </w:t>
      </w:r>
      <w:r w:rsidRPr="000966EB">
        <w:rPr>
          <w:rFonts w:ascii="Times New Roman" w:hAnsi="Times New Roman" w:cs="Times New Roman"/>
          <w:i/>
          <w:sz w:val="24"/>
          <w:szCs w:val="24"/>
        </w:rPr>
        <w:t>k</w:t>
      </w:r>
      <w:r>
        <w:rPr>
          <w:rFonts w:ascii="Times New Roman" w:hAnsi="Times New Roman" w:cs="Times New Roman"/>
          <w:sz w:val="24"/>
          <w:szCs w:val="24"/>
        </w:rPr>
        <w:t>, being equation (1) without the initial three year period of explicit dividend forecasts:</w:t>
      </w:r>
    </w:p>
    <w:p w:rsidR="000966EB" w:rsidRDefault="000966EB" w:rsidP="009E1846">
      <w:pPr>
        <w:spacing w:after="0" w:line="360" w:lineRule="auto"/>
        <w:jc w:val="both"/>
        <w:rPr>
          <w:rFonts w:ascii="Times New Roman" w:hAnsi="Times New Roman" w:cs="Times New Roman"/>
          <w:sz w:val="24"/>
          <w:szCs w:val="24"/>
        </w:rPr>
      </w:pPr>
    </w:p>
    <w:p w:rsidR="000966EB" w:rsidRPr="000966EB" w:rsidRDefault="006E402F" w:rsidP="000966EB">
      <w:pPr>
        <w:spacing w:after="0" w:line="360" w:lineRule="auto"/>
        <w:jc w:val="center"/>
        <w:rPr>
          <w:rFonts w:ascii="Times New Roman" w:hAnsi="Times New Roman" w:cs="Times New Roman"/>
          <w:sz w:val="24"/>
          <w:szCs w:val="24"/>
        </w:rPr>
      </w:pPr>
      <w:r w:rsidRPr="000966EB">
        <w:rPr>
          <w:rFonts w:ascii="Times New Roman" w:hAnsi="Times New Roman" w:cs="Times New Roman"/>
          <w:b/>
          <w:bCs/>
          <w:position w:val="-24"/>
          <w:sz w:val="24"/>
          <w:szCs w:val="24"/>
        </w:rPr>
        <w:object w:dxaOrig="2160" w:dyaOrig="620">
          <v:shape id="_x0000_i1033" type="#_x0000_t75" style="width:108.3pt;height:31.3pt" o:ole="">
            <v:imagedata r:id="rId25" o:title=""/>
          </v:shape>
          <o:OLEObject Type="Embed" ProgID="Equation.3" ShapeID="_x0000_i1033" DrawAspect="Content" ObjectID="_1448709061" r:id="rId26"/>
        </w:object>
      </w:r>
    </w:p>
    <w:p w:rsidR="009D3C19" w:rsidRDefault="009D3C19" w:rsidP="009E1846">
      <w:pPr>
        <w:spacing w:after="0" w:line="360" w:lineRule="auto"/>
        <w:jc w:val="both"/>
        <w:rPr>
          <w:rFonts w:ascii="Times New Roman" w:hAnsi="Times New Roman" w:cs="Times New Roman"/>
          <w:b/>
          <w:sz w:val="24"/>
          <w:szCs w:val="24"/>
        </w:rPr>
      </w:pPr>
    </w:p>
    <w:p w:rsidR="000966EB" w:rsidRDefault="006E402F"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0966EB" w:rsidRPr="000966EB">
        <w:rPr>
          <w:rFonts w:ascii="Times New Roman" w:hAnsi="Times New Roman" w:cs="Times New Roman"/>
          <w:sz w:val="24"/>
          <w:szCs w:val="24"/>
        </w:rPr>
        <w:t>nd the</w:t>
      </w:r>
      <w:r>
        <w:rPr>
          <w:rFonts w:ascii="Times New Roman" w:hAnsi="Times New Roman" w:cs="Times New Roman"/>
          <w:sz w:val="24"/>
          <w:szCs w:val="24"/>
        </w:rPr>
        <w:t xml:space="preserve"> solution to this equation is an estimate for </w:t>
      </w:r>
      <w:r w:rsidRPr="008F1779">
        <w:rPr>
          <w:rFonts w:ascii="Times New Roman" w:hAnsi="Times New Roman" w:cs="Times New Roman"/>
          <w:i/>
          <w:sz w:val="24"/>
          <w:szCs w:val="24"/>
        </w:rPr>
        <w:t>k</w:t>
      </w:r>
      <w:r>
        <w:rPr>
          <w:rFonts w:ascii="Times New Roman" w:hAnsi="Times New Roman" w:cs="Times New Roman"/>
          <w:sz w:val="24"/>
          <w:szCs w:val="24"/>
        </w:rPr>
        <w:t xml:space="preserve"> of .0927.  Thus, </w:t>
      </w:r>
      <w:r w:rsidRPr="008F1779">
        <w:rPr>
          <w:rFonts w:ascii="Times New Roman" w:hAnsi="Times New Roman" w:cs="Times New Roman"/>
          <w:i/>
          <w:sz w:val="24"/>
          <w:szCs w:val="24"/>
        </w:rPr>
        <w:t>k</w:t>
      </w:r>
      <w:r w:rsidR="008F1779">
        <w:rPr>
          <w:rFonts w:ascii="Times New Roman" w:hAnsi="Times New Roman" w:cs="Times New Roman"/>
          <w:sz w:val="24"/>
          <w:szCs w:val="24"/>
        </w:rPr>
        <w:t xml:space="preserve"> is underestimated by 0.73%.  Table 1 presents results of this kind, for two </w:t>
      </w:r>
      <w:r w:rsidR="004717FC">
        <w:rPr>
          <w:rFonts w:ascii="Times New Roman" w:hAnsi="Times New Roman" w:cs="Times New Roman"/>
          <w:sz w:val="24"/>
          <w:szCs w:val="24"/>
        </w:rPr>
        <w:t xml:space="preserve">possible </w:t>
      </w:r>
      <w:r w:rsidR="00342649">
        <w:rPr>
          <w:rFonts w:ascii="Times New Roman" w:hAnsi="Times New Roman" w:cs="Times New Roman"/>
          <w:sz w:val="24"/>
          <w:szCs w:val="24"/>
        </w:rPr>
        <w:t xml:space="preserve">true </w:t>
      </w:r>
      <w:r w:rsidR="008F1779">
        <w:rPr>
          <w:rFonts w:ascii="Times New Roman" w:hAnsi="Times New Roman" w:cs="Times New Roman"/>
          <w:sz w:val="24"/>
          <w:szCs w:val="24"/>
        </w:rPr>
        <w:t>scenarios (</w:t>
      </w:r>
      <w:r w:rsidR="00342649">
        <w:rPr>
          <w:rFonts w:ascii="Times New Roman" w:hAnsi="Times New Roman" w:cs="Times New Roman"/>
          <w:sz w:val="24"/>
          <w:szCs w:val="24"/>
        </w:rPr>
        <w:t xml:space="preserve">a </w:t>
      </w:r>
      <w:r w:rsidR="008F1779">
        <w:rPr>
          <w:rFonts w:ascii="Times New Roman" w:hAnsi="Times New Roman" w:cs="Times New Roman"/>
          <w:sz w:val="24"/>
          <w:szCs w:val="24"/>
        </w:rPr>
        <w:t xml:space="preserve">three-stage </w:t>
      </w:r>
      <w:r w:rsidR="008F1779">
        <w:rPr>
          <w:rFonts w:ascii="Times New Roman" w:hAnsi="Times New Roman" w:cs="Times New Roman"/>
          <w:sz w:val="24"/>
          <w:szCs w:val="24"/>
        </w:rPr>
        <w:lastRenderedPageBreak/>
        <w:t xml:space="preserve">model with convergence over either 10 years or 20 years) and four possible models used for estimating </w:t>
      </w:r>
      <w:r w:rsidR="008F1779" w:rsidRPr="004717FC">
        <w:rPr>
          <w:rFonts w:ascii="Times New Roman" w:hAnsi="Times New Roman" w:cs="Times New Roman"/>
          <w:i/>
          <w:sz w:val="24"/>
          <w:szCs w:val="24"/>
        </w:rPr>
        <w:t>k</w:t>
      </w:r>
      <w:r w:rsidR="008F1779">
        <w:rPr>
          <w:rFonts w:ascii="Times New Roman" w:hAnsi="Times New Roman" w:cs="Times New Roman"/>
          <w:sz w:val="24"/>
          <w:szCs w:val="24"/>
        </w:rPr>
        <w:t xml:space="preserve"> (the one stage model, the two stage model, the three stage model with convergence over 10 years, and the three-stage model with convergence over 20 years):</w:t>
      </w:r>
    </w:p>
    <w:p w:rsidR="008F1779" w:rsidRDefault="008F1779" w:rsidP="009E1846">
      <w:pPr>
        <w:spacing w:after="0" w:line="360" w:lineRule="auto"/>
        <w:jc w:val="both"/>
        <w:rPr>
          <w:rFonts w:ascii="Times New Roman" w:hAnsi="Times New Roman" w:cs="Times New Roman"/>
          <w:sz w:val="24"/>
          <w:szCs w:val="24"/>
        </w:rPr>
      </w:pPr>
    </w:p>
    <w:p w:rsidR="008F1779" w:rsidRDefault="008F1779" w:rsidP="0034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1: Estimation Errors for the DGM</w:t>
      </w:r>
    </w:p>
    <w:p w:rsidR="008F1779" w:rsidRPr="000966EB" w:rsidRDefault="008F1779" w:rsidP="008F17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966EB" w:rsidRDefault="00A80998" w:rsidP="009E1846">
      <w:pPr>
        <w:spacing w:after="0" w:line="360" w:lineRule="auto"/>
        <w:jc w:val="both"/>
        <w:rPr>
          <w:rFonts w:ascii="Times New Roman" w:hAnsi="Times New Roman" w:cs="Times New Roman"/>
          <w:sz w:val="24"/>
          <w:szCs w:val="24"/>
        </w:rPr>
      </w:pPr>
      <w:r w:rsidRPr="00A80998">
        <w:rPr>
          <w:rFonts w:ascii="Times New Roman" w:hAnsi="Times New Roman" w:cs="Times New Roman"/>
          <w:sz w:val="24"/>
          <w:szCs w:val="24"/>
        </w:rPr>
        <w:t>True</w:t>
      </w:r>
      <w:r>
        <w:rPr>
          <w:rFonts w:ascii="Times New Roman" w:hAnsi="Times New Roman" w:cs="Times New Roman"/>
          <w:sz w:val="24"/>
          <w:szCs w:val="24"/>
        </w:rPr>
        <w:t xml:space="preserve"> Situation</w:t>
      </w:r>
      <w:r w:rsidR="00342649">
        <w:rPr>
          <w:rFonts w:ascii="Times New Roman" w:hAnsi="Times New Roman" w:cs="Times New Roman"/>
          <w:sz w:val="24"/>
          <w:szCs w:val="24"/>
        </w:rPr>
        <w:t xml:space="preserve">                                    </w:t>
      </w:r>
      <w:r w:rsidR="00A23E0A">
        <w:rPr>
          <w:rFonts w:ascii="Times New Roman" w:hAnsi="Times New Roman" w:cs="Times New Roman"/>
          <w:sz w:val="24"/>
          <w:szCs w:val="24"/>
        </w:rPr>
        <w:t xml:space="preserve">                              </w:t>
      </w:r>
      <w:r w:rsidR="00342649">
        <w:rPr>
          <w:rFonts w:ascii="Times New Roman" w:hAnsi="Times New Roman" w:cs="Times New Roman"/>
          <w:sz w:val="24"/>
          <w:szCs w:val="24"/>
        </w:rPr>
        <w:t>Estimation Method</w:t>
      </w:r>
    </w:p>
    <w:p w:rsidR="00342649" w:rsidRPr="00A80998" w:rsidRDefault="00342649" w:rsidP="003426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1-Stage         2-Stage       3-Stage (10)  3-Stage (20)</w:t>
      </w:r>
    </w:p>
    <w:p w:rsidR="008F1779" w:rsidRPr="008F1779" w:rsidRDefault="008F1779"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F1779" w:rsidRDefault="00CD4910" w:rsidP="00342649">
      <w:pPr>
        <w:tabs>
          <w:tab w:val="left" w:pos="3969"/>
          <w:tab w:val="left" w:pos="5245"/>
          <w:tab w:val="left" w:pos="6521"/>
          <w:tab w:val="left" w:pos="779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Three-Stage</w:t>
      </w:r>
      <w:r w:rsidR="00A23E0A">
        <w:rPr>
          <w:rFonts w:ascii="Times New Roman" w:hAnsi="Times New Roman" w:cs="Times New Roman"/>
          <w:sz w:val="24"/>
          <w:szCs w:val="24"/>
        </w:rPr>
        <w:t xml:space="preserve"> (10)</w:t>
      </w:r>
      <w:r>
        <w:rPr>
          <w:rFonts w:ascii="Times New Roman" w:hAnsi="Times New Roman" w:cs="Times New Roman"/>
          <w:sz w:val="24"/>
          <w:szCs w:val="24"/>
        </w:rPr>
        <w:tab/>
        <w:t>9.27%</w:t>
      </w:r>
      <w:r>
        <w:rPr>
          <w:rFonts w:ascii="Times New Roman" w:hAnsi="Times New Roman" w:cs="Times New Roman"/>
          <w:sz w:val="24"/>
          <w:szCs w:val="24"/>
        </w:rPr>
        <w:tab/>
        <w:t>9.59%</w:t>
      </w:r>
      <w:r>
        <w:rPr>
          <w:rFonts w:ascii="Times New Roman" w:hAnsi="Times New Roman" w:cs="Times New Roman"/>
          <w:sz w:val="24"/>
          <w:szCs w:val="24"/>
        </w:rPr>
        <w:tab/>
        <w:t>10.00%</w:t>
      </w:r>
      <w:r>
        <w:rPr>
          <w:rFonts w:ascii="Times New Roman" w:hAnsi="Times New Roman" w:cs="Times New Roman"/>
          <w:sz w:val="24"/>
          <w:szCs w:val="24"/>
        </w:rPr>
        <w:tab/>
        <w:t>10.34%</w:t>
      </w:r>
    </w:p>
    <w:p w:rsidR="00CD4910" w:rsidRDefault="00A80998" w:rsidP="00342649">
      <w:pPr>
        <w:tabs>
          <w:tab w:val="left" w:pos="3969"/>
          <w:tab w:val="left" w:pos="5245"/>
          <w:tab w:val="left" w:pos="6521"/>
          <w:tab w:val="left" w:pos="779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Three-Stage</w:t>
      </w:r>
      <w:r w:rsidR="00A23E0A">
        <w:rPr>
          <w:rFonts w:ascii="Times New Roman" w:hAnsi="Times New Roman" w:cs="Times New Roman"/>
          <w:sz w:val="24"/>
          <w:szCs w:val="24"/>
        </w:rPr>
        <w:t xml:space="preserve"> (20)</w:t>
      </w:r>
      <w:r w:rsidR="00CD4910">
        <w:rPr>
          <w:rFonts w:ascii="Times New Roman" w:hAnsi="Times New Roman" w:cs="Times New Roman"/>
          <w:sz w:val="24"/>
          <w:szCs w:val="24"/>
        </w:rPr>
        <w:tab/>
        <w:t>8.98%</w:t>
      </w:r>
      <w:r w:rsidR="00CD4910">
        <w:rPr>
          <w:rFonts w:ascii="Times New Roman" w:hAnsi="Times New Roman" w:cs="Times New Roman"/>
          <w:sz w:val="24"/>
          <w:szCs w:val="24"/>
        </w:rPr>
        <w:tab/>
        <w:t>9.27%</w:t>
      </w:r>
      <w:r w:rsidR="00CD4910">
        <w:rPr>
          <w:rFonts w:ascii="Times New Roman" w:hAnsi="Times New Roman" w:cs="Times New Roman"/>
          <w:sz w:val="24"/>
          <w:szCs w:val="24"/>
        </w:rPr>
        <w:tab/>
        <w:t>9.66%</w:t>
      </w:r>
      <w:r w:rsidR="00CD4910">
        <w:rPr>
          <w:rFonts w:ascii="Times New Roman" w:hAnsi="Times New Roman" w:cs="Times New Roman"/>
          <w:sz w:val="24"/>
          <w:szCs w:val="24"/>
        </w:rPr>
        <w:tab/>
        <w:t>10.00%</w:t>
      </w:r>
    </w:p>
    <w:p w:rsidR="00CD4910" w:rsidRDefault="00A80998" w:rsidP="00342649">
      <w:pPr>
        <w:tabs>
          <w:tab w:val="left" w:pos="3969"/>
          <w:tab w:val="left" w:pos="5245"/>
          <w:tab w:val="left" w:pos="7230"/>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Average Absolute Error</w:t>
      </w:r>
      <w:r w:rsidR="00CD4910">
        <w:rPr>
          <w:rFonts w:ascii="Times New Roman" w:hAnsi="Times New Roman" w:cs="Times New Roman"/>
          <w:sz w:val="24"/>
          <w:szCs w:val="24"/>
        </w:rPr>
        <w:tab/>
        <w:t>0.88%</w:t>
      </w:r>
      <w:r w:rsidR="00CD4910">
        <w:rPr>
          <w:rFonts w:ascii="Times New Roman" w:hAnsi="Times New Roman" w:cs="Times New Roman"/>
          <w:sz w:val="24"/>
          <w:szCs w:val="24"/>
        </w:rPr>
        <w:tab/>
        <w:t>0.57%</w:t>
      </w:r>
      <w:r w:rsidR="00CD4910">
        <w:rPr>
          <w:rFonts w:ascii="Times New Roman" w:hAnsi="Times New Roman" w:cs="Times New Roman"/>
          <w:sz w:val="24"/>
          <w:szCs w:val="24"/>
        </w:rPr>
        <w:tab/>
        <w:t>0.17%</w:t>
      </w:r>
    </w:p>
    <w:p w:rsidR="0065037C" w:rsidRPr="008F1779" w:rsidRDefault="0065037C"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F1779" w:rsidRDefault="008F1779" w:rsidP="009E1846">
      <w:pPr>
        <w:spacing w:after="0" w:line="360" w:lineRule="auto"/>
        <w:jc w:val="both"/>
        <w:rPr>
          <w:rFonts w:ascii="Times New Roman" w:hAnsi="Times New Roman" w:cs="Times New Roman"/>
          <w:sz w:val="24"/>
          <w:szCs w:val="24"/>
        </w:rPr>
      </w:pPr>
    </w:p>
    <w:p w:rsidR="00057734" w:rsidRDefault="0065037C"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Unsurprisingly, the table shows that the average absolute error from using the one-stage model is the </w:t>
      </w:r>
      <w:r w:rsidR="004717FC">
        <w:rPr>
          <w:rFonts w:ascii="Times New Roman" w:hAnsi="Times New Roman" w:cs="Times New Roman"/>
          <w:sz w:val="24"/>
          <w:szCs w:val="24"/>
        </w:rPr>
        <w:t xml:space="preserve">highest, </w:t>
      </w:r>
      <w:r>
        <w:rPr>
          <w:rFonts w:ascii="Times New Roman" w:hAnsi="Times New Roman" w:cs="Times New Roman"/>
          <w:sz w:val="24"/>
          <w:szCs w:val="24"/>
        </w:rPr>
        <w:t xml:space="preserve">followed by the two stage model, and then the three-stage model (with the latter model errors arising from </w:t>
      </w:r>
      <w:r w:rsidR="004717FC">
        <w:rPr>
          <w:rFonts w:ascii="Times New Roman" w:hAnsi="Times New Roman" w:cs="Times New Roman"/>
          <w:sz w:val="24"/>
          <w:szCs w:val="24"/>
        </w:rPr>
        <w:t xml:space="preserve">sometimes </w:t>
      </w:r>
      <w:r>
        <w:rPr>
          <w:rFonts w:ascii="Times New Roman" w:hAnsi="Times New Roman" w:cs="Times New Roman"/>
          <w:sz w:val="24"/>
          <w:szCs w:val="24"/>
        </w:rPr>
        <w:t xml:space="preserve">using the wrong convergence period in the model).  More interestingly, the table shows that the error reduction </w:t>
      </w:r>
      <w:r w:rsidR="003A7D8D">
        <w:rPr>
          <w:rFonts w:ascii="Times New Roman" w:hAnsi="Times New Roman" w:cs="Times New Roman"/>
          <w:sz w:val="24"/>
          <w:szCs w:val="24"/>
        </w:rPr>
        <w:t xml:space="preserve">in </w:t>
      </w:r>
      <w:r>
        <w:rPr>
          <w:rFonts w:ascii="Times New Roman" w:hAnsi="Times New Roman" w:cs="Times New Roman"/>
          <w:sz w:val="24"/>
          <w:szCs w:val="24"/>
        </w:rPr>
        <w:t xml:space="preserve">moving from a one-stage model to a two-stage model is less than in moving from a two-stage model to a three-stage model.  Thus, whilst it is desirable to move from a one-stage model to a two-stage model, </w:t>
      </w:r>
      <w:r w:rsidR="004717FC">
        <w:rPr>
          <w:rFonts w:ascii="Times New Roman" w:hAnsi="Times New Roman" w:cs="Times New Roman"/>
          <w:sz w:val="24"/>
          <w:szCs w:val="24"/>
        </w:rPr>
        <w:t xml:space="preserve">and it also desirable to move to a three-stage model, </w:t>
      </w:r>
      <w:r>
        <w:rPr>
          <w:rFonts w:ascii="Times New Roman" w:hAnsi="Times New Roman" w:cs="Times New Roman"/>
          <w:sz w:val="24"/>
          <w:szCs w:val="24"/>
        </w:rPr>
        <w:t xml:space="preserve">the incremental benefit </w:t>
      </w:r>
      <w:r w:rsidR="004717FC">
        <w:rPr>
          <w:rFonts w:ascii="Times New Roman" w:hAnsi="Times New Roman" w:cs="Times New Roman"/>
          <w:sz w:val="24"/>
          <w:szCs w:val="24"/>
        </w:rPr>
        <w:t xml:space="preserve">in </w:t>
      </w:r>
      <w:r>
        <w:rPr>
          <w:rFonts w:ascii="Times New Roman" w:hAnsi="Times New Roman" w:cs="Times New Roman"/>
          <w:sz w:val="24"/>
          <w:szCs w:val="24"/>
        </w:rPr>
        <w:t xml:space="preserve">moving </w:t>
      </w:r>
      <w:r w:rsidR="004717FC">
        <w:rPr>
          <w:rFonts w:ascii="Times New Roman" w:hAnsi="Times New Roman" w:cs="Times New Roman"/>
          <w:sz w:val="24"/>
          <w:szCs w:val="24"/>
        </w:rPr>
        <w:t xml:space="preserve">from a two </w:t>
      </w:r>
      <w:r>
        <w:rPr>
          <w:rFonts w:ascii="Times New Roman" w:hAnsi="Times New Roman" w:cs="Times New Roman"/>
          <w:sz w:val="24"/>
          <w:szCs w:val="24"/>
        </w:rPr>
        <w:t>to a th</w:t>
      </w:r>
      <w:r w:rsidR="004717FC">
        <w:rPr>
          <w:rFonts w:ascii="Times New Roman" w:hAnsi="Times New Roman" w:cs="Times New Roman"/>
          <w:sz w:val="24"/>
          <w:szCs w:val="24"/>
        </w:rPr>
        <w:t>ree-stage model is even greater than in moving from a one to a two-stage model.  Furthermore this conclusion would be even stronger if the initial and long-run expected growth rates diverged by even more than they do in this example.</w:t>
      </w:r>
    </w:p>
    <w:p w:rsidR="00057734" w:rsidRDefault="00057734" w:rsidP="009E1846">
      <w:pPr>
        <w:spacing w:after="0" w:line="360" w:lineRule="auto"/>
        <w:jc w:val="both"/>
        <w:rPr>
          <w:rFonts w:ascii="Times New Roman" w:hAnsi="Times New Roman" w:cs="Times New Roman"/>
          <w:sz w:val="24"/>
          <w:szCs w:val="24"/>
        </w:rPr>
      </w:pPr>
    </w:p>
    <w:p w:rsidR="002858EB" w:rsidRDefault="00057734"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SFG (2013, section 3) also favours a three-stage model but they adopt an eight year transition period.  However the ‘correct’ transition period is neither known nor knowable, and is therefore a source of potential error in adopting the three-stage model.  The analysis above takes account of this point by considering </w:t>
      </w:r>
      <w:r w:rsidR="00AE206B">
        <w:rPr>
          <w:rFonts w:ascii="Times New Roman" w:hAnsi="Times New Roman" w:cs="Times New Roman"/>
          <w:sz w:val="24"/>
          <w:szCs w:val="24"/>
        </w:rPr>
        <w:t>a range of possible values for the transition period</w:t>
      </w:r>
      <w:r w:rsidR="00716602">
        <w:rPr>
          <w:rFonts w:ascii="Times New Roman" w:hAnsi="Times New Roman" w:cs="Times New Roman"/>
          <w:sz w:val="24"/>
          <w:szCs w:val="24"/>
        </w:rPr>
        <w:t xml:space="preserve">.  </w:t>
      </w:r>
    </w:p>
    <w:p w:rsidR="002858EB" w:rsidRDefault="002858EB" w:rsidP="009E1846">
      <w:pPr>
        <w:spacing w:after="0" w:line="360" w:lineRule="auto"/>
        <w:jc w:val="both"/>
        <w:rPr>
          <w:rFonts w:ascii="Times New Roman" w:hAnsi="Times New Roman" w:cs="Times New Roman"/>
          <w:sz w:val="24"/>
          <w:szCs w:val="24"/>
        </w:rPr>
      </w:pPr>
    </w:p>
    <w:p w:rsidR="00370777" w:rsidRDefault="00716602"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SFG (2013, section 5) also argue</w:t>
      </w:r>
      <w:r w:rsidR="009F4D11">
        <w:rPr>
          <w:rFonts w:ascii="Times New Roman" w:hAnsi="Times New Roman" w:cs="Times New Roman"/>
          <w:sz w:val="24"/>
          <w:szCs w:val="24"/>
        </w:rPr>
        <w:t xml:space="preserve">s that the long-term expected growth rate in dividends is the product of the earnings retention rate and the expected rate of return on new investment, and therefore that the transition path to these long-run values should be such that the retention rate and the </w:t>
      </w:r>
      <w:r w:rsidR="002858EB">
        <w:rPr>
          <w:rFonts w:ascii="Times New Roman" w:hAnsi="Times New Roman" w:cs="Times New Roman"/>
          <w:sz w:val="24"/>
          <w:szCs w:val="24"/>
        </w:rPr>
        <w:t xml:space="preserve">expected rate of return on new investment move towards their long-run values in a smooth fashion.  SFG also claims that this involves little variation from the AER’s existing </w:t>
      </w:r>
      <w:r w:rsidR="002858EB">
        <w:rPr>
          <w:rFonts w:ascii="Times New Roman" w:hAnsi="Times New Roman" w:cs="Times New Roman"/>
          <w:sz w:val="24"/>
          <w:szCs w:val="24"/>
        </w:rPr>
        <w:lastRenderedPageBreak/>
        <w:t xml:space="preserve">assumptions, which include a long-term earnings retention rate of 30%.  </w:t>
      </w:r>
      <w:r w:rsidR="00A27575">
        <w:rPr>
          <w:rFonts w:ascii="Times New Roman" w:hAnsi="Times New Roman" w:cs="Times New Roman"/>
          <w:sz w:val="24"/>
          <w:szCs w:val="24"/>
        </w:rPr>
        <w:t xml:space="preserve">I have a number of reservations about this approach.  Firstly, the </w:t>
      </w:r>
      <w:r w:rsidR="002858EB">
        <w:rPr>
          <w:rFonts w:ascii="Times New Roman" w:hAnsi="Times New Roman" w:cs="Times New Roman"/>
          <w:sz w:val="24"/>
          <w:szCs w:val="24"/>
        </w:rPr>
        <w:t xml:space="preserve">formula that SFG invoke that links the expected growth rate, the earnings retention rate and the expected rate of return on new investment is that of Gordon and Shapiro (1956).  </w:t>
      </w:r>
      <w:r w:rsidR="00FD673C">
        <w:rPr>
          <w:rFonts w:ascii="Times New Roman" w:hAnsi="Times New Roman" w:cs="Times New Roman"/>
          <w:sz w:val="24"/>
          <w:szCs w:val="24"/>
        </w:rPr>
        <w:t xml:space="preserve">However, as </w:t>
      </w:r>
      <w:r w:rsidR="002858EB">
        <w:rPr>
          <w:rFonts w:ascii="Times New Roman" w:hAnsi="Times New Roman" w:cs="Times New Roman"/>
          <w:sz w:val="24"/>
          <w:szCs w:val="24"/>
        </w:rPr>
        <w:t xml:space="preserve">shown by Lally (1988), this holds only if inflation is zero and a variant is required in the presence of inflation.  Thus all of SFG’s calculations are nullified.  </w:t>
      </w:r>
      <w:r w:rsidR="00A27575">
        <w:rPr>
          <w:rFonts w:ascii="Times New Roman" w:hAnsi="Times New Roman" w:cs="Times New Roman"/>
          <w:sz w:val="24"/>
          <w:szCs w:val="24"/>
        </w:rPr>
        <w:t xml:space="preserve">Secondly, </w:t>
      </w:r>
      <w:r w:rsidR="002858EB">
        <w:rPr>
          <w:rFonts w:ascii="Times New Roman" w:hAnsi="Times New Roman" w:cs="Times New Roman"/>
          <w:sz w:val="24"/>
          <w:szCs w:val="24"/>
        </w:rPr>
        <w:t xml:space="preserve">SFG’s belief that the AER has adopted an earnings retention rate of 30%, and therefore an earnings payout rate of 70%, is incorrect.  The figure of 70% that they refer to (AER, 2013, page 119) is the proportion of </w:t>
      </w:r>
      <w:r w:rsidR="005771D7">
        <w:rPr>
          <w:rFonts w:ascii="Times New Roman" w:hAnsi="Times New Roman" w:cs="Times New Roman"/>
          <w:sz w:val="24"/>
          <w:szCs w:val="24"/>
        </w:rPr>
        <w:t xml:space="preserve">company </w:t>
      </w:r>
      <w:r w:rsidR="002858EB">
        <w:rPr>
          <w:rFonts w:ascii="Times New Roman" w:hAnsi="Times New Roman" w:cs="Times New Roman"/>
          <w:sz w:val="24"/>
          <w:szCs w:val="24"/>
        </w:rPr>
        <w:t xml:space="preserve">taxes that are distributed as imputation credits rather than </w:t>
      </w:r>
      <w:r w:rsidR="00A27575">
        <w:rPr>
          <w:rFonts w:ascii="Times New Roman" w:hAnsi="Times New Roman" w:cs="Times New Roman"/>
          <w:sz w:val="24"/>
          <w:szCs w:val="24"/>
        </w:rPr>
        <w:t>the earnings payout rate.  Third</w:t>
      </w:r>
      <w:r w:rsidR="00077510">
        <w:rPr>
          <w:rFonts w:ascii="Times New Roman" w:hAnsi="Times New Roman" w:cs="Times New Roman"/>
          <w:sz w:val="24"/>
          <w:szCs w:val="24"/>
        </w:rPr>
        <w:t>ly, and more fundamentally, both the Gordon-Shapiro and Lally formulas assume that all new investment yields payoffs in perpetuity</w:t>
      </w:r>
      <w:r w:rsidR="0065037C">
        <w:rPr>
          <w:rFonts w:ascii="Times New Roman" w:hAnsi="Times New Roman" w:cs="Times New Roman"/>
          <w:sz w:val="24"/>
          <w:szCs w:val="24"/>
        </w:rPr>
        <w:t xml:space="preserve"> </w:t>
      </w:r>
      <w:r w:rsidR="00077510">
        <w:rPr>
          <w:rFonts w:ascii="Times New Roman" w:hAnsi="Times New Roman" w:cs="Times New Roman"/>
          <w:sz w:val="24"/>
          <w:szCs w:val="24"/>
        </w:rPr>
        <w:t>and this is generally not realistic.  Thus, the results from this approach may not provide a superior transition path to the long-run exp</w:t>
      </w:r>
      <w:r w:rsidR="009D08F4">
        <w:rPr>
          <w:rFonts w:ascii="Times New Roman" w:hAnsi="Times New Roman" w:cs="Times New Roman"/>
          <w:sz w:val="24"/>
          <w:szCs w:val="24"/>
        </w:rPr>
        <w:t xml:space="preserve">ected growth rate.  Lastly, </w:t>
      </w:r>
      <w:r w:rsidR="00FD673C">
        <w:rPr>
          <w:rFonts w:ascii="Times New Roman" w:hAnsi="Times New Roman" w:cs="Times New Roman"/>
          <w:sz w:val="24"/>
          <w:szCs w:val="24"/>
        </w:rPr>
        <w:t xml:space="preserve">and also more fundamentally, </w:t>
      </w:r>
      <w:r w:rsidR="009D08F4">
        <w:rPr>
          <w:rFonts w:ascii="Times New Roman" w:hAnsi="Times New Roman" w:cs="Times New Roman"/>
          <w:sz w:val="24"/>
          <w:szCs w:val="24"/>
        </w:rPr>
        <w:t xml:space="preserve">the approach is considerably more complex </w:t>
      </w:r>
      <w:r w:rsidR="00FD673C">
        <w:rPr>
          <w:rFonts w:ascii="Times New Roman" w:hAnsi="Times New Roman" w:cs="Times New Roman"/>
          <w:sz w:val="24"/>
          <w:szCs w:val="24"/>
        </w:rPr>
        <w:t xml:space="preserve">than linear convergence </w:t>
      </w:r>
      <w:r w:rsidR="009D08F4">
        <w:rPr>
          <w:rFonts w:ascii="Times New Roman" w:hAnsi="Times New Roman" w:cs="Times New Roman"/>
          <w:sz w:val="24"/>
          <w:szCs w:val="24"/>
        </w:rPr>
        <w:t xml:space="preserve">and yet the only example given by SFG reveals that the </w:t>
      </w:r>
      <w:r w:rsidR="00FD673C">
        <w:rPr>
          <w:rFonts w:ascii="Times New Roman" w:hAnsi="Times New Roman" w:cs="Times New Roman"/>
          <w:sz w:val="24"/>
          <w:szCs w:val="24"/>
        </w:rPr>
        <w:t xml:space="preserve">resulting </w:t>
      </w:r>
      <w:r w:rsidR="009D08F4">
        <w:rPr>
          <w:rFonts w:ascii="Times New Roman" w:hAnsi="Times New Roman" w:cs="Times New Roman"/>
          <w:sz w:val="24"/>
          <w:szCs w:val="24"/>
        </w:rPr>
        <w:t>estimated marke</w:t>
      </w:r>
      <w:r w:rsidR="00FD673C">
        <w:rPr>
          <w:rFonts w:ascii="Times New Roman" w:hAnsi="Times New Roman" w:cs="Times New Roman"/>
          <w:sz w:val="24"/>
          <w:szCs w:val="24"/>
        </w:rPr>
        <w:t xml:space="preserve">t </w:t>
      </w:r>
      <w:r w:rsidR="00093831">
        <w:rPr>
          <w:rFonts w:ascii="Times New Roman" w:hAnsi="Times New Roman" w:cs="Times New Roman"/>
          <w:sz w:val="24"/>
          <w:szCs w:val="24"/>
        </w:rPr>
        <w:t xml:space="preserve">cost of equity </w:t>
      </w:r>
      <w:r w:rsidR="009D08F4">
        <w:rPr>
          <w:rFonts w:ascii="Times New Roman" w:hAnsi="Times New Roman" w:cs="Times New Roman"/>
          <w:sz w:val="24"/>
          <w:szCs w:val="24"/>
        </w:rPr>
        <w:t xml:space="preserve">is not </w:t>
      </w:r>
      <w:r w:rsidR="00077510">
        <w:rPr>
          <w:rFonts w:ascii="Times New Roman" w:hAnsi="Times New Roman" w:cs="Times New Roman"/>
          <w:sz w:val="24"/>
          <w:szCs w:val="24"/>
        </w:rPr>
        <w:t>materially dif</w:t>
      </w:r>
      <w:r w:rsidR="009D08F4">
        <w:rPr>
          <w:rFonts w:ascii="Times New Roman" w:hAnsi="Times New Roman" w:cs="Times New Roman"/>
          <w:sz w:val="24"/>
          <w:szCs w:val="24"/>
        </w:rPr>
        <w:t xml:space="preserve">ferent (12.02% </w:t>
      </w:r>
      <w:r w:rsidR="00FD673C">
        <w:rPr>
          <w:rFonts w:ascii="Times New Roman" w:hAnsi="Times New Roman" w:cs="Times New Roman"/>
          <w:sz w:val="24"/>
          <w:szCs w:val="24"/>
        </w:rPr>
        <w:t xml:space="preserve">in Table 3 </w:t>
      </w:r>
      <w:r w:rsidR="009D08F4">
        <w:rPr>
          <w:rFonts w:ascii="Times New Roman" w:hAnsi="Times New Roman" w:cs="Times New Roman"/>
          <w:sz w:val="24"/>
          <w:szCs w:val="24"/>
        </w:rPr>
        <w:t>v 11.87%</w:t>
      </w:r>
      <w:r w:rsidR="00FD673C">
        <w:rPr>
          <w:rFonts w:ascii="Times New Roman" w:hAnsi="Times New Roman" w:cs="Times New Roman"/>
          <w:sz w:val="24"/>
          <w:szCs w:val="24"/>
        </w:rPr>
        <w:t xml:space="preserve"> in Table 2</w:t>
      </w:r>
      <w:r w:rsidR="009D08F4">
        <w:rPr>
          <w:rFonts w:ascii="Times New Roman" w:hAnsi="Times New Roman" w:cs="Times New Roman"/>
          <w:sz w:val="24"/>
          <w:szCs w:val="24"/>
        </w:rPr>
        <w:t>).  In view of the latter two points, I do not favour this approach.</w:t>
      </w:r>
      <w:r w:rsidR="00A90D0E">
        <w:rPr>
          <w:rStyle w:val="FootnoteReference"/>
          <w:rFonts w:ascii="Times New Roman" w:hAnsi="Times New Roman" w:cs="Times New Roman"/>
          <w:sz w:val="24"/>
          <w:szCs w:val="24"/>
        </w:rPr>
        <w:footnoteReference w:id="3"/>
      </w:r>
      <w:r w:rsidR="00370777">
        <w:rPr>
          <w:rFonts w:ascii="Times New Roman" w:hAnsi="Times New Roman" w:cs="Times New Roman"/>
          <w:sz w:val="24"/>
          <w:szCs w:val="24"/>
        </w:rPr>
        <w:t xml:space="preserve">  </w:t>
      </w:r>
    </w:p>
    <w:p w:rsidR="00370777" w:rsidRDefault="00370777" w:rsidP="009E1846">
      <w:pPr>
        <w:spacing w:after="0" w:line="360" w:lineRule="auto"/>
        <w:jc w:val="both"/>
        <w:rPr>
          <w:rFonts w:ascii="Times New Roman" w:hAnsi="Times New Roman" w:cs="Times New Roman"/>
          <w:sz w:val="24"/>
          <w:szCs w:val="24"/>
        </w:rPr>
      </w:pPr>
    </w:p>
    <w:p w:rsidR="0065037C" w:rsidRDefault="00370777"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Notwithstanding this conclusion, I do </w:t>
      </w:r>
      <w:r w:rsidR="00627C7B" w:rsidRPr="00505C03">
        <w:rPr>
          <w:rFonts w:ascii="Times New Roman" w:hAnsi="Times New Roman" w:cs="Times New Roman"/>
          <w:sz w:val="24"/>
          <w:szCs w:val="24"/>
        </w:rPr>
        <w:t>sympathise</w:t>
      </w:r>
      <w:r>
        <w:rPr>
          <w:rFonts w:ascii="Times New Roman" w:hAnsi="Times New Roman" w:cs="Times New Roman"/>
          <w:sz w:val="24"/>
          <w:szCs w:val="24"/>
        </w:rPr>
        <w:t xml:space="preserve"> with SFG on one point here: their observation that the market </w:t>
      </w:r>
      <w:r w:rsidR="00093831">
        <w:rPr>
          <w:rFonts w:ascii="Times New Roman" w:hAnsi="Times New Roman" w:cs="Times New Roman"/>
          <w:sz w:val="24"/>
          <w:szCs w:val="24"/>
        </w:rPr>
        <w:t xml:space="preserve">cost of equity </w:t>
      </w:r>
      <w:r>
        <w:rPr>
          <w:rFonts w:ascii="Times New Roman" w:hAnsi="Times New Roman" w:cs="Times New Roman"/>
          <w:sz w:val="24"/>
          <w:szCs w:val="24"/>
        </w:rPr>
        <w:t>should be linked to the expected growth rate</w:t>
      </w:r>
      <w:r w:rsidR="00DA394A">
        <w:rPr>
          <w:rFonts w:ascii="Times New Roman" w:hAnsi="Times New Roman" w:cs="Times New Roman"/>
          <w:sz w:val="24"/>
          <w:szCs w:val="24"/>
        </w:rPr>
        <w:t xml:space="preserve">.  </w:t>
      </w:r>
      <w:r w:rsidR="00DA394A" w:rsidRPr="00505C03">
        <w:rPr>
          <w:rFonts w:ascii="Times New Roman" w:hAnsi="Times New Roman" w:cs="Times New Roman"/>
          <w:sz w:val="24"/>
          <w:szCs w:val="24"/>
        </w:rPr>
        <w:t xml:space="preserve">By contrast, </w:t>
      </w:r>
      <w:r w:rsidRPr="00505C03">
        <w:rPr>
          <w:rFonts w:ascii="Times New Roman" w:hAnsi="Times New Roman" w:cs="Times New Roman"/>
          <w:sz w:val="24"/>
          <w:szCs w:val="24"/>
        </w:rPr>
        <w:t xml:space="preserve">no such linkage exists in </w:t>
      </w:r>
      <w:r w:rsidR="00627C7B" w:rsidRPr="00505C03">
        <w:rPr>
          <w:rFonts w:ascii="Times New Roman" w:hAnsi="Times New Roman" w:cs="Times New Roman"/>
          <w:sz w:val="24"/>
          <w:szCs w:val="24"/>
        </w:rPr>
        <w:t>conventional applications of the DGM</w:t>
      </w:r>
      <w:r w:rsidR="00DA394A" w:rsidRPr="00505C03">
        <w:rPr>
          <w:rFonts w:ascii="Times New Roman" w:hAnsi="Times New Roman" w:cs="Times New Roman"/>
          <w:sz w:val="24"/>
          <w:szCs w:val="24"/>
        </w:rPr>
        <w:t>,</w:t>
      </w:r>
      <w:r w:rsidR="00627C7B" w:rsidRPr="00505C03">
        <w:rPr>
          <w:rFonts w:ascii="Times New Roman" w:hAnsi="Times New Roman" w:cs="Times New Roman"/>
          <w:sz w:val="24"/>
          <w:szCs w:val="24"/>
        </w:rPr>
        <w:t xml:space="preserve"> in which there is a single market cost of equity</w:t>
      </w:r>
      <w:r w:rsidR="00DA394A" w:rsidRPr="00505C03">
        <w:rPr>
          <w:rFonts w:ascii="Times New Roman" w:hAnsi="Times New Roman" w:cs="Times New Roman"/>
          <w:sz w:val="24"/>
          <w:szCs w:val="24"/>
        </w:rPr>
        <w:t xml:space="preserve"> at any point in time, i.e., the term structure in the market cost of equity is flat</w:t>
      </w:r>
      <w:r>
        <w:rPr>
          <w:rFonts w:ascii="Times New Roman" w:hAnsi="Times New Roman" w:cs="Times New Roman"/>
          <w:sz w:val="24"/>
          <w:szCs w:val="24"/>
        </w:rPr>
        <w:t>.  For example, suppose the short-term expected growth rates in DPS</w:t>
      </w:r>
      <w:r w:rsidR="00627C7B">
        <w:rPr>
          <w:rFonts w:ascii="Times New Roman" w:hAnsi="Times New Roman" w:cs="Times New Roman"/>
          <w:sz w:val="24"/>
          <w:szCs w:val="24"/>
        </w:rPr>
        <w:t xml:space="preserve"> </w:t>
      </w:r>
      <w:r w:rsidR="00627C7B" w:rsidRPr="00505C03">
        <w:rPr>
          <w:rFonts w:ascii="Times New Roman" w:hAnsi="Times New Roman" w:cs="Times New Roman"/>
          <w:sz w:val="24"/>
          <w:szCs w:val="24"/>
        </w:rPr>
        <w:t>rise whilst the long-term rate remains unchanged</w:t>
      </w:r>
      <w:r w:rsidR="000546D8">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00627C7B" w:rsidRPr="00505C03">
        <w:rPr>
          <w:rFonts w:ascii="Times New Roman" w:hAnsi="Times New Roman" w:cs="Times New Roman"/>
          <w:sz w:val="24"/>
          <w:szCs w:val="24"/>
        </w:rPr>
        <w:t xml:space="preserve">conventional applications of the DGM, the </w:t>
      </w:r>
      <w:r w:rsidR="00DA394A" w:rsidRPr="00505C03">
        <w:rPr>
          <w:rFonts w:ascii="Times New Roman" w:hAnsi="Times New Roman" w:cs="Times New Roman"/>
          <w:sz w:val="24"/>
          <w:szCs w:val="24"/>
        </w:rPr>
        <w:t xml:space="preserve">estimated </w:t>
      </w:r>
      <w:r w:rsidR="00627C7B" w:rsidRPr="00505C03">
        <w:rPr>
          <w:rFonts w:ascii="Times New Roman" w:hAnsi="Times New Roman" w:cs="Times New Roman"/>
          <w:sz w:val="24"/>
          <w:szCs w:val="24"/>
        </w:rPr>
        <w:t xml:space="preserve">market cost of equity </w:t>
      </w:r>
      <w:r w:rsidR="00DA394A" w:rsidRPr="00505C03">
        <w:rPr>
          <w:rFonts w:ascii="Times New Roman" w:hAnsi="Times New Roman" w:cs="Times New Roman"/>
          <w:sz w:val="24"/>
          <w:szCs w:val="24"/>
        </w:rPr>
        <w:t xml:space="preserve">(both long-term and short-term) </w:t>
      </w:r>
      <w:r w:rsidR="00627C7B" w:rsidRPr="00505C03">
        <w:rPr>
          <w:rFonts w:ascii="Times New Roman" w:hAnsi="Times New Roman" w:cs="Times New Roman"/>
          <w:sz w:val="24"/>
          <w:szCs w:val="24"/>
        </w:rPr>
        <w:t>must rise</w:t>
      </w:r>
      <w:r w:rsidR="00DA394A" w:rsidRPr="00505C03">
        <w:rPr>
          <w:rFonts w:ascii="Times New Roman" w:hAnsi="Times New Roman" w:cs="Times New Roman"/>
          <w:sz w:val="24"/>
          <w:szCs w:val="24"/>
        </w:rPr>
        <w:t xml:space="preserve">.  Thus, </w:t>
      </w:r>
      <w:r w:rsidR="00C37D69" w:rsidRPr="00505C03">
        <w:rPr>
          <w:rFonts w:ascii="Times New Roman" w:hAnsi="Times New Roman" w:cs="Times New Roman"/>
          <w:sz w:val="24"/>
          <w:szCs w:val="24"/>
        </w:rPr>
        <w:t xml:space="preserve">in response to a </w:t>
      </w:r>
      <w:r w:rsidR="00F6037B" w:rsidRPr="00505C03">
        <w:rPr>
          <w:rFonts w:ascii="Times New Roman" w:hAnsi="Times New Roman" w:cs="Times New Roman"/>
          <w:sz w:val="24"/>
          <w:szCs w:val="24"/>
        </w:rPr>
        <w:t xml:space="preserve">purely </w:t>
      </w:r>
      <w:r w:rsidR="00C37D69" w:rsidRPr="00505C03">
        <w:rPr>
          <w:rFonts w:ascii="Times New Roman" w:hAnsi="Times New Roman" w:cs="Times New Roman"/>
          <w:sz w:val="24"/>
          <w:szCs w:val="24"/>
        </w:rPr>
        <w:t xml:space="preserve">short-term increase in the expected growth rate in DPS, </w:t>
      </w:r>
      <w:r w:rsidR="00DA394A" w:rsidRPr="00505C03">
        <w:rPr>
          <w:rFonts w:ascii="Times New Roman" w:hAnsi="Times New Roman" w:cs="Times New Roman"/>
          <w:sz w:val="24"/>
          <w:szCs w:val="24"/>
        </w:rPr>
        <w:t xml:space="preserve">the estimated long-term market cost of equity rises whilst the long-term expected growth rate in DPS is unchanged.  Thus, whatever the linkage is between these </w:t>
      </w:r>
      <w:r w:rsidR="00F6037B" w:rsidRPr="00505C03">
        <w:rPr>
          <w:rFonts w:ascii="Times New Roman" w:hAnsi="Times New Roman" w:cs="Times New Roman"/>
          <w:sz w:val="24"/>
          <w:szCs w:val="24"/>
        </w:rPr>
        <w:t xml:space="preserve">latter </w:t>
      </w:r>
      <w:r w:rsidR="00DA394A" w:rsidRPr="00505C03">
        <w:rPr>
          <w:rFonts w:ascii="Times New Roman" w:hAnsi="Times New Roman" w:cs="Times New Roman"/>
          <w:sz w:val="24"/>
          <w:szCs w:val="24"/>
        </w:rPr>
        <w:t xml:space="preserve">two parameters, it would have been violated here.  </w:t>
      </w:r>
      <w:r w:rsidRPr="00505C03">
        <w:rPr>
          <w:rFonts w:ascii="Times New Roman" w:hAnsi="Times New Roman" w:cs="Times New Roman"/>
          <w:sz w:val="24"/>
          <w:szCs w:val="24"/>
        </w:rPr>
        <w:t xml:space="preserve">The fundamental problem here is that </w:t>
      </w:r>
      <w:r w:rsidR="00DA394A" w:rsidRPr="00505C03">
        <w:rPr>
          <w:rFonts w:ascii="Times New Roman" w:hAnsi="Times New Roman" w:cs="Times New Roman"/>
          <w:sz w:val="24"/>
          <w:szCs w:val="24"/>
        </w:rPr>
        <w:t>conventional applications of the DGM assume</w:t>
      </w:r>
      <w:r>
        <w:rPr>
          <w:rFonts w:ascii="Times New Roman" w:hAnsi="Times New Roman" w:cs="Times New Roman"/>
          <w:sz w:val="24"/>
          <w:szCs w:val="24"/>
        </w:rPr>
        <w:t xml:space="preserve"> that there is a single market </w:t>
      </w:r>
      <w:r w:rsidR="00093831">
        <w:rPr>
          <w:rFonts w:ascii="Times New Roman" w:hAnsi="Times New Roman" w:cs="Times New Roman"/>
          <w:sz w:val="24"/>
          <w:szCs w:val="24"/>
        </w:rPr>
        <w:t xml:space="preserve">cost of equity at </w:t>
      </w:r>
      <w:r w:rsidR="00DA394A">
        <w:rPr>
          <w:rFonts w:ascii="Times New Roman" w:hAnsi="Times New Roman" w:cs="Times New Roman"/>
          <w:sz w:val="24"/>
          <w:szCs w:val="24"/>
        </w:rPr>
        <w:t>any point in time</w:t>
      </w:r>
      <w:r>
        <w:rPr>
          <w:rFonts w:ascii="Times New Roman" w:hAnsi="Times New Roman" w:cs="Times New Roman"/>
          <w:sz w:val="24"/>
          <w:szCs w:val="24"/>
        </w:rPr>
        <w:t xml:space="preserve">.  If this assumption </w:t>
      </w:r>
      <w:r>
        <w:rPr>
          <w:rFonts w:ascii="Times New Roman" w:hAnsi="Times New Roman" w:cs="Times New Roman"/>
          <w:sz w:val="24"/>
          <w:szCs w:val="24"/>
        </w:rPr>
        <w:lastRenderedPageBreak/>
        <w:t xml:space="preserve">were relaxed, </w:t>
      </w:r>
      <w:r w:rsidR="00F6037B" w:rsidRPr="00364EC5">
        <w:rPr>
          <w:rFonts w:ascii="Times New Roman" w:hAnsi="Times New Roman" w:cs="Times New Roman"/>
          <w:sz w:val="24"/>
          <w:szCs w:val="24"/>
        </w:rPr>
        <w:t>thereby allowing the long-term expected growth rate in DPS to remain fixed,</w:t>
      </w:r>
      <w:r w:rsidR="00F6037B">
        <w:rPr>
          <w:rFonts w:ascii="Times New Roman" w:hAnsi="Times New Roman" w:cs="Times New Roman"/>
          <w:sz w:val="24"/>
          <w:szCs w:val="24"/>
          <w:u w:val="single"/>
        </w:rPr>
        <w:t xml:space="preserve"> </w:t>
      </w:r>
      <w:r>
        <w:rPr>
          <w:rFonts w:ascii="Times New Roman" w:hAnsi="Times New Roman" w:cs="Times New Roman"/>
          <w:sz w:val="24"/>
          <w:szCs w:val="24"/>
        </w:rPr>
        <w:t xml:space="preserve">SFG’s point </w:t>
      </w:r>
      <w:r w:rsidR="00DA394A" w:rsidRPr="00364EC5">
        <w:rPr>
          <w:rFonts w:ascii="Times New Roman" w:hAnsi="Times New Roman" w:cs="Times New Roman"/>
          <w:sz w:val="24"/>
          <w:szCs w:val="24"/>
        </w:rPr>
        <w:t>could</w:t>
      </w:r>
      <w:r>
        <w:rPr>
          <w:rFonts w:ascii="Times New Roman" w:hAnsi="Times New Roman" w:cs="Times New Roman"/>
          <w:sz w:val="24"/>
          <w:szCs w:val="24"/>
        </w:rPr>
        <w:t xml:space="preserve"> be addressed and this issue is dealt with in the next section.</w:t>
      </w:r>
    </w:p>
    <w:p w:rsidR="00E5275D" w:rsidRDefault="00E5275D" w:rsidP="009E1846">
      <w:pPr>
        <w:spacing w:after="0" w:line="360" w:lineRule="auto"/>
        <w:jc w:val="both"/>
        <w:rPr>
          <w:rFonts w:ascii="Times New Roman" w:hAnsi="Times New Roman" w:cs="Times New Roman"/>
          <w:sz w:val="24"/>
          <w:szCs w:val="24"/>
        </w:rPr>
      </w:pPr>
    </w:p>
    <w:p w:rsidR="00E5275D" w:rsidRPr="008F1779" w:rsidRDefault="00E5275D"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given </w:t>
      </w:r>
      <w:r w:rsidR="000546D8">
        <w:rPr>
          <w:rFonts w:ascii="Times New Roman" w:hAnsi="Times New Roman" w:cs="Times New Roman"/>
          <w:sz w:val="24"/>
          <w:szCs w:val="24"/>
        </w:rPr>
        <w:t xml:space="preserve">that </w:t>
      </w:r>
      <w:r>
        <w:rPr>
          <w:rFonts w:ascii="Times New Roman" w:hAnsi="Times New Roman" w:cs="Times New Roman"/>
          <w:sz w:val="24"/>
          <w:szCs w:val="24"/>
        </w:rPr>
        <w:t xml:space="preserve">the AER prefers a two-stage model over a one-stage model and that the incremental benefits from moving to a three-stage model are even greater than in moving to a two-stage model, </w:t>
      </w:r>
      <w:r w:rsidR="00F83293">
        <w:rPr>
          <w:rFonts w:ascii="Times New Roman" w:hAnsi="Times New Roman" w:cs="Times New Roman"/>
          <w:sz w:val="24"/>
          <w:szCs w:val="24"/>
        </w:rPr>
        <w:t xml:space="preserve">I recommend that the </w:t>
      </w:r>
      <w:r>
        <w:rPr>
          <w:rFonts w:ascii="Times New Roman" w:hAnsi="Times New Roman" w:cs="Times New Roman"/>
          <w:sz w:val="24"/>
          <w:szCs w:val="24"/>
        </w:rPr>
        <w:t xml:space="preserve">AER </w:t>
      </w:r>
      <w:r w:rsidR="009D08F4">
        <w:rPr>
          <w:rFonts w:ascii="Times New Roman" w:hAnsi="Times New Roman" w:cs="Times New Roman"/>
          <w:sz w:val="24"/>
          <w:szCs w:val="24"/>
        </w:rPr>
        <w:t>adopt a three-stage model.  In doing so, I favour a linear transition in the expected DPS growth rate from the short-run values to the long-run value.</w:t>
      </w:r>
    </w:p>
    <w:p w:rsidR="008F1779" w:rsidRPr="008F1779" w:rsidRDefault="008F1779" w:rsidP="009E1846">
      <w:pPr>
        <w:spacing w:after="0" w:line="360" w:lineRule="auto"/>
        <w:jc w:val="both"/>
        <w:rPr>
          <w:rFonts w:ascii="Times New Roman" w:hAnsi="Times New Roman" w:cs="Times New Roman"/>
          <w:sz w:val="24"/>
          <w:szCs w:val="24"/>
        </w:rPr>
      </w:pPr>
    </w:p>
    <w:p w:rsidR="00EA0F73" w:rsidRPr="00A54826" w:rsidRDefault="00EA0F73" w:rsidP="00EA0F73">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The Term Structure for the Discount Rate</w:t>
      </w:r>
    </w:p>
    <w:p w:rsidR="00D657F9" w:rsidRDefault="00D657F9" w:rsidP="009E1846">
      <w:pPr>
        <w:spacing w:after="0" w:line="360" w:lineRule="auto"/>
        <w:jc w:val="both"/>
        <w:rPr>
          <w:rFonts w:ascii="Times New Roman" w:hAnsi="Times New Roman" w:cs="Times New Roman"/>
          <w:sz w:val="24"/>
          <w:szCs w:val="24"/>
        </w:rPr>
      </w:pPr>
    </w:p>
    <w:p w:rsidR="00D2147D" w:rsidRDefault="007F4D67" w:rsidP="00534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AER assumes that the term structure for the </w:t>
      </w:r>
      <w:r w:rsidR="00D2147D">
        <w:rPr>
          <w:rFonts w:ascii="Times New Roman" w:hAnsi="Times New Roman" w:cs="Times New Roman"/>
          <w:sz w:val="24"/>
          <w:szCs w:val="24"/>
        </w:rPr>
        <w:t xml:space="preserve">market </w:t>
      </w:r>
      <w:r w:rsidR="00037BEC">
        <w:rPr>
          <w:rFonts w:ascii="Times New Roman" w:hAnsi="Times New Roman" w:cs="Times New Roman"/>
          <w:sz w:val="24"/>
          <w:szCs w:val="24"/>
        </w:rPr>
        <w:t xml:space="preserve">cost of equity </w:t>
      </w:r>
      <w:r>
        <w:rPr>
          <w:rFonts w:ascii="Times New Roman" w:hAnsi="Times New Roman" w:cs="Times New Roman"/>
          <w:sz w:val="24"/>
          <w:szCs w:val="24"/>
        </w:rPr>
        <w:t xml:space="preserve">is flat, i.e., at any given point in time, </w:t>
      </w:r>
      <w:r w:rsidR="00534D05" w:rsidRPr="00A85AF0">
        <w:rPr>
          <w:rFonts w:ascii="Times New Roman" w:hAnsi="Times New Roman" w:cs="Times New Roman"/>
          <w:sz w:val="24"/>
          <w:szCs w:val="24"/>
        </w:rPr>
        <w:t>the market cost of equity</w:t>
      </w:r>
      <w:r w:rsidR="00534D05" w:rsidRPr="00866213">
        <w:rPr>
          <w:rFonts w:ascii="Times New Roman" w:hAnsi="Times New Roman" w:cs="Times New Roman"/>
          <w:sz w:val="24"/>
          <w:szCs w:val="24"/>
        </w:rPr>
        <w:t xml:space="preserve"> is assumed to be the same for all future </w:t>
      </w:r>
      <w:r w:rsidR="00B700FC">
        <w:rPr>
          <w:rFonts w:ascii="Times New Roman" w:hAnsi="Times New Roman" w:cs="Times New Roman"/>
          <w:sz w:val="24"/>
          <w:szCs w:val="24"/>
        </w:rPr>
        <w:t>periods</w:t>
      </w:r>
      <w:r w:rsidR="00534D05" w:rsidRPr="00866213">
        <w:rPr>
          <w:rFonts w:ascii="Times New Roman" w:hAnsi="Times New Roman" w:cs="Times New Roman"/>
          <w:sz w:val="24"/>
          <w:szCs w:val="24"/>
        </w:rPr>
        <w:t>.</w:t>
      </w:r>
      <w:r w:rsidR="00534D05">
        <w:rPr>
          <w:rStyle w:val="FootnoteReference"/>
          <w:rFonts w:ascii="Times New Roman" w:hAnsi="Times New Roman" w:cs="Times New Roman"/>
          <w:sz w:val="24"/>
          <w:szCs w:val="24"/>
        </w:rPr>
        <w:footnoteReference w:id="4"/>
      </w:r>
      <w:r w:rsidR="00534D05" w:rsidRPr="00866213">
        <w:rPr>
          <w:rFonts w:ascii="Times New Roman" w:hAnsi="Times New Roman" w:cs="Times New Roman"/>
          <w:sz w:val="24"/>
          <w:szCs w:val="24"/>
        </w:rPr>
        <w:t xml:space="preserve">  </w:t>
      </w:r>
      <w:r w:rsidR="00D2147D">
        <w:rPr>
          <w:rFonts w:ascii="Times New Roman" w:hAnsi="Times New Roman" w:cs="Times New Roman"/>
          <w:sz w:val="24"/>
          <w:szCs w:val="24"/>
        </w:rPr>
        <w:t>This implies that the ‘forward’ rates are all the same.  For example</w:t>
      </w:r>
      <w:r w:rsidR="002126DB">
        <w:rPr>
          <w:rFonts w:ascii="Times New Roman" w:hAnsi="Times New Roman" w:cs="Times New Roman"/>
          <w:sz w:val="24"/>
          <w:szCs w:val="24"/>
        </w:rPr>
        <w:t xml:space="preserve">, since the term structure is assumed to be flat then the market </w:t>
      </w:r>
      <w:r w:rsidR="00037BEC">
        <w:rPr>
          <w:rFonts w:ascii="Times New Roman" w:hAnsi="Times New Roman" w:cs="Times New Roman"/>
          <w:sz w:val="24"/>
          <w:szCs w:val="24"/>
        </w:rPr>
        <w:t xml:space="preserve">cost of equity </w:t>
      </w:r>
      <w:r w:rsidR="002126DB">
        <w:rPr>
          <w:rFonts w:ascii="Times New Roman" w:hAnsi="Times New Roman" w:cs="Times New Roman"/>
          <w:sz w:val="24"/>
          <w:szCs w:val="24"/>
        </w:rPr>
        <w:t>per year over the next ten years is equal to the rate per year over the next 20 years:</w:t>
      </w:r>
    </w:p>
    <w:p w:rsidR="00037BEC" w:rsidRDefault="00037BEC" w:rsidP="00534D05">
      <w:pPr>
        <w:spacing w:after="0" w:line="360" w:lineRule="auto"/>
        <w:jc w:val="both"/>
        <w:rPr>
          <w:rFonts w:ascii="Times New Roman" w:hAnsi="Times New Roman" w:cs="Times New Roman"/>
          <w:sz w:val="24"/>
          <w:szCs w:val="24"/>
        </w:rPr>
      </w:pPr>
    </w:p>
    <w:p w:rsidR="002126DB" w:rsidRDefault="002126DB" w:rsidP="002126DB">
      <w:pPr>
        <w:spacing w:after="0" w:line="360" w:lineRule="auto"/>
        <w:jc w:val="center"/>
        <w:rPr>
          <w:rFonts w:ascii="Times New Roman" w:hAnsi="Times New Roman" w:cs="Times New Roman"/>
          <w:sz w:val="24"/>
          <w:szCs w:val="24"/>
        </w:rPr>
      </w:pPr>
      <w:r w:rsidRPr="00D2147D">
        <w:rPr>
          <w:rFonts w:ascii="Times New Roman" w:hAnsi="Times New Roman" w:cs="Times New Roman"/>
          <w:b/>
          <w:bCs/>
          <w:position w:val="-14"/>
          <w:sz w:val="24"/>
          <w:szCs w:val="24"/>
        </w:rPr>
        <w:object w:dxaOrig="1080" w:dyaOrig="380">
          <v:shape id="_x0000_i1034" type="#_x0000_t75" style="width:53.85pt;height:19.4pt" o:ole="">
            <v:imagedata r:id="rId27" o:title=""/>
          </v:shape>
          <o:OLEObject Type="Embed" ProgID="Equation.3" ShapeID="_x0000_i1034" DrawAspect="Content" ObjectID="_1448709062" r:id="rId28"/>
        </w:object>
      </w:r>
    </w:p>
    <w:p w:rsidR="002126DB" w:rsidRDefault="002126DB" w:rsidP="00534D05">
      <w:pPr>
        <w:spacing w:after="0" w:line="360" w:lineRule="auto"/>
        <w:jc w:val="both"/>
        <w:rPr>
          <w:rFonts w:ascii="Times New Roman" w:hAnsi="Times New Roman" w:cs="Times New Roman"/>
          <w:sz w:val="24"/>
          <w:szCs w:val="24"/>
        </w:rPr>
      </w:pPr>
    </w:p>
    <w:p w:rsidR="002126DB" w:rsidRDefault="002126DB" w:rsidP="00534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‘forward’ rate for years 10 to 20 is the solution to the following equation:</w:t>
      </w:r>
    </w:p>
    <w:p w:rsidR="002126DB" w:rsidRDefault="002126DB" w:rsidP="00534D05">
      <w:pPr>
        <w:spacing w:after="0" w:line="360" w:lineRule="auto"/>
        <w:jc w:val="both"/>
        <w:rPr>
          <w:rFonts w:ascii="Times New Roman" w:hAnsi="Times New Roman" w:cs="Times New Roman"/>
          <w:sz w:val="24"/>
          <w:szCs w:val="24"/>
        </w:rPr>
      </w:pPr>
    </w:p>
    <w:p w:rsidR="002126DB" w:rsidRDefault="002126DB" w:rsidP="002126DB">
      <w:pPr>
        <w:spacing w:after="0" w:line="360" w:lineRule="auto"/>
        <w:jc w:val="center"/>
        <w:rPr>
          <w:rFonts w:ascii="Times New Roman" w:hAnsi="Times New Roman" w:cs="Times New Roman"/>
          <w:b/>
          <w:bCs/>
          <w:sz w:val="24"/>
          <w:szCs w:val="24"/>
        </w:rPr>
      </w:pPr>
      <w:r w:rsidRPr="00D2147D">
        <w:rPr>
          <w:rFonts w:ascii="Times New Roman" w:hAnsi="Times New Roman" w:cs="Times New Roman"/>
          <w:b/>
          <w:bCs/>
          <w:position w:val="-14"/>
          <w:sz w:val="24"/>
          <w:szCs w:val="24"/>
        </w:rPr>
        <w:object w:dxaOrig="3460" w:dyaOrig="400">
          <v:shape id="_x0000_i1035" type="#_x0000_t75" style="width:172.15pt;height:21.3pt" o:ole="">
            <v:imagedata r:id="rId29" o:title=""/>
          </v:shape>
          <o:OLEObject Type="Embed" ProgID="Equation.3" ShapeID="_x0000_i1035" DrawAspect="Content" ObjectID="_1448709063" r:id="rId30"/>
        </w:object>
      </w:r>
    </w:p>
    <w:p w:rsidR="002126DB" w:rsidRDefault="002126DB" w:rsidP="002126DB">
      <w:pPr>
        <w:spacing w:after="0" w:line="360" w:lineRule="auto"/>
        <w:jc w:val="center"/>
        <w:rPr>
          <w:rFonts w:ascii="Times New Roman" w:hAnsi="Times New Roman" w:cs="Times New Roman"/>
          <w:sz w:val="24"/>
          <w:szCs w:val="24"/>
        </w:rPr>
      </w:pPr>
    </w:p>
    <w:p w:rsidR="00D2147D" w:rsidRDefault="002126DB" w:rsidP="00534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 it follows from the last two equations that the current rate for the next ten years is equal to the forward rate for the following ten years:</w:t>
      </w:r>
    </w:p>
    <w:p w:rsidR="002126DB" w:rsidRDefault="002126DB" w:rsidP="00534D05">
      <w:pPr>
        <w:spacing w:after="0" w:line="360" w:lineRule="auto"/>
        <w:jc w:val="both"/>
        <w:rPr>
          <w:rFonts w:ascii="Times New Roman" w:hAnsi="Times New Roman" w:cs="Times New Roman"/>
          <w:sz w:val="24"/>
          <w:szCs w:val="24"/>
        </w:rPr>
      </w:pPr>
    </w:p>
    <w:p w:rsidR="00D2147D" w:rsidRDefault="002126DB" w:rsidP="00D2147D">
      <w:pPr>
        <w:spacing w:after="0" w:line="360" w:lineRule="auto"/>
        <w:jc w:val="center"/>
        <w:rPr>
          <w:rFonts w:ascii="Times New Roman" w:hAnsi="Times New Roman" w:cs="Times New Roman"/>
          <w:sz w:val="24"/>
          <w:szCs w:val="24"/>
        </w:rPr>
      </w:pPr>
      <w:r w:rsidRPr="00D2147D">
        <w:rPr>
          <w:rFonts w:ascii="Times New Roman" w:hAnsi="Times New Roman" w:cs="Times New Roman"/>
          <w:b/>
          <w:bCs/>
          <w:position w:val="-14"/>
          <w:sz w:val="24"/>
          <w:szCs w:val="24"/>
        </w:rPr>
        <w:object w:dxaOrig="1140" w:dyaOrig="400">
          <v:shape id="_x0000_i1036" type="#_x0000_t75" style="width:56.95pt;height:21.3pt" o:ole="">
            <v:imagedata r:id="rId31" o:title=""/>
          </v:shape>
          <o:OLEObject Type="Embed" ProgID="Equation.3" ShapeID="_x0000_i1036" DrawAspect="Content" ObjectID="_1448709064" r:id="rId32"/>
        </w:object>
      </w:r>
    </w:p>
    <w:p w:rsidR="00D2147D" w:rsidRDefault="00D2147D" w:rsidP="00534D05">
      <w:pPr>
        <w:spacing w:after="0" w:line="360" w:lineRule="auto"/>
        <w:jc w:val="both"/>
        <w:rPr>
          <w:rFonts w:ascii="Times New Roman" w:hAnsi="Times New Roman" w:cs="Times New Roman"/>
          <w:sz w:val="24"/>
          <w:szCs w:val="24"/>
        </w:rPr>
      </w:pPr>
    </w:p>
    <w:p w:rsidR="002126DB" w:rsidRDefault="002126DB" w:rsidP="00534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the market </w:t>
      </w:r>
      <w:r w:rsidR="00037BEC">
        <w:rPr>
          <w:rFonts w:ascii="Times New Roman" w:hAnsi="Times New Roman" w:cs="Times New Roman"/>
          <w:sz w:val="24"/>
          <w:szCs w:val="24"/>
        </w:rPr>
        <w:t xml:space="preserve">cost of equity </w:t>
      </w:r>
      <w:r>
        <w:rPr>
          <w:rFonts w:ascii="Times New Roman" w:hAnsi="Times New Roman" w:cs="Times New Roman"/>
          <w:sz w:val="24"/>
          <w:szCs w:val="24"/>
        </w:rPr>
        <w:t>is the sum of the risk free rate and the MRP</w:t>
      </w:r>
      <w:r w:rsidR="004C1134">
        <w:rPr>
          <w:rFonts w:ascii="Times New Roman" w:hAnsi="Times New Roman" w:cs="Times New Roman"/>
          <w:sz w:val="24"/>
          <w:szCs w:val="24"/>
        </w:rPr>
        <w:t>, for both the current and forward rates</w:t>
      </w:r>
      <w:r>
        <w:rPr>
          <w:rFonts w:ascii="Times New Roman" w:hAnsi="Times New Roman" w:cs="Times New Roman"/>
          <w:sz w:val="24"/>
          <w:szCs w:val="24"/>
        </w:rPr>
        <w:t>.  Therefore</w:t>
      </w:r>
    </w:p>
    <w:p w:rsidR="002126DB" w:rsidRDefault="002126DB" w:rsidP="00534D05">
      <w:pPr>
        <w:spacing w:after="0" w:line="360" w:lineRule="auto"/>
        <w:jc w:val="both"/>
        <w:rPr>
          <w:rFonts w:ascii="Times New Roman" w:hAnsi="Times New Roman" w:cs="Times New Roman"/>
          <w:sz w:val="24"/>
          <w:szCs w:val="24"/>
        </w:rPr>
      </w:pPr>
    </w:p>
    <w:p w:rsidR="002126DB" w:rsidRDefault="004C1134" w:rsidP="002126DB">
      <w:pPr>
        <w:spacing w:after="0" w:line="360" w:lineRule="auto"/>
        <w:jc w:val="center"/>
        <w:rPr>
          <w:rFonts w:ascii="Times New Roman" w:hAnsi="Times New Roman" w:cs="Times New Roman"/>
          <w:sz w:val="24"/>
          <w:szCs w:val="24"/>
        </w:rPr>
      </w:pPr>
      <w:r w:rsidRPr="00D2147D">
        <w:rPr>
          <w:rFonts w:ascii="Times New Roman" w:hAnsi="Times New Roman" w:cs="Times New Roman"/>
          <w:b/>
          <w:bCs/>
          <w:position w:val="-14"/>
          <w:sz w:val="24"/>
          <w:szCs w:val="24"/>
        </w:rPr>
        <w:object w:dxaOrig="3200" w:dyaOrig="400">
          <v:shape id="_x0000_i1037" type="#_x0000_t75" style="width:160.3pt;height:21.3pt" o:ole="">
            <v:imagedata r:id="rId33" o:title=""/>
          </v:shape>
          <o:OLEObject Type="Embed" ProgID="Equation.3" ShapeID="_x0000_i1037" DrawAspect="Content" ObjectID="_1448709065" r:id="rId34"/>
        </w:object>
      </w:r>
    </w:p>
    <w:p w:rsidR="002126DB" w:rsidRDefault="002126DB" w:rsidP="00534D05">
      <w:pPr>
        <w:spacing w:after="0" w:line="360" w:lineRule="auto"/>
        <w:jc w:val="both"/>
        <w:rPr>
          <w:rFonts w:ascii="Times New Roman" w:hAnsi="Times New Roman" w:cs="Times New Roman"/>
          <w:sz w:val="24"/>
          <w:szCs w:val="24"/>
        </w:rPr>
      </w:pPr>
    </w:p>
    <w:p w:rsidR="007B06AA" w:rsidRDefault="004C1134" w:rsidP="00534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Forward rates are predictors of future rates.  </w:t>
      </w:r>
      <w:r w:rsidR="007B06AA">
        <w:rPr>
          <w:rFonts w:ascii="Times New Roman" w:hAnsi="Times New Roman" w:cs="Times New Roman"/>
          <w:sz w:val="24"/>
          <w:szCs w:val="24"/>
        </w:rPr>
        <w:t>Under the expectations hypothesis, they are unbiased predictors.  Invoking this hypothesis the last equation becomes:</w:t>
      </w:r>
      <w:r w:rsidR="00241D59">
        <w:rPr>
          <w:rStyle w:val="FootnoteReference"/>
          <w:rFonts w:ascii="Times New Roman" w:hAnsi="Times New Roman" w:cs="Times New Roman"/>
          <w:sz w:val="24"/>
          <w:szCs w:val="24"/>
        </w:rPr>
        <w:footnoteReference w:id="5"/>
      </w:r>
    </w:p>
    <w:p w:rsidR="007B06AA" w:rsidRDefault="007B06AA" w:rsidP="00534D05">
      <w:pPr>
        <w:spacing w:after="0" w:line="360" w:lineRule="auto"/>
        <w:jc w:val="both"/>
        <w:rPr>
          <w:rFonts w:ascii="Times New Roman" w:hAnsi="Times New Roman" w:cs="Times New Roman"/>
          <w:sz w:val="24"/>
          <w:szCs w:val="24"/>
        </w:rPr>
      </w:pPr>
    </w:p>
    <w:p w:rsidR="007B06AA" w:rsidRDefault="007B06AA" w:rsidP="007B06AA">
      <w:pPr>
        <w:spacing w:after="0" w:line="360" w:lineRule="auto"/>
        <w:jc w:val="center"/>
        <w:rPr>
          <w:rFonts w:ascii="Times New Roman" w:hAnsi="Times New Roman" w:cs="Times New Roman"/>
          <w:sz w:val="24"/>
          <w:szCs w:val="24"/>
        </w:rPr>
      </w:pPr>
      <w:r w:rsidRPr="00D2147D">
        <w:rPr>
          <w:rFonts w:ascii="Times New Roman" w:hAnsi="Times New Roman" w:cs="Times New Roman"/>
          <w:b/>
          <w:bCs/>
          <w:position w:val="-14"/>
          <w:sz w:val="24"/>
          <w:szCs w:val="24"/>
        </w:rPr>
        <w:object w:dxaOrig="4060" w:dyaOrig="400">
          <v:shape id="_x0000_i1038" type="#_x0000_t75" style="width:202.85pt;height:21.3pt" o:ole="">
            <v:imagedata r:id="rId35" o:title=""/>
          </v:shape>
          <o:OLEObject Type="Embed" ProgID="Equation.3" ShapeID="_x0000_i1038" DrawAspect="Content" ObjectID="_1448709066" r:id="rId36"/>
        </w:object>
      </w:r>
    </w:p>
    <w:p w:rsidR="007B06AA" w:rsidRDefault="007B06AA" w:rsidP="00534D05">
      <w:pPr>
        <w:spacing w:after="0" w:line="360" w:lineRule="auto"/>
        <w:jc w:val="both"/>
        <w:rPr>
          <w:rFonts w:ascii="Times New Roman" w:hAnsi="Times New Roman" w:cs="Times New Roman"/>
          <w:sz w:val="24"/>
          <w:szCs w:val="24"/>
        </w:rPr>
      </w:pPr>
    </w:p>
    <w:p w:rsidR="00534D05" w:rsidRDefault="00972970" w:rsidP="00534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says that the sum of the current ten year risk free rate and </w:t>
      </w:r>
      <w:r w:rsidR="009E204B">
        <w:rPr>
          <w:rFonts w:ascii="Times New Roman" w:hAnsi="Times New Roman" w:cs="Times New Roman"/>
          <w:sz w:val="24"/>
          <w:szCs w:val="24"/>
        </w:rPr>
        <w:t xml:space="preserve">the </w:t>
      </w:r>
      <w:r>
        <w:rPr>
          <w:rFonts w:ascii="Times New Roman" w:hAnsi="Times New Roman" w:cs="Times New Roman"/>
          <w:sz w:val="24"/>
          <w:szCs w:val="24"/>
        </w:rPr>
        <w:t xml:space="preserve">MRP equals the sum of the current expectations of their values in ten years’ time.  </w:t>
      </w:r>
      <w:r w:rsidR="004C1134">
        <w:rPr>
          <w:rFonts w:ascii="Times New Roman" w:hAnsi="Times New Roman" w:cs="Times New Roman"/>
          <w:sz w:val="24"/>
          <w:szCs w:val="24"/>
        </w:rPr>
        <w:t xml:space="preserve">Thus, if the </w:t>
      </w:r>
      <w:r w:rsidR="00534D05" w:rsidRPr="00866213">
        <w:rPr>
          <w:rFonts w:ascii="Times New Roman" w:hAnsi="Times New Roman" w:cs="Times New Roman"/>
          <w:sz w:val="24"/>
          <w:szCs w:val="24"/>
        </w:rPr>
        <w:t xml:space="preserve">current ten year risk free rate </w:t>
      </w:r>
      <w:r w:rsidR="00534D05">
        <w:rPr>
          <w:rFonts w:ascii="Times New Roman" w:hAnsi="Times New Roman" w:cs="Times New Roman"/>
          <w:sz w:val="24"/>
          <w:szCs w:val="24"/>
        </w:rPr>
        <w:t xml:space="preserve">were </w:t>
      </w:r>
      <w:r w:rsidR="00534D05" w:rsidRPr="00866213">
        <w:rPr>
          <w:rFonts w:ascii="Times New Roman" w:hAnsi="Times New Roman" w:cs="Times New Roman"/>
          <w:sz w:val="24"/>
          <w:szCs w:val="24"/>
        </w:rPr>
        <w:t xml:space="preserve">unusually </w:t>
      </w:r>
      <w:r w:rsidR="00534D05">
        <w:rPr>
          <w:rFonts w:ascii="Times New Roman" w:hAnsi="Times New Roman" w:cs="Times New Roman"/>
          <w:sz w:val="24"/>
          <w:szCs w:val="24"/>
        </w:rPr>
        <w:t xml:space="preserve">low </w:t>
      </w:r>
      <w:r w:rsidR="00534D05" w:rsidRPr="00866213">
        <w:rPr>
          <w:rFonts w:ascii="Times New Roman" w:hAnsi="Times New Roman" w:cs="Times New Roman"/>
          <w:sz w:val="24"/>
          <w:szCs w:val="24"/>
        </w:rPr>
        <w:t xml:space="preserve">relative to its long-term average, and therefore could be expected to be </w:t>
      </w:r>
      <w:r w:rsidR="00534D05">
        <w:rPr>
          <w:rFonts w:ascii="Times New Roman" w:hAnsi="Times New Roman" w:cs="Times New Roman"/>
          <w:sz w:val="24"/>
          <w:szCs w:val="24"/>
        </w:rPr>
        <w:t xml:space="preserve">higher </w:t>
      </w:r>
      <w:r w:rsidR="00534D05" w:rsidRPr="00866213">
        <w:rPr>
          <w:rFonts w:ascii="Times New Roman" w:hAnsi="Times New Roman" w:cs="Times New Roman"/>
          <w:sz w:val="24"/>
          <w:szCs w:val="24"/>
        </w:rPr>
        <w:t>in ten years’ time</w:t>
      </w:r>
      <w:r w:rsidR="00534D05">
        <w:rPr>
          <w:rStyle w:val="FootnoteReference"/>
          <w:rFonts w:ascii="Times New Roman" w:hAnsi="Times New Roman" w:cs="Times New Roman"/>
          <w:sz w:val="24"/>
          <w:szCs w:val="24"/>
        </w:rPr>
        <w:footnoteReference w:id="6"/>
      </w:r>
      <w:r w:rsidR="00534D05" w:rsidRPr="00866213">
        <w:rPr>
          <w:rFonts w:ascii="Times New Roman" w:hAnsi="Times New Roman" w:cs="Times New Roman"/>
          <w:sz w:val="24"/>
          <w:szCs w:val="24"/>
        </w:rPr>
        <w:t xml:space="preserve">, </w:t>
      </w:r>
      <w:r w:rsidR="00B700FC">
        <w:rPr>
          <w:rFonts w:ascii="Times New Roman" w:hAnsi="Times New Roman" w:cs="Times New Roman"/>
          <w:sz w:val="24"/>
          <w:szCs w:val="24"/>
        </w:rPr>
        <w:t xml:space="preserve">then the </w:t>
      </w:r>
      <w:r w:rsidR="004C1134">
        <w:rPr>
          <w:rFonts w:ascii="Times New Roman" w:hAnsi="Times New Roman" w:cs="Times New Roman"/>
          <w:sz w:val="24"/>
          <w:szCs w:val="24"/>
        </w:rPr>
        <w:t xml:space="preserve">current ten-year </w:t>
      </w:r>
      <w:r w:rsidR="00534D05" w:rsidRPr="00866213">
        <w:rPr>
          <w:rFonts w:ascii="Times New Roman" w:hAnsi="Times New Roman" w:cs="Times New Roman"/>
          <w:sz w:val="24"/>
          <w:szCs w:val="24"/>
        </w:rPr>
        <w:t xml:space="preserve">MRP </w:t>
      </w:r>
      <w:r w:rsidR="00B700FC">
        <w:rPr>
          <w:rFonts w:ascii="Times New Roman" w:hAnsi="Times New Roman" w:cs="Times New Roman"/>
          <w:sz w:val="24"/>
          <w:szCs w:val="24"/>
        </w:rPr>
        <w:t xml:space="preserve">would have to be </w:t>
      </w:r>
      <w:r w:rsidR="00534D05" w:rsidRPr="00866213">
        <w:rPr>
          <w:rFonts w:ascii="Times New Roman" w:hAnsi="Times New Roman" w:cs="Times New Roman"/>
          <w:sz w:val="24"/>
          <w:szCs w:val="24"/>
        </w:rPr>
        <w:t xml:space="preserve">unusually </w:t>
      </w:r>
      <w:r w:rsidR="00534D05">
        <w:rPr>
          <w:rFonts w:ascii="Times New Roman" w:hAnsi="Times New Roman" w:cs="Times New Roman"/>
          <w:sz w:val="24"/>
          <w:szCs w:val="24"/>
        </w:rPr>
        <w:t xml:space="preserve">high </w:t>
      </w:r>
      <w:r w:rsidR="00534D05" w:rsidRPr="00866213">
        <w:rPr>
          <w:rFonts w:ascii="Times New Roman" w:hAnsi="Times New Roman" w:cs="Times New Roman"/>
          <w:sz w:val="24"/>
          <w:szCs w:val="24"/>
        </w:rPr>
        <w:t>relative to its long-term average by an exactly offsetting amount.  This ‘perfect-offset’ hypothesis is implausible</w:t>
      </w:r>
      <w:r w:rsidR="00B700FC">
        <w:rPr>
          <w:rFonts w:ascii="Times New Roman" w:hAnsi="Times New Roman" w:cs="Times New Roman"/>
          <w:sz w:val="24"/>
          <w:szCs w:val="24"/>
        </w:rPr>
        <w:t>.  Furthermore, it implies that</w:t>
      </w:r>
      <w:r w:rsidR="00CE0E31">
        <w:rPr>
          <w:rFonts w:ascii="Times New Roman" w:hAnsi="Times New Roman" w:cs="Times New Roman"/>
          <w:sz w:val="24"/>
          <w:szCs w:val="24"/>
        </w:rPr>
        <w:t xml:space="preserve"> the market </w:t>
      </w:r>
      <w:r w:rsidR="00037BEC">
        <w:rPr>
          <w:rFonts w:ascii="Times New Roman" w:hAnsi="Times New Roman" w:cs="Times New Roman"/>
          <w:sz w:val="24"/>
          <w:szCs w:val="24"/>
        </w:rPr>
        <w:t xml:space="preserve">cost of equity </w:t>
      </w:r>
      <w:r w:rsidR="00CE0E31">
        <w:rPr>
          <w:rFonts w:ascii="Times New Roman" w:hAnsi="Times New Roman" w:cs="Times New Roman"/>
          <w:sz w:val="24"/>
          <w:szCs w:val="24"/>
        </w:rPr>
        <w:t xml:space="preserve">is much more stable over time than the MRP and therefore that the Ibbotson method for estimating the MRP from historical data would be inferior to estimating the market </w:t>
      </w:r>
      <w:r w:rsidR="00037BEC">
        <w:rPr>
          <w:rFonts w:ascii="Times New Roman" w:hAnsi="Times New Roman" w:cs="Times New Roman"/>
          <w:sz w:val="24"/>
          <w:szCs w:val="24"/>
        </w:rPr>
        <w:t xml:space="preserve">cost of equity </w:t>
      </w:r>
      <w:r w:rsidR="00CE0E31">
        <w:rPr>
          <w:rFonts w:ascii="Times New Roman" w:hAnsi="Times New Roman" w:cs="Times New Roman"/>
          <w:sz w:val="24"/>
          <w:szCs w:val="24"/>
        </w:rPr>
        <w:t>directly from historical data and then deducting the current risk free</w:t>
      </w:r>
      <w:r w:rsidR="00437D45">
        <w:rPr>
          <w:rFonts w:ascii="Times New Roman" w:hAnsi="Times New Roman" w:cs="Times New Roman"/>
          <w:sz w:val="24"/>
          <w:szCs w:val="24"/>
        </w:rPr>
        <w:t xml:space="preserve"> rate (as argued by Wright, 2012</w:t>
      </w:r>
      <w:r w:rsidR="00CE0E31">
        <w:rPr>
          <w:rFonts w:ascii="Times New Roman" w:hAnsi="Times New Roman" w:cs="Times New Roman"/>
          <w:sz w:val="24"/>
          <w:szCs w:val="24"/>
        </w:rPr>
        <w:t>).  However this is contrary to the AER’s strong emphasis on Ibbotson estimates of the MRP.</w:t>
      </w:r>
      <w:r w:rsidR="00534D05" w:rsidRPr="00866213">
        <w:rPr>
          <w:rFonts w:ascii="Times New Roman" w:hAnsi="Times New Roman" w:cs="Times New Roman"/>
          <w:sz w:val="24"/>
          <w:szCs w:val="24"/>
        </w:rPr>
        <w:t xml:space="preserve">  </w:t>
      </w:r>
    </w:p>
    <w:p w:rsidR="00534D05" w:rsidRDefault="00534D05" w:rsidP="00534D05">
      <w:pPr>
        <w:spacing w:after="0" w:line="360" w:lineRule="auto"/>
        <w:jc w:val="both"/>
        <w:rPr>
          <w:rFonts w:ascii="Times New Roman" w:hAnsi="Times New Roman" w:cs="Times New Roman"/>
          <w:sz w:val="24"/>
          <w:szCs w:val="24"/>
        </w:rPr>
      </w:pPr>
    </w:p>
    <w:p w:rsidR="00534D05" w:rsidRDefault="00534D05" w:rsidP="00534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Lally (2012, section 3.2) illustrated this consequence of </w:t>
      </w:r>
      <w:r w:rsidR="00D70A44">
        <w:rPr>
          <w:rFonts w:ascii="Times New Roman" w:hAnsi="Times New Roman" w:cs="Times New Roman"/>
          <w:sz w:val="24"/>
          <w:szCs w:val="24"/>
        </w:rPr>
        <w:t xml:space="preserve">(wrongly) assuming that the term structure for the market </w:t>
      </w:r>
      <w:r w:rsidR="00037BEC">
        <w:rPr>
          <w:rFonts w:ascii="Times New Roman" w:hAnsi="Times New Roman" w:cs="Times New Roman"/>
          <w:sz w:val="24"/>
          <w:szCs w:val="24"/>
        </w:rPr>
        <w:t xml:space="preserve">cost of equity </w:t>
      </w:r>
      <w:r w:rsidR="00D70A44">
        <w:rPr>
          <w:rFonts w:ascii="Times New Roman" w:hAnsi="Times New Roman" w:cs="Times New Roman"/>
          <w:sz w:val="24"/>
          <w:szCs w:val="24"/>
        </w:rPr>
        <w:t xml:space="preserve">is flat (i.e., the </w:t>
      </w:r>
      <w:r>
        <w:rPr>
          <w:rFonts w:ascii="Times New Roman" w:hAnsi="Times New Roman" w:cs="Times New Roman"/>
          <w:sz w:val="24"/>
          <w:szCs w:val="24"/>
        </w:rPr>
        <w:t>‘perfect-offset’ hypothesis</w:t>
      </w:r>
      <w:r w:rsidR="00D70A44">
        <w:rPr>
          <w:rFonts w:ascii="Times New Roman" w:hAnsi="Times New Roman" w:cs="Times New Roman"/>
          <w:sz w:val="24"/>
          <w:szCs w:val="24"/>
        </w:rPr>
        <w:t>)</w:t>
      </w:r>
      <w:r>
        <w:rPr>
          <w:rFonts w:ascii="Times New Roman" w:hAnsi="Times New Roman" w:cs="Times New Roman"/>
          <w:sz w:val="24"/>
          <w:szCs w:val="24"/>
        </w:rPr>
        <w:t xml:space="preserve"> with the following example.  Suppose that the current ten year risk free rate is 3.8%, the MRP over the next ten years is 6.2% and therefore the current </w:t>
      </w:r>
      <w:r w:rsidR="00037BEC">
        <w:rPr>
          <w:rFonts w:ascii="Times New Roman" w:hAnsi="Times New Roman" w:cs="Times New Roman"/>
          <w:sz w:val="24"/>
          <w:szCs w:val="24"/>
        </w:rPr>
        <w:t xml:space="preserve">market </w:t>
      </w:r>
      <w:r>
        <w:rPr>
          <w:rFonts w:ascii="Times New Roman" w:hAnsi="Times New Roman" w:cs="Times New Roman"/>
          <w:sz w:val="24"/>
          <w:szCs w:val="24"/>
        </w:rPr>
        <w:t xml:space="preserve">cost of equity </w:t>
      </w:r>
      <w:r w:rsidR="00D70A44">
        <w:rPr>
          <w:rFonts w:ascii="Times New Roman" w:hAnsi="Times New Roman" w:cs="Times New Roman"/>
          <w:sz w:val="24"/>
          <w:szCs w:val="24"/>
        </w:rPr>
        <w:t xml:space="preserve">for </w:t>
      </w:r>
      <w:r>
        <w:rPr>
          <w:rFonts w:ascii="Times New Roman" w:hAnsi="Times New Roman" w:cs="Times New Roman"/>
          <w:sz w:val="24"/>
          <w:szCs w:val="24"/>
        </w:rPr>
        <w:t xml:space="preserve">the next ten years is 10%.  Since the risk free rate is so low, the rate expected in ten years should be higher and we assume it equals the long-term average of (for example) 6%.  In addition, since the risk free rate is expected to rise, the MRP might be expected to fall, and we therefore assume it is expected to fall </w:t>
      </w:r>
      <w:r w:rsidR="00D70A44">
        <w:rPr>
          <w:rFonts w:ascii="Times New Roman" w:hAnsi="Times New Roman" w:cs="Times New Roman"/>
          <w:sz w:val="24"/>
          <w:szCs w:val="24"/>
        </w:rPr>
        <w:t xml:space="preserve">over the same period </w:t>
      </w:r>
      <w:r>
        <w:rPr>
          <w:rFonts w:ascii="Times New Roman" w:hAnsi="Times New Roman" w:cs="Times New Roman"/>
          <w:sz w:val="24"/>
          <w:szCs w:val="24"/>
        </w:rPr>
        <w:t xml:space="preserve">to its long-term average of (for example) 6%.  </w:t>
      </w:r>
      <w:r w:rsidR="00D70A44">
        <w:rPr>
          <w:rFonts w:ascii="Times New Roman" w:hAnsi="Times New Roman" w:cs="Times New Roman"/>
          <w:sz w:val="24"/>
          <w:szCs w:val="24"/>
        </w:rPr>
        <w:t xml:space="preserve">So, the </w:t>
      </w:r>
      <w:r w:rsidR="005D038F">
        <w:rPr>
          <w:rFonts w:ascii="Times New Roman" w:hAnsi="Times New Roman" w:cs="Times New Roman"/>
          <w:sz w:val="24"/>
          <w:szCs w:val="24"/>
        </w:rPr>
        <w:t xml:space="preserve">expectation now of the </w:t>
      </w:r>
      <w:r w:rsidR="00D70A44">
        <w:rPr>
          <w:rFonts w:ascii="Times New Roman" w:hAnsi="Times New Roman" w:cs="Times New Roman"/>
          <w:sz w:val="24"/>
          <w:szCs w:val="24"/>
        </w:rPr>
        <w:t xml:space="preserve">ten-year </w:t>
      </w:r>
      <w:r w:rsidR="00037BEC">
        <w:rPr>
          <w:rFonts w:ascii="Times New Roman" w:hAnsi="Times New Roman" w:cs="Times New Roman"/>
          <w:sz w:val="24"/>
          <w:szCs w:val="24"/>
        </w:rPr>
        <w:t xml:space="preserve">market </w:t>
      </w:r>
      <w:r w:rsidR="00D70A44">
        <w:rPr>
          <w:rFonts w:ascii="Times New Roman" w:hAnsi="Times New Roman" w:cs="Times New Roman"/>
          <w:sz w:val="24"/>
          <w:szCs w:val="24"/>
        </w:rPr>
        <w:t xml:space="preserve">cost of equity in ten years </w:t>
      </w:r>
      <w:r w:rsidR="005D038F">
        <w:rPr>
          <w:rFonts w:ascii="Times New Roman" w:hAnsi="Times New Roman" w:cs="Times New Roman"/>
          <w:sz w:val="24"/>
          <w:szCs w:val="24"/>
        </w:rPr>
        <w:t>time is</w:t>
      </w:r>
      <w:r w:rsidR="00D70A44">
        <w:rPr>
          <w:rFonts w:ascii="Times New Roman" w:hAnsi="Times New Roman" w:cs="Times New Roman"/>
          <w:sz w:val="24"/>
          <w:szCs w:val="24"/>
        </w:rPr>
        <w:t xml:space="preserve"> 12%.  </w:t>
      </w:r>
      <w:r>
        <w:rPr>
          <w:rFonts w:ascii="Times New Roman" w:hAnsi="Times New Roman" w:cs="Times New Roman"/>
          <w:sz w:val="24"/>
          <w:szCs w:val="24"/>
        </w:rPr>
        <w:t xml:space="preserve">In addition, </w:t>
      </w:r>
      <w:r>
        <w:rPr>
          <w:rFonts w:ascii="Times New Roman" w:hAnsi="Times New Roman" w:cs="Times New Roman"/>
          <w:sz w:val="24"/>
          <w:szCs w:val="24"/>
        </w:rPr>
        <w:lastRenderedPageBreak/>
        <w:t>we assume an expected growth rate in dividends of 5%</w:t>
      </w:r>
      <w:r w:rsidR="00D70A44">
        <w:rPr>
          <w:rFonts w:ascii="Times New Roman" w:hAnsi="Times New Roman" w:cs="Times New Roman"/>
          <w:sz w:val="24"/>
          <w:szCs w:val="24"/>
        </w:rPr>
        <w:t xml:space="preserve"> for each future year</w:t>
      </w:r>
      <w:r>
        <w:rPr>
          <w:rFonts w:ascii="Times New Roman" w:hAnsi="Times New Roman" w:cs="Times New Roman"/>
          <w:sz w:val="24"/>
          <w:szCs w:val="24"/>
        </w:rPr>
        <w:t xml:space="preserve">.  Letting </w:t>
      </w:r>
      <w:r w:rsidRPr="002A492F">
        <w:rPr>
          <w:rFonts w:ascii="Times New Roman" w:hAnsi="Times New Roman" w:cs="Times New Roman"/>
          <w:i/>
          <w:sz w:val="24"/>
          <w:szCs w:val="24"/>
        </w:rPr>
        <w:t>D</w:t>
      </w:r>
      <w:r>
        <w:rPr>
          <w:rFonts w:ascii="Times New Roman" w:hAnsi="Times New Roman" w:cs="Times New Roman"/>
          <w:sz w:val="24"/>
          <w:szCs w:val="24"/>
        </w:rPr>
        <w:t xml:space="preserve"> denote the dividends in the most recent year, it follows that the current value of equities is as follows:</w:t>
      </w:r>
    </w:p>
    <w:p w:rsidR="00534D05" w:rsidRDefault="00534D05" w:rsidP="00534D05">
      <w:pPr>
        <w:spacing w:after="0" w:line="360" w:lineRule="auto"/>
        <w:jc w:val="center"/>
        <w:rPr>
          <w:rFonts w:ascii="Times New Roman" w:hAnsi="Times New Roman" w:cs="Times New Roman"/>
          <w:sz w:val="24"/>
          <w:szCs w:val="24"/>
        </w:rPr>
      </w:pPr>
      <w:r w:rsidRPr="00EB17DA">
        <w:rPr>
          <w:b/>
          <w:bCs/>
          <w:position w:val="-30"/>
        </w:rPr>
        <w:object w:dxaOrig="3840" w:dyaOrig="720">
          <v:shape id="_x0000_i1039" type="#_x0000_t75" style="width:192.2pt;height:36.3pt" o:ole="">
            <v:imagedata r:id="rId37" o:title=""/>
          </v:shape>
          <o:OLEObject Type="Embed" ProgID="Equation.3" ShapeID="_x0000_i1039" DrawAspect="Content" ObjectID="_1448709067" r:id="rId38"/>
        </w:object>
      </w:r>
    </w:p>
    <w:p w:rsidR="00534D05" w:rsidRDefault="00534D05" w:rsidP="00534D05">
      <w:pPr>
        <w:spacing w:after="0" w:line="360" w:lineRule="auto"/>
        <w:jc w:val="both"/>
        <w:rPr>
          <w:rFonts w:ascii="Times New Roman" w:hAnsi="Times New Roman" w:cs="Times New Roman"/>
          <w:sz w:val="24"/>
          <w:szCs w:val="24"/>
        </w:rPr>
      </w:pPr>
      <w:r>
        <w:rPr>
          <w:b/>
          <w:bCs/>
          <w:position w:val="-28"/>
        </w:rPr>
        <w:t xml:space="preserve">                                                       </w:t>
      </w:r>
      <w:r w:rsidRPr="0040414D">
        <w:rPr>
          <w:b/>
          <w:bCs/>
          <w:position w:val="-36"/>
        </w:rPr>
        <w:object w:dxaOrig="3879" w:dyaOrig="1160">
          <v:shape id="_x0000_i1040" type="#_x0000_t75" style="width:194.1pt;height:57.6pt" o:ole="">
            <v:imagedata r:id="rId39" o:title=""/>
          </v:shape>
          <o:OLEObject Type="Embed" ProgID="Equation.3" ShapeID="_x0000_i1040" DrawAspect="Content" ObjectID="_1448709068" r:id="rId40"/>
        </w:object>
      </w:r>
    </w:p>
    <w:p w:rsidR="00534D05" w:rsidRDefault="00534D05" w:rsidP="00534D05">
      <w:pPr>
        <w:spacing w:after="0" w:line="360" w:lineRule="auto"/>
        <w:jc w:val="both"/>
        <w:rPr>
          <w:rFonts w:ascii="Times New Roman" w:hAnsi="Times New Roman" w:cs="Times New Roman"/>
          <w:sz w:val="24"/>
          <w:szCs w:val="24"/>
        </w:rPr>
      </w:pPr>
    </w:p>
    <w:p w:rsidR="00534D05" w:rsidRDefault="00534D05" w:rsidP="00534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$1 of current dividends </w:t>
      </w:r>
      <w:r w:rsidRPr="00E411F2">
        <w:rPr>
          <w:rFonts w:ascii="Times New Roman" w:hAnsi="Times New Roman" w:cs="Times New Roman"/>
          <w:i/>
          <w:sz w:val="24"/>
          <w:szCs w:val="24"/>
        </w:rPr>
        <w:t>D</w:t>
      </w:r>
      <w:r>
        <w:rPr>
          <w:rFonts w:ascii="Times New Roman" w:hAnsi="Times New Roman" w:cs="Times New Roman"/>
          <w:sz w:val="24"/>
          <w:szCs w:val="24"/>
        </w:rPr>
        <w:t xml:space="preserve">, the current equity value is then $17.23.  By contrast, if one assumed a </w:t>
      </w:r>
      <w:r w:rsidR="00814922">
        <w:rPr>
          <w:rFonts w:ascii="Times New Roman" w:hAnsi="Times New Roman" w:cs="Times New Roman"/>
          <w:sz w:val="24"/>
          <w:szCs w:val="24"/>
        </w:rPr>
        <w:t xml:space="preserve">flat term structure for </w:t>
      </w:r>
      <w:r w:rsidR="00814922" w:rsidRPr="00814922">
        <w:rPr>
          <w:rFonts w:ascii="Times New Roman" w:hAnsi="Times New Roman" w:cs="Times New Roman"/>
          <w:i/>
          <w:sz w:val="24"/>
          <w:szCs w:val="24"/>
        </w:rPr>
        <w:t>k</w:t>
      </w:r>
      <w:r w:rsidR="00814922">
        <w:rPr>
          <w:rFonts w:ascii="Times New Roman" w:hAnsi="Times New Roman" w:cs="Times New Roman"/>
          <w:sz w:val="24"/>
          <w:szCs w:val="24"/>
        </w:rPr>
        <w:t xml:space="preserve">, along with a constant growth rate, </w:t>
      </w:r>
      <w:r>
        <w:rPr>
          <w:rFonts w:ascii="Times New Roman" w:hAnsi="Times New Roman" w:cs="Times New Roman"/>
          <w:sz w:val="24"/>
          <w:szCs w:val="24"/>
        </w:rPr>
        <w:t xml:space="preserve">then the estimate of </w:t>
      </w:r>
      <w:r w:rsidRPr="00340C7F">
        <w:rPr>
          <w:rFonts w:ascii="Times New Roman" w:hAnsi="Times New Roman" w:cs="Times New Roman"/>
          <w:i/>
          <w:sz w:val="24"/>
          <w:szCs w:val="24"/>
        </w:rPr>
        <w:t>k</w:t>
      </w:r>
      <w:r>
        <w:rPr>
          <w:rFonts w:ascii="Times New Roman" w:hAnsi="Times New Roman" w:cs="Times New Roman"/>
          <w:sz w:val="24"/>
          <w:szCs w:val="24"/>
        </w:rPr>
        <w:t xml:space="preserve"> would satisfy the following equation:</w:t>
      </w:r>
    </w:p>
    <w:p w:rsidR="00534D05" w:rsidRDefault="00534D05" w:rsidP="00534D05">
      <w:pPr>
        <w:spacing w:after="0" w:line="360" w:lineRule="auto"/>
        <w:jc w:val="center"/>
        <w:rPr>
          <w:rFonts w:ascii="Times New Roman" w:hAnsi="Times New Roman" w:cs="Times New Roman"/>
          <w:sz w:val="24"/>
          <w:szCs w:val="24"/>
        </w:rPr>
      </w:pPr>
    </w:p>
    <w:p w:rsidR="00534D05" w:rsidRDefault="00534D05" w:rsidP="00534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17DA">
        <w:rPr>
          <w:b/>
          <w:bCs/>
          <w:position w:val="-30"/>
        </w:rPr>
        <w:object w:dxaOrig="4099" w:dyaOrig="720">
          <v:shape id="_x0000_i1041" type="#_x0000_t75" style="width:205.35pt;height:36.3pt" o:ole="">
            <v:imagedata r:id="rId41" o:title=""/>
          </v:shape>
          <o:OLEObject Type="Embed" ProgID="Equation.3" ShapeID="_x0000_i1041" DrawAspect="Content" ObjectID="_1448709069" r:id="rId42"/>
        </w:object>
      </w:r>
      <w:r>
        <w:rPr>
          <w:rFonts w:ascii="Times New Roman" w:hAnsi="Times New Roman" w:cs="Times New Roman"/>
          <w:sz w:val="24"/>
          <w:szCs w:val="24"/>
        </w:rPr>
        <w:t xml:space="preserve">       </w:t>
      </w:r>
      <w:r w:rsidR="00D70A44">
        <w:rPr>
          <w:rFonts w:ascii="Times New Roman" w:hAnsi="Times New Roman" w:cs="Times New Roman"/>
          <w:sz w:val="24"/>
          <w:szCs w:val="24"/>
        </w:rPr>
        <w:t xml:space="preserve">                              (</w:t>
      </w:r>
      <w:r w:rsidR="00A32AD8">
        <w:rPr>
          <w:rFonts w:ascii="Times New Roman" w:hAnsi="Times New Roman" w:cs="Times New Roman"/>
          <w:sz w:val="24"/>
          <w:szCs w:val="24"/>
        </w:rPr>
        <w:t>5</w:t>
      </w:r>
      <w:r>
        <w:rPr>
          <w:rFonts w:ascii="Times New Roman" w:hAnsi="Times New Roman" w:cs="Times New Roman"/>
          <w:sz w:val="24"/>
          <w:szCs w:val="24"/>
        </w:rPr>
        <w:t>)</w:t>
      </w:r>
    </w:p>
    <w:p w:rsidR="00534D05" w:rsidRDefault="00534D05" w:rsidP="00534D05">
      <w:pPr>
        <w:spacing w:after="0" w:line="360" w:lineRule="auto"/>
        <w:jc w:val="both"/>
        <w:rPr>
          <w:rFonts w:ascii="Times New Roman" w:hAnsi="Times New Roman" w:cs="Times New Roman"/>
          <w:sz w:val="24"/>
          <w:szCs w:val="24"/>
        </w:rPr>
      </w:pPr>
    </w:p>
    <w:p w:rsidR="00534D05" w:rsidRDefault="00534D05" w:rsidP="00534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Substituting the equity value of $17.23 above (per $1 of current dividends) </w:t>
      </w:r>
      <w:r w:rsidR="00814922">
        <w:rPr>
          <w:rFonts w:ascii="Times New Roman" w:hAnsi="Times New Roman" w:cs="Times New Roman"/>
          <w:sz w:val="24"/>
          <w:szCs w:val="24"/>
        </w:rPr>
        <w:t>into the DGM equation (</w:t>
      </w:r>
      <w:r w:rsidR="00A32AD8">
        <w:rPr>
          <w:rFonts w:ascii="Times New Roman" w:hAnsi="Times New Roman" w:cs="Times New Roman"/>
          <w:sz w:val="24"/>
          <w:szCs w:val="24"/>
        </w:rPr>
        <w:t>5</w:t>
      </w:r>
      <w:r>
        <w:rPr>
          <w:rFonts w:ascii="Times New Roman" w:hAnsi="Times New Roman" w:cs="Times New Roman"/>
          <w:sz w:val="24"/>
          <w:szCs w:val="24"/>
        </w:rPr>
        <w:t xml:space="preserve">) along with the expected growth rate of 5% yields an estimated </w:t>
      </w:r>
      <w:r w:rsidR="00037BEC">
        <w:rPr>
          <w:rFonts w:ascii="Times New Roman" w:hAnsi="Times New Roman" w:cs="Times New Roman"/>
          <w:sz w:val="24"/>
          <w:szCs w:val="24"/>
        </w:rPr>
        <w:t xml:space="preserve">market </w:t>
      </w:r>
      <w:r>
        <w:rPr>
          <w:rFonts w:ascii="Times New Roman" w:hAnsi="Times New Roman" w:cs="Times New Roman"/>
          <w:sz w:val="24"/>
          <w:szCs w:val="24"/>
        </w:rPr>
        <w:t xml:space="preserve">cost of equity of 11.1%.  Deduction of the current risk free rate of 3.8% </w:t>
      </w:r>
      <w:r w:rsidR="00814922">
        <w:rPr>
          <w:rFonts w:ascii="Times New Roman" w:hAnsi="Times New Roman" w:cs="Times New Roman"/>
          <w:sz w:val="24"/>
          <w:szCs w:val="24"/>
        </w:rPr>
        <w:t xml:space="preserve">would then yield </w:t>
      </w:r>
      <w:r>
        <w:rPr>
          <w:rFonts w:ascii="Times New Roman" w:hAnsi="Times New Roman" w:cs="Times New Roman"/>
          <w:sz w:val="24"/>
          <w:szCs w:val="24"/>
        </w:rPr>
        <w:t>an estimated MRP of 7.3%.  This is 1.1% above the actual MRP of 6.2% for the first ten years</w:t>
      </w:r>
      <w:r w:rsidR="00A4025C">
        <w:rPr>
          <w:rFonts w:ascii="Times New Roman" w:hAnsi="Times New Roman" w:cs="Times New Roman"/>
          <w:sz w:val="24"/>
          <w:szCs w:val="24"/>
        </w:rPr>
        <w:t xml:space="preserve">.  To put this error in perspective, it is </w:t>
      </w:r>
      <w:r w:rsidR="00A34503">
        <w:rPr>
          <w:rFonts w:ascii="Times New Roman" w:hAnsi="Times New Roman" w:cs="Times New Roman"/>
          <w:sz w:val="24"/>
          <w:szCs w:val="24"/>
        </w:rPr>
        <w:t xml:space="preserve">almost four </w:t>
      </w:r>
      <w:r w:rsidR="00316345" w:rsidRPr="00364EC5">
        <w:rPr>
          <w:rFonts w:ascii="Times New Roman" w:hAnsi="Times New Roman" w:cs="Times New Roman"/>
          <w:sz w:val="24"/>
          <w:szCs w:val="24"/>
        </w:rPr>
        <w:t>times</w:t>
      </w:r>
      <w:r w:rsidR="00316345">
        <w:rPr>
          <w:rFonts w:ascii="Times New Roman" w:hAnsi="Times New Roman" w:cs="Times New Roman"/>
          <w:sz w:val="24"/>
          <w:szCs w:val="24"/>
        </w:rPr>
        <w:t xml:space="preserve"> </w:t>
      </w:r>
      <w:r w:rsidR="00A34503">
        <w:rPr>
          <w:rFonts w:ascii="Times New Roman" w:hAnsi="Times New Roman" w:cs="Times New Roman"/>
          <w:sz w:val="24"/>
          <w:szCs w:val="24"/>
        </w:rPr>
        <w:t xml:space="preserve">the average error reduction in adopting a two-stage DGM rather than a one-stage DGM.  Thus, if a two-stage DGM is considered important, the </w:t>
      </w:r>
      <w:r w:rsidR="00A2512C">
        <w:rPr>
          <w:rFonts w:ascii="Times New Roman" w:hAnsi="Times New Roman" w:cs="Times New Roman"/>
          <w:sz w:val="24"/>
          <w:szCs w:val="24"/>
        </w:rPr>
        <w:t xml:space="preserve">issue of the </w:t>
      </w:r>
      <w:r w:rsidR="00A34503">
        <w:rPr>
          <w:rFonts w:ascii="Times New Roman" w:hAnsi="Times New Roman" w:cs="Times New Roman"/>
          <w:sz w:val="24"/>
          <w:szCs w:val="24"/>
        </w:rPr>
        <w:t xml:space="preserve">term structure for the market cost of equity should be judged to be considerably more important.  </w:t>
      </w:r>
    </w:p>
    <w:p w:rsidR="00534D05" w:rsidRDefault="00534D05" w:rsidP="00534D05">
      <w:pPr>
        <w:spacing w:after="0" w:line="360" w:lineRule="auto"/>
        <w:jc w:val="both"/>
        <w:rPr>
          <w:rFonts w:ascii="Times New Roman" w:hAnsi="Times New Roman" w:cs="Times New Roman"/>
          <w:sz w:val="24"/>
          <w:szCs w:val="24"/>
        </w:rPr>
      </w:pPr>
    </w:p>
    <w:p w:rsidR="00E5275D" w:rsidRPr="00D813C7" w:rsidRDefault="00534D05" w:rsidP="00534D05">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This example demonstrates that, when the MRP and the risk free rate are negatively correlated but the changes are less than perfectly offsetting, the DGM with an assumed constant </w:t>
      </w:r>
      <w:r w:rsidR="00037BEC">
        <w:rPr>
          <w:rFonts w:ascii="Times New Roman" w:hAnsi="Times New Roman" w:cs="Times New Roman"/>
          <w:sz w:val="24"/>
          <w:szCs w:val="24"/>
        </w:rPr>
        <w:t xml:space="preserve">market </w:t>
      </w:r>
      <w:r>
        <w:rPr>
          <w:rFonts w:ascii="Times New Roman" w:hAnsi="Times New Roman" w:cs="Times New Roman"/>
          <w:sz w:val="24"/>
          <w:szCs w:val="24"/>
        </w:rPr>
        <w:t>cost of equity will overestimate the MRP when the risk free rate is unusually low (as is presently the case) and the overestimation may be very significant.  In response</w:t>
      </w:r>
      <w:r w:rsidR="00A4025C">
        <w:rPr>
          <w:rFonts w:ascii="Times New Roman" w:hAnsi="Times New Roman" w:cs="Times New Roman"/>
          <w:sz w:val="24"/>
          <w:szCs w:val="24"/>
        </w:rPr>
        <w:t xml:space="preserve"> to this analysis</w:t>
      </w:r>
      <w:r w:rsidR="00BE7F71">
        <w:rPr>
          <w:rFonts w:ascii="Times New Roman" w:hAnsi="Times New Roman" w:cs="Times New Roman"/>
          <w:sz w:val="24"/>
          <w:szCs w:val="24"/>
        </w:rPr>
        <w:t>, CEG (2012</w:t>
      </w:r>
      <w:r>
        <w:rPr>
          <w:rFonts w:ascii="Times New Roman" w:hAnsi="Times New Roman" w:cs="Times New Roman"/>
          <w:sz w:val="24"/>
          <w:szCs w:val="24"/>
        </w:rPr>
        <w:t xml:space="preserve">, pp. 37-41) argues that the assumption of a </w:t>
      </w:r>
      <w:r w:rsidR="00A4025C">
        <w:rPr>
          <w:rFonts w:ascii="Times New Roman" w:hAnsi="Times New Roman" w:cs="Times New Roman"/>
          <w:sz w:val="24"/>
          <w:szCs w:val="24"/>
        </w:rPr>
        <w:t xml:space="preserve">flat term structure for the market </w:t>
      </w:r>
      <w:r w:rsidR="00037BEC">
        <w:rPr>
          <w:rFonts w:ascii="Times New Roman" w:hAnsi="Times New Roman" w:cs="Times New Roman"/>
          <w:sz w:val="24"/>
          <w:szCs w:val="24"/>
        </w:rPr>
        <w:t xml:space="preserve">cost of equity </w:t>
      </w:r>
      <w:r>
        <w:rPr>
          <w:rFonts w:ascii="Times New Roman" w:hAnsi="Times New Roman" w:cs="Times New Roman"/>
          <w:sz w:val="24"/>
          <w:szCs w:val="24"/>
        </w:rPr>
        <w:t xml:space="preserve">is </w:t>
      </w:r>
      <w:r w:rsidR="00A4025C">
        <w:rPr>
          <w:rFonts w:ascii="Times New Roman" w:hAnsi="Times New Roman" w:cs="Times New Roman"/>
          <w:sz w:val="24"/>
          <w:szCs w:val="24"/>
        </w:rPr>
        <w:t xml:space="preserve">both </w:t>
      </w:r>
      <w:r>
        <w:rPr>
          <w:rFonts w:ascii="Times New Roman" w:hAnsi="Times New Roman" w:cs="Times New Roman"/>
          <w:sz w:val="24"/>
          <w:szCs w:val="24"/>
        </w:rPr>
        <w:t xml:space="preserve">unavoidable and is generally adopted by analysts.  The latter point is definitely true but </w:t>
      </w:r>
      <w:r w:rsidR="00A4025C">
        <w:rPr>
          <w:rFonts w:ascii="Times New Roman" w:hAnsi="Times New Roman" w:cs="Times New Roman"/>
          <w:sz w:val="24"/>
          <w:szCs w:val="24"/>
        </w:rPr>
        <w:t xml:space="preserve">the former point is not, i.e., the assumption need not be adopted.  Furthermore, if the market cost of equity that is being estimated is the current rate for the next </w:t>
      </w:r>
      <w:r w:rsidR="00A4025C">
        <w:rPr>
          <w:rFonts w:ascii="Times New Roman" w:hAnsi="Times New Roman" w:cs="Times New Roman"/>
          <w:sz w:val="24"/>
          <w:szCs w:val="24"/>
        </w:rPr>
        <w:lastRenderedPageBreak/>
        <w:t xml:space="preserve">ten years, then the other rate required in the DGM is the expected ten year rate in ten years and it is </w:t>
      </w:r>
      <w:r w:rsidR="00037BEC">
        <w:rPr>
          <w:rFonts w:ascii="Times New Roman" w:hAnsi="Times New Roman" w:cs="Times New Roman"/>
          <w:sz w:val="24"/>
          <w:szCs w:val="24"/>
        </w:rPr>
        <w:t xml:space="preserve">both </w:t>
      </w:r>
      <w:r w:rsidR="00A4025C">
        <w:rPr>
          <w:rFonts w:ascii="Times New Roman" w:hAnsi="Times New Roman" w:cs="Times New Roman"/>
          <w:sz w:val="24"/>
          <w:szCs w:val="24"/>
        </w:rPr>
        <w:t xml:space="preserve">plausible to treat this as the long-run average and easier to estimate this than </w:t>
      </w:r>
      <w:r w:rsidR="00D813C7">
        <w:rPr>
          <w:rFonts w:ascii="Times New Roman" w:hAnsi="Times New Roman" w:cs="Times New Roman"/>
          <w:sz w:val="24"/>
          <w:szCs w:val="24"/>
        </w:rPr>
        <w:t xml:space="preserve">the rate for the next ten years.  </w:t>
      </w:r>
      <w:r w:rsidR="00D813C7" w:rsidRPr="00364EC5">
        <w:rPr>
          <w:rFonts w:ascii="Times New Roman" w:hAnsi="Times New Roman" w:cs="Times New Roman"/>
          <w:sz w:val="24"/>
          <w:szCs w:val="24"/>
        </w:rPr>
        <w:t>In setting this long-run average value for the ten-year cost of equity, one should be guided by the fact that it must be related to the long-run expected growth rate in DPS</w:t>
      </w:r>
      <w:r w:rsidR="00316345" w:rsidRPr="00364EC5">
        <w:rPr>
          <w:rFonts w:ascii="Times New Roman" w:hAnsi="Times New Roman" w:cs="Times New Roman"/>
          <w:sz w:val="24"/>
          <w:szCs w:val="24"/>
        </w:rPr>
        <w:t>,</w:t>
      </w:r>
      <w:r w:rsidR="00D813C7" w:rsidRPr="00364EC5">
        <w:rPr>
          <w:rFonts w:ascii="Times New Roman" w:hAnsi="Times New Roman" w:cs="Times New Roman"/>
          <w:sz w:val="24"/>
          <w:szCs w:val="24"/>
        </w:rPr>
        <w:t xml:space="preserve"> as argued by SFG (2013, section 5), although the mechanics of this are far from clear.</w:t>
      </w:r>
    </w:p>
    <w:p w:rsidR="00E5275D" w:rsidRDefault="00E5275D" w:rsidP="00534D05">
      <w:pPr>
        <w:spacing w:after="0" w:line="360" w:lineRule="auto"/>
        <w:jc w:val="both"/>
        <w:rPr>
          <w:rFonts w:ascii="Times New Roman" w:hAnsi="Times New Roman" w:cs="Times New Roman"/>
          <w:sz w:val="24"/>
          <w:szCs w:val="24"/>
        </w:rPr>
      </w:pPr>
    </w:p>
    <w:p w:rsidR="007F4D67" w:rsidRPr="0013305E" w:rsidRDefault="00E5275D" w:rsidP="00534D05">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In summary, it is very likely that the true term structure for the market </w:t>
      </w:r>
      <w:r w:rsidR="00037BEC">
        <w:rPr>
          <w:rFonts w:ascii="Times New Roman" w:hAnsi="Times New Roman" w:cs="Times New Roman"/>
          <w:sz w:val="24"/>
          <w:szCs w:val="24"/>
        </w:rPr>
        <w:t xml:space="preserve">cost of equity </w:t>
      </w:r>
      <w:r>
        <w:rPr>
          <w:rFonts w:ascii="Times New Roman" w:hAnsi="Times New Roman" w:cs="Times New Roman"/>
          <w:sz w:val="24"/>
          <w:szCs w:val="24"/>
        </w:rPr>
        <w:t xml:space="preserve">is not flat at some points in time and there may be significant benefits from using a DGM model in which non-flat term structures are recognised.  This would involve setting the </w:t>
      </w:r>
      <w:r w:rsidR="0024599E">
        <w:rPr>
          <w:rFonts w:ascii="Times New Roman" w:hAnsi="Times New Roman" w:cs="Times New Roman"/>
          <w:sz w:val="24"/>
          <w:szCs w:val="24"/>
        </w:rPr>
        <w:t xml:space="preserve">expected ten-year market cost of equity in ten years </w:t>
      </w:r>
      <w:r>
        <w:rPr>
          <w:rFonts w:ascii="Times New Roman" w:hAnsi="Times New Roman" w:cs="Times New Roman"/>
          <w:sz w:val="24"/>
          <w:szCs w:val="24"/>
        </w:rPr>
        <w:t>equal to</w:t>
      </w:r>
      <w:r w:rsidR="0024599E">
        <w:rPr>
          <w:rFonts w:ascii="Times New Roman" w:hAnsi="Times New Roman" w:cs="Times New Roman"/>
          <w:sz w:val="24"/>
          <w:szCs w:val="24"/>
        </w:rPr>
        <w:t xml:space="preserve"> the estimated long-run average value for this parameter and then using the DGM to find the current ten-year marke</w:t>
      </w:r>
      <w:r w:rsidR="0013305E">
        <w:rPr>
          <w:rFonts w:ascii="Times New Roman" w:hAnsi="Times New Roman" w:cs="Times New Roman"/>
          <w:sz w:val="24"/>
          <w:szCs w:val="24"/>
        </w:rPr>
        <w:t xml:space="preserve">t cost of equity.  </w:t>
      </w:r>
    </w:p>
    <w:p w:rsidR="00EA0F73" w:rsidRDefault="00EA0F73" w:rsidP="009E1846">
      <w:pPr>
        <w:spacing w:after="0" w:line="360" w:lineRule="auto"/>
        <w:jc w:val="both"/>
        <w:rPr>
          <w:rFonts w:ascii="Times New Roman" w:hAnsi="Times New Roman" w:cs="Times New Roman"/>
          <w:sz w:val="24"/>
          <w:szCs w:val="24"/>
        </w:rPr>
      </w:pPr>
    </w:p>
    <w:p w:rsidR="00EA0F73" w:rsidRPr="00A54826" w:rsidRDefault="00EA0F73" w:rsidP="00EA0F73">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The </w:t>
      </w:r>
      <w:r w:rsidR="003F0737">
        <w:rPr>
          <w:rFonts w:ascii="Times New Roman" w:hAnsi="Times New Roman" w:cs="Times New Roman"/>
          <w:b/>
          <w:sz w:val="24"/>
          <w:szCs w:val="24"/>
        </w:rPr>
        <w:t>Correction for Imputation Credits</w:t>
      </w:r>
    </w:p>
    <w:p w:rsidR="00EA0F73" w:rsidRDefault="00EA0F73" w:rsidP="009E1846">
      <w:pPr>
        <w:spacing w:after="0" w:line="360" w:lineRule="auto"/>
        <w:jc w:val="both"/>
        <w:rPr>
          <w:rFonts w:ascii="Times New Roman" w:hAnsi="Times New Roman" w:cs="Times New Roman"/>
          <w:sz w:val="24"/>
          <w:szCs w:val="24"/>
        </w:rPr>
      </w:pPr>
    </w:p>
    <w:p w:rsidR="003F0737" w:rsidRDefault="00393CBF" w:rsidP="003F07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AER’s </w:t>
      </w:r>
      <w:r w:rsidR="000D4B20">
        <w:rPr>
          <w:rFonts w:ascii="Times New Roman" w:hAnsi="Times New Roman" w:cs="Times New Roman"/>
          <w:sz w:val="24"/>
          <w:szCs w:val="24"/>
        </w:rPr>
        <w:t xml:space="preserve">proposed </w:t>
      </w:r>
      <w:r>
        <w:rPr>
          <w:rFonts w:ascii="Times New Roman" w:hAnsi="Times New Roman" w:cs="Times New Roman"/>
          <w:sz w:val="24"/>
          <w:szCs w:val="24"/>
        </w:rPr>
        <w:t xml:space="preserve">model seeks to estimate the discount rate in the Officer (1994) CAPM.  Consequently the </w:t>
      </w:r>
      <w:r w:rsidR="003F0737">
        <w:rPr>
          <w:rFonts w:ascii="Times New Roman" w:hAnsi="Times New Roman" w:cs="Times New Roman"/>
          <w:sz w:val="24"/>
          <w:szCs w:val="24"/>
        </w:rPr>
        <w:t xml:space="preserve">dividends in the numerator </w:t>
      </w:r>
      <w:r w:rsidR="00440943">
        <w:rPr>
          <w:rFonts w:ascii="Times New Roman" w:hAnsi="Times New Roman" w:cs="Times New Roman"/>
          <w:sz w:val="24"/>
          <w:szCs w:val="24"/>
        </w:rPr>
        <w:t>(</w:t>
      </w:r>
      <w:r w:rsidR="00440943" w:rsidRPr="00440943">
        <w:rPr>
          <w:rFonts w:ascii="Times New Roman" w:hAnsi="Times New Roman" w:cs="Times New Roman"/>
          <w:i/>
          <w:sz w:val="24"/>
          <w:szCs w:val="24"/>
        </w:rPr>
        <w:t>D</w:t>
      </w:r>
      <w:r w:rsidR="00440943" w:rsidRPr="00440943">
        <w:rPr>
          <w:rFonts w:ascii="Times New Roman" w:hAnsi="Times New Roman" w:cs="Times New Roman"/>
          <w:i/>
          <w:sz w:val="24"/>
          <w:szCs w:val="24"/>
          <w:vertAlign w:val="subscript"/>
        </w:rPr>
        <w:t>t</w:t>
      </w:r>
      <w:r w:rsidR="00440943">
        <w:rPr>
          <w:rFonts w:ascii="Times New Roman" w:hAnsi="Times New Roman" w:cs="Times New Roman"/>
          <w:sz w:val="24"/>
          <w:szCs w:val="24"/>
        </w:rPr>
        <w:t xml:space="preserve"> for year </w:t>
      </w:r>
      <w:r w:rsidR="00440943" w:rsidRPr="00440943">
        <w:rPr>
          <w:rFonts w:ascii="Times New Roman" w:hAnsi="Times New Roman" w:cs="Times New Roman"/>
          <w:i/>
          <w:sz w:val="24"/>
          <w:szCs w:val="24"/>
        </w:rPr>
        <w:t>t</w:t>
      </w:r>
      <w:r w:rsidR="00440943">
        <w:rPr>
          <w:rFonts w:ascii="Times New Roman" w:hAnsi="Times New Roman" w:cs="Times New Roman"/>
          <w:sz w:val="24"/>
          <w:szCs w:val="24"/>
        </w:rPr>
        <w:t xml:space="preserve">) </w:t>
      </w:r>
      <w:r w:rsidR="003F0737">
        <w:rPr>
          <w:rFonts w:ascii="Times New Roman" w:hAnsi="Times New Roman" w:cs="Times New Roman"/>
          <w:sz w:val="24"/>
          <w:szCs w:val="24"/>
        </w:rPr>
        <w:t xml:space="preserve">must be defined to be gross dividends, and these are equal to the cash dividends augmented by the imputation credits to the extent that they can be used.  Letting </w:t>
      </w:r>
      <w:r w:rsidR="003F0737" w:rsidRPr="000C3906">
        <w:rPr>
          <w:rFonts w:ascii="Times New Roman" w:hAnsi="Times New Roman" w:cs="Times New Roman"/>
          <w:i/>
          <w:sz w:val="24"/>
          <w:szCs w:val="24"/>
        </w:rPr>
        <w:t>D</w:t>
      </w:r>
      <w:r w:rsidR="003F0737" w:rsidRPr="000C3906">
        <w:rPr>
          <w:rFonts w:ascii="Times New Roman" w:hAnsi="Times New Roman" w:cs="Times New Roman"/>
          <w:i/>
          <w:sz w:val="24"/>
          <w:szCs w:val="24"/>
          <w:vertAlign w:val="subscript"/>
        </w:rPr>
        <w:t>ct</w:t>
      </w:r>
      <w:r w:rsidR="003F0737">
        <w:rPr>
          <w:rFonts w:ascii="Times New Roman" w:hAnsi="Times New Roman" w:cs="Times New Roman"/>
          <w:sz w:val="24"/>
          <w:szCs w:val="24"/>
        </w:rPr>
        <w:t xml:space="preserve"> denote the expected cash dividends in year </w:t>
      </w:r>
      <w:r w:rsidR="003F0737" w:rsidRPr="000C3906">
        <w:rPr>
          <w:rFonts w:ascii="Times New Roman" w:hAnsi="Times New Roman" w:cs="Times New Roman"/>
          <w:i/>
          <w:sz w:val="24"/>
          <w:szCs w:val="24"/>
        </w:rPr>
        <w:t>t</w:t>
      </w:r>
      <w:r w:rsidR="003F0737">
        <w:rPr>
          <w:rFonts w:ascii="Times New Roman" w:hAnsi="Times New Roman" w:cs="Times New Roman"/>
          <w:sz w:val="24"/>
          <w:szCs w:val="24"/>
        </w:rPr>
        <w:t xml:space="preserve">, </w:t>
      </w:r>
      <w:r w:rsidR="003F0737" w:rsidRPr="00F67A22">
        <w:rPr>
          <w:rFonts w:ascii="Times New Roman" w:hAnsi="Times New Roman" w:cs="Times New Roman"/>
          <w:i/>
          <w:sz w:val="24"/>
          <w:szCs w:val="24"/>
        </w:rPr>
        <w:t>IC</w:t>
      </w:r>
      <w:r w:rsidR="003F0737" w:rsidRPr="00F67A22">
        <w:rPr>
          <w:rFonts w:ascii="Times New Roman" w:hAnsi="Times New Roman" w:cs="Times New Roman"/>
          <w:i/>
          <w:sz w:val="24"/>
          <w:szCs w:val="24"/>
          <w:vertAlign w:val="subscript"/>
        </w:rPr>
        <w:t>t</w:t>
      </w:r>
      <w:r w:rsidR="003F0737">
        <w:rPr>
          <w:rFonts w:ascii="Times New Roman" w:hAnsi="Times New Roman" w:cs="Times New Roman"/>
          <w:sz w:val="24"/>
          <w:szCs w:val="24"/>
        </w:rPr>
        <w:t xml:space="preserve"> the expected imputation credits for year </w:t>
      </w:r>
      <w:r w:rsidR="003F0737" w:rsidRPr="00F67A22">
        <w:rPr>
          <w:rFonts w:ascii="Times New Roman" w:hAnsi="Times New Roman" w:cs="Times New Roman"/>
          <w:i/>
          <w:sz w:val="24"/>
          <w:szCs w:val="24"/>
        </w:rPr>
        <w:t>t</w:t>
      </w:r>
      <w:r w:rsidR="003F0737">
        <w:rPr>
          <w:rFonts w:ascii="Times New Roman" w:hAnsi="Times New Roman" w:cs="Times New Roman"/>
          <w:sz w:val="24"/>
          <w:szCs w:val="24"/>
        </w:rPr>
        <w:t xml:space="preserve">, </w:t>
      </w:r>
      <w:r w:rsidR="007841F5">
        <w:rPr>
          <w:rFonts w:ascii="Times New Roman" w:hAnsi="Times New Roman" w:cs="Times New Roman"/>
          <w:sz w:val="24"/>
          <w:szCs w:val="24"/>
        </w:rPr>
        <w:t xml:space="preserve">and </w:t>
      </w:r>
      <w:r w:rsidR="003F0737" w:rsidRPr="00BD1F80">
        <w:rPr>
          <w:rFonts w:ascii="Times New Roman" w:hAnsi="Times New Roman" w:cs="Times New Roman"/>
          <w:i/>
          <w:sz w:val="24"/>
          <w:szCs w:val="24"/>
        </w:rPr>
        <w:t>U</w:t>
      </w:r>
      <w:r w:rsidR="003F0737">
        <w:rPr>
          <w:rFonts w:ascii="Times New Roman" w:hAnsi="Times New Roman" w:cs="Times New Roman"/>
          <w:sz w:val="24"/>
          <w:szCs w:val="24"/>
        </w:rPr>
        <w:t xml:space="preserve"> the market utilisation rate for imputation credits, the expected gross dividends for year </w:t>
      </w:r>
      <w:r w:rsidR="003F0737" w:rsidRPr="000C3906">
        <w:rPr>
          <w:rFonts w:ascii="Times New Roman" w:hAnsi="Times New Roman" w:cs="Times New Roman"/>
          <w:i/>
          <w:sz w:val="24"/>
          <w:szCs w:val="24"/>
        </w:rPr>
        <w:t>t</w:t>
      </w:r>
      <w:r w:rsidR="003F0737">
        <w:rPr>
          <w:rFonts w:ascii="Times New Roman" w:hAnsi="Times New Roman" w:cs="Times New Roman"/>
          <w:sz w:val="24"/>
          <w:szCs w:val="24"/>
        </w:rPr>
        <w:t xml:space="preserve"> are as follows:</w:t>
      </w:r>
    </w:p>
    <w:p w:rsidR="003F0737" w:rsidRDefault="003F0737" w:rsidP="003F0737">
      <w:pPr>
        <w:spacing w:after="0" w:line="360" w:lineRule="auto"/>
        <w:jc w:val="both"/>
        <w:rPr>
          <w:rFonts w:ascii="Times New Roman" w:hAnsi="Times New Roman" w:cs="Times New Roman"/>
          <w:sz w:val="24"/>
          <w:szCs w:val="24"/>
        </w:rPr>
      </w:pPr>
    </w:p>
    <w:p w:rsidR="003F0737" w:rsidRDefault="006B5EC4" w:rsidP="003F0737">
      <w:pPr>
        <w:spacing w:after="0" w:line="360" w:lineRule="auto"/>
        <w:jc w:val="center"/>
        <w:rPr>
          <w:rFonts w:ascii="Times New Roman" w:hAnsi="Times New Roman" w:cs="Times New Roman"/>
          <w:sz w:val="24"/>
          <w:szCs w:val="24"/>
        </w:rPr>
      </w:pPr>
      <w:r w:rsidRPr="006B5EC4">
        <w:rPr>
          <w:rFonts w:ascii="Times New Roman" w:hAnsi="Times New Roman" w:cs="Times New Roman"/>
          <w:b/>
          <w:bCs/>
          <w:position w:val="-12"/>
          <w:sz w:val="24"/>
          <w:szCs w:val="24"/>
        </w:rPr>
        <w:object w:dxaOrig="1600" w:dyaOrig="360">
          <v:shape id="_x0000_i1042" type="#_x0000_t75" style="width:80.15pt;height:18.15pt" o:ole="">
            <v:imagedata r:id="rId43" o:title=""/>
          </v:shape>
          <o:OLEObject Type="Embed" ProgID="Equation.3" ShapeID="_x0000_i1042" DrawAspect="Content" ObjectID="_1448709070" r:id="rId44"/>
        </w:object>
      </w:r>
    </w:p>
    <w:p w:rsidR="003F0737" w:rsidRDefault="003F0737" w:rsidP="003F0737">
      <w:pPr>
        <w:spacing w:after="0" w:line="360" w:lineRule="auto"/>
        <w:jc w:val="both"/>
        <w:rPr>
          <w:rFonts w:ascii="Times New Roman" w:hAnsi="Times New Roman" w:cs="Times New Roman"/>
          <w:sz w:val="24"/>
          <w:szCs w:val="24"/>
        </w:rPr>
      </w:pPr>
    </w:p>
    <w:p w:rsidR="006B5EC4" w:rsidRDefault="006B5EC4"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imputation credits arise solely from the fully franked cash dividends (</w:t>
      </w:r>
      <w:r w:rsidRPr="006B5EC4">
        <w:rPr>
          <w:rFonts w:ascii="Times New Roman" w:hAnsi="Times New Roman" w:cs="Times New Roman"/>
          <w:i/>
          <w:sz w:val="24"/>
          <w:szCs w:val="24"/>
        </w:rPr>
        <w:t>D</w:t>
      </w:r>
      <w:r w:rsidRPr="006B5EC4">
        <w:rPr>
          <w:rFonts w:ascii="Times New Roman" w:hAnsi="Times New Roman" w:cs="Times New Roman"/>
          <w:i/>
          <w:sz w:val="24"/>
          <w:szCs w:val="24"/>
          <w:vertAlign w:val="subscript"/>
        </w:rPr>
        <w:t>Ft</w:t>
      </w:r>
      <w:r>
        <w:rPr>
          <w:rFonts w:ascii="Times New Roman" w:hAnsi="Times New Roman" w:cs="Times New Roman"/>
          <w:sz w:val="24"/>
          <w:szCs w:val="24"/>
        </w:rPr>
        <w:t xml:space="preserve">), </w:t>
      </w:r>
      <w:r w:rsidR="00440943">
        <w:rPr>
          <w:rFonts w:ascii="Times New Roman" w:hAnsi="Times New Roman" w:cs="Times New Roman"/>
          <w:sz w:val="24"/>
          <w:szCs w:val="24"/>
        </w:rPr>
        <w:t xml:space="preserve">because dividends are either fully franked or unfranked.  </w:t>
      </w:r>
      <w:r w:rsidR="005601C9">
        <w:rPr>
          <w:rFonts w:ascii="Times New Roman" w:hAnsi="Times New Roman" w:cs="Times New Roman"/>
          <w:sz w:val="24"/>
          <w:szCs w:val="24"/>
        </w:rPr>
        <w:t xml:space="preserve">Also, by </w:t>
      </w:r>
      <w:r>
        <w:rPr>
          <w:rFonts w:ascii="Times New Roman" w:hAnsi="Times New Roman" w:cs="Times New Roman"/>
          <w:sz w:val="24"/>
          <w:szCs w:val="24"/>
        </w:rPr>
        <w:t>virtue of being fully franked the relationship</w:t>
      </w:r>
      <w:r w:rsidR="00440943">
        <w:rPr>
          <w:rFonts w:ascii="Times New Roman" w:hAnsi="Times New Roman" w:cs="Times New Roman"/>
          <w:sz w:val="24"/>
          <w:szCs w:val="24"/>
        </w:rPr>
        <w:t xml:space="preserve"> between </w:t>
      </w:r>
      <w:r w:rsidR="00440943" w:rsidRPr="00440943">
        <w:rPr>
          <w:rFonts w:ascii="Times New Roman" w:hAnsi="Times New Roman" w:cs="Times New Roman"/>
          <w:i/>
          <w:sz w:val="24"/>
          <w:szCs w:val="24"/>
        </w:rPr>
        <w:t>IC</w:t>
      </w:r>
      <w:r w:rsidR="00440943" w:rsidRPr="00440943">
        <w:rPr>
          <w:rFonts w:ascii="Times New Roman" w:hAnsi="Times New Roman" w:cs="Times New Roman"/>
          <w:i/>
          <w:sz w:val="24"/>
          <w:szCs w:val="24"/>
          <w:vertAlign w:val="subscript"/>
        </w:rPr>
        <w:t>t</w:t>
      </w:r>
      <w:r w:rsidR="00440943">
        <w:rPr>
          <w:rFonts w:ascii="Times New Roman" w:hAnsi="Times New Roman" w:cs="Times New Roman"/>
          <w:sz w:val="24"/>
          <w:szCs w:val="24"/>
        </w:rPr>
        <w:t xml:space="preserve"> and </w:t>
      </w:r>
      <w:r w:rsidR="00440943" w:rsidRPr="00440943">
        <w:rPr>
          <w:rFonts w:ascii="Times New Roman" w:hAnsi="Times New Roman" w:cs="Times New Roman"/>
          <w:i/>
          <w:sz w:val="24"/>
          <w:szCs w:val="24"/>
        </w:rPr>
        <w:t>D</w:t>
      </w:r>
      <w:r w:rsidR="00440943" w:rsidRPr="00440943">
        <w:rPr>
          <w:rFonts w:ascii="Times New Roman" w:hAnsi="Times New Roman" w:cs="Times New Roman"/>
          <w:i/>
          <w:sz w:val="24"/>
          <w:szCs w:val="24"/>
          <w:vertAlign w:val="subscript"/>
        </w:rPr>
        <w:t>Ft</w:t>
      </w:r>
      <w:r>
        <w:rPr>
          <w:rFonts w:ascii="Times New Roman" w:hAnsi="Times New Roman" w:cs="Times New Roman"/>
          <w:sz w:val="24"/>
          <w:szCs w:val="24"/>
        </w:rPr>
        <w:t xml:space="preserve"> is as follows:</w:t>
      </w:r>
    </w:p>
    <w:p w:rsidR="00440943" w:rsidRDefault="00440943" w:rsidP="009E1846">
      <w:pPr>
        <w:spacing w:after="0" w:line="360" w:lineRule="auto"/>
        <w:jc w:val="both"/>
        <w:rPr>
          <w:rFonts w:ascii="Times New Roman" w:hAnsi="Times New Roman" w:cs="Times New Roman"/>
          <w:sz w:val="24"/>
          <w:szCs w:val="24"/>
        </w:rPr>
      </w:pPr>
    </w:p>
    <w:p w:rsidR="006B5EC4" w:rsidRPr="006B5EC4" w:rsidRDefault="006B5EC4" w:rsidP="006B5EC4">
      <w:pPr>
        <w:spacing w:after="0" w:line="360" w:lineRule="auto"/>
        <w:jc w:val="center"/>
        <w:rPr>
          <w:rFonts w:ascii="Times New Roman" w:hAnsi="Times New Roman" w:cs="Times New Roman"/>
          <w:sz w:val="24"/>
          <w:szCs w:val="24"/>
        </w:rPr>
      </w:pPr>
      <w:r w:rsidRPr="006B5EC4">
        <w:rPr>
          <w:rFonts w:ascii="Times New Roman" w:hAnsi="Times New Roman" w:cs="Times New Roman"/>
          <w:b/>
          <w:bCs/>
          <w:position w:val="-32"/>
          <w:sz w:val="24"/>
          <w:szCs w:val="24"/>
        </w:rPr>
        <w:object w:dxaOrig="1760" w:dyaOrig="760">
          <v:shape id="_x0000_i1043" type="#_x0000_t75" style="width:88.3pt;height:38.2pt" o:ole="">
            <v:imagedata r:id="rId45" o:title=""/>
          </v:shape>
          <o:OLEObject Type="Embed" ProgID="Equation.3" ShapeID="_x0000_i1043" DrawAspect="Content" ObjectID="_1448709071" r:id="rId46"/>
        </w:object>
      </w:r>
    </w:p>
    <w:p w:rsidR="003F0737" w:rsidRDefault="003F0737" w:rsidP="009E1846">
      <w:pPr>
        <w:spacing w:after="0" w:line="360" w:lineRule="auto"/>
        <w:jc w:val="both"/>
        <w:rPr>
          <w:rFonts w:ascii="Times New Roman" w:hAnsi="Times New Roman" w:cs="Times New Roman"/>
          <w:sz w:val="24"/>
          <w:szCs w:val="24"/>
        </w:rPr>
      </w:pPr>
    </w:p>
    <w:p w:rsidR="006B5EC4" w:rsidRDefault="006B5EC4"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6B5EC4">
        <w:rPr>
          <w:rFonts w:ascii="Times New Roman" w:hAnsi="Times New Roman" w:cs="Times New Roman"/>
          <w:i/>
          <w:sz w:val="24"/>
          <w:szCs w:val="24"/>
        </w:rPr>
        <w:t>T</w:t>
      </w:r>
      <w:r w:rsidRPr="006B5EC4">
        <w:rPr>
          <w:rFonts w:ascii="Times New Roman" w:hAnsi="Times New Roman" w:cs="Times New Roman"/>
          <w:i/>
          <w:sz w:val="24"/>
          <w:szCs w:val="24"/>
          <w:vertAlign w:val="subscript"/>
        </w:rPr>
        <w:t>c</w:t>
      </w:r>
      <w:r>
        <w:rPr>
          <w:rFonts w:ascii="Times New Roman" w:hAnsi="Times New Roman" w:cs="Times New Roman"/>
          <w:sz w:val="24"/>
          <w:szCs w:val="24"/>
        </w:rPr>
        <w:t xml:space="preserve"> is the corporate tax rate.  Substitution of the last equatio</w:t>
      </w:r>
      <w:r w:rsidR="007841F5">
        <w:rPr>
          <w:rFonts w:ascii="Times New Roman" w:hAnsi="Times New Roman" w:cs="Times New Roman"/>
          <w:sz w:val="24"/>
          <w:szCs w:val="24"/>
        </w:rPr>
        <w:t xml:space="preserve">n into its predecessor, and letting </w:t>
      </w:r>
      <w:r w:rsidR="007841F5" w:rsidRPr="00BD1F80">
        <w:rPr>
          <w:rFonts w:ascii="Times New Roman" w:hAnsi="Times New Roman" w:cs="Times New Roman"/>
          <w:i/>
          <w:sz w:val="24"/>
          <w:szCs w:val="24"/>
        </w:rPr>
        <w:t>P</w:t>
      </w:r>
      <w:r w:rsidR="007841F5">
        <w:rPr>
          <w:rFonts w:ascii="Times New Roman" w:hAnsi="Times New Roman" w:cs="Times New Roman"/>
          <w:sz w:val="24"/>
          <w:szCs w:val="24"/>
        </w:rPr>
        <w:t xml:space="preserve"> denote the proportion of dividends that are fully franked, yields:</w:t>
      </w:r>
    </w:p>
    <w:p w:rsidR="006B5EC4" w:rsidRDefault="006B5EC4" w:rsidP="009E1846">
      <w:pPr>
        <w:spacing w:after="0" w:line="360" w:lineRule="auto"/>
        <w:jc w:val="both"/>
        <w:rPr>
          <w:rFonts w:ascii="Times New Roman" w:hAnsi="Times New Roman" w:cs="Times New Roman"/>
          <w:sz w:val="24"/>
          <w:szCs w:val="24"/>
        </w:rPr>
      </w:pPr>
    </w:p>
    <w:p w:rsidR="006B5EC4" w:rsidRDefault="007841F5" w:rsidP="006B5EC4">
      <w:pPr>
        <w:spacing w:after="0" w:line="360" w:lineRule="auto"/>
        <w:jc w:val="center"/>
        <w:rPr>
          <w:rFonts w:ascii="Times New Roman" w:hAnsi="Times New Roman" w:cs="Times New Roman"/>
          <w:sz w:val="24"/>
          <w:szCs w:val="24"/>
        </w:rPr>
      </w:pPr>
      <w:r w:rsidRPr="006B5EC4">
        <w:rPr>
          <w:rFonts w:ascii="Times New Roman" w:hAnsi="Times New Roman" w:cs="Times New Roman"/>
          <w:b/>
          <w:bCs/>
          <w:position w:val="-34"/>
          <w:sz w:val="24"/>
          <w:szCs w:val="24"/>
        </w:rPr>
        <w:object w:dxaOrig="6820" w:dyaOrig="800">
          <v:shape id="_x0000_i1044" type="#_x0000_t75" style="width:341.2pt;height:40.7pt" o:ole="">
            <v:imagedata r:id="rId47" o:title=""/>
          </v:shape>
          <o:OLEObject Type="Embed" ProgID="Equation.3" ShapeID="_x0000_i1044" DrawAspect="Content" ObjectID="_1448709072" r:id="rId48"/>
        </w:object>
      </w:r>
    </w:p>
    <w:p w:rsidR="006B5EC4" w:rsidRDefault="006B5EC4" w:rsidP="009E1846">
      <w:pPr>
        <w:spacing w:after="0" w:line="360" w:lineRule="auto"/>
        <w:jc w:val="both"/>
        <w:rPr>
          <w:rFonts w:ascii="Times New Roman" w:hAnsi="Times New Roman" w:cs="Times New Roman"/>
          <w:sz w:val="24"/>
          <w:szCs w:val="24"/>
        </w:rPr>
      </w:pPr>
    </w:p>
    <w:p w:rsidR="00AB165C" w:rsidRDefault="006B5EC4"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the formula used by the AER, </w:t>
      </w:r>
      <w:r w:rsidR="00A32AD8">
        <w:rPr>
          <w:rFonts w:ascii="Times New Roman" w:hAnsi="Times New Roman" w:cs="Times New Roman"/>
          <w:sz w:val="24"/>
          <w:szCs w:val="24"/>
        </w:rPr>
        <w:t xml:space="preserve">as shown in equation (2), </w:t>
      </w:r>
      <w:r w:rsidR="00D57A1D">
        <w:rPr>
          <w:rFonts w:ascii="Times New Roman" w:hAnsi="Times New Roman" w:cs="Times New Roman"/>
          <w:sz w:val="24"/>
          <w:szCs w:val="24"/>
        </w:rPr>
        <w:t xml:space="preserve">and I therefore concur with it.  I also concur with the AER’s estimate of </w:t>
      </w:r>
      <w:r w:rsidR="00D57A1D" w:rsidRPr="00413EC1">
        <w:rPr>
          <w:rFonts w:ascii="Times New Roman" w:hAnsi="Times New Roman" w:cs="Times New Roman"/>
          <w:i/>
          <w:sz w:val="24"/>
          <w:szCs w:val="24"/>
        </w:rPr>
        <w:t>P</w:t>
      </w:r>
      <w:r w:rsidR="00D57A1D">
        <w:rPr>
          <w:rFonts w:ascii="Times New Roman" w:hAnsi="Times New Roman" w:cs="Times New Roman"/>
          <w:sz w:val="24"/>
          <w:szCs w:val="24"/>
        </w:rPr>
        <w:t>, of 0.75</w:t>
      </w:r>
      <w:r w:rsidR="00BD5157">
        <w:rPr>
          <w:rFonts w:ascii="Times New Roman" w:hAnsi="Times New Roman" w:cs="Times New Roman"/>
          <w:sz w:val="24"/>
          <w:szCs w:val="24"/>
        </w:rPr>
        <w:t xml:space="preserve">, </w:t>
      </w:r>
      <w:r w:rsidR="00BD5157">
        <w:rPr>
          <w:rFonts w:ascii="Times New Roman" w:hAnsi="Times New Roman" w:cs="Times New Roman"/>
          <w:sz w:val="24"/>
          <w:szCs w:val="24"/>
          <w:u w:val="single"/>
        </w:rPr>
        <w:t>which is</w:t>
      </w:r>
      <w:r w:rsidR="00BD5157" w:rsidRPr="00BD5157">
        <w:rPr>
          <w:rFonts w:ascii="Times New Roman" w:hAnsi="Times New Roman" w:cs="Times New Roman"/>
          <w:sz w:val="24"/>
          <w:szCs w:val="24"/>
        </w:rPr>
        <w:t xml:space="preserve"> </w:t>
      </w:r>
      <w:r w:rsidR="00D57A1D">
        <w:rPr>
          <w:rFonts w:ascii="Times New Roman" w:hAnsi="Times New Roman" w:cs="Times New Roman"/>
          <w:sz w:val="24"/>
          <w:szCs w:val="24"/>
        </w:rPr>
        <w:t>drawn from Brailsford et al (2008, page 85).</w:t>
      </w:r>
    </w:p>
    <w:p w:rsidR="00AB165C" w:rsidRDefault="00AB165C" w:rsidP="009E1846">
      <w:pPr>
        <w:spacing w:after="0" w:line="360" w:lineRule="auto"/>
        <w:jc w:val="both"/>
        <w:rPr>
          <w:rFonts w:ascii="Times New Roman" w:hAnsi="Times New Roman" w:cs="Times New Roman"/>
          <w:sz w:val="24"/>
          <w:szCs w:val="24"/>
        </w:rPr>
      </w:pPr>
    </w:p>
    <w:p w:rsidR="00EA0F73" w:rsidRPr="00A54826" w:rsidRDefault="00EA0F73" w:rsidP="00EA0F73">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The </w:t>
      </w:r>
      <w:r w:rsidR="003F0737">
        <w:rPr>
          <w:rFonts w:ascii="Times New Roman" w:hAnsi="Times New Roman" w:cs="Times New Roman"/>
          <w:b/>
          <w:sz w:val="24"/>
          <w:szCs w:val="24"/>
        </w:rPr>
        <w:t>Long-Run Expected Growth Rate</w:t>
      </w:r>
      <w:r w:rsidR="00E5275D">
        <w:rPr>
          <w:rFonts w:ascii="Times New Roman" w:hAnsi="Times New Roman" w:cs="Times New Roman"/>
          <w:b/>
          <w:sz w:val="24"/>
          <w:szCs w:val="24"/>
        </w:rPr>
        <w:t xml:space="preserve"> in DPS</w:t>
      </w:r>
    </w:p>
    <w:p w:rsidR="00EA0F73" w:rsidRDefault="00EA0F73" w:rsidP="009E1846">
      <w:pPr>
        <w:spacing w:after="0" w:line="360" w:lineRule="auto"/>
        <w:jc w:val="both"/>
        <w:rPr>
          <w:rFonts w:ascii="Times New Roman" w:hAnsi="Times New Roman" w:cs="Times New Roman"/>
          <w:sz w:val="24"/>
          <w:szCs w:val="24"/>
        </w:rPr>
      </w:pPr>
    </w:p>
    <w:p w:rsidR="00425D56" w:rsidRDefault="00FE7203" w:rsidP="00425D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AER</w:t>
      </w:r>
      <w:r w:rsidR="00425D56">
        <w:rPr>
          <w:rFonts w:ascii="Times New Roman" w:hAnsi="Times New Roman" w:cs="Times New Roman"/>
          <w:sz w:val="24"/>
          <w:szCs w:val="24"/>
        </w:rPr>
        <w:t xml:space="preserve"> favours an estimate for the long-run expected growth rate in DPS of 4.6%, comprising expected inflation of 2.5% (the midpoint of the RBA target range) and expected real growth in DPS of 2%, with the latter figure being expected real growth in GDP of 3% less a deduction of 1% for the net creation of new shares from new companies and </w:t>
      </w:r>
      <w:r w:rsidR="003622EC">
        <w:rPr>
          <w:rFonts w:ascii="Times New Roman" w:hAnsi="Times New Roman" w:cs="Times New Roman"/>
          <w:sz w:val="24"/>
          <w:szCs w:val="24"/>
        </w:rPr>
        <w:t xml:space="preserve">net </w:t>
      </w:r>
      <w:r w:rsidR="00425D56">
        <w:rPr>
          <w:rFonts w:ascii="Times New Roman" w:hAnsi="Times New Roman" w:cs="Times New Roman"/>
          <w:sz w:val="24"/>
          <w:szCs w:val="24"/>
        </w:rPr>
        <w:t xml:space="preserve">new share issues (net of buybacks) from existing companies, i.e., </w:t>
      </w:r>
    </w:p>
    <w:p w:rsidR="00425D56" w:rsidRDefault="00425D56" w:rsidP="00425D56">
      <w:pPr>
        <w:spacing w:after="0" w:line="360" w:lineRule="auto"/>
        <w:jc w:val="both"/>
        <w:rPr>
          <w:rFonts w:ascii="Times New Roman" w:hAnsi="Times New Roman" w:cs="Times New Roman"/>
          <w:sz w:val="24"/>
          <w:szCs w:val="24"/>
        </w:rPr>
      </w:pPr>
    </w:p>
    <w:p w:rsidR="00425D56" w:rsidRDefault="00425D56" w:rsidP="00425D56">
      <w:pPr>
        <w:spacing w:after="0" w:line="360" w:lineRule="auto"/>
        <w:jc w:val="center"/>
        <w:rPr>
          <w:rFonts w:ascii="Times New Roman" w:hAnsi="Times New Roman" w:cs="Times New Roman"/>
          <w:sz w:val="24"/>
          <w:szCs w:val="24"/>
        </w:rPr>
      </w:pPr>
      <w:r w:rsidRPr="00AB5B92">
        <w:rPr>
          <w:rFonts w:ascii="Times New Roman" w:hAnsi="Times New Roman" w:cs="Times New Roman"/>
          <w:b/>
          <w:bCs/>
          <w:position w:val="-10"/>
          <w:sz w:val="24"/>
          <w:szCs w:val="24"/>
        </w:rPr>
        <w:object w:dxaOrig="3519" w:dyaOrig="320">
          <v:shape id="_x0000_i1045" type="#_x0000_t75" style="width:176.55pt;height:16.3pt" o:ole="">
            <v:imagedata r:id="rId15" o:title=""/>
          </v:shape>
          <o:OLEObject Type="Embed" ProgID="Equation.3" ShapeID="_x0000_i1045" DrawAspect="Content" ObjectID="_1448709073" r:id="rId49"/>
        </w:object>
      </w:r>
    </w:p>
    <w:p w:rsidR="00BF7691" w:rsidRDefault="00BF7691" w:rsidP="00FC3D1E">
      <w:pPr>
        <w:spacing w:after="0" w:line="360" w:lineRule="auto"/>
        <w:jc w:val="both"/>
        <w:rPr>
          <w:rFonts w:ascii="Times New Roman" w:hAnsi="Times New Roman" w:cs="Times New Roman"/>
          <w:sz w:val="24"/>
          <w:szCs w:val="24"/>
        </w:rPr>
      </w:pPr>
    </w:p>
    <w:p w:rsidR="00D85C76" w:rsidRDefault="00D85C76" w:rsidP="00D85C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respect of the</w:t>
      </w:r>
      <w:r w:rsidRPr="00D85C76">
        <w:rPr>
          <w:rFonts w:ascii="Times New Roman" w:hAnsi="Times New Roman" w:cs="Times New Roman"/>
          <w:sz w:val="24"/>
          <w:szCs w:val="24"/>
        </w:rPr>
        <w:t xml:space="preserve"> </w:t>
      </w:r>
      <w:r>
        <w:rPr>
          <w:rFonts w:ascii="Times New Roman" w:hAnsi="Times New Roman" w:cs="Times New Roman"/>
          <w:sz w:val="24"/>
          <w:szCs w:val="24"/>
        </w:rPr>
        <w:t xml:space="preserve">long-run expected GDP growth rate, the historical average over the period 1900-2000 is 3.3% (Bernstein and Arnott, 2003, Table 1), and the average over the 11 years since 2000 is 3.1% (The Treasury, 2012, Chart 2.2), yielding an average over the period 1900-2011 of 3.3%.  Furthermore, Bernstein and Arnott provide average real GDP growth rates over 16 developed countries, and the average over this set of 16 countries is 2.8%, suggesting that even the figure of 3.3% is too high.  Furthermore, the Australian Federal Treasury (The Treasury, 2012, Chart 2.2) has forecasted the Australian real GDP growth rate at 3% over the next four years.  Taking account of all of this, an estimate for long-run expected real GDP for Australia should be about 3%.  </w:t>
      </w:r>
    </w:p>
    <w:p w:rsidR="00D85C76" w:rsidRDefault="00D85C76" w:rsidP="00FC3D1E">
      <w:pPr>
        <w:spacing w:after="0" w:line="360" w:lineRule="auto"/>
        <w:jc w:val="both"/>
        <w:rPr>
          <w:rFonts w:ascii="Times New Roman" w:hAnsi="Times New Roman" w:cs="Times New Roman"/>
          <w:sz w:val="24"/>
          <w:szCs w:val="24"/>
        </w:rPr>
      </w:pPr>
    </w:p>
    <w:p w:rsidR="00276B27" w:rsidRDefault="00276B27" w:rsidP="00276B27">
      <w:pPr>
        <w:pStyle w:val="BodyText"/>
      </w:pPr>
      <w:r>
        <w:t>In respect of</w:t>
      </w:r>
      <w:r w:rsidRPr="00276B27">
        <w:rPr>
          <w:lang w:val="en-NZ"/>
        </w:rPr>
        <w:t xml:space="preserve"> </w:t>
      </w:r>
      <w:r>
        <w:rPr>
          <w:lang w:val="en-NZ"/>
        </w:rPr>
        <w:t xml:space="preserve">the deduction from this long-run expected GDP growth rate, </w:t>
      </w:r>
      <w:r w:rsidR="00FE495C">
        <w:rPr>
          <w:lang w:val="en-NZ"/>
        </w:rPr>
        <w:t xml:space="preserve">the </w:t>
      </w:r>
      <w:r>
        <w:rPr>
          <w:lang w:val="en-NZ"/>
        </w:rPr>
        <w:t xml:space="preserve">long-term expected growth rate for dividends in the DGM model is that for </w:t>
      </w:r>
      <w:r w:rsidR="00B877A3">
        <w:rPr>
          <w:lang w:val="en-NZ"/>
        </w:rPr>
        <w:t xml:space="preserve">dividends on the current shares of </w:t>
      </w:r>
      <w:r>
        <w:rPr>
          <w:lang w:val="en-NZ"/>
        </w:rPr>
        <w:t xml:space="preserve">existing companies, </w:t>
      </w:r>
      <w:r w:rsidR="00944143">
        <w:rPr>
          <w:lang w:val="en-NZ"/>
        </w:rPr>
        <w:t xml:space="preserve">and therefore is the expected growth rate in the DPS of companies, because the current value of the market portfolio represents a claim on only the dividends for the current shares of existing companies.  However, the aggregate dividends </w:t>
      </w:r>
      <w:r w:rsidR="00944143">
        <w:rPr>
          <w:lang w:val="en-NZ"/>
        </w:rPr>
        <w:lastRenderedPageBreak/>
        <w:t xml:space="preserve">paid in the economy in future year </w:t>
      </w:r>
      <w:r w:rsidR="00944143" w:rsidRPr="004E0045">
        <w:rPr>
          <w:i/>
          <w:lang w:val="en-NZ"/>
        </w:rPr>
        <w:t>t</w:t>
      </w:r>
      <w:r w:rsidR="00944143">
        <w:rPr>
          <w:lang w:val="en-NZ"/>
        </w:rPr>
        <w:t xml:space="preserve"> are allocated to the existing (time 0) shares in existing companies, the shares </w:t>
      </w:r>
      <w:r w:rsidR="00A23E0A">
        <w:rPr>
          <w:lang w:val="en-NZ"/>
        </w:rPr>
        <w:t xml:space="preserve">in existing companies that are </w:t>
      </w:r>
      <w:r w:rsidR="00944143">
        <w:rPr>
          <w:lang w:val="en-NZ"/>
        </w:rPr>
        <w:t xml:space="preserve">issued between now and time </w:t>
      </w:r>
      <w:r w:rsidR="00944143" w:rsidRPr="004E0045">
        <w:rPr>
          <w:i/>
          <w:lang w:val="en-NZ"/>
        </w:rPr>
        <w:t>t</w:t>
      </w:r>
      <w:r w:rsidR="00944143">
        <w:rPr>
          <w:lang w:val="en-NZ"/>
        </w:rPr>
        <w:t xml:space="preserve">, and </w:t>
      </w:r>
      <w:r w:rsidR="00D26206">
        <w:rPr>
          <w:lang w:val="en-NZ"/>
        </w:rPr>
        <w:t xml:space="preserve">shares issued by </w:t>
      </w:r>
      <w:r w:rsidR="00944143">
        <w:rPr>
          <w:lang w:val="en-NZ"/>
        </w:rPr>
        <w:t xml:space="preserve">new companies formed between now and time </w:t>
      </w:r>
      <w:r w:rsidR="00944143" w:rsidRPr="004E0045">
        <w:rPr>
          <w:i/>
          <w:lang w:val="en-NZ"/>
        </w:rPr>
        <w:t>t</w:t>
      </w:r>
      <w:r w:rsidR="00944143">
        <w:rPr>
          <w:lang w:val="en-NZ"/>
        </w:rPr>
        <w:t xml:space="preserve">.  So, the growth rate in the dividends of the first group must be less than the growth rate in aggregate dividends, and the latter growth rate must match that for GDP (otherwise the share of dividends in GDP will eventually reach zero or exceed 1).  Consequently the </w:t>
      </w:r>
      <w:r>
        <w:t xml:space="preserve">expected long-term growth rate in </w:t>
      </w:r>
      <w:r w:rsidR="007C4C43">
        <w:t xml:space="preserve">the DPS for </w:t>
      </w:r>
      <w:r>
        <w:t>existing companies will be less than that for GDP, to</w:t>
      </w:r>
      <w:r w:rsidRPr="00F21788">
        <w:t xml:space="preserve"> reflect the impact of new share issues (net of buybacks) and </w:t>
      </w:r>
      <w:r>
        <w:t xml:space="preserve">the </w:t>
      </w:r>
      <w:r w:rsidRPr="00F21788">
        <w:t xml:space="preserve">formation of new companies.  </w:t>
      </w:r>
    </w:p>
    <w:p w:rsidR="00276B27" w:rsidRDefault="00276B27" w:rsidP="00276B27">
      <w:pPr>
        <w:pStyle w:val="BodyText"/>
      </w:pPr>
    </w:p>
    <w:p w:rsidR="00276B27" w:rsidRDefault="00276B27" w:rsidP="00276B27">
      <w:pPr>
        <w:pStyle w:val="BodyText"/>
      </w:pPr>
      <w:r w:rsidRPr="00F21788">
        <w:t xml:space="preserve">Bernstein and Arnott (2003) argue for subtracting </w:t>
      </w:r>
      <w:r>
        <w:t xml:space="preserve">2% </w:t>
      </w:r>
      <w:r w:rsidRPr="00F21788">
        <w:t xml:space="preserve">to deal with both of these points, based upon two comparisons.  The first comparison is of real growth in </w:t>
      </w:r>
      <w:r w:rsidR="00DA2A01">
        <w:t xml:space="preserve">DPS </w:t>
      </w:r>
      <w:r w:rsidRPr="00F21788">
        <w:t xml:space="preserve">with real GDP growth over the last century, for a range of countries; the latter grew about </w:t>
      </w:r>
      <w:r>
        <w:t xml:space="preserve">2% per annum </w:t>
      </w:r>
      <w:r w:rsidRPr="00F21788">
        <w:t>faster than the former (ibid, Table 1).  However this comparison will exaggerate the relevant adjustment in the presence of a declining dividend payout rate, which has characterised at least the US market</w:t>
      </w:r>
      <w:r w:rsidR="00CB6A86">
        <w:t xml:space="preserve"> (Grinold et al, 2011, Figure 1)</w:t>
      </w:r>
      <w:r w:rsidRPr="00F21788">
        <w:t>.  Their second comparison is of the growth in market capitalisation with the growth in a capitalisation-weighted price index, using US data si</w:t>
      </w:r>
      <w:r>
        <w:t xml:space="preserve">nce 1925; the former grew about 2% per annum </w:t>
      </w:r>
      <w:r w:rsidRPr="00F21788">
        <w:t xml:space="preserve">faster than the latter.  However, this comparison will exaggerate the relevant adjustment when market capitalisation grows simply due to listings from foreign firms and from previously unlisted </w:t>
      </w:r>
      <w:r w:rsidR="00A23E0A">
        <w:t xml:space="preserve">domestic firms.  </w:t>
      </w:r>
      <w:r>
        <w:t xml:space="preserve">Both points suggest that the correct adjustment is less than 2%.  </w:t>
      </w:r>
    </w:p>
    <w:p w:rsidR="00276B27" w:rsidRDefault="00276B27" w:rsidP="00276B27">
      <w:pPr>
        <w:pStyle w:val="BodyText"/>
      </w:pPr>
    </w:p>
    <w:p w:rsidR="00276B27" w:rsidRDefault="002713CB" w:rsidP="00276B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illustrate this point, suppose that </w:t>
      </w:r>
      <w:r w:rsidRPr="007377EE">
        <w:rPr>
          <w:rFonts w:ascii="Times New Roman" w:hAnsi="Times New Roman" w:cs="Times New Roman"/>
          <w:sz w:val="24"/>
          <w:szCs w:val="24"/>
        </w:rPr>
        <w:t xml:space="preserve">a market currently contains a set of firms with aggregate dividends paid in the last year of $1b and </w:t>
      </w:r>
      <w:r>
        <w:rPr>
          <w:rFonts w:ascii="Times New Roman" w:hAnsi="Times New Roman" w:cs="Times New Roman"/>
          <w:sz w:val="24"/>
          <w:szCs w:val="24"/>
        </w:rPr>
        <w:t xml:space="preserve">the dividends on the existing shares in these firms are </w:t>
      </w:r>
      <w:r w:rsidRPr="007377EE">
        <w:rPr>
          <w:rFonts w:ascii="Times New Roman" w:hAnsi="Times New Roman" w:cs="Times New Roman"/>
          <w:sz w:val="24"/>
          <w:szCs w:val="24"/>
        </w:rPr>
        <w:t xml:space="preserve">expected to grow </w:t>
      </w:r>
      <w:r>
        <w:rPr>
          <w:rFonts w:ascii="Times New Roman" w:hAnsi="Times New Roman" w:cs="Times New Roman"/>
          <w:sz w:val="24"/>
          <w:szCs w:val="24"/>
        </w:rPr>
        <w:t>at 5%</w:t>
      </w:r>
      <w:r w:rsidRPr="007377EE">
        <w:rPr>
          <w:rFonts w:ascii="Times New Roman" w:hAnsi="Times New Roman" w:cs="Times New Roman"/>
          <w:sz w:val="24"/>
          <w:szCs w:val="24"/>
        </w:rPr>
        <w:t xml:space="preserve"> per annum.  Suppose further that 30% </w:t>
      </w:r>
      <w:r>
        <w:rPr>
          <w:rFonts w:ascii="Times New Roman" w:hAnsi="Times New Roman" w:cs="Times New Roman"/>
          <w:sz w:val="24"/>
          <w:szCs w:val="24"/>
        </w:rPr>
        <w:t xml:space="preserve">of these dividends in the latest year </w:t>
      </w:r>
      <w:r w:rsidRPr="007377EE">
        <w:rPr>
          <w:rFonts w:ascii="Times New Roman" w:hAnsi="Times New Roman" w:cs="Times New Roman"/>
          <w:sz w:val="24"/>
          <w:szCs w:val="24"/>
        </w:rPr>
        <w:t>are invested to create new firms</w:t>
      </w:r>
      <w:r>
        <w:rPr>
          <w:rFonts w:ascii="Times New Roman" w:hAnsi="Times New Roman" w:cs="Times New Roman"/>
          <w:sz w:val="24"/>
          <w:szCs w:val="24"/>
        </w:rPr>
        <w:t>,</w:t>
      </w:r>
      <w:r w:rsidRPr="007377EE">
        <w:rPr>
          <w:rFonts w:ascii="Times New Roman" w:hAnsi="Times New Roman" w:cs="Times New Roman"/>
          <w:sz w:val="24"/>
          <w:szCs w:val="24"/>
        </w:rPr>
        <w:t xml:space="preserve"> </w:t>
      </w:r>
      <w:r>
        <w:rPr>
          <w:rFonts w:ascii="Times New Roman" w:hAnsi="Times New Roman" w:cs="Times New Roman"/>
          <w:sz w:val="24"/>
          <w:szCs w:val="24"/>
        </w:rPr>
        <w:t xml:space="preserve">or to fund new share issues in the existing firms, and these new equity investments </w:t>
      </w:r>
      <w:r w:rsidRPr="007377EE">
        <w:rPr>
          <w:rFonts w:ascii="Times New Roman" w:hAnsi="Times New Roman" w:cs="Times New Roman"/>
          <w:sz w:val="24"/>
          <w:szCs w:val="24"/>
        </w:rPr>
        <w:t xml:space="preserve">are expected to deliver a first dividend equal to </w:t>
      </w:r>
      <w:r>
        <w:rPr>
          <w:rFonts w:ascii="Times New Roman" w:hAnsi="Times New Roman" w:cs="Times New Roman"/>
          <w:sz w:val="24"/>
          <w:szCs w:val="24"/>
        </w:rPr>
        <w:t>4.76%</w:t>
      </w:r>
      <w:r w:rsidRPr="007377EE">
        <w:rPr>
          <w:rFonts w:ascii="Times New Roman" w:hAnsi="Times New Roman" w:cs="Times New Roman"/>
          <w:sz w:val="24"/>
          <w:szCs w:val="24"/>
        </w:rPr>
        <w:t xml:space="preserve"> of the funds invested</w:t>
      </w:r>
      <w:r>
        <w:rPr>
          <w:rFonts w:ascii="Times New Roman" w:hAnsi="Times New Roman" w:cs="Times New Roman"/>
          <w:sz w:val="24"/>
          <w:szCs w:val="24"/>
        </w:rPr>
        <w:t>,</w:t>
      </w:r>
      <w:r w:rsidRPr="007377EE">
        <w:rPr>
          <w:rFonts w:ascii="Times New Roman" w:hAnsi="Times New Roman" w:cs="Times New Roman"/>
          <w:sz w:val="24"/>
          <w:szCs w:val="24"/>
        </w:rPr>
        <w:t xml:space="preserve"> and </w:t>
      </w:r>
      <w:r>
        <w:rPr>
          <w:rFonts w:ascii="Times New Roman" w:hAnsi="Times New Roman" w:cs="Times New Roman"/>
          <w:sz w:val="24"/>
          <w:szCs w:val="24"/>
        </w:rPr>
        <w:t xml:space="preserve">their </w:t>
      </w:r>
      <w:r w:rsidRPr="007377EE">
        <w:rPr>
          <w:rFonts w:ascii="Times New Roman" w:hAnsi="Times New Roman" w:cs="Times New Roman"/>
          <w:sz w:val="24"/>
          <w:szCs w:val="24"/>
        </w:rPr>
        <w:t xml:space="preserve">subsequent dividends </w:t>
      </w:r>
      <w:r>
        <w:rPr>
          <w:rFonts w:ascii="Times New Roman" w:hAnsi="Times New Roman" w:cs="Times New Roman"/>
          <w:sz w:val="24"/>
          <w:szCs w:val="24"/>
        </w:rPr>
        <w:t xml:space="preserve">are expected </w:t>
      </w:r>
      <w:r w:rsidRPr="007377EE">
        <w:rPr>
          <w:rFonts w:ascii="Times New Roman" w:hAnsi="Times New Roman" w:cs="Times New Roman"/>
          <w:sz w:val="24"/>
          <w:szCs w:val="24"/>
        </w:rPr>
        <w:t xml:space="preserve">to grow at </w:t>
      </w:r>
      <w:r>
        <w:rPr>
          <w:rFonts w:ascii="Times New Roman" w:hAnsi="Times New Roman" w:cs="Times New Roman"/>
          <w:sz w:val="24"/>
          <w:szCs w:val="24"/>
        </w:rPr>
        <w:t>5% per year.</w:t>
      </w:r>
      <w:r w:rsidR="00276B27">
        <w:rPr>
          <w:rStyle w:val="FootnoteReference"/>
          <w:rFonts w:ascii="Times New Roman" w:hAnsi="Times New Roman" w:cs="Times New Roman"/>
          <w:sz w:val="24"/>
          <w:szCs w:val="24"/>
        </w:rPr>
        <w:footnoteReference w:id="7"/>
      </w:r>
      <w:r w:rsidR="00276B27" w:rsidRPr="007377EE">
        <w:rPr>
          <w:rFonts w:ascii="Times New Roman" w:hAnsi="Times New Roman" w:cs="Times New Roman"/>
          <w:sz w:val="24"/>
          <w:szCs w:val="24"/>
        </w:rPr>
        <w:t xml:space="preserve">  Suppose further that this process repeats itself every year</w:t>
      </w:r>
      <w:r w:rsidR="00276B27">
        <w:rPr>
          <w:rFonts w:ascii="Times New Roman" w:hAnsi="Times New Roman" w:cs="Times New Roman"/>
          <w:sz w:val="24"/>
          <w:szCs w:val="24"/>
        </w:rPr>
        <w:t xml:space="preserve">, i.e., </w:t>
      </w:r>
      <w:r w:rsidR="00276B27" w:rsidRPr="007377EE">
        <w:rPr>
          <w:rFonts w:ascii="Times New Roman" w:hAnsi="Times New Roman" w:cs="Times New Roman"/>
          <w:sz w:val="24"/>
          <w:szCs w:val="24"/>
        </w:rPr>
        <w:t xml:space="preserve">30% of dividends paid in every year </w:t>
      </w:r>
      <w:r w:rsidR="00276B27">
        <w:rPr>
          <w:rFonts w:ascii="Times New Roman" w:hAnsi="Times New Roman" w:cs="Times New Roman"/>
          <w:sz w:val="24"/>
          <w:szCs w:val="24"/>
        </w:rPr>
        <w:t xml:space="preserve">are </w:t>
      </w:r>
      <w:r w:rsidR="00276B27" w:rsidRPr="007377EE">
        <w:rPr>
          <w:rFonts w:ascii="Times New Roman" w:hAnsi="Times New Roman" w:cs="Times New Roman"/>
          <w:sz w:val="24"/>
          <w:szCs w:val="24"/>
        </w:rPr>
        <w:t xml:space="preserve">invested to create new firms, </w:t>
      </w:r>
      <w:r>
        <w:rPr>
          <w:rFonts w:ascii="Times New Roman" w:hAnsi="Times New Roman" w:cs="Times New Roman"/>
          <w:sz w:val="24"/>
          <w:szCs w:val="24"/>
        </w:rPr>
        <w:t xml:space="preserve">or finance new share issues, </w:t>
      </w:r>
      <w:r w:rsidR="00276B27" w:rsidRPr="007377EE">
        <w:rPr>
          <w:rFonts w:ascii="Times New Roman" w:hAnsi="Times New Roman" w:cs="Times New Roman"/>
          <w:sz w:val="24"/>
          <w:szCs w:val="24"/>
        </w:rPr>
        <w:t xml:space="preserve">with a first dividend expected to be </w:t>
      </w:r>
      <w:r w:rsidR="00276B27">
        <w:rPr>
          <w:rFonts w:ascii="Times New Roman" w:hAnsi="Times New Roman" w:cs="Times New Roman"/>
          <w:sz w:val="24"/>
          <w:szCs w:val="24"/>
        </w:rPr>
        <w:t xml:space="preserve">4.76% </w:t>
      </w:r>
      <w:r w:rsidR="00276B27" w:rsidRPr="007377EE">
        <w:rPr>
          <w:rFonts w:ascii="Times New Roman" w:hAnsi="Times New Roman" w:cs="Times New Roman"/>
          <w:sz w:val="24"/>
          <w:szCs w:val="24"/>
        </w:rPr>
        <w:t>of the funds invested</w:t>
      </w:r>
      <w:r w:rsidR="00276B27">
        <w:rPr>
          <w:rFonts w:ascii="Times New Roman" w:hAnsi="Times New Roman" w:cs="Times New Roman"/>
          <w:sz w:val="24"/>
          <w:szCs w:val="24"/>
        </w:rPr>
        <w:t>,</w:t>
      </w:r>
      <w:r w:rsidR="00276B27" w:rsidRPr="007377EE">
        <w:rPr>
          <w:rFonts w:ascii="Times New Roman" w:hAnsi="Times New Roman" w:cs="Times New Roman"/>
          <w:sz w:val="24"/>
          <w:szCs w:val="24"/>
        </w:rPr>
        <w:t xml:space="preserve"> and </w:t>
      </w:r>
      <w:r w:rsidR="00276B27">
        <w:rPr>
          <w:rFonts w:ascii="Times New Roman" w:hAnsi="Times New Roman" w:cs="Times New Roman"/>
          <w:sz w:val="24"/>
          <w:szCs w:val="24"/>
        </w:rPr>
        <w:t xml:space="preserve">these new dividends are </w:t>
      </w:r>
      <w:r w:rsidR="00276B27" w:rsidRPr="007377EE">
        <w:rPr>
          <w:rFonts w:ascii="Times New Roman" w:hAnsi="Times New Roman" w:cs="Times New Roman"/>
          <w:sz w:val="24"/>
          <w:szCs w:val="24"/>
        </w:rPr>
        <w:t xml:space="preserve">expected to grow at </w:t>
      </w:r>
      <w:r w:rsidR="00276B27">
        <w:rPr>
          <w:rFonts w:ascii="Times New Roman" w:hAnsi="Times New Roman" w:cs="Times New Roman"/>
          <w:sz w:val="24"/>
          <w:szCs w:val="24"/>
        </w:rPr>
        <w:t>5%</w:t>
      </w:r>
      <w:r w:rsidR="00276B27" w:rsidRPr="007377EE">
        <w:rPr>
          <w:rFonts w:ascii="Times New Roman" w:hAnsi="Times New Roman" w:cs="Times New Roman"/>
          <w:sz w:val="24"/>
          <w:szCs w:val="24"/>
        </w:rPr>
        <w:t xml:space="preserve"> per year</w:t>
      </w:r>
      <w:r w:rsidR="00276B27">
        <w:rPr>
          <w:rFonts w:ascii="Times New Roman" w:hAnsi="Times New Roman" w:cs="Times New Roman"/>
          <w:sz w:val="24"/>
          <w:szCs w:val="24"/>
        </w:rPr>
        <w:t xml:space="preserve">.  Suppose further that </w:t>
      </w:r>
      <w:r w:rsidR="00276B27" w:rsidRPr="007377EE">
        <w:rPr>
          <w:rFonts w:ascii="Times New Roman" w:hAnsi="Times New Roman" w:cs="Times New Roman"/>
          <w:sz w:val="24"/>
          <w:szCs w:val="24"/>
        </w:rPr>
        <w:t xml:space="preserve">these new firms are the only new firms in the economy.  </w:t>
      </w:r>
      <w:r w:rsidR="00276B27" w:rsidRPr="007377EE">
        <w:rPr>
          <w:rFonts w:ascii="Times New Roman" w:hAnsi="Times New Roman" w:cs="Times New Roman"/>
          <w:sz w:val="24"/>
          <w:szCs w:val="24"/>
        </w:rPr>
        <w:lastRenderedPageBreak/>
        <w:t xml:space="preserve">Finally suppose that the market cost of </w:t>
      </w:r>
      <w:r w:rsidR="00276B27">
        <w:rPr>
          <w:rFonts w:ascii="Times New Roman" w:hAnsi="Times New Roman" w:cs="Times New Roman"/>
          <w:sz w:val="24"/>
          <w:szCs w:val="24"/>
        </w:rPr>
        <w:t xml:space="preserve">equity </w:t>
      </w:r>
      <w:r w:rsidR="00276B27" w:rsidRPr="007377EE">
        <w:rPr>
          <w:rFonts w:ascii="Times New Roman" w:hAnsi="Times New Roman" w:cs="Times New Roman"/>
          <w:sz w:val="24"/>
          <w:szCs w:val="24"/>
        </w:rPr>
        <w:t>is 10% and the risk free rate is 4%</w:t>
      </w:r>
      <w:r w:rsidR="00276B27">
        <w:rPr>
          <w:rFonts w:ascii="Times New Roman" w:hAnsi="Times New Roman" w:cs="Times New Roman"/>
          <w:sz w:val="24"/>
          <w:szCs w:val="24"/>
        </w:rPr>
        <w:t xml:space="preserve"> so that the MRP is 6%</w:t>
      </w:r>
      <w:r w:rsidR="00276B27" w:rsidRPr="007377EE">
        <w:rPr>
          <w:rFonts w:ascii="Times New Roman" w:hAnsi="Times New Roman" w:cs="Times New Roman"/>
          <w:sz w:val="24"/>
          <w:szCs w:val="24"/>
        </w:rPr>
        <w:t xml:space="preserve">.  </w:t>
      </w:r>
      <w:r w:rsidR="00276B27">
        <w:rPr>
          <w:rFonts w:ascii="Times New Roman" w:hAnsi="Times New Roman" w:cs="Times New Roman"/>
          <w:sz w:val="24"/>
          <w:szCs w:val="24"/>
        </w:rPr>
        <w:t>Using equation (1), the</w:t>
      </w:r>
      <w:r w:rsidR="00276B27" w:rsidRPr="007377EE">
        <w:rPr>
          <w:rFonts w:ascii="Times New Roman" w:hAnsi="Times New Roman" w:cs="Times New Roman"/>
          <w:sz w:val="24"/>
          <w:szCs w:val="24"/>
        </w:rPr>
        <w:t xml:space="preserve"> existing firms would then be worth $21b as</w:t>
      </w:r>
      <w:r w:rsidR="00276B27">
        <w:rPr>
          <w:rFonts w:ascii="Times New Roman" w:hAnsi="Times New Roman" w:cs="Times New Roman"/>
          <w:sz w:val="24"/>
          <w:szCs w:val="24"/>
        </w:rPr>
        <w:t xml:space="preserve"> follows:</w:t>
      </w:r>
    </w:p>
    <w:p w:rsidR="00276B27" w:rsidRDefault="00276B27" w:rsidP="00276B27">
      <w:pPr>
        <w:spacing w:after="0" w:line="360" w:lineRule="auto"/>
        <w:jc w:val="both"/>
        <w:rPr>
          <w:rFonts w:ascii="Times New Roman" w:hAnsi="Times New Roman" w:cs="Times New Roman"/>
          <w:sz w:val="24"/>
          <w:szCs w:val="24"/>
        </w:rPr>
      </w:pPr>
    </w:p>
    <w:p w:rsidR="00276B27" w:rsidRDefault="002713CB" w:rsidP="00276B27">
      <w:pPr>
        <w:spacing w:after="0" w:line="360" w:lineRule="auto"/>
        <w:jc w:val="center"/>
        <w:rPr>
          <w:rFonts w:ascii="Times New Roman" w:hAnsi="Times New Roman" w:cs="Times New Roman"/>
          <w:sz w:val="24"/>
          <w:szCs w:val="24"/>
        </w:rPr>
      </w:pPr>
      <w:r w:rsidRPr="007377EE">
        <w:rPr>
          <w:b/>
          <w:bCs/>
          <w:position w:val="-28"/>
        </w:rPr>
        <w:object w:dxaOrig="5220" w:dyaOrig="700">
          <v:shape id="_x0000_i1046" type="#_x0000_t75" style="width:262.35pt;height:35.05pt" o:ole="">
            <v:imagedata r:id="rId50" o:title=""/>
          </v:shape>
          <o:OLEObject Type="Embed" ProgID="Equation.3" ShapeID="_x0000_i1046" DrawAspect="Content" ObjectID="_1448709074" r:id="rId51"/>
        </w:object>
      </w:r>
    </w:p>
    <w:p w:rsidR="00276B27" w:rsidRDefault="00276B27" w:rsidP="00276B27">
      <w:pPr>
        <w:spacing w:after="0" w:line="360" w:lineRule="auto"/>
        <w:jc w:val="both"/>
        <w:rPr>
          <w:rFonts w:ascii="Times New Roman" w:hAnsi="Times New Roman" w:cs="Times New Roman"/>
          <w:sz w:val="24"/>
          <w:szCs w:val="24"/>
        </w:rPr>
      </w:pPr>
    </w:p>
    <w:p w:rsidR="00276B27" w:rsidRDefault="00276B27" w:rsidP="00276B27">
      <w:pPr>
        <w:pStyle w:val="BodyText"/>
      </w:pPr>
      <w:r>
        <w:t xml:space="preserve">Substitution of this value for </w:t>
      </w:r>
      <w:r w:rsidRPr="00054466">
        <w:rPr>
          <w:i/>
        </w:rPr>
        <w:t>S</w:t>
      </w:r>
      <w:r>
        <w:t>, along with the current dividend level of $1b and the expected growth rate in dividend</w:t>
      </w:r>
      <w:r w:rsidR="002713CB">
        <w:t>s of 5% into the DGM equation (1</w:t>
      </w:r>
      <w:r>
        <w:t>) would then accurately estimate the market cost of equity at 10%, and deduction of the risk free rate of 4% would then yield an accurate estimate of the MRP of 6%.  Although dividends for this set of firms are expected to grow at 5% per year, the expected growth rate in dividends paid to all firms is 6.43% per year as follows:</w:t>
      </w:r>
    </w:p>
    <w:p w:rsidR="00276B27" w:rsidRDefault="00276B27" w:rsidP="00276B27">
      <w:pPr>
        <w:pStyle w:val="BodyText"/>
      </w:pPr>
      <w:r>
        <w:t xml:space="preserve"> </w:t>
      </w:r>
    </w:p>
    <w:p w:rsidR="00276B27" w:rsidRDefault="00276B27" w:rsidP="00276B27">
      <w:pPr>
        <w:pStyle w:val="BodyText"/>
        <w:jc w:val="center"/>
      </w:pPr>
      <w:r w:rsidRPr="000C0EC4">
        <w:rPr>
          <w:b/>
          <w:bCs/>
          <w:position w:val="-30"/>
        </w:rPr>
        <w:object w:dxaOrig="6720" w:dyaOrig="680">
          <v:shape id="_x0000_i1047" type="#_x0000_t75" style="width:336.85pt;height:34.45pt" o:ole="">
            <v:imagedata r:id="rId52" o:title=""/>
          </v:shape>
          <o:OLEObject Type="Embed" ProgID="Equation.3" ShapeID="_x0000_i1047" DrawAspect="Content" ObjectID="_1448709075" r:id="rId53"/>
        </w:object>
      </w:r>
    </w:p>
    <w:p w:rsidR="00276B27" w:rsidRPr="004A7A59" w:rsidRDefault="00276B27" w:rsidP="00276B27">
      <w:pPr>
        <w:pStyle w:val="BodyText"/>
      </w:pPr>
      <w:r>
        <w:t xml:space="preserve">   </w:t>
      </w:r>
    </w:p>
    <w:p w:rsidR="00A23E0A" w:rsidRDefault="00276B27" w:rsidP="00276B27">
      <w:pPr>
        <w:pStyle w:val="BodyText"/>
      </w:pPr>
      <w:r>
        <w:t>For example, the dividends expected in one year are $1050m paid to shareholders in existing firms and $14.28m paid to shareholders of the newly created firms</w:t>
      </w:r>
      <w:r w:rsidR="002713CB">
        <w:t xml:space="preserve"> or new share issues</w:t>
      </w:r>
      <w:r>
        <w:t xml:space="preserve"> (4.76% of the $300m invested in them), for a total of $1064.3m which is 6.43% larger than the dividends of $1b paid in the most recent year.  In the long-run, GDP growth must match that of all dividends, which is expected to be 6.43% per year.  Thus, if one attempts to estimate the MRP using the DGM, the relevant long-run expected growth rate is that for </w:t>
      </w:r>
      <w:r w:rsidR="002713CB">
        <w:t xml:space="preserve">the DPS </w:t>
      </w:r>
      <w:r>
        <w:t>in existing firms (5%) rather than the long-run expected growth rate in GDP (6.43%).  So, if one starts with the long-run expected growth rate in GDP, one would have to deduct 1.43%.</w:t>
      </w:r>
    </w:p>
    <w:p w:rsidR="00A23E0A" w:rsidRDefault="00A23E0A" w:rsidP="00276B27">
      <w:pPr>
        <w:pStyle w:val="BodyText"/>
      </w:pPr>
    </w:p>
    <w:p w:rsidR="00600926" w:rsidRDefault="00A23E0A" w:rsidP="00276B27">
      <w:pPr>
        <w:pStyle w:val="BodyText"/>
      </w:pPr>
      <w:r>
        <w:t xml:space="preserve">CEG (2013, pp. 77-80) argue that </w:t>
      </w:r>
      <w:r w:rsidR="00554551">
        <w:t xml:space="preserve">the average growth rate in real DPS for Australia is </w:t>
      </w:r>
      <w:r w:rsidR="00600926">
        <w:t xml:space="preserve">2.67% over the period 1884-2011.  By contrast, the AER </w:t>
      </w:r>
      <w:r w:rsidR="00581C07">
        <w:t xml:space="preserve">favour </w:t>
      </w:r>
      <w:r w:rsidR="00600926">
        <w:t xml:space="preserve">an estimate of 2.0%.  Letting </w:t>
      </w:r>
      <w:r w:rsidR="00600926" w:rsidRPr="008C751B">
        <w:rPr>
          <w:i/>
        </w:rPr>
        <w:t>d</w:t>
      </w:r>
      <w:r w:rsidR="00600926" w:rsidRPr="008C751B">
        <w:rPr>
          <w:i/>
          <w:vertAlign w:val="subscript"/>
        </w:rPr>
        <w:t>t</w:t>
      </w:r>
      <w:r w:rsidR="00600926">
        <w:t xml:space="preserve"> denote the dividend yield for year </w:t>
      </w:r>
      <w:r w:rsidR="00600926" w:rsidRPr="008C751B">
        <w:rPr>
          <w:i/>
        </w:rPr>
        <w:t>t</w:t>
      </w:r>
      <w:r w:rsidR="00600926">
        <w:t xml:space="preserve">, </w:t>
      </w:r>
      <w:r w:rsidR="00600926" w:rsidRPr="008C751B">
        <w:rPr>
          <w:i/>
        </w:rPr>
        <w:t>P</w:t>
      </w:r>
      <w:r w:rsidR="00600926" w:rsidRPr="008C751B">
        <w:rPr>
          <w:i/>
          <w:vertAlign w:val="subscript"/>
        </w:rPr>
        <w:t>t</w:t>
      </w:r>
      <w:r w:rsidR="00600926">
        <w:t xml:space="preserve"> the price of the market portfolio at the beginning of year </w:t>
      </w:r>
      <w:r w:rsidR="00600926" w:rsidRPr="008C751B">
        <w:rPr>
          <w:i/>
        </w:rPr>
        <w:t>t</w:t>
      </w:r>
      <w:r w:rsidR="00600926">
        <w:t xml:space="preserve">, and </w:t>
      </w:r>
      <w:r w:rsidR="00600926" w:rsidRPr="008C751B">
        <w:rPr>
          <w:i/>
        </w:rPr>
        <w:t>i</w:t>
      </w:r>
      <w:r w:rsidR="00600926" w:rsidRPr="008C751B">
        <w:rPr>
          <w:i/>
          <w:vertAlign w:val="subscript"/>
        </w:rPr>
        <w:t>t</w:t>
      </w:r>
      <w:r w:rsidR="00600926">
        <w:t xml:space="preserve"> the inflation rate over</w:t>
      </w:r>
      <w:r w:rsidR="008C751B">
        <w:t xml:space="preserve"> year </w:t>
      </w:r>
      <w:r w:rsidR="008C751B" w:rsidRPr="00BE519A">
        <w:rPr>
          <w:i/>
        </w:rPr>
        <w:t>t</w:t>
      </w:r>
      <w:r w:rsidR="008C751B">
        <w:t xml:space="preserve">, </w:t>
      </w:r>
      <w:r w:rsidR="00600926">
        <w:t xml:space="preserve">CEG’s formula for the real growth rate in DPS </w:t>
      </w:r>
      <w:r w:rsidR="006F46D6">
        <w:t xml:space="preserve">from year t-1 to </w:t>
      </w:r>
      <w:r w:rsidR="008C751B">
        <w:t xml:space="preserve">year </w:t>
      </w:r>
      <w:r w:rsidR="008C751B" w:rsidRPr="008C751B">
        <w:rPr>
          <w:i/>
        </w:rPr>
        <w:t>t</w:t>
      </w:r>
      <w:r w:rsidR="008C751B">
        <w:t xml:space="preserve"> </w:t>
      </w:r>
      <w:r w:rsidR="00600926">
        <w:t>is</w:t>
      </w:r>
    </w:p>
    <w:p w:rsidR="00600926" w:rsidRDefault="008C751B" w:rsidP="00600926">
      <w:pPr>
        <w:pStyle w:val="BodyText"/>
        <w:jc w:val="center"/>
      </w:pPr>
      <w:r w:rsidRPr="000C0EC4">
        <w:rPr>
          <w:b/>
          <w:bCs/>
          <w:position w:val="-30"/>
        </w:rPr>
        <w:object w:dxaOrig="1600" w:dyaOrig="1020">
          <v:shape id="_x0000_i1048" type="#_x0000_t75" style="width:80.15pt;height:50.7pt" o:ole="">
            <v:imagedata r:id="rId54" o:title=""/>
          </v:shape>
          <o:OLEObject Type="Embed" ProgID="Equation.3" ShapeID="_x0000_i1048" DrawAspect="Content" ObjectID="_1448709076" r:id="rId55"/>
        </w:object>
      </w:r>
    </w:p>
    <w:p w:rsidR="00D85C76" w:rsidRDefault="00276B27" w:rsidP="00276B27">
      <w:pPr>
        <w:pStyle w:val="BodyText"/>
      </w:pPr>
      <w:r>
        <w:lastRenderedPageBreak/>
        <w:t xml:space="preserve"> </w:t>
      </w:r>
    </w:p>
    <w:p w:rsidR="00BE519A" w:rsidRDefault="008C751B" w:rsidP="00FC3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this formula </w:t>
      </w:r>
      <w:r w:rsidR="007A4A37">
        <w:rPr>
          <w:rFonts w:ascii="Times New Roman" w:hAnsi="Times New Roman" w:cs="Times New Roman"/>
          <w:sz w:val="24"/>
          <w:szCs w:val="24"/>
        </w:rPr>
        <w:t xml:space="preserve">does not provide the real growth rate in DPS; it provides the </w:t>
      </w:r>
      <w:r>
        <w:rPr>
          <w:rFonts w:ascii="Times New Roman" w:hAnsi="Times New Roman" w:cs="Times New Roman"/>
          <w:sz w:val="24"/>
          <w:szCs w:val="24"/>
        </w:rPr>
        <w:t xml:space="preserve">real growth rate in aggregate dividends </w:t>
      </w:r>
      <w:r w:rsidR="006F46D6">
        <w:rPr>
          <w:rFonts w:ascii="Times New Roman" w:hAnsi="Times New Roman" w:cs="Times New Roman"/>
          <w:sz w:val="24"/>
          <w:szCs w:val="24"/>
        </w:rPr>
        <w:t xml:space="preserve">from year </w:t>
      </w:r>
      <w:r w:rsidR="006F46D6" w:rsidRPr="00FE079E">
        <w:rPr>
          <w:rFonts w:ascii="Times New Roman" w:hAnsi="Times New Roman" w:cs="Times New Roman"/>
          <w:i/>
          <w:sz w:val="24"/>
          <w:szCs w:val="24"/>
        </w:rPr>
        <w:t>t</w:t>
      </w:r>
      <w:r w:rsidR="006F46D6">
        <w:rPr>
          <w:rFonts w:ascii="Times New Roman" w:hAnsi="Times New Roman" w:cs="Times New Roman"/>
          <w:sz w:val="24"/>
          <w:szCs w:val="24"/>
        </w:rPr>
        <w:t xml:space="preserve">-1 to </w:t>
      </w:r>
      <w:r>
        <w:rPr>
          <w:rFonts w:ascii="Times New Roman" w:hAnsi="Times New Roman" w:cs="Times New Roman"/>
          <w:sz w:val="24"/>
          <w:szCs w:val="24"/>
        </w:rPr>
        <w:t xml:space="preserve">year </w:t>
      </w:r>
      <w:r w:rsidRPr="008C751B">
        <w:rPr>
          <w:rFonts w:ascii="Times New Roman" w:hAnsi="Times New Roman" w:cs="Times New Roman"/>
          <w:i/>
          <w:sz w:val="24"/>
          <w:szCs w:val="24"/>
        </w:rPr>
        <w:t>t</w:t>
      </w:r>
      <w:r>
        <w:rPr>
          <w:rFonts w:ascii="Times New Roman" w:hAnsi="Times New Roman" w:cs="Times New Roman"/>
          <w:sz w:val="24"/>
          <w:szCs w:val="24"/>
        </w:rPr>
        <w:t xml:space="preserve">, which will exceed the growth rate in DPS to the extent that existing firms issue new shares or new firms are created.  To illustrate this point, suppose that </w:t>
      </w:r>
      <w:r w:rsidRPr="006F46D6">
        <w:rPr>
          <w:rFonts w:ascii="Times New Roman" w:hAnsi="Times New Roman" w:cs="Times New Roman"/>
          <w:i/>
          <w:sz w:val="24"/>
          <w:szCs w:val="24"/>
        </w:rPr>
        <w:t>d</w:t>
      </w:r>
      <w:r w:rsidRPr="006F46D6">
        <w:rPr>
          <w:rFonts w:ascii="Times New Roman" w:hAnsi="Times New Roman" w:cs="Times New Roman"/>
          <w:i/>
          <w:sz w:val="24"/>
          <w:szCs w:val="24"/>
          <w:vertAlign w:val="subscript"/>
        </w:rPr>
        <w:t>t-1</w:t>
      </w:r>
      <w:r>
        <w:rPr>
          <w:rFonts w:ascii="Times New Roman" w:hAnsi="Times New Roman" w:cs="Times New Roman"/>
          <w:sz w:val="24"/>
          <w:szCs w:val="24"/>
        </w:rPr>
        <w:t xml:space="preserve"> = </w:t>
      </w:r>
      <w:r w:rsidRPr="006F46D6">
        <w:rPr>
          <w:rFonts w:ascii="Times New Roman" w:hAnsi="Times New Roman" w:cs="Times New Roman"/>
          <w:i/>
          <w:sz w:val="24"/>
          <w:szCs w:val="24"/>
        </w:rPr>
        <w:t>d</w:t>
      </w:r>
      <w:r w:rsidRPr="006F46D6">
        <w:rPr>
          <w:rFonts w:ascii="Times New Roman" w:hAnsi="Times New Roman" w:cs="Times New Roman"/>
          <w:i/>
          <w:sz w:val="24"/>
          <w:szCs w:val="24"/>
          <w:vertAlign w:val="subscript"/>
        </w:rPr>
        <w:t>t</w:t>
      </w:r>
      <w:r>
        <w:rPr>
          <w:rFonts w:ascii="Times New Roman" w:hAnsi="Times New Roman" w:cs="Times New Roman"/>
          <w:sz w:val="24"/>
          <w:szCs w:val="24"/>
        </w:rPr>
        <w:t xml:space="preserve"> = .05, </w:t>
      </w:r>
      <w:r w:rsidRPr="006F46D6">
        <w:rPr>
          <w:rFonts w:ascii="Times New Roman" w:hAnsi="Times New Roman" w:cs="Times New Roman"/>
          <w:i/>
          <w:sz w:val="24"/>
          <w:szCs w:val="24"/>
        </w:rPr>
        <w:t>P</w:t>
      </w:r>
      <w:r w:rsidRPr="006F46D6">
        <w:rPr>
          <w:rFonts w:ascii="Times New Roman" w:hAnsi="Times New Roman" w:cs="Times New Roman"/>
          <w:i/>
          <w:sz w:val="24"/>
          <w:szCs w:val="24"/>
          <w:vertAlign w:val="subscript"/>
        </w:rPr>
        <w:t>t-1</w:t>
      </w:r>
      <w:r>
        <w:rPr>
          <w:rFonts w:ascii="Times New Roman" w:hAnsi="Times New Roman" w:cs="Times New Roman"/>
          <w:sz w:val="24"/>
          <w:szCs w:val="24"/>
        </w:rPr>
        <w:t xml:space="preserve"> = $100b, </w:t>
      </w:r>
      <w:r w:rsidRPr="006F46D6">
        <w:rPr>
          <w:rFonts w:ascii="Times New Roman" w:hAnsi="Times New Roman" w:cs="Times New Roman"/>
          <w:i/>
          <w:sz w:val="24"/>
          <w:szCs w:val="24"/>
        </w:rPr>
        <w:t>P</w:t>
      </w:r>
      <w:r w:rsidRPr="006F46D6">
        <w:rPr>
          <w:rFonts w:ascii="Times New Roman" w:hAnsi="Times New Roman" w:cs="Times New Roman"/>
          <w:i/>
          <w:sz w:val="24"/>
          <w:szCs w:val="24"/>
          <w:vertAlign w:val="subscript"/>
        </w:rPr>
        <w:t>t</w:t>
      </w:r>
      <w:r>
        <w:rPr>
          <w:rFonts w:ascii="Times New Roman" w:hAnsi="Times New Roman" w:cs="Times New Roman"/>
          <w:sz w:val="24"/>
          <w:szCs w:val="24"/>
        </w:rPr>
        <w:t xml:space="preserve"> = $110b, and </w:t>
      </w:r>
      <w:r w:rsidRPr="006F46D6">
        <w:rPr>
          <w:rFonts w:ascii="Times New Roman" w:hAnsi="Times New Roman" w:cs="Times New Roman"/>
          <w:i/>
          <w:sz w:val="24"/>
          <w:szCs w:val="24"/>
        </w:rPr>
        <w:t>i</w:t>
      </w:r>
      <w:r w:rsidRPr="006F46D6">
        <w:rPr>
          <w:rFonts w:ascii="Times New Roman" w:hAnsi="Times New Roman" w:cs="Times New Roman"/>
          <w:i/>
          <w:sz w:val="24"/>
          <w:szCs w:val="24"/>
          <w:vertAlign w:val="subscript"/>
        </w:rPr>
        <w:t>t</w:t>
      </w:r>
      <w:r>
        <w:rPr>
          <w:rFonts w:ascii="Times New Roman" w:hAnsi="Times New Roman" w:cs="Times New Roman"/>
          <w:sz w:val="24"/>
          <w:szCs w:val="24"/>
        </w:rPr>
        <w:t xml:space="preserve"> = .02.  The aggregate dividends will then be $5b in year </w:t>
      </w:r>
      <w:r w:rsidRPr="00FE079E">
        <w:rPr>
          <w:rFonts w:ascii="Times New Roman" w:hAnsi="Times New Roman" w:cs="Times New Roman"/>
          <w:i/>
          <w:sz w:val="24"/>
          <w:szCs w:val="24"/>
        </w:rPr>
        <w:t>t</w:t>
      </w:r>
      <w:r>
        <w:rPr>
          <w:rFonts w:ascii="Times New Roman" w:hAnsi="Times New Roman" w:cs="Times New Roman"/>
          <w:sz w:val="24"/>
          <w:szCs w:val="24"/>
        </w:rPr>
        <w:t xml:space="preserve">-1 and $5.5b in year </w:t>
      </w:r>
      <w:r w:rsidRPr="006F46D6">
        <w:rPr>
          <w:rFonts w:ascii="Times New Roman" w:hAnsi="Times New Roman" w:cs="Times New Roman"/>
          <w:i/>
          <w:sz w:val="24"/>
          <w:szCs w:val="24"/>
        </w:rPr>
        <w:t>t</w:t>
      </w:r>
      <w:r>
        <w:rPr>
          <w:rFonts w:ascii="Times New Roman" w:hAnsi="Times New Roman" w:cs="Times New Roman"/>
          <w:sz w:val="24"/>
          <w:szCs w:val="24"/>
        </w:rPr>
        <w:t xml:space="preserve">, yielding a nominal growth rate in aggregate dividends of 10% and therefore a real growth rate of 7.84%.  </w:t>
      </w:r>
      <w:r w:rsidR="004B74B7">
        <w:rPr>
          <w:rFonts w:ascii="Times New Roman" w:hAnsi="Times New Roman" w:cs="Times New Roman"/>
          <w:sz w:val="24"/>
          <w:szCs w:val="24"/>
        </w:rPr>
        <w:t xml:space="preserve">Suppose that, </w:t>
      </w:r>
      <w:r>
        <w:rPr>
          <w:rFonts w:ascii="Times New Roman" w:hAnsi="Times New Roman" w:cs="Times New Roman"/>
          <w:sz w:val="24"/>
          <w:szCs w:val="24"/>
        </w:rPr>
        <w:t xml:space="preserve">over year </w:t>
      </w:r>
      <w:r w:rsidRPr="00FE079E">
        <w:rPr>
          <w:rFonts w:ascii="Times New Roman" w:hAnsi="Times New Roman" w:cs="Times New Roman"/>
          <w:i/>
          <w:sz w:val="24"/>
          <w:szCs w:val="24"/>
        </w:rPr>
        <w:t>t</w:t>
      </w:r>
      <w:r>
        <w:rPr>
          <w:rFonts w:ascii="Times New Roman" w:hAnsi="Times New Roman" w:cs="Times New Roman"/>
          <w:sz w:val="24"/>
          <w:szCs w:val="24"/>
        </w:rPr>
        <w:t xml:space="preserve">-1, new shares </w:t>
      </w:r>
      <w:r w:rsidR="004B74B7">
        <w:rPr>
          <w:rFonts w:ascii="Times New Roman" w:hAnsi="Times New Roman" w:cs="Times New Roman"/>
          <w:sz w:val="24"/>
          <w:szCs w:val="24"/>
        </w:rPr>
        <w:t xml:space="preserve">were </w:t>
      </w:r>
      <w:r>
        <w:rPr>
          <w:rFonts w:ascii="Times New Roman" w:hAnsi="Times New Roman" w:cs="Times New Roman"/>
          <w:sz w:val="24"/>
          <w:szCs w:val="24"/>
        </w:rPr>
        <w:t xml:space="preserve">issued in new and existing companies of </w:t>
      </w:r>
      <w:r w:rsidR="00BE519A">
        <w:rPr>
          <w:rFonts w:ascii="Times New Roman" w:hAnsi="Times New Roman" w:cs="Times New Roman"/>
          <w:sz w:val="24"/>
          <w:szCs w:val="24"/>
        </w:rPr>
        <w:t xml:space="preserve">$6b, which constitutes 5.45% of </w:t>
      </w:r>
      <w:r w:rsidR="00BE519A" w:rsidRPr="00BE519A">
        <w:rPr>
          <w:rFonts w:ascii="Times New Roman" w:hAnsi="Times New Roman" w:cs="Times New Roman"/>
          <w:i/>
          <w:sz w:val="24"/>
          <w:szCs w:val="24"/>
        </w:rPr>
        <w:t>P</w:t>
      </w:r>
      <w:r w:rsidR="00BE519A" w:rsidRPr="00BE519A">
        <w:rPr>
          <w:rFonts w:ascii="Times New Roman" w:hAnsi="Times New Roman" w:cs="Times New Roman"/>
          <w:i/>
          <w:sz w:val="24"/>
          <w:szCs w:val="24"/>
          <w:vertAlign w:val="subscript"/>
        </w:rPr>
        <w:t>t</w:t>
      </w:r>
      <w:r w:rsidR="00BE519A">
        <w:rPr>
          <w:rFonts w:ascii="Times New Roman" w:hAnsi="Times New Roman" w:cs="Times New Roman"/>
          <w:sz w:val="24"/>
          <w:szCs w:val="24"/>
        </w:rPr>
        <w:t xml:space="preserve">.  Thus, of the aggregate dividends of $5.5b paid in year </w:t>
      </w:r>
      <w:r w:rsidR="00BE519A" w:rsidRPr="00BE519A">
        <w:rPr>
          <w:rFonts w:ascii="Times New Roman" w:hAnsi="Times New Roman" w:cs="Times New Roman"/>
          <w:i/>
          <w:sz w:val="24"/>
          <w:szCs w:val="24"/>
        </w:rPr>
        <w:t>t</w:t>
      </w:r>
      <w:r w:rsidR="00BE519A">
        <w:rPr>
          <w:rFonts w:ascii="Times New Roman" w:hAnsi="Times New Roman" w:cs="Times New Roman"/>
          <w:sz w:val="24"/>
          <w:szCs w:val="24"/>
        </w:rPr>
        <w:t xml:space="preserve">, only 94.55% flowed to the shares that existed at the beginning of year </w:t>
      </w:r>
      <w:r w:rsidR="00BE519A" w:rsidRPr="00BE519A">
        <w:rPr>
          <w:rFonts w:ascii="Times New Roman" w:hAnsi="Times New Roman" w:cs="Times New Roman"/>
          <w:i/>
          <w:sz w:val="24"/>
          <w:szCs w:val="24"/>
        </w:rPr>
        <w:t>t</w:t>
      </w:r>
      <w:r w:rsidR="00BE519A">
        <w:rPr>
          <w:rFonts w:ascii="Times New Roman" w:hAnsi="Times New Roman" w:cs="Times New Roman"/>
          <w:sz w:val="24"/>
          <w:szCs w:val="24"/>
        </w:rPr>
        <w:t>, being $5.2b.  Thu</w:t>
      </w:r>
      <w:r w:rsidR="004B74B7">
        <w:rPr>
          <w:rFonts w:ascii="Times New Roman" w:hAnsi="Times New Roman" w:cs="Times New Roman"/>
          <w:sz w:val="24"/>
          <w:szCs w:val="24"/>
        </w:rPr>
        <w:t xml:space="preserve">s the real growth rate in DPS from year </w:t>
      </w:r>
      <w:r w:rsidR="004B74B7" w:rsidRPr="00FE079E">
        <w:rPr>
          <w:rFonts w:ascii="Times New Roman" w:hAnsi="Times New Roman" w:cs="Times New Roman"/>
          <w:i/>
          <w:sz w:val="24"/>
          <w:szCs w:val="24"/>
        </w:rPr>
        <w:t>t</w:t>
      </w:r>
      <w:r w:rsidR="004B74B7">
        <w:rPr>
          <w:rFonts w:ascii="Times New Roman" w:hAnsi="Times New Roman" w:cs="Times New Roman"/>
          <w:sz w:val="24"/>
          <w:szCs w:val="24"/>
        </w:rPr>
        <w:t xml:space="preserve">-1 to year </w:t>
      </w:r>
      <w:r w:rsidR="004B74B7" w:rsidRPr="004B74B7">
        <w:rPr>
          <w:rFonts w:ascii="Times New Roman" w:hAnsi="Times New Roman" w:cs="Times New Roman"/>
          <w:i/>
          <w:sz w:val="24"/>
          <w:szCs w:val="24"/>
        </w:rPr>
        <w:t>t</w:t>
      </w:r>
      <w:r w:rsidR="004B74B7">
        <w:rPr>
          <w:rFonts w:ascii="Times New Roman" w:hAnsi="Times New Roman" w:cs="Times New Roman"/>
          <w:sz w:val="24"/>
          <w:szCs w:val="24"/>
        </w:rPr>
        <w:t xml:space="preserve"> </w:t>
      </w:r>
      <w:r w:rsidR="00FE079E">
        <w:rPr>
          <w:rFonts w:ascii="Times New Roman" w:hAnsi="Times New Roman" w:cs="Times New Roman"/>
          <w:sz w:val="24"/>
          <w:szCs w:val="24"/>
        </w:rPr>
        <w:t xml:space="preserve">would be </w:t>
      </w:r>
      <w:r w:rsidR="00546627">
        <w:rPr>
          <w:rFonts w:ascii="Times New Roman" w:hAnsi="Times New Roman" w:cs="Times New Roman"/>
          <w:sz w:val="24"/>
          <w:szCs w:val="24"/>
        </w:rPr>
        <w:t xml:space="preserve">1.96% </w:t>
      </w:r>
      <w:r w:rsidR="004B74B7">
        <w:rPr>
          <w:rFonts w:ascii="Times New Roman" w:hAnsi="Times New Roman" w:cs="Times New Roman"/>
          <w:sz w:val="24"/>
          <w:szCs w:val="24"/>
        </w:rPr>
        <w:t>as follows:</w:t>
      </w:r>
    </w:p>
    <w:p w:rsidR="006F46D6" w:rsidRDefault="006F46D6" w:rsidP="00FC3D1E">
      <w:pPr>
        <w:spacing w:after="0" w:line="360" w:lineRule="auto"/>
        <w:jc w:val="both"/>
        <w:rPr>
          <w:rFonts w:ascii="Times New Roman" w:hAnsi="Times New Roman" w:cs="Times New Roman"/>
          <w:sz w:val="24"/>
          <w:szCs w:val="24"/>
        </w:rPr>
      </w:pPr>
    </w:p>
    <w:p w:rsidR="00BE519A" w:rsidRPr="008C751B" w:rsidRDefault="00BE519A" w:rsidP="00BE519A">
      <w:pPr>
        <w:spacing w:after="0" w:line="360" w:lineRule="auto"/>
        <w:jc w:val="center"/>
        <w:rPr>
          <w:rFonts w:ascii="Times New Roman" w:hAnsi="Times New Roman" w:cs="Times New Roman"/>
          <w:sz w:val="24"/>
          <w:szCs w:val="24"/>
        </w:rPr>
      </w:pPr>
      <w:r w:rsidRPr="00BE519A">
        <w:rPr>
          <w:b/>
          <w:bCs/>
          <w:position w:val="-24"/>
        </w:rPr>
        <w:object w:dxaOrig="2220" w:dyaOrig="900">
          <v:shape id="_x0000_i1049" type="#_x0000_t75" style="width:112.05pt;height:45.7pt" o:ole="">
            <v:imagedata r:id="rId56" o:title=""/>
          </v:shape>
          <o:OLEObject Type="Embed" ProgID="Equation.3" ShapeID="_x0000_i1049" DrawAspect="Content" ObjectID="_1448709077" r:id="rId57"/>
        </w:object>
      </w:r>
    </w:p>
    <w:p w:rsidR="008C751B" w:rsidRDefault="008C751B" w:rsidP="00FC3D1E">
      <w:pPr>
        <w:spacing w:after="0" w:line="360" w:lineRule="auto"/>
        <w:jc w:val="both"/>
        <w:rPr>
          <w:rFonts w:ascii="Times New Roman" w:hAnsi="Times New Roman" w:cs="Times New Roman"/>
          <w:sz w:val="24"/>
          <w:szCs w:val="24"/>
        </w:rPr>
      </w:pPr>
    </w:p>
    <w:p w:rsidR="00BE519A" w:rsidRDefault="00BE519A" w:rsidP="00FC3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CEG’s data source was Brailsford et al (2012), who do not provide data on new share issues.  Thus, CEG could never have obtained a correct estimate of the real grow</w:t>
      </w:r>
      <w:r w:rsidR="004B74B7">
        <w:rPr>
          <w:rFonts w:ascii="Times New Roman" w:hAnsi="Times New Roman" w:cs="Times New Roman"/>
          <w:sz w:val="24"/>
          <w:szCs w:val="24"/>
        </w:rPr>
        <w:t xml:space="preserve">th rate in DPS from this source.  An appropriate </w:t>
      </w:r>
      <w:r w:rsidR="00170D7B">
        <w:rPr>
          <w:rFonts w:ascii="Times New Roman" w:hAnsi="Times New Roman" w:cs="Times New Roman"/>
          <w:sz w:val="24"/>
          <w:szCs w:val="24"/>
        </w:rPr>
        <w:t xml:space="preserve">source is Bernstein and Arnott (2003, Table 1), </w:t>
      </w:r>
      <w:r w:rsidR="00546627">
        <w:rPr>
          <w:rFonts w:ascii="Times New Roman" w:hAnsi="Times New Roman" w:cs="Times New Roman"/>
          <w:sz w:val="24"/>
          <w:szCs w:val="24"/>
        </w:rPr>
        <w:t xml:space="preserve">who give a real growth rate in the DPS for Australia of </w:t>
      </w:r>
      <w:r w:rsidR="00CC523E">
        <w:rPr>
          <w:rFonts w:ascii="Times New Roman" w:hAnsi="Times New Roman" w:cs="Times New Roman"/>
          <w:sz w:val="24"/>
          <w:szCs w:val="24"/>
        </w:rPr>
        <w:t>0.9% for the period 1900-2000.</w:t>
      </w:r>
    </w:p>
    <w:p w:rsidR="00CC523E" w:rsidRDefault="00CC523E" w:rsidP="00FC3D1E">
      <w:pPr>
        <w:spacing w:after="0" w:line="360" w:lineRule="auto"/>
        <w:jc w:val="both"/>
        <w:rPr>
          <w:rFonts w:ascii="Times New Roman" w:hAnsi="Times New Roman" w:cs="Times New Roman"/>
          <w:sz w:val="24"/>
          <w:szCs w:val="24"/>
        </w:rPr>
      </w:pPr>
    </w:p>
    <w:p w:rsidR="00CC523E" w:rsidRDefault="00CC523E" w:rsidP="00FC3D1E">
      <w:pPr>
        <w:spacing w:after="0" w:line="360" w:lineRule="auto"/>
        <w:jc w:val="both"/>
        <w:rPr>
          <w:rFonts w:ascii="Times New Roman" w:hAnsi="Times New Roman" w:cs="Times New Roman"/>
          <w:sz w:val="24"/>
          <w:szCs w:val="24"/>
        </w:rPr>
      </w:pPr>
      <w:r w:rsidRPr="00CC523E">
        <w:rPr>
          <w:rFonts w:ascii="Times New Roman" w:hAnsi="Times New Roman" w:cs="Times New Roman"/>
          <w:sz w:val="24"/>
          <w:szCs w:val="24"/>
        </w:rPr>
        <w:t xml:space="preserve">An alternative approach to </w:t>
      </w:r>
      <w:r>
        <w:rPr>
          <w:rFonts w:ascii="Times New Roman" w:hAnsi="Times New Roman" w:cs="Times New Roman"/>
          <w:sz w:val="24"/>
          <w:szCs w:val="24"/>
        </w:rPr>
        <w:t xml:space="preserve">estimate the long-run expected real growth rate in DPS arises from </w:t>
      </w:r>
      <w:r w:rsidRPr="00CC523E">
        <w:rPr>
          <w:rFonts w:ascii="Times New Roman" w:hAnsi="Times New Roman" w:cs="Times New Roman"/>
          <w:sz w:val="24"/>
          <w:szCs w:val="24"/>
        </w:rPr>
        <w:t xml:space="preserve">the fact that the long-run expected </w:t>
      </w:r>
      <w:r>
        <w:rPr>
          <w:rFonts w:ascii="Times New Roman" w:hAnsi="Times New Roman" w:cs="Times New Roman"/>
          <w:sz w:val="24"/>
          <w:szCs w:val="24"/>
        </w:rPr>
        <w:t xml:space="preserve">real </w:t>
      </w:r>
      <w:r w:rsidRPr="00CC523E">
        <w:rPr>
          <w:rFonts w:ascii="Times New Roman" w:hAnsi="Times New Roman" w:cs="Times New Roman"/>
          <w:sz w:val="24"/>
          <w:szCs w:val="24"/>
        </w:rPr>
        <w:t xml:space="preserve">growth rate in DPS should match that for EPS, and the latter can be estimated from the historical average </w:t>
      </w:r>
      <w:r>
        <w:rPr>
          <w:rFonts w:ascii="Times New Roman" w:hAnsi="Times New Roman" w:cs="Times New Roman"/>
          <w:sz w:val="24"/>
          <w:szCs w:val="24"/>
        </w:rPr>
        <w:t xml:space="preserve">without the bias arising from a change n the payout rate over time.  Grinold et al (2011, Table 1) give a figure of 1.91% for </w:t>
      </w:r>
      <w:r w:rsidR="00350D9A">
        <w:rPr>
          <w:rFonts w:ascii="Times New Roman" w:hAnsi="Times New Roman" w:cs="Times New Roman"/>
          <w:sz w:val="24"/>
          <w:szCs w:val="24"/>
        </w:rPr>
        <w:t>the US for the period 1926-2010</w:t>
      </w:r>
      <w:r w:rsidR="00BE16DC">
        <w:rPr>
          <w:rFonts w:ascii="Times New Roman" w:hAnsi="Times New Roman" w:cs="Times New Roman"/>
          <w:sz w:val="24"/>
          <w:szCs w:val="24"/>
        </w:rPr>
        <w:t>.  This is similar to the AER’s proposed figure of 2%.</w:t>
      </w:r>
    </w:p>
    <w:p w:rsidR="00350D9A" w:rsidRDefault="00350D9A" w:rsidP="00FC3D1E">
      <w:pPr>
        <w:spacing w:after="0" w:line="360" w:lineRule="auto"/>
        <w:jc w:val="both"/>
        <w:rPr>
          <w:rFonts w:ascii="Times New Roman" w:hAnsi="Times New Roman" w:cs="Times New Roman"/>
          <w:sz w:val="24"/>
          <w:szCs w:val="24"/>
        </w:rPr>
      </w:pPr>
    </w:p>
    <w:p w:rsidR="00350D9A" w:rsidRDefault="00350D9A" w:rsidP="00FC3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SFG (2013, page 12 and page</w:t>
      </w:r>
      <w:r w:rsidR="00B023F1">
        <w:rPr>
          <w:rFonts w:ascii="Times New Roman" w:hAnsi="Times New Roman" w:cs="Times New Roman"/>
          <w:sz w:val="24"/>
          <w:szCs w:val="24"/>
        </w:rPr>
        <w:t xml:space="preserve"> 35</w:t>
      </w:r>
      <w:r>
        <w:rPr>
          <w:rFonts w:ascii="Times New Roman" w:hAnsi="Times New Roman" w:cs="Times New Roman"/>
          <w:sz w:val="24"/>
          <w:szCs w:val="24"/>
        </w:rPr>
        <w:t>) assert that the deduction of 1% presumes that current listed firms will have lower expected growth than other businesses that comprise the overall economy.  This claim is not correct; the deduction arises instead from the existence of new share issues by existing firms and the formation of new companies.  Even if all three sets of assets had the same expected growth rate in their dividends, as in the example presented above, the deduction (of 1% or some other figure) would still be warranted.</w:t>
      </w:r>
    </w:p>
    <w:p w:rsidR="00CC523E" w:rsidRDefault="00CC523E" w:rsidP="00FC3D1E">
      <w:pPr>
        <w:spacing w:after="0" w:line="360" w:lineRule="auto"/>
        <w:jc w:val="both"/>
        <w:rPr>
          <w:rFonts w:ascii="Times New Roman" w:hAnsi="Times New Roman" w:cs="Times New Roman"/>
          <w:sz w:val="24"/>
          <w:szCs w:val="24"/>
        </w:rPr>
      </w:pPr>
    </w:p>
    <w:p w:rsidR="00CC523E" w:rsidRPr="00CC523E" w:rsidRDefault="00D642F5" w:rsidP="00FC3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summary, all of </w:t>
      </w:r>
      <w:r w:rsidR="00CC523E">
        <w:rPr>
          <w:rFonts w:ascii="Times New Roman" w:hAnsi="Times New Roman" w:cs="Times New Roman"/>
          <w:sz w:val="24"/>
          <w:szCs w:val="24"/>
        </w:rPr>
        <w:t xml:space="preserve">this evidence suggests that an appropriate estimate for the long-run expected real growth rate in DPS is 2% per year, which accords with the AER’s view.  In respect of expected inflation, the midpoint of the </w:t>
      </w:r>
      <w:r w:rsidR="00EA1D69">
        <w:rPr>
          <w:rFonts w:ascii="Times New Roman" w:hAnsi="Times New Roman" w:cs="Times New Roman"/>
          <w:sz w:val="24"/>
          <w:szCs w:val="24"/>
        </w:rPr>
        <w:t xml:space="preserve">RBA’s </w:t>
      </w:r>
      <w:r w:rsidR="00CC523E">
        <w:rPr>
          <w:rFonts w:ascii="Times New Roman" w:hAnsi="Times New Roman" w:cs="Times New Roman"/>
          <w:sz w:val="24"/>
          <w:szCs w:val="24"/>
        </w:rPr>
        <w:t xml:space="preserve">target range </w:t>
      </w:r>
      <w:r w:rsidR="00EA1D69">
        <w:rPr>
          <w:rFonts w:ascii="Times New Roman" w:hAnsi="Times New Roman" w:cs="Times New Roman"/>
          <w:sz w:val="24"/>
          <w:szCs w:val="24"/>
        </w:rPr>
        <w:t>is 2.5% and the average rate since inflation targeting at 2-3% was formalised in August 1996 has been 2.6%.</w:t>
      </w:r>
      <w:r w:rsidR="00EA1D69">
        <w:rPr>
          <w:rStyle w:val="FootnoteReference"/>
          <w:rFonts w:ascii="Times New Roman" w:hAnsi="Times New Roman" w:cs="Times New Roman"/>
          <w:sz w:val="24"/>
          <w:szCs w:val="24"/>
        </w:rPr>
        <w:footnoteReference w:id="8"/>
      </w:r>
      <w:r w:rsidR="00EA1D69">
        <w:rPr>
          <w:rFonts w:ascii="Times New Roman" w:hAnsi="Times New Roman" w:cs="Times New Roman"/>
          <w:sz w:val="24"/>
          <w:szCs w:val="24"/>
        </w:rPr>
        <w:t xml:space="preserve">  All of this suggests that </w:t>
      </w:r>
      <w:r w:rsidR="00B023F1">
        <w:rPr>
          <w:rFonts w:ascii="Times New Roman" w:hAnsi="Times New Roman" w:cs="Times New Roman"/>
          <w:sz w:val="24"/>
          <w:szCs w:val="24"/>
        </w:rPr>
        <w:t xml:space="preserve">an appropriate estimate of </w:t>
      </w:r>
      <w:r w:rsidR="00EA1D69">
        <w:rPr>
          <w:rFonts w:ascii="Times New Roman" w:hAnsi="Times New Roman" w:cs="Times New Roman"/>
          <w:sz w:val="24"/>
          <w:szCs w:val="24"/>
        </w:rPr>
        <w:t xml:space="preserve">long-run expected inflation is 2.5%, which also </w:t>
      </w:r>
      <w:r>
        <w:rPr>
          <w:rFonts w:ascii="Times New Roman" w:hAnsi="Times New Roman" w:cs="Times New Roman"/>
          <w:sz w:val="24"/>
          <w:szCs w:val="24"/>
        </w:rPr>
        <w:t>accords with the AER’s position.  Consequently, I concur with the AER’s estimate of the long-run expected growth rate in DPS</w:t>
      </w:r>
      <w:r w:rsidR="00200948">
        <w:rPr>
          <w:rFonts w:ascii="Times New Roman" w:hAnsi="Times New Roman" w:cs="Times New Roman"/>
          <w:sz w:val="24"/>
          <w:szCs w:val="24"/>
        </w:rPr>
        <w:t>,</w:t>
      </w:r>
      <w:r>
        <w:rPr>
          <w:rFonts w:ascii="Times New Roman" w:hAnsi="Times New Roman" w:cs="Times New Roman"/>
          <w:sz w:val="24"/>
          <w:szCs w:val="24"/>
        </w:rPr>
        <w:t xml:space="preserve"> of 4.6%</w:t>
      </w:r>
      <w:r w:rsidR="00200948">
        <w:rPr>
          <w:rFonts w:ascii="Times New Roman" w:hAnsi="Times New Roman" w:cs="Times New Roman"/>
          <w:sz w:val="24"/>
          <w:szCs w:val="24"/>
        </w:rPr>
        <w:t>.</w:t>
      </w:r>
    </w:p>
    <w:p w:rsidR="00BE519A" w:rsidRDefault="00BE519A" w:rsidP="00FC3D1E">
      <w:pPr>
        <w:spacing w:after="0" w:line="360" w:lineRule="auto"/>
        <w:jc w:val="both"/>
        <w:rPr>
          <w:rFonts w:ascii="Times New Roman" w:hAnsi="Times New Roman" w:cs="Times New Roman"/>
          <w:sz w:val="24"/>
          <w:szCs w:val="24"/>
        </w:rPr>
      </w:pPr>
    </w:p>
    <w:p w:rsidR="008977E0" w:rsidRPr="00A54826" w:rsidRDefault="008977E0" w:rsidP="008977E0">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The Short-Run E</w:t>
      </w:r>
      <w:r w:rsidR="00E5275D">
        <w:rPr>
          <w:rFonts w:ascii="Times New Roman" w:hAnsi="Times New Roman" w:cs="Times New Roman"/>
          <w:b/>
          <w:sz w:val="24"/>
          <w:szCs w:val="24"/>
        </w:rPr>
        <w:t>xpected Growth Rate in DPS</w:t>
      </w:r>
    </w:p>
    <w:p w:rsidR="008977E0" w:rsidRDefault="008977E0" w:rsidP="00FC3D1E">
      <w:pPr>
        <w:spacing w:after="0" w:line="360" w:lineRule="auto"/>
        <w:jc w:val="both"/>
        <w:rPr>
          <w:rFonts w:ascii="Times New Roman" w:hAnsi="Times New Roman" w:cs="Times New Roman"/>
          <w:sz w:val="24"/>
          <w:szCs w:val="24"/>
        </w:rPr>
      </w:pPr>
    </w:p>
    <w:p w:rsidR="002E0136" w:rsidRDefault="00BD5157" w:rsidP="00FC3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364EC5">
        <w:rPr>
          <w:rFonts w:ascii="Times New Roman" w:hAnsi="Times New Roman" w:cs="Times New Roman"/>
          <w:sz w:val="24"/>
          <w:szCs w:val="24"/>
        </w:rPr>
        <w:t>AER</w:t>
      </w:r>
      <w:r w:rsidR="008977E0">
        <w:rPr>
          <w:rFonts w:ascii="Times New Roman" w:hAnsi="Times New Roman" w:cs="Times New Roman"/>
          <w:sz w:val="24"/>
          <w:szCs w:val="24"/>
        </w:rPr>
        <w:t xml:space="preserve"> uses Bloomberg’s expected growth rates in </w:t>
      </w:r>
      <w:r w:rsidR="00316998">
        <w:rPr>
          <w:rFonts w:ascii="Times New Roman" w:hAnsi="Times New Roman" w:cs="Times New Roman"/>
          <w:sz w:val="24"/>
          <w:szCs w:val="24"/>
        </w:rPr>
        <w:t xml:space="preserve">DPS </w:t>
      </w:r>
      <w:r w:rsidR="008977E0">
        <w:rPr>
          <w:rFonts w:ascii="Times New Roman" w:hAnsi="Times New Roman" w:cs="Times New Roman"/>
          <w:sz w:val="24"/>
          <w:szCs w:val="24"/>
        </w:rPr>
        <w:t xml:space="preserve">for the first three years, and this raises the question of whether this is the best source of expected short-term growth rates.  The obvious alternative is the IBES forecasts of EPS, and these have </w:t>
      </w:r>
      <w:r w:rsidR="002E0136">
        <w:rPr>
          <w:rFonts w:ascii="Times New Roman" w:hAnsi="Times New Roman" w:cs="Times New Roman"/>
          <w:sz w:val="24"/>
          <w:szCs w:val="24"/>
        </w:rPr>
        <w:t>a number of advantages.</w:t>
      </w:r>
    </w:p>
    <w:p w:rsidR="002E0136" w:rsidRDefault="002E0136" w:rsidP="00FC3D1E">
      <w:pPr>
        <w:spacing w:after="0" w:line="360" w:lineRule="auto"/>
        <w:jc w:val="both"/>
        <w:rPr>
          <w:rFonts w:ascii="Times New Roman" w:hAnsi="Times New Roman" w:cs="Times New Roman"/>
          <w:sz w:val="24"/>
          <w:szCs w:val="24"/>
        </w:rPr>
      </w:pPr>
    </w:p>
    <w:p w:rsidR="002E0136" w:rsidRDefault="008977E0" w:rsidP="00FC3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Firstly, they are not sensitive to short-term </w:t>
      </w:r>
      <w:r w:rsidR="00BE16DC">
        <w:rPr>
          <w:rFonts w:ascii="Times New Roman" w:hAnsi="Times New Roman" w:cs="Times New Roman"/>
          <w:sz w:val="24"/>
          <w:szCs w:val="24"/>
        </w:rPr>
        <w:t xml:space="preserve">forecasts </w:t>
      </w:r>
      <w:r>
        <w:rPr>
          <w:rFonts w:ascii="Times New Roman" w:hAnsi="Times New Roman" w:cs="Times New Roman"/>
          <w:sz w:val="24"/>
          <w:szCs w:val="24"/>
        </w:rPr>
        <w:t xml:space="preserve">of dividends that reflect a change in the payout rate.  For example, suppose the EPS forecast </w:t>
      </w:r>
      <w:r w:rsidR="002E0136">
        <w:rPr>
          <w:rFonts w:ascii="Times New Roman" w:hAnsi="Times New Roman" w:cs="Times New Roman"/>
          <w:sz w:val="24"/>
          <w:szCs w:val="24"/>
        </w:rPr>
        <w:t xml:space="preserve">growth rate </w:t>
      </w:r>
      <w:r>
        <w:rPr>
          <w:rFonts w:ascii="Times New Roman" w:hAnsi="Times New Roman" w:cs="Times New Roman"/>
          <w:sz w:val="24"/>
          <w:szCs w:val="24"/>
        </w:rPr>
        <w:t xml:space="preserve">is 5% </w:t>
      </w:r>
      <w:r w:rsidR="002E0136">
        <w:rPr>
          <w:rFonts w:ascii="Times New Roman" w:hAnsi="Times New Roman" w:cs="Times New Roman"/>
          <w:sz w:val="24"/>
          <w:szCs w:val="24"/>
        </w:rPr>
        <w:t xml:space="preserve">per year for the next three years and the </w:t>
      </w:r>
      <w:r>
        <w:rPr>
          <w:rFonts w:ascii="Times New Roman" w:hAnsi="Times New Roman" w:cs="Times New Roman"/>
          <w:sz w:val="24"/>
          <w:szCs w:val="24"/>
        </w:rPr>
        <w:t xml:space="preserve">DPS forecast </w:t>
      </w:r>
      <w:r w:rsidR="002E0136">
        <w:rPr>
          <w:rFonts w:ascii="Times New Roman" w:hAnsi="Times New Roman" w:cs="Times New Roman"/>
          <w:sz w:val="24"/>
          <w:szCs w:val="24"/>
        </w:rPr>
        <w:t xml:space="preserve">growth rate </w:t>
      </w:r>
      <w:r>
        <w:rPr>
          <w:rFonts w:ascii="Times New Roman" w:hAnsi="Times New Roman" w:cs="Times New Roman"/>
          <w:sz w:val="24"/>
          <w:szCs w:val="24"/>
        </w:rPr>
        <w:t>is 7% because the payout rate is expected to rise</w:t>
      </w:r>
      <w:r w:rsidR="00234EF3">
        <w:rPr>
          <w:rFonts w:ascii="Times New Roman" w:hAnsi="Times New Roman" w:cs="Times New Roman"/>
          <w:sz w:val="24"/>
          <w:szCs w:val="24"/>
        </w:rPr>
        <w:t>.  This change in the payout rate cannot be sustained</w:t>
      </w:r>
      <w:r w:rsidR="002E0136">
        <w:rPr>
          <w:rFonts w:ascii="Times New Roman" w:hAnsi="Times New Roman" w:cs="Times New Roman"/>
          <w:sz w:val="24"/>
          <w:szCs w:val="24"/>
        </w:rPr>
        <w:t xml:space="preserve"> indefinitely</w:t>
      </w:r>
      <w:r w:rsidR="00234EF3">
        <w:rPr>
          <w:rFonts w:ascii="Times New Roman" w:hAnsi="Times New Roman" w:cs="Times New Roman"/>
          <w:sz w:val="24"/>
          <w:szCs w:val="24"/>
        </w:rPr>
        <w:t xml:space="preserve">, and must come at the expense of </w:t>
      </w:r>
      <w:r w:rsidR="002E0136">
        <w:rPr>
          <w:rFonts w:ascii="Times New Roman" w:hAnsi="Times New Roman" w:cs="Times New Roman"/>
          <w:sz w:val="24"/>
          <w:szCs w:val="24"/>
        </w:rPr>
        <w:t xml:space="preserve">subsequent </w:t>
      </w:r>
      <w:r w:rsidR="00234EF3">
        <w:rPr>
          <w:rFonts w:ascii="Times New Roman" w:hAnsi="Times New Roman" w:cs="Times New Roman"/>
          <w:sz w:val="24"/>
          <w:szCs w:val="24"/>
        </w:rPr>
        <w:t xml:space="preserve">dividends </w:t>
      </w:r>
      <w:r w:rsidR="002E0136">
        <w:rPr>
          <w:rFonts w:ascii="Times New Roman" w:hAnsi="Times New Roman" w:cs="Times New Roman"/>
          <w:sz w:val="24"/>
          <w:szCs w:val="24"/>
        </w:rPr>
        <w:t xml:space="preserve">(those beyond three years into the future), and therefore must adversely affect the DPS growth rate beyond three years into the future.  However </w:t>
      </w:r>
      <w:r w:rsidR="00234EF3">
        <w:rPr>
          <w:rFonts w:ascii="Times New Roman" w:hAnsi="Times New Roman" w:cs="Times New Roman"/>
          <w:sz w:val="24"/>
          <w:szCs w:val="24"/>
        </w:rPr>
        <w:t xml:space="preserve">the latter </w:t>
      </w:r>
      <w:r w:rsidR="002E0136">
        <w:rPr>
          <w:rFonts w:ascii="Times New Roman" w:hAnsi="Times New Roman" w:cs="Times New Roman"/>
          <w:sz w:val="24"/>
          <w:szCs w:val="24"/>
        </w:rPr>
        <w:t>growth rate is estimated from the GDP growth rate, and therefore does not reflect the adverse consequence of a short-term increase in the earnings payout rate</w:t>
      </w:r>
      <w:r w:rsidR="00234EF3">
        <w:rPr>
          <w:rFonts w:ascii="Times New Roman" w:hAnsi="Times New Roman" w:cs="Times New Roman"/>
          <w:sz w:val="24"/>
          <w:szCs w:val="24"/>
        </w:rPr>
        <w:t xml:space="preserve">.  </w:t>
      </w:r>
      <w:r w:rsidR="002E0136">
        <w:rPr>
          <w:rFonts w:ascii="Times New Roman" w:hAnsi="Times New Roman" w:cs="Times New Roman"/>
          <w:sz w:val="24"/>
          <w:szCs w:val="24"/>
        </w:rPr>
        <w:t xml:space="preserve">So, </w:t>
      </w:r>
      <w:r w:rsidR="002D31C0">
        <w:rPr>
          <w:rFonts w:ascii="Times New Roman" w:hAnsi="Times New Roman" w:cs="Times New Roman"/>
          <w:sz w:val="24"/>
          <w:szCs w:val="24"/>
        </w:rPr>
        <w:t xml:space="preserve">using </w:t>
      </w:r>
      <w:r w:rsidR="007061BC">
        <w:rPr>
          <w:rFonts w:ascii="Times New Roman" w:hAnsi="Times New Roman" w:cs="Times New Roman"/>
          <w:sz w:val="24"/>
          <w:szCs w:val="24"/>
        </w:rPr>
        <w:t xml:space="preserve">short-term </w:t>
      </w:r>
      <w:r w:rsidR="002D31C0">
        <w:rPr>
          <w:rFonts w:ascii="Times New Roman" w:hAnsi="Times New Roman" w:cs="Times New Roman"/>
          <w:sz w:val="24"/>
          <w:szCs w:val="24"/>
        </w:rPr>
        <w:t xml:space="preserve">DPS growth rates with a long-term </w:t>
      </w:r>
      <w:r w:rsidR="007061BC">
        <w:rPr>
          <w:rFonts w:ascii="Times New Roman" w:hAnsi="Times New Roman" w:cs="Times New Roman"/>
          <w:sz w:val="24"/>
          <w:szCs w:val="24"/>
        </w:rPr>
        <w:t xml:space="preserve">growth rate based upon the expected GDP growth rate will </w:t>
      </w:r>
      <w:r w:rsidR="002E0136">
        <w:rPr>
          <w:rFonts w:ascii="Times New Roman" w:hAnsi="Times New Roman" w:cs="Times New Roman"/>
          <w:sz w:val="24"/>
          <w:szCs w:val="24"/>
        </w:rPr>
        <w:t xml:space="preserve">reflect the favourable consequences of a short-term increase in the earnings </w:t>
      </w:r>
      <w:r w:rsidR="002D31C0">
        <w:rPr>
          <w:rFonts w:ascii="Times New Roman" w:hAnsi="Times New Roman" w:cs="Times New Roman"/>
          <w:sz w:val="24"/>
          <w:szCs w:val="24"/>
        </w:rPr>
        <w:t>payout rate but not the subsequent unfavourable effects</w:t>
      </w:r>
      <w:r w:rsidR="007061BC">
        <w:rPr>
          <w:rFonts w:ascii="Times New Roman" w:hAnsi="Times New Roman" w:cs="Times New Roman"/>
          <w:sz w:val="24"/>
          <w:szCs w:val="24"/>
        </w:rPr>
        <w:t xml:space="preserve">.  By contrast, using short-term IBES forecast </w:t>
      </w:r>
      <w:r w:rsidR="002D31C0">
        <w:rPr>
          <w:rFonts w:ascii="Times New Roman" w:hAnsi="Times New Roman" w:cs="Times New Roman"/>
          <w:sz w:val="24"/>
          <w:szCs w:val="24"/>
        </w:rPr>
        <w:t>growth rates</w:t>
      </w:r>
      <w:r w:rsidR="007061BC">
        <w:rPr>
          <w:rFonts w:ascii="Times New Roman" w:hAnsi="Times New Roman" w:cs="Times New Roman"/>
          <w:sz w:val="24"/>
          <w:szCs w:val="24"/>
        </w:rPr>
        <w:t xml:space="preserve"> rather than DPS forecast growth rates is free of this problem.</w:t>
      </w:r>
    </w:p>
    <w:p w:rsidR="002E0136" w:rsidRDefault="002E0136" w:rsidP="00FC3D1E">
      <w:pPr>
        <w:spacing w:after="0" w:line="360" w:lineRule="auto"/>
        <w:jc w:val="both"/>
        <w:rPr>
          <w:rFonts w:ascii="Times New Roman" w:hAnsi="Times New Roman" w:cs="Times New Roman"/>
          <w:sz w:val="24"/>
          <w:szCs w:val="24"/>
        </w:rPr>
      </w:pPr>
    </w:p>
    <w:p w:rsidR="003622EC" w:rsidRDefault="00234EF3" w:rsidP="00FC3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Secondly, the IBES</w:t>
      </w:r>
      <w:r w:rsidR="007061BC">
        <w:rPr>
          <w:rFonts w:ascii="Times New Roman" w:hAnsi="Times New Roman" w:cs="Times New Roman"/>
          <w:sz w:val="24"/>
          <w:szCs w:val="24"/>
        </w:rPr>
        <w:t xml:space="preserve"> forecasts </w:t>
      </w:r>
      <w:r>
        <w:rPr>
          <w:rFonts w:ascii="Times New Roman" w:hAnsi="Times New Roman" w:cs="Times New Roman"/>
          <w:sz w:val="24"/>
          <w:szCs w:val="24"/>
        </w:rPr>
        <w:t>have been subject to extensive tests for bias</w:t>
      </w:r>
      <w:r w:rsidR="003350F8">
        <w:rPr>
          <w:rFonts w:ascii="Times New Roman" w:hAnsi="Times New Roman" w:cs="Times New Roman"/>
          <w:sz w:val="24"/>
          <w:szCs w:val="24"/>
        </w:rPr>
        <w:t>.  For example</w:t>
      </w:r>
      <w:r w:rsidR="004D737B">
        <w:rPr>
          <w:rFonts w:ascii="Times New Roman" w:hAnsi="Times New Roman" w:cs="Times New Roman"/>
          <w:sz w:val="24"/>
          <w:szCs w:val="24"/>
        </w:rPr>
        <w:t xml:space="preserve">, </w:t>
      </w:r>
      <w:r w:rsidR="003350F8">
        <w:rPr>
          <w:rFonts w:ascii="Times New Roman" w:hAnsi="Times New Roman" w:cs="Times New Roman"/>
          <w:sz w:val="24"/>
          <w:szCs w:val="24"/>
        </w:rPr>
        <w:t xml:space="preserve">Claus and Thomas (2001, Table VI) report average errors (upward) </w:t>
      </w:r>
      <w:r w:rsidR="007061BC">
        <w:rPr>
          <w:rFonts w:ascii="Times New Roman" w:hAnsi="Times New Roman" w:cs="Times New Roman"/>
          <w:sz w:val="24"/>
          <w:szCs w:val="24"/>
        </w:rPr>
        <w:t>for one to five year ahead forecasts, and also for each year from 1985 to 1997.  Since these forecast er</w:t>
      </w:r>
      <w:r w:rsidR="003622EC">
        <w:rPr>
          <w:rFonts w:ascii="Times New Roman" w:hAnsi="Times New Roman" w:cs="Times New Roman"/>
          <w:sz w:val="24"/>
          <w:szCs w:val="24"/>
        </w:rPr>
        <w:t xml:space="preserve">rors have clearly declined over this period </w:t>
      </w:r>
      <w:r w:rsidR="007061BC">
        <w:rPr>
          <w:rFonts w:ascii="Times New Roman" w:hAnsi="Times New Roman" w:cs="Times New Roman"/>
          <w:sz w:val="24"/>
          <w:szCs w:val="24"/>
        </w:rPr>
        <w:t xml:space="preserve">the most recent ones are of most interest, and they involve errors ranging from </w:t>
      </w:r>
      <w:r w:rsidR="003350F8">
        <w:rPr>
          <w:rFonts w:ascii="Times New Roman" w:hAnsi="Times New Roman" w:cs="Times New Roman"/>
          <w:sz w:val="24"/>
          <w:szCs w:val="24"/>
        </w:rPr>
        <w:t xml:space="preserve">zero for one-year ahead </w:t>
      </w:r>
      <w:r w:rsidR="007061BC">
        <w:rPr>
          <w:rFonts w:ascii="Times New Roman" w:hAnsi="Times New Roman" w:cs="Times New Roman"/>
          <w:sz w:val="24"/>
          <w:szCs w:val="24"/>
        </w:rPr>
        <w:t xml:space="preserve">forecasts </w:t>
      </w:r>
      <w:r w:rsidR="003350F8">
        <w:rPr>
          <w:rFonts w:ascii="Times New Roman" w:hAnsi="Times New Roman" w:cs="Times New Roman"/>
          <w:sz w:val="24"/>
          <w:szCs w:val="24"/>
        </w:rPr>
        <w:t xml:space="preserve">up to 0.74% for five years ahead (relative to </w:t>
      </w:r>
      <w:r w:rsidR="003350F8">
        <w:rPr>
          <w:rFonts w:ascii="Times New Roman" w:hAnsi="Times New Roman" w:cs="Times New Roman"/>
          <w:sz w:val="24"/>
          <w:szCs w:val="24"/>
        </w:rPr>
        <w:lastRenderedPageBreak/>
        <w:t xml:space="preserve">stock price).  Since the </w:t>
      </w:r>
      <w:r w:rsidR="00BD5157" w:rsidRPr="00364EC5">
        <w:rPr>
          <w:rFonts w:ascii="Times New Roman" w:hAnsi="Times New Roman" w:cs="Times New Roman"/>
          <w:sz w:val="24"/>
          <w:szCs w:val="24"/>
        </w:rPr>
        <w:t>price-earnings</w:t>
      </w:r>
      <w:r w:rsidR="00BD5157">
        <w:rPr>
          <w:rFonts w:ascii="Times New Roman" w:hAnsi="Times New Roman" w:cs="Times New Roman"/>
          <w:sz w:val="24"/>
          <w:szCs w:val="24"/>
        </w:rPr>
        <w:t xml:space="preserve"> (</w:t>
      </w:r>
      <w:r w:rsidR="003350F8">
        <w:rPr>
          <w:rFonts w:ascii="Times New Roman" w:hAnsi="Times New Roman" w:cs="Times New Roman"/>
          <w:sz w:val="24"/>
          <w:szCs w:val="24"/>
        </w:rPr>
        <w:t>PE</w:t>
      </w:r>
      <w:r w:rsidR="00BD5157">
        <w:rPr>
          <w:rFonts w:ascii="Times New Roman" w:hAnsi="Times New Roman" w:cs="Times New Roman"/>
          <w:sz w:val="24"/>
          <w:szCs w:val="24"/>
        </w:rPr>
        <w:t>)</w:t>
      </w:r>
      <w:r w:rsidR="003350F8">
        <w:rPr>
          <w:rFonts w:ascii="Times New Roman" w:hAnsi="Times New Roman" w:cs="Times New Roman"/>
          <w:sz w:val="24"/>
          <w:szCs w:val="24"/>
        </w:rPr>
        <w:t xml:space="preserve"> ratios at the corresponding times are about 15 (ibid, Table V), these forecast</w:t>
      </w:r>
      <w:r w:rsidR="004D737B">
        <w:rPr>
          <w:rFonts w:ascii="Times New Roman" w:hAnsi="Times New Roman" w:cs="Times New Roman"/>
          <w:sz w:val="24"/>
          <w:szCs w:val="24"/>
        </w:rPr>
        <w:t xml:space="preserve"> errors therefore rang</w:t>
      </w:r>
      <w:r w:rsidR="007061BC">
        <w:rPr>
          <w:rFonts w:ascii="Times New Roman" w:hAnsi="Times New Roman" w:cs="Times New Roman"/>
          <w:sz w:val="24"/>
          <w:szCs w:val="24"/>
        </w:rPr>
        <w:t>e from zero to 11% of the EPS, and therefore would overestimate the growth rate per year by about 2%</w:t>
      </w:r>
      <w:r w:rsidR="006F4506">
        <w:rPr>
          <w:rFonts w:ascii="Times New Roman" w:hAnsi="Times New Roman" w:cs="Times New Roman"/>
          <w:sz w:val="24"/>
          <w:szCs w:val="24"/>
        </w:rPr>
        <w:t>, i.e., two percentage points</w:t>
      </w:r>
      <w:r w:rsidR="007061BC">
        <w:rPr>
          <w:rFonts w:ascii="Times New Roman" w:hAnsi="Times New Roman" w:cs="Times New Roman"/>
          <w:sz w:val="24"/>
          <w:szCs w:val="24"/>
        </w:rPr>
        <w:t xml:space="preserve">.  This is not a trivial error.  However, </w:t>
      </w:r>
      <w:r w:rsidR="003350F8">
        <w:rPr>
          <w:rFonts w:ascii="Times New Roman" w:hAnsi="Times New Roman" w:cs="Times New Roman"/>
          <w:sz w:val="24"/>
          <w:szCs w:val="24"/>
        </w:rPr>
        <w:t xml:space="preserve">Gu and Wu (2003, Table 1) find </w:t>
      </w:r>
      <w:r w:rsidR="007D20C0">
        <w:rPr>
          <w:rFonts w:ascii="Times New Roman" w:hAnsi="Times New Roman" w:cs="Times New Roman"/>
          <w:sz w:val="24"/>
          <w:szCs w:val="24"/>
        </w:rPr>
        <w:t xml:space="preserve">that the median forecast error is zero despite the mean forecast error being positive and statistically significant, and attribute this to </w:t>
      </w:r>
      <w:r w:rsidR="003622EC">
        <w:rPr>
          <w:rFonts w:ascii="Times New Roman" w:hAnsi="Times New Roman" w:cs="Times New Roman"/>
          <w:sz w:val="24"/>
          <w:szCs w:val="24"/>
        </w:rPr>
        <w:t xml:space="preserve">the fact the EPS distribution is skewed rightwards and </w:t>
      </w:r>
      <w:r w:rsidR="007D20C0">
        <w:rPr>
          <w:rFonts w:ascii="Times New Roman" w:hAnsi="Times New Roman" w:cs="Times New Roman"/>
          <w:sz w:val="24"/>
          <w:szCs w:val="24"/>
        </w:rPr>
        <w:t>analysts</w:t>
      </w:r>
      <w:r w:rsidR="003622EC">
        <w:rPr>
          <w:rFonts w:ascii="Times New Roman" w:hAnsi="Times New Roman" w:cs="Times New Roman"/>
          <w:sz w:val="24"/>
          <w:szCs w:val="24"/>
        </w:rPr>
        <w:t xml:space="preserve"> target the median rather than the mean of the distribution.  By contrast with this</w:t>
      </w:r>
      <w:r w:rsidR="00AC09CF">
        <w:rPr>
          <w:rFonts w:ascii="Times New Roman" w:hAnsi="Times New Roman" w:cs="Times New Roman"/>
          <w:sz w:val="24"/>
          <w:szCs w:val="24"/>
        </w:rPr>
        <w:t xml:space="preserve"> evidence on EPS forecasts</w:t>
      </w:r>
      <w:r w:rsidR="003622EC">
        <w:rPr>
          <w:rFonts w:ascii="Times New Roman" w:hAnsi="Times New Roman" w:cs="Times New Roman"/>
          <w:sz w:val="24"/>
          <w:szCs w:val="24"/>
        </w:rPr>
        <w:t>, I am not aware of bias tests on the Bloomberg forecasts, and therefore they warrant less confidence.</w:t>
      </w:r>
    </w:p>
    <w:p w:rsidR="009B776A" w:rsidRDefault="009B776A" w:rsidP="00FC3D1E">
      <w:pPr>
        <w:spacing w:after="0" w:line="360" w:lineRule="auto"/>
        <w:jc w:val="both"/>
        <w:rPr>
          <w:rFonts w:ascii="Times New Roman" w:hAnsi="Times New Roman" w:cs="Times New Roman"/>
          <w:sz w:val="24"/>
          <w:szCs w:val="24"/>
        </w:rPr>
      </w:pPr>
    </w:p>
    <w:p w:rsidR="009B776A" w:rsidRDefault="009B776A" w:rsidP="009B77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further point relates to the potential deletions from the Bloomberg set of forecasts.  SFG (2013, section 6) argues that share prices on </w:t>
      </w:r>
      <w:r w:rsidR="00AC09CF">
        <w:rPr>
          <w:rFonts w:ascii="Times New Roman" w:hAnsi="Times New Roman" w:cs="Times New Roman"/>
          <w:sz w:val="24"/>
          <w:szCs w:val="24"/>
        </w:rPr>
        <w:t xml:space="preserve">a particular </w:t>
      </w:r>
      <w:r>
        <w:rPr>
          <w:rFonts w:ascii="Times New Roman" w:hAnsi="Times New Roman" w:cs="Times New Roman"/>
          <w:sz w:val="24"/>
          <w:szCs w:val="24"/>
        </w:rPr>
        <w:t xml:space="preserve">day should be combined with contemporaneous analyst forecasts rather than stale analyst forecasts, and therefore that stale forecasts should be deleted.  I agree with this in principle, but without offering a view on </w:t>
      </w:r>
      <w:r w:rsidR="00AB1ADE">
        <w:rPr>
          <w:rFonts w:ascii="Times New Roman" w:hAnsi="Times New Roman" w:cs="Times New Roman"/>
          <w:sz w:val="24"/>
          <w:szCs w:val="24"/>
        </w:rPr>
        <w:t>the definition of stale.</w:t>
      </w:r>
    </w:p>
    <w:p w:rsidR="003622EC" w:rsidRDefault="003622EC" w:rsidP="00FC3D1E">
      <w:pPr>
        <w:spacing w:after="0" w:line="360" w:lineRule="auto"/>
        <w:jc w:val="both"/>
        <w:rPr>
          <w:rFonts w:ascii="Times New Roman" w:hAnsi="Times New Roman" w:cs="Times New Roman"/>
          <w:sz w:val="24"/>
          <w:szCs w:val="24"/>
        </w:rPr>
      </w:pPr>
    </w:p>
    <w:p w:rsidR="008977E0" w:rsidRDefault="003622EC" w:rsidP="00FC3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summary</w:t>
      </w:r>
      <w:r w:rsidR="00A00AFC">
        <w:rPr>
          <w:rFonts w:ascii="Times New Roman" w:hAnsi="Times New Roman" w:cs="Times New Roman"/>
          <w:sz w:val="24"/>
          <w:szCs w:val="24"/>
        </w:rPr>
        <w:t xml:space="preserve">, relative to the Bloomberg </w:t>
      </w:r>
      <w:r w:rsidR="00316998">
        <w:rPr>
          <w:rFonts w:ascii="Times New Roman" w:hAnsi="Times New Roman" w:cs="Times New Roman"/>
          <w:sz w:val="24"/>
          <w:szCs w:val="24"/>
        </w:rPr>
        <w:t xml:space="preserve">DPS </w:t>
      </w:r>
      <w:r w:rsidR="00A00AFC">
        <w:rPr>
          <w:rFonts w:ascii="Times New Roman" w:hAnsi="Times New Roman" w:cs="Times New Roman"/>
          <w:sz w:val="24"/>
          <w:szCs w:val="24"/>
        </w:rPr>
        <w:t xml:space="preserve">forecasts, </w:t>
      </w:r>
      <w:r>
        <w:rPr>
          <w:rFonts w:ascii="Times New Roman" w:hAnsi="Times New Roman" w:cs="Times New Roman"/>
          <w:sz w:val="24"/>
          <w:szCs w:val="24"/>
        </w:rPr>
        <w:t xml:space="preserve">the IBES EPS forecasts have the advantages of not being subject to short-term fluctuations in future earnings payout rates and </w:t>
      </w:r>
      <w:r w:rsidR="00A00AFC">
        <w:rPr>
          <w:rFonts w:ascii="Times New Roman" w:hAnsi="Times New Roman" w:cs="Times New Roman"/>
          <w:sz w:val="24"/>
          <w:szCs w:val="24"/>
        </w:rPr>
        <w:t>have also been subj</w:t>
      </w:r>
      <w:r w:rsidR="00AB1ADE">
        <w:rPr>
          <w:rFonts w:ascii="Times New Roman" w:hAnsi="Times New Roman" w:cs="Times New Roman"/>
          <w:sz w:val="24"/>
          <w:szCs w:val="24"/>
        </w:rPr>
        <w:t>ect to extensive tests for bias.  In addition, ‘stale’ analyst forecasts ought to be deleted from whichever data set is used to the extent this is feasible.</w:t>
      </w:r>
    </w:p>
    <w:p w:rsidR="008977E0" w:rsidRPr="00CC523E" w:rsidRDefault="008977E0" w:rsidP="00FC3D1E">
      <w:pPr>
        <w:spacing w:after="0" w:line="360" w:lineRule="auto"/>
        <w:jc w:val="both"/>
        <w:rPr>
          <w:rFonts w:ascii="Times New Roman" w:hAnsi="Times New Roman" w:cs="Times New Roman"/>
          <w:sz w:val="24"/>
          <w:szCs w:val="24"/>
        </w:rPr>
      </w:pPr>
    </w:p>
    <w:p w:rsidR="00FE7203" w:rsidRPr="00A54826" w:rsidRDefault="00FE7203" w:rsidP="00FE7203">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The Mid-Year Correction</w:t>
      </w:r>
    </w:p>
    <w:p w:rsidR="00FE7203" w:rsidRDefault="00FE7203" w:rsidP="00FC3D1E">
      <w:pPr>
        <w:spacing w:after="0" w:line="360" w:lineRule="auto"/>
        <w:jc w:val="both"/>
        <w:rPr>
          <w:rFonts w:ascii="Times New Roman" w:hAnsi="Times New Roman" w:cs="Times New Roman"/>
          <w:sz w:val="24"/>
          <w:szCs w:val="24"/>
        </w:rPr>
      </w:pPr>
    </w:p>
    <w:p w:rsidR="00F51BD2" w:rsidRDefault="003652EE" w:rsidP="00FC3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AER favours the mid-year correction </w:t>
      </w:r>
      <w:r w:rsidR="00A32AD8">
        <w:rPr>
          <w:rFonts w:ascii="Times New Roman" w:hAnsi="Times New Roman" w:cs="Times New Roman"/>
          <w:sz w:val="24"/>
          <w:szCs w:val="24"/>
        </w:rPr>
        <w:t xml:space="preserve">as shown in equation (3).  </w:t>
      </w:r>
      <w:r w:rsidR="00ED294C">
        <w:rPr>
          <w:rFonts w:ascii="Times New Roman" w:hAnsi="Times New Roman" w:cs="Times New Roman"/>
          <w:sz w:val="24"/>
          <w:szCs w:val="24"/>
        </w:rPr>
        <w:t xml:space="preserve">The conceptual merits of this are clear.  </w:t>
      </w:r>
      <w:r w:rsidR="00A32AD8">
        <w:rPr>
          <w:rFonts w:ascii="Times New Roman" w:hAnsi="Times New Roman" w:cs="Times New Roman"/>
          <w:sz w:val="24"/>
          <w:szCs w:val="24"/>
        </w:rPr>
        <w:t xml:space="preserve">However the effect is </w:t>
      </w:r>
      <w:r w:rsidR="001B04C1">
        <w:rPr>
          <w:rFonts w:ascii="Times New Roman" w:hAnsi="Times New Roman" w:cs="Times New Roman"/>
          <w:sz w:val="24"/>
          <w:szCs w:val="24"/>
        </w:rPr>
        <w:t xml:space="preserve">not large.  </w:t>
      </w:r>
      <w:r w:rsidR="00A32AD8">
        <w:rPr>
          <w:rFonts w:ascii="Times New Roman" w:hAnsi="Times New Roman" w:cs="Times New Roman"/>
          <w:sz w:val="24"/>
          <w:szCs w:val="24"/>
        </w:rPr>
        <w:t xml:space="preserve">For example, suppose that the dividends in the most recent year were $1b, the expected growth rate in dividends is 4.6% for each year, and </w:t>
      </w:r>
      <w:r w:rsidR="00891BCD">
        <w:rPr>
          <w:rFonts w:ascii="Times New Roman" w:hAnsi="Times New Roman" w:cs="Times New Roman"/>
          <w:sz w:val="24"/>
          <w:szCs w:val="24"/>
        </w:rPr>
        <w:t>the market cost of equity is 10%.</w:t>
      </w:r>
      <w:r w:rsidR="00A32AD8">
        <w:rPr>
          <w:rFonts w:ascii="Times New Roman" w:hAnsi="Times New Roman" w:cs="Times New Roman"/>
          <w:sz w:val="24"/>
          <w:szCs w:val="24"/>
        </w:rPr>
        <w:t xml:space="preserve">  Using equation </w:t>
      </w:r>
      <w:r w:rsidR="001B04C1">
        <w:rPr>
          <w:rFonts w:ascii="Times New Roman" w:hAnsi="Times New Roman" w:cs="Times New Roman"/>
          <w:sz w:val="24"/>
          <w:szCs w:val="24"/>
        </w:rPr>
        <w:t>(3), the current value of the mark</w:t>
      </w:r>
      <w:r w:rsidR="00BF6965">
        <w:rPr>
          <w:rFonts w:ascii="Times New Roman" w:hAnsi="Times New Roman" w:cs="Times New Roman"/>
          <w:sz w:val="24"/>
          <w:szCs w:val="24"/>
        </w:rPr>
        <w:t>et portfolio would be $20.32b</w:t>
      </w:r>
      <w:r w:rsidR="001913DC">
        <w:rPr>
          <w:rFonts w:ascii="Times New Roman" w:hAnsi="Times New Roman" w:cs="Times New Roman"/>
          <w:sz w:val="24"/>
          <w:szCs w:val="24"/>
        </w:rPr>
        <w:t xml:space="preserve"> as follows:</w:t>
      </w:r>
    </w:p>
    <w:p w:rsidR="00F51BD2" w:rsidRDefault="00F51BD2" w:rsidP="00FC3D1E">
      <w:pPr>
        <w:spacing w:after="0" w:line="360" w:lineRule="auto"/>
        <w:jc w:val="both"/>
        <w:rPr>
          <w:rFonts w:ascii="Times New Roman" w:hAnsi="Times New Roman" w:cs="Times New Roman"/>
          <w:sz w:val="24"/>
          <w:szCs w:val="24"/>
        </w:rPr>
      </w:pPr>
    </w:p>
    <w:p w:rsidR="00F51BD2" w:rsidRDefault="001913DC" w:rsidP="001913DC">
      <w:pPr>
        <w:spacing w:after="0" w:line="360" w:lineRule="auto"/>
        <w:jc w:val="center"/>
        <w:rPr>
          <w:rFonts w:ascii="Times New Roman" w:hAnsi="Times New Roman" w:cs="Times New Roman"/>
          <w:sz w:val="24"/>
          <w:szCs w:val="24"/>
        </w:rPr>
      </w:pPr>
      <w:r w:rsidRPr="00D2575F">
        <w:rPr>
          <w:rFonts w:ascii="Times New Roman" w:hAnsi="Times New Roman" w:cs="Times New Roman"/>
          <w:b/>
          <w:bCs/>
          <w:position w:val="-28"/>
          <w:sz w:val="24"/>
          <w:szCs w:val="24"/>
        </w:rPr>
        <w:object w:dxaOrig="6680" w:dyaOrig="700">
          <v:shape id="_x0000_i1050" type="#_x0000_t75" style="width:334.35pt;height:36.3pt" o:ole="">
            <v:imagedata r:id="rId58" o:title=""/>
          </v:shape>
          <o:OLEObject Type="Embed" ProgID="Equation.3" ShapeID="_x0000_i1050" DrawAspect="Content" ObjectID="_1448709078" r:id="rId59"/>
        </w:object>
      </w:r>
    </w:p>
    <w:p w:rsidR="00F51BD2" w:rsidRDefault="00F51BD2" w:rsidP="00FC3D1E">
      <w:pPr>
        <w:spacing w:after="0" w:line="360" w:lineRule="auto"/>
        <w:jc w:val="both"/>
        <w:rPr>
          <w:rFonts w:ascii="Times New Roman" w:hAnsi="Times New Roman" w:cs="Times New Roman"/>
          <w:sz w:val="24"/>
          <w:szCs w:val="24"/>
        </w:rPr>
      </w:pPr>
    </w:p>
    <w:p w:rsidR="003652EE" w:rsidRDefault="001B04C1" w:rsidP="00FC3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Using this result in conjunction with equation (1), which does not have the mid-year correction, the resulting estimate of </w:t>
      </w:r>
      <w:r w:rsidRPr="00F51BD2">
        <w:rPr>
          <w:rFonts w:ascii="Times New Roman" w:hAnsi="Times New Roman" w:cs="Times New Roman"/>
          <w:i/>
          <w:sz w:val="24"/>
          <w:szCs w:val="24"/>
        </w:rPr>
        <w:t>k</w:t>
      </w:r>
      <w:r>
        <w:rPr>
          <w:rFonts w:ascii="Times New Roman" w:hAnsi="Times New Roman" w:cs="Times New Roman"/>
          <w:sz w:val="24"/>
          <w:szCs w:val="24"/>
        </w:rPr>
        <w:t xml:space="preserve"> is 9.75%.  So, </w:t>
      </w:r>
      <w:r w:rsidR="00220B04">
        <w:rPr>
          <w:rFonts w:ascii="Times New Roman" w:hAnsi="Times New Roman" w:cs="Times New Roman"/>
          <w:sz w:val="24"/>
          <w:szCs w:val="24"/>
        </w:rPr>
        <w:t xml:space="preserve">failure to make the </w:t>
      </w:r>
      <w:r>
        <w:rPr>
          <w:rFonts w:ascii="Times New Roman" w:hAnsi="Times New Roman" w:cs="Times New Roman"/>
          <w:sz w:val="24"/>
          <w:szCs w:val="24"/>
        </w:rPr>
        <w:t>mid-year correction</w:t>
      </w:r>
      <w:r w:rsidR="00220B04">
        <w:rPr>
          <w:rFonts w:ascii="Times New Roman" w:hAnsi="Times New Roman" w:cs="Times New Roman"/>
          <w:sz w:val="24"/>
          <w:szCs w:val="24"/>
        </w:rPr>
        <w:t xml:space="preserve"> would lead to underestimating the market </w:t>
      </w:r>
      <w:r w:rsidR="00891BCD">
        <w:rPr>
          <w:rFonts w:ascii="Times New Roman" w:hAnsi="Times New Roman" w:cs="Times New Roman"/>
          <w:sz w:val="24"/>
          <w:szCs w:val="24"/>
        </w:rPr>
        <w:t xml:space="preserve">cost of equity </w:t>
      </w:r>
      <w:r w:rsidR="00220B04">
        <w:rPr>
          <w:rFonts w:ascii="Times New Roman" w:hAnsi="Times New Roman" w:cs="Times New Roman"/>
          <w:sz w:val="24"/>
          <w:szCs w:val="24"/>
        </w:rPr>
        <w:t>and therefore also the MRP by about 0.25%</w:t>
      </w:r>
      <w:r>
        <w:rPr>
          <w:rFonts w:ascii="Times New Roman" w:hAnsi="Times New Roman" w:cs="Times New Roman"/>
          <w:sz w:val="24"/>
          <w:szCs w:val="24"/>
        </w:rPr>
        <w:t xml:space="preserve">.  However, if this is considered sufficiently important to </w:t>
      </w:r>
      <w:r w:rsidR="00F35A07">
        <w:rPr>
          <w:rFonts w:ascii="Times New Roman" w:hAnsi="Times New Roman" w:cs="Times New Roman"/>
          <w:sz w:val="24"/>
          <w:szCs w:val="24"/>
        </w:rPr>
        <w:t xml:space="preserve">warrant correction, then a three-stage DGM should be preferred over a two stage model (with an average </w:t>
      </w:r>
      <w:r w:rsidR="001A31C1">
        <w:rPr>
          <w:rFonts w:ascii="Times New Roman" w:hAnsi="Times New Roman" w:cs="Times New Roman"/>
          <w:sz w:val="24"/>
          <w:szCs w:val="24"/>
        </w:rPr>
        <w:t xml:space="preserve">error </w:t>
      </w:r>
      <w:r w:rsidR="00F35A07">
        <w:rPr>
          <w:rFonts w:ascii="Times New Roman" w:hAnsi="Times New Roman" w:cs="Times New Roman"/>
          <w:sz w:val="24"/>
          <w:szCs w:val="24"/>
        </w:rPr>
        <w:t xml:space="preserve">reduction </w:t>
      </w:r>
      <w:r w:rsidR="001A31C1">
        <w:rPr>
          <w:rFonts w:ascii="Times New Roman" w:hAnsi="Times New Roman" w:cs="Times New Roman"/>
          <w:sz w:val="24"/>
          <w:szCs w:val="24"/>
        </w:rPr>
        <w:t xml:space="preserve">of </w:t>
      </w:r>
      <w:r w:rsidR="00F35A07">
        <w:rPr>
          <w:rFonts w:ascii="Times New Roman" w:hAnsi="Times New Roman" w:cs="Times New Roman"/>
          <w:sz w:val="24"/>
          <w:szCs w:val="24"/>
        </w:rPr>
        <w:t xml:space="preserve">0.40%) and the assumption of a flat term structure in the market </w:t>
      </w:r>
      <w:r w:rsidR="00891BCD">
        <w:rPr>
          <w:rFonts w:ascii="Times New Roman" w:hAnsi="Times New Roman" w:cs="Times New Roman"/>
          <w:sz w:val="24"/>
          <w:szCs w:val="24"/>
        </w:rPr>
        <w:t xml:space="preserve">cost of equity </w:t>
      </w:r>
      <w:r w:rsidR="00F35A07">
        <w:rPr>
          <w:rFonts w:ascii="Times New Roman" w:hAnsi="Times New Roman" w:cs="Times New Roman"/>
          <w:sz w:val="24"/>
          <w:szCs w:val="24"/>
        </w:rPr>
        <w:t xml:space="preserve">should be avoided (with </w:t>
      </w:r>
      <w:r w:rsidR="001A31C1">
        <w:rPr>
          <w:rFonts w:ascii="Times New Roman" w:hAnsi="Times New Roman" w:cs="Times New Roman"/>
          <w:sz w:val="24"/>
          <w:szCs w:val="24"/>
        </w:rPr>
        <w:t xml:space="preserve">an </w:t>
      </w:r>
      <w:r w:rsidR="00F35A07">
        <w:rPr>
          <w:rFonts w:ascii="Times New Roman" w:hAnsi="Times New Roman" w:cs="Times New Roman"/>
          <w:sz w:val="24"/>
          <w:szCs w:val="24"/>
        </w:rPr>
        <w:t xml:space="preserve">error </w:t>
      </w:r>
      <w:r w:rsidR="00BF6965">
        <w:rPr>
          <w:rFonts w:ascii="Times New Roman" w:hAnsi="Times New Roman" w:cs="Times New Roman"/>
          <w:sz w:val="24"/>
          <w:szCs w:val="24"/>
        </w:rPr>
        <w:t>reduction of 1.1%).</w:t>
      </w:r>
    </w:p>
    <w:p w:rsidR="00FE7203" w:rsidRDefault="00FE7203" w:rsidP="00FC3D1E">
      <w:pPr>
        <w:spacing w:after="0" w:line="360" w:lineRule="auto"/>
        <w:jc w:val="both"/>
        <w:rPr>
          <w:rFonts w:ascii="Times New Roman" w:hAnsi="Times New Roman" w:cs="Times New Roman"/>
          <w:sz w:val="24"/>
          <w:szCs w:val="24"/>
        </w:rPr>
      </w:pPr>
    </w:p>
    <w:p w:rsidR="00FE7203" w:rsidRPr="00A54826" w:rsidRDefault="00FE7203" w:rsidP="00FE7203">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The Partial-Year Correction</w:t>
      </w:r>
    </w:p>
    <w:p w:rsidR="00FE7203" w:rsidRDefault="00FE7203" w:rsidP="00FC3D1E">
      <w:pPr>
        <w:spacing w:after="0" w:line="360" w:lineRule="auto"/>
        <w:jc w:val="both"/>
        <w:rPr>
          <w:rFonts w:ascii="Times New Roman" w:hAnsi="Times New Roman" w:cs="Times New Roman"/>
          <w:sz w:val="24"/>
          <w:szCs w:val="24"/>
        </w:rPr>
      </w:pPr>
    </w:p>
    <w:p w:rsidR="001913DC" w:rsidRDefault="00A0282E" w:rsidP="00191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AER favours the partial year correction as shown in equation (4).  </w:t>
      </w:r>
      <w:r w:rsidR="000E7B1B">
        <w:rPr>
          <w:rFonts w:ascii="Times New Roman" w:hAnsi="Times New Roman" w:cs="Times New Roman"/>
          <w:sz w:val="24"/>
          <w:szCs w:val="24"/>
        </w:rPr>
        <w:t xml:space="preserve">To investigate the effect of this adjustment, suppose that </w:t>
      </w:r>
      <w:r w:rsidR="00F51BD2">
        <w:rPr>
          <w:rFonts w:ascii="Times New Roman" w:hAnsi="Times New Roman" w:cs="Times New Roman"/>
          <w:sz w:val="24"/>
          <w:szCs w:val="24"/>
        </w:rPr>
        <w:t xml:space="preserve">the analysis is performed mid-way through the first year, the dividends in the year just before the first year were $1b, the expected growth rate in dividends is 7% for the first three years and 4.6% thereafter, and the </w:t>
      </w:r>
      <w:r w:rsidR="00891BCD">
        <w:rPr>
          <w:rFonts w:ascii="Times New Roman" w:hAnsi="Times New Roman" w:cs="Times New Roman"/>
          <w:sz w:val="24"/>
          <w:szCs w:val="24"/>
        </w:rPr>
        <w:t xml:space="preserve">market cost of equity </w:t>
      </w:r>
      <w:r w:rsidR="00F51BD2">
        <w:rPr>
          <w:rFonts w:ascii="Times New Roman" w:hAnsi="Times New Roman" w:cs="Times New Roman"/>
          <w:sz w:val="24"/>
          <w:szCs w:val="24"/>
        </w:rPr>
        <w:t>is 10%</w:t>
      </w:r>
      <w:r w:rsidR="001913DC">
        <w:rPr>
          <w:rFonts w:ascii="Times New Roman" w:hAnsi="Times New Roman" w:cs="Times New Roman"/>
          <w:sz w:val="24"/>
          <w:szCs w:val="24"/>
        </w:rPr>
        <w:t>.  Invoking equation (4), the current value of the m</w:t>
      </w:r>
      <w:r w:rsidR="00367EE7">
        <w:rPr>
          <w:rFonts w:ascii="Times New Roman" w:hAnsi="Times New Roman" w:cs="Times New Roman"/>
          <w:sz w:val="24"/>
          <w:szCs w:val="24"/>
        </w:rPr>
        <w:t>arket portfolio would be $22.74b as follows:</w:t>
      </w:r>
      <w:r w:rsidR="001913DC">
        <w:rPr>
          <w:rFonts w:ascii="Times New Roman" w:hAnsi="Times New Roman" w:cs="Times New Roman"/>
          <w:sz w:val="24"/>
          <w:szCs w:val="24"/>
        </w:rPr>
        <w:t xml:space="preserve">  </w:t>
      </w:r>
    </w:p>
    <w:p w:rsidR="001913DC" w:rsidRDefault="00367EE7" w:rsidP="001913DC">
      <w:pPr>
        <w:spacing w:after="0" w:line="360" w:lineRule="auto"/>
        <w:jc w:val="center"/>
        <w:rPr>
          <w:rFonts w:ascii="Times New Roman" w:hAnsi="Times New Roman" w:cs="Times New Roman"/>
          <w:sz w:val="24"/>
          <w:szCs w:val="24"/>
        </w:rPr>
      </w:pPr>
      <w:r w:rsidRPr="00D2575F">
        <w:rPr>
          <w:rFonts w:ascii="Times New Roman" w:hAnsi="Times New Roman" w:cs="Times New Roman"/>
          <w:b/>
          <w:bCs/>
          <w:position w:val="-28"/>
          <w:sz w:val="24"/>
          <w:szCs w:val="24"/>
        </w:rPr>
        <w:object w:dxaOrig="7060" w:dyaOrig="1060">
          <v:shape id="_x0000_i1051" type="#_x0000_t75" style="width:353.1pt;height:53.2pt" o:ole="">
            <v:imagedata r:id="rId60" o:title=""/>
          </v:shape>
          <o:OLEObject Type="Embed" ProgID="Equation.3" ShapeID="_x0000_i1051" DrawAspect="Content" ObjectID="_1448709079" r:id="rId61"/>
        </w:object>
      </w:r>
    </w:p>
    <w:p w:rsidR="001913DC" w:rsidRDefault="001913DC" w:rsidP="001913DC">
      <w:pPr>
        <w:spacing w:after="0" w:line="360" w:lineRule="auto"/>
        <w:jc w:val="both"/>
        <w:rPr>
          <w:rFonts w:ascii="Times New Roman" w:hAnsi="Times New Roman" w:cs="Times New Roman"/>
          <w:sz w:val="24"/>
          <w:szCs w:val="24"/>
        </w:rPr>
      </w:pPr>
    </w:p>
    <w:p w:rsidR="00406318" w:rsidRDefault="001913DC"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Using this result in conju</w:t>
      </w:r>
      <w:r w:rsidR="00367EE7">
        <w:rPr>
          <w:rFonts w:ascii="Times New Roman" w:hAnsi="Times New Roman" w:cs="Times New Roman"/>
          <w:sz w:val="24"/>
          <w:szCs w:val="24"/>
        </w:rPr>
        <w:t>nction with equation (3</w:t>
      </w:r>
      <w:r>
        <w:rPr>
          <w:rFonts w:ascii="Times New Roman" w:hAnsi="Times New Roman" w:cs="Times New Roman"/>
          <w:sz w:val="24"/>
          <w:szCs w:val="24"/>
        </w:rPr>
        <w:t xml:space="preserve">), which does not have the mid-year correction, the resulting estimate of </w:t>
      </w:r>
      <w:r w:rsidR="00891BCD">
        <w:rPr>
          <w:rFonts w:ascii="Times New Roman" w:hAnsi="Times New Roman" w:cs="Times New Roman"/>
          <w:sz w:val="24"/>
          <w:szCs w:val="24"/>
        </w:rPr>
        <w:t xml:space="preserve">the market cost of </w:t>
      </w:r>
      <w:r w:rsidR="002E7391">
        <w:rPr>
          <w:rFonts w:ascii="Times New Roman" w:hAnsi="Times New Roman" w:cs="Times New Roman"/>
          <w:sz w:val="24"/>
          <w:szCs w:val="24"/>
        </w:rPr>
        <w:t xml:space="preserve">equity would </w:t>
      </w:r>
      <w:r w:rsidR="00BF6965">
        <w:rPr>
          <w:rFonts w:ascii="Times New Roman" w:hAnsi="Times New Roman" w:cs="Times New Roman"/>
          <w:sz w:val="24"/>
          <w:szCs w:val="24"/>
        </w:rPr>
        <w:t xml:space="preserve">be </w:t>
      </w:r>
      <w:r w:rsidR="006E7977">
        <w:rPr>
          <w:rFonts w:ascii="Times New Roman" w:hAnsi="Times New Roman" w:cs="Times New Roman"/>
          <w:sz w:val="24"/>
          <w:szCs w:val="24"/>
        </w:rPr>
        <w:t>9.88%.  So, failure to make this adjustment would lead to an underestimate in the market discount rate, and therefore also the MRP, by about 0.1%</w:t>
      </w:r>
      <w:r w:rsidR="002A4F8B">
        <w:rPr>
          <w:rFonts w:ascii="Times New Roman" w:hAnsi="Times New Roman" w:cs="Times New Roman"/>
          <w:sz w:val="24"/>
          <w:szCs w:val="24"/>
        </w:rPr>
        <w:t xml:space="preserve">.  This is trivial.  In </w:t>
      </w:r>
      <w:r w:rsidR="00965AB1">
        <w:rPr>
          <w:rFonts w:ascii="Times New Roman" w:hAnsi="Times New Roman" w:cs="Times New Roman"/>
          <w:sz w:val="24"/>
          <w:szCs w:val="24"/>
        </w:rPr>
        <w:t xml:space="preserve">addition, I understand that the Bloomberg DPS forecast are </w:t>
      </w:r>
      <w:r w:rsidR="002A4F8B">
        <w:rPr>
          <w:rFonts w:ascii="Times New Roman" w:hAnsi="Times New Roman" w:cs="Times New Roman"/>
          <w:sz w:val="24"/>
          <w:szCs w:val="24"/>
        </w:rPr>
        <w:t xml:space="preserve">updated </w:t>
      </w:r>
      <w:r w:rsidR="00965AB1">
        <w:rPr>
          <w:rFonts w:ascii="Times New Roman" w:hAnsi="Times New Roman" w:cs="Times New Roman"/>
          <w:sz w:val="24"/>
          <w:szCs w:val="24"/>
        </w:rPr>
        <w:t xml:space="preserve">much </w:t>
      </w:r>
      <w:r w:rsidR="002A4F8B">
        <w:rPr>
          <w:rFonts w:ascii="Times New Roman" w:hAnsi="Times New Roman" w:cs="Times New Roman"/>
          <w:sz w:val="24"/>
          <w:szCs w:val="24"/>
        </w:rPr>
        <w:t>more frequently than annually, and this undercuts the rationale for the adjustment.</w:t>
      </w:r>
    </w:p>
    <w:p w:rsidR="009B776A" w:rsidRDefault="009B776A" w:rsidP="00D66208">
      <w:pPr>
        <w:spacing w:after="0" w:line="360" w:lineRule="auto"/>
        <w:jc w:val="both"/>
        <w:rPr>
          <w:rFonts w:ascii="Times New Roman" w:hAnsi="Times New Roman" w:cs="Times New Roman"/>
          <w:sz w:val="24"/>
          <w:szCs w:val="24"/>
        </w:rPr>
      </w:pPr>
    </w:p>
    <w:p w:rsidR="002A4F8B" w:rsidRDefault="002A4F8B"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view of these points, I recommend against the partial-year adjustment.</w:t>
      </w:r>
    </w:p>
    <w:p w:rsidR="00EA54F1" w:rsidRDefault="00EA54F1" w:rsidP="00D66208">
      <w:pPr>
        <w:spacing w:after="0" w:line="360" w:lineRule="auto"/>
        <w:jc w:val="both"/>
        <w:rPr>
          <w:rFonts w:ascii="Times New Roman" w:hAnsi="Times New Roman" w:cs="Times New Roman"/>
          <w:sz w:val="24"/>
          <w:szCs w:val="24"/>
        </w:rPr>
      </w:pPr>
    </w:p>
    <w:p w:rsidR="00835BA5" w:rsidRPr="00EA3EF7" w:rsidRDefault="00445B4D" w:rsidP="001C3B57">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Limitations in the DGM</w:t>
      </w:r>
    </w:p>
    <w:p w:rsidR="00434D1F" w:rsidRPr="00434D1F" w:rsidRDefault="00434D1F" w:rsidP="00D66208">
      <w:pPr>
        <w:spacing w:after="0" w:line="360" w:lineRule="auto"/>
        <w:jc w:val="both"/>
        <w:rPr>
          <w:rFonts w:ascii="Times New Roman" w:hAnsi="Times New Roman" w:cs="Times New Roman"/>
          <w:sz w:val="24"/>
          <w:szCs w:val="24"/>
        </w:rPr>
      </w:pPr>
    </w:p>
    <w:p w:rsidR="00434D1F" w:rsidRDefault="00434D1F"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Having either concurred or disagreed with various features of the AER’s proposed DGM approach to estimating the MRP, it remains to detail some adverse features of the DGM</w:t>
      </w:r>
      <w:r w:rsidR="00032211">
        <w:rPr>
          <w:rFonts w:ascii="Times New Roman" w:hAnsi="Times New Roman" w:cs="Times New Roman"/>
          <w:sz w:val="24"/>
          <w:szCs w:val="24"/>
        </w:rPr>
        <w:t xml:space="preserve">.  An </w:t>
      </w:r>
      <w:r w:rsidR="00032211">
        <w:rPr>
          <w:rFonts w:ascii="Times New Roman" w:hAnsi="Times New Roman" w:cs="Times New Roman"/>
          <w:sz w:val="24"/>
          <w:szCs w:val="24"/>
        </w:rPr>
        <w:lastRenderedPageBreak/>
        <w:t>appreciation of these shortcomings, along with those of other MRP estimation methods, is critical to an appreciation of the relative merits of these estimation methods.</w:t>
      </w:r>
    </w:p>
    <w:p w:rsidR="00434D1F" w:rsidRPr="00434D1F" w:rsidRDefault="00434D1F" w:rsidP="00D66208">
      <w:pPr>
        <w:spacing w:after="0" w:line="360" w:lineRule="auto"/>
        <w:jc w:val="both"/>
        <w:rPr>
          <w:rFonts w:ascii="Times New Roman" w:hAnsi="Times New Roman" w:cs="Times New Roman"/>
          <w:sz w:val="24"/>
          <w:szCs w:val="24"/>
        </w:rPr>
      </w:pPr>
    </w:p>
    <w:p w:rsidR="00835BA5" w:rsidRPr="00445B4D" w:rsidRDefault="00E5275D" w:rsidP="00D662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10</w:t>
      </w:r>
      <w:r w:rsidR="00445B4D">
        <w:rPr>
          <w:rFonts w:ascii="Times New Roman" w:hAnsi="Times New Roman" w:cs="Times New Roman"/>
          <w:i/>
          <w:sz w:val="24"/>
          <w:szCs w:val="24"/>
        </w:rPr>
        <w:t>.1 The Assumption of Rational Pricing</w:t>
      </w:r>
    </w:p>
    <w:p w:rsidR="006153C4" w:rsidRDefault="00EA3EF7"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DGM </w:t>
      </w:r>
      <w:r w:rsidR="00D66208">
        <w:rPr>
          <w:rFonts w:ascii="Times New Roman" w:hAnsi="Times New Roman" w:cs="Times New Roman"/>
          <w:sz w:val="24"/>
          <w:szCs w:val="24"/>
        </w:rPr>
        <w:t xml:space="preserve">methodology assumes </w:t>
      </w:r>
      <w:r w:rsidR="00D66208" w:rsidRPr="00E46458">
        <w:rPr>
          <w:rFonts w:ascii="Times New Roman" w:hAnsi="Times New Roman" w:cs="Times New Roman"/>
          <w:sz w:val="24"/>
          <w:szCs w:val="24"/>
        </w:rPr>
        <w:t xml:space="preserve">that the </w:t>
      </w:r>
      <w:r w:rsidR="00D66208">
        <w:rPr>
          <w:rFonts w:ascii="Times New Roman" w:hAnsi="Times New Roman" w:cs="Times New Roman"/>
          <w:sz w:val="24"/>
          <w:szCs w:val="24"/>
        </w:rPr>
        <w:t xml:space="preserve">current value of </w:t>
      </w:r>
      <w:r w:rsidR="003917DF">
        <w:rPr>
          <w:rFonts w:ascii="Times New Roman" w:hAnsi="Times New Roman" w:cs="Times New Roman"/>
          <w:sz w:val="24"/>
          <w:szCs w:val="24"/>
        </w:rPr>
        <w:t xml:space="preserve">equities </w:t>
      </w:r>
      <w:r w:rsidR="00D66208" w:rsidRPr="00E46458">
        <w:rPr>
          <w:rFonts w:ascii="Times New Roman" w:hAnsi="Times New Roman" w:cs="Times New Roman"/>
          <w:sz w:val="24"/>
          <w:szCs w:val="24"/>
        </w:rPr>
        <w:t xml:space="preserve">matches the present value of future dividends. </w:t>
      </w:r>
      <w:r w:rsidR="00D66208">
        <w:rPr>
          <w:rFonts w:ascii="Times New Roman" w:hAnsi="Times New Roman" w:cs="Times New Roman"/>
          <w:sz w:val="24"/>
          <w:szCs w:val="24"/>
        </w:rPr>
        <w:t xml:space="preserve"> Consequently, if </w:t>
      </w:r>
      <w:r w:rsidR="00D66208" w:rsidRPr="00E46458">
        <w:rPr>
          <w:rFonts w:ascii="Times New Roman" w:hAnsi="Times New Roman" w:cs="Times New Roman"/>
          <w:sz w:val="24"/>
          <w:szCs w:val="24"/>
        </w:rPr>
        <w:t xml:space="preserve">the current </w:t>
      </w:r>
      <w:r w:rsidR="00D66208">
        <w:rPr>
          <w:rFonts w:ascii="Times New Roman" w:hAnsi="Times New Roman" w:cs="Times New Roman"/>
          <w:sz w:val="24"/>
          <w:szCs w:val="24"/>
        </w:rPr>
        <w:t xml:space="preserve">value of </w:t>
      </w:r>
      <w:r w:rsidR="003917DF">
        <w:rPr>
          <w:rFonts w:ascii="Times New Roman" w:hAnsi="Times New Roman" w:cs="Times New Roman"/>
          <w:sz w:val="24"/>
          <w:szCs w:val="24"/>
        </w:rPr>
        <w:t xml:space="preserve">equities </w:t>
      </w:r>
      <w:r w:rsidR="00D66208" w:rsidRPr="00E46458">
        <w:rPr>
          <w:rFonts w:ascii="Times New Roman" w:hAnsi="Times New Roman" w:cs="Times New Roman"/>
          <w:sz w:val="24"/>
          <w:szCs w:val="24"/>
        </w:rPr>
        <w:t xml:space="preserve">exceeds the present value of future dividends, then the </w:t>
      </w:r>
      <w:r w:rsidR="00D66208">
        <w:rPr>
          <w:rFonts w:ascii="Times New Roman" w:hAnsi="Times New Roman" w:cs="Times New Roman"/>
          <w:sz w:val="24"/>
          <w:szCs w:val="24"/>
        </w:rPr>
        <w:t xml:space="preserve">estimate </w:t>
      </w:r>
      <w:r w:rsidR="00D66208" w:rsidRPr="00E46458">
        <w:rPr>
          <w:rFonts w:ascii="Times New Roman" w:hAnsi="Times New Roman" w:cs="Times New Roman"/>
          <w:sz w:val="24"/>
          <w:szCs w:val="24"/>
        </w:rPr>
        <w:t xml:space="preserve">for the </w:t>
      </w:r>
      <w:r w:rsidR="00D66208">
        <w:rPr>
          <w:rFonts w:ascii="Times New Roman" w:hAnsi="Times New Roman" w:cs="Times New Roman"/>
          <w:sz w:val="24"/>
          <w:szCs w:val="24"/>
        </w:rPr>
        <w:t xml:space="preserve">market cost of equity (and hence the </w:t>
      </w:r>
      <w:r w:rsidR="003917DF">
        <w:rPr>
          <w:rFonts w:ascii="Times New Roman" w:hAnsi="Times New Roman" w:cs="Times New Roman"/>
          <w:sz w:val="24"/>
          <w:szCs w:val="24"/>
        </w:rPr>
        <w:t>MRP</w:t>
      </w:r>
      <w:r w:rsidR="00D66208">
        <w:rPr>
          <w:rFonts w:ascii="Times New Roman" w:hAnsi="Times New Roman" w:cs="Times New Roman"/>
          <w:sz w:val="24"/>
          <w:szCs w:val="24"/>
        </w:rPr>
        <w:t xml:space="preserve">) that arises </w:t>
      </w:r>
      <w:r w:rsidR="00D66208" w:rsidRPr="00E46458">
        <w:rPr>
          <w:rFonts w:ascii="Times New Roman" w:hAnsi="Times New Roman" w:cs="Times New Roman"/>
          <w:sz w:val="24"/>
          <w:szCs w:val="24"/>
        </w:rPr>
        <w:t xml:space="preserve">from </w:t>
      </w:r>
      <w:r w:rsidR="00D66208">
        <w:rPr>
          <w:rFonts w:ascii="Times New Roman" w:hAnsi="Times New Roman" w:cs="Times New Roman"/>
          <w:sz w:val="24"/>
          <w:szCs w:val="24"/>
        </w:rPr>
        <w:t xml:space="preserve">this methodology will </w:t>
      </w:r>
      <w:r w:rsidR="00D66208" w:rsidRPr="00E46458">
        <w:rPr>
          <w:rFonts w:ascii="Times New Roman" w:hAnsi="Times New Roman" w:cs="Times New Roman"/>
          <w:sz w:val="24"/>
          <w:szCs w:val="24"/>
        </w:rPr>
        <w:t xml:space="preserve">be too low.  Similarly, if the current </w:t>
      </w:r>
      <w:r w:rsidR="00D66208">
        <w:rPr>
          <w:rFonts w:ascii="Times New Roman" w:hAnsi="Times New Roman" w:cs="Times New Roman"/>
          <w:sz w:val="24"/>
          <w:szCs w:val="24"/>
        </w:rPr>
        <w:t xml:space="preserve">value of </w:t>
      </w:r>
      <w:r w:rsidR="003917DF">
        <w:rPr>
          <w:rFonts w:ascii="Times New Roman" w:hAnsi="Times New Roman" w:cs="Times New Roman"/>
          <w:sz w:val="24"/>
          <w:szCs w:val="24"/>
        </w:rPr>
        <w:t xml:space="preserve">equities </w:t>
      </w:r>
      <w:r w:rsidR="00D66208" w:rsidRPr="00E46458">
        <w:rPr>
          <w:rFonts w:ascii="Times New Roman" w:hAnsi="Times New Roman" w:cs="Times New Roman"/>
          <w:sz w:val="24"/>
          <w:szCs w:val="24"/>
        </w:rPr>
        <w:t xml:space="preserve">is below the present value of future dividends, then the </w:t>
      </w:r>
      <w:r w:rsidR="00D66208">
        <w:rPr>
          <w:rFonts w:ascii="Times New Roman" w:hAnsi="Times New Roman" w:cs="Times New Roman"/>
          <w:sz w:val="24"/>
          <w:szCs w:val="24"/>
        </w:rPr>
        <w:t xml:space="preserve">estimate </w:t>
      </w:r>
      <w:r w:rsidR="00D66208" w:rsidRPr="00E46458">
        <w:rPr>
          <w:rFonts w:ascii="Times New Roman" w:hAnsi="Times New Roman" w:cs="Times New Roman"/>
          <w:sz w:val="24"/>
          <w:szCs w:val="24"/>
        </w:rPr>
        <w:t xml:space="preserve">for the </w:t>
      </w:r>
      <w:r w:rsidR="00D66208">
        <w:rPr>
          <w:rFonts w:ascii="Times New Roman" w:hAnsi="Times New Roman" w:cs="Times New Roman"/>
          <w:sz w:val="24"/>
          <w:szCs w:val="24"/>
        </w:rPr>
        <w:t xml:space="preserve">market cost of equity (and hence the </w:t>
      </w:r>
      <w:r w:rsidR="003917DF">
        <w:rPr>
          <w:rFonts w:ascii="Times New Roman" w:hAnsi="Times New Roman" w:cs="Times New Roman"/>
          <w:sz w:val="24"/>
          <w:szCs w:val="24"/>
        </w:rPr>
        <w:t>MRP</w:t>
      </w:r>
      <w:r w:rsidR="00D66208">
        <w:rPr>
          <w:rFonts w:ascii="Times New Roman" w:hAnsi="Times New Roman" w:cs="Times New Roman"/>
          <w:sz w:val="24"/>
          <w:szCs w:val="24"/>
        </w:rPr>
        <w:t>) that arises from this</w:t>
      </w:r>
      <w:r w:rsidR="00D66208" w:rsidRPr="00E46458">
        <w:rPr>
          <w:rFonts w:ascii="Times New Roman" w:hAnsi="Times New Roman" w:cs="Times New Roman"/>
          <w:sz w:val="24"/>
          <w:szCs w:val="24"/>
        </w:rPr>
        <w:t xml:space="preserve"> methodology will be too high.  To illustrate the </w:t>
      </w:r>
      <w:r w:rsidR="00D66208">
        <w:rPr>
          <w:rFonts w:ascii="Times New Roman" w:hAnsi="Times New Roman" w:cs="Times New Roman"/>
          <w:sz w:val="24"/>
          <w:szCs w:val="24"/>
        </w:rPr>
        <w:t>possible extent of</w:t>
      </w:r>
      <w:r w:rsidR="00D66208" w:rsidRPr="00E46458">
        <w:rPr>
          <w:rFonts w:ascii="Times New Roman" w:hAnsi="Times New Roman" w:cs="Times New Roman"/>
          <w:sz w:val="24"/>
          <w:szCs w:val="24"/>
        </w:rPr>
        <w:t xml:space="preserve"> the </w:t>
      </w:r>
      <w:r w:rsidR="00D66208">
        <w:rPr>
          <w:rFonts w:ascii="Times New Roman" w:hAnsi="Times New Roman" w:cs="Times New Roman"/>
          <w:sz w:val="24"/>
          <w:szCs w:val="24"/>
        </w:rPr>
        <w:t xml:space="preserve">errors, </w:t>
      </w:r>
      <w:r w:rsidR="00D66208" w:rsidRPr="00E46458">
        <w:rPr>
          <w:rFonts w:ascii="Times New Roman" w:hAnsi="Times New Roman" w:cs="Times New Roman"/>
          <w:sz w:val="24"/>
          <w:szCs w:val="24"/>
        </w:rPr>
        <w:t xml:space="preserve">suppose that the </w:t>
      </w:r>
      <w:r w:rsidR="00434D1F">
        <w:rPr>
          <w:rFonts w:ascii="Times New Roman" w:hAnsi="Times New Roman" w:cs="Times New Roman"/>
          <w:sz w:val="24"/>
          <w:szCs w:val="24"/>
        </w:rPr>
        <w:t xml:space="preserve">market dividends in the most recent year were $1b, the expected growth rate is 5%, and the market </w:t>
      </w:r>
      <w:r w:rsidR="004365D7">
        <w:rPr>
          <w:rFonts w:ascii="Times New Roman" w:hAnsi="Times New Roman" w:cs="Times New Roman"/>
          <w:sz w:val="24"/>
          <w:szCs w:val="24"/>
        </w:rPr>
        <w:t xml:space="preserve">cost of equity </w:t>
      </w:r>
      <w:r w:rsidR="00434D1F">
        <w:rPr>
          <w:rFonts w:ascii="Times New Roman" w:hAnsi="Times New Roman" w:cs="Times New Roman"/>
          <w:sz w:val="24"/>
          <w:szCs w:val="24"/>
        </w:rPr>
        <w:t xml:space="preserve">is 10%.  If the </w:t>
      </w:r>
      <w:r w:rsidR="00D66208" w:rsidRPr="00E46458">
        <w:rPr>
          <w:rFonts w:ascii="Times New Roman" w:hAnsi="Times New Roman" w:cs="Times New Roman"/>
          <w:sz w:val="24"/>
          <w:szCs w:val="24"/>
        </w:rPr>
        <w:t xml:space="preserve">current </w:t>
      </w:r>
      <w:r w:rsidR="00D66208">
        <w:rPr>
          <w:rFonts w:ascii="Times New Roman" w:hAnsi="Times New Roman" w:cs="Times New Roman"/>
          <w:sz w:val="24"/>
          <w:szCs w:val="24"/>
        </w:rPr>
        <w:t xml:space="preserve">value of </w:t>
      </w:r>
      <w:r w:rsidR="003917DF">
        <w:rPr>
          <w:rFonts w:ascii="Times New Roman" w:hAnsi="Times New Roman" w:cs="Times New Roman"/>
          <w:sz w:val="24"/>
          <w:szCs w:val="24"/>
        </w:rPr>
        <w:t xml:space="preserve">equities </w:t>
      </w:r>
      <w:r w:rsidR="00D66208">
        <w:rPr>
          <w:rFonts w:ascii="Times New Roman" w:hAnsi="Times New Roman" w:cs="Times New Roman"/>
          <w:sz w:val="24"/>
          <w:szCs w:val="24"/>
        </w:rPr>
        <w:t xml:space="preserve">is </w:t>
      </w:r>
      <w:r w:rsidR="00434D1F">
        <w:rPr>
          <w:rFonts w:ascii="Times New Roman" w:hAnsi="Times New Roman" w:cs="Times New Roman"/>
          <w:sz w:val="24"/>
          <w:szCs w:val="24"/>
        </w:rPr>
        <w:t xml:space="preserve">equal to the </w:t>
      </w:r>
      <w:r w:rsidR="00D66208" w:rsidRPr="00E46458">
        <w:rPr>
          <w:rFonts w:ascii="Times New Roman" w:hAnsi="Times New Roman" w:cs="Times New Roman"/>
          <w:sz w:val="24"/>
          <w:szCs w:val="24"/>
        </w:rPr>
        <w:t>present value of future dividends</w:t>
      </w:r>
      <w:r w:rsidR="00434D1F">
        <w:rPr>
          <w:rFonts w:ascii="Times New Roman" w:hAnsi="Times New Roman" w:cs="Times New Roman"/>
          <w:sz w:val="24"/>
          <w:szCs w:val="24"/>
        </w:rPr>
        <w:t xml:space="preserve"> then, following equation (1), </w:t>
      </w:r>
      <w:r w:rsidR="00645724">
        <w:rPr>
          <w:rFonts w:ascii="Times New Roman" w:hAnsi="Times New Roman" w:cs="Times New Roman"/>
          <w:sz w:val="24"/>
          <w:szCs w:val="24"/>
        </w:rPr>
        <w:t>this value will be $21b.</w:t>
      </w:r>
      <w:r w:rsidR="00D66208" w:rsidRPr="00E46458">
        <w:rPr>
          <w:rFonts w:ascii="Times New Roman" w:hAnsi="Times New Roman" w:cs="Times New Roman"/>
          <w:sz w:val="24"/>
          <w:szCs w:val="24"/>
        </w:rPr>
        <w:t xml:space="preserve">  </w:t>
      </w:r>
      <w:r w:rsidR="00645724">
        <w:rPr>
          <w:rFonts w:ascii="Times New Roman" w:hAnsi="Times New Roman" w:cs="Times New Roman"/>
          <w:sz w:val="24"/>
          <w:szCs w:val="24"/>
        </w:rPr>
        <w:t xml:space="preserve">Thus, application of the DGM approach would correctly estimate the market </w:t>
      </w:r>
      <w:r w:rsidR="005F5B7C">
        <w:rPr>
          <w:rFonts w:ascii="Times New Roman" w:hAnsi="Times New Roman" w:cs="Times New Roman"/>
          <w:sz w:val="24"/>
          <w:szCs w:val="24"/>
        </w:rPr>
        <w:t xml:space="preserve">cost of equity </w:t>
      </w:r>
      <w:r w:rsidR="00645724">
        <w:rPr>
          <w:rFonts w:ascii="Times New Roman" w:hAnsi="Times New Roman" w:cs="Times New Roman"/>
          <w:sz w:val="24"/>
          <w:szCs w:val="24"/>
        </w:rPr>
        <w:t xml:space="preserve">at 10%.  However, if the current market value of equities was 25% below this level, </w:t>
      </w:r>
      <w:r w:rsidR="0036661A">
        <w:rPr>
          <w:rFonts w:ascii="Times New Roman" w:hAnsi="Times New Roman" w:cs="Times New Roman"/>
          <w:sz w:val="24"/>
          <w:szCs w:val="24"/>
        </w:rPr>
        <w:t xml:space="preserve">at $15.75b, </w:t>
      </w:r>
      <w:r w:rsidR="00645724">
        <w:rPr>
          <w:rFonts w:ascii="Times New Roman" w:hAnsi="Times New Roman" w:cs="Times New Roman"/>
          <w:sz w:val="24"/>
          <w:szCs w:val="24"/>
        </w:rPr>
        <w:t xml:space="preserve">application of the DGM would yield an estimate of </w:t>
      </w:r>
      <w:r w:rsidR="00645724" w:rsidRPr="00645724">
        <w:rPr>
          <w:rFonts w:ascii="Times New Roman" w:hAnsi="Times New Roman" w:cs="Times New Roman"/>
          <w:i/>
          <w:sz w:val="24"/>
          <w:szCs w:val="24"/>
        </w:rPr>
        <w:t>k</w:t>
      </w:r>
      <w:r w:rsidR="00645724">
        <w:rPr>
          <w:rFonts w:ascii="Times New Roman" w:hAnsi="Times New Roman" w:cs="Times New Roman"/>
          <w:sz w:val="24"/>
          <w:szCs w:val="24"/>
        </w:rPr>
        <w:t xml:space="preserve"> of 11.7%.  Thus, the market </w:t>
      </w:r>
      <w:r w:rsidR="005F5B7C">
        <w:rPr>
          <w:rFonts w:ascii="Times New Roman" w:hAnsi="Times New Roman" w:cs="Times New Roman"/>
          <w:sz w:val="24"/>
          <w:szCs w:val="24"/>
        </w:rPr>
        <w:t xml:space="preserve">cost of equity </w:t>
      </w:r>
      <w:r w:rsidR="00645724">
        <w:rPr>
          <w:rFonts w:ascii="Times New Roman" w:hAnsi="Times New Roman" w:cs="Times New Roman"/>
          <w:sz w:val="24"/>
          <w:szCs w:val="24"/>
        </w:rPr>
        <w:t xml:space="preserve">would be overestimated by 1.7% as a result of this undervaluation of equities.  </w:t>
      </w:r>
    </w:p>
    <w:p w:rsidR="00645724" w:rsidRDefault="00645724" w:rsidP="00D66208">
      <w:pPr>
        <w:spacing w:after="0" w:line="360" w:lineRule="auto"/>
        <w:jc w:val="both"/>
        <w:rPr>
          <w:rFonts w:ascii="Times New Roman" w:hAnsi="Times New Roman" w:cs="Times New Roman"/>
          <w:sz w:val="24"/>
          <w:szCs w:val="24"/>
        </w:rPr>
      </w:pPr>
    </w:p>
    <w:p w:rsidR="009F7D9A" w:rsidRDefault="006153C4"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(2012b, paras 163-166) </w:t>
      </w:r>
      <w:r w:rsidR="001C3B57">
        <w:rPr>
          <w:rFonts w:ascii="Times New Roman" w:hAnsi="Times New Roman" w:cs="Times New Roman"/>
          <w:sz w:val="24"/>
          <w:szCs w:val="24"/>
        </w:rPr>
        <w:t xml:space="preserve">seems to accept that </w:t>
      </w:r>
      <w:r>
        <w:rPr>
          <w:rFonts w:ascii="Times New Roman" w:hAnsi="Times New Roman" w:cs="Times New Roman"/>
          <w:sz w:val="24"/>
          <w:szCs w:val="24"/>
        </w:rPr>
        <w:t xml:space="preserve">this is </w:t>
      </w:r>
      <w:r w:rsidR="00810950">
        <w:rPr>
          <w:rFonts w:ascii="Times New Roman" w:hAnsi="Times New Roman" w:cs="Times New Roman"/>
          <w:sz w:val="24"/>
          <w:szCs w:val="24"/>
        </w:rPr>
        <w:t xml:space="preserve">a </w:t>
      </w:r>
      <w:r>
        <w:rPr>
          <w:rFonts w:ascii="Times New Roman" w:hAnsi="Times New Roman" w:cs="Times New Roman"/>
          <w:sz w:val="24"/>
          <w:szCs w:val="24"/>
        </w:rPr>
        <w:t xml:space="preserve">potential problem but claims that the same problem afflicts the prevailing CGS yield, i.e., it too is deduced from the prevailing market price of an asset and therefore </w:t>
      </w:r>
      <w:r w:rsidRPr="001C3B57">
        <w:rPr>
          <w:rFonts w:ascii="Times New Roman" w:hAnsi="Times New Roman" w:cs="Times New Roman"/>
          <w:i/>
          <w:sz w:val="24"/>
          <w:szCs w:val="24"/>
        </w:rPr>
        <w:t>may</w:t>
      </w:r>
      <w:r>
        <w:rPr>
          <w:rFonts w:ascii="Times New Roman" w:hAnsi="Times New Roman" w:cs="Times New Roman"/>
          <w:sz w:val="24"/>
          <w:szCs w:val="24"/>
        </w:rPr>
        <w:t xml:space="preserve"> embody perceptions that are unjustified</w:t>
      </w:r>
      <w:r w:rsidR="001C3B57">
        <w:rPr>
          <w:rFonts w:ascii="Times New Roman" w:hAnsi="Times New Roman" w:cs="Times New Roman"/>
          <w:sz w:val="24"/>
          <w:szCs w:val="24"/>
        </w:rPr>
        <w:t xml:space="preserve"> and even “irrational”</w:t>
      </w:r>
      <w:r>
        <w:rPr>
          <w:rFonts w:ascii="Times New Roman" w:hAnsi="Times New Roman" w:cs="Times New Roman"/>
          <w:sz w:val="24"/>
          <w:szCs w:val="24"/>
        </w:rPr>
        <w:t xml:space="preserve">.  However, whilst these claims about the CGS yield </w:t>
      </w:r>
      <w:r w:rsidR="00111D16">
        <w:rPr>
          <w:rFonts w:ascii="Times New Roman" w:hAnsi="Times New Roman" w:cs="Times New Roman"/>
          <w:sz w:val="24"/>
          <w:szCs w:val="24"/>
        </w:rPr>
        <w:t xml:space="preserve">may be </w:t>
      </w:r>
      <w:r>
        <w:rPr>
          <w:rFonts w:ascii="Times New Roman" w:hAnsi="Times New Roman" w:cs="Times New Roman"/>
          <w:sz w:val="24"/>
          <w:szCs w:val="24"/>
        </w:rPr>
        <w:t xml:space="preserve">true, </w:t>
      </w:r>
      <w:r w:rsidR="00111D16">
        <w:rPr>
          <w:rFonts w:ascii="Times New Roman" w:hAnsi="Times New Roman" w:cs="Times New Roman"/>
          <w:sz w:val="24"/>
          <w:szCs w:val="24"/>
        </w:rPr>
        <w:t xml:space="preserve">they </w:t>
      </w:r>
      <w:r w:rsidR="00810950">
        <w:rPr>
          <w:rFonts w:ascii="Times New Roman" w:hAnsi="Times New Roman" w:cs="Times New Roman"/>
          <w:sz w:val="24"/>
          <w:szCs w:val="24"/>
        </w:rPr>
        <w:t xml:space="preserve">presumably equally affect the market cost of equity capital and therefore </w:t>
      </w:r>
      <w:r w:rsidR="00111D16">
        <w:rPr>
          <w:rFonts w:ascii="Times New Roman" w:hAnsi="Times New Roman" w:cs="Times New Roman"/>
          <w:sz w:val="24"/>
          <w:szCs w:val="24"/>
        </w:rPr>
        <w:t xml:space="preserve">net out in the MRP estimate.  Furthermore, </w:t>
      </w:r>
      <w:r>
        <w:rPr>
          <w:rFonts w:ascii="Times New Roman" w:hAnsi="Times New Roman" w:cs="Times New Roman"/>
          <w:sz w:val="24"/>
          <w:szCs w:val="24"/>
        </w:rPr>
        <w:t xml:space="preserve">the </w:t>
      </w:r>
      <w:r w:rsidR="00111D16">
        <w:rPr>
          <w:rFonts w:ascii="Times New Roman" w:hAnsi="Times New Roman" w:cs="Times New Roman"/>
          <w:sz w:val="24"/>
          <w:szCs w:val="24"/>
        </w:rPr>
        <w:t xml:space="preserve">primary source of concern over mis-pricing of equities lies in the market’s expected dividend growth rate </w:t>
      </w:r>
      <w:r w:rsidR="00111D16" w:rsidRPr="00111D16">
        <w:rPr>
          <w:rFonts w:ascii="Times New Roman" w:hAnsi="Times New Roman" w:cs="Times New Roman"/>
          <w:i/>
          <w:sz w:val="24"/>
          <w:szCs w:val="24"/>
        </w:rPr>
        <w:t>g</w:t>
      </w:r>
      <w:r w:rsidR="00111D16">
        <w:rPr>
          <w:rFonts w:ascii="Times New Roman" w:hAnsi="Times New Roman" w:cs="Times New Roman"/>
          <w:sz w:val="24"/>
          <w:szCs w:val="24"/>
        </w:rPr>
        <w:t xml:space="preserve"> rather than the </w:t>
      </w:r>
      <w:r w:rsidR="005F5B7C">
        <w:rPr>
          <w:rFonts w:ascii="Times New Roman" w:hAnsi="Times New Roman" w:cs="Times New Roman"/>
          <w:sz w:val="24"/>
          <w:szCs w:val="24"/>
        </w:rPr>
        <w:t xml:space="preserve">market cost of equity </w:t>
      </w:r>
      <w:r w:rsidR="00111D16" w:rsidRPr="00111D16">
        <w:rPr>
          <w:rFonts w:ascii="Times New Roman" w:hAnsi="Times New Roman" w:cs="Times New Roman"/>
          <w:i/>
          <w:sz w:val="24"/>
          <w:szCs w:val="24"/>
        </w:rPr>
        <w:t>k</w:t>
      </w:r>
      <w:r w:rsidR="00810950">
        <w:rPr>
          <w:rFonts w:ascii="Times New Roman" w:hAnsi="Times New Roman" w:cs="Times New Roman"/>
          <w:sz w:val="24"/>
          <w:szCs w:val="24"/>
        </w:rPr>
        <w:t xml:space="preserve">, </w:t>
      </w:r>
      <w:r w:rsidR="00111D16">
        <w:rPr>
          <w:rFonts w:ascii="Times New Roman" w:hAnsi="Times New Roman" w:cs="Times New Roman"/>
          <w:sz w:val="24"/>
          <w:szCs w:val="24"/>
        </w:rPr>
        <w:t xml:space="preserve">and this has no counterpart in the pricing of CGS.  </w:t>
      </w:r>
      <w:r w:rsidR="006E7E1E">
        <w:rPr>
          <w:rFonts w:ascii="Times New Roman" w:hAnsi="Times New Roman" w:cs="Times New Roman"/>
          <w:sz w:val="24"/>
          <w:szCs w:val="24"/>
        </w:rPr>
        <w:t xml:space="preserve">If </w:t>
      </w:r>
      <w:r w:rsidR="001C3B57">
        <w:rPr>
          <w:rFonts w:ascii="Times New Roman" w:hAnsi="Times New Roman" w:cs="Times New Roman"/>
          <w:sz w:val="24"/>
          <w:szCs w:val="24"/>
        </w:rPr>
        <w:t>the</w:t>
      </w:r>
      <w:r w:rsidR="000A06C6">
        <w:rPr>
          <w:rFonts w:ascii="Times New Roman" w:hAnsi="Times New Roman" w:cs="Times New Roman"/>
          <w:sz w:val="24"/>
          <w:szCs w:val="24"/>
        </w:rPr>
        <w:t xml:space="preserve"> market price </w:t>
      </w:r>
      <w:r w:rsidR="00E25CBF">
        <w:rPr>
          <w:rFonts w:ascii="Times New Roman" w:hAnsi="Times New Roman" w:cs="Times New Roman"/>
          <w:sz w:val="24"/>
          <w:szCs w:val="24"/>
        </w:rPr>
        <w:t xml:space="preserve">of equities </w:t>
      </w:r>
      <w:r w:rsidR="000A06C6">
        <w:rPr>
          <w:rFonts w:ascii="Times New Roman" w:hAnsi="Times New Roman" w:cs="Times New Roman"/>
          <w:sz w:val="24"/>
          <w:szCs w:val="24"/>
        </w:rPr>
        <w:t xml:space="preserve">is the present value of future dividends, then investors must have ‘rational’ perceptions about </w:t>
      </w:r>
      <w:r w:rsidR="000A06C6" w:rsidRPr="007D5AB2">
        <w:rPr>
          <w:rFonts w:ascii="Times New Roman" w:hAnsi="Times New Roman" w:cs="Times New Roman"/>
          <w:i/>
          <w:sz w:val="24"/>
          <w:szCs w:val="24"/>
        </w:rPr>
        <w:t>g</w:t>
      </w:r>
      <w:r w:rsidR="000A06C6">
        <w:rPr>
          <w:rFonts w:ascii="Times New Roman" w:hAnsi="Times New Roman" w:cs="Times New Roman"/>
          <w:sz w:val="24"/>
          <w:szCs w:val="24"/>
        </w:rPr>
        <w:t xml:space="preserve"> and therefore an analyst using the DGM approach could </w:t>
      </w:r>
      <w:r w:rsidR="00F07F94">
        <w:rPr>
          <w:rFonts w:ascii="Times New Roman" w:hAnsi="Times New Roman" w:cs="Times New Roman"/>
          <w:sz w:val="24"/>
          <w:szCs w:val="24"/>
        </w:rPr>
        <w:t>hope to reasonably accurately estimate it</w:t>
      </w:r>
      <w:r w:rsidR="000A06C6">
        <w:rPr>
          <w:rFonts w:ascii="Times New Roman" w:hAnsi="Times New Roman" w:cs="Times New Roman"/>
          <w:sz w:val="24"/>
          <w:szCs w:val="24"/>
        </w:rPr>
        <w:t xml:space="preserve">.  Upon doing so, they </w:t>
      </w:r>
      <w:r w:rsidR="00F07F94">
        <w:rPr>
          <w:rFonts w:ascii="Times New Roman" w:hAnsi="Times New Roman" w:cs="Times New Roman"/>
          <w:sz w:val="24"/>
          <w:szCs w:val="24"/>
        </w:rPr>
        <w:t>could then deduce</w:t>
      </w:r>
      <w:r w:rsidR="000A06C6">
        <w:rPr>
          <w:rFonts w:ascii="Times New Roman" w:hAnsi="Times New Roman" w:cs="Times New Roman"/>
          <w:sz w:val="24"/>
          <w:szCs w:val="24"/>
        </w:rPr>
        <w:t xml:space="preserve"> </w:t>
      </w:r>
      <w:r w:rsidR="00111D16" w:rsidRPr="00111D16">
        <w:rPr>
          <w:rFonts w:ascii="Times New Roman" w:hAnsi="Times New Roman" w:cs="Times New Roman"/>
          <w:i/>
          <w:sz w:val="24"/>
          <w:szCs w:val="24"/>
        </w:rPr>
        <w:t>k</w:t>
      </w:r>
      <w:r w:rsidR="00E25CBF">
        <w:rPr>
          <w:rFonts w:ascii="Times New Roman" w:hAnsi="Times New Roman" w:cs="Times New Roman"/>
          <w:sz w:val="24"/>
          <w:szCs w:val="24"/>
        </w:rPr>
        <w:t xml:space="preserve"> </w:t>
      </w:r>
      <w:r w:rsidR="000A06C6">
        <w:rPr>
          <w:rFonts w:ascii="Times New Roman" w:hAnsi="Times New Roman" w:cs="Times New Roman"/>
          <w:sz w:val="24"/>
          <w:szCs w:val="24"/>
        </w:rPr>
        <w:t xml:space="preserve">and therefore the MRP.  </w:t>
      </w:r>
      <w:r w:rsidR="00077A5E">
        <w:rPr>
          <w:rFonts w:ascii="Times New Roman" w:hAnsi="Times New Roman" w:cs="Times New Roman"/>
          <w:sz w:val="24"/>
          <w:szCs w:val="24"/>
        </w:rPr>
        <w:t xml:space="preserve">Thus </w:t>
      </w:r>
      <w:r w:rsidR="00E25CBF">
        <w:rPr>
          <w:rFonts w:ascii="Times New Roman" w:hAnsi="Times New Roman" w:cs="Times New Roman"/>
          <w:sz w:val="24"/>
          <w:szCs w:val="24"/>
        </w:rPr>
        <w:t xml:space="preserve">an analyst using the DGM </w:t>
      </w:r>
      <w:r w:rsidR="00F07F94">
        <w:rPr>
          <w:rFonts w:ascii="Times New Roman" w:hAnsi="Times New Roman" w:cs="Times New Roman"/>
          <w:sz w:val="24"/>
          <w:szCs w:val="24"/>
        </w:rPr>
        <w:t>could hope to accurately estimate</w:t>
      </w:r>
      <w:r w:rsidR="00E25CBF">
        <w:rPr>
          <w:rFonts w:ascii="Times New Roman" w:hAnsi="Times New Roman" w:cs="Times New Roman"/>
          <w:sz w:val="24"/>
          <w:szCs w:val="24"/>
        </w:rPr>
        <w:t xml:space="preserve"> </w:t>
      </w:r>
      <w:r w:rsidR="00E25CBF" w:rsidRPr="007D5AB2">
        <w:rPr>
          <w:rFonts w:ascii="Times New Roman" w:hAnsi="Times New Roman" w:cs="Times New Roman"/>
          <w:i/>
          <w:sz w:val="24"/>
          <w:szCs w:val="24"/>
        </w:rPr>
        <w:t>k</w:t>
      </w:r>
      <w:r w:rsidR="00E25CBF">
        <w:rPr>
          <w:rFonts w:ascii="Times New Roman" w:hAnsi="Times New Roman" w:cs="Times New Roman"/>
          <w:sz w:val="24"/>
          <w:szCs w:val="24"/>
        </w:rPr>
        <w:t xml:space="preserve"> only in so far as they </w:t>
      </w:r>
      <w:r w:rsidR="00F07F94">
        <w:rPr>
          <w:rFonts w:ascii="Times New Roman" w:hAnsi="Times New Roman" w:cs="Times New Roman"/>
          <w:sz w:val="24"/>
          <w:szCs w:val="24"/>
        </w:rPr>
        <w:t>could accurately estimate</w:t>
      </w:r>
      <w:r w:rsidR="00E25CBF">
        <w:rPr>
          <w:rFonts w:ascii="Times New Roman" w:hAnsi="Times New Roman" w:cs="Times New Roman"/>
          <w:sz w:val="24"/>
          <w:szCs w:val="24"/>
        </w:rPr>
        <w:t xml:space="preserve"> </w:t>
      </w:r>
      <w:r w:rsidR="00E25CBF" w:rsidRPr="007D5AB2">
        <w:rPr>
          <w:rFonts w:ascii="Times New Roman" w:hAnsi="Times New Roman" w:cs="Times New Roman"/>
          <w:i/>
          <w:sz w:val="24"/>
          <w:szCs w:val="24"/>
        </w:rPr>
        <w:t>g</w:t>
      </w:r>
      <w:r w:rsidR="00E25CBF">
        <w:rPr>
          <w:rFonts w:ascii="Times New Roman" w:hAnsi="Times New Roman" w:cs="Times New Roman"/>
          <w:sz w:val="24"/>
          <w:szCs w:val="24"/>
        </w:rPr>
        <w:t xml:space="preserve">.  </w:t>
      </w:r>
      <w:r w:rsidR="000A06C6">
        <w:rPr>
          <w:rFonts w:ascii="Times New Roman" w:hAnsi="Times New Roman" w:cs="Times New Roman"/>
          <w:sz w:val="24"/>
          <w:szCs w:val="24"/>
        </w:rPr>
        <w:t xml:space="preserve">However, if the market price </w:t>
      </w:r>
      <w:r w:rsidR="00E25CBF">
        <w:rPr>
          <w:rFonts w:ascii="Times New Roman" w:hAnsi="Times New Roman" w:cs="Times New Roman"/>
          <w:sz w:val="24"/>
          <w:szCs w:val="24"/>
        </w:rPr>
        <w:t xml:space="preserve">of equities </w:t>
      </w:r>
      <w:r w:rsidR="000A06C6">
        <w:rPr>
          <w:rFonts w:ascii="Times New Roman" w:hAnsi="Times New Roman" w:cs="Times New Roman"/>
          <w:sz w:val="24"/>
          <w:szCs w:val="24"/>
        </w:rPr>
        <w:t>is disconnected from a ‘rational’</w:t>
      </w:r>
      <w:r w:rsidR="00E25CBF">
        <w:rPr>
          <w:rFonts w:ascii="Times New Roman" w:hAnsi="Times New Roman" w:cs="Times New Roman"/>
          <w:sz w:val="24"/>
          <w:szCs w:val="24"/>
        </w:rPr>
        <w:t xml:space="preserve"> valuation of future dividends</w:t>
      </w:r>
      <w:r w:rsidR="00BD5157">
        <w:rPr>
          <w:rFonts w:ascii="Times New Roman" w:hAnsi="Times New Roman" w:cs="Times New Roman"/>
          <w:sz w:val="24"/>
          <w:szCs w:val="24"/>
        </w:rPr>
        <w:t xml:space="preserve"> </w:t>
      </w:r>
      <w:r w:rsidR="007D5AB2">
        <w:rPr>
          <w:rFonts w:ascii="Times New Roman" w:hAnsi="Times New Roman" w:cs="Times New Roman"/>
          <w:sz w:val="24"/>
          <w:szCs w:val="24"/>
        </w:rPr>
        <w:t xml:space="preserve">to the extent that investors have no value for </w:t>
      </w:r>
      <w:r w:rsidR="007D5AB2" w:rsidRPr="007D5AB2">
        <w:rPr>
          <w:rFonts w:ascii="Times New Roman" w:hAnsi="Times New Roman" w:cs="Times New Roman"/>
          <w:i/>
          <w:sz w:val="24"/>
          <w:szCs w:val="24"/>
        </w:rPr>
        <w:t>g</w:t>
      </w:r>
      <w:r w:rsidR="007D5AB2">
        <w:rPr>
          <w:rFonts w:ascii="Times New Roman" w:hAnsi="Times New Roman" w:cs="Times New Roman"/>
          <w:sz w:val="24"/>
          <w:szCs w:val="24"/>
        </w:rPr>
        <w:t xml:space="preserve">, </w:t>
      </w:r>
      <w:r w:rsidR="00E25CBF">
        <w:rPr>
          <w:rFonts w:ascii="Times New Roman" w:hAnsi="Times New Roman" w:cs="Times New Roman"/>
          <w:sz w:val="24"/>
          <w:szCs w:val="24"/>
        </w:rPr>
        <w:t xml:space="preserve">the </w:t>
      </w:r>
      <w:r w:rsidR="007D5AB2">
        <w:rPr>
          <w:rFonts w:ascii="Times New Roman" w:hAnsi="Times New Roman" w:cs="Times New Roman"/>
          <w:sz w:val="24"/>
          <w:szCs w:val="24"/>
        </w:rPr>
        <w:t xml:space="preserve">process breaks down.  Furthermore, even if investors do have a value for </w:t>
      </w:r>
      <w:r w:rsidR="007D5AB2" w:rsidRPr="007D5AB2">
        <w:rPr>
          <w:rFonts w:ascii="Times New Roman" w:hAnsi="Times New Roman" w:cs="Times New Roman"/>
          <w:i/>
          <w:sz w:val="24"/>
          <w:szCs w:val="24"/>
        </w:rPr>
        <w:t>g</w:t>
      </w:r>
      <w:r w:rsidR="007D5AB2">
        <w:rPr>
          <w:rFonts w:ascii="Times New Roman" w:hAnsi="Times New Roman" w:cs="Times New Roman"/>
          <w:sz w:val="24"/>
          <w:szCs w:val="24"/>
        </w:rPr>
        <w:t xml:space="preserve"> but it </w:t>
      </w:r>
      <w:r w:rsidR="004961A4">
        <w:rPr>
          <w:rFonts w:ascii="Times New Roman" w:hAnsi="Times New Roman" w:cs="Times New Roman"/>
          <w:sz w:val="24"/>
          <w:szCs w:val="24"/>
        </w:rPr>
        <w:t xml:space="preserve">is </w:t>
      </w:r>
      <w:r w:rsidR="007D5AB2">
        <w:rPr>
          <w:rFonts w:ascii="Times New Roman" w:hAnsi="Times New Roman" w:cs="Times New Roman"/>
          <w:sz w:val="24"/>
          <w:szCs w:val="24"/>
        </w:rPr>
        <w:t xml:space="preserve">irrational, the </w:t>
      </w:r>
      <w:r w:rsidR="00F07F94">
        <w:rPr>
          <w:rFonts w:ascii="Times New Roman" w:hAnsi="Times New Roman" w:cs="Times New Roman"/>
          <w:sz w:val="24"/>
          <w:szCs w:val="24"/>
        </w:rPr>
        <w:t xml:space="preserve">analyst could not </w:t>
      </w:r>
      <w:r w:rsidR="00F07F94">
        <w:rPr>
          <w:rFonts w:ascii="Times New Roman" w:hAnsi="Times New Roman" w:cs="Times New Roman"/>
          <w:sz w:val="24"/>
          <w:szCs w:val="24"/>
        </w:rPr>
        <w:lastRenderedPageBreak/>
        <w:t xml:space="preserve">hope to accurately estimate </w:t>
      </w:r>
      <w:r w:rsidR="007D5AB2">
        <w:rPr>
          <w:rFonts w:ascii="Times New Roman" w:hAnsi="Times New Roman" w:cs="Times New Roman"/>
          <w:sz w:val="24"/>
          <w:szCs w:val="24"/>
        </w:rPr>
        <w:t xml:space="preserve">it </w:t>
      </w:r>
      <w:r w:rsidR="00E25CBF">
        <w:rPr>
          <w:rFonts w:ascii="Times New Roman" w:hAnsi="Times New Roman" w:cs="Times New Roman"/>
          <w:sz w:val="24"/>
          <w:szCs w:val="24"/>
        </w:rPr>
        <w:t xml:space="preserve">and therefore could not hope to </w:t>
      </w:r>
      <w:r w:rsidR="00F07F94">
        <w:rPr>
          <w:rFonts w:ascii="Times New Roman" w:hAnsi="Times New Roman" w:cs="Times New Roman"/>
          <w:sz w:val="24"/>
          <w:szCs w:val="24"/>
        </w:rPr>
        <w:t xml:space="preserve">accurately estimate </w:t>
      </w:r>
      <w:r w:rsidR="00E25CBF" w:rsidRPr="007D5AB2">
        <w:rPr>
          <w:rFonts w:ascii="Times New Roman" w:hAnsi="Times New Roman" w:cs="Times New Roman"/>
          <w:i/>
          <w:sz w:val="24"/>
          <w:szCs w:val="24"/>
        </w:rPr>
        <w:t>k</w:t>
      </w:r>
      <w:r w:rsidR="00077A5E">
        <w:rPr>
          <w:rFonts w:ascii="Times New Roman" w:hAnsi="Times New Roman" w:cs="Times New Roman"/>
          <w:sz w:val="24"/>
          <w:szCs w:val="24"/>
        </w:rPr>
        <w:t xml:space="preserve">.  So, in summary, whilst the CGS price and hence yield may be irrational in some sense as might the discount rate on equities, the fundamental problem with equities </w:t>
      </w:r>
      <w:r w:rsidR="00111D16">
        <w:rPr>
          <w:rFonts w:ascii="Times New Roman" w:hAnsi="Times New Roman" w:cs="Times New Roman"/>
          <w:sz w:val="24"/>
          <w:szCs w:val="24"/>
        </w:rPr>
        <w:t xml:space="preserve">lies in the expected growth rate for dividends and therefore in the ability to estimate the </w:t>
      </w:r>
      <w:r w:rsidR="005F5B7C">
        <w:rPr>
          <w:rFonts w:ascii="Times New Roman" w:hAnsi="Times New Roman" w:cs="Times New Roman"/>
          <w:sz w:val="24"/>
          <w:szCs w:val="24"/>
        </w:rPr>
        <w:t xml:space="preserve">market cost of equity </w:t>
      </w:r>
      <w:r w:rsidR="00077A5E">
        <w:rPr>
          <w:rFonts w:ascii="Times New Roman" w:hAnsi="Times New Roman" w:cs="Times New Roman"/>
          <w:sz w:val="24"/>
          <w:szCs w:val="24"/>
        </w:rPr>
        <w:t>to an acceptable degree of approximation.</w:t>
      </w:r>
      <w:r w:rsidR="00E25CBF">
        <w:rPr>
          <w:rFonts w:ascii="Times New Roman" w:hAnsi="Times New Roman" w:cs="Times New Roman"/>
          <w:sz w:val="24"/>
          <w:szCs w:val="24"/>
        </w:rPr>
        <w:t xml:space="preserve">  </w:t>
      </w:r>
    </w:p>
    <w:p w:rsidR="009F7D9A" w:rsidRDefault="009F7D9A" w:rsidP="00D66208">
      <w:pPr>
        <w:spacing w:after="0" w:line="360" w:lineRule="auto"/>
        <w:jc w:val="both"/>
        <w:rPr>
          <w:rFonts w:ascii="Times New Roman" w:hAnsi="Times New Roman" w:cs="Times New Roman"/>
          <w:sz w:val="24"/>
          <w:szCs w:val="24"/>
        </w:rPr>
      </w:pPr>
    </w:p>
    <w:p w:rsidR="0036661A" w:rsidRDefault="00077A5E"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illustrate </w:t>
      </w:r>
      <w:r w:rsidR="00CC2EDA">
        <w:rPr>
          <w:rFonts w:ascii="Times New Roman" w:hAnsi="Times New Roman" w:cs="Times New Roman"/>
          <w:sz w:val="24"/>
          <w:szCs w:val="24"/>
        </w:rPr>
        <w:t xml:space="preserve">these points, </w:t>
      </w:r>
      <w:r w:rsidR="00E25CBF">
        <w:rPr>
          <w:rFonts w:ascii="Times New Roman" w:hAnsi="Times New Roman" w:cs="Times New Roman"/>
          <w:sz w:val="24"/>
          <w:szCs w:val="24"/>
        </w:rPr>
        <w:t>suppose</w:t>
      </w:r>
      <w:r w:rsidR="007D5AB2">
        <w:rPr>
          <w:rFonts w:ascii="Times New Roman" w:hAnsi="Times New Roman" w:cs="Times New Roman"/>
          <w:sz w:val="24"/>
          <w:szCs w:val="24"/>
        </w:rPr>
        <w:t xml:space="preserve"> the current level of dividends is $1b, </w:t>
      </w:r>
      <w:r w:rsidR="007D5AB2" w:rsidRPr="007D5AB2">
        <w:rPr>
          <w:rFonts w:ascii="Times New Roman" w:hAnsi="Times New Roman" w:cs="Times New Roman"/>
          <w:i/>
          <w:sz w:val="24"/>
          <w:szCs w:val="24"/>
        </w:rPr>
        <w:t>g</w:t>
      </w:r>
      <w:r w:rsidR="007D5AB2">
        <w:rPr>
          <w:rFonts w:ascii="Times New Roman" w:hAnsi="Times New Roman" w:cs="Times New Roman"/>
          <w:sz w:val="24"/>
          <w:szCs w:val="24"/>
        </w:rPr>
        <w:t xml:space="preserve"> is (irrationally) zero, </w:t>
      </w:r>
      <w:r w:rsidR="0036661A">
        <w:rPr>
          <w:rFonts w:ascii="Times New Roman" w:hAnsi="Times New Roman" w:cs="Times New Roman"/>
          <w:sz w:val="24"/>
          <w:szCs w:val="24"/>
        </w:rPr>
        <w:t xml:space="preserve">and </w:t>
      </w:r>
      <w:r w:rsidR="007D5AB2" w:rsidRPr="009F7D9A">
        <w:rPr>
          <w:rFonts w:ascii="Times New Roman" w:hAnsi="Times New Roman" w:cs="Times New Roman"/>
          <w:i/>
          <w:sz w:val="24"/>
          <w:szCs w:val="24"/>
        </w:rPr>
        <w:t>k</w:t>
      </w:r>
      <w:r w:rsidR="007D5AB2">
        <w:rPr>
          <w:rFonts w:ascii="Times New Roman" w:hAnsi="Times New Roman" w:cs="Times New Roman"/>
          <w:sz w:val="24"/>
          <w:szCs w:val="24"/>
        </w:rPr>
        <w:t xml:space="preserve"> is 10%</w:t>
      </w:r>
      <w:r w:rsidR="0036661A">
        <w:rPr>
          <w:rFonts w:ascii="Times New Roman" w:hAnsi="Times New Roman" w:cs="Times New Roman"/>
          <w:sz w:val="24"/>
          <w:szCs w:val="24"/>
        </w:rPr>
        <w:t xml:space="preserve">.  Following </w:t>
      </w:r>
      <w:r w:rsidR="007D5AB2">
        <w:rPr>
          <w:rFonts w:ascii="Times New Roman" w:hAnsi="Times New Roman" w:cs="Times New Roman"/>
          <w:sz w:val="24"/>
          <w:szCs w:val="24"/>
        </w:rPr>
        <w:t>equation (1), the market value of equities would then be $10b</w:t>
      </w:r>
      <w:r w:rsidR="008E3ED3">
        <w:rPr>
          <w:rFonts w:ascii="Times New Roman" w:hAnsi="Times New Roman" w:cs="Times New Roman"/>
          <w:sz w:val="24"/>
          <w:szCs w:val="24"/>
        </w:rPr>
        <w:t xml:space="preserve"> as follows:</w:t>
      </w:r>
    </w:p>
    <w:p w:rsidR="008E3ED3" w:rsidRDefault="008E3ED3" w:rsidP="008E3ED3">
      <w:pPr>
        <w:spacing w:after="0" w:line="360" w:lineRule="auto"/>
        <w:jc w:val="center"/>
        <w:rPr>
          <w:rFonts w:ascii="Times New Roman" w:hAnsi="Times New Roman" w:cs="Times New Roman"/>
          <w:sz w:val="24"/>
          <w:szCs w:val="24"/>
        </w:rPr>
      </w:pPr>
      <w:r w:rsidRPr="008E3ED3">
        <w:rPr>
          <w:b/>
          <w:bCs/>
          <w:position w:val="-28"/>
        </w:rPr>
        <w:object w:dxaOrig="3780" w:dyaOrig="660">
          <v:shape id="_x0000_i1052" type="#_x0000_t75" style="width:189.7pt;height:33.2pt" o:ole="">
            <v:imagedata r:id="rId62" o:title=""/>
          </v:shape>
          <o:OLEObject Type="Embed" ProgID="Equation.3" ShapeID="_x0000_i1052" DrawAspect="Content" ObjectID="_1448709080" r:id="rId63"/>
        </w:object>
      </w:r>
    </w:p>
    <w:p w:rsidR="008E3ED3" w:rsidRDefault="008E3ED3" w:rsidP="00D66208">
      <w:pPr>
        <w:spacing w:after="0" w:line="360" w:lineRule="auto"/>
        <w:jc w:val="both"/>
        <w:rPr>
          <w:rFonts w:ascii="Times New Roman" w:hAnsi="Times New Roman" w:cs="Times New Roman"/>
          <w:sz w:val="24"/>
          <w:szCs w:val="24"/>
        </w:rPr>
      </w:pPr>
    </w:p>
    <w:p w:rsidR="008E3ED3" w:rsidRDefault="007D5AB2"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645724">
        <w:rPr>
          <w:rFonts w:ascii="Times New Roman" w:hAnsi="Times New Roman" w:cs="Times New Roman"/>
          <w:sz w:val="24"/>
          <w:szCs w:val="24"/>
        </w:rPr>
        <w:t xml:space="preserve">if the analyst </w:t>
      </w:r>
      <w:r w:rsidR="0036661A">
        <w:rPr>
          <w:rFonts w:ascii="Times New Roman" w:hAnsi="Times New Roman" w:cs="Times New Roman"/>
          <w:sz w:val="24"/>
          <w:szCs w:val="24"/>
        </w:rPr>
        <w:t xml:space="preserve">estimates </w:t>
      </w:r>
      <w:r w:rsidRPr="009F7D9A">
        <w:rPr>
          <w:rFonts w:ascii="Times New Roman" w:hAnsi="Times New Roman" w:cs="Times New Roman"/>
          <w:i/>
          <w:sz w:val="24"/>
          <w:szCs w:val="24"/>
        </w:rPr>
        <w:t>g</w:t>
      </w:r>
      <w:r>
        <w:rPr>
          <w:rFonts w:ascii="Times New Roman" w:hAnsi="Times New Roman" w:cs="Times New Roman"/>
          <w:sz w:val="24"/>
          <w:szCs w:val="24"/>
        </w:rPr>
        <w:t xml:space="preserve"> at </w:t>
      </w:r>
      <w:r w:rsidR="00645724">
        <w:rPr>
          <w:rFonts w:ascii="Times New Roman" w:hAnsi="Times New Roman" w:cs="Times New Roman"/>
          <w:sz w:val="24"/>
          <w:szCs w:val="24"/>
        </w:rPr>
        <w:t xml:space="preserve">(say) </w:t>
      </w:r>
      <w:r>
        <w:rPr>
          <w:rFonts w:ascii="Times New Roman" w:hAnsi="Times New Roman" w:cs="Times New Roman"/>
          <w:sz w:val="24"/>
          <w:szCs w:val="24"/>
        </w:rPr>
        <w:t>5%</w:t>
      </w:r>
      <w:r w:rsidR="00645724">
        <w:rPr>
          <w:rFonts w:ascii="Times New Roman" w:hAnsi="Times New Roman" w:cs="Times New Roman"/>
          <w:sz w:val="24"/>
          <w:szCs w:val="24"/>
        </w:rPr>
        <w:t xml:space="preserve"> in conjunction with the DGM</w:t>
      </w:r>
      <w:r>
        <w:rPr>
          <w:rFonts w:ascii="Times New Roman" w:hAnsi="Times New Roman" w:cs="Times New Roman"/>
          <w:sz w:val="24"/>
          <w:szCs w:val="24"/>
        </w:rPr>
        <w:t xml:space="preserve">, </w:t>
      </w:r>
      <w:r w:rsidR="00645724">
        <w:rPr>
          <w:rFonts w:ascii="Times New Roman" w:hAnsi="Times New Roman" w:cs="Times New Roman"/>
          <w:sz w:val="24"/>
          <w:szCs w:val="24"/>
        </w:rPr>
        <w:t xml:space="preserve">their estimate of </w:t>
      </w:r>
      <w:r w:rsidR="00645724" w:rsidRPr="00645724">
        <w:rPr>
          <w:rFonts w:ascii="Times New Roman" w:hAnsi="Times New Roman" w:cs="Times New Roman"/>
          <w:i/>
          <w:sz w:val="24"/>
          <w:szCs w:val="24"/>
        </w:rPr>
        <w:t>k</w:t>
      </w:r>
      <w:r w:rsidR="00645724">
        <w:rPr>
          <w:rFonts w:ascii="Times New Roman" w:hAnsi="Times New Roman" w:cs="Times New Roman"/>
          <w:sz w:val="24"/>
          <w:szCs w:val="24"/>
        </w:rPr>
        <w:t xml:space="preserve"> would satisfy equation (1) as follows: </w:t>
      </w:r>
    </w:p>
    <w:p w:rsidR="008E3ED3" w:rsidRDefault="00645724" w:rsidP="008E3ED3">
      <w:pPr>
        <w:spacing w:after="0" w:line="360" w:lineRule="auto"/>
        <w:jc w:val="center"/>
        <w:rPr>
          <w:rFonts w:ascii="Times New Roman" w:hAnsi="Times New Roman" w:cs="Times New Roman"/>
          <w:sz w:val="24"/>
          <w:szCs w:val="24"/>
        </w:rPr>
      </w:pPr>
      <w:r w:rsidRPr="00645724">
        <w:rPr>
          <w:b/>
          <w:bCs/>
          <w:position w:val="-24"/>
        </w:rPr>
        <w:object w:dxaOrig="1740" w:dyaOrig="620">
          <v:shape id="_x0000_i1053" type="#_x0000_t75" style="width:87.65pt;height:31.3pt" o:ole="">
            <v:imagedata r:id="rId64" o:title=""/>
          </v:shape>
          <o:OLEObject Type="Embed" ProgID="Equation.3" ShapeID="_x0000_i1053" DrawAspect="Content" ObjectID="_1448709081" r:id="rId65"/>
        </w:object>
      </w:r>
    </w:p>
    <w:p w:rsidR="008E3ED3" w:rsidRDefault="008E3ED3" w:rsidP="00D66208">
      <w:pPr>
        <w:spacing w:after="0" w:line="360" w:lineRule="auto"/>
        <w:jc w:val="both"/>
        <w:rPr>
          <w:rFonts w:ascii="Times New Roman" w:hAnsi="Times New Roman" w:cs="Times New Roman"/>
          <w:sz w:val="24"/>
          <w:szCs w:val="24"/>
        </w:rPr>
      </w:pPr>
    </w:p>
    <w:p w:rsidR="00D66208" w:rsidRDefault="00645724"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Accordingly </w:t>
      </w:r>
      <w:r w:rsidRPr="00645724">
        <w:rPr>
          <w:rFonts w:ascii="Times New Roman" w:hAnsi="Times New Roman" w:cs="Times New Roman"/>
          <w:i/>
          <w:sz w:val="24"/>
          <w:szCs w:val="24"/>
        </w:rPr>
        <w:t>k</w:t>
      </w:r>
      <w:r>
        <w:rPr>
          <w:rFonts w:ascii="Times New Roman" w:hAnsi="Times New Roman" w:cs="Times New Roman"/>
          <w:sz w:val="24"/>
          <w:szCs w:val="24"/>
        </w:rPr>
        <w:t xml:space="preserve"> would be overestimated at 15.5%.  </w:t>
      </w:r>
      <w:r w:rsidR="00CC2EDA">
        <w:rPr>
          <w:rFonts w:ascii="Times New Roman" w:hAnsi="Times New Roman" w:cs="Times New Roman"/>
          <w:sz w:val="24"/>
          <w:szCs w:val="24"/>
        </w:rPr>
        <w:t xml:space="preserve">Even worse, if the market price of equities is disconnected from a ‘rational’ valuation of future dividends to the extent that investors have no value for </w:t>
      </w:r>
      <w:r w:rsidR="00CC2EDA" w:rsidRPr="007D5AB2">
        <w:rPr>
          <w:rFonts w:ascii="Times New Roman" w:hAnsi="Times New Roman" w:cs="Times New Roman"/>
          <w:i/>
          <w:sz w:val="24"/>
          <w:szCs w:val="24"/>
        </w:rPr>
        <w:t>g</w:t>
      </w:r>
      <w:r w:rsidR="00CC2EDA">
        <w:rPr>
          <w:rFonts w:ascii="Times New Roman" w:hAnsi="Times New Roman" w:cs="Times New Roman"/>
          <w:sz w:val="24"/>
          <w:szCs w:val="24"/>
        </w:rPr>
        <w:t xml:space="preserve">, then no estimate of </w:t>
      </w:r>
      <w:r w:rsidR="00CC2EDA" w:rsidRPr="00CC2EDA">
        <w:rPr>
          <w:rFonts w:ascii="Times New Roman" w:hAnsi="Times New Roman" w:cs="Times New Roman"/>
          <w:i/>
          <w:sz w:val="24"/>
          <w:szCs w:val="24"/>
        </w:rPr>
        <w:t>g</w:t>
      </w:r>
      <w:r w:rsidR="00CC2EDA">
        <w:rPr>
          <w:rFonts w:ascii="Times New Roman" w:hAnsi="Times New Roman" w:cs="Times New Roman"/>
          <w:sz w:val="24"/>
          <w:szCs w:val="24"/>
        </w:rPr>
        <w:t xml:space="preserve"> </w:t>
      </w:r>
      <w:r w:rsidR="008E3ED3">
        <w:rPr>
          <w:rFonts w:ascii="Times New Roman" w:hAnsi="Times New Roman" w:cs="Times New Roman"/>
          <w:sz w:val="24"/>
          <w:szCs w:val="24"/>
        </w:rPr>
        <w:t xml:space="preserve">by an analyst </w:t>
      </w:r>
      <w:r w:rsidR="00CC2EDA">
        <w:rPr>
          <w:rFonts w:ascii="Times New Roman" w:hAnsi="Times New Roman" w:cs="Times New Roman"/>
          <w:sz w:val="24"/>
          <w:szCs w:val="24"/>
        </w:rPr>
        <w:t xml:space="preserve">could hope to </w:t>
      </w:r>
      <w:r w:rsidR="00B97078">
        <w:rPr>
          <w:rFonts w:ascii="Times New Roman" w:hAnsi="Times New Roman" w:cs="Times New Roman"/>
          <w:sz w:val="24"/>
          <w:szCs w:val="24"/>
        </w:rPr>
        <w:t xml:space="preserve">accurately estimate </w:t>
      </w:r>
      <w:r w:rsidR="00CC2EDA">
        <w:rPr>
          <w:rFonts w:ascii="Times New Roman" w:hAnsi="Times New Roman" w:cs="Times New Roman"/>
          <w:sz w:val="24"/>
          <w:szCs w:val="24"/>
        </w:rPr>
        <w:t xml:space="preserve">the market’s </w:t>
      </w:r>
      <w:r w:rsidR="008E3ED3">
        <w:rPr>
          <w:rFonts w:ascii="Times New Roman" w:hAnsi="Times New Roman" w:cs="Times New Roman"/>
          <w:sz w:val="24"/>
          <w:szCs w:val="24"/>
        </w:rPr>
        <w:t xml:space="preserve">(non-existent) </w:t>
      </w:r>
      <w:r w:rsidR="00CC2EDA">
        <w:rPr>
          <w:rFonts w:ascii="Times New Roman" w:hAnsi="Times New Roman" w:cs="Times New Roman"/>
          <w:sz w:val="24"/>
          <w:szCs w:val="24"/>
        </w:rPr>
        <w:t>estimate.</w:t>
      </w:r>
    </w:p>
    <w:p w:rsidR="006C268D" w:rsidRDefault="006C268D" w:rsidP="00D66208">
      <w:pPr>
        <w:spacing w:after="0" w:line="360" w:lineRule="auto"/>
        <w:jc w:val="both"/>
        <w:rPr>
          <w:rFonts w:ascii="Times New Roman" w:hAnsi="Times New Roman" w:cs="Times New Roman"/>
          <w:sz w:val="24"/>
          <w:szCs w:val="24"/>
        </w:rPr>
      </w:pPr>
    </w:p>
    <w:p w:rsidR="006C268D" w:rsidRDefault="006C268D"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summary, the use of the DGM implies that equity prices are equal to the present value of future dividends</w:t>
      </w:r>
      <w:r w:rsidR="00C96F14">
        <w:rPr>
          <w:rFonts w:ascii="Times New Roman" w:hAnsi="Times New Roman" w:cs="Times New Roman"/>
          <w:sz w:val="24"/>
          <w:szCs w:val="24"/>
        </w:rPr>
        <w:t xml:space="preserve"> and therefore that the market’s expectation of the growth rate in dividends both exists and is rational</w:t>
      </w:r>
      <w:r>
        <w:rPr>
          <w:rFonts w:ascii="Times New Roman" w:hAnsi="Times New Roman" w:cs="Times New Roman"/>
          <w:sz w:val="24"/>
          <w:szCs w:val="24"/>
        </w:rPr>
        <w:t>.</w:t>
      </w:r>
      <w:r w:rsidR="004961A4">
        <w:rPr>
          <w:rFonts w:ascii="Times New Roman" w:hAnsi="Times New Roman" w:cs="Times New Roman"/>
          <w:sz w:val="24"/>
          <w:szCs w:val="24"/>
        </w:rPr>
        <w:t xml:space="preserve">  If this is not true</w:t>
      </w:r>
      <w:r w:rsidR="009858DA">
        <w:rPr>
          <w:rFonts w:ascii="Times New Roman" w:hAnsi="Times New Roman" w:cs="Times New Roman"/>
          <w:sz w:val="24"/>
          <w:szCs w:val="24"/>
        </w:rPr>
        <w:t xml:space="preserve">, then an analyst </w:t>
      </w:r>
      <w:r w:rsidR="000238D4">
        <w:rPr>
          <w:rFonts w:ascii="Times New Roman" w:hAnsi="Times New Roman" w:cs="Times New Roman"/>
          <w:sz w:val="24"/>
          <w:szCs w:val="24"/>
        </w:rPr>
        <w:t xml:space="preserve">could not hope to accurately estimate </w:t>
      </w:r>
      <w:r w:rsidR="009858DA">
        <w:rPr>
          <w:rFonts w:ascii="Times New Roman" w:hAnsi="Times New Roman" w:cs="Times New Roman"/>
          <w:sz w:val="24"/>
          <w:szCs w:val="24"/>
        </w:rPr>
        <w:t xml:space="preserve">this expected growth rate and therefore </w:t>
      </w:r>
      <w:r w:rsidR="000238D4">
        <w:rPr>
          <w:rFonts w:ascii="Times New Roman" w:hAnsi="Times New Roman" w:cs="Times New Roman"/>
          <w:sz w:val="24"/>
          <w:szCs w:val="24"/>
        </w:rPr>
        <w:t xml:space="preserve">could not hope to accurately </w:t>
      </w:r>
      <w:r w:rsidR="009858DA">
        <w:rPr>
          <w:rFonts w:ascii="Times New Roman" w:hAnsi="Times New Roman" w:cs="Times New Roman"/>
          <w:sz w:val="24"/>
          <w:szCs w:val="24"/>
        </w:rPr>
        <w:t xml:space="preserve">estimate the market’s </w:t>
      </w:r>
      <w:r w:rsidR="005E3494">
        <w:rPr>
          <w:rFonts w:ascii="Times New Roman" w:hAnsi="Times New Roman" w:cs="Times New Roman"/>
          <w:sz w:val="24"/>
          <w:szCs w:val="24"/>
        </w:rPr>
        <w:t xml:space="preserve">cost of equity.  </w:t>
      </w:r>
      <w:r w:rsidR="009858DA">
        <w:rPr>
          <w:rFonts w:ascii="Times New Roman" w:hAnsi="Times New Roman" w:cs="Times New Roman"/>
          <w:sz w:val="24"/>
          <w:szCs w:val="24"/>
        </w:rPr>
        <w:t>CEG’s observation that the CGS yield might</w:t>
      </w:r>
      <w:r w:rsidR="004914DD">
        <w:rPr>
          <w:rFonts w:ascii="Times New Roman" w:hAnsi="Times New Roman" w:cs="Times New Roman"/>
          <w:sz w:val="24"/>
          <w:szCs w:val="24"/>
        </w:rPr>
        <w:t xml:space="preserve"> also </w:t>
      </w:r>
      <w:r w:rsidR="009858DA">
        <w:rPr>
          <w:rFonts w:ascii="Times New Roman" w:hAnsi="Times New Roman" w:cs="Times New Roman"/>
          <w:sz w:val="24"/>
          <w:szCs w:val="24"/>
        </w:rPr>
        <w:t>not be rational is not only irrelevant to this but would in any case net out in the MRP estimate.</w:t>
      </w:r>
    </w:p>
    <w:p w:rsidR="00E74554" w:rsidRDefault="00E74554" w:rsidP="00D66208">
      <w:pPr>
        <w:spacing w:after="0" w:line="360" w:lineRule="auto"/>
        <w:jc w:val="both"/>
        <w:rPr>
          <w:rFonts w:ascii="Times New Roman" w:hAnsi="Times New Roman" w:cs="Times New Roman"/>
          <w:sz w:val="24"/>
          <w:szCs w:val="24"/>
        </w:rPr>
      </w:pPr>
    </w:p>
    <w:p w:rsidR="000E4703" w:rsidRPr="00445B4D" w:rsidRDefault="00E5275D" w:rsidP="00D662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10</w:t>
      </w:r>
      <w:r w:rsidR="00445B4D">
        <w:rPr>
          <w:rFonts w:ascii="Times New Roman" w:hAnsi="Times New Roman" w:cs="Times New Roman"/>
          <w:i/>
          <w:sz w:val="24"/>
          <w:szCs w:val="24"/>
        </w:rPr>
        <w:t xml:space="preserve">.2 The Impact </w:t>
      </w:r>
      <w:r w:rsidR="00CC2EDA" w:rsidRPr="00445B4D">
        <w:rPr>
          <w:rFonts w:ascii="Times New Roman" w:hAnsi="Times New Roman" w:cs="Times New Roman"/>
          <w:i/>
          <w:sz w:val="24"/>
          <w:szCs w:val="24"/>
        </w:rPr>
        <w:t xml:space="preserve">of </w:t>
      </w:r>
      <w:r w:rsidR="00AA3DBF" w:rsidRPr="00445B4D">
        <w:rPr>
          <w:rFonts w:ascii="Times New Roman" w:hAnsi="Times New Roman" w:cs="Times New Roman"/>
          <w:i/>
          <w:sz w:val="24"/>
          <w:szCs w:val="24"/>
        </w:rPr>
        <w:t xml:space="preserve">Short-Run </w:t>
      </w:r>
      <w:r w:rsidR="00CC2EDA" w:rsidRPr="00445B4D">
        <w:rPr>
          <w:rFonts w:ascii="Times New Roman" w:hAnsi="Times New Roman" w:cs="Times New Roman"/>
          <w:i/>
          <w:sz w:val="24"/>
          <w:szCs w:val="24"/>
        </w:rPr>
        <w:t>Fluctuations in the Retention Rate</w:t>
      </w:r>
    </w:p>
    <w:p w:rsidR="00CC2EDA" w:rsidRDefault="00CC2EDA"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66208">
        <w:rPr>
          <w:rFonts w:ascii="Times New Roman" w:hAnsi="Times New Roman" w:cs="Times New Roman"/>
          <w:sz w:val="24"/>
          <w:szCs w:val="24"/>
        </w:rPr>
        <w:t xml:space="preserve">DGM methodology is </w:t>
      </w:r>
      <w:r>
        <w:rPr>
          <w:rFonts w:ascii="Times New Roman" w:hAnsi="Times New Roman" w:cs="Times New Roman"/>
          <w:sz w:val="24"/>
          <w:szCs w:val="24"/>
        </w:rPr>
        <w:t xml:space="preserve">also prone to errors </w:t>
      </w:r>
      <w:r w:rsidR="00D66208">
        <w:rPr>
          <w:rFonts w:ascii="Times New Roman" w:hAnsi="Times New Roman" w:cs="Times New Roman"/>
          <w:sz w:val="24"/>
          <w:szCs w:val="24"/>
        </w:rPr>
        <w:t>in the presence of short-term fluctuations in the market’s earnings retention rate</w:t>
      </w:r>
      <w:r w:rsidR="00474C1C">
        <w:rPr>
          <w:rFonts w:ascii="Times New Roman" w:hAnsi="Times New Roman" w:cs="Times New Roman"/>
          <w:sz w:val="24"/>
          <w:szCs w:val="24"/>
        </w:rPr>
        <w:t xml:space="preserve"> </w:t>
      </w:r>
      <w:r w:rsidR="00474C1C" w:rsidRPr="00F55F05">
        <w:rPr>
          <w:rFonts w:ascii="Times New Roman" w:hAnsi="Times New Roman" w:cs="Times New Roman"/>
          <w:sz w:val="24"/>
          <w:szCs w:val="24"/>
        </w:rPr>
        <w:t xml:space="preserve">(the proportion of earnings </w:t>
      </w:r>
      <w:r w:rsidR="002A3B1C" w:rsidRPr="00F55F05">
        <w:rPr>
          <w:rFonts w:ascii="Times New Roman" w:hAnsi="Times New Roman" w:cs="Times New Roman"/>
          <w:sz w:val="24"/>
          <w:szCs w:val="24"/>
        </w:rPr>
        <w:t xml:space="preserve">retained rather than </w:t>
      </w:r>
      <w:r w:rsidR="00474C1C" w:rsidRPr="00F55F05">
        <w:rPr>
          <w:rFonts w:ascii="Times New Roman" w:hAnsi="Times New Roman" w:cs="Times New Roman"/>
          <w:sz w:val="24"/>
          <w:szCs w:val="24"/>
        </w:rPr>
        <w:t>paid as dividends).</w:t>
      </w:r>
      <w:r w:rsidR="00D66208">
        <w:rPr>
          <w:rFonts w:ascii="Times New Roman" w:hAnsi="Times New Roman" w:cs="Times New Roman"/>
          <w:sz w:val="24"/>
          <w:szCs w:val="24"/>
        </w:rPr>
        <w:t xml:space="preserve">  </w:t>
      </w:r>
      <w:r>
        <w:rPr>
          <w:rFonts w:ascii="Times New Roman" w:hAnsi="Times New Roman" w:cs="Times New Roman"/>
          <w:sz w:val="24"/>
          <w:szCs w:val="24"/>
        </w:rPr>
        <w:t xml:space="preserve">Lally (2012, section 3.2) illustrated this problem with the following example.  Suppose </w:t>
      </w:r>
      <w:r w:rsidR="00D66208">
        <w:rPr>
          <w:rFonts w:ascii="Times New Roman" w:hAnsi="Times New Roman" w:cs="Times New Roman"/>
          <w:sz w:val="24"/>
          <w:szCs w:val="24"/>
        </w:rPr>
        <w:t xml:space="preserve">the market cost of equity is 10% per year in perpetuity, the expected growth rate in </w:t>
      </w:r>
      <w:r w:rsidR="00D66208">
        <w:rPr>
          <w:rFonts w:ascii="Times New Roman" w:hAnsi="Times New Roman" w:cs="Times New Roman"/>
          <w:sz w:val="24"/>
          <w:szCs w:val="24"/>
        </w:rPr>
        <w:lastRenderedPageBreak/>
        <w:t>dividends per share is 5% per year in perpetuity</w:t>
      </w:r>
      <w:r w:rsidR="00AC09CF">
        <w:rPr>
          <w:rFonts w:ascii="Times New Roman" w:hAnsi="Times New Roman" w:cs="Times New Roman"/>
          <w:sz w:val="24"/>
          <w:szCs w:val="24"/>
        </w:rPr>
        <w:t xml:space="preserve">, </w:t>
      </w:r>
      <w:r w:rsidR="00D66208">
        <w:rPr>
          <w:rFonts w:ascii="Times New Roman" w:hAnsi="Times New Roman" w:cs="Times New Roman"/>
          <w:sz w:val="24"/>
          <w:szCs w:val="24"/>
        </w:rPr>
        <w:t xml:space="preserve">and the dividends in the most recent year were $1b.  Suppose also that the risk free rate is 4% in perpetuity, and therefore the </w:t>
      </w:r>
      <w:r w:rsidR="003917DF">
        <w:rPr>
          <w:rFonts w:ascii="Times New Roman" w:hAnsi="Times New Roman" w:cs="Times New Roman"/>
          <w:sz w:val="24"/>
          <w:szCs w:val="24"/>
        </w:rPr>
        <w:t xml:space="preserve">MRP </w:t>
      </w:r>
      <w:r w:rsidR="00D66208">
        <w:rPr>
          <w:rFonts w:ascii="Times New Roman" w:hAnsi="Times New Roman" w:cs="Times New Roman"/>
          <w:sz w:val="24"/>
          <w:szCs w:val="24"/>
        </w:rPr>
        <w:t>is 6%.  Using the first three of these parameters</w:t>
      </w:r>
      <w:r>
        <w:rPr>
          <w:rFonts w:ascii="Times New Roman" w:hAnsi="Times New Roman" w:cs="Times New Roman"/>
          <w:sz w:val="24"/>
          <w:szCs w:val="24"/>
        </w:rPr>
        <w:t>, in conjunction with equation (1)</w:t>
      </w:r>
      <w:r w:rsidR="00D66208">
        <w:rPr>
          <w:rFonts w:ascii="Times New Roman" w:hAnsi="Times New Roman" w:cs="Times New Roman"/>
          <w:sz w:val="24"/>
          <w:szCs w:val="24"/>
        </w:rPr>
        <w:t>, the current value of equities would then be as follows:</w:t>
      </w:r>
    </w:p>
    <w:p w:rsidR="00AC09CF" w:rsidRDefault="00AC09CF" w:rsidP="00D66208">
      <w:pPr>
        <w:spacing w:after="0" w:line="360" w:lineRule="auto"/>
        <w:jc w:val="both"/>
        <w:rPr>
          <w:rFonts w:ascii="Times New Roman" w:hAnsi="Times New Roman" w:cs="Times New Roman"/>
          <w:sz w:val="24"/>
          <w:szCs w:val="24"/>
        </w:rPr>
      </w:pPr>
    </w:p>
    <w:p w:rsidR="00D66208" w:rsidRDefault="00D66208" w:rsidP="00D66208">
      <w:pPr>
        <w:spacing w:after="0" w:line="360" w:lineRule="auto"/>
        <w:jc w:val="center"/>
        <w:rPr>
          <w:rFonts w:ascii="Times New Roman" w:hAnsi="Times New Roman" w:cs="Times New Roman"/>
          <w:sz w:val="24"/>
          <w:szCs w:val="24"/>
        </w:rPr>
      </w:pPr>
      <w:r w:rsidRPr="00E46458">
        <w:rPr>
          <w:b/>
          <w:bCs/>
          <w:position w:val="-30"/>
        </w:rPr>
        <w:object w:dxaOrig="5080" w:dyaOrig="720">
          <v:shape id="_x0000_i1054" type="#_x0000_t75" style="width:254.8pt;height:36.3pt" o:ole="">
            <v:imagedata r:id="rId66" o:title=""/>
          </v:shape>
          <o:OLEObject Type="Embed" ProgID="Equation.3" ShapeID="_x0000_i1054" DrawAspect="Content" ObjectID="_1448709082" r:id="rId67"/>
        </w:object>
      </w:r>
    </w:p>
    <w:p w:rsidR="00D66208" w:rsidRDefault="00D66208" w:rsidP="00D66208">
      <w:pPr>
        <w:spacing w:after="0" w:line="360" w:lineRule="auto"/>
        <w:jc w:val="both"/>
        <w:rPr>
          <w:rFonts w:ascii="Times New Roman" w:hAnsi="Times New Roman" w:cs="Times New Roman"/>
          <w:sz w:val="24"/>
          <w:szCs w:val="24"/>
        </w:rPr>
      </w:pPr>
    </w:p>
    <w:p w:rsidR="00F13356" w:rsidRDefault="00D66208" w:rsidP="003666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Substitution of this value for </w:t>
      </w:r>
      <w:r w:rsidRPr="00054466">
        <w:rPr>
          <w:rFonts w:ascii="Times New Roman" w:hAnsi="Times New Roman" w:cs="Times New Roman"/>
          <w:i/>
          <w:sz w:val="24"/>
          <w:szCs w:val="24"/>
        </w:rPr>
        <w:t>S</w:t>
      </w:r>
      <w:r>
        <w:rPr>
          <w:rFonts w:ascii="Times New Roman" w:hAnsi="Times New Roman" w:cs="Times New Roman"/>
          <w:sz w:val="24"/>
          <w:szCs w:val="24"/>
        </w:rPr>
        <w:t xml:space="preserve">, along with the current dividend level </w:t>
      </w:r>
      <w:r w:rsidRPr="00054466">
        <w:rPr>
          <w:rFonts w:ascii="Times New Roman" w:hAnsi="Times New Roman" w:cs="Times New Roman"/>
          <w:i/>
          <w:sz w:val="24"/>
          <w:szCs w:val="24"/>
        </w:rPr>
        <w:t>D</w:t>
      </w:r>
      <w:r>
        <w:rPr>
          <w:rFonts w:ascii="Times New Roman" w:hAnsi="Times New Roman" w:cs="Times New Roman"/>
          <w:sz w:val="24"/>
          <w:szCs w:val="24"/>
        </w:rPr>
        <w:t xml:space="preserve"> and the expected growth rate in dividends </w:t>
      </w:r>
      <w:r w:rsidRPr="00054466">
        <w:rPr>
          <w:rFonts w:ascii="Times New Roman" w:hAnsi="Times New Roman" w:cs="Times New Roman"/>
          <w:i/>
          <w:sz w:val="24"/>
          <w:szCs w:val="24"/>
        </w:rPr>
        <w:t>g</w:t>
      </w:r>
      <w:r>
        <w:rPr>
          <w:rFonts w:ascii="Times New Roman" w:hAnsi="Times New Roman" w:cs="Times New Roman"/>
          <w:sz w:val="24"/>
          <w:szCs w:val="24"/>
        </w:rPr>
        <w:t>, into the DGM eq</w:t>
      </w:r>
      <w:r w:rsidR="0036661A">
        <w:rPr>
          <w:rFonts w:ascii="Times New Roman" w:hAnsi="Times New Roman" w:cs="Times New Roman"/>
          <w:sz w:val="24"/>
          <w:szCs w:val="24"/>
        </w:rPr>
        <w:t>uation (1</w:t>
      </w:r>
      <w:r>
        <w:rPr>
          <w:rFonts w:ascii="Times New Roman" w:hAnsi="Times New Roman" w:cs="Times New Roman"/>
          <w:sz w:val="24"/>
          <w:szCs w:val="24"/>
        </w:rPr>
        <w:t>) would then accurately estimate the market cost of equity at</w:t>
      </w:r>
      <w:r w:rsidR="0036661A">
        <w:rPr>
          <w:rFonts w:ascii="Times New Roman" w:hAnsi="Times New Roman" w:cs="Times New Roman"/>
          <w:sz w:val="24"/>
          <w:szCs w:val="24"/>
        </w:rPr>
        <w:t xml:space="preserve"> 10%.</w:t>
      </w:r>
    </w:p>
    <w:p w:rsidR="00F13356" w:rsidRDefault="00F13356" w:rsidP="00D66208">
      <w:pPr>
        <w:spacing w:after="0" w:line="360" w:lineRule="auto"/>
        <w:jc w:val="both"/>
        <w:rPr>
          <w:rFonts w:ascii="Times New Roman" w:hAnsi="Times New Roman" w:cs="Times New Roman"/>
          <w:sz w:val="24"/>
          <w:szCs w:val="24"/>
        </w:rPr>
      </w:pPr>
    </w:p>
    <w:p w:rsidR="0036661A" w:rsidRDefault="00D66208" w:rsidP="003666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Now suppose instead that firms in aggregate lowered their earnings retention rate in the most recent year and that the effect of this was to raise the dividend level </w:t>
      </w:r>
      <w:r w:rsidR="004C1ACD">
        <w:rPr>
          <w:rFonts w:ascii="Times New Roman" w:hAnsi="Times New Roman" w:cs="Times New Roman"/>
          <w:sz w:val="24"/>
          <w:szCs w:val="24"/>
        </w:rPr>
        <w:t xml:space="preserve">in the most recent year </w:t>
      </w:r>
      <w:r>
        <w:rPr>
          <w:rFonts w:ascii="Times New Roman" w:hAnsi="Times New Roman" w:cs="Times New Roman"/>
          <w:sz w:val="24"/>
          <w:szCs w:val="24"/>
        </w:rPr>
        <w:t xml:space="preserve">from $1b to $1.3b, at the expense of future dividends (relative to the above path).  Suppose also that the effect of this change was NPV neutral, so that the current value of equities would be lower by $0.3b.  So, </w:t>
      </w:r>
      <w:r w:rsidR="0036661A">
        <w:rPr>
          <w:rFonts w:ascii="Times New Roman" w:hAnsi="Times New Roman" w:cs="Times New Roman"/>
          <w:sz w:val="24"/>
          <w:szCs w:val="24"/>
        </w:rPr>
        <w:t>applying the DGM in equation (1</w:t>
      </w:r>
      <w:r>
        <w:rPr>
          <w:rFonts w:ascii="Times New Roman" w:hAnsi="Times New Roman" w:cs="Times New Roman"/>
          <w:sz w:val="24"/>
          <w:szCs w:val="24"/>
        </w:rPr>
        <w:t xml:space="preserve">) with </w:t>
      </w:r>
      <w:r w:rsidRPr="001F20F4">
        <w:rPr>
          <w:rFonts w:ascii="Times New Roman" w:hAnsi="Times New Roman" w:cs="Times New Roman"/>
          <w:i/>
          <w:sz w:val="24"/>
          <w:szCs w:val="24"/>
        </w:rPr>
        <w:t>g</w:t>
      </w:r>
      <w:r>
        <w:rPr>
          <w:rFonts w:ascii="Times New Roman" w:hAnsi="Times New Roman" w:cs="Times New Roman"/>
          <w:sz w:val="24"/>
          <w:szCs w:val="24"/>
        </w:rPr>
        <w:t xml:space="preserve"> still estimated </w:t>
      </w:r>
      <w:r w:rsidR="00AC09CF">
        <w:rPr>
          <w:rFonts w:ascii="Times New Roman" w:hAnsi="Times New Roman" w:cs="Times New Roman"/>
          <w:sz w:val="24"/>
          <w:szCs w:val="24"/>
        </w:rPr>
        <w:t xml:space="preserve">at 5%, </w:t>
      </w:r>
      <w:r w:rsidR="0036661A">
        <w:rPr>
          <w:rFonts w:ascii="Times New Roman" w:hAnsi="Times New Roman" w:cs="Times New Roman"/>
          <w:sz w:val="24"/>
          <w:szCs w:val="24"/>
        </w:rPr>
        <w:t xml:space="preserve">the estimate of </w:t>
      </w:r>
      <w:r w:rsidR="0036661A" w:rsidRPr="00481677">
        <w:rPr>
          <w:rFonts w:ascii="Times New Roman" w:hAnsi="Times New Roman" w:cs="Times New Roman"/>
          <w:i/>
          <w:sz w:val="24"/>
          <w:szCs w:val="24"/>
        </w:rPr>
        <w:t>k</w:t>
      </w:r>
      <w:r w:rsidR="0036661A">
        <w:rPr>
          <w:rFonts w:ascii="Times New Roman" w:hAnsi="Times New Roman" w:cs="Times New Roman"/>
          <w:sz w:val="24"/>
          <w:szCs w:val="24"/>
        </w:rPr>
        <w:t xml:space="preserve"> would satisfy the following equation:  </w:t>
      </w:r>
    </w:p>
    <w:p w:rsidR="0036661A" w:rsidRDefault="0036661A" w:rsidP="0036661A">
      <w:pPr>
        <w:spacing w:after="0" w:line="360" w:lineRule="auto"/>
        <w:jc w:val="both"/>
        <w:rPr>
          <w:rFonts w:ascii="Times New Roman" w:hAnsi="Times New Roman" w:cs="Times New Roman"/>
          <w:sz w:val="24"/>
          <w:szCs w:val="24"/>
        </w:rPr>
      </w:pPr>
    </w:p>
    <w:p w:rsidR="0036661A" w:rsidRDefault="00223D87" w:rsidP="0036661A">
      <w:pPr>
        <w:spacing w:after="0" w:line="360" w:lineRule="auto"/>
        <w:jc w:val="center"/>
        <w:rPr>
          <w:rFonts w:ascii="Times New Roman" w:hAnsi="Times New Roman" w:cs="Times New Roman"/>
          <w:sz w:val="24"/>
          <w:szCs w:val="24"/>
        </w:rPr>
      </w:pPr>
      <w:r w:rsidRPr="00645724">
        <w:rPr>
          <w:b/>
          <w:bCs/>
          <w:position w:val="-24"/>
        </w:rPr>
        <w:object w:dxaOrig="2100" w:dyaOrig="620">
          <v:shape id="_x0000_i1055" type="#_x0000_t75" style="width:105.2pt;height:31.3pt" o:ole="">
            <v:imagedata r:id="rId68" o:title=""/>
          </v:shape>
          <o:OLEObject Type="Embed" ProgID="Equation.3" ShapeID="_x0000_i1055" DrawAspect="Content" ObjectID="_1448709083" r:id="rId69"/>
        </w:object>
      </w:r>
    </w:p>
    <w:p w:rsidR="0036661A" w:rsidRDefault="0036661A" w:rsidP="0036661A">
      <w:pPr>
        <w:spacing w:after="0" w:line="360" w:lineRule="auto"/>
        <w:jc w:val="both"/>
        <w:rPr>
          <w:rFonts w:ascii="Times New Roman" w:hAnsi="Times New Roman" w:cs="Times New Roman"/>
          <w:sz w:val="24"/>
          <w:szCs w:val="24"/>
        </w:rPr>
      </w:pPr>
    </w:p>
    <w:p w:rsidR="00D66208" w:rsidRDefault="00223D87"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would be an estimate of </w:t>
      </w:r>
      <w:r w:rsidRPr="00223D87">
        <w:rPr>
          <w:rFonts w:ascii="Times New Roman" w:hAnsi="Times New Roman" w:cs="Times New Roman"/>
          <w:i/>
          <w:sz w:val="24"/>
          <w:szCs w:val="24"/>
        </w:rPr>
        <w:t>k</w:t>
      </w:r>
      <w:r>
        <w:rPr>
          <w:rFonts w:ascii="Times New Roman" w:hAnsi="Times New Roman" w:cs="Times New Roman"/>
          <w:sz w:val="24"/>
          <w:szCs w:val="24"/>
        </w:rPr>
        <w:t xml:space="preserve"> of 11.6%, compared to the true value of 10%, i.e., an overestimate of 1.6%, and therefore the same for the MRP.  </w:t>
      </w:r>
      <w:r w:rsidR="00A32A01">
        <w:rPr>
          <w:rFonts w:ascii="Times New Roman" w:hAnsi="Times New Roman" w:cs="Times New Roman"/>
          <w:sz w:val="24"/>
          <w:szCs w:val="24"/>
        </w:rPr>
        <w:t xml:space="preserve">The source of the problem is the fact that </w:t>
      </w:r>
      <w:r>
        <w:rPr>
          <w:rFonts w:ascii="Times New Roman" w:hAnsi="Times New Roman" w:cs="Times New Roman"/>
          <w:sz w:val="24"/>
          <w:szCs w:val="24"/>
        </w:rPr>
        <w:t xml:space="preserve">the </w:t>
      </w:r>
      <w:r w:rsidR="00094DB8" w:rsidRPr="00F55F05">
        <w:rPr>
          <w:rFonts w:ascii="Times New Roman" w:hAnsi="Times New Roman" w:cs="Times New Roman"/>
          <w:sz w:val="24"/>
          <w:szCs w:val="24"/>
        </w:rPr>
        <w:t xml:space="preserve">DGM approach </w:t>
      </w:r>
      <w:r w:rsidR="00CF12CD" w:rsidRPr="00F55F05">
        <w:rPr>
          <w:rFonts w:ascii="Times New Roman" w:hAnsi="Times New Roman" w:cs="Times New Roman"/>
          <w:sz w:val="24"/>
          <w:szCs w:val="24"/>
        </w:rPr>
        <w:t>applies</w:t>
      </w:r>
      <w:r w:rsidR="00094DB8" w:rsidRPr="00F55F05">
        <w:rPr>
          <w:rFonts w:ascii="Times New Roman" w:hAnsi="Times New Roman" w:cs="Times New Roman"/>
          <w:sz w:val="24"/>
          <w:szCs w:val="24"/>
        </w:rPr>
        <w:t xml:space="preserve"> </w:t>
      </w:r>
      <w:r>
        <w:rPr>
          <w:rFonts w:ascii="Times New Roman" w:hAnsi="Times New Roman" w:cs="Times New Roman"/>
          <w:sz w:val="24"/>
          <w:szCs w:val="24"/>
        </w:rPr>
        <w:t xml:space="preserve">a set of expected growth rates to </w:t>
      </w:r>
      <w:r w:rsidR="00094DB8" w:rsidRPr="00F55F05">
        <w:rPr>
          <w:rFonts w:ascii="Times New Roman" w:hAnsi="Times New Roman" w:cs="Times New Roman"/>
          <w:sz w:val="24"/>
          <w:szCs w:val="24"/>
        </w:rPr>
        <w:t>existing dividends, and therefore implicitly assumes that current dividends have not been subject to a temporary fluctuation</w:t>
      </w:r>
      <w:r w:rsidR="00A32A01" w:rsidRPr="00F55F05">
        <w:rPr>
          <w:rFonts w:ascii="Times New Roman" w:hAnsi="Times New Roman" w:cs="Times New Roman"/>
          <w:sz w:val="24"/>
          <w:szCs w:val="24"/>
        </w:rPr>
        <w:t>.</w:t>
      </w:r>
      <w:r w:rsidR="007C278D" w:rsidRPr="00F55F05">
        <w:rPr>
          <w:rFonts w:ascii="Times New Roman" w:hAnsi="Times New Roman" w:cs="Times New Roman"/>
          <w:sz w:val="24"/>
          <w:szCs w:val="24"/>
        </w:rPr>
        <w:t xml:space="preserve">  If they </w:t>
      </w:r>
      <w:r w:rsidR="00907F27" w:rsidRPr="00F55F05">
        <w:rPr>
          <w:rFonts w:ascii="Times New Roman" w:hAnsi="Times New Roman" w:cs="Times New Roman"/>
          <w:sz w:val="24"/>
          <w:szCs w:val="24"/>
        </w:rPr>
        <w:t xml:space="preserve">have been </w:t>
      </w:r>
      <w:r w:rsidR="007C278D" w:rsidRPr="00F55F05">
        <w:rPr>
          <w:rFonts w:ascii="Times New Roman" w:hAnsi="Times New Roman" w:cs="Times New Roman"/>
          <w:sz w:val="24"/>
          <w:szCs w:val="24"/>
        </w:rPr>
        <w:t>subject to a temporary upward (downward) fluctuation, the entire future stream of expected dividends will be overestimated (underestimated) and so too then will the MRP.</w:t>
      </w:r>
    </w:p>
    <w:p w:rsidR="00CC2EDA" w:rsidRDefault="00CC2EDA" w:rsidP="00D66208">
      <w:pPr>
        <w:spacing w:after="0" w:line="360" w:lineRule="auto"/>
        <w:jc w:val="both"/>
        <w:rPr>
          <w:rFonts w:ascii="Times New Roman" w:hAnsi="Times New Roman" w:cs="Times New Roman"/>
          <w:sz w:val="24"/>
          <w:szCs w:val="24"/>
        </w:rPr>
      </w:pPr>
    </w:p>
    <w:p w:rsidR="00AA3DBF" w:rsidRPr="00445B4D" w:rsidRDefault="00E5275D" w:rsidP="00D662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10</w:t>
      </w:r>
      <w:r w:rsidR="00445B4D">
        <w:rPr>
          <w:rFonts w:ascii="Times New Roman" w:hAnsi="Times New Roman" w:cs="Times New Roman"/>
          <w:i/>
          <w:sz w:val="24"/>
          <w:szCs w:val="24"/>
        </w:rPr>
        <w:t xml:space="preserve">.3 The </w:t>
      </w:r>
      <w:r w:rsidR="00AA3DBF" w:rsidRPr="00445B4D">
        <w:rPr>
          <w:rFonts w:ascii="Times New Roman" w:hAnsi="Times New Roman" w:cs="Times New Roman"/>
          <w:i/>
          <w:sz w:val="24"/>
          <w:szCs w:val="24"/>
        </w:rPr>
        <w:t>Impact of Long-Run Changes in the Earnings Retention Rate</w:t>
      </w:r>
    </w:p>
    <w:p w:rsidR="007326D4" w:rsidRPr="000E7B1B" w:rsidRDefault="00AA3DBF" w:rsidP="000E7B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66208">
        <w:rPr>
          <w:rFonts w:ascii="Times New Roman" w:hAnsi="Times New Roman" w:cs="Times New Roman"/>
          <w:sz w:val="24"/>
          <w:szCs w:val="24"/>
        </w:rPr>
        <w:t xml:space="preserve">DGM combines the current dividend level of firms (which reflects the current earnings retention rate) with an expected long-run growth rate in </w:t>
      </w:r>
      <w:r w:rsidR="00434D1F">
        <w:rPr>
          <w:rFonts w:ascii="Times New Roman" w:hAnsi="Times New Roman" w:cs="Times New Roman"/>
          <w:sz w:val="24"/>
          <w:szCs w:val="24"/>
        </w:rPr>
        <w:t xml:space="preserve">DPS </w:t>
      </w:r>
      <w:r w:rsidR="00D66208">
        <w:rPr>
          <w:rFonts w:ascii="Times New Roman" w:hAnsi="Times New Roman" w:cs="Times New Roman"/>
          <w:sz w:val="24"/>
          <w:szCs w:val="24"/>
        </w:rPr>
        <w:t xml:space="preserve">for existing companies that is based upon </w:t>
      </w:r>
      <w:r w:rsidR="001F6BD7">
        <w:rPr>
          <w:rFonts w:ascii="Times New Roman" w:hAnsi="Times New Roman" w:cs="Times New Roman"/>
          <w:sz w:val="24"/>
          <w:szCs w:val="24"/>
        </w:rPr>
        <w:t xml:space="preserve">an estimate of </w:t>
      </w:r>
      <w:r w:rsidR="00D66208">
        <w:rPr>
          <w:rFonts w:ascii="Times New Roman" w:hAnsi="Times New Roman" w:cs="Times New Roman"/>
          <w:sz w:val="24"/>
          <w:szCs w:val="24"/>
        </w:rPr>
        <w:t xml:space="preserve">the expected long-run growth rate in GDP, and the latter </w:t>
      </w:r>
      <w:r w:rsidR="001F6BD7">
        <w:rPr>
          <w:rFonts w:ascii="Times New Roman" w:hAnsi="Times New Roman" w:cs="Times New Roman"/>
          <w:sz w:val="24"/>
          <w:szCs w:val="24"/>
        </w:rPr>
        <w:t xml:space="preserve">estimate </w:t>
      </w:r>
      <w:r w:rsidR="00D66208">
        <w:rPr>
          <w:rFonts w:ascii="Times New Roman" w:hAnsi="Times New Roman" w:cs="Times New Roman"/>
          <w:sz w:val="24"/>
          <w:szCs w:val="24"/>
        </w:rPr>
        <w:lastRenderedPageBreak/>
        <w:t xml:space="preserve">is based upon historical averaging and therefore upon the historical average earnings retention rate (assuming plausibly that the growth rate in GDP is affected by the level of corporate investment).  Thus, if the earnings retention rate has fallen over time, so that the current level is below its historical average, then estimating the expected long-run growth rate in GDP from its historical average will over estimate this parameter and therefore overestimate the </w:t>
      </w:r>
      <w:r w:rsidR="00434D1F">
        <w:rPr>
          <w:rFonts w:ascii="Times New Roman" w:hAnsi="Times New Roman" w:cs="Times New Roman"/>
          <w:sz w:val="24"/>
          <w:szCs w:val="24"/>
        </w:rPr>
        <w:t>MRP.  SFG (2013, page 35) make the same point.</w:t>
      </w:r>
    </w:p>
    <w:p w:rsidR="00C8512F" w:rsidRDefault="00C8512F" w:rsidP="00DE23AF">
      <w:pPr>
        <w:spacing w:after="0" w:line="360" w:lineRule="auto"/>
        <w:jc w:val="both"/>
        <w:rPr>
          <w:rFonts w:ascii="Times New Roman" w:hAnsi="Times New Roman" w:cs="Times New Roman"/>
          <w:sz w:val="24"/>
          <w:szCs w:val="24"/>
        </w:rPr>
      </w:pPr>
    </w:p>
    <w:p w:rsidR="00EF7EDC" w:rsidRPr="00EF7EDC" w:rsidRDefault="00EF7EDC" w:rsidP="00EF7EDC">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Conclusions</w:t>
      </w:r>
    </w:p>
    <w:p w:rsidR="00EF7EDC" w:rsidRDefault="00EF7EDC" w:rsidP="00DE23AF">
      <w:pPr>
        <w:spacing w:after="0" w:line="360" w:lineRule="auto"/>
        <w:jc w:val="both"/>
        <w:rPr>
          <w:rFonts w:ascii="Times New Roman" w:hAnsi="Times New Roman" w:cs="Times New Roman"/>
          <w:sz w:val="24"/>
          <w:szCs w:val="24"/>
        </w:rPr>
      </w:pPr>
    </w:p>
    <w:p w:rsidR="00087F87" w:rsidRDefault="00E5275D"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paper has sought to critically assess the AER’s proposed DGM methodology for estimating the MRP, and the conclusions are as follows.</w:t>
      </w:r>
      <w:r w:rsidR="00B36EF3">
        <w:rPr>
          <w:rFonts w:ascii="Times New Roman" w:hAnsi="Times New Roman" w:cs="Times New Roman"/>
          <w:sz w:val="24"/>
          <w:szCs w:val="24"/>
        </w:rPr>
        <w:t xml:space="preserve"> </w:t>
      </w:r>
    </w:p>
    <w:p w:rsidR="005D7E1C" w:rsidRDefault="005D7E1C" w:rsidP="00DE23AF">
      <w:pPr>
        <w:spacing w:after="0" w:line="360" w:lineRule="auto"/>
        <w:jc w:val="both"/>
        <w:rPr>
          <w:rFonts w:ascii="Times New Roman" w:hAnsi="Times New Roman" w:cs="Times New Roman"/>
          <w:sz w:val="24"/>
          <w:szCs w:val="24"/>
        </w:rPr>
      </w:pPr>
    </w:p>
    <w:p w:rsidR="00087F87" w:rsidRDefault="00E5275D" w:rsidP="00087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Firstly, </w:t>
      </w:r>
      <w:r w:rsidR="00BE639C">
        <w:rPr>
          <w:rFonts w:ascii="Times New Roman" w:hAnsi="Times New Roman" w:cs="Times New Roman"/>
          <w:sz w:val="24"/>
          <w:szCs w:val="24"/>
        </w:rPr>
        <w:t xml:space="preserve">in respect of the number of stages in the model, I estimate that the incremental benefits in moving from a two to a three-stage model are even greater than in moving from a one to a two-stage model.  Consequently, </w:t>
      </w:r>
      <w:r>
        <w:rPr>
          <w:rFonts w:ascii="Times New Roman" w:hAnsi="Times New Roman" w:cs="Times New Roman"/>
          <w:sz w:val="24"/>
          <w:szCs w:val="24"/>
        </w:rPr>
        <w:t xml:space="preserve">given </w:t>
      </w:r>
      <w:r w:rsidR="00BE639C">
        <w:rPr>
          <w:rFonts w:ascii="Times New Roman" w:hAnsi="Times New Roman" w:cs="Times New Roman"/>
          <w:sz w:val="24"/>
          <w:szCs w:val="24"/>
        </w:rPr>
        <w:t xml:space="preserve">that </w:t>
      </w:r>
      <w:r>
        <w:rPr>
          <w:rFonts w:ascii="Times New Roman" w:hAnsi="Times New Roman" w:cs="Times New Roman"/>
          <w:sz w:val="24"/>
          <w:szCs w:val="24"/>
        </w:rPr>
        <w:t>the AER prefers a two-stage model over a one-stage mod</w:t>
      </w:r>
      <w:r w:rsidR="00BE639C">
        <w:rPr>
          <w:rFonts w:ascii="Times New Roman" w:hAnsi="Times New Roman" w:cs="Times New Roman"/>
          <w:sz w:val="24"/>
          <w:szCs w:val="24"/>
        </w:rPr>
        <w:t xml:space="preserve">el, </w:t>
      </w:r>
      <w:r>
        <w:rPr>
          <w:rFonts w:ascii="Times New Roman" w:hAnsi="Times New Roman" w:cs="Times New Roman"/>
          <w:sz w:val="24"/>
          <w:szCs w:val="24"/>
        </w:rPr>
        <w:t>the AER oug</w:t>
      </w:r>
      <w:r w:rsidR="009D08F4">
        <w:rPr>
          <w:rFonts w:ascii="Times New Roman" w:hAnsi="Times New Roman" w:cs="Times New Roman"/>
          <w:sz w:val="24"/>
          <w:szCs w:val="24"/>
        </w:rPr>
        <w:t>ht to adopt a three-stage model.  In using a three-stage model, I favour a linear transition in the expected DPS growth rate from the short-run values to the long-run value.</w:t>
      </w:r>
    </w:p>
    <w:p w:rsidR="00445B4D" w:rsidRDefault="00445B4D" w:rsidP="00087F87">
      <w:pPr>
        <w:spacing w:after="0" w:line="360" w:lineRule="auto"/>
        <w:jc w:val="both"/>
        <w:rPr>
          <w:rFonts w:ascii="Times New Roman" w:hAnsi="Times New Roman" w:cs="Times New Roman"/>
          <w:sz w:val="24"/>
          <w:szCs w:val="24"/>
        </w:rPr>
      </w:pPr>
    </w:p>
    <w:p w:rsidR="00AF5CDB" w:rsidRDefault="0024599E" w:rsidP="002459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Secondly, it is very likely that the true term structure for the market </w:t>
      </w:r>
      <w:r w:rsidR="00E960E7">
        <w:rPr>
          <w:rFonts w:ascii="Times New Roman" w:hAnsi="Times New Roman" w:cs="Times New Roman"/>
          <w:sz w:val="24"/>
          <w:szCs w:val="24"/>
        </w:rPr>
        <w:t xml:space="preserve">cost of equity </w:t>
      </w:r>
      <w:r w:rsidR="00B44533">
        <w:rPr>
          <w:rFonts w:ascii="Times New Roman" w:hAnsi="Times New Roman" w:cs="Times New Roman"/>
          <w:sz w:val="24"/>
          <w:szCs w:val="24"/>
        </w:rPr>
        <w:t xml:space="preserve">sometimes significantly departs from the standard assumption of a flat structure.  Consequently, at such times, there will be </w:t>
      </w:r>
      <w:r>
        <w:rPr>
          <w:rFonts w:ascii="Times New Roman" w:hAnsi="Times New Roman" w:cs="Times New Roman"/>
          <w:sz w:val="24"/>
          <w:szCs w:val="24"/>
        </w:rPr>
        <w:t>significant benefits from using a DGM model in which non-flat term structures are recognised.  This would involve setting the expected ten-year market cost of equity in ten years equal to the estimated long-run average value for this parameter and then using the DGM to find the current ten-year market cost of equity.</w:t>
      </w:r>
    </w:p>
    <w:p w:rsidR="00AF5CDB" w:rsidRDefault="00AF5CDB" w:rsidP="0024599E">
      <w:pPr>
        <w:spacing w:after="0" w:line="360" w:lineRule="auto"/>
        <w:jc w:val="both"/>
        <w:rPr>
          <w:rFonts w:ascii="Times New Roman" w:hAnsi="Times New Roman" w:cs="Times New Roman"/>
          <w:sz w:val="24"/>
          <w:szCs w:val="24"/>
        </w:rPr>
      </w:pPr>
    </w:p>
    <w:p w:rsidR="0024599E" w:rsidRDefault="00AF5CDB" w:rsidP="002459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Thirdly</w:t>
      </w:r>
      <w:r w:rsidR="00D642F5">
        <w:rPr>
          <w:rFonts w:ascii="Times New Roman" w:hAnsi="Times New Roman" w:cs="Times New Roman"/>
          <w:sz w:val="24"/>
          <w:szCs w:val="24"/>
        </w:rPr>
        <w:t xml:space="preserve">, I concur with the AER’s formula for correcting </w:t>
      </w:r>
      <w:r w:rsidR="00B44533">
        <w:rPr>
          <w:rFonts w:ascii="Times New Roman" w:hAnsi="Times New Roman" w:cs="Times New Roman"/>
          <w:sz w:val="24"/>
          <w:szCs w:val="24"/>
        </w:rPr>
        <w:t xml:space="preserve">expected </w:t>
      </w:r>
      <w:r w:rsidR="00BE639C">
        <w:rPr>
          <w:rFonts w:ascii="Times New Roman" w:hAnsi="Times New Roman" w:cs="Times New Roman"/>
          <w:sz w:val="24"/>
          <w:szCs w:val="24"/>
        </w:rPr>
        <w:t xml:space="preserve">cash dividends </w:t>
      </w:r>
      <w:r w:rsidR="00D642F5">
        <w:rPr>
          <w:rFonts w:ascii="Times New Roman" w:hAnsi="Times New Roman" w:cs="Times New Roman"/>
          <w:sz w:val="24"/>
          <w:szCs w:val="24"/>
        </w:rPr>
        <w:t>for imputation credits, and also with their estimate of the proportion of dividends that are fully franked</w:t>
      </w:r>
      <w:r w:rsidR="00BE639C">
        <w:rPr>
          <w:rFonts w:ascii="Times New Roman" w:hAnsi="Times New Roman" w:cs="Times New Roman"/>
          <w:sz w:val="24"/>
          <w:szCs w:val="24"/>
        </w:rPr>
        <w:t>, of 75%.</w:t>
      </w:r>
      <w:r w:rsidR="0024599E">
        <w:rPr>
          <w:rFonts w:ascii="Times New Roman" w:hAnsi="Times New Roman" w:cs="Times New Roman"/>
          <w:sz w:val="24"/>
          <w:szCs w:val="24"/>
        </w:rPr>
        <w:t xml:space="preserve">  </w:t>
      </w:r>
    </w:p>
    <w:p w:rsidR="00D31CBB" w:rsidRDefault="00D31CBB" w:rsidP="0024599E">
      <w:pPr>
        <w:spacing w:after="0" w:line="360" w:lineRule="auto"/>
        <w:jc w:val="both"/>
        <w:rPr>
          <w:rFonts w:ascii="Times New Roman" w:hAnsi="Times New Roman" w:cs="Times New Roman"/>
          <w:sz w:val="24"/>
          <w:szCs w:val="24"/>
        </w:rPr>
      </w:pPr>
    </w:p>
    <w:p w:rsidR="00D31CBB" w:rsidRPr="00CC523E" w:rsidRDefault="00D31CBB" w:rsidP="00D31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Fourthly, I concur with the AER’s estimate for the long-run expected real growth rate in DPS of 2% per year, and also with the AER’s estimate for the long-run expected inflation rate of 2.5% per year.  Accordingly I concur with the AER’s estimate of the long-run expected growth rate in DPS of 4.6% per year.</w:t>
      </w:r>
    </w:p>
    <w:p w:rsidR="005F1775" w:rsidRDefault="005F1775" w:rsidP="005F1775">
      <w:pPr>
        <w:spacing w:after="0" w:line="360" w:lineRule="auto"/>
        <w:jc w:val="both"/>
        <w:rPr>
          <w:rFonts w:ascii="Times New Roman" w:hAnsi="Times New Roman" w:cs="Times New Roman"/>
          <w:sz w:val="24"/>
          <w:szCs w:val="24"/>
        </w:rPr>
      </w:pPr>
    </w:p>
    <w:p w:rsidR="005F1775" w:rsidRDefault="005F1775" w:rsidP="005F17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Fifthly, in respect of the short-term expected growth rates in DPS, relative to the Bloomberg DPS forecasts, the IBES EPS forecasts have the advantages of not being subject to short-term fluctuations in future earnings payout rates and have also been subject to extensive tests for bias.  In addition, ‘stale’ analyst forecasts ought to be deleted from whichever data set is used to the extent this is feasible.</w:t>
      </w:r>
    </w:p>
    <w:p w:rsidR="00D31CBB" w:rsidRDefault="00D31CBB" w:rsidP="0024599E">
      <w:pPr>
        <w:spacing w:after="0" w:line="360" w:lineRule="auto"/>
        <w:jc w:val="both"/>
        <w:rPr>
          <w:rFonts w:ascii="Times New Roman" w:hAnsi="Times New Roman" w:cs="Times New Roman"/>
          <w:sz w:val="24"/>
          <w:szCs w:val="24"/>
        </w:rPr>
      </w:pPr>
    </w:p>
    <w:p w:rsidR="00A745A7" w:rsidRDefault="005F1775" w:rsidP="00A745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Sixthly, </w:t>
      </w:r>
      <w:r w:rsidR="00A745A7">
        <w:rPr>
          <w:rFonts w:ascii="Times New Roman" w:hAnsi="Times New Roman" w:cs="Times New Roman"/>
          <w:sz w:val="24"/>
          <w:szCs w:val="24"/>
        </w:rPr>
        <w:t xml:space="preserve">in respect of the mid-year correction </w:t>
      </w:r>
      <w:r w:rsidR="00A65D48">
        <w:rPr>
          <w:rFonts w:ascii="Times New Roman" w:hAnsi="Times New Roman" w:cs="Times New Roman"/>
          <w:sz w:val="24"/>
          <w:szCs w:val="24"/>
        </w:rPr>
        <w:t xml:space="preserve">proposed </w:t>
      </w:r>
      <w:r w:rsidR="00A745A7">
        <w:rPr>
          <w:rFonts w:ascii="Times New Roman" w:hAnsi="Times New Roman" w:cs="Times New Roman"/>
          <w:sz w:val="24"/>
          <w:szCs w:val="24"/>
        </w:rPr>
        <w:t>by the AER, the theoretical merits</w:t>
      </w:r>
      <w:r w:rsidR="00CF7B89">
        <w:rPr>
          <w:rFonts w:ascii="Times New Roman" w:hAnsi="Times New Roman" w:cs="Times New Roman"/>
          <w:sz w:val="24"/>
          <w:szCs w:val="24"/>
        </w:rPr>
        <w:t xml:space="preserve"> of this adjustment are clear.  Failure to make the correction </w:t>
      </w:r>
      <w:r w:rsidR="00A745A7">
        <w:rPr>
          <w:rFonts w:ascii="Times New Roman" w:hAnsi="Times New Roman" w:cs="Times New Roman"/>
          <w:sz w:val="24"/>
          <w:szCs w:val="24"/>
        </w:rPr>
        <w:t>would lead to underesti</w:t>
      </w:r>
      <w:r w:rsidR="00CF7B89">
        <w:rPr>
          <w:rFonts w:ascii="Times New Roman" w:hAnsi="Times New Roman" w:cs="Times New Roman"/>
          <w:sz w:val="24"/>
          <w:szCs w:val="24"/>
        </w:rPr>
        <w:t xml:space="preserve">mating the market </w:t>
      </w:r>
      <w:r w:rsidR="00E960E7">
        <w:rPr>
          <w:rFonts w:ascii="Times New Roman" w:hAnsi="Times New Roman" w:cs="Times New Roman"/>
          <w:sz w:val="24"/>
          <w:szCs w:val="24"/>
        </w:rPr>
        <w:t xml:space="preserve">cost of equity, </w:t>
      </w:r>
      <w:r w:rsidR="00A745A7">
        <w:rPr>
          <w:rFonts w:ascii="Times New Roman" w:hAnsi="Times New Roman" w:cs="Times New Roman"/>
          <w:sz w:val="24"/>
          <w:szCs w:val="24"/>
        </w:rPr>
        <w:t>and therefore also the MRP</w:t>
      </w:r>
      <w:r w:rsidR="00CF7B89">
        <w:rPr>
          <w:rFonts w:ascii="Times New Roman" w:hAnsi="Times New Roman" w:cs="Times New Roman"/>
          <w:sz w:val="24"/>
          <w:szCs w:val="24"/>
        </w:rPr>
        <w:t xml:space="preserve">, but only by </w:t>
      </w:r>
      <w:r w:rsidR="00A745A7">
        <w:rPr>
          <w:rFonts w:ascii="Times New Roman" w:hAnsi="Times New Roman" w:cs="Times New Roman"/>
          <w:sz w:val="24"/>
          <w:szCs w:val="24"/>
        </w:rPr>
        <w:t xml:space="preserve">about 0.25%.  </w:t>
      </w:r>
      <w:r w:rsidR="00B44533">
        <w:rPr>
          <w:rFonts w:ascii="Times New Roman" w:hAnsi="Times New Roman" w:cs="Times New Roman"/>
          <w:sz w:val="24"/>
          <w:szCs w:val="24"/>
        </w:rPr>
        <w:t xml:space="preserve">Thus, if </w:t>
      </w:r>
      <w:r w:rsidR="00A745A7">
        <w:rPr>
          <w:rFonts w:ascii="Times New Roman" w:hAnsi="Times New Roman" w:cs="Times New Roman"/>
          <w:sz w:val="24"/>
          <w:szCs w:val="24"/>
        </w:rPr>
        <w:t>this is considered sufficiently important to warrant correction, then a three-stage DGM should be preferred over a two stage model</w:t>
      </w:r>
      <w:r w:rsidR="00B44533">
        <w:rPr>
          <w:rFonts w:ascii="Times New Roman" w:hAnsi="Times New Roman" w:cs="Times New Roman"/>
          <w:sz w:val="24"/>
          <w:szCs w:val="24"/>
        </w:rPr>
        <w:t xml:space="preserve"> </w:t>
      </w:r>
      <w:r w:rsidR="00A745A7">
        <w:rPr>
          <w:rFonts w:ascii="Times New Roman" w:hAnsi="Times New Roman" w:cs="Times New Roman"/>
          <w:sz w:val="24"/>
          <w:szCs w:val="24"/>
        </w:rPr>
        <w:t xml:space="preserve">and the assumption of a flat term structure in the market </w:t>
      </w:r>
      <w:r w:rsidR="00E960E7">
        <w:rPr>
          <w:rFonts w:ascii="Times New Roman" w:hAnsi="Times New Roman" w:cs="Times New Roman"/>
          <w:sz w:val="24"/>
          <w:szCs w:val="24"/>
        </w:rPr>
        <w:t xml:space="preserve">cost of equity </w:t>
      </w:r>
      <w:r w:rsidR="00B44533">
        <w:rPr>
          <w:rFonts w:ascii="Times New Roman" w:hAnsi="Times New Roman" w:cs="Times New Roman"/>
          <w:sz w:val="24"/>
          <w:szCs w:val="24"/>
        </w:rPr>
        <w:t xml:space="preserve">should </w:t>
      </w:r>
      <w:r w:rsidR="006005E8">
        <w:rPr>
          <w:rFonts w:ascii="Times New Roman" w:hAnsi="Times New Roman" w:cs="Times New Roman"/>
          <w:sz w:val="24"/>
          <w:szCs w:val="24"/>
        </w:rPr>
        <w:t xml:space="preserve">also </w:t>
      </w:r>
      <w:r w:rsidR="00B44533">
        <w:rPr>
          <w:rFonts w:ascii="Times New Roman" w:hAnsi="Times New Roman" w:cs="Times New Roman"/>
          <w:sz w:val="24"/>
          <w:szCs w:val="24"/>
        </w:rPr>
        <w:t>be avoided</w:t>
      </w:r>
      <w:r w:rsidR="00340907">
        <w:rPr>
          <w:rFonts w:ascii="Times New Roman" w:hAnsi="Times New Roman" w:cs="Times New Roman"/>
          <w:sz w:val="24"/>
          <w:szCs w:val="24"/>
        </w:rPr>
        <w:t>.</w:t>
      </w:r>
    </w:p>
    <w:p w:rsidR="0020267B" w:rsidRDefault="0020267B" w:rsidP="00A745A7">
      <w:pPr>
        <w:spacing w:after="0" w:line="360" w:lineRule="auto"/>
        <w:jc w:val="both"/>
        <w:rPr>
          <w:rFonts w:ascii="Times New Roman" w:hAnsi="Times New Roman" w:cs="Times New Roman"/>
          <w:sz w:val="24"/>
          <w:szCs w:val="24"/>
        </w:rPr>
      </w:pPr>
    </w:p>
    <w:p w:rsidR="00965AB1" w:rsidRDefault="005F1775" w:rsidP="00965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Seventhly, </w:t>
      </w:r>
      <w:r w:rsidR="00965AB1">
        <w:rPr>
          <w:rFonts w:ascii="Times New Roman" w:hAnsi="Times New Roman" w:cs="Times New Roman"/>
          <w:sz w:val="24"/>
          <w:szCs w:val="24"/>
        </w:rPr>
        <w:t xml:space="preserve">and in respect of the partial-year correction </w:t>
      </w:r>
      <w:r w:rsidR="00A65D48">
        <w:rPr>
          <w:rFonts w:ascii="Times New Roman" w:hAnsi="Times New Roman" w:cs="Times New Roman"/>
          <w:sz w:val="24"/>
          <w:szCs w:val="24"/>
        </w:rPr>
        <w:t xml:space="preserve">proposed </w:t>
      </w:r>
      <w:r w:rsidR="00965AB1">
        <w:rPr>
          <w:rFonts w:ascii="Times New Roman" w:hAnsi="Times New Roman" w:cs="Times New Roman"/>
          <w:sz w:val="24"/>
          <w:szCs w:val="24"/>
        </w:rPr>
        <w:t xml:space="preserve">by the AER, failure to make this adjustment would lead to an underestimate in the market </w:t>
      </w:r>
      <w:r w:rsidR="00E960E7">
        <w:rPr>
          <w:rFonts w:ascii="Times New Roman" w:hAnsi="Times New Roman" w:cs="Times New Roman"/>
          <w:sz w:val="24"/>
          <w:szCs w:val="24"/>
        </w:rPr>
        <w:t xml:space="preserve">cost of equity, </w:t>
      </w:r>
      <w:r w:rsidR="00965AB1">
        <w:rPr>
          <w:rFonts w:ascii="Times New Roman" w:hAnsi="Times New Roman" w:cs="Times New Roman"/>
          <w:sz w:val="24"/>
          <w:szCs w:val="24"/>
        </w:rPr>
        <w:t xml:space="preserve">and therefore also the MRP, by about 0.1%.  This is </w:t>
      </w:r>
      <w:r w:rsidR="00934C70">
        <w:rPr>
          <w:rFonts w:ascii="Times New Roman" w:hAnsi="Times New Roman" w:cs="Times New Roman"/>
          <w:sz w:val="24"/>
          <w:szCs w:val="24"/>
        </w:rPr>
        <w:t xml:space="preserve">not significant.  </w:t>
      </w:r>
      <w:r w:rsidR="00965AB1">
        <w:rPr>
          <w:rFonts w:ascii="Times New Roman" w:hAnsi="Times New Roman" w:cs="Times New Roman"/>
          <w:sz w:val="24"/>
          <w:szCs w:val="24"/>
        </w:rPr>
        <w:t>Furthermore, I understand that the Bloomberg DPS forecast are updated much more frequently than annually, and this undercuts the rationale for the adjustment.  Accordingly, I recommend against the partial-year adjustment.</w:t>
      </w:r>
    </w:p>
    <w:p w:rsidR="0020267B" w:rsidRDefault="0020267B" w:rsidP="00A745A7">
      <w:pPr>
        <w:spacing w:after="0" w:line="360" w:lineRule="auto"/>
        <w:jc w:val="both"/>
        <w:rPr>
          <w:rFonts w:ascii="Times New Roman" w:hAnsi="Times New Roman" w:cs="Times New Roman"/>
          <w:sz w:val="24"/>
          <w:szCs w:val="24"/>
        </w:rPr>
      </w:pPr>
    </w:p>
    <w:p w:rsidR="00FA36C6" w:rsidRDefault="0083205E" w:rsidP="00FA36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in addition to these issues, there are a number of limitations of the DGM that should be recognised.  In particular, </w:t>
      </w:r>
      <w:r w:rsidR="00087F87">
        <w:rPr>
          <w:rFonts w:ascii="Times New Roman" w:hAnsi="Times New Roman" w:cs="Times New Roman"/>
          <w:sz w:val="24"/>
          <w:szCs w:val="24"/>
        </w:rPr>
        <w:t xml:space="preserve">the DGM assumes that equity prices are equal to the present value of future dividends and therefore that the market’s expectation of the growth rate in dividends both exists and is rational.  If this expected growth rate does not exist or is not rational, then an analyst could not hope to accurately estimate it and therefore could not hope to accurately estimate the market’s </w:t>
      </w:r>
      <w:r w:rsidR="008628EC">
        <w:rPr>
          <w:rFonts w:ascii="Times New Roman" w:hAnsi="Times New Roman" w:cs="Times New Roman"/>
          <w:sz w:val="24"/>
          <w:szCs w:val="24"/>
        </w:rPr>
        <w:t xml:space="preserve">cost of equity.  </w:t>
      </w:r>
      <w:r>
        <w:rPr>
          <w:rFonts w:ascii="Times New Roman" w:hAnsi="Times New Roman" w:cs="Times New Roman"/>
          <w:sz w:val="24"/>
          <w:szCs w:val="24"/>
        </w:rPr>
        <w:t xml:space="preserve">In addition the </w:t>
      </w:r>
      <w:r w:rsidR="008628EC">
        <w:rPr>
          <w:rFonts w:ascii="Times New Roman" w:hAnsi="Times New Roman" w:cs="Times New Roman"/>
          <w:sz w:val="24"/>
          <w:szCs w:val="24"/>
        </w:rPr>
        <w:t xml:space="preserve">DGM </w:t>
      </w:r>
      <w:r>
        <w:rPr>
          <w:rFonts w:ascii="Times New Roman" w:hAnsi="Times New Roman" w:cs="Times New Roman"/>
          <w:sz w:val="24"/>
          <w:szCs w:val="24"/>
        </w:rPr>
        <w:t xml:space="preserve">is </w:t>
      </w:r>
      <w:r w:rsidR="00087F87">
        <w:rPr>
          <w:rFonts w:ascii="Times New Roman" w:hAnsi="Times New Roman" w:cs="Times New Roman"/>
          <w:sz w:val="24"/>
          <w:szCs w:val="24"/>
        </w:rPr>
        <w:t>prone to errors in the presence of short-term fluctuations in the market’s earnings retention rate</w:t>
      </w:r>
      <w:r>
        <w:rPr>
          <w:rFonts w:ascii="Times New Roman" w:hAnsi="Times New Roman" w:cs="Times New Roman"/>
          <w:sz w:val="24"/>
          <w:szCs w:val="24"/>
        </w:rPr>
        <w:t xml:space="preserve"> and also to long-term</w:t>
      </w:r>
      <w:r w:rsidR="00087F87">
        <w:rPr>
          <w:rFonts w:ascii="Times New Roman" w:hAnsi="Times New Roman" w:cs="Times New Roman"/>
          <w:sz w:val="24"/>
          <w:szCs w:val="24"/>
        </w:rPr>
        <w:t xml:space="preserve"> changes in the market’s ear</w:t>
      </w:r>
      <w:r w:rsidR="00BE639C">
        <w:rPr>
          <w:rFonts w:ascii="Times New Roman" w:hAnsi="Times New Roman" w:cs="Times New Roman"/>
          <w:sz w:val="24"/>
          <w:szCs w:val="24"/>
        </w:rPr>
        <w:t>nings retention rate.</w:t>
      </w:r>
    </w:p>
    <w:p w:rsidR="00D66208" w:rsidRDefault="00791323" w:rsidP="00F95F4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D66208">
        <w:rPr>
          <w:rFonts w:ascii="Times New Roman" w:hAnsi="Times New Roman" w:cs="Times New Roman"/>
          <w:b/>
          <w:sz w:val="24"/>
          <w:szCs w:val="24"/>
        </w:rPr>
        <w:lastRenderedPageBreak/>
        <w:t>REFERENCES</w:t>
      </w:r>
    </w:p>
    <w:p w:rsidR="00F95F42" w:rsidRDefault="00F95F42" w:rsidP="00F95F42">
      <w:pPr>
        <w:spacing w:after="0" w:line="240" w:lineRule="auto"/>
        <w:jc w:val="both"/>
        <w:rPr>
          <w:rFonts w:ascii="Times New Roman" w:hAnsi="Times New Roman" w:cs="Times New Roman"/>
          <w:sz w:val="24"/>
          <w:szCs w:val="24"/>
        </w:rPr>
      </w:pPr>
    </w:p>
    <w:p w:rsidR="00BA3394" w:rsidRDefault="00BA3394" w:rsidP="00F95F42">
      <w:pPr>
        <w:pStyle w:val="BodyText"/>
        <w:spacing w:line="240" w:lineRule="auto"/>
      </w:pPr>
      <w:r>
        <w:t xml:space="preserve">AER, 2013, </w:t>
      </w:r>
      <w:r>
        <w:rPr>
          <w:i/>
        </w:rPr>
        <w:t>Better Regulation</w:t>
      </w:r>
      <w:r>
        <w:t xml:space="preserve">: </w:t>
      </w:r>
      <w:r>
        <w:rPr>
          <w:i/>
        </w:rPr>
        <w:t>Explanatory Statement Draft Rate of Return Guideline</w:t>
      </w:r>
      <w:r>
        <w:t xml:space="preserve"> (</w:t>
      </w:r>
      <w:hyperlink r:id="rId70" w:history="1">
        <w:r w:rsidRPr="00CA330C">
          <w:rPr>
            <w:rStyle w:val="Hyperlink"/>
          </w:rPr>
          <w:t>www.aer.gov.au</w:t>
        </w:r>
      </w:hyperlink>
      <w:r>
        <w:t>).</w:t>
      </w:r>
    </w:p>
    <w:p w:rsidR="00BA3394" w:rsidRDefault="00BA3394" w:rsidP="00F95F42">
      <w:pPr>
        <w:pStyle w:val="BodyText"/>
        <w:spacing w:line="240" w:lineRule="auto"/>
      </w:pPr>
    </w:p>
    <w:p w:rsidR="00170D7B" w:rsidRDefault="00D66208" w:rsidP="00013D96">
      <w:pPr>
        <w:pStyle w:val="BodyText"/>
        <w:spacing w:line="240" w:lineRule="auto"/>
      </w:pPr>
      <w:r>
        <w:t>Bern</w:t>
      </w:r>
      <w:r w:rsidR="009C2655">
        <w:t>stein, P. and Arnott, R. 2003, ‘</w:t>
      </w:r>
      <w:r>
        <w:t>Earnings G</w:t>
      </w:r>
      <w:r w:rsidR="009C2655">
        <w:t>rowth: The Two Percent Dilution’</w:t>
      </w:r>
      <w:r>
        <w:t xml:space="preserve">, </w:t>
      </w:r>
      <w:r>
        <w:rPr>
          <w:i/>
          <w:iCs/>
        </w:rPr>
        <w:t>Financial Analysts Journal</w:t>
      </w:r>
      <w:r>
        <w:t>, Sept/October, pp. 47-55.</w:t>
      </w:r>
    </w:p>
    <w:p w:rsidR="00013D96" w:rsidRDefault="00013D96" w:rsidP="00013D96">
      <w:pPr>
        <w:pStyle w:val="BodyText"/>
        <w:spacing w:line="240" w:lineRule="auto"/>
      </w:pPr>
    </w:p>
    <w:p w:rsidR="0047039F" w:rsidRDefault="0047039F" w:rsidP="00013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Brailsford, T., Handley, J., and Maheswaren, K., 2008, ‘Re-examination of the Historical Equity Risk Premium in Australia’, </w:t>
      </w:r>
      <w:r>
        <w:rPr>
          <w:rFonts w:ascii="Times New Roman" w:hAnsi="Times New Roman" w:cs="Times New Roman"/>
          <w:i/>
          <w:sz w:val="24"/>
          <w:szCs w:val="24"/>
        </w:rPr>
        <w:t>Accounting and Finance</w:t>
      </w:r>
      <w:r>
        <w:rPr>
          <w:rFonts w:ascii="Times New Roman" w:hAnsi="Times New Roman" w:cs="Times New Roman"/>
          <w:sz w:val="24"/>
          <w:szCs w:val="24"/>
        </w:rPr>
        <w:t>, vol. 48, pp. 73-97.</w:t>
      </w:r>
    </w:p>
    <w:p w:rsidR="0047039F" w:rsidRDefault="0047039F" w:rsidP="00013D96">
      <w:pPr>
        <w:spacing w:after="0" w:line="240" w:lineRule="auto"/>
        <w:jc w:val="both"/>
        <w:rPr>
          <w:rFonts w:ascii="Times New Roman" w:hAnsi="Times New Roman" w:cs="Times New Roman"/>
          <w:sz w:val="24"/>
          <w:szCs w:val="24"/>
        </w:rPr>
      </w:pPr>
    </w:p>
    <w:p w:rsidR="00013D96" w:rsidRPr="005E22B2" w:rsidRDefault="0047039F" w:rsidP="00013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 </w:t>
      </w:r>
      <w:r w:rsidR="00013D96">
        <w:rPr>
          <w:rFonts w:ascii="Times New Roman" w:hAnsi="Times New Roman" w:cs="Times New Roman"/>
          <w:sz w:val="24"/>
          <w:szCs w:val="24"/>
        </w:rPr>
        <w:t xml:space="preserve">2012. ‘The Historical Equity Risk Premium in Australia: Post-GFC and 128 Years of Data, </w:t>
      </w:r>
      <w:r w:rsidR="00013D96">
        <w:rPr>
          <w:rFonts w:ascii="Times New Roman" w:hAnsi="Times New Roman" w:cs="Times New Roman"/>
          <w:i/>
          <w:sz w:val="24"/>
          <w:szCs w:val="24"/>
        </w:rPr>
        <w:t>Accounting and Finance</w:t>
      </w:r>
      <w:r w:rsidR="00013D96">
        <w:rPr>
          <w:rFonts w:ascii="Times New Roman" w:hAnsi="Times New Roman" w:cs="Times New Roman"/>
          <w:sz w:val="24"/>
          <w:szCs w:val="24"/>
        </w:rPr>
        <w:t>, 52, pp. 237-247.</w:t>
      </w:r>
    </w:p>
    <w:p w:rsidR="00013D96" w:rsidRDefault="00013D96" w:rsidP="00D66208">
      <w:pPr>
        <w:spacing w:after="0" w:line="240" w:lineRule="auto"/>
        <w:jc w:val="both"/>
        <w:rPr>
          <w:rFonts w:ascii="Times New Roman" w:hAnsi="Times New Roman" w:cs="Times New Roman"/>
          <w:sz w:val="24"/>
          <w:szCs w:val="24"/>
        </w:rPr>
      </w:pPr>
    </w:p>
    <w:p w:rsidR="00DF22C7" w:rsidRDefault="00D66208" w:rsidP="00D66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CEG. </w:t>
      </w:r>
      <w:r w:rsidR="00BE7F71">
        <w:rPr>
          <w:rFonts w:ascii="Times New Roman" w:hAnsi="Times New Roman" w:cs="Times New Roman"/>
          <w:sz w:val="24"/>
          <w:szCs w:val="24"/>
        </w:rPr>
        <w:t>2012</w:t>
      </w:r>
      <w:r w:rsidR="00DF22C7">
        <w:rPr>
          <w:rFonts w:ascii="Times New Roman" w:hAnsi="Times New Roman" w:cs="Times New Roman"/>
          <w:sz w:val="24"/>
          <w:szCs w:val="24"/>
        </w:rPr>
        <w:t xml:space="preserve">, </w:t>
      </w:r>
      <w:r w:rsidR="00DF22C7">
        <w:rPr>
          <w:rFonts w:ascii="Times New Roman" w:hAnsi="Times New Roman" w:cs="Times New Roman"/>
          <w:i/>
          <w:sz w:val="24"/>
          <w:szCs w:val="24"/>
        </w:rPr>
        <w:t>Response to AER Vic Gas Draft Decision</w:t>
      </w:r>
      <w:r w:rsidR="00DF22C7">
        <w:rPr>
          <w:rFonts w:ascii="Times New Roman" w:hAnsi="Times New Roman" w:cs="Times New Roman"/>
          <w:sz w:val="24"/>
          <w:szCs w:val="24"/>
        </w:rPr>
        <w:t xml:space="preserve">: </w:t>
      </w:r>
      <w:r w:rsidR="00DF22C7">
        <w:rPr>
          <w:rFonts w:ascii="Times New Roman" w:hAnsi="Times New Roman" w:cs="Times New Roman"/>
          <w:i/>
          <w:sz w:val="24"/>
          <w:szCs w:val="24"/>
        </w:rPr>
        <w:t>Internal Consistency of MRP and Risk Free Rate</w:t>
      </w:r>
      <w:r w:rsidR="00DF22C7">
        <w:rPr>
          <w:rFonts w:ascii="Times New Roman" w:hAnsi="Times New Roman" w:cs="Times New Roman"/>
          <w:sz w:val="24"/>
          <w:szCs w:val="24"/>
        </w:rPr>
        <w:t>, report prepared for Envestra, SP AusNet, Multinet and APA (</w:t>
      </w:r>
      <w:hyperlink r:id="rId71" w:history="1">
        <w:r w:rsidR="00DF22C7" w:rsidRPr="00A70FB4">
          <w:rPr>
            <w:rStyle w:val="Hyperlink"/>
            <w:rFonts w:ascii="Times New Roman" w:hAnsi="Times New Roman" w:cs="Times New Roman"/>
            <w:sz w:val="24"/>
            <w:szCs w:val="24"/>
          </w:rPr>
          <w:t>www.aer.gov.au</w:t>
        </w:r>
      </w:hyperlink>
      <w:r w:rsidR="00DF22C7">
        <w:rPr>
          <w:rFonts w:ascii="Times New Roman" w:hAnsi="Times New Roman" w:cs="Times New Roman"/>
          <w:sz w:val="24"/>
          <w:szCs w:val="24"/>
        </w:rPr>
        <w:t>).</w:t>
      </w:r>
    </w:p>
    <w:p w:rsidR="00470B7F" w:rsidRDefault="00470B7F" w:rsidP="00D66208">
      <w:pPr>
        <w:spacing w:after="0" w:line="240" w:lineRule="auto"/>
        <w:jc w:val="both"/>
        <w:rPr>
          <w:rFonts w:ascii="Times New Roman" w:hAnsi="Times New Roman" w:cs="Times New Roman"/>
          <w:sz w:val="24"/>
          <w:szCs w:val="24"/>
        </w:rPr>
      </w:pPr>
    </w:p>
    <w:p w:rsidR="00470B7F" w:rsidRPr="00470B7F" w:rsidRDefault="00470B7F" w:rsidP="00D66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2013, </w:t>
      </w:r>
      <w:r>
        <w:rPr>
          <w:rFonts w:ascii="Times New Roman" w:hAnsi="Times New Roman" w:cs="Times New Roman"/>
          <w:i/>
          <w:sz w:val="24"/>
          <w:szCs w:val="24"/>
        </w:rPr>
        <w:t>Estimating E(R</w:t>
      </w:r>
      <w:r>
        <w:rPr>
          <w:rFonts w:ascii="Times New Roman" w:hAnsi="Times New Roman" w:cs="Times New Roman"/>
          <w:i/>
          <w:sz w:val="24"/>
          <w:szCs w:val="24"/>
          <w:vertAlign w:val="subscript"/>
        </w:rPr>
        <w:t>m</w:t>
      </w:r>
      <w:r>
        <w:rPr>
          <w:rFonts w:ascii="Times New Roman" w:hAnsi="Times New Roman" w:cs="Times New Roman"/>
          <w:i/>
          <w:sz w:val="24"/>
          <w:szCs w:val="24"/>
        </w:rPr>
        <w:t>) in the Context of Recent Regulatory Debate</w:t>
      </w:r>
      <w:r>
        <w:rPr>
          <w:rFonts w:ascii="Times New Roman" w:hAnsi="Times New Roman" w:cs="Times New Roman"/>
          <w:sz w:val="24"/>
          <w:szCs w:val="24"/>
        </w:rPr>
        <w:t xml:space="preserve"> (</w:t>
      </w:r>
      <w:hyperlink r:id="rId72" w:history="1">
        <w:r w:rsidRPr="00537C0F">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743676" w:rsidRDefault="00743676" w:rsidP="00743676">
      <w:pPr>
        <w:pStyle w:val="BodyText"/>
        <w:spacing w:line="240" w:lineRule="auto"/>
        <w:ind w:right="-13"/>
      </w:pPr>
    </w:p>
    <w:p w:rsidR="00743676" w:rsidRDefault="00743676" w:rsidP="00743676">
      <w:pPr>
        <w:pStyle w:val="BodyText"/>
        <w:spacing w:line="240" w:lineRule="auto"/>
        <w:ind w:right="-13"/>
        <w:rPr>
          <w:i/>
          <w:iCs/>
        </w:rPr>
      </w:pPr>
      <w:r>
        <w:t>Claus, J. and Thomas, J.</w:t>
      </w:r>
      <w:r w:rsidR="000C256C">
        <w:t>,</w:t>
      </w:r>
      <w:r>
        <w:t xml:space="preserve"> 2001, ‘Equity Premia as Low as Three Percent?: Evidence from Analysts’ Earnings Forecasts for Domestic and International Stocks’, </w:t>
      </w:r>
      <w:r>
        <w:rPr>
          <w:i/>
          <w:iCs/>
        </w:rPr>
        <w:t>The Journal of Finance</w:t>
      </w:r>
      <w:r>
        <w:t>, vol. 56, pp. 1629-1666.</w:t>
      </w:r>
    </w:p>
    <w:p w:rsidR="00743676" w:rsidRDefault="00743676" w:rsidP="00D66208">
      <w:pPr>
        <w:pStyle w:val="BodyText"/>
        <w:spacing w:line="240" w:lineRule="auto"/>
      </w:pPr>
    </w:p>
    <w:p w:rsidR="009C2655" w:rsidRPr="00537DFD" w:rsidRDefault="009C2655" w:rsidP="00537DFD">
      <w:pPr>
        <w:pStyle w:val="BodyText"/>
        <w:spacing w:line="240" w:lineRule="auto"/>
      </w:pPr>
      <w:r>
        <w:t xml:space="preserve">Cox, J., Ingersoll, J., and Ross, S. 1985, ‘A Theory of the Term Structure of Interest Rates’, </w:t>
      </w:r>
      <w:r w:rsidRPr="00537DFD">
        <w:rPr>
          <w:i/>
        </w:rPr>
        <w:t>Econometrica</w:t>
      </w:r>
      <w:r w:rsidRPr="00537DFD">
        <w:t>, vol. 53, pp. 385-407.</w:t>
      </w:r>
    </w:p>
    <w:p w:rsidR="00537DFD" w:rsidRPr="00537DFD" w:rsidRDefault="00537DFD" w:rsidP="00537DFD">
      <w:pPr>
        <w:spacing w:after="0" w:line="240" w:lineRule="auto"/>
        <w:jc w:val="both"/>
        <w:rPr>
          <w:rFonts w:ascii="Times New Roman" w:eastAsia="SimSun" w:hAnsi="Times New Roman" w:cs="Times New Roman"/>
          <w:b/>
          <w:bCs/>
          <w:sz w:val="24"/>
          <w:szCs w:val="24"/>
        </w:rPr>
      </w:pPr>
    </w:p>
    <w:p w:rsidR="00537DFD" w:rsidRPr="00537DFD" w:rsidRDefault="00537DFD" w:rsidP="00537DFD">
      <w:pPr>
        <w:spacing w:after="0" w:line="240" w:lineRule="auto"/>
        <w:jc w:val="both"/>
        <w:rPr>
          <w:rFonts w:ascii="Times New Roman" w:eastAsia="SimSun" w:hAnsi="Times New Roman" w:cs="Times New Roman"/>
          <w:sz w:val="24"/>
          <w:szCs w:val="24"/>
        </w:rPr>
      </w:pPr>
      <w:r w:rsidRPr="00537DFD">
        <w:rPr>
          <w:rFonts w:ascii="Times New Roman" w:eastAsia="SimSun" w:hAnsi="Times New Roman" w:cs="Times New Roman"/>
          <w:sz w:val="24"/>
          <w:szCs w:val="24"/>
        </w:rPr>
        <w:t xml:space="preserve">Fama, E. (1984), ‘The Information in the Term Structure’, </w:t>
      </w:r>
      <w:r w:rsidRPr="00537DFD">
        <w:rPr>
          <w:rFonts w:ascii="Times New Roman" w:eastAsia="SimSun" w:hAnsi="Times New Roman" w:cs="Times New Roman"/>
          <w:i/>
          <w:iCs/>
          <w:sz w:val="24"/>
          <w:szCs w:val="24"/>
        </w:rPr>
        <w:t>Journal of Financial Economics</w:t>
      </w:r>
      <w:r w:rsidRPr="00537DFD">
        <w:rPr>
          <w:rFonts w:ascii="Times New Roman" w:eastAsia="SimSun" w:hAnsi="Times New Roman" w:cs="Times New Roman"/>
          <w:sz w:val="24"/>
          <w:szCs w:val="24"/>
        </w:rPr>
        <w:t>, vol. 13 (4), pp. 509-528.</w:t>
      </w:r>
    </w:p>
    <w:p w:rsidR="00D72E72" w:rsidRPr="00537DFD" w:rsidRDefault="00D72E72" w:rsidP="00537DFD">
      <w:pPr>
        <w:pStyle w:val="BodyText"/>
        <w:spacing w:line="240" w:lineRule="auto"/>
        <w:rPr>
          <w:lang w:val="en-NZ"/>
        </w:rPr>
      </w:pPr>
    </w:p>
    <w:p w:rsidR="00D72E72" w:rsidRDefault="00D72E72" w:rsidP="00537DFD">
      <w:pPr>
        <w:pStyle w:val="BodyText"/>
        <w:spacing w:line="240" w:lineRule="auto"/>
      </w:pPr>
      <w:r w:rsidRPr="00537DFD">
        <w:t xml:space="preserve">Gordon, M. and Shapiro, E. 1956, ‘Capital Equipment Analysis: The Required Rate of </w:t>
      </w:r>
      <w:r>
        <w:t xml:space="preserve">Profit’, </w:t>
      </w:r>
      <w:r>
        <w:rPr>
          <w:i/>
        </w:rPr>
        <w:t>Management Science</w:t>
      </w:r>
      <w:r>
        <w:t>, vol. 3, pp. 102-10.</w:t>
      </w:r>
    </w:p>
    <w:p w:rsidR="00D72E72" w:rsidRDefault="00D72E72" w:rsidP="00D66208">
      <w:pPr>
        <w:pStyle w:val="BodyText"/>
        <w:spacing w:line="240" w:lineRule="auto"/>
      </w:pPr>
    </w:p>
    <w:p w:rsidR="00CB6A86" w:rsidRPr="00CB6A86" w:rsidRDefault="00CB6A86" w:rsidP="00D66208">
      <w:pPr>
        <w:pStyle w:val="BodyText"/>
        <w:spacing w:line="240" w:lineRule="auto"/>
      </w:pPr>
      <w:r>
        <w:t>Grinold, R., Kroner, K., and Siegel, L., 2011, ‘</w:t>
      </w:r>
      <w:r w:rsidRPr="00CB6A86">
        <w:t>A Supply Model of the Equity Premium</w:t>
      </w:r>
      <w:r>
        <w:t xml:space="preserve">’, </w:t>
      </w:r>
      <w:r w:rsidRPr="00CB6A86">
        <w:rPr>
          <w:i/>
        </w:rPr>
        <w:t>The Research Foundation of CFA Institute</w:t>
      </w:r>
      <w:r>
        <w:t xml:space="preserve"> (</w:t>
      </w:r>
      <w:hyperlink r:id="rId73" w:history="1">
        <w:r w:rsidRPr="00EA4643">
          <w:rPr>
            <w:rStyle w:val="Hyperlink"/>
          </w:rPr>
          <w:t>http://www.cfainstitute.org</w:t>
        </w:r>
      </w:hyperlink>
      <w:r>
        <w:t>).</w:t>
      </w:r>
    </w:p>
    <w:p w:rsidR="00CB6A86" w:rsidRDefault="00CB6A86" w:rsidP="00D66208">
      <w:pPr>
        <w:pStyle w:val="BodyText"/>
        <w:spacing w:line="240" w:lineRule="auto"/>
      </w:pPr>
    </w:p>
    <w:p w:rsidR="0045378E" w:rsidRPr="0045378E" w:rsidRDefault="0045378E" w:rsidP="00D66208">
      <w:pPr>
        <w:pStyle w:val="BodyText"/>
        <w:spacing w:line="240" w:lineRule="auto"/>
      </w:pPr>
      <w:r>
        <w:t xml:space="preserve">Gu, Z., and Wu, J., 2003, ‘Earnings Skewness and Analyst Forecast Bias’, </w:t>
      </w:r>
      <w:r>
        <w:rPr>
          <w:i/>
        </w:rPr>
        <w:t>Journal of Accounting and Economics</w:t>
      </w:r>
      <w:r>
        <w:t>, vol. 35, pp. 5-29.</w:t>
      </w:r>
    </w:p>
    <w:p w:rsidR="0045378E" w:rsidRDefault="0045378E" w:rsidP="00D66208">
      <w:pPr>
        <w:pStyle w:val="BodyText"/>
        <w:spacing w:line="240" w:lineRule="auto"/>
      </w:pPr>
    </w:p>
    <w:p w:rsidR="009C2655" w:rsidRPr="009C2655" w:rsidRDefault="009C2655" w:rsidP="00D66208">
      <w:pPr>
        <w:pStyle w:val="BodyText"/>
        <w:spacing w:line="240" w:lineRule="auto"/>
      </w:pPr>
      <w:r>
        <w:t xml:space="preserve">Hull, J., and White, A. 1990, ‘Pricing Interest Rate Derivative Securities’, </w:t>
      </w:r>
      <w:r>
        <w:rPr>
          <w:i/>
        </w:rPr>
        <w:t>Review of Financial Studies</w:t>
      </w:r>
      <w:r>
        <w:t>, vol. 3, pp. 573-592.</w:t>
      </w:r>
    </w:p>
    <w:p w:rsidR="009C2655" w:rsidRDefault="009C2655" w:rsidP="00D66208">
      <w:pPr>
        <w:pStyle w:val="BodyText"/>
        <w:spacing w:line="240" w:lineRule="auto"/>
      </w:pPr>
    </w:p>
    <w:p w:rsidR="001473AB" w:rsidRDefault="00CC7AAA" w:rsidP="00D66208">
      <w:pPr>
        <w:pStyle w:val="BodyText"/>
        <w:spacing w:line="240" w:lineRule="auto"/>
      </w:pPr>
      <w:r>
        <w:t xml:space="preserve">Lally, M., </w:t>
      </w:r>
      <w:r w:rsidR="001473AB">
        <w:t xml:space="preserve">1988, ‘The Gordon-Shapiro Dividend Growth Formula and Inflation’, </w:t>
      </w:r>
      <w:r w:rsidR="001473AB" w:rsidRPr="00CB7513">
        <w:rPr>
          <w:i/>
        </w:rPr>
        <w:t>Accounting and Finance</w:t>
      </w:r>
      <w:r w:rsidR="001473AB">
        <w:t>, Vol. 28, pp. 45-51.</w:t>
      </w:r>
    </w:p>
    <w:p w:rsidR="001473AB" w:rsidRDefault="001473AB" w:rsidP="00D66208">
      <w:pPr>
        <w:pStyle w:val="BodyText"/>
        <w:spacing w:line="240" w:lineRule="auto"/>
      </w:pPr>
    </w:p>
    <w:p w:rsidR="00D66208" w:rsidRDefault="001473AB" w:rsidP="00D66208">
      <w:pPr>
        <w:pStyle w:val="BodyText"/>
        <w:spacing w:line="240" w:lineRule="auto"/>
      </w:pPr>
      <w:r>
        <w:t xml:space="preserve">_______ </w:t>
      </w:r>
      <w:r w:rsidR="00B4336A">
        <w:t xml:space="preserve">2012, </w:t>
      </w:r>
      <w:r w:rsidR="00B4336A">
        <w:rPr>
          <w:i/>
        </w:rPr>
        <w:t>The Cost of Equity and the Market Risk Premium</w:t>
      </w:r>
      <w:r w:rsidR="00B4336A">
        <w:t>, report prepared for the AER (</w:t>
      </w:r>
      <w:hyperlink r:id="rId74" w:history="1">
        <w:r w:rsidR="00B4336A" w:rsidRPr="00460FAC">
          <w:rPr>
            <w:rStyle w:val="Hyperlink"/>
          </w:rPr>
          <w:t>www.aer.gov.au</w:t>
        </w:r>
      </w:hyperlink>
      <w:r w:rsidR="00B4336A">
        <w:t>).</w:t>
      </w:r>
    </w:p>
    <w:p w:rsidR="00BA2D42" w:rsidRDefault="00BA2D42" w:rsidP="00BA2D42">
      <w:pPr>
        <w:pStyle w:val="BodyText"/>
        <w:spacing w:line="240" w:lineRule="auto"/>
        <w:rPr>
          <w:b/>
          <w:bCs/>
        </w:rPr>
      </w:pPr>
    </w:p>
    <w:p w:rsidR="00BA2D42" w:rsidRPr="00BA2D42" w:rsidRDefault="00BA2D42" w:rsidP="00BA2D42">
      <w:pPr>
        <w:pStyle w:val="BodyText"/>
        <w:spacing w:line="240" w:lineRule="auto"/>
        <w:rPr>
          <w:bCs/>
        </w:rPr>
      </w:pPr>
      <w:r w:rsidRPr="00BA2D42">
        <w:rPr>
          <w:bCs/>
        </w:rPr>
        <w:t xml:space="preserve">McCulloch, J. (1975), ‘An Estimate of the Liquidity Premium’, </w:t>
      </w:r>
      <w:r w:rsidRPr="00BA2D42">
        <w:rPr>
          <w:bCs/>
          <w:i/>
          <w:iCs/>
        </w:rPr>
        <w:t>Journal of Political Economy</w:t>
      </w:r>
      <w:r w:rsidRPr="00BA2D42">
        <w:rPr>
          <w:bCs/>
        </w:rPr>
        <w:t>, vol. 83, pp. 95-119.</w:t>
      </w:r>
    </w:p>
    <w:p w:rsidR="009163DA" w:rsidRDefault="009163DA" w:rsidP="009163DA">
      <w:pPr>
        <w:pStyle w:val="BodyText"/>
        <w:spacing w:line="240" w:lineRule="auto"/>
      </w:pPr>
    </w:p>
    <w:p w:rsidR="009163DA" w:rsidRDefault="009163DA" w:rsidP="009163DA">
      <w:pPr>
        <w:pStyle w:val="BodyText"/>
        <w:spacing w:line="240" w:lineRule="auto"/>
      </w:pPr>
      <w:r>
        <w:lastRenderedPageBreak/>
        <w:t xml:space="preserve">Officer, R., 1994, ‘The Cost of Capital of a Company under an Imputation Tax System’, </w:t>
      </w:r>
      <w:r>
        <w:rPr>
          <w:i/>
        </w:rPr>
        <w:t>Accounting and Finance</w:t>
      </w:r>
      <w:r>
        <w:t>, vol. 34, pp. 1-17.</w:t>
      </w:r>
    </w:p>
    <w:p w:rsidR="009163DA" w:rsidRPr="00BA2D42" w:rsidRDefault="009163DA" w:rsidP="00A76876">
      <w:pPr>
        <w:spacing w:after="0" w:line="240" w:lineRule="auto"/>
        <w:rPr>
          <w:rFonts w:ascii="Times New Roman" w:hAnsi="Times New Roman" w:cs="Times New Roman"/>
          <w:sz w:val="24"/>
          <w:szCs w:val="24"/>
          <w:lang w:val="en-GB"/>
        </w:rPr>
      </w:pPr>
    </w:p>
    <w:p w:rsidR="006556D8" w:rsidRPr="006556D8" w:rsidRDefault="00A866D1" w:rsidP="00BA2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Pratt, S., and Grabowski, R</w:t>
      </w:r>
      <w:r w:rsidR="006556D8">
        <w:rPr>
          <w:rFonts w:ascii="Times New Roman" w:hAnsi="Times New Roman" w:cs="Times New Roman"/>
          <w:sz w:val="24"/>
          <w:szCs w:val="24"/>
        </w:rPr>
        <w:t xml:space="preserve">., 2010, </w:t>
      </w:r>
      <w:r w:rsidR="006556D8">
        <w:rPr>
          <w:rFonts w:ascii="Times New Roman" w:hAnsi="Times New Roman" w:cs="Times New Roman"/>
          <w:i/>
          <w:sz w:val="24"/>
          <w:szCs w:val="24"/>
        </w:rPr>
        <w:t>Cost of Capita</w:t>
      </w:r>
      <w:r w:rsidR="006556D8" w:rsidRPr="006556D8">
        <w:rPr>
          <w:rFonts w:ascii="Times New Roman" w:hAnsi="Times New Roman" w:cs="Times New Roman"/>
          <w:i/>
          <w:sz w:val="24"/>
          <w:szCs w:val="24"/>
        </w:rPr>
        <w:t>l</w:t>
      </w:r>
      <w:r w:rsidR="006556D8">
        <w:rPr>
          <w:rFonts w:ascii="Times New Roman" w:hAnsi="Times New Roman" w:cs="Times New Roman"/>
          <w:sz w:val="24"/>
          <w:szCs w:val="24"/>
        </w:rPr>
        <w:t xml:space="preserve">: </w:t>
      </w:r>
      <w:r w:rsidR="006556D8" w:rsidRPr="006556D8">
        <w:rPr>
          <w:rFonts w:ascii="Times New Roman" w:hAnsi="Times New Roman" w:cs="Times New Roman"/>
          <w:i/>
          <w:sz w:val="24"/>
          <w:szCs w:val="24"/>
        </w:rPr>
        <w:t>Applications and Examples</w:t>
      </w:r>
      <w:r w:rsidR="006556D8">
        <w:rPr>
          <w:rFonts w:ascii="Times New Roman" w:hAnsi="Times New Roman" w:cs="Times New Roman"/>
          <w:sz w:val="24"/>
          <w:szCs w:val="24"/>
        </w:rPr>
        <w:t>, 4</w:t>
      </w:r>
      <w:r w:rsidR="006556D8" w:rsidRPr="006556D8">
        <w:rPr>
          <w:rFonts w:ascii="Times New Roman" w:hAnsi="Times New Roman" w:cs="Times New Roman"/>
          <w:sz w:val="24"/>
          <w:szCs w:val="24"/>
          <w:vertAlign w:val="superscript"/>
        </w:rPr>
        <w:t>th</w:t>
      </w:r>
      <w:r w:rsidR="006556D8">
        <w:rPr>
          <w:rFonts w:ascii="Times New Roman" w:hAnsi="Times New Roman" w:cs="Times New Roman"/>
          <w:sz w:val="24"/>
          <w:szCs w:val="24"/>
        </w:rPr>
        <w:t xml:space="preserve"> edition, John Wiley and Sons, Hoboken. </w:t>
      </w:r>
    </w:p>
    <w:p w:rsidR="006556D8" w:rsidRDefault="006556D8" w:rsidP="00A76876">
      <w:pPr>
        <w:spacing w:after="0" w:line="240" w:lineRule="auto"/>
        <w:rPr>
          <w:rFonts w:ascii="Times New Roman" w:hAnsi="Times New Roman" w:cs="Times New Roman"/>
          <w:sz w:val="24"/>
          <w:szCs w:val="24"/>
        </w:rPr>
      </w:pPr>
    </w:p>
    <w:p w:rsidR="007E7E0F" w:rsidRPr="007E7E0F" w:rsidRDefault="007E7E0F" w:rsidP="007E7E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SFG, 2013, </w:t>
      </w:r>
      <w:r>
        <w:rPr>
          <w:rFonts w:ascii="Times New Roman" w:hAnsi="Times New Roman" w:cs="Times New Roman"/>
          <w:i/>
          <w:sz w:val="24"/>
          <w:szCs w:val="24"/>
        </w:rPr>
        <w:t>Reconciliation of Dividend Discount Model Estimates with those Compiled by the AER</w:t>
      </w:r>
      <w:r>
        <w:rPr>
          <w:rFonts w:ascii="Times New Roman" w:hAnsi="Times New Roman" w:cs="Times New Roman"/>
          <w:sz w:val="24"/>
          <w:szCs w:val="24"/>
        </w:rPr>
        <w:t xml:space="preserve"> (</w:t>
      </w:r>
      <w:hyperlink r:id="rId75" w:history="1">
        <w:r w:rsidRPr="00AE2E85">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7E7E0F" w:rsidRDefault="007E7E0F" w:rsidP="00A76876">
      <w:pPr>
        <w:spacing w:after="0" w:line="240" w:lineRule="auto"/>
        <w:rPr>
          <w:rFonts w:ascii="Times New Roman" w:hAnsi="Times New Roman" w:cs="Times New Roman"/>
          <w:sz w:val="24"/>
          <w:szCs w:val="24"/>
        </w:rPr>
      </w:pPr>
    </w:p>
    <w:p w:rsidR="00D1192F" w:rsidRDefault="00DF22C7" w:rsidP="009C26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Treasury, </w:t>
      </w:r>
      <w:r>
        <w:rPr>
          <w:rFonts w:ascii="Times New Roman" w:hAnsi="Times New Roman" w:cs="Times New Roman"/>
          <w:i/>
          <w:sz w:val="24"/>
          <w:szCs w:val="24"/>
        </w:rPr>
        <w:t>Mid-Year Economic and Fiscal Outlook 2012-2013</w:t>
      </w:r>
      <w:r>
        <w:rPr>
          <w:rFonts w:ascii="Times New Roman" w:hAnsi="Times New Roman" w:cs="Times New Roman"/>
          <w:sz w:val="24"/>
          <w:szCs w:val="24"/>
        </w:rPr>
        <w:t xml:space="preserve"> (</w:t>
      </w:r>
      <w:hyperlink r:id="rId76" w:history="1">
        <w:r w:rsidRPr="00460FAC">
          <w:rPr>
            <w:rStyle w:val="Hyperlink"/>
            <w:rFonts w:ascii="Times New Roman" w:hAnsi="Times New Roman" w:cs="Times New Roman"/>
            <w:sz w:val="24"/>
            <w:szCs w:val="24"/>
          </w:rPr>
          <w:t>http://www.budget.gov.au/2012-13/content/myefo/download/2012-13_MYEFO.pdf</w:t>
        </w:r>
      </w:hyperlink>
      <w:r>
        <w:rPr>
          <w:rFonts w:ascii="Times New Roman" w:hAnsi="Times New Roman" w:cs="Times New Roman"/>
          <w:sz w:val="24"/>
          <w:szCs w:val="24"/>
        </w:rPr>
        <w:t xml:space="preserve"> ).</w:t>
      </w:r>
    </w:p>
    <w:p w:rsidR="009C2655" w:rsidRDefault="009C2655" w:rsidP="00A76876">
      <w:pPr>
        <w:spacing w:after="0" w:line="240" w:lineRule="auto"/>
        <w:rPr>
          <w:rFonts w:ascii="Times New Roman" w:hAnsi="Times New Roman" w:cs="Times New Roman"/>
          <w:sz w:val="24"/>
          <w:szCs w:val="24"/>
        </w:rPr>
      </w:pPr>
    </w:p>
    <w:p w:rsidR="009C2655" w:rsidRDefault="009C2655" w:rsidP="009C26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Vasicek, O. 1977, ‘An Equilibrium Characterisation of the Term Structure’, </w:t>
      </w:r>
      <w:r>
        <w:rPr>
          <w:rFonts w:ascii="Times New Roman" w:hAnsi="Times New Roman" w:cs="Times New Roman"/>
          <w:i/>
          <w:sz w:val="24"/>
          <w:szCs w:val="24"/>
        </w:rPr>
        <w:t>Journal of Financial Economics</w:t>
      </w:r>
      <w:r>
        <w:rPr>
          <w:rFonts w:ascii="Times New Roman" w:hAnsi="Times New Roman" w:cs="Times New Roman"/>
          <w:sz w:val="24"/>
          <w:szCs w:val="24"/>
        </w:rPr>
        <w:t>, vol. 5, pp. 177-188.</w:t>
      </w:r>
    </w:p>
    <w:p w:rsidR="003337F9" w:rsidRPr="009D6700" w:rsidRDefault="003337F9" w:rsidP="003337F9">
      <w:pPr>
        <w:spacing w:after="0" w:line="240" w:lineRule="auto"/>
        <w:jc w:val="both"/>
        <w:rPr>
          <w:rFonts w:ascii="Times New Roman" w:hAnsi="Times New Roman" w:cs="Times New Roman"/>
          <w:sz w:val="24"/>
          <w:szCs w:val="24"/>
          <w:lang w:val="en-GB"/>
        </w:rPr>
      </w:pPr>
    </w:p>
    <w:p w:rsidR="003337F9" w:rsidRDefault="003337F9" w:rsidP="00333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Wright, S., 2012, </w:t>
      </w:r>
      <w:r>
        <w:rPr>
          <w:rFonts w:ascii="Times New Roman" w:hAnsi="Times New Roman" w:cs="Times New Roman"/>
          <w:i/>
          <w:sz w:val="24"/>
          <w:szCs w:val="24"/>
        </w:rPr>
        <w:t>Review of Risk Free Rate and Cost of Equity Estimates</w:t>
      </w:r>
      <w:r>
        <w:rPr>
          <w:rFonts w:ascii="Times New Roman" w:hAnsi="Times New Roman" w:cs="Times New Roman"/>
          <w:sz w:val="24"/>
          <w:szCs w:val="24"/>
        </w:rPr>
        <w:t xml:space="preserve">: </w:t>
      </w:r>
      <w:r>
        <w:rPr>
          <w:rFonts w:ascii="Times New Roman" w:hAnsi="Times New Roman" w:cs="Times New Roman"/>
          <w:i/>
          <w:sz w:val="24"/>
          <w:szCs w:val="24"/>
        </w:rPr>
        <w:t>A Comparison of UK Approaches with the AER</w:t>
      </w:r>
      <w:r>
        <w:rPr>
          <w:rFonts w:ascii="Times New Roman" w:hAnsi="Times New Roman" w:cs="Times New Roman"/>
          <w:sz w:val="24"/>
          <w:szCs w:val="24"/>
        </w:rPr>
        <w:t>, report prepared for Envestra, SP AusNet, Multinet and APA (</w:t>
      </w:r>
      <w:hyperlink r:id="rId77" w:history="1">
        <w:r w:rsidRPr="00A70FB4">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3337F9" w:rsidRPr="009C2655" w:rsidRDefault="003337F9" w:rsidP="009C2655">
      <w:pPr>
        <w:spacing w:after="0" w:line="240" w:lineRule="auto"/>
        <w:jc w:val="both"/>
        <w:rPr>
          <w:rFonts w:ascii="Times New Roman" w:hAnsi="Times New Roman" w:cs="Times New Roman"/>
          <w:sz w:val="24"/>
          <w:szCs w:val="24"/>
        </w:rPr>
      </w:pPr>
    </w:p>
    <w:sectPr w:rsidR="003337F9" w:rsidRPr="009C2655" w:rsidSect="004425A5">
      <w:headerReference w:type="even" r:id="rId78"/>
      <w:headerReference w:type="default" r:id="rId79"/>
      <w:footerReference w:type="even" r:id="rId80"/>
      <w:footerReference w:type="default" r:id="rId81"/>
      <w:headerReference w:type="first" r:id="rId82"/>
      <w:footerReference w:type="first" r:id="rId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45" w:rsidRDefault="00316345" w:rsidP="00D66208">
      <w:pPr>
        <w:spacing w:after="0" w:line="240" w:lineRule="auto"/>
      </w:pPr>
      <w:r>
        <w:separator/>
      </w:r>
    </w:p>
  </w:endnote>
  <w:endnote w:type="continuationSeparator" w:id="0">
    <w:p w:rsidR="00316345" w:rsidRDefault="00316345" w:rsidP="00D6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45" w:rsidRDefault="00316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974919"/>
      <w:docPartObj>
        <w:docPartGallery w:val="Page Numbers (Bottom of Page)"/>
        <w:docPartUnique/>
      </w:docPartObj>
    </w:sdtPr>
    <w:sdtEndPr/>
    <w:sdtContent>
      <w:p w:rsidR="00316345" w:rsidRDefault="00C960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16345" w:rsidRDefault="003163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45" w:rsidRDefault="00316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45" w:rsidRDefault="00316345" w:rsidP="00D66208">
      <w:pPr>
        <w:spacing w:after="0" w:line="240" w:lineRule="auto"/>
      </w:pPr>
      <w:r>
        <w:separator/>
      </w:r>
    </w:p>
  </w:footnote>
  <w:footnote w:type="continuationSeparator" w:id="0">
    <w:p w:rsidR="00316345" w:rsidRDefault="00316345" w:rsidP="00D66208">
      <w:pPr>
        <w:spacing w:after="0" w:line="240" w:lineRule="auto"/>
      </w:pPr>
      <w:r>
        <w:continuationSeparator/>
      </w:r>
    </w:p>
  </w:footnote>
  <w:footnote w:id="1">
    <w:p w:rsidR="00316345" w:rsidRPr="00875940" w:rsidRDefault="00316345" w:rsidP="00AB5B92">
      <w:pPr>
        <w:pStyle w:val="FootnoteText"/>
        <w:jc w:val="both"/>
        <w:rPr>
          <w:lang w:val="en-US"/>
        </w:rPr>
      </w:pPr>
      <w:r>
        <w:rPr>
          <w:rStyle w:val="FootnoteReference"/>
        </w:rPr>
        <w:footnoteRef/>
      </w:r>
      <w:r>
        <w:t xml:space="preserve"> </w:t>
      </w:r>
      <w:r>
        <w:rPr>
          <w:lang w:val="en-US"/>
        </w:rPr>
        <w:t xml:space="preserve">The AER invokes Pratt and Grabowski (2010, equation (4.18)) but this equation contains the term </w:t>
      </w:r>
      <w:r w:rsidRPr="00875940">
        <w:rPr>
          <w:i/>
          <w:lang w:val="en-US"/>
        </w:rPr>
        <w:t>n</w:t>
      </w:r>
      <w:r>
        <w:rPr>
          <w:lang w:val="en-US"/>
        </w:rPr>
        <w:t xml:space="preserve"> instead of </w:t>
      </w:r>
      <w:r w:rsidRPr="00875940">
        <w:rPr>
          <w:i/>
          <w:lang w:val="en-US"/>
        </w:rPr>
        <w:t>n</w:t>
      </w:r>
      <w:r>
        <w:rPr>
          <w:lang w:val="en-US"/>
        </w:rPr>
        <w:t xml:space="preserve">-1.  The test is thus: if </w:t>
      </w:r>
      <w:r w:rsidRPr="00AB5B92">
        <w:rPr>
          <w:i/>
          <w:lang w:val="en-US"/>
        </w:rPr>
        <w:t>y</w:t>
      </w:r>
      <w:r>
        <w:rPr>
          <w:lang w:val="en-US"/>
        </w:rPr>
        <w:t xml:space="preserve"> = 1, equation (3) must collapse to equation (2), which it does.  However, Pratt and Grabowski’s equation (4.18) does not then collapse to their equation (4.14).</w:t>
      </w:r>
    </w:p>
  </w:footnote>
  <w:footnote w:id="2">
    <w:p w:rsidR="00316345" w:rsidRPr="00F67BFE" w:rsidRDefault="00316345" w:rsidP="00F67BFE">
      <w:pPr>
        <w:pStyle w:val="FootnoteText"/>
        <w:jc w:val="both"/>
        <w:rPr>
          <w:lang w:val="en-NZ"/>
        </w:rPr>
      </w:pPr>
      <w:r>
        <w:rPr>
          <w:rStyle w:val="FootnoteReference"/>
        </w:rPr>
        <w:footnoteRef/>
      </w:r>
      <w:r>
        <w:t xml:space="preserve"> </w:t>
      </w:r>
      <w:r>
        <w:rPr>
          <w:lang w:val="en-NZ"/>
        </w:rPr>
        <w:t>The figure of 7% is chosen because it represents the most extreme annual average expected growth rate across the three-year forecast period in the Bloomberg monthly figures covering the period 2006-2013 (relative to the AER’s long-term expected growth rate of 4.6%).  Choosing such a number will give rise to the greatest discrepancy between the three-stage model and its simpler alternatives.</w:t>
      </w:r>
    </w:p>
  </w:footnote>
  <w:footnote w:id="3">
    <w:p w:rsidR="00316345" w:rsidRDefault="00316345" w:rsidP="00A90D0E">
      <w:pPr>
        <w:pStyle w:val="FootnoteText"/>
        <w:jc w:val="both"/>
      </w:pPr>
      <w:r>
        <w:rPr>
          <w:rStyle w:val="FootnoteReference"/>
        </w:rPr>
        <w:footnoteRef/>
      </w:r>
      <w:r>
        <w:t xml:space="preserve"> There is also considerable confusion in SFG’s presentation of this approach.  SFG (2013, section 5) asserts that the approach merely varies the transition path to the long-run DPS growth rate (of 4.6%), with the example having this feature, but SFG (2013, page 27 and page 34) claims that the approach also estimates the long-term growth rate.  These are quite different claims.</w:t>
      </w:r>
    </w:p>
    <w:p w:rsidR="00316345" w:rsidRPr="00A90D0E" w:rsidRDefault="00316345">
      <w:pPr>
        <w:pStyle w:val="FootnoteText"/>
      </w:pPr>
    </w:p>
  </w:footnote>
  <w:footnote w:id="4">
    <w:p w:rsidR="00316345" w:rsidRDefault="00316345" w:rsidP="00534D05">
      <w:pPr>
        <w:pStyle w:val="FootnoteText"/>
        <w:jc w:val="both"/>
      </w:pPr>
      <w:r>
        <w:rPr>
          <w:rStyle w:val="FootnoteReference"/>
        </w:rPr>
        <w:footnoteRef/>
      </w:r>
      <w:r>
        <w:t xml:space="preserve"> </w:t>
      </w:r>
      <w:r w:rsidRPr="00A85AF0">
        <w:t xml:space="preserve">This does not rule out the possibility that this uniform expectation </w:t>
      </w:r>
      <w:r>
        <w:t xml:space="preserve">at any point in time </w:t>
      </w:r>
      <w:r w:rsidRPr="00A85AF0">
        <w:t>for all future years changes as one moves through time, due to changes in the market dividend yield or the expected growth rate in GDP.</w:t>
      </w:r>
    </w:p>
    <w:p w:rsidR="00316345" w:rsidRPr="002126DB" w:rsidRDefault="00316345" w:rsidP="00534D05">
      <w:pPr>
        <w:pStyle w:val="FootnoteText"/>
        <w:jc w:val="both"/>
      </w:pPr>
    </w:p>
  </w:footnote>
  <w:footnote w:id="5">
    <w:p w:rsidR="00316345" w:rsidRDefault="00316345" w:rsidP="00756886">
      <w:pPr>
        <w:pStyle w:val="FootnoteText"/>
        <w:jc w:val="both"/>
      </w:pPr>
      <w:r>
        <w:rPr>
          <w:rStyle w:val="FootnoteReference"/>
        </w:rPr>
        <w:footnoteRef/>
      </w:r>
      <w:r>
        <w:t xml:space="preserve"> I assume that the “expectations hypothesis” is valid merely to simplify the analysis here.  The empirical evidence strongly indicates that interest rates also impound liquidity premiums (McCulloch, 1975; Fama, 1984).</w:t>
      </w:r>
    </w:p>
    <w:p w:rsidR="00316345" w:rsidRPr="00241D59" w:rsidRDefault="00316345">
      <w:pPr>
        <w:pStyle w:val="FootnoteText"/>
      </w:pPr>
    </w:p>
  </w:footnote>
  <w:footnote w:id="6">
    <w:p w:rsidR="00316345" w:rsidRPr="00A85AF0" w:rsidRDefault="00316345" w:rsidP="00534D05">
      <w:pPr>
        <w:pStyle w:val="FootnoteText"/>
        <w:jc w:val="both"/>
      </w:pPr>
      <w:r w:rsidRPr="00A85AF0">
        <w:rPr>
          <w:rStyle w:val="FootnoteReference"/>
        </w:rPr>
        <w:footnoteRef/>
      </w:r>
      <w:r w:rsidRPr="00A85AF0">
        <w:t xml:space="preserve"> This property of interest rates is called “mean reversion” and is considered to be sufficiently uncontroversial in the academic literature that it underlies all modern theoretical modelling of interest rate movements (Vasicek, 1977; Cox et al, 1985; Hull and White, 1990).  The intuition is thus: high (real) rates curtail demand for and increase supply of funds, thereby pulling rates down, whilst low rates incite demand for and reduce supply of fu</w:t>
      </w:r>
      <w:r>
        <w:t>nds, thereby pulling rates up.</w:t>
      </w:r>
    </w:p>
  </w:footnote>
  <w:footnote w:id="7">
    <w:p w:rsidR="00316345" w:rsidRPr="00E912C0" w:rsidRDefault="00316345" w:rsidP="00276B27">
      <w:pPr>
        <w:pStyle w:val="FootnoteText"/>
        <w:jc w:val="both"/>
      </w:pPr>
      <w:r w:rsidRPr="00E912C0">
        <w:rPr>
          <w:rStyle w:val="FootnoteReference"/>
        </w:rPr>
        <w:footnoteRef/>
      </w:r>
      <w:r w:rsidRPr="00E912C0">
        <w:t xml:space="preserve"> Debt capital might also be used by firms but the assumption that, at any point in time, the subsequently expected cost of equity is the same for all future years implies that the leverage ratio remains fixed over time.</w:t>
      </w:r>
    </w:p>
  </w:footnote>
  <w:footnote w:id="8">
    <w:p w:rsidR="00316345" w:rsidRPr="00EA1D69" w:rsidRDefault="00316345">
      <w:pPr>
        <w:pStyle w:val="FootnoteText"/>
        <w:rPr>
          <w:lang w:val="en-NZ"/>
        </w:rPr>
      </w:pPr>
      <w:r>
        <w:rPr>
          <w:rStyle w:val="FootnoteReference"/>
        </w:rPr>
        <w:footnoteRef/>
      </w:r>
      <w:r>
        <w:t xml:space="preserve"> This is based on </w:t>
      </w:r>
      <w:r>
        <w:rPr>
          <w:lang w:val="en-NZ"/>
        </w:rPr>
        <w:t>RBA data (Table G2) from September 1996 to September 2013 (</w:t>
      </w:r>
      <w:hyperlink r:id="rId1" w:history="1">
        <w:r w:rsidRPr="00EA4643">
          <w:rPr>
            <w:rStyle w:val="Hyperlink"/>
            <w:lang w:val="en-NZ"/>
          </w:rPr>
          <w:t>www.rba.gov.au</w:t>
        </w:r>
      </w:hyperlink>
      <w:r>
        <w:rPr>
          <w:lang w:val="en-N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45" w:rsidRDefault="00316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45" w:rsidRDefault="003163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45" w:rsidRDefault="00316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DDF"/>
    <w:multiLevelType w:val="hybridMultilevel"/>
    <w:tmpl w:val="C9FC79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BF55692"/>
    <w:multiLevelType w:val="multilevel"/>
    <w:tmpl w:val="D24ADB4A"/>
    <w:lvl w:ilvl="0">
      <w:start w:val="1987"/>
      <w:numFmt w:val="decimal"/>
      <w:lvlText w:val="%1"/>
      <w:lvlJc w:val="left"/>
      <w:pPr>
        <w:tabs>
          <w:tab w:val="num" w:pos="855"/>
        </w:tabs>
        <w:ind w:left="855" w:hanging="855"/>
      </w:pPr>
      <w:rPr>
        <w:rFonts w:hint="default"/>
      </w:rPr>
    </w:lvl>
    <w:lvl w:ilvl="1">
      <w:start w:val="97"/>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
    <w:nsid w:val="1AFE35F4"/>
    <w:multiLevelType w:val="multilevel"/>
    <w:tmpl w:val="2C4CE048"/>
    <w:lvl w:ilvl="0">
      <w:start w:val="1979"/>
      <w:numFmt w:val="decimal"/>
      <w:lvlText w:val="%1"/>
      <w:lvlJc w:val="left"/>
      <w:pPr>
        <w:tabs>
          <w:tab w:val="num" w:pos="855"/>
        </w:tabs>
        <w:ind w:left="855" w:hanging="855"/>
      </w:pPr>
      <w:rPr>
        <w:rFonts w:hint="default"/>
      </w:rPr>
    </w:lvl>
    <w:lvl w:ilvl="1">
      <w:start w:val="80"/>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
    <w:nsid w:val="1F0E18E6"/>
    <w:multiLevelType w:val="hybridMultilevel"/>
    <w:tmpl w:val="C9BCE3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A7739A9"/>
    <w:multiLevelType w:val="multilevel"/>
    <w:tmpl w:val="487E94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ABF69F4"/>
    <w:multiLevelType w:val="hybridMultilevel"/>
    <w:tmpl w:val="F3468E82"/>
    <w:lvl w:ilvl="0" w:tplc="B49EC3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DC15F06"/>
    <w:multiLevelType w:val="hybridMultilevel"/>
    <w:tmpl w:val="BF5A8BB8"/>
    <w:lvl w:ilvl="0" w:tplc="CEDEC472">
      <w:start w:val="1"/>
      <w:numFmt w:val="lowerLetter"/>
      <w:lvlText w:val="(%1)"/>
      <w:lvlJc w:val="left"/>
      <w:pPr>
        <w:tabs>
          <w:tab w:val="num" w:pos="531"/>
        </w:tabs>
        <w:ind w:left="531" w:hanging="360"/>
      </w:pPr>
      <w:rPr>
        <w:rFonts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nsid w:val="42F02668"/>
    <w:multiLevelType w:val="hybridMultilevel"/>
    <w:tmpl w:val="6CBE38D0"/>
    <w:lvl w:ilvl="0" w:tplc="CADABC9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6961164"/>
    <w:multiLevelType w:val="hybridMultilevel"/>
    <w:tmpl w:val="FE18727C"/>
    <w:lvl w:ilvl="0" w:tplc="30581E98">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600900D0"/>
    <w:multiLevelType w:val="multilevel"/>
    <w:tmpl w:val="B40495A4"/>
    <w:lvl w:ilvl="0">
      <w:start w:val="1984"/>
      <w:numFmt w:val="decimal"/>
      <w:lvlText w:val="%1"/>
      <w:lvlJc w:val="left"/>
      <w:pPr>
        <w:tabs>
          <w:tab w:val="num" w:pos="855"/>
        </w:tabs>
        <w:ind w:left="855" w:hanging="855"/>
      </w:pPr>
      <w:rPr>
        <w:rFonts w:hint="default"/>
      </w:rPr>
    </w:lvl>
    <w:lvl w:ilvl="1">
      <w:start w:val="87"/>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0">
    <w:nsid w:val="609E58EA"/>
    <w:multiLevelType w:val="hybridMultilevel"/>
    <w:tmpl w:val="D7BE1A3E"/>
    <w:lvl w:ilvl="0" w:tplc="EC2E20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1E557BC"/>
    <w:multiLevelType w:val="multilevel"/>
    <w:tmpl w:val="1D165436"/>
    <w:lvl w:ilvl="0">
      <w:start w:val="1977"/>
      <w:numFmt w:val="decimal"/>
      <w:lvlText w:val="%1"/>
      <w:lvlJc w:val="left"/>
      <w:pPr>
        <w:tabs>
          <w:tab w:val="num" w:pos="855"/>
        </w:tabs>
        <w:ind w:left="855" w:hanging="855"/>
      </w:pPr>
      <w:rPr>
        <w:rFonts w:hint="default"/>
      </w:rPr>
    </w:lvl>
    <w:lvl w:ilvl="1">
      <w:start w:val="78"/>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2">
    <w:nsid w:val="68320310"/>
    <w:multiLevelType w:val="hybridMultilevel"/>
    <w:tmpl w:val="86D06EEA"/>
    <w:lvl w:ilvl="0" w:tplc="78420458">
      <w:start w:val="1"/>
      <w:numFmt w:val="decimal"/>
      <w:lvlText w:val="%1."/>
      <w:lvlJc w:val="left"/>
      <w:pPr>
        <w:ind w:left="360" w:hanging="360"/>
      </w:pPr>
      <w:rPr>
        <w:rFonts w:hint="default"/>
        <w:lang w:val="en-NZ"/>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1384366"/>
    <w:multiLevelType w:val="multilevel"/>
    <w:tmpl w:val="DFF43C60"/>
    <w:lvl w:ilvl="0">
      <w:start w:val="1980"/>
      <w:numFmt w:val="decimal"/>
      <w:lvlText w:val="%1"/>
      <w:lvlJc w:val="left"/>
      <w:pPr>
        <w:tabs>
          <w:tab w:val="num" w:pos="870"/>
        </w:tabs>
        <w:ind w:left="870" w:hanging="870"/>
      </w:pPr>
      <w:rPr>
        <w:rFonts w:hint="default"/>
      </w:rPr>
    </w:lvl>
    <w:lvl w:ilvl="1">
      <w:start w:val="84"/>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030"/>
        </w:tabs>
        <w:ind w:left="3030" w:hanging="87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
    <w:nsid w:val="778328A1"/>
    <w:multiLevelType w:val="multilevel"/>
    <w:tmpl w:val="B096F4C6"/>
    <w:lvl w:ilvl="0">
      <w:start w:val="1997"/>
      <w:numFmt w:val="decimal"/>
      <w:lvlText w:val="%1"/>
      <w:lvlJc w:val="left"/>
      <w:pPr>
        <w:tabs>
          <w:tab w:val="num" w:pos="1035"/>
        </w:tabs>
        <w:ind w:left="1035" w:hanging="1035"/>
      </w:pPr>
      <w:rPr>
        <w:rFonts w:hint="default"/>
      </w:rPr>
    </w:lvl>
    <w:lvl w:ilvl="1">
      <w:start w:val="2001"/>
      <w:numFmt w:val="decimal"/>
      <w:lvlText w:val="%1-%2"/>
      <w:lvlJc w:val="left"/>
      <w:pPr>
        <w:tabs>
          <w:tab w:val="num" w:pos="1080"/>
        </w:tabs>
        <w:ind w:left="1080" w:hanging="1035"/>
      </w:pPr>
      <w:rPr>
        <w:rFonts w:hint="default"/>
      </w:rPr>
    </w:lvl>
    <w:lvl w:ilvl="2">
      <w:start w:val="1"/>
      <w:numFmt w:val="decimal"/>
      <w:lvlText w:val="%1-%2.%3"/>
      <w:lvlJc w:val="left"/>
      <w:pPr>
        <w:tabs>
          <w:tab w:val="num" w:pos="1125"/>
        </w:tabs>
        <w:ind w:left="1125" w:hanging="1035"/>
      </w:pPr>
      <w:rPr>
        <w:rFonts w:hint="default"/>
      </w:rPr>
    </w:lvl>
    <w:lvl w:ilvl="3">
      <w:start w:val="1"/>
      <w:numFmt w:val="decimal"/>
      <w:lvlText w:val="%1-%2.%3.%4"/>
      <w:lvlJc w:val="left"/>
      <w:pPr>
        <w:tabs>
          <w:tab w:val="num" w:pos="1170"/>
        </w:tabs>
        <w:ind w:left="1170" w:hanging="1035"/>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num w:numId="1">
    <w:abstractNumId w:val="0"/>
  </w:num>
  <w:num w:numId="2">
    <w:abstractNumId w:val="4"/>
  </w:num>
  <w:num w:numId="3">
    <w:abstractNumId w:val="6"/>
  </w:num>
  <w:num w:numId="4">
    <w:abstractNumId w:val="12"/>
  </w:num>
  <w:num w:numId="5">
    <w:abstractNumId w:val="10"/>
  </w:num>
  <w:num w:numId="6">
    <w:abstractNumId w:val="7"/>
  </w:num>
  <w:num w:numId="7">
    <w:abstractNumId w:val="8"/>
  </w:num>
  <w:num w:numId="8">
    <w:abstractNumId w:val="5"/>
  </w:num>
  <w:num w:numId="9">
    <w:abstractNumId w:val="3"/>
  </w:num>
  <w:num w:numId="10">
    <w:abstractNumId w:val="11"/>
  </w:num>
  <w:num w:numId="11">
    <w:abstractNumId w:val="2"/>
  </w:num>
  <w:num w:numId="12">
    <w:abstractNumId w:val="13"/>
  </w:num>
  <w:num w:numId="13">
    <w:abstractNumId w:val="9"/>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currentname" w:val="C:\Documents and Settings\ssand\Local Settings\Temporary Internet Files\Content.Outlook\LK9ZWHUA\AER-2013-DGM Methodology Review (2).docx"/>
  </w:docVars>
  <w:rsids>
    <w:rsidRoot w:val="00526C0E"/>
    <w:rsid w:val="000008E5"/>
    <w:rsid w:val="00001900"/>
    <w:rsid w:val="00002061"/>
    <w:rsid w:val="000022A9"/>
    <w:rsid w:val="000038AE"/>
    <w:rsid w:val="0000524A"/>
    <w:rsid w:val="000057A8"/>
    <w:rsid w:val="00005C81"/>
    <w:rsid w:val="000064C9"/>
    <w:rsid w:val="0001013E"/>
    <w:rsid w:val="000102D0"/>
    <w:rsid w:val="00010E5D"/>
    <w:rsid w:val="00012ABA"/>
    <w:rsid w:val="00012EED"/>
    <w:rsid w:val="000135C8"/>
    <w:rsid w:val="00013C4F"/>
    <w:rsid w:val="00013D96"/>
    <w:rsid w:val="00014A1F"/>
    <w:rsid w:val="0001777C"/>
    <w:rsid w:val="00020FBD"/>
    <w:rsid w:val="000238D4"/>
    <w:rsid w:val="00024155"/>
    <w:rsid w:val="000243BE"/>
    <w:rsid w:val="000264C0"/>
    <w:rsid w:val="00032211"/>
    <w:rsid w:val="00032465"/>
    <w:rsid w:val="00032B0A"/>
    <w:rsid w:val="000334B0"/>
    <w:rsid w:val="00033B81"/>
    <w:rsid w:val="00034B78"/>
    <w:rsid w:val="00034F06"/>
    <w:rsid w:val="00035451"/>
    <w:rsid w:val="00036CCE"/>
    <w:rsid w:val="00037511"/>
    <w:rsid w:val="000377AA"/>
    <w:rsid w:val="00037BEC"/>
    <w:rsid w:val="00040B3E"/>
    <w:rsid w:val="00041292"/>
    <w:rsid w:val="000414CF"/>
    <w:rsid w:val="0004247D"/>
    <w:rsid w:val="00043381"/>
    <w:rsid w:val="000435EB"/>
    <w:rsid w:val="00043BF0"/>
    <w:rsid w:val="00050E2C"/>
    <w:rsid w:val="000519F7"/>
    <w:rsid w:val="00052CFD"/>
    <w:rsid w:val="000546D8"/>
    <w:rsid w:val="000554BA"/>
    <w:rsid w:val="000557AD"/>
    <w:rsid w:val="00056341"/>
    <w:rsid w:val="00057734"/>
    <w:rsid w:val="00062005"/>
    <w:rsid w:val="00063276"/>
    <w:rsid w:val="00064C0D"/>
    <w:rsid w:val="0006590E"/>
    <w:rsid w:val="00065C55"/>
    <w:rsid w:val="000668E4"/>
    <w:rsid w:val="0006748F"/>
    <w:rsid w:val="00070125"/>
    <w:rsid w:val="000707B5"/>
    <w:rsid w:val="00071E6B"/>
    <w:rsid w:val="00073AC4"/>
    <w:rsid w:val="00075C4E"/>
    <w:rsid w:val="00077510"/>
    <w:rsid w:val="0007754D"/>
    <w:rsid w:val="00077684"/>
    <w:rsid w:val="00077A5E"/>
    <w:rsid w:val="0008245B"/>
    <w:rsid w:val="000835DC"/>
    <w:rsid w:val="000862A6"/>
    <w:rsid w:val="000869F2"/>
    <w:rsid w:val="00087456"/>
    <w:rsid w:val="000879F8"/>
    <w:rsid w:val="00087F87"/>
    <w:rsid w:val="00091AD4"/>
    <w:rsid w:val="00092806"/>
    <w:rsid w:val="0009323D"/>
    <w:rsid w:val="00093831"/>
    <w:rsid w:val="00094DB8"/>
    <w:rsid w:val="0009594A"/>
    <w:rsid w:val="000966EB"/>
    <w:rsid w:val="000A06C6"/>
    <w:rsid w:val="000A0B05"/>
    <w:rsid w:val="000A0C97"/>
    <w:rsid w:val="000A3F1D"/>
    <w:rsid w:val="000A68B4"/>
    <w:rsid w:val="000A7C56"/>
    <w:rsid w:val="000A7CAD"/>
    <w:rsid w:val="000B0BD0"/>
    <w:rsid w:val="000B198B"/>
    <w:rsid w:val="000B2A0D"/>
    <w:rsid w:val="000B2A9A"/>
    <w:rsid w:val="000B2DF2"/>
    <w:rsid w:val="000B7C23"/>
    <w:rsid w:val="000C0101"/>
    <w:rsid w:val="000C04E0"/>
    <w:rsid w:val="000C0EC4"/>
    <w:rsid w:val="000C1885"/>
    <w:rsid w:val="000C18AF"/>
    <w:rsid w:val="000C256C"/>
    <w:rsid w:val="000C3906"/>
    <w:rsid w:val="000C46DA"/>
    <w:rsid w:val="000C630C"/>
    <w:rsid w:val="000C7B31"/>
    <w:rsid w:val="000C7F60"/>
    <w:rsid w:val="000D0DEF"/>
    <w:rsid w:val="000D11CF"/>
    <w:rsid w:val="000D21C9"/>
    <w:rsid w:val="000D2B22"/>
    <w:rsid w:val="000D301B"/>
    <w:rsid w:val="000D3097"/>
    <w:rsid w:val="000D4B20"/>
    <w:rsid w:val="000D5F3D"/>
    <w:rsid w:val="000D7110"/>
    <w:rsid w:val="000E1937"/>
    <w:rsid w:val="000E1CE7"/>
    <w:rsid w:val="000E27C5"/>
    <w:rsid w:val="000E2CFF"/>
    <w:rsid w:val="000E39AD"/>
    <w:rsid w:val="000E4703"/>
    <w:rsid w:val="000E75C4"/>
    <w:rsid w:val="000E7B1B"/>
    <w:rsid w:val="000E7B42"/>
    <w:rsid w:val="000F09F4"/>
    <w:rsid w:val="000F18FE"/>
    <w:rsid w:val="000F2DA6"/>
    <w:rsid w:val="000F530A"/>
    <w:rsid w:val="000F5698"/>
    <w:rsid w:val="0010163D"/>
    <w:rsid w:val="00101AF2"/>
    <w:rsid w:val="00101D01"/>
    <w:rsid w:val="00102C10"/>
    <w:rsid w:val="00104B36"/>
    <w:rsid w:val="0010549C"/>
    <w:rsid w:val="001113B4"/>
    <w:rsid w:val="00111D16"/>
    <w:rsid w:val="00114C8C"/>
    <w:rsid w:val="00114D93"/>
    <w:rsid w:val="00117514"/>
    <w:rsid w:val="00120AC0"/>
    <w:rsid w:val="001212C6"/>
    <w:rsid w:val="00121C8E"/>
    <w:rsid w:val="00121CEA"/>
    <w:rsid w:val="001257BD"/>
    <w:rsid w:val="00127E51"/>
    <w:rsid w:val="00132C16"/>
    <w:rsid w:val="0013305E"/>
    <w:rsid w:val="00133647"/>
    <w:rsid w:val="001347D0"/>
    <w:rsid w:val="001371B6"/>
    <w:rsid w:val="00137A36"/>
    <w:rsid w:val="00137F11"/>
    <w:rsid w:val="00137F7A"/>
    <w:rsid w:val="00141021"/>
    <w:rsid w:val="00141D12"/>
    <w:rsid w:val="00141EC0"/>
    <w:rsid w:val="00146960"/>
    <w:rsid w:val="00147123"/>
    <w:rsid w:val="001473AB"/>
    <w:rsid w:val="0015027F"/>
    <w:rsid w:val="00150D2D"/>
    <w:rsid w:val="0015150C"/>
    <w:rsid w:val="001518FD"/>
    <w:rsid w:val="0015274A"/>
    <w:rsid w:val="00155078"/>
    <w:rsid w:val="001572C6"/>
    <w:rsid w:val="0016124C"/>
    <w:rsid w:val="00161348"/>
    <w:rsid w:val="00161BF2"/>
    <w:rsid w:val="001633A2"/>
    <w:rsid w:val="00163A12"/>
    <w:rsid w:val="00163D36"/>
    <w:rsid w:val="0016463D"/>
    <w:rsid w:val="00164F34"/>
    <w:rsid w:val="00165466"/>
    <w:rsid w:val="0016690C"/>
    <w:rsid w:val="001670D9"/>
    <w:rsid w:val="00170556"/>
    <w:rsid w:val="00170D7B"/>
    <w:rsid w:val="00171CF9"/>
    <w:rsid w:val="00171D0E"/>
    <w:rsid w:val="00171D3E"/>
    <w:rsid w:val="001720E3"/>
    <w:rsid w:val="0017502F"/>
    <w:rsid w:val="001770AF"/>
    <w:rsid w:val="0017780B"/>
    <w:rsid w:val="00177D74"/>
    <w:rsid w:val="00182E5B"/>
    <w:rsid w:val="00183482"/>
    <w:rsid w:val="00187E7D"/>
    <w:rsid w:val="00187F43"/>
    <w:rsid w:val="00190CEF"/>
    <w:rsid w:val="001913DC"/>
    <w:rsid w:val="00192A69"/>
    <w:rsid w:val="0019387F"/>
    <w:rsid w:val="0019427B"/>
    <w:rsid w:val="00195CA7"/>
    <w:rsid w:val="00196CFE"/>
    <w:rsid w:val="00197990"/>
    <w:rsid w:val="001A06FF"/>
    <w:rsid w:val="001A13F9"/>
    <w:rsid w:val="001A31C1"/>
    <w:rsid w:val="001A325D"/>
    <w:rsid w:val="001A44C5"/>
    <w:rsid w:val="001A59FF"/>
    <w:rsid w:val="001A5C3B"/>
    <w:rsid w:val="001B04C1"/>
    <w:rsid w:val="001B0F96"/>
    <w:rsid w:val="001B1E2A"/>
    <w:rsid w:val="001B24A4"/>
    <w:rsid w:val="001B296F"/>
    <w:rsid w:val="001B2C89"/>
    <w:rsid w:val="001B3E71"/>
    <w:rsid w:val="001B657B"/>
    <w:rsid w:val="001B6ADC"/>
    <w:rsid w:val="001B7068"/>
    <w:rsid w:val="001B7277"/>
    <w:rsid w:val="001C0EAD"/>
    <w:rsid w:val="001C20BA"/>
    <w:rsid w:val="001C2B91"/>
    <w:rsid w:val="001C3B57"/>
    <w:rsid w:val="001C4BD6"/>
    <w:rsid w:val="001C6053"/>
    <w:rsid w:val="001C69E2"/>
    <w:rsid w:val="001D2951"/>
    <w:rsid w:val="001D566C"/>
    <w:rsid w:val="001D5D84"/>
    <w:rsid w:val="001D5DBB"/>
    <w:rsid w:val="001D7C3E"/>
    <w:rsid w:val="001E08D3"/>
    <w:rsid w:val="001E08FE"/>
    <w:rsid w:val="001E313B"/>
    <w:rsid w:val="001E3C6B"/>
    <w:rsid w:val="001E7B8D"/>
    <w:rsid w:val="001F042D"/>
    <w:rsid w:val="001F50C2"/>
    <w:rsid w:val="001F50FD"/>
    <w:rsid w:val="001F546C"/>
    <w:rsid w:val="001F6BD7"/>
    <w:rsid w:val="001F6C14"/>
    <w:rsid w:val="001F7184"/>
    <w:rsid w:val="00200383"/>
    <w:rsid w:val="00200948"/>
    <w:rsid w:val="002017E6"/>
    <w:rsid w:val="0020267B"/>
    <w:rsid w:val="00205016"/>
    <w:rsid w:val="00210F7F"/>
    <w:rsid w:val="00212397"/>
    <w:rsid w:val="002126DB"/>
    <w:rsid w:val="00215897"/>
    <w:rsid w:val="0021617F"/>
    <w:rsid w:val="00216FBA"/>
    <w:rsid w:val="00217681"/>
    <w:rsid w:val="00220B04"/>
    <w:rsid w:val="00222A89"/>
    <w:rsid w:val="00222CC5"/>
    <w:rsid w:val="00223D87"/>
    <w:rsid w:val="002254BF"/>
    <w:rsid w:val="00226055"/>
    <w:rsid w:val="0022790D"/>
    <w:rsid w:val="00230E3A"/>
    <w:rsid w:val="00232807"/>
    <w:rsid w:val="0023285E"/>
    <w:rsid w:val="00233160"/>
    <w:rsid w:val="00234EF3"/>
    <w:rsid w:val="00236DF2"/>
    <w:rsid w:val="0023746F"/>
    <w:rsid w:val="0024158F"/>
    <w:rsid w:val="002417C8"/>
    <w:rsid w:val="00241D59"/>
    <w:rsid w:val="00243006"/>
    <w:rsid w:val="002437AF"/>
    <w:rsid w:val="00243937"/>
    <w:rsid w:val="00245314"/>
    <w:rsid w:val="0024599E"/>
    <w:rsid w:val="002466AD"/>
    <w:rsid w:val="00246C74"/>
    <w:rsid w:val="002477F8"/>
    <w:rsid w:val="00250B3B"/>
    <w:rsid w:val="00252537"/>
    <w:rsid w:val="00252B31"/>
    <w:rsid w:val="00253CA5"/>
    <w:rsid w:val="002551A9"/>
    <w:rsid w:val="00256F0D"/>
    <w:rsid w:val="0025783C"/>
    <w:rsid w:val="0026006E"/>
    <w:rsid w:val="00262311"/>
    <w:rsid w:val="00264009"/>
    <w:rsid w:val="002654BC"/>
    <w:rsid w:val="002665D7"/>
    <w:rsid w:val="002668C6"/>
    <w:rsid w:val="002669AC"/>
    <w:rsid w:val="00266ECB"/>
    <w:rsid w:val="00267630"/>
    <w:rsid w:val="0026788E"/>
    <w:rsid w:val="002678D6"/>
    <w:rsid w:val="002709CF"/>
    <w:rsid w:val="002713CB"/>
    <w:rsid w:val="00271BE8"/>
    <w:rsid w:val="00271F4A"/>
    <w:rsid w:val="002727AC"/>
    <w:rsid w:val="0027281B"/>
    <w:rsid w:val="00272DA0"/>
    <w:rsid w:val="00273197"/>
    <w:rsid w:val="00274F2F"/>
    <w:rsid w:val="00276B27"/>
    <w:rsid w:val="002770A2"/>
    <w:rsid w:val="00277B6A"/>
    <w:rsid w:val="00280F94"/>
    <w:rsid w:val="00282A33"/>
    <w:rsid w:val="0028310F"/>
    <w:rsid w:val="002834BC"/>
    <w:rsid w:val="00283DDF"/>
    <w:rsid w:val="00283F3E"/>
    <w:rsid w:val="002840AD"/>
    <w:rsid w:val="002844F5"/>
    <w:rsid w:val="002858EB"/>
    <w:rsid w:val="0029007D"/>
    <w:rsid w:val="0029032D"/>
    <w:rsid w:val="0029044D"/>
    <w:rsid w:val="00292D33"/>
    <w:rsid w:val="00294103"/>
    <w:rsid w:val="00294C83"/>
    <w:rsid w:val="00295B5D"/>
    <w:rsid w:val="002A3B1C"/>
    <w:rsid w:val="002A4DD5"/>
    <w:rsid w:val="002A4F8B"/>
    <w:rsid w:val="002A55E0"/>
    <w:rsid w:val="002A778F"/>
    <w:rsid w:val="002B2B62"/>
    <w:rsid w:val="002B2F42"/>
    <w:rsid w:val="002B3BC1"/>
    <w:rsid w:val="002B4013"/>
    <w:rsid w:val="002B46A1"/>
    <w:rsid w:val="002B4C96"/>
    <w:rsid w:val="002B4F8D"/>
    <w:rsid w:val="002B68BF"/>
    <w:rsid w:val="002B708C"/>
    <w:rsid w:val="002C3147"/>
    <w:rsid w:val="002C36E9"/>
    <w:rsid w:val="002C5697"/>
    <w:rsid w:val="002C7C3C"/>
    <w:rsid w:val="002D09B9"/>
    <w:rsid w:val="002D281D"/>
    <w:rsid w:val="002D30F3"/>
    <w:rsid w:val="002D31C0"/>
    <w:rsid w:val="002D3DEA"/>
    <w:rsid w:val="002D5A62"/>
    <w:rsid w:val="002E0136"/>
    <w:rsid w:val="002E0369"/>
    <w:rsid w:val="002E1317"/>
    <w:rsid w:val="002E302C"/>
    <w:rsid w:val="002E32FE"/>
    <w:rsid w:val="002E3F61"/>
    <w:rsid w:val="002E57BC"/>
    <w:rsid w:val="002E5FDF"/>
    <w:rsid w:val="002E6167"/>
    <w:rsid w:val="002E64E0"/>
    <w:rsid w:val="002E6E03"/>
    <w:rsid w:val="002E7391"/>
    <w:rsid w:val="002F0AEC"/>
    <w:rsid w:val="002F0E64"/>
    <w:rsid w:val="002F27BE"/>
    <w:rsid w:val="002F320E"/>
    <w:rsid w:val="002F3CF4"/>
    <w:rsid w:val="002F58E6"/>
    <w:rsid w:val="002F6BBB"/>
    <w:rsid w:val="002F7988"/>
    <w:rsid w:val="002F7C7A"/>
    <w:rsid w:val="00300CD1"/>
    <w:rsid w:val="0030136C"/>
    <w:rsid w:val="00301D16"/>
    <w:rsid w:val="003058C3"/>
    <w:rsid w:val="00306070"/>
    <w:rsid w:val="0030628F"/>
    <w:rsid w:val="0031258B"/>
    <w:rsid w:val="0031471A"/>
    <w:rsid w:val="00315BB7"/>
    <w:rsid w:val="00316345"/>
    <w:rsid w:val="00316998"/>
    <w:rsid w:val="003229B3"/>
    <w:rsid w:val="00322C24"/>
    <w:rsid w:val="003268FC"/>
    <w:rsid w:val="00326E78"/>
    <w:rsid w:val="0033141C"/>
    <w:rsid w:val="003317D5"/>
    <w:rsid w:val="00332C98"/>
    <w:rsid w:val="0033311D"/>
    <w:rsid w:val="003337F9"/>
    <w:rsid w:val="00333C78"/>
    <w:rsid w:val="00333FD6"/>
    <w:rsid w:val="0033458D"/>
    <w:rsid w:val="003346A0"/>
    <w:rsid w:val="003350F8"/>
    <w:rsid w:val="003358FE"/>
    <w:rsid w:val="00340875"/>
    <w:rsid w:val="00340907"/>
    <w:rsid w:val="00340C7F"/>
    <w:rsid w:val="00341396"/>
    <w:rsid w:val="00341E8F"/>
    <w:rsid w:val="00342649"/>
    <w:rsid w:val="003436DC"/>
    <w:rsid w:val="003438FC"/>
    <w:rsid w:val="00343C26"/>
    <w:rsid w:val="00344490"/>
    <w:rsid w:val="003463CC"/>
    <w:rsid w:val="00346C20"/>
    <w:rsid w:val="003477DA"/>
    <w:rsid w:val="00350D9A"/>
    <w:rsid w:val="00354B32"/>
    <w:rsid w:val="0035675D"/>
    <w:rsid w:val="003570D6"/>
    <w:rsid w:val="003572A4"/>
    <w:rsid w:val="003577B4"/>
    <w:rsid w:val="00357EB5"/>
    <w:rsid w:val="00361879"/>
    <w:rsid w:val="00361AC1"/>
    <w:rsid w:val="003622EC"/>
    <w:rsid w:val="00362562"/>
    <w:rsid w:val="00364EC5"/>
    <w:rsid w:val="003652EE"/>
    <w:rsid w:val="00365ADC"/>
    <w:rsid w:val="0036661A"/>
    <w:rsid w:val="00367B2D"/>
    <w:rsid w:val="00367EE7"/>
    <w:rsid w:val="00370777"/>
    <w:rsid w:val="00370F92"/>
    <w:rsid w:val="0037123A"/>
    <w:rsid w:val="0037170A"/>
    <w:rsid w:val="00371B56"/>
    <w:rsid w:val="00371BAF"/>
    <w:rsid w:val="003720DA"/>
    <w:rsid w:val="003722F0"/>
    <w:rsid w:val="00372FA7"/>
    <w:rsid w:val="00374C1D"/>
    <w:rsid w:val="003753DF"/>
    <w:rsid w:val="00375692"/>
    <w:rsid w:val="00375875"/>
    <w:rsid w:val="00380F3F"/>
    <w:rsid w:val="00381006"/>
    <w:rsid w:val="00383D82"/>
    <w:rsid w:val="00384679"/>
    <w:rsid w:val="003856C9"/>
    <w:rsid w:val="003863AD"/>
    <w:rsid w:val="003914AE"/>
    <w:rsid w:val="003917DF"/>
    <w:rsid w:val="00392169"/>
    <w:rsid w:val="00393CBF"/>
    <w:rsid w:val="0039408A"/>
    <w:rsid w:val="00394D98"/>
    <w:rsid w:val="00397688"/>
    <w:rsid w:val="003A137C"/>
    <w:rsid w:val="003A1FC2"/>
    <w:rsid w:val="003A323F"/>
    <w:rsid w:val="003A48F6"/>
    <w:rsid w:val="003A55A2"/>
    <w:rsid w:val="003A6723"/>
    <w:rsid w:val="003A7215"/>
    <w:rsid w:val="003A7D8D"/>
    <w:rsid w:val="003A7ED8"/>
    <w:rsid w:val="003B0191"/>
    <w:rsid w:val="003B1726"/>
    <w:rsid w:val="003B1A81"/>
    <w:rsid w:val="003B1E95"/>
    <w:rsid w:val="003B3B87"/>
    <w:rsid w:val="003B5672"/>
    <w:rsid w:val="003B56D8"/>
    <w:rsid w:val="003B63A3"/>
    <w:rsid w:val="003C1442"/>
    <w:rsid w:val="003C3107"/>
    <w:rsid w:val="003C5900"/>
    <w:rsid w:val="003D0426"/>
    <w:rsid w:val="003D0828"/>
    <w:rsid w:val="003D1728"/>
    <w:rsid w:val="003D1A21"/>
    <w:rsid w:val="003D2162"/>
    <w:rsid w:val="003D34A7"/>
    <w:rsid w:val="003D5EC0"/>
    <w:rsid w:val="003D62C2"/>
    <w:rsid w:val="003D69D9"/>
    <w:rsid w:val="003E0D58"/>
    <w:rsid w:val="003E20DE"/>
    <w:rsid w:val="003E294F"/>
    <w:rsid w:val="003E2B21"/>
    <w:rsid w:val="003E39C3"/>
    <w:rsid w:val="003E4635"/>
    <w:rsid w:val="003E5651"/>
    <w:rsid w:val="003E5700"/>
    <w:rsid w:val="003E6A85"/>
    <w:rsid w:val="003F0737"/>
    <w:rsid w:val="003F35E3"/>
    <w:rsid w:val="003F4C28"/>
    <w:rsid w:val="003F5486"/>
    <w:rsid w:val="00400EA7"/>
    <w:rsid w:val="00400FA6"/>
    <w:rsid w:val="004017ED"/>
    <w:rsid w:val="00401891"/>
    <w:rsid w:val="0040504E"/>
    <w:rsid w:val="00406318"/>
    <w:rsid w:val="004076CF"/>
    <w:rsid w:val="00407F27"/>
    <w:rsid w:val="00407F8D"/>
    <w:rsid w:val="00411CA1"/>
    <w:rsid w:val="00413DAA"/>
    <w:rsid w:val="00413EC1"/>
    <w:rsid w:val="00414311"/>
    <w:rsid w:val="00414AFC"/>
    <w:rsid w:val="00416E1E"/>
    <w:rsid w:val="004175E5"/>
    <w:rsid w:val="00417C87"/>
    <w:rsid w:val="00421696"/>
    <w:rsid w:val="00421FA1"/>
    <w:rsid w:val="0042564E"/>
    <w:rsid w:val="00425D56"/>
    <w:rsid w:val="00426A98"/>
    <w:rsid w:val="00427167"/>
    <w:rsid w:val="004272C2"/>
    <w:rsid w:val="0042797D"/>
    <w:rsid w:val="004325BE"/>
    <w:rsid w:val="00434244"/>
    <w:rsid w:val="00434335"/>
    <w:rsid w:val="00434C67"/>
    <w:rsid w:val="00434D1F"/>
    <w:rsid w:val="00435A94"/>
    <w:rsid w:val="00435BF9"/>
    <w:rsid w:val="00435C48"/>
    <w:rsid w:val="00435FBE"/>
    <w:rsid w:val="004365D7"/>
    <w:rsid w:val="00437D45"/>
    <w:rsid w:val="0044009F"/>
    <w:rsid w:val="00440943"/>
    <w:rsid w:val="00441C3E"/>
    <w:rsid w:val="004425A5"/>
    <w:rsid w:val="00442DD2"/>
    <w:rsid w:val="004435F4"/>
    <w:rsid w:val="00445B4D"/>
    <w:rsid w:val="0045378E"/>
    <w:rsid w:val="004617C8"/>
    <w:rsid w:val="0046246C"/>
    <w:rsid w:val="004628EF"/>
    <w:rsid w:val="00462AD7"/>
    <w:rsid w:val="004671F4"/>
    <w:rsid w:val="00467BF9"/>
    <w:rsid w:val="0047039F"/>
    <w:rsid w:val="004703AB"/>
    <w:rsid w:val="00470B7F"/>
    <w:rsid w:val="00470F92"/>
    <w:rsid w:val="00471333"/>
    <w:rsid w:val="004717FC"/>
    <w:rsid w:val="00472840"/>
    <w:rsid w:val="00474053"/>
    <w:rsid w:val="00474C1C"/>
    <w:rsid w:val="00477A65"/>
    <w:rsid w:val="00481677"/>
    <w:rsid w:val="0048363D"/>
    <w:rsid w:val="0048536F"/>
    <w:rsid w:val="0048694D"/>
    <w:rsid w:val="0049006A"/>
    <w:rsid w:val="004914DD"/>
    <w:rsid w:val="0049215D"/>
    <w:rsid w:val="004921B0"/>
    <w:rsid w:val="00492306"/>
    <w:rsid w:val="00492DAE"/>
    <w:rsid w:val="004932F8"/>
    <w:rsid w:val="004961A4"/>
    <w:rsid w:val="00497607"/>
    <w:rsid w:val="00497957"/>
    <w:rsid w:val="004A03AC"/>
    <w:rsid w:val="004A1F54"/>
    <w:rsid w:val="004A4D29"/>
    <w:rsid w:val="004A6851"/>
    <w:rsid w:val="004A7872"/>
    <w:rsid w:val="004A7A59"/>
    <w:rsid w:val="004B0E85"/>
    <w:rsid w:val="004B1244"/>
    <w:rsid w:val="004B2C4E"/>
    <w:rsid w:val="004B4C18"/>
    <w:rsid w:val="004B54C3"/>
    <w:rsid w:val="004B7329"/>
    <w:rsid w:val="004B74B7"/>
    <w:rsid w:val="004B7567"/>
    <w:rsid w:val="004B7C52"/>
    <w:rsid w:val="004C0080"/>
    <w:rsid w:val="004C0EB8"/>
    <w:rsid w:val="004C1003"/>
    <w:rsid w:val="004C1134"/>
    <w:rsid w:val="004C1ACD"/>
    <w:rsid w:val="004C23A0"/>
    <w:rsid w:val="004C24D9"/>
    <w:rsid w:val="004C29D1"/>
    <w:rsid w:val="004C30B6"/>
    <w:rsid w:val="004C360B"/>
    <w:rsid w:val="004C3DD9"/>
    <w:rsid w:val="004C4BC3"/>
    <w:rsid w:val="004C5131"/>
    <w:rsid w:val="004C5516"/>
    <w:rsid w:val="004D14F6"/>
    <w:rsid w:val="004D1E84"/>
    <w:rsid w:val="004D34EE"/>
    <w:rsid w:val="004D6A05"/>
    <w:rsid w:val="004D6C1F"/>
    <w:rsid w:val="004D737B"/>
    <w:rsid w:val="004E0045"/>
    <w:rsid w:val="004E0460"/>
    <w:rsid w:val="004E23F6"/>
    <w:rsid w:val="004E44C2"/>
    <w:rsid w:val="004E4A75"/>
    <w:rsid w:val="004E5E16"/>
    <w:rsid w:val="004E5F68"/>
    <w:rsid w:val="004F0C06"/>
    <w:rsid w:val="004F0C7F"/>
    <w:rsid w:val="004F3E4F"/>
    <w:rsid w:val="004F4C91"/>
    <w:rsid w:val="004F4D58"/>
    <w:rsid w:val="004F6480"/>
    <w:rsid w:val="004F726F"/>
    <w:rsid w:val="00501C32"/>
    <w:rsid w:val="00502FAF"/>
    <w:rsid w:val="00503211"/>
    <w:rsid w:val="00503DF3"/>
    <w:rsid w:val="00504638"/>
    <w:rsid w:val="005054B7"/>
    <w:rsid w:val="00505C03"/>
    <w:rsid w:val="005072A8"/>
    <w:rsid w:val="00510334"/>
    <w:rsid w:val="00510E07"/>
    <w:rsid w:val="00511B4A"/>
    <w:rsid w:val="00513014"/>
    <w:rsid w:val="005156D7"/>
    <w:rsid w:val="005174F0"/>
    <w:rsid w:val="005176C8"/>
    <w:rsid w:val="00521A39"/>
    <w:rsid w:val="00522145"/>
    <w:rsid w:val="005245D2"/>
    <w:rsid w:val="00526C0E"/>
    <w:rsid w:val="00526F30"/>
    <w:rsid w:val="005317BF"/>
    <w:rsid w:val="005333F9"/>
    <w:rsid w:val="0053390B"/>
    <w:rsid w:val="0053471E"/>
    <w:rsid w:val="005349CC"/>
    <w:rsid w:val="00534C9D"/>
    <w:rsid w:val="00534D05"/>
    <w:rsid w:val="00535C2E"/>
    <w:rsid w:val="005365DE"/>
    <w:rsid w:val="00537DFD"/>
    <w:rsid w:val="00541A01"/>
    <w:rsid w:val="0054389D"/>
    <w:rsid w:val="0054475F"/>
    <w:rsid w:val="00545312"/>
    <w:rsid w:val="00546627"/>
    <w:rsid w:val="00546F21"/>
    <w:rsid w:val="0054782A"/>
    <w:rsid w:val="005518C9"/>
    <w:rsid w:val="00554551"/>
    <w:rsid w:val="005552B4"/>
    <w:rsid w:val="00555C40"/>
    <w:rsid w:val="005601C9"/>
    <w:rsid w:val="00560F69"/>
    <w:rsid w:val="00561255"/>
    <w:rsid w:val="0056276B"/>
    <w:rsid w:val="00565900"/>
    <w:rsid w:val="00565AF7"/>
    <w:rsid w:val="00566771"/>
    <w:rsid w:val="00567232"/>
    <w:rsid w:val="005722D0"/>
    <w:rsid w:val="005727BE"/>
    <w:rsid w:val="005741CF"/>
    <w:rsid w:val="00576355"/>
    <w:rsid w:val="00576F07"/>
    <w:rsid w:val="005771D7"/>
    <w:rsid w:val="00577F32"/>
    <w:rsid w:val="00580FE5"/>
    <w:rsid w:val="00581776"/>
    <w:rsid w:val="00581C07"/>
    <w:rsid w:val="00583D0A"/>
    <w:rsid w:val="00584543"/>
    <w:rsid w:val="00584873"/>
    <w:rsid w:val="00586D61"/>
    <w:rsid w:val="0059194D"/>
    <w:rsid w:val="00591CB3"/>
    <w:rsid w:val="005943F9"/>
    <w:rsid w:val="00594CA6"/>
    <w:rsid w:val="005963C5"/>
    <w:rsid w:val="00597882"/>
    <w:rsid w:val="005A04B6"/>
    <w:rsid w:val="005A09AE"/>
    <w:rsid w:val="005A0C2D"/>
    <w:rsid w:val="005A0E20"/>
    <w:rsid w:val="005A39C2"/>
    <w:rsid w:val="005A49C0"/>
    <w:rsid w:val="005A5357"/>
    <w:rsid w:val="005B08E2"/>
    <w:rsid w:val="005B158B"/>
    <w:rsid w:val="005B1812"/>
    <w:rsid w:val="005B3AFE"/>
    <w:rsid w:val="005B5570"/>
    <w:rsid w:val="005B713D"/>
    <w:rsid w:val="005B7616"/>
    <w:rsid w:val="005C0299"/>
    <w:rsid w:val="005C0C1F"/>
    <w:rsid w:val="005C236B"/>
    <w:rsid w:val="005C34A7"/>
    <w:rsid w:val="005C5E81"/>
    <w:rsid w:val="005C6E49"/>
    <w:rsid w:val="005C73D0"/>
    <w:rsid w:val="005D038F"/>
    <w:rsid w:val="005D0A24"/>
    <w:rsid w:val="005D1E1B"/>
    <w:rsid w:val="005D3143"/>
    <w:rsid w:val="005D3A00"/>
    <w:rsid w:val="005D3A92"/>
    <w:rsid w:val="005D48E6"/>
    <w:rsid w:val="005D4C80"/>
    <w:rsid w:val="005D51B1"/>
    <w:rsid w:val="005D5553"/>
    <w:rsid w:val="005D5F6D"/>
    <w:rsid w:val="005D6210"/>
    <w:rsid w:val="005D623D"/>
    <w:rsid w:val="005D7E1C"/>
    <w:rsid w:val="005E1C60"/>
    <w:rsid w:val="005E33DC"/>
    <w:rsid w:val="005E3494"/>
    <w:rsid w:val="005E7266"/>
    <w:rsid w:val="005E7630"/>
    <w:rsid w:val="005F0867"/>
    <w:rsid w:val="005F1775"/>
    <w:rsid w:val="005F1990"/>
    <w:rsid w:val="005F2ED0"/>
    <w:rsid w:val="005F36AB"/>
    <w:rsid w:val="005F38B4"/>
    <w:rsid w:val="005F3F0D"/>
    <w:rsid w:val="005F5B7C"/>
    <w:rsid w:val="005F6031"/>
    <w:rsid w:val="005F685D"/>
    <w:rsid w:val="005F6998"/>
    <w:rsid w:val="006005E8"/>
    <w:rsid w:val="00600926"/>
    <w:rsid w:val="0060320D"/>
    <w:rsid w:val="00603625"/>
    <w:rsid w:val="006064C4"/>
    <w:rsid w:val="00607DE8"/>
    <w:rsid w:val="006104FE"/>
    <w:rsid w:val="00610B23"/>
    <w:rsid w:val="00610C2D"/>
    <w:rsid w:val="006116A5"/>
    <w:rsid w:val="006124AF"/>
    <w:rsid w:val="006153C4"/>
    <w:rsid w:val="0062124E"/>
    <w:rsid w:val="00623C5E"/>
    <w:rsid w:val="00624429"/>
    <w:rsid w:val="00625319"/>
    <w:rsid w:val="00625DF3"/>
    <w:rsid w:val="0062724D"/>
    <w:rsid w:val="00627C7B"/>
    <w:rsid w:val="0063015C"/>
    <w:rsid w:val="00630C61"/>
    <w:rsid w:val="006323C6"/>
    <w:rsid w:val="0063320E"/>
    <w:rsid w:val="00636729"/>
    <w:rsid w:val="00636BBB"/>
    <w:rsid w:val="00641327"/>
    <w:rsid w:val="0064490B"/>
    <w:rsid w:val="00645191"/>
    <w:rsid w:val="00645604"/>
    <w:rsid w:val="00645724"/>
    <w:rsid w:val="0064705E"/>
    <w:rsid w:val="00647F37"/>
    <w:rsid w:val="0065037C"/>
    <w:rsid w:val="00650CCC"/>
    <w:rsid w:val="00654701"/>
    <w:rsid w:val="006556D8"/>
    <w:rsid w:val="00655A71"/>
    <w:rsid w:val="00656CDC"/>
    <w:rsid w:val="006607C2"/>
    <w:rsid w:val="00660F07"/>
    <w:rsid w:val="006624A7"/>
    <w:rsid w:val="00667062"/>
    <w:rsid w:val="00667DAF"/>
    <w:rsid w:val="00667E12"/>
    <w:rsid w:val="00667FE2"/>
    <w:rsid w:val="006702F6"/>
    <w:rsid w:val="006729DC"/>
    <w:rsid w:val="006775C5"/>
    <w:rsid w:val="00677EF1"/>
    <w:rsid w:val="00680D6F"/>
    <w:rsid w:val="00680FFF"/>
    <w:rsid w:val="0068306E"/>
    <w:rsid w:val="006831BC"/>
    <w:rsid w:val="00683BB2"/>
    <w:rsid w:val="006864D6"/>
    <w:rsid w:val="00686ECF"/>
    <w:rsid w:val="006918BB"/>
    <w:rsid w:val="00694148"/>
    <w:rsid w:val="006941DF"/>
    <w:rsid w:val="006941F3"/>
    <w:rsid w:val="00694722"/>
    <w:rsid w:val="006956CF"/>
    <w:rsid w:val="006A0039"/>
    <w:rsid w:val="006A53E3"/>
    <w:rsid w:val="006A57E8"/>
    <w:rsid w:val="006A5FDE"/>
    <w:rsid w:val="006A6014"/>
    <w:rsid w:val="006B03EF"/>
    <w:rsid w:val="006B10F0"/>
    <w:rsid w:val="006B36B8"/>
    <w:rsid w:val="006B4698"/>
    <w:rsid w:val="006B5EC4"/>
    <w:rsid w:val="006B654E"/>
    <w:rsid w:val="006B669B"/>
    <w:rsid w:val="006B677D"/>
    <w:rsid w:val="006B7966"/>
    <w:rsid w:val="006C19BB"/>
    <w:rsid w:val="006C1EDB"/>
    <w:rsid w:val="006C268D"/>
    <w:rsid w:val="006C2EBA"/>
    <w:rsid w:val="006C46EF"/>
    <w:rsid w:val="006C4CDF"/>
    <w:rsid w:val="006C5EB5"/>
    <w:rsid w:val="006C5F94"/>
    <w:rsid w:val="006C61F3"/>
    <w:rsid w:val="006C6325"/>
    <w:rsid w:val="006C661D"/>
    <w:rsid w:val="006D24DA"/>
    <w:rsid w:val="006D2B57"/>
    <w:rsid w:val="006D3729"/>
    <w:rsid w:val="006D3774"/>
    <w:rsid w:val="006E03DA"/>
    <w:rsid w:val="006E1086"/>
    <w:rsid w:val="006E3502"/>
    <w:rsid w:val="006E402F"/>
    <w:rsid w:val="006E4472"/>
    <w:rsid w:val="006E475D"/>
    <w:rsid w:val="006E6679"/>
    <w:rsid w:val="006E6C4F"/>
    <w:rsid w:val="006E72E6"/>
    <w:rsid w:val="006E7977"/>
    <w:rsid w:val="006E7D18"/>
    <w:rsid w:val="006E7E1E"/>
    <w:rsid w:val="006F294D"/>
    <w:rsid w:val="006F448D"/>
    <w:rsid w:val="006F4506"/>
    <w:rsid w:val="006F462B"/>
    <w:rsid w:val="006F46D6"/>
    <w:rsid w:val="006F4C9F"/>
    <w:rsid w:val="006F58EA"/>
    <w:rsid w:val="006F5BFD"/>
    <w:rsid w:val="00701354"/>
    <w:rsid w:val="00701B4C"/>
    <w:rsid w:val="00701E03"/>
    <w:rsid w:val="00702976"/>
    <w:rsid w:val="0070468E"/>
    <w:rsid w:val="007061BC"/>
    <w:rsid w:val="0070708B"/>
    <w:rsid w:val="00707A50"/>
    <w:rsid w:val="007115F2"/>
    <w:rsid w:val="00711635"/>
    <w:rsid w:val="00712B71"/>
    <w:rsid w:val="007153E9"/>
    <w:rsid w:val="00716602"/>
    <w:rsid w:val="00717655"/>
    <w:rsid w:val="00720FF6"/>
    <w:rsid w:val="00722372"/>
    <w:rsid w:val="0072451C"/>
    <w:rsid w:val="00725079"/>
    <w:rsid w:val="007254BD"/>
    <w:rsid w:val="007263B5"/>
    <w:rsid w:val="00727392"/>
    <w:rsid w:val="007325B5"/>
    <w:rsid w:val="007326D4"/>
    <w:rsid w:val="00732AF4"/>
    <w:rsid w:val="00732CD7"/>
    <w:rsid w:val="00733A4D"/>
    <w:rsid w:val="007377EE"/>
    <w:rsid w:val="00742845"/>
    <w:rsid w:val="00743676"/>
    <w:rsid w:val="00744765"/>
    <w:rsid w:val="00744D0A"/>
    <w:rsid w:val="00744F27"/>
    <w:rsid w:val="00746564"/>
    <w:rsid w:val="00747023"/>
    <w:rsid w:val="00747836"/>
    <w:rsid w:val="007507BA"/>
    <w:rsid w:val="0075373D"/>
    <w:rsid w:val="00754247"/>
    <w:rsid w:val="0075476F"/>
    <w:rsid w:val="00755938"/>
    <w:rsid w:val="00756886"/>
    <w:rsid w:val="00757D12"/>
    <w:rsid w:val="0076019B"/>
    <w:rsid w:val="00760F80"/>
    <w:rsid w:val="0076429F"/>
    <w:rsid w:val="007642A2"/>
    <w:rsid w:val="00766777"/>
    <w:rsid w:val="007679D3"/>
    <w:rsid w:val="00770040"/>
    <w:rsid w:val="00770C78"/>
    <w:rsid w:val="00773094"/>
    <w:rsid w:val="00773678"/>
    <w:rsid w:val="00773C08"/>
    <w:rsid w:val="007744B9"/>
    <w:rsid w:val="007765CD"/>
    <w:rsid w:val="007767D5"/>
    <w:rsid w:val="00783C89"/>
    <w:rsid w:val="007841F5"/>
    <w:rsid w:val="00784205"/>
    <w:rsid w:val="007858B6"/>
    <w:rsid w:val="00786BFB"/>
    <w:rsid w:val="00787CBE"/>
    <w:rsid w:val="00787D88"/>
    <w:rsid w:val="00790175"/>
    <w:rsid w:val="007909DA"/>
    <w:rsid w:val="00791323"/>
    <w:rsid w:val="007920B3"/>
    <w:rsid w:val="00795DEC"/>
    <w:rsid w:val="00797D28"/>
    <w:rsid w:val="007A2651"/>
    <w:rsid w:val="007A3D61"/>
    <w:rsid w:val="007A4743"/>
    <w:rsid w:val="007A48A6"/>
    <w:rsid w:val="007A4A37"/>
    <w:rsid w:val="007A540F"/>
    <w:rsid w:val="007B06AA"/>
    <w:rsid w:val="007B25BC"/>
    <w:rsid w:val="007B25F6"/>
    <w:rsid w:val="007B5037"/>
    <w:rsid w:val="007B51B0"/>
    <w:rsid w:val="007B5419"/>
    <w:rsid w:val="007B5BBA"/>
    <w:rsid w:val="007C23AD"/>
    <w:rsid w:val="007C278D"/>
    <w:rsid w:val="007C3550"/>
    <w:rsid w:val="007C4C43"/>
    <w:rsid w:val="007C4E64"/>
    <w:rsid w:val="007C520B"/>
    <w:rsid w:val="007D00EF"/>
    <w:rsid w:val="007D1C1C"/>
    <w:rsid w:val="007D20C0"/>
    <w:rsid w:val="007D3426"/>
    <w:rsid w:val="007D39B7"/>
    <w:rsid w:val="007D4875"/>
    <w:rsid w:val="007D4AD7"/>
    <w:rsid w:val="007D4E5E"/>
    <w:rsid w:val="007D5842"/>
    <w:rsid w:val="007D5AB2"/>
    <w:rsid w:val="007D66A1"/>
    <w:rsid w:val="007D76B1"/>
    <w:rsid w:val="007E03FA"/>
    <w:rsid w:val="007E0C74"/>
    <w:rsid w:val="007E0EAC"/>
    <w:rsid w:val="007E0F24"/>
    <w:rsid w:val="007E244E"/>
    <w:rsid w:val="007E3289"/>
    <w:rsid w:val="007E330B"/>
    <w:rsid w:val="007E65D9"/>
    <w:rsid w:val="007E7D23"/>
    <w:rsid w:val="007E7E0F"/>
    <w:rsid w:val="007F014B"/>
    <w:rsid w:val="007F0849"/>
    <w:rsid w:val="007F1879"/>
    <w:rsid w:val="007F1E76"/>
    <w:rsid w:val="007F1F32"/>
    <w:rsid w:val="007F2639"/>
    <w:rsid w:val="007F27F8"/>
    <w:rsid w:val="007F2F78"/>
    <w:rsid w:val="007F34F3"/>
    <w:rsid w:val="007F4D67"/>
    <w:rsid w:val="007F531B"/>
    <w:rsid w:val="007F67B3"/>
    <w:rsid w:val="007F751F"/>
    <w:rsid w:val="0080069D"/>
    <w:rsid w:val="008015C8"/>
    <w:rsid w:val="008034EA"/>
    <w:rsid w:val="00803786"/>
    <w:rsid w:val="00803D93"/>
    <w:rsid w:val="0081039D"/>
    <w:rsid w:val="00810950"/>
    <w:rsid w:val="0081184E"/>
    <w:rsid w:val="008122C9"/>
    <w:rsid w:val="008127AA"/>
    <w:rsid w:val="00813003"/>
    <w:rsid w:val="008141A3"/>
    <w:rsid w:val="00814922"/>
    <w:rsid w:val="00815754"/>
    <w:rsid w:val="0081584F"/>
    <w:rsid w:val="00817C67"/>
    <w:rsid w:val="00817F8F"/>
    <w:rsid w:val="0082783C"/>
    <w:rsid w:val="008318D5"/>
    <w:rsid w:val="0083205E"/>
    <w:rsid w:val="00832220"/>
    <w:rsid w:val="00832A6A"/>
    <w:rsid w:val="0083555F"/>
    <w:rsid w:val="00835BA5"/>
    <w:rsid w:val="008366D7"/>
    <w:rsid w:val="008378A6"/>
    <w:rsid w:val="008400D5"/>
    <w:rsid w:val="0084061D"/>
    <w:rsid w:val="00840910"/>
    <w:rsid w:val="00842E85"/>
    <w:rsid w:val="00842E9F"/>
    <w:rsid w:val="00843485"/>
    <w:rsid w:val="0084578D"/>
    <w:rsid w:val="00847257"/>
    <w:rsid w:val="008477FA"/>
    <w:rsid w:val="00851CE7"/>
    <w:rsid w:val="00852657"/>
    <w:rsid w:val="0085674F"/>
    <w:rsid w:val="0085775F"/>
    <w:rsid w:val="008600D7"/>
    <w:rsid w:val="008605DD"/>
    <w:rsid w:val="0086160A"/>
    <w:rsid w:val="008628EC"/>
    <w:rsid w:val="00866213"/>
    <w:rsid w:val="008665F7"/>
    <w:rsid w:val="008669DB"/>
    <w:rsid w:val="00866D53"/>
    <w:rsid w:val="00867801"/>
    <w:rsid w:val="00867A31"/>
    <w:rsid w:val="00870268"/>
    <w:rsid w:val="0087132D"/>
    <w:rsid w:val="00871F2B"/>
    <w:rsid w:val="008733D7"/>
    <w:rsid w:val="00875940"/>
    <w:rsid w:val="00877282"/>
    <w:rsid w:val="008815F4"/>
    <w:rsid w:val="00882938"/>
    <w:rsid w:val="00883118"/>
    <w:rsid w:val="008834F5"/>
    <w:rsid w:val="00883744"/>
    <w:rsid w:val="008839B7"/>
    <w:rsid w:val="0088498F"/>
    <w:rsid w:val="008849B8"/>
    <w:rsid w:val="00885327"/>
    <w:rsid w:val="00885B81"/>
    <w:rsid w:val="008869AE"/>
    <w:rsid w:val="00886FA0"/>
    <w:rsid w:val="008904F3"/>
    <w:rsid w:val="00890518"/>
    <w:rsid w:val="00891BCD"/>
    <w:rsid w:val="008947FB"/>
    <w:rsid w:val="00896190"/>
    <w:rsid w:val="00896A66"/>
    <w:rsid w:val="00897766"/>
    <w:rsid w:val="008977E0"/>
    <w:rsid w:val="008A046A"/>
    <w:rsid w:val="008A117B"/>
    <w:rsid w:val="008A1351"/>
    <w:rsid w:val="008A227A"/>
    <w:rsid w:val="008A22ED"/>
    <w:rsid w:val="008A362B"/>
    <w:rsid w:val="008A5A52"/>
    <w:rsid w:val="008A788C"/>
    <w:rsid w:val="008B26FE"/>
    <w:rsid w:val="008B313B"/>
    <w:rsid w:val="008B46AD"/>
    <w:rsid w:val="008B5F2B"/>
    <w:rsid w:val="008B6276"/>
    <w:rsid w:val="008B66A1"/>
    <w:rsid w:val="008B7368"/>
    <w:rsid w:val="008C1442"/>
    <w:rsid w:val="008C1A45"/>
    <w:rsid w:val="008C1AFB"/>
    <w:rsid w:val="008C1D4D"/>
    <w:rsid w:val="008C2F42"/>
    <w:rsid w:val="008C3CD9"/>
    <w:rsid w:val="008C4177"/>
    <w:rsid w:val="008C6369"/>
    <w:rsid w:val="008C6631"/>
    <w:rsid w:val="008C6B54"/>
    <w:rsid w:val="008C751B"/>
    <w:rsid w:val="008D1171"/>
    <w:rsid w:val="008D3BBC"/>
    <w:rsid w:val="008D3E2E"/>
    <w:rsid w:val="008D7C09"/>
    <w:rsid w:val="008E04BA"/>
    <w:rsid w:val="008E0C42"/>
    <w:rsid w:val="008E1CF6"/>
    <w:rsid w:val="008E3ED3"/>
    <w:rsid w:val="008E3EE6"/>
    <w:rsid w:val="008E56B5"/>
    <w:rsid w:val="008E6AB0"/>
    <w:rsid w:val="008E7DAD"/>
    <w:rsid w:val="008F1779"/>
    <w:rsid w:val="008F18D9"/>
    <w:rsid w:val="008F21CA"/>
    <w:rsid w:val="008F5E6C"/>
    <w:rsid w:val="008F6E16"/>
    <w:rsid w:val="008F73A0"/>
    <w:rsid w:val="008F759D"/>
    <w:rsid w:val="00900CCE"/>
    <w:rsid w:val="009033B0"/>
    <w:rsid w:val="009039A8"/>
    <w:rsid w:val="009047F5"/>
    <w:rsid w:val="00906852"/>
    <w:rsid w:val="00906A0B"/>
    <w:rsid w:val="00906A9C"/>
    <w:rsid w:val="00907A7C"/>
    <w:rsid w:val="00907F27"/>
    <w:rsid w:val="00910296"/>
    <w:rsid w:val="00915725"/>
    <w:rsid w:val="00915C99"/>
    <w:rsid w:val="009163DA"/>
    <w:rsid w:val="00917789"/>
    <w:rsid w:val="00917CC9"/>
    <w:rsid w:val="00922B4B"/>
    <w:rsid w:val="00922DC1"/>
    <w:rsid w:val="009238B0"/>
    <w:rsid w:val="0092432B"/>
    <w:rsid w:val="0092534A"/>
    <w:rsid w:val="009261C4"/>
    <w:rsid w:val="00926384"/>
    <w:rsid w:val="00926850"/>
    <w:rsid w:val="00926B8A"/>
    <w:rsid w:val="00927F78"/>
    <w:rsid w:val="00931165"/>
    <w:rsid w:val="0093403F"/>
    <w:rsid w:val="009341AF"/>
    <w:rsid w:val="00934C70"/>
    <w:rsid w:val="00935714"/>
    <w:rsid w:val="0093781A"/>
    <w:rsid w:val="00937DDB"/>
    <w:rsid w:val="00941AC9"/>
    <w:rsid w:val="00944143"/>
    <w:rsid w:val="00944D1D"/>
    <w:rsid w:val="0094762F"/>
    <w:rsid w:val="00947AEF"/>
    <w:rsid w:val="00947E5E"/>
    <w:rsid w:val="00953B1D"/>
    <w:rsid w:val="00953CDD"/>
    <w:rsid w:val="00954CF7"/>
    <w:rsid w:val="00955D33"/>
    <w:rsid w:val="00956314"/>
    <w:rsid w:val="00957994"/>
    <w:rsid w:val="00962E58"/>
    <w:rsid w:val="00962F56"/>
    <w:rsid w:val="00965AB1"/>
    <w:rsid w:val="00966028"/>
    <w:rsid w:val="009661C4"/>
    <w:rsid w:val="00966CBD"/>
    <w:rsid w:val="009676F4"/>
    <w:rsid w:val="009706E5"/>
    <w:rsid w:val="009714D8"/>
    <w:rsid w:val="00971B40"/>
    <w:rsid w:val="00971D54"/>
    <w:rsid w:val="00972970"/>
    <w:rsid w:val="00972CE7"/>
    <w:rsid w:val="0097318C"/>
    <w:rsid w:val="00973F12"/>
    <w:rsid w:val="00974748"/>
    <w:rsid w:val="0097632F"/>
    <w:rsid w:val="0097662C"/>
    <w:rsid w:val="00976BCC"/>
    <w:rsid w:val="00980BFF"/>
    <w:rsid w:val="00981FA6"/>
    <w:rsid w:val="009858DA"/>
    <w:rsid w:val="00986567"/>
    <w:rsid w:val="00986A55"/>
    <w:rsid w:val="00987012"/>
    <w:rsid w:val="00987F03"/>
    <w:rsid w:val="00992B36"/>
    <w:rsid w:val="00993195"/>
    <w:rsid w:val="009935C1"/>
    <w:rsid w:val="00994CC7"/>
    <w:rsid w:val="00994FF3"/>
    <w:rsid w:val="00997964"/>
    <w:rsid w:val="009A01F2"/>
    <w:rsid w:val="009A0CF7"/>
    <w:rsid w:val="009A3B6A"/>
    <w:rsid w:val="009A3E9D"/>
    <w:rsid w:val="009A4919"/>
    <w:rsid w:val="009A4AB6"/>
    <w:rsid w:val="009A725B"/>
    <w:rsid w:val="009B3627"/>
    <w:rsid w:val="009B4394"/>
    <w:rsid w:val="009B5524"/>
    <w:rsid w:val="009B65CD"/>
    <w:rsid w:val="009B675D"/>
    <w:rsid w:val="009B6DAD"/>
    <w:rsid w:val="009B776A"/>
    <w:rsid w:val="009C2655"/>
    <w:rsid w:val="009C368A"/>
    <w:rsid w:val="009C51D4"/>
    <w:rsid w:val="009C5F68"/>
    <w:rsid w:val="009C6DA7"/>
    <w:rsid w:val="009D08F4"/>
    <w:rsid w:val="009D3362"/>
    <w:rsid w:val="009D3C19"/>
    <w:rsid w:val="009D5F64"/>
    <w:rsid w:val="009D5FE5"/>
    <w:rsid w:val="009D74A5"/>
    <w:rsid w:val="009D74F2"/>
    <w:rsid w:val="009D7DF8"/>
    <w:rsid w:val="009E173A"/>
    <w:rsid w:val="009E1846"/>
    <w:rsid w:val="009E204B"/>
    <w:rsid w:val="009E457B"/>
    <w:rsid w:val="009E5D80"/>
    <w:rsid w:val="009E6DD9"/>
    <w:rsid w:val="009E7F5A"/>
    <w:rsid w:val="009F0F9D"/>
    <w:rsid w:val="009F4C29"/>
    <w:rsid w:val="009F4D11"/>
    <w:rsid w:val="009F5492"/>
    <w:rsid w:val="009F5E58"/>
    <w:rsid w:val="009F6CB9"/>
    <w:rsid w:val="009F7D9A"/>
    <w:rsid w:val="00A00A0F"/>
    <w:rsid w:val="00A00AFC"/>
    <w:rsid w:val="00A00E5D"/>
    <w:rsid w:val="00A01FCA"/>
    <w:rsid w:val="00A0282E"/>
    <w:rsid w:val="00A04AD8"/>
    <w:rsid w:val="00A05838"/>
    <w:rsid w:val="00A06D29"/>
    <w:rsid w:val="00A06EDD"/>
    <w:rsid w:val="00A1054D"/>
    <w:rsid w:val="00A1076B"/>
    <w:rsid w:val="00A127CD"/>
    <w:rsid w:val="00A21FFA"/>
    <w:rsid w:val="00A23746"/>
    <w:rsid w:val="00A23E0A"/>
    <w:rsid w:val="00A2512C"/>
    <w:rsid w:val="00A262E5"/>
    <w:rsid w:val="00A26DF3"/>
    <w:rsid w:val="00A27575"/>
    <w:rsid w:val="00A30392"/>
    <w:rsid w:val="00A32134"/>
    <w:rsid w:val="00A3229C"/>
    <w:rsid w:val="00A328DC"/>
    <w:rsid w:val="00A32A01"/>
    <w:rsid w:val="00A32AD8"/>
    <w:rsid w:val="00A34503"/>
    <w:rsid w:val="00A3554D"/>
    <w:rsid w:val="00A356BD"/>
    <w:rsid w:val="00A4025C"/>
    <w:rsid w:val="00A4288F"/>
    <w:rsid w:val="00A42E71"/>
    <w:rsid w:val="00A43EE0"/>
    <w:rsid w:val="00A46384"/>
    <w:rsid w:val="00A504DB"/>
    <w:rsid w:val="00A50BFE"/>
    <w:rsid w:val="00A51B9D"/>
    <w:rsid w:val="00A53859"/>
    <w:rsid w:val="00A56B21"/>
    <w:rsid w:val="00A56CBF"/>
    <w:rsid w:val="00A5712B"/>
    <w:rsid w:val="00A605E2"/>
    <w:rsid w:val="00A60972"/>
    <w:rsid w:val="00A60AD9"/>
    <w:rsid w:val="00A62406"/>
    <w:rsid w:val="00A637C1"/>
    <w:rsid w:val="00A65D48"/>
    <w:rsid w:val="00A66119"/>
    <w:rsid w:val="00A72720"/>
    <w:rsid w:val="00A7286F"/>
    <w:rsid w:val="00A745A7"/>
    <w:rsid w:val="00A747C9"/>
    <w:rsid w:val="00A747F9"/>
    <w:rsid w:val="00A74BA8"/>
    <w:rsid w:val="00A76876"/>
    <w:rsid w:val="00A77EC6"/>
    <w:rsid w:val="00A80998"/>
    <w:rsid w:val="00A83BAD"/>
    <w:rsid w:val="00A855CF"/>
    <w:rsid w:val="00A85AF0"/>
    <w:rsid w:val="00A866D1"/>
    <w:rsid w:val="00A86C8D"/>
    <w:rsid w:val="00A87446"/>
    <w:rsid w:val="00A87742"/>
    <w:rsid w:val="00A90D0E"/>
    <w:rsid w:val="00A93E3E"/>
    <w:rsid w:val="00A946AD"/>
    <w:rsid w:val="00A96CF3"/>
    <w:rsid w:val="00AA23C8"/>
    <w:rsid w:val="00AA3DBF"/>
    <w:rsid w:val="00AA451D"/>
    <w:rsid w:val="00AA5F9E"/>
    <w:rsid w:val="00AA6754"/>
    <w:rsid w:val="00AA7DA8"/>
    <w:rsid w:val="00AB070E"/>
    <w:rsid w:val="00AB165C"/>
    <w:rsid w:val="00AB1ADE"/>
    <w:rsid w:val="00AB1BE7"/>
    <w:rsid w:val="00AB26A2"/>
    <w:rsid w:val="00AB559C"/>
    <w:rsid w:val="00AB5809"/>
    <w:rsid w:val="00AB5B92"/>
    <w:rsid w:val="00AB70B7"/>
    <w:rsid w:val="00AC029C"/>
    <w:rsid w:val="00AC09CF"/>
    <w:rsid w:val="00AC0C85"/>
    <w:rsid w:val="00AC1A5A"/>
    <w:rsid w:val="00AC494A"/>
    <w:rsid w:val="00AC6458"/>
    <w:rsid w:val="00AC7760"/>
    <w:rsid w:val="00AD0283"/>
    <w:rsid w:val="00AD14BA"/>
    <w:rsid w:val="00AD319B"/>
    <w:rsid w:val="00AD3FF1"/>
    <w:rsid w:val="00AD5660"/>
    <w:rsid w:val="00AD6BAF"/>
    <w:rsid w:val="00AD72BD"/>
    <w:rsid w:val="00AE01AD"/>
    <w:rsid w:val="00AE206B"/>
    <w:rsid w:val="00AE271C"/>
    <w:rsid w:val="00AE3263"/>
    <w:rsid w:val="00AE3874"/>
    <w:rsid w:val="00AE389B"/>
    <w:rsid w:val="00AE39CF"/>
    <w:rsid w:val="00AE3C36"/>
    <w:rsid w:val="00AE3C7D"/>
    <w:rsid w:val="00AE5258"/>
    <w:rsid w:val="00AF121B"/>
    <w:rsid w:val="00AF1A62"/>
    <w:rsid w:val="00AF30AF"/>
    <w:rsid w:val="00AF365E"/>
    <w:rsid w:val="00AF5CDB"/>
    <w:rsid w:val="00B023F1"/>
    <w:rsid w:val="00B03468"/>
    <w:rsid w:val="00B041EA"/>
    <w:rsid w:val="00B05266"/>
    <w:rsid w:val="00B05EF7"/>
    <w:rsid w:val="00B0733D"/>
    <w:rsid w:val="00B07866"/>
    <w:rsid w:val="00B126AF"/>
    <w:rsid w:val="00B14568"/>
    <w:rsid w:val="00B1521A"/>
    <w:rsid w:val="00B1536A"/>
    <w:rsid w:val="00B20DED"/>
    <w:rsid w:val="00B20E5F"/>
    <w:rsid w:val="00B21B94"/>
    <w:rsid w:val="00B22467"/>
    <w:rsid w:val="00B25239"/>
    <w:rsid w:val="00B27307"/>
    <w:rsid w:val="00B3098D"/>
    <w:rsid w:val="00B33128"/>
    <w:rsid w:val="00B347C0"/>
    <w:rsid w:val="00B356C6"/>
    <w:rsid w:val="00B35723"/>
    <w:rsid w:val="00B35A77"/>
    <w:rsid w:val="00B36EF3"/>
    <w:rsid w:val="00B374CE"/>
    <w:rsid w:val="00B37EDC"/>
    <w:rsid w:val="00B4336A"/>
    <w:rsid w:val="00B4350E"/>
    <w:rsid w:val="00B43B81"/>
    <w:rsid w:val="00B44533"/>
    <w:rsid w:val="00B44D76"/>
    <w:rsid w:val="00B4526B"/>
    <w:rsid w:val="00B47A90"/>
    <w:rsid w:val="00B47AE7"/>
    <w:rsid w:val="00B47F68"/>
    <w:rsid w:val="00B50D18"/>
    <w:rsid w:val="00B52D53"/>
    <w:rsid w:val="00B534A9"/>
    <w:rsid w:val="00B537B1"/>
    <w:rsid w:val="00B5435A"/>
    <w:rsid w:val="00B5474D"/>
    <w:rsid w:val="00B55AEF"/>
    <w:rsid w:val="00B562D6"/>
    <w:rsid w:val="00B567EC"/>
    <w:rsid w:val="00B60173"/>
    <w:rsid w:val="00B61C59"/>
    <w:rsid w:val="00B6597E"/>
    <w:rsid w:val="00B671B9"/>
    <w:rsid w:val="00B672C5"/>
    <w:rsid w:val="00B700FC"/>
    <w:rsid w:val="00B716E3"/>
    <w:rsid w:val="00B72BBC"/>
    <w:rsid w:val="00B72E49"/>
    <w:rsid w:val="00B72FF8"/>
    <w:rsid w:val="00B745B0"/>
    <w:rsid w:val="00B754C0"/>
    <w:rsid w:val="00B758D0"/>
    <w:rsid w:val="00B775ED"/>
    <w:rsid w:val="00B81B0B"/>
    <w:rsid w:val="00B81B8E"/>
    <w:rsid w:val="00B8249B"/>
    <w:rsid w:val="00B83B85"/>
    <w:rsid w:val="00B86911"/>
    <w:rsid w:val="00B877A3"/>
    <w:rsid w:val="00B9090C"/>
    <w:rsid w:val="00B91C87"/>
    <w:rsid w:val="00B93D30"/>
    <w:rsid w:val="00B95041"/>
    <w:rsid w:val="00B95A76"/>
    <w:rsid w:val="00B964FC"/>
    <w:rsid w:val="00B97078"/>
    <w:rsid w:val="00B9748A"/>
    <w:rsid w:val="00BA1E19"/>
    <w:rsid w:val="00BA2D42"/>
    <w:rsid w:val="00BA3394"/>
    <w:rsid w:val="00BA3E2A"/>
    <w:rsid w:val="00BA5BDB"/>
    <w:rsid w:val="00BA7A18"/>
    <w:rsid w:val="00BB0012"/>
    <w:rsid w:val="00BB0334"/>
    <w:rsid w:val="00BB2EA1"/>
    <w:rsid w:val="00BB3618"/>
    <w:rsid w:val="00BB3A5E"/>
    <w:rsid w:val="00BB5413"/>
    <w:rsid w:val="00BB5E4B"/>
    <w:rsid w:val="00BB7413"/>
    <w:rsid w:val="00BC360C"/>
    <w:rsid w:val="00BC467F"/>
    <w:rsid w:val="00BC5A1E"/>
    <w:rsid w:val="00BC5F5D"/>
    <w:rsid w:val="00BC68F8"/>
    <w:rsid w:val="00BC73E0"/>
    <w:rsid w:val="00BC7A05"/>
    <w:rsid w:val="00BD04E2"/>
    <w:rsid w:val="00BD0650"/>
    <w:rsid w:val="00BD1F80"/>
    <w:rsid w:val="00BD1F90"/>
    <w:rsid w:val="00BD26E0"/>
    <w:rsid w:val="00BD379F"/>
    <w:rsid w:val="00BD46FB"/>
    <w:rsid w:val="00BD5157"/>
    <w:rsid w:val="00BD58B5"/>
    <w:rsid w:val="00BD6214"/>
    <w:rsid w:val="00BE0390"/>
    <w:rsid w:val="00BE16DC"/>
    <w:rsid w:val="00BE519A"/>
    <w:rsid w:val="00BE5F4B"/>
    <w:rsid w:val="00BE639C"/>
    <w:rsid w:val="00BE6E52"/>
    <w:rsid w:val="00BE7F71"/>
    <w:rsid w:val="00BF338A"/>
    <w:rsid w:val="00BF3E59"/>
    <w:rsid w:val="00BF51BD"/>
    <w:rsid w:val="00BF6965"/>
    <w:rsid w:val="00BF7691"/>
    <w:rsid w:val="00BF7DCD"/>
    <w:rsid w:val="00C001CF"/>
    <w:rsid w:val="00C01FD7"/>
    <w:rsid w:val="00C05221"/>
    <w:rsid w:val="00C05CEF"/>
    <w:rsid w:val="00C0615E"/>
    <w:rsid w:val="00C07D0E"/>
    <w:rsid w:val="00C10474"/>
    <w:rsid w:val="00C11A9F"/>
    <w:rsid w:val="00C127E6"/>
    <w:rsid w:val="00C1418A"/>
    <w:rsid w:val="00C146E9"/>
    <w:rsid w:val="00C20816"/>
    <w:rsid w:val="00C21849"/>
    <w:rsid w:val="00C235F0"/>
    <w:rsid w:val="00C26EE9"/>
    <w:rsid w:val="00C271A8"/>
    <w:rsid w:val="00C2760B"/>
    <w:rsid w:val="00C305B9"/>
    <w:rsid w:val="00C34A8C"/>
    <w:rsid w:val="00C3534C"/>
    <w:rsid w:val="00C3590F"/>
    <w:rsid w:val="00C35961"/>
    <w:rsid w:val="00C35E43"/>
    <w:rsid w:val="00C36599"/>
    <w:rsid w:val="00C37264"/>
    <w:rsid w:val="00C37D69"/>
    <w:rsid w:val="00C407EC"/>
    <w:rsid w:val="00C422E3"/>
    <w:rsid w:val="00C4577C"/>
    <w:rsid w:val="00C45864"/>
    <w:rsid w:val="00C4771A"/>
    <w:rsid w:val="00C47EEB"/>
    <w:rsid w:val="00C500FE"/>
    <w:rsid w:val="00C51898"/>
    <w:rsid w:val="00C5224D"/>
    <w:rsid w:val="00C54269"/>
    <w:rsid w:val="00C554FF"/>
    <w:rsid w:val="00C565C8"/>
    <w:rsid w:val="00C5750F"/>
    <w:rsid w:val="00C579EA"/>
    <w:rsid w:val="00C57ECF"/>
    <w:rsid w:val="00C60321"/>
    <w:rsid w:val="00C62436"/>
    <w:rsid w:val="00C62AA3"/>
    <w:rsid w:val="00C64BA9"/>
    <w:rsid w:val="00C6518E"/>
    <w:rsid w:val="00C6685F"/>
    <w:rsid w:val="00C6742F"/>
    <w:rsid w:val="00C706BE"/>
    <w:rsid w:val="00C754B8"/>
    <w:rsid w:val="00C76693"/>
    <w:rsid w:val="00C8052D"/>
    <w:rsid w:val="00C81F20"/>
    <w:rsid w:val="00C8512F"/>
    <w:rsid w:val="00C85CCD"/>
    <w:rsid w:val="00C86AE0"/>
    <w:rsid w:val="00C92239"/>
    <w:rsid w:val="00C92AFB"/>
    <w:rsid w:val="00C96073"/>
    <w:rsid w:val="00C96CEC"/>
    <w:rsid w:val="00C96DDC"/>
    <w:rsid w:val="00C96F14"/>
    <w:rsid w:val="00C97B34"/>
    <w:rsid w:val="00C97EB5"/>
    <w:rsid w:val="00CA15C6"/>
    <w:rsid w:val="00CA1A8E"/>
    <w:rsid w:val="00CA1D61"/>
    <w:rsid w:val="00CA74F3"/>
    <w:rsid w:val="00CB1A68"/>
    <w:rsid w:val="00CB1E57"/>
    <w:rsid w:val="00CB3D46"/>
    <w:rsid w:val="00CB44F9"/>
    <w:rsid w:val="00CB6A86"/>
    <w:rsid w:val="00CB7116"/>
    <w:rsid w:val="00CC0485"/>
    <w:rsid w:val="00CC1947"/>
    <w:rsid w:val="00CC2D84"/>
    <w:rsid w:val="00CC2EDA"/>
    <w:rsid w:val="00CC36BD"/>
    <w:rsid w:val="00CC45B6"/>
    <w:rsid w:val="00CC523E"/>
    <w:rsid w:val="00CC6472"/>
    <w:rsid w:val="00CC64E9"/>
    <w:rsid w:val="00CC6F0F"/>
    <w:rsid w:val="00CC7AAA"/>
    <w:rsid w:val="00CD110F"/>
    <w:rsid w:val="00CD227A"/>
    <w:rsid w:val="00CD2545"/>
    <w:rsid w:val="00CD2F5F"/>
    <w:rsid w:val="00CD4910"/>
    <w:rsid w:val="00CD57B8"/>
    <w:rsid w:val="00CD696F"/>
    <w:rsid w:val="00CE0E31"/>
    <w:rsid w:val="00CE1211"/>
    <w:rsid w:val="00CE127E"/>
    <w:rsid w:val="00CE142D"/>
    <w:rsid w:val="00CE1795"/>
    <w:rsid w:val="00CE2458"/>
    <w:rsid w:val="00CE5BBB"/>
    <w:rsid w:val="00CE5DEF"/>
    <w:rsid w:val="00CE5FBE"/>
    <w:rsid w:val="00CE62BD"/>
    <w:rsid w:val="00CE7373"/>
    <w:rsid w:val="00CE76EC"/>
    <w:rsid w:val="00CF12CD"/>
    <w:rsid w:val="00CF15D0"/>
    <w:rsid w:val="00CF33DF"/>
    <w:rsid w:val="00CF60DF"/>
    <w:rsid w:val="00CF657B"/>
    <w:rsid w:val="00CF6C27"/>
    <w:rsid w:val="00CF7B89"/>
    <w:rsid w:val="00CF7F78"/>
    <w:rsid w:val="00D00E5A"/>
    <w:rsid w:val="00D04F96"/>
    <w:rsid w:val="00D0598E"/>
    <w:rsid w:val="00D0607F"/>
    <w:rsid w:val="00D06C02"/>
    <w:rsid w:val="00D07C79"/>
    <w:rsid w:val="00D10B15"/>
    <w:rsid w:val="00D1192F"/>
    <w:rsid w:val="00D13B07"/>
    <w:rsid w:val="00D205E4"/>
    <w:rsid w:val="00D2091A"/>
    <w:rsid w:val="00D2147D"/>
    <w:rsid w:val="00D23781"/>
    <w:rsid w:val="00D24879"/>
    <w:rsid w:val="00D2559E"/>
    <w:rsid w:val="00D2575F"/>
    <w:rsid w:val="00D26206"/>
    <w:rsid w:val="00D268A1"/>
    <w:rsid w:val="00D2702B"/>
    <w:rsid w:val="00D27350"/>
    <w:rsid w:val="00D31084"/>
    <w:rsid w:val="00D31CBB"/>
    <w:rsid w:val="00D31DA4"/>
    <w:rsid w:val="00D348B3"/>
    <w:rsid w:val="00D34FD7"/>
    <w:rsid w:val="00D35C76"/>
    <w:rsid w:val="00D36BEA"/>
    <w:rsid w:val="00D4417A"/>
    <w:rsid w:val="00D44FFA"/>
    <w:rsid w:val="00D47617"/>
    <w:rsid w:val="00D517B7"/>
    <w:rsid w:val="00D51A75"/>
    <w:rsid w:val="00D5356B"/>
    <w:rsid w:val="00D539F4"/>
    <w:rsid w:val="00D54BC2"/>
    <w:rsid w:val="00D56A05"/>
    <w:rsid w:val="00D5709C"/>
    <w:rsid w:val="00D57A1D"/>
    <w:rsid w:val="00D603CF"/>
    <w:rsid w:val="00D60A64"/>
    <w:rsid w:val="00D61B61"/>
    <w:rsid w:val="00D626D8"/>
    <w:rsid w:val="00D642F5"/>
    <w:rsid w:val="00D657F9"/>
    <w:rsid w:val="00D65A4C"/>
    <w:rsid w:val="00D66208"/>
    <w:rsid w:val="00D67035"/>
    <w:rsid w:val="00D67A8C"/>
    <w:rsid w:val="00D701BD"/>
    <w:rsid w:val="00D70528"/>
    <w:rsid w:val="00D70A44"/>
    <w:rsid w:val="00D72E72"/>
    <w:rsid w:val="00D749F8"/>
    <w:rsid w:val="00D7644F"/>
    <w:rsid w:val="00D77445"/>
    <w:rsid w:val="00D776D6"/>
    <w:rsid w:val="00D803CA"/>
    <w:rsid w:val="00D813C7"/>
    <w:rsid w:val="00D81462"/>
    <w:rsid w:val="00D81F30"/>
    <w:rsid w:val="00D85C76"/>
    <w:rsid w:val="00D867EA"/>
    <w:rsid w:val="00D930E5"/>
    <w:rsid w:val="00D93A35"/>
    <w:rsid w:val="00D953AC"/>
    <w:rsid w:val="00D957FC"/>
    <w:rsid w:val="00DA0306"/>
    <w:rsid w:val="00DA205A"/>
    <w:rsid w:val="00DA2A01"/>
    <w:rsid w:val="00DA394A"/>
    <w:rsid w:val="00DA479B"/>
    <w:rsid w:val="00DA48C7"/>
    <w:rsid w:val="00DA51DB"/>
    <w:rsid w:val="00DA6E48"/>
    <w:rsid w:val="00DA71FC"/>
    <w:rsid w:val="00DA78B6"/>
    <w:rsid w:val="00DA7BEC"/>
    <w:rsid w:val="00DB4107"/>
    <w:rsid w:val="00DB4FCE"/>
    <w:rsid w:val="00DB564B"/>
    <w:rsid w:val="00DB670B"/>
    <w:rsid w:val="00DC1820"/>
    <w:rsid w:val="00DC394E"/>
    <w:rsid w:val="00DC6C76"/>
    <w:rsid w:val="00DC7D99"/>
    <w:rsid w:val="00DD06D6"/>
    <w:rsid w:val="00DD0FDD"/>
    <w:rsid w:val="00DD159E"/>
    <w:rsid w:val="00DD28F2"/>
    <w:rsid w:val="00DD30C0"/>
    <w:rsid w:val="00DD5E6A"/>
    <w:rsid w:val="00DD669A"/>
    <w:rsid w:val="00DD6907"/>
    <w:rsid w:val="00DD7557"/>
    <w:rsid w:val="00DE14F0"/>
    <w:rsid w:val="00DE23AF"/>
    <w:rsid w:val="00DE3C54"/>
    <w:rsid w:val="00DE5159"/>
    <w:rsid w:val="00DE5ACE"/>
    <w:rsid w:val="00DE6FA4"/>
    <w:rsid w:val="00DE7393"/>
    <w:rsid w:val="00DF16CA"/>
    <w:rsid w:val="00DF2173"/>
    <w:rsid w:val="00DF22C7"/>
    <w:rsid w:val="00DF2E32"/>
    <w:rsid w:val="00DF7566"/>
    <w:rsid w:val="00E00E5E"/>
    <w:rsid w:val="00E00F6D"/>
    <w:rsid w:val="00E05E0E"/>
    <w:rsid w:val="00E0672A"/>
    <w:rsid w:val="00E1201D"/>
    <w:rsid w:val="00E129AD"/>
    <w:rsid w:val="00E15ABD"/>
    <w:rsid w:val="00E17CC9"/>
    <w:rsid w:val="00E225B7"/>
    <w:rsid w:val="00E23728"/>
    <w:rsid w:val="00E23745"/>
    <w:rsid w:val="00E2418B"/>
    <w:rsid w:val="00E25CBF"/>
    <w:rsid w:val="00E25F97"/>
    <w:rsid w:val="00E260FF"/>
    <w:rsid w:val="00E263A0"/>
    <w:rsid w:val="00E313A3"/>
    <w:rsid w:val="00E32443"/>
    <w:rsid w:val="00E32CBB"/>
    <w:rsid w:val="00E33BDB"/>
    <w:rsid w:val="00E33D96"/>
    <w:rsid w:val="00E347FF"/>
    <w:rsid w:val="00E3501C"/>
    <w:rsid w:val="00E35B71"/>
    <w:rsid w:val="00E35E0C"/>
    <w:rsid w:val="00E379A4"/>
    <w:rsid w:val="00E411F2"/>
    <w:rsid w:val="00E414D7"/>
    <w:rsid w:val="00E42740"/>
    <w:rsid w:val="00E42836"/>
    <w:rsid w:val="00E440BF"/>
    <w:rsid w:val="00E46B4E"/>
    <w:rsid w:val="00E47B16"/>
    <w:rsid w:val="00E50790"/>
    <w:rsid w:val="00E5275D"/>
    <w:rsid w:val="00E52F4E"/>
    <w:rsid w:val="00E541DF"/>
    <w:rsid w:val="00E551AA"/>
    <w:rsid w:val="00E555B7"/>
    <w:rsid w:val="00E56996"/>
    <w:rsid w:val="00E576A9"/>
    <w:rsid w:val="00E62561"/>
    <w:rsid w:val="00E631EE"/>
    <w:rsid w:val="00E63C07"/>
    <w:rsid w:val="00E64AF7"/>
    <w:rsid w:val="00E655DD"/>
    <w:rsid w:val="00E70ECF"/>
    <w:rsid w:val="00E71AC5"/>
    <w:rsid w:val="00E72E70"/>
    <w:rsid w:val="00E730E4"/>
    <w:rsid w:val="00E74554"/>
    <w:rsid w:val="00E75ECB"/>
    <w:rsid w:val="00E7639C"/>
    <w:rsid w:val="00E77BD2"/>
    <w:rsid w:val="00E8107B"/>
    <w:rsid w:val="00E8195B"/>
    <w:rsid w:val="00E82D8C"/>
    <w:rsid w:val="00E83962"/>
    <w:rsid w:val="00E86EFF"/>
    <w:rsid w:val="00E870B1"/>
    <w:rsid w:val="00E879CF"/>
    <w:rsid w:val="00E90CD4"/>
    <w:rsid w:val="00E912C0"/>
    <w:rsid w:val="00E943FA"/>
    <w:rsid w:val="00E94F63"/>
    <w:rsid w:val="00E956BB"/>
    <w:rsid w:val="00E95722"/>
    <w:rsid w:val="00E960E7"/>
    <w:rsid w:val="00E966E3"/>
    <w:rsid w:val="00E97FC4"/>
    <w:rsid w:val="00EA09EB"/>
    <w:rsid w:val="00EA0F73"/>
    <w:rsid w:val="00EA1C30"/>
    <w:rsid w:val="00EA1D69"/>
    <w:rsid w:val="00EA2F04"/>
    <w:rsid w:val="00EA2FB6"/>
    <w:rsid w:val="00EA3EF7"/>
    <w:rsid w:val="00EA54F1"/>
    <w:rsid w:val="00EA5FD6"/>
    <w:rsid w:val="00EA6DC3"/>
    <w:rsid w:val="00EA7934"/>
    <w:rsid w:val="00EB0FC3"/>
    <w:rsid w:val="00EB17F7"/>
    <w:rsid w:val="00EB394D"/>
    <w:rsid w:val="00EB3E7F"/>
    <w:rsid w:val="00EB61C7"/>
    <w:rsid w:val="00EC4B60"/>
    <w:rsid w:val="00ED0363"/>
    <w:rsid w:val="00ED0D53"/>
    <w:rsid w:val="00ED294C"/>
    <w:rsid w:val="00ED2BC3"/>
    <w:rsid w:val="00ED3079"/>
    <w:rsid w:val="00ED3410"/>
    <w:rsid w:val="00ED3E12"/>
    <w:rsid w:val="00ED4584"/>
    <w:rsid w:val="00ED45FE"/>
    <w:rsid w:val="00ED5777"/>
    <w:rsid w:val="00ED63D7"/>
    <w:rsid w:val="00ED7B34"/>
    <w:rsid w:val="00EE12EE"/>
    <w:rsid w:val="00EE1998"/>
    <w:rsid w:val="00EE2857"/>
    <w:rsid w:val="00EE2B73"/>
    <w:rsid w:val="00EE2ECF"/>
    <w:rsid w:val="00EE2F9F"/>
    <w:rsid w:val="00EE4A6A"/>
    <w:rsid w:val="00EE516C"/>
    <w:rsid w:val="00EE5A45"/>
    <w:rsid w:val="00EE6135"/>
    <w:rsid w:val="00EE6E6C"/>
    <w:rsid w:val="00EE7E86"/>
    <w:rsid w:val="00EF04F3"/>
    <w:rsid w:val="00EF188A"/>
    <w:rsid w:val="00EF2411"/>
    <w:rsid w:val="00EF403F"/>
    <w:rsid w:val="00EF5155"/>
    <w:rsid w:val="00EF5847"/>
    <w:rsid w:val="00EF7D79"/>
    <w:rsid w:val="00EF7EDC"/>
    <w:rsid w:val="00F00AE8"/>
    <w:rsid w:val="00F0193C"/>
    <w:rsid w:val="00F060CD"/>
    <w:rsid w:val="00F0713E"/>
    <w:rsid w:val="00F07BB0"/>
    <w:rsid w:val="00F07DD9"/>
    <w:rsid w:val="00F07F94"/>
    <w:rsid w:val="00F1006B"/>
    <w:rsid w:val="00F10930"/>
    <w:rsid w:val="00F10B78"/>
    <w:rsid w:val="00F115CE"/>
    <w:rsid w:val="00F13356"/>
    <w:rsid w:val="00F13C28"/>
    <w:rsid w:val="00F141BE"/>
    <w:rsid w:val="00F146FA"/>
    <w:rsid w:val="00F15258"/>
    <w:rsid w:val="00F162BF"/>
    <w:rsid w:val="00F2328A"/>
    <w:rsid w:val="00F255C2"/>
    <w:rsid w:val="00F2770E"/>
    <w:rsid w:val="00F35194"/>
    <w:rsid w:val="00F35A07"/>
    <w:rsid w:val="00F36490"/>
    <w:rsid w:val="00F37CC2"/>
    <w:rsid w:val="00F4055F"/>
    <w:rsid w:val="00F478E8"/>
    <w:rsid w:val="00F51BD2"/>
    <w:rsid w:val="00F55A4C"/>
    <w:rsid w:val="00F55F05"/>
    <w:rsid w:val="00F561B5"/>
    <w:rsid w:val="00F6037B"/>
    <w:rsid w:val="00F620CB"/>
    <w:rsid w:val="00F6294A"/>
    <w:rsid w:val="00F6322C"/>
    <w:rsid w:val="00F67A22"/>
    <w:rsid w:val="00F67BFE"/>
    <w:rsid w:val="00F67EA2"/>
    <w:rsid w:val="00F70610"/>
    <w:rsid w:val="00F71AE2"/>
    <w:rsid w:val="00F72384"/>
    <w:rsid w:val="00F728FC"/>
    <w:rsid w:val="00F73F2B"/>
    <w:rsid w:val="00F74B3B"/>
    <w:rsid w:val="00F77F02"/>
    <w:rsid w:val="00F80F6A"/>
    <w:rsid w:val="00F81951"/>
    <w:rsid w:val="00F83293"/>
    <w:rsid w:val="00F84016"/>
    <w:rsid w:val="00F85E4A"/>
    <w:rsid w:val="00F87BB5"/>
    <w:rsid w:val="00F90564"/>
    <w:rsid w:val="00F924C7"/>
    <w:rsid w:val="00F92601"/>
    <w:rsid w:val="00F94940"/>
    <w:rsid w:val="00F95F42"/>
    <w:rsid w:val="00F96827"/>
    <w:rsid w:val="00F969BD"/>
    <w:rsid w:val="00FA0D4C"/>
    <w:rsid w:val="00FA2998"/>
    <w:rsid w:val="00FA364F"/>
    <w:rsid w:val="00FA36C6"/>
    <w:rsid w:val="00FA73F4"/>
    <w:rsid w:val="00FA7DE9"/>
    <w:rsid w:val="00FB0BBE"/>
    <w:rsid w:val="00FB1A4E"/>
    <w:rsid w:val="00FB27EE"/>
    <w:rsid w:val="00FB2BB5"/>
    <w:rsid w:val="00FB3AB3"/>
    <w:rsid w:val="00FB4094"/>
    <w:rsid w:val="00FB487C"/>
    <w:rsid w:val="00FB4D04"/>
    <w:rsid w:val="00FB5ECD"/>
    <w:rsid w:val="00FB6195"/>
    <w:rsid w:val="00FB6307"/>
    <w:rsid w:val="00FB634A"/>
    <w:rsid w:val="00FB6AED"/>
    <w:rsid w:val="00FB77F5"/>
    <w:rsid w:val="00FC089E"/>
    <w:rsid w:val="00FC0FF0"/>
    <w:rsid w:val="00FC22A7"/>
    <w:rsid w:val="00FC3110"/>
    <w:rsid w:val="00FC39C5"/>
    <w:rsid w:val="00FC3CAF"/>
    <w:rsid w:val="00FC3D1E"/>
    <w:rsid w:val="00FC4387"/>
    <w:rsid w:val="00FC4C93"/>
    <w:rsid w:val="00FC5C7E"/>
    <w:rsid w:val="00FD0E45"/>
    <w:rsid w:val="00FD287A"/>
    <w:rsid w:val="00FD29B4"/>
    <w:rsid w:val="00FD3991"/>
    <w:rsid w:val="00FD5AE3"/>
    <w:rsid w:val="00FD6345"/>
    <w:rsid w:val="00FD673C"/>
    <w:rsid w:val="00FE079E"/>
    <w:rsid w:val="00FE1AD9"/>
    <w:rsid w:val="00FE224A"/>
    <w:rsid w:val="00FE32F2"/>
    <w:rsid w:val="00FE4517"/>
    <w:rsid w:val="00FE495C"/>
    <w:rsid w:val="00FE66DF"/>
    <w:rsid w:val="00FE7203"/>
    <w:rsid w:val="00FF0ABA"/>
    <w:rsid w:val="00FF1F13"/>
    <w:rsid w:val="00FF31DE"/>
    <w:rsid w:val="00FF3ABD"/>
    <w:rsid w:val="00FF4645"/>
    <w:rsid w:val="00FF573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5A5"/>
  </w:style>
  <w:style w:type="paragraph" w:styleId="Heading1">
    <w:name w:val="heading 1"/>
    <w:basedOn w:val="Normal"/>
    <w:next w:val="Normal"/>
    <w:link w:val="Heading1Char"/>
    <w:qFormat/>
    <w:rsid w:val="00AF121B"/>
    <w:pPr>
      <w:keepNext/>
      <w:spacing w:after="0" w:line="360" w:lineRule="auto"/>
      <w:jc w:val="center"/>
      <w:outlineLvl w:val="0"/>
    </w:pPr>
    <w:rPr>
      <w:rFonts w:ascii="Times New Roman" w:eastAsia="Times New Roman" w:hAnsi="Times New Roman" w:cs="Times New Roman"/>
      <w:b/>
      <w:bCs/>
      <w:sz w:val="24"/>
      <w:szCs w:val="24"/>
      <w:lang w:val="en-GB" w:eastAsia="en-US"/>
    </w:rPr>
  </w:style>
  <w:style w:type="paragraph" w:styleId="Heading2">
    <w:name w:val="heading 2"/>
    <w:basedOn w:val="Normal"/>
    <w:next w:val="Normal"/>
    <w:link w:val="Heading2Char"/>
    <w:uiPriority w:val="9"/>
    <w:semiHidden/>
    <w:unhideWhenUsed/>
    <w:qFormat/>
    <w:rsid w:val="00D93A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93A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3A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3A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93A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3A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66208"/>
  </w:style>
  <w:style w:type="character" w:customStyle="1" w:styleId="DateChar">
    <w:name w:val="Date Char"/>
    <w:basedOn w:val="DefaultParagraphFont"/>
    <w:link w:val="Date"/>
    <w:uiPriority w:val="99"/>
    <w:semiHidden/>
    <w:rsid w:val="00D66208"/>
  </w:style>
  <w:style w:type="paragraph" w:styleId="ListParagraph">
    <w:name w:val="List Paragraph"/>
    <w:basedOn w:val="Normal"/>
    <w:uiPriority w:val="34"/>
    <w:qFormat/>
    <w:rsid w:val="00D66208"/>
    <w:pPr>
      <w:ind w:left="720"/>
      <w:contextualSpacing/>
    </w:pPr>
  </w:style>
  <w:style w:type="paragraph" w:styleId="BodyText">
    <w:name w:val="Body Text"/>
    <w:basedOn w:val="Normal"/>
    <w:link w:val="BodyTextChar"/>
    <w:rsid w:val="00D66208"/>
    <w:pPr>
      <w:spacing w:after="0" w:line="360" w:lineRule="auto"/>
      <w:jc w:val="both"/>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D66208"/>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semiHidden/>
    <w:unhideWhenUsed/>
    <w:rsid w:val="00D662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208"/>
  </w:style>
  <w:style w:type="paragraph" w:styleId="Footer">
    <w:name w:val="footer"/>
    <w:basedOn w:val="Normal"/>
    <w:link w:val="FooterChar"/>
    <w:unhideWhenUsed/>
    <w:rsid w:val="00D66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08"/>
  </w:style>
  <w:style w:type="paragraph" w:styleId="FootnoteText">
    <w:name w:val="footnote text"/>
    <w:basedOn w:val="Normal"/>
    <w:link w:val="FootnoteTextChar"/>
    <w:semiHidden/>
    <w:rsid w:val="00D66208"/>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D66208"/>
    <w:rPr>
      <w:rFonts w:ascii="Times New Roman" w:eastAsia="Times New Roman" w:hAnsi="Times New Roman" w:cs="Times New Roman"/>
      <w:sz w:val="20"/>
      <w:szCs w:val="20"/>
      <w:lang w:val="en-GB" w:eastAsia="en-US"/>
    </w:rPr>
  </w:style>
  <w:style w:type="character" w:styleId="FootnoteReference">
    <w:name w:val="footnote reference"/>
    <w:basedOn w:val="DefaultParagraphFont"/>
    <w:semiHidden/>
    <w:rsid w:val="00D66208"/>
    <w:rPr>
      <w:vertAlign w:val="superscript"/>
    </w:rPr>
  </w:style>
  <w:style w:type="character" w:styleId="Hyperlink">
    <w:name w:val="Hyperlink"/>
    <w:basedOn w:val="DefaultParagraphFont"/>
    <w:uiPriority w:val="99"/>
    <w:unhideWhenUsed/>
    <w:rsid w:val="00D66208"/>
    <w:rPr>
      <w:color w:val="0000FF" w:themeColor="hyperlink"/>
      <w:u w:val="single"/>
    </w:rPr>
  </w:style>
  <w:style w:type="character" w:customStyle="1" w:styleId="Heading1Char">
    <w:name w:val="Heading 1 Char"/>
    <w:basedOn w:val="DefaultParagraphFont"/>
    <w:link w:val="Heading1"/>
    <w:rsid w:val="00AF121B"/>
    <w:rPr>
      <w:rFonts w:ascii="Times New Roman" w:eastAsia="Times New Roman" w:hAnsi="Times New Roman" w:cs="Times New Roman"/>
      <w:b/>
      <w:bCs/>
      <w:sz w:val="24"/>
      <w:szCs w:val="24"/>
      <w:lang w:val="en-GB" w:eastAsia="en-US"/>
    </w:rPr>
  </w:style>
  <w:style w:type="character" w:customStyle="1" w:styleId="Heading2Char">
    <w:name w:val="Heading 2 Char"/>
    <w:basedOn w:val="DefaultParagraphFont"/>
    <w:link w:val="Heading2"/>
    <w:uiPriority w:val="9"/>
    <w:semiHidden/>
    <w:rsid w:val="00D93A3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93A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93A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93A3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93A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3A35"/>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D93A35"/>
    <w:pPr>
      <w:spacing w:after="120"/>
      <w:ind w:left="283"/>
    </w:pPr>
  </w:style>
  <w:style w:type="character" w:customStyle="1" w:styleId="BodyTextIndentChar">
    <w:name w:val="Body Text Indent Char"/>
    <w:basedOn w:val="DefaultParagraphFont"/>
    <w:link w:val="BodyTextIndent"/>
    <w:uiPriority w:val="99"/>
    <w:semiHidden/>
    <w:rsid w:val="00D93A35"/>
  </w:style>
  <w:style w:type="paragraph" w:styleId="BodyTextIndent2">
    <w:name w:val="Body Text Indent 2"/>
    <w:basedOn w:val="Normal"/>
    <w:link w:val="BodyTextIndent2Char"/>
    <w:uiPriority w:val="99"/>
    <w:semiHidden/>
    <w:unhideWhenUsed/>
    <w:rsid w:val="00D93A35"/>
    <w:pPr>
      <w:spacing w:after="120" w:line="480" w:lineRule="auto"/>
      <w:ind w:left="283"/>
    </w:pPr>
  </w:style>
  <w:style w:type="character" w:customStyle="1" w:styleId="BodyTextIndent2Char">
    <w:name w:val="Body Text Indent 2 Char"/>
    <w:basedOn w:val="DefaultParagraphFont"/>
    <w:link w:val="BodyTextIndent2"/>
    <w:uiPriority w:val="99"/>
    <w:semiHidden/>
    <w:rsid w:val="00D93A35"/>
  </w:style>
  <w:style w:type="paragraph" w:styleId="BodyTextIndent3">
    <w:name w:val="Body Text Indent 3"/>
    <w:basedOn w:val="Normal"/>
    <w:link w:val="BodyTextIndent3Char"/>
    <w:uiPriority w:val="99"/>
    <w:semiHidden/>
    <w:unhideWhenUsed/>
    <w:rsid w:val="00D93A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93A35"/>
    <w:rPr>
      <w:sz w:val="16"/>
      <w:szCs w:val="16"/>
    </w:rPr>
  </w:style>
  <w:style w:type="paragraph" w:styleId="Title">
    <w:name w:val="Title"/>
    <w:basedOn w:val="Normal"/>
    <w:link w:val="TitleChar"/>
    <w:qFormat/>
    <w:rsid w:val="00D93A35"/>
    <w:pPr>
      <w:spacing w:after="0" w:line="360" w:lineRule="auto"/>
      <w:jc w:val="center"/>
    </w:pPr>
    <w:rPr>
      <w:rFonts w:ascii="Times New Roman" w:eastAsia="Times New Roman" w:hAnsi="Times New Roman" w:cs="Times New Roman"/>
      <w:b/>
      <w:sz w:val="20"/>
      <w:szCs w:val="20"/>
      <w:lang w:val="en-US" w:eastAsia="en-US"/>
    </w:rPr>
  </w:style>
  <w:style w:type="character" w:customStyle="1" w:styleId="TitleChar">
    <w:name w:val="Title Char"/>
    <w:basedOn w:val="DefaultParagraphFont"/>
    <w:link w:val="Title"/>
    <w:rsid w:val="00D93A35"/>
    <w:rPr>
      <w:rFonts w:ascii="Times New Roman" w:eastAsia="Times New Roman" w:hAnsi="Times New Roman" w:cs="Times New Roman"/>
      <w:b/>
      <w:sz w:val="20"/>
      <w:szCs w:val="20"/>
      <w:lang w:val="en-US" w:eastAsia="en-US"/>
    </w:rPr>
  </w:style>
  <w:style w:type="paragraph" w:styleId="Subtitle">
    <w:name w:val="Subtitle"/>
    <w:basedOn w:val="Normal"/>
    <w:link w:val="SubtitleChar"/>
    <w:qFormat/>
    <w:rsid w:val="00D93A35"/>
    <w:pPr>
      <w:pBdr>
        <w:bottom w:val="single" w:sz="12" w:space="1" w:color="auto"/>
      </w:pBdr>
      <w:spacing w:after="0" w:line="240" w:lineRule="auto"/>
      <w:jc w:val="center"/>
    </w:pPr>
    <w:rPr>
      <w:rFonts w:ascii="Times New Roman" w:eastAsia="Times New Roman" w:hAnsi="Times New Roman" w:cs="Times New Roman"/>
      <w:b/>
      <w:sz w:val="24"/>
      <w:szCs w:val="20"/>
      <w:lang w:val="en-US" w:eastAsia="en-US"/>
    </w:rPr>
  </w:style>
  <w:style w:type="character" w:customStyle="1" w:styleId="SubtitleChar">
    <w:name w:val="Subtitle Char"/>
    <w:basedOn w:val="DefaultParagraphFont"/>
    <w:link w:val="Subtitle"/>
    <w:rsid w:val="00D93A35"/>
    <w:rPr>
      <w:rFonts w:ascii="Times New Roman" w:eastAsia="Times New Roman" w:hAnsi="Times New Roman" w:cs="Times New Roman"/>
      <w:b/>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hyperlink" Target="http://www.budget.gov.au/2012-13/content/myefo/download/2012-13_MYEFO.pdf"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aer.gov.au"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hyperlink" Target="http://www.aer.gov.au" TargetMode="External"/><Relationship Id="rId79"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header" Target="header3.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hyperlink" Target="http://www.aer.gov.au" TargetMode="Externa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hyperlink" Target="http://www.aer.gov.au"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hyperlink" Target="http://www.aer.gov.au" TargetMode="External"/><Relationship Id="rId75" Type="http://schemas.openxmlformats.org/officeDocument/2006/relationships/hyperlink" Target="http://www.aer.gov.au"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hyperlink" Target="http://www.cfainstitute.org" TargetMode="External"/><Relationship Id="rId78" Type="http://schemas.openxmlformats.org/officeDocument/2006/relationships/header" Target="header1.xml"/><Relationship Id="rId8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rb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0A2B-667A-455F-B153-15E21493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8389</Words>
  <Characters>41458</Characters>
  <Application>Microsoft Office Word</Application>
  <DocSecurity>0</DocSecurity>
  <Lines>805</Lines>
  <Paragraphs>158</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50603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Lally</dc:creator>
  <cp:lastModifiedBy>ssand</cp:lastModifiedBy>
  <cp:revision>2</cp:revision>
  <cp:lastPrinted>2013-12-16T02:40:00Z</cp:lastPrinted>
  <dcterms:created xsi:type="dcterms:W3CDTF">2013-12-16T03:24:00Z</dcterms:created>
  <dcterms:modified xsi:type="dcterms:W3CDTF">2013-12-16T03:24:00Z</dcterms:modified>
</cp:coreProperties>
</file>