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50" w:rsidRPr="005F189D" w:rsidRDefault="00E070FC" w:rsidP="00122250">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IMPLEMENTATION ISSUES </w:t>
      </w:r>
      <w:r w:rsidR="00D102D9">
        <w:rPr>
          <w:rFonts w:ascii="Times New Roman" w:hAnsi="Times New Roman" w:cs="Times New Roman"/>
          <w:b/>
          <w:sz w:val="24"/>
          <w:szCs w:val="24"/>
        </w:rPr>
        <w:t>FOR THE COST OF DEBT</w:t>
      </w:r>
    </w:p>
    <w:p w:rsidR="00122250" w:rsidRDefault="00122250" w:rsidP="00122250">
      <w:pPr>
        <w:spacing w:after="0" w:line="360" w:lineRule="auto"/>
        <w:jc w:val="center"/>
        <w:rPr>
          <w:rFonts w:ascii="Times New Roman" w:hAnsi="Times New Roman" w:cs="Times New Roman"/>
          <w:sz w:val="24"/>
          <w:szCs w:val="24"/>
        </w:rPr>
      </w:pPr>
    </w:p>
    <w:p w:rsidR="00122250" w:rsidRDefault="00122250" w:rsidP="00122250">
      <w:pPr>
        <w:spacing w:after="0" w:line="360" w:lineRule="auto"/>
        <w:jc w:val="center"/>
        <w:rPr>
          <w:rFonts w:ascii="Times New Roman" w:hAnsi="Times New Roman" w:cs="Times New Roman"/>
          <w:sz w:val="24"/>
          <w:szCs w:val="24"/>
        </w:rPr>
      </w:pPr>
    </w:p>
    <w:p w:rsidR="00122250" w:rsidRDefault="0079409D"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122250">
        <w:rPr>
          <w:rFonts w:ascii="Times New Roman" w:hAnsi="Times New Roman" w:cs="Times New Roman"/>
          <w:sz w:val="24"/>
          <w:szCs w:val="24"/>
        </w:rPr>
        <w:t>Martin Lally</w:t>
      </w:r>
    </w:p>
    <w:p w:rsidR="00122250" w:rsidRDefault="0079409D"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Capital Financial Consultants Ltd</w:t>
      </w:r>
    </w:p>
    <w:p w:rsidR="00122250" w:rsidRDefault="00122250" w:rsidP="00122250">
      <w:pPr>
        <w:spacing w:after="0" w:line="360" w:lineRule="auto"/>
        <w:jc w:val="center"/>
        <w:rPr>
          <w:rFonts w:ascii="Times New Roman" w:hAnsi="Times New Roman" w:cs="Times New Roman"/>
          <w:sz w:val="24"/>
          <w:szCs w:val="24"/>
        </w:rPr>
      </w:pPr>
    </w:p>
    <w:p w:rsidR="00122250" w:rsidRDefault="00F56527"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r w:rsidR="00665111">
        <w:rPr>
          <w:rFonts w:ascii="Times New Roman" w:hAnsi="Times New Roman" w:cs="Times New Roman"/>
          <w:sz w:val="24"/>
          <w:szCs w:val="24"/>
        </w:rPr>
        <w:t xml:space="preserve"> November</w:t>
      </w:r>
      <w:r w:rsidR="004D62EB">
        <w:rPr>
          <w:rFonts w:ascii="Times New Roman" w:hAnsi="Times New Roman" w:cs="Times New Roman"/>
          <w:sz w:val="24"/>
          <w:szCs w:val="24"/>
        </w:rPr>
        <w:t xml:space="preserve"> </w:t>
      </w:r>
      <w:r w:rsidR="0079409D">
        <w:rPr>
          <w:rFonts w:ascii="Times New Roman" w:hAnsi="Times New Roman" w:cs="Times New Roman"/>
          <w:sz w:val="24"/>
          <w:szCs w:val="24"/>
        </w:rPr>
        <w:t>2014</w:t>
      </w:r>
    </w:p>
    <w:p w:rsidR="00122250" w:rsidRDefault="00122250" w:rsidP="00122250">
      <w:pPr>
        <w:spacing w:after="0" w:line="360" w:lineRule="auto"/>
        <w:jc w:val="both"/>
        <w:rPr>
          <w:rFonts w:ascii="Times New Roman" w:hAnsi="Times New Roman" w:cs="Times New Roman"/>
          <w:sz w:val="24"/>
          <w:szCs w:val="24"/>
        </w:rPr>
      </w:pPr>
    </w:p>
    <w:p w:rsidR="00122250" w:rsidRDefault="00122250" w:rsidP="00122250">
      <w:pPr>
        <w:spacing w:after="0" w:line="360" w:lineRule="auto"/>
        <w:jc w:val="both"/>
        <w:rPr>
          <w:rFonts w:ascii="Times New Roman" w:hAnsi="Times New Roman" w:cs="Times New Roman"/>
          <w:sz w:val="24"/>
          <w:szCs w:val="24"/>
        </w:rPr>
      </w:pPr>
    </w:p>
    <w:p w:rsidR="00122250" w:rsidRDefault="00122250"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p>
    <w:p w:rsidR="008C0A93" w:rsidRDefault="008C0A93" w:rsidP="0012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helpful comments of AER staff are gratefully acknowledged.  However, the views expressed here are those of the author.</w:t>
      </w: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79409D" w:rsidRDefault="0079409D">
      <w:pPr>
        <w:rPr>
          <w:rFonts w:ascii="Times New Roman" w:hAnsi="Times New Roman" w:cs="Times New Roman"/>
          <w:sz w:val="24"/>
          <w:szCs w:val="24"/>
        </w:rPr>
      </w:pPr>
    </w:p>
    <w:p w:rsidR="00122250" w:rsidRPr="004F366B" w:rsidRDefault="00122250" w:rsidP="00122250">
      <w:pPr>
        <w:pStyle w:val="Heading1"/>
      </w:pPr>
      <w:r w:rsidRPr="004F366B">
        <w:lastRenderedPageBreak/>
        <w:t>CONTENTS</w:t>
      </w:r>
    </w:p>
    <w:p w:rsidR="00122250" w:rsidRPr="004F366B" w:rsidRDefault="00122250" w:rsidP="00122250">
      <w:pPr>
        <w:pStyle w:val="Heading1"/>
        <w:jc w:val="both"/>
        <w:rPr>
          <w:b w:val="0"/>
        </w:rPr>
      </w:pPr>
    </w:p>
    <w:p w:rsidR="00122250" w:rsidRPr="004F366B" w:rsidRDefault="00122250" w:rsidP="00122250">
      <w:pPr>
        <w:pStyle w:val="BodyText"/>
        <w:tabs>
          <w:tab w:val="left" w:pos="8222"/>
        </w:tabs>
        <w:rPr>
          <w:b/>
          <w:bCs/>
        </w:rPr>
      </w:pPr>
      <w:r w:rsidRPr="004F366B">
        <w:t>Executive Summary</w:t>
      </w:r>
      <w:r w:rsidRPr="004F366B">
        <w:tab/>
        <w:t>3</w:t>
      </w:r>
    </w:p>
    <w:p w:rsidR="00122250" w:rsidRPr="004F366B" w:rsidRDefault="00497577" w:rsidP="00122250">
      <w:pPr>
        <w:pStyle w:val="BodyText"/>
        <w:tabs>
          <w:tab w:val="left" w:pos="8222"/>
        </w:tabs>
        <w:rPr>
          <w:b/>
          <w:bCs/>
        </w:rPr>
      </w:pPr>
      <w:r>
        <w:t>1.  Introduction</w:t>
      </w:r>
      <w:r>
        <w:tab/>
        <w:t>7</w:t>
      </w:r>
    </w:p>
    <w:p w:rsidR="00122250" w:rsidRDefault="00122250" w:rsidP="00122250">
      <w:pPr>
        <w:pStyle w:val="BodyText"/>
        <w:tabs>
          <w:tab w:val="left" w:pos="8222"/>
        </w:tabs>
      </w:pPr>
      <w:r>
        <w:t>2</w:t>
      </w:r>
      <w:r w:rsidRPr="004F366B">
        <w:t xml:space="preserve">.  </w:t>
      </w:r>
      <w:r w:rsidR="00CF5D45">
        <w:t>The Choice of Third Party Service Provider</w:t>
      </w:r>
      <w:r w:rsidR="00497577">
        <w:tab/>
        <w:t>7</w:t>
      </w:r>
    </w:p>
    <w:p w:rsidR="00CF5D45" w:rsidRDefault="00CF5D45" w:rsidP="00122250">
      <w:pPr>
        <w:pStyle w:val="BodyText"/>
        <w:tabs>
          <w:tab w:val="left" w:pos="8222"/>
        </w:tabs>
      </w:pPr>
      <w:r>
        <w:t xml:space="preserve">    </w:t>
      </w:r>
      <w:r>
        <w:rPr>
          <w:i/>
        </w:rPr>
        <w:t>2.1 The Relative Merits of the BVAL and RBA Indexes</w:t>
      </w:r>
      <w:r w:rsidR="00497577">
        <w:tab/>
        <w:t>7</w:t>
      </w:r>
    </w:p>
    <w:p w:rsidR="00CF5D45" w:rsidRDefault="00CF5D45" w:rsidP="00122250">
      <w:pPr>
        <w:pStyle w:val="BodyText"/>
        <w:tabs>
          <w:tab w:val="left" w:pos="8222"/>
        </w:tabs>
      </w:pPr>
      <w:r>
        <w:t xml:space="preserve">    </w:t>
      </w:r>
      <w:r>
        <w:rPr>
          <w:i/>
        </w:rPr>
        <w:t>2.2 The Merits of Combining Estimators</w:t>
      </w:r>
      <w:r w:rsidR="00497577">
        <w:tab/>
        <w:t>19</w:t>
      </w:r>
    </w:p>
    <w:p w:rsidR="00CF5D45" w:rsidRPr="00CF5D45" w:rsidRDefault="00CF5D45" w:rsidP="00122250">
      <w:pPr>
        <w:pStyle w:val="BodyText"/>
        <w:tabs>
          <w:tab w:val="left" w:pos="8222"/>
        </w:tabs>
      </w:pPr>
      <w:r>
        <w:t xml:space="preserve">    </w:t>
      </w:r>
      <w:r>
        <w:rPr>
          <w:i/>
        </w:rPr>
        <w:t>2.3 Contrary Views</w:t>
      </w:r>
      <w:r w:rsidR="00497577">
        <w:tab/>
        <w:t>22</w:t>
      </w:r>
    </w:p>
    <w:p w:rsidR="00122250" w:rsidRDefault="00122250" w:rsidP="00122250">
      <w:pPr>
        <w:pStyle w:val="BodyText"/>
        <w:tabs>
          <w:tab w:val="left" w:pos="8222"/>
        </w:tabs>
      </w:pPr>
      <w:r>
        <w:t>3</w:t>
      </w:r>
      <w:r w:rsidRPr="004F366B">
        <w:t xml:space="preserve">.  </w:t>
      </w:r>
      <w:r w:rsidR="00CF5D45">
        <w:t>The Efficient Financing Mix</w:t>
      </w:r>
      <w:r w:rsidR="00497577">
        <w:tab/>
        <w:t>25</w:t>
      </w:r>
    </w:p>
    <w:p w:rsidR="00122250" w:rsidRDefault="00122250" w:rsidP="005167B5">
      <w:pPr>
        <w:pStyle w:val="BodyText"/>
        <w:tabs>
          <w:tab w:val="left" w:pos="8222"/>
        </w:tabs>
      </w:pPr>
      <w:r>
        <w:t xml:space="preserve">4.  </w:t>
      </w:r>
      <w:r w:rsidR="00CF5D45">
        <w:t>Credit Ratings</w:t>
      </w:r>
      <w:r w:rsidR="00497577">
        <w:tab/>
        <w:t>28</w:t>
      </w:r>
    </w:p>
    <w:p w:rsidR="00CF5D45" w:rsidRDefault="00CF5D45" w:rsidP="005167B5">
      <w:pPr>
        <w:pStyle w:val="BodyText"/>
        <w:tabs>
          <w:tab w:val="left" w:pos="8222"/>
        </w:tabs>
      </w:pPr>
      <w:r>
        <w:t xml:space="preserve">    </w:t>
      </w:r>
      <w:r>
        <w:rPr>
          <w:i/>
        </w:rPr>
        <w:t xml:space="preserve">4.1 </w:t>
      </w:r>
      <w:r w:rsidRPr="00CF5D45">
        <w:rPr>
          <w:i/>
        </w:rPr>
        <w:t>The Appropriate Credit Rating for the Benchmark Entity</w:t>
      </w:r>
      <w:r w:rsidR="00497577">
        <w:tab/>
        <w:t>28</w:t>
      </w:r>
    </w:p>
    <w:p w:rsidR="00CF5D45" w:rsidRDefault="00CF5D45" w:rsidP="005167B5">
      <w:pPr>
        <w:pStyle w:val="BodyText"/>
        <w:tabs>
          <w:tab w:val="left" w:pos="8222"/>
        </w:tabs>
      </w:pPr>
      <w:r>
        <w:t xml:space="preserve">    </w:t>
      </w:r>
      <w:r>
        <w:rPr>
          <w:i/>
        </w:rPr>
        <w:t>4.2 The Relationship Between Costs of Debt and Credit Ratings</w:t>
      </w:r>
      <w:r w:rsidR="00497577">
        <w:tab/>
        <w:t>32</w:t>
      </w:r>
    </w:p>
    <w:p w:rsidR="00CF5D45" w:rsidRPr="00CF5D45" w:rsidRDefault="00CF5D45" w:rsidP="005167B5">
      <w:pPr>
        <w:pStyle w:val="BodyText"/>
        <w:tabs>
          <w:tab w:val="left" w:pos="8222"/>
        </w:tabs>
      </w:pPr>
      <w:r>
        <w:t xml:space="preserve">    </w:t>
      </w:r>
      <w:r>
        <w:rPr>
          <w:i/>
        </w:rPr>
        <w:t>4.3 Application of the RBA/BV</w:t>
      </w:r>
      <w:r w:rsidR="00C0172B">
        <w:rPr>
          <w:i/>
        </w:rPr>
        <w:t>AL BBB Indexes to Regulated NSPs</w:t>
      </w:r>
      <w:r w:rsidR="00497577">
        <w:tab/>
        <w:t>34</w:t>
      </w:r>
    </w:p>
    <w:p w:rsidR="005C329D" w:rsidRPr="00B91C39" w:rsidRDefault="00CF5D45" w:rsidP="005167B5">
      <w:pPr>
        <w:pStyle w:val="BodyText"/>
        <w:tabs>
          <w:tab w:val="left" w:pos="8222"/>
        </w:tabs>
      </w:pPr>
      <w:r>
        <w:t>5.  Bond Selection Criteria</w:t>
      </w:r>
      <w:r w:rsidR="00497577">
        <w:tab/>
        <w:t>35</w:t>
      </w:r>
    </w:p>
    <w:p w:rsidR="00955467" w:rsidRDefault="005C329D" w:rsidP="00122250">
      <w:pPr>
        <w:pStyle w:val="BodyText"/>
        <w:tabs>
          <w:tab w:val="left" w:pos="8222"/>
        </w:tabs>
      </w:pPr>
      <w:r>
        <w:t>6</w:t>
      </w:r>
      <w:r w:rsidR="00845215">
        <w:t xml:space="preserve">.  </w:t>
      </w:r>
      <w:r w:rsidR="00CF5D45">
        <w:t>Curve Fitting Methodology</w:t>
      </w:r>
      <w:r w:rsidR="00497577">
        <w:tab/>
        <w:t>37</w:t>
      </w:r>
    </w:p>
    <w:p w:rsidR="00CF5D45" w:rsidRDefault="00776110" w:rsidP="00122250">
      <w:pPr>
        <w:pStyle w:val="BodyText"/>
        <w:tabs>
          <w:tab w:val="left" w:pos="8222"/>
        </w:tabs>
      </w:pPr>
      <w:r>
        <w:t>7.  Curve Extrapolation</w:t>
      </w:r>
      <w:r>
        <w:tab/>
        <w:t>38</w:t>
      </w:r>
    </w:p>
    <w:p w:rsidR="00CF5D45" w:rsidRDefault="00776110" w:rsidP="00122250">
      <w:pPr>
        <w:pStyle w:val="BodyText"/>
        <w:tabs>
          <w:tab w:val="left" w:pos="8222"/>
        </w:tabs>
      </w:pPr>
      <w:r>
        <w:t>8.  Conclusions</w:t>
      </w:r>
      <w:r>
        <w:tab/>
        <w:t>44</w:t>
      </w:r>
    </w:p>
    <w:p w:rsidR="004943DF" w:rsidRDefault="00A535AE" w:rsidP="00122250">
      <w:pPr>
        <w:pStyle w:val="BodyText"/>
        <w:tabs>
          <w:tab w:val="left" w:pos="8222"/>
        </w:tabs>
      </w:pPr>
      <w:r>
        <w:t>Appendix: Terms of R</w:t>
      </w:r>
      <w:r w:rsidR="00776110">
        <w:t>eference</w:t>
      </w:r>
      <w:r w:rsidR="00776110">
        <w:tab/>
        <w:t>47</w:t>
      </w:r>
    </w:p>
    <w:p w:rsidR="00122250" w:rsidRPr="00F40A91" w:rsidRDefault="00776110" w:rsidP="00122250">
      <w:pPr>
        <w:pStyle w:val="BodyText"/>
        <w:tabs>
          <w:tab w:val="left" w:pos="8222"/>
        </w:tabs>
        <w:rPr>
          <w:b/>
          <w:bCs/>
        </w:rPr>
      </w:pPr>
      <w:r>
        <w:t>References</w:t>
      </w:r>
      <w:r>
        <w:tab/>
        <w:t>50</w:t>
      </w:r>
    </w:p>
    <w:p w:rsidR="00122250" w:rsidRDefault="00122250" w:rsidP="00122250">
      <w:pPr>
        <w:rPr>
          <w:rFonts w:ascii="Times New Roman" w:hAnsi="Times New Roman" w:cs="Times New Roman"/>
          <w:sz w:val="24"/>
          <w:szCs w:val="24"/>
        </w:rPr>
      </w:pPr>
      <w:r>
        <w:rPr>
          <w:rFonts w:ascii="Times New Roman" w:hAnsi="Times New Roman" w:cs="Times New Roman"/>
          <w:sz w:val="24"/>
          <w:szCs w:val="24"/>
        </w:rPr>
        <w:br w:type="page"/>
      </w:r>
    </w:p>
    <w:p w:rsidR="00122250" w:rsidRPr="00212FA3" w:rsidRDefault="00122250" w:rsidP="0012225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rsidR="00122250" w:rsidRDefault="00122250" w:rsidP="00122250">
      <w:pPr>
        <w:spacing w:after="0" w:line="360" w:lineRule="auto"/>
        <w:jc w:val="both"/>
        <w:rPr>
          <w:rFonts w:ascii="Times New Roman" w:hAnsi="Times New Roman" w:cs="Times New Roman"/>
          <w:sz w:val="24"/>
          <w:szCs w:val="24"/>
        </w:rPr>
      </w:pPr>
    </w:p>
    <w:p w:rsidR="00AE763C" w:rsidRDefault="00AE763C" w:rsidP="00AE763C">
      <w:pPr>
        <w:spacing w:after="0" w:line="360" w:lineRule="auto"/>
        <w:jc w:val="both"/>
        <w:rPr>
          <w:rFonts w:ascii="Times New Roman" w:hAnsi="Times New Roman" w:cs="Times New Roman"/>
          <w:sz w:val="24"/>
          <w:szCs w:val="24"/>
        </w:rPr>
      </w:pPr>
      <w:r w:rsidRPr="00312CD5">
        <w:rPr>
          <w:rFonts w:ascii="Times New Roman" w:hAnsi="Times New Roman" w:cs="Times New Roman"/>
          <w:sz w:val="24"/>
          <w:szCs w:val="24"/>
        </w:rPr>
        <w:t xml:space="preserve">In </w:t>
      </w:r>
      <w:r>
        <w:rPr>
          <w:rFonts w:ascii="Times New Roman" w:hAnsi="Times New Roman" w:cs="Times New Roman"/>
          <w:sz w:val="24"/>
          <w:szCs w:val="24"/>
        </w:rPr>
        <w:t xml:space="preserve">its recent Rate of Return Guidelines, the AER proposed switching from setting the cost of debt at the prevailing rate at the beginning of the regulatory cycle to setting it in accordance with an annually revised trailing average.  </w:t>
      </w:r>
      <w:r w:rsidR="00E070FC">
        <w:rPr>
          <w:rFonts w:ascii="Times New Roman" w:hAnsi="Times New Roman" w:cs="Times New Roman"/>
          <w:sz w:val="24"/>
          <w:szCs w:val="24"/>
        </w:rPr>
        <w:t>This has led the AER to raise a number of implementation issues with me</w:t>
      </w:r>
      <w:r>
        <w:rPr>
          <w:rFonts w:ascii="Times New Roman" w:hAnsi="Times New Roman" w:cs="Times New Roman"/>
          <w:sz w:val="24"/>
          <w:szCs w:val="24"/>
        </w:rPr>
        <w:t xml:space="preserve">, and my </w:t>
      </w:r>
      <w:r w:rsidR="00421341">
        <w:rPr>
          <w:rFonts w:ascii="Times New Roman" w:hAnsi="Times New Roman" w:cs="Times New Roman"/>
          <w:sz w:val="24"/>
          <w:szCs w:val="24"/>
        </w:rPr>
        <w:t xml:space="preserve">conclusions are as follows.  </w:t>
      </w:r>
    </w:p>
    <w:p w:rsidR="00F16838" w:rsidRDefault="00F16838" w:rsidP="00E070FC">
      <w:pPr>
        <w:spacing w:after="0" w:line="360" w:lineRule="auto"/>
        <w:jc w:val="both"/>
        <w:rPr>
          <w:rFonts w:ascii="Times New Roman" w:hAnsi="Times New Roman" w:cs="Times New Roman"/>
          <w:sz w:val="24"/>
          <w:szCs w:val="24"/>
        </w:rPr>
      </w:pPr>
    </w:p>
    <w:p w:rsidR="00AE0A96" w:rsidRDefault="00AE0A96" w:rsidP="00AE0A9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Firstly, on the question of which independent third-party data service provider should be used to estimate the cost of debt, eleven points of distinction exist between the </w:t>
      </w:r>
      <w:r w:rsidR="006F780D" w:rsidRPr="00D2278A">
        <w:rPr>
          <w:rFonts w:ascii="Times New Roman" w:hAnsi="Times New Roman" w:cs="Times New Roman"/>
          <w:sz w:val="24"/>
          <w:szCs w:val="24"/>
        </w:rPr>
        <w:t>Bloomberg Valuation Service (</w:t>
      </w:r>
      <w:r w:rsidRPr="00D2278A">
        <w:rPr>
          <w:rFonts w:ascii="Times New Roman" w:hAnsi="Times New Roman" w:cs="Times New Roman"/>
          <w:sz w:val="24"/>
          <w:szCs w:val="24"/>
        </w:rPr>
        <w:t>BVAL</w:t>
      </w:r>
      <w:r w:rsidR="006F780D" w:rsidRPr="00D2278A">
        <w:rPr>
          <w:rFonts w:ascii="Times New Roman" w:hAnsi="Times New Roman" w:cs="Times New Roman"/>
          <w:sz w:val="24"/>
          <w:szCs w:val="24"/>
        </w:rPr>
        <w:t>)</w:t>
      </w:r>
      <w:r w:rsidRPr="00D2278A">
        <w:rPr>
          <w:rFonts w:ascii="Times New Roman" w:hAnsi="Times New Roman" w:cs="Times New Roman"/>
          <w:sz w:val="24"/>
          <w:szCs w:val="24"/>
        </w:rPr>
        <w:t xml:space="preserve"> and </w:t>
      </w:r>
      <w:r w:rsidR="006F780D" w:rsidRPr="00D2278A">
        <w:rPr>
          <w:rFonts w:ascii="Times New Roman" w:hAnsi="Times New Roman" w:cs="Times New Roman"/>
          <w:sz w:val="24"/>
          <w:szCs w:val="24"/>
        </w:rPr>
        <w:t>Reserve Bank of Australia</w:t>
      </w:r>
      <w:r w:rsidR="006F780D">
        <w:rPr>
          <w:rFonts w:ascii="Times New Roman" w:hAnsi="Times New Roman" w:cs="Times New Roman"/>
          <w:sz w:val="24"/>
          <w:szCs w:val="24"/>
        </w:rPr>
        <w:t xml:space="preserve"> (</w:t>
      </w:r>
      <w:r>
        <w:rPr>
          <w:rFonts w:ascii="Times New Roman" w:hAnsi="Times New Roman" w:cs="Times New Roman"/>
          <w:sz w:val="24"/>
          <w:szCs w:val="24"/>
        </w:rPr>
        <w:t>RBA</w:t>
      </w:r>
      <w:r w:rsidR="006F780D">
        <w:rPr>
          <w:rFonts w:ascii="Times New Roman" w:hAnsi="Times New Roman" w:cs="Times New Roman"/>
          <w:sz w:val="24"/>
          <w:szCs w:val="24"/>
        </w:rPr>
        <w:t>)</w:t>
      </w:r>
      <w:r>
        <w:rPr>
          <w:rFonts w:ascii="Times New Roman" w:hAnsi="Times New Roman" w:cs="Times New Roman"/>
          <w:sz w:val="24"/>
          <w:szCs w:val="24"/>
        </w:rPr>
        <w:t xml:space="preserve"> indexes and examination of these reveals that neither index is clearly superior to the other.  I therefore recommend that a combined estimator be used.  Since the standard deviations of </w:t>
      </w:r>
      <w:r w:rsidRPr="00BE0794">
        <w:rPr>
          <w:rFonts w:ascii="Times New Roman" w:hAnsi="Times New Roman" w:cs="Times New Roman"/>
          <w:sz w:val="24"/>
          <w:szCs w:val="24"/>
        </w:rPr>
        <w:t>these estimators</w:t>
      </w:r>
      <w:r w:rsidRPr="00F95F44">
        <w:rPr>
          <w:rFonts w:ascii="Times New Roman" w:hAnsi="Times New Roman" w:cs="Times New Roman"/>
          <w:sz w:val="24"/>
          <w:szCs w:val="24"/>
        </w:rPr>
        <w:t xml:space="preserve"> </w:t>
      </w:r>
      <w:r>
        <w:rPr>
          <w:rFonts w:ascii="Times New Roman" w:hAnsi="Times New Roman" w:cs="Times New Roman"/>
          <w:sz w:val="24"/>
          <w:szCs w:val="24"/>
        </w:rPr>
        <w:t>are similar and it is not possible to quantify any biases in these two indexes, I recommend that the two indexes be equally weighted.  This will lower the</w:t>
      </w:r>
      <w:r w:rsidR="006F780D">
        <w:rPr>
          <w:rFonts w:ascii="Times New Roman" w:hAnsi="Times New Roman" w:cs="Times New Roman"/>
          <w:sz w:val="24"/>
          <w:szCs w:val="24"/>
        </w:rPr>
        <w:t xml:space="preserve"> </w:t>
      </w:r>
      <w:r w:rsidR="006F780D" w:rsidRPr="008D0C1F">
        <w:rPr>
          <w:rFonts w:ascii="Times New Roman" w:hAnsi="Times New Roman" w:cs="Times New Roman"/>
          <w:sz w:val="24"/>
          <w:szCs w:val="24"/>
        </w:rPr>
        <w:t>Mean Squared Error</w:t>
      </w:r>
      <w:r w:rsidRPr="006F780D">
        <w:rPr>
          <w:rFonts w:ascii="Times New Roman" w:hAnsi="Times New Roman" w:cs="Times New Roman"/>
          <w:sz w:val="24"/>
          <w:szCs w:val="24"/>
        </w:rPr>
        <w:t xml:space="preserve"> </w:t>
      </w:r>
      <w:r w:rsidR="006F780D">
        <w:rPr>
          <w:rFonts w:ascii="Times New Roman" w:hAnsi="Times New Roman" w:cs="Times New Roman"/>
          <w:sz w:val="24"/>
          <w:szCs w:val="24"/>
        </w:rPr>
        <w:t>(</w:t>
      </w:r>
      <w:r>
        <w:rPr>
          <w:rFonts w:ascii="Times New Roman" w:hAnsi="Times New Roman" w:cs="Times New Roman"/>
          <w:sz w:val="24"/>
          <w:szCs w:val="24"/>
        </w:rPr>
        <w:t>MSE</w:t>
      </w:r>
      <w:r w:rsidR="006F780D">
        <w:rPr>
          <w:rFonts w:ascii="Times New Roman" w:hAnsi="Times New Roman" w:cs="Times New Roman"/>
          <w:sz w:val="24"/>
          <w:szCs w:val="24"/>
        </w:rPr>
        <w:t>)</w:t>
      </w:r>
      <w:r>
        <w:rPr>
          <w:rFonts w:ascii="Times New Roman" w:hAnsi="Times New Roman" w:cs="Times New Roman"/>
          <w:sz w:val="24"/>
          <w:szCs w:val="24"/>
        </w:rPr>
        <w:t xml:space="preserve"> of the estimator relative to using only one of the indexes, and significantly so if the correlation between the indexes is low.  The contrary arguments presented by NERA, CEG, ActewAGL, and Directlink in support of sole use of the RBA index do not support their preference, and the approach proposed by Jemena (involving use of the RBA index on some occasions and the BVAL on others) sacrifices the MSE gains from a combined estimator.</w:t>
      </w:r>
    </w:p>
    <w:p w:rsidR="00AE0A96" w:rsidRDefault="00AE0A96" w:rsidP="00AE0A96">
      <w:pPr>
        <w:pStyle w:val="ListParagraph"/>
        <w:spacing w:after="0" w:line="360" w:lineRule="auto"/>
        <w:ind w:left="0"/>
        <w:jc w:val="both"/>
        <w:rPr>
          <w:rFonts w:ascii="Times New Roman" w:hAnsi="Times New Roman" w:cs="Times New Roman"/>
          <w:sz w:val="24"/>
          <w:szCs w:val="24"/>
        </w:rPr>
      </w:pPr>
    </w:p>
    <w:p w:rsidR="00AE0A96" w:rsidRDefault="00AE0A96" w:rsidP="00AE0A9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Secondly, in respect of the efficient financing mix for the benchmark entity, this involves bank debt, Australian currency bonds and foreign currency bonds so as to mitigate refinancing risk and to benefit from the flexibility of bank debt.  The optimal weights will vary over time, in inverse relation to their costs.  </w:t>
      </w:r>
    </w:p>
    <w:p w:rsidR="00AE0A96" w:rsidRDefault="00AE0A96" w:rsidP="00AE0A96">
      <w:pPr>
        <w:pStyle w:val="ListParagraph"/>
        <w:spacing w:after="0" w:line="360" w:lineRule="auto"/>
        <w:ind w:left="0"/>
        <w:jc w:val="both"/>
        <w:rPr>
          <w:rFonts w:ascii="Times New Roman" w:hAnsi="Times New Roman" w:cs="Times New Roman"/>
          <w:sz w:val="24"/>
          <w:szCs w:val="24"/>
        </w:rPr>
      </w:pPr>
    </w:p>
    <w:p w:rsidR="00AE0A96" w:rsidRDefault="00AE0A96" w:rsidP="00AE0A9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Thirdly, in using a cost of debt index that is based upon bonds, as the RBA and BVAL indexes are, bank debt is excluded and this raises the question of whether bias in the allowed cost of debt might arise.  However the very reason for excluding bank debt in the assessment of the allowed cost of debt (the lack of secondary market data) also precludes a formal assessment of this potential concern.  </w:t>
      </w:r>
      <w:r w:rsidRPr="00BE0794">
        <w:rPr>
          <w:rFonts w:ascii="Times New Roman" w:hAnsi="Times New Roman" w:cs="Times New Roman"/>
          <w:sz w:val="24"/>
          <w:szCs w:val="24"/>
        </w:rPr>
        <w:t>Furthermore, since bank debt constitutes only about 25% of the debt of regulated firms, this low weighting mitigates any bias arising from its omission from the RBA and BVAL indexes</w:t>
      </w:r>
      <w:r>
        <w:rPr>
          <w:rFonts w:ascii="Times New Roman" w:hAnsi="Times New Roman" w:cs="Times New Roman"/>
          <w:sz w:val="24"/>
          <w:szCs w:val="24"/>
        </w:rPr>
        <w:t xml:space="preserve">. </w:t>
      </w:r>
    </w:p>
    <w:p w:rsidR="00AE0A96" w:rsidRDefault="00AE0A96" w:rsidP="00AE0A96">
      <w:pPr>
        <w:pStyle w:val="ListParagraph"/>
        <w:spacing w:after="0" w:line="360" w:lineRule="auto"/>
        <w:ind w:left="0"/>
        <w:jc w:val="both"/>
        <w:rPr>
          <w:rFonts w:ascii="Times New Roman" w:hAnsi="Times New Roman" w:cs="Times New Roman"/>
          <w:sz w:val="24"/>
          <w:szCs w:val="24"/>
        </w:rPr>
      </w:pPr>
    </w:p>
    <w:p w:rsidR="00AE0A96" w:rsidRPr="00C65153" w:rsidRDefault="00AE0A96" w:rsidP="00AE0A9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Fourthly, if the AER were to use the BVAL index only or average over the RBA and BVAL indexes, the fact that the BVAL index does not include foreign bonds implies that foreign bonds will be underweighted and this raises the question of whether bias in the allowed cost of debt might arise.  However, whilst there are good grounds to believe that the cost of local currency bonds does fluctuate relative to that of otherwise identical foreign currency bonds, </w:t>
      </w:r>
      <w:r w:rsidRPr="00C65153">
        <w:rPr>
          <w:rFonts w:ascii="Times New Roman" w:hAnsi="Times New Roman" w:cs="Times New Roman"/>
          <w:sz w:val="24"/>
          <w:szCs w:val="24"/>
        </w:rPr>
        <w:t>after the currency swap required to convert foreign-currency bonds to AUD,</w:t>
      </w:r>
      <w:r>
        <w:rPr>
          <w:rFonts w:ascii="Times New Roman" w:hAnsi="Times New Roman" w:cs="Times New Roman"/>
          <w:sz w:val="24"/>
          <w:szCs w:val="24"/>
        </w:rPr>
        <w:t xml:space="preserve"> there are no grounds to believe that there is a systematically higher rate on one or the other.  Thus, the omission of foreign currency bonds from the BVAL index should not lead to systematically over or understating the cost of debt for regulated energy network businesses.  </w:t>
      </w:r>
      <w:r w:rsidRPr="00C65153">
        <w:rPr>
          <w:rFonts w:ascii="Times New Roman" w:hAnsi="Times New Roman" w:cs="Times New Roman"/>
          <w:sz w:val="24"/>
          <w:szCs w:val="24"/>
        </w:rPr>
        <w:t>In addition, even if the AER used only the RBA index, the weights on local and foreign currency bonds within that index may be significantly different to that of bonds in general and these in turn to the currently optimal weights, and this too would introduce bias but again the effect would not be systematic over time.</w:t>
      </w:r>
    </w:p>
    <w:p w:rsidR="00AE0A96" w:rsidRDefault="00AE0A96" w:rsidP="00AE0A96">
      <w:pPr>
        <w:pStyle w:val="ListParagraph"/>
        <w:spacing w:after="0" w:line="360" w:lineRule="auto"/>
        <w:ind w:left="0"/>
        <w:jc w:val="both"/>
        <w:rPr>
          <w:rFonts w:ascii="Times New Roman" w:hAnsi="Times New Roman" w:cs="Times New Roman"/>
          <w:sz w:val="24"/>
          <w:szCs w:val="24"/>
        </w:rPr>
      </w:pPr>
    </w:p>
    <w:p w:rsidR="00AE0A96" w:rsidRDefault="00AE0A96" w:rsidP="00AE0A9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Fifthly, in relation to the appropriate credit rating for regulated energy network businesses, I </w:t>
      </w:r>
      <w:r w:rsidRPr="00C65153">
        <w:rPr>
          <w:rFonts w:ascii="Times New Roman" w:hAnsi="Times New Roman" w:cs="Times New Roman"/>
          <w:sz w:val="24"/>
          <w:szCs w:val="24"/>
        </w:rPr>
        <w:t>do not think that one can differentiate between the gas and electricity businesses at the present time and I therefore favour a credit rating for the entire sector of BBB to BBB+ both at the present time and as an estimate over the next five years.</w:t>
      </w:r>
      <w:r>
        <w:rPr>
          <w:rFonts w:ascii="Times New Roman" w:hAnsi="Times New Roman" w:cs="Times New Roman"/>
          <w:sz w:val="24"/>
          <w:szCs w:val="24"/>
        </w:rPr>
        <w:t xml:space="preserve">  </w:t>
      </w:r>
    </w:p>
    <w:p w:rsidR="00AE0A96" w:rsidRDefault="00AE0A96" w:rsidP="00AE0A9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732DFD" w:rsidRPr="003C3749" w:rsidRDefault="00732DFD" w:rsidP="00732DFD">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Sixthly, in respect of whether credit ratings fully reflect the cost of debt, they do not do so because </w:t>
      </w:r>
      <w:r w:rsidRPr="00F438D1">
        <w:rPr>
          <w:rFonts w:ascii="Times New Roman" w:hAnsi="Times New Roman" w:cs="Times New Roman"/>
          <w:sz w:val="24"/>
          <w:szCs w:val="24"/>
        </w:rPr>
        <w:t>(S&amp;P)</w:t>
      </w:r>
      <w:r>
        <w:rPr>
          <w:rFonts w:ascii="Times New Roman" w:hAnsi="Times New Roman" w:cs="Times New Roman"/>
          <w:sz w:val="24"/>
          <w:szCs w:val="24"/>
        </w:rPr>
        <w:t xml:space="preserve"> credit ratings only reflect the probability of default whilst the cost of debt also reflects the liquidity, presence of call options, presence of conversion options, and the expected loss rate for the bond in the event of default.  Furthermore the bonds of regu</w:t>
      </w:r>
      <w:r w:rsidR="00D52DBB">
        <w:rPr>
          <w:rFonts w:ascii="Times New Roman" w:hAnsi="Times New Roman" w:cs="Times New Roman"/>
          <w:sz w:val="24"/>
          <w:szCs w:val="24"/>
        </w:rPr>
        <w:t xml:space="preserve">lated energy network businesses </w:t>
      </w:r>
      <w:r w:rsidR="00D52DBB" w:rsidRPr="00025140">
        <w:rPr>
          <w:rFonts w:ascii="Times New Roman" w:hAnsi="Times New Roman" w:cs="Times New Roman"/>
          <w:sz w:val="24"/>
          <w:szCs w:val="24"/>
        </w:rPr>
        <w:t>are likely to have</w:t>
      </w:r>
      <w:r w:rsidR="00D52DBB" w:rsidRPr="00D52DBB">
        <w:rPr>
          <w:rFonts w:ascii="Times New Roman" w:hAnsi="Times New Roman" w:cs="Times New Roman"/>
          <w:sz w:val="24"/>
          <w:szCs w:val="24"/>
        </w:rPr>
        <w:t xml:space="preserve"> </w:t>
      </w:r>
      <w:r w:rsidRPr="003C3749">
        <w:rPr>
          <w:rFonts w:ascii="Times New Roman" w:hAnsi="Times New Roman" w:cs="Times New Roman"/>
          <w:sz w:val="24"/>
          <w:szCs w:val="24"/>
        </w:rPr>
        <w:t>lower average liquidity than the bonds in the BVAL and RBA sets, and are also likely to have lower than normal expected loss rates for bondholders in the event of default.  The first point would lead to the BVAL or RBA indexes underestimating the cost of debt for regulated energy network businesses with the same credit ratings whilst the second point would lead to an overestimate.  The net effect of these two points is not known.  However, because the appropriate credit rating for regulated energy network businesses is BBB to BBB+ rather than BBB, the use of the BVAL or RBA indexes for the broad BBB group will overestimate the cost of debt for regulated energy network businesses.</w:t>
      </w:r>
    </w:p>
    <w:p w:rsidR="00AE0A96" w:rsidRDefault="00AE0A96" w:rsidP="00AE0A9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AE0A96" w:rsidRDefault="00AE0A96" w:rsidP="00AE0A9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Seventhly, on the question of whether differences in bond selection criteria for the BVAL and RBA indexes could have a material and systematic effect on the index results, none of the effects arising from the points of difference are clearly both significant and systematic.  </w:t>
      </w:r>
      <w:r w:rsidRPr="003C3749">
        <w:rPr>
          <w:rFonts w:ascii="Times New Roman" w:hAnsi="Times New Roman" w:cs="Times New Roman"/>
          <w:sz w:val="24"/>
          <w:szCs w:val="24"/>
        </w:rPr>
        <w:t>It is likely that the bonds in the RBA index have on average inferior liquidity than those in the BVAL index, and this will exert a systematic upward effect on the RBA index, but it is not possible to determine whether this is significant.  In addition, the presence of foreign currency bonds in the RBA index may have exerted a significant impact at some points in the past.  Finally, on the question of which index better reflects the cost of debt for the efficient benchmark entity, there is no clear winner.  The inclusion of secured bonds in the RBA index will generate results that better reflect the benchmark entity (whether it has secured bonds or not).  However, by excluding bonds with embedded options, the BVAL index better reflects the benchmark entity (which should be defined as not having any such options because the regulatory process cannot allow for them).</w:t>
      </w:r>
      <w:r>
        <w:rPr>
          <w:rFonts w:ascii="Times New Roman" w:hAnsi="Times New Roman" w:cs="Times New Roman"/>
          <w:sz w:val="24"/>
          <w:szCs w:val="24"/>
        </w:rPr>
        <w:t xml:space="preserve">  </w:t>
      </w:r>
    </w:p>
    <w:p w:rsidR="00AE0A96" w:rsidRDefault="00AE0A96" w:rsidP="00AE0A96">
      <w:pPr>
        <w:pStyle w:val="ListParagraph"/>
        <w:spacing w:after="0" w:line="360" w:lineRule="auto"/>
        <w:ind w:left="0"/>
        <w:jc w:val="both"/>
        <w:rPr>
          <w:rFonts w:ascii="Times New Roman" w:hAnsi="Times New Roman" w:cs="Times New Roman"/>
          <w:sz w:val="24"/>
          <w:szCs w:val="24"/>
        </w:rPr>
      </w:pPr>
    </w:p>
    <w:p w:rsidR="00AE0A96" w:rsidRDefault="00AE0A96" w:rsidP="00AE0A9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Eighthly, on the question of whether differences in curve fitting methodology between the BVAL and RBA indexes could have a material and systematic effect, the only clear point of distinction between the two indexes in this area is that the BVAL yields are par yields whilst the RBA yields are not.  Par yields are more appropriate for the AER’s purposes but the differences here are neither material nor systematic.</w:t>
      </w:r>
    </w:p>
    <w:p w:rsidR="00AE0A96" w:rsidRDefault="00AE0A96" w:rsidP="00AE0A96">
      <w:pPr>
        <w:pStyle w:val="ListParagraph"/>
        <w:spacing w:after="0" w:line="360" w:lineRule="auto"/>
        <w:ind w:left="0"/>
        <w:jc w:val="both"/>
        <w:rPr>
          <w:rFonts w:ascii="Times New Roman" w:hAnsi="Times New Roman" w:cs="Times New Roman"/>
          <w:sz w:val="24"/>
          <w:szCs w:val="24"/>
        </w:rPr>
      </w:pPr>
    </w:p>
    <w:p w:rsidR="00AF2010" w:rsidRPr="008A7DF6" w:rsidRDefault="00AF2010" w:rsidP="00AF201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Finally, on the question of how to extend the BVAL and RBA indexes out to ten years, both indexes require extension out to ten years, the BVAL because the longest tenor is seven years and the RBA because the effective tenor of the bonds used for the ten-year term is generally less than ten years (and has averaged 8.7 years since its inception).  The components requiring extension are the base rate and the DRP, </w:t>
      </w:r>
      <w:r w:rsidRPr="00066D34">
        <w:rPr>
          <w:rFonts w:ascii="Times New Roman" w:hAnsi="Times New Roman" w:cs="Times New Roman"/>
          <w:sz w:val="24"/>
          <w:szCs w:val="24"/>
        </w:rPr>
        <w:t>although the RBA performs the base rate extension itself.</w:t>
      </w:r>
      <w:r w:rsidRPr="00AF2010">
        <w:rPr>
          <w:rFonts w:ascii="Times New Roman" w:hAnsi="Times New Roman" w:cs="Times New Roman"/>
          <w:sz w:val="24"/>
          <w:szCs w:val="24"/>
        </w:rPr>
        <w:t xml:space="preserve">  The </w:t>
      </w:r>
      <w:r w:rsidRPr="008A7DF6">
        <w:rPr>
          <w:rFonts w:ascii="Times New Roman" w:hAnsi="Times New Roman" w:cs="Times New Roman"/>
          <w:sz w:val="24"/>
          <w:szCs w:val="24"/>
        </w:rPr>
        <w:t xml:space="preserve">CGS is marginally preferred over the swap rate as the base rate although the results are almost identical in either approach.  The CGS can be extended using RBA data on bonds with maturity dates shortly before and after the relevant points in time.  In respect of the DRP, the required extension term for the RBA index is only 1.3 years on average (from 8.7 to 10 years), and this favours the simplest technique, which is linear extrapolation using the DRP data for the effective tenors for both the ‘seven’ and ‘ten’ year values.  In respect of the BVAL, linear extrapolation is no longer clearly favoured because the extension period is now three years (from seven to ten years) rather than only 1.3 years.  The available evidence suggests that the best method is use of the RBA data for the effective </w:t>
      </w:r>
      <w:r w:rsidRPr="008A7DF6">
        <w:rPr>
          <w:rFonts w:ascii="Times New Roman" w:hAnsi="Times New Roman" w:cs="Times New Roman"/>
          <w:sz w:val="24"/>
          <w:szCs w:val="24"/>
        </w:rPr>
        <w:lastRenderedPageBreak/>
        <w:t xml:space="preserve">tenors for both the ‘seven’ and ‘ten’ year values.  Since these extension procedures are feasible, and would likely lead to different margins over the course of a five-year regulatory period, there is no case for adopting a fixed margin for the five-year </w:t>
      </w:r>
      <w:r>
        <w:rPr>
          <w:rFonts w:ascii="Times New Roman" w:hAnsi="Times New Roman" w:cs="Times New Roman"/>
          <w:sz w:val="24"/>
          <w:szCs w:val="24"/>
        </w:rPr>
        <w:t xml:space="preserve">regulatory </w:t>
      </w:r>
      <w:r w:rsidRPr="008A7DF6">
        <w:rPr>
          <w:rFonts w:ascii="Times New Roman" w:hAnsi="Times New Roman" w:cs="Times New Roman"/>
          <w:sz w:val="24"/>
          <w:szCs w:val="24"/>
        </w:rPr>
        <w:t>period.</w:t>
      </w:r>
    </w:p>
    <w:p w:rsidR="00AF2010" w:rsidRDefault="00AF2010" w:rsidP="00AE0A96">
      <w:pPr>
        <w:pStyle w:val="ListParagraph"/>
        <w:spacing w:after="0" w:line="360" w:lineRule="auto"/>
        <w:ind w:left="0"/>
        <w:jc w:val="both"/>
        <w:rPr>
          <w:rFonts w:ascii="Times New Roman" w:hAnsi="Times New Roman" w:cs="Times New Roman"/>
          <w:sz w:val="24"/>
          <w:szCs w:val="24"/>
        </w:rPr>
      </w:pPr>
    </w:p>
    <w:p w:rsidR="002525B5" w:rsidRDefault="002525B5">
      <w:pPr>
        <w:rPr>
          <w:rFonts w:ascii="Times New Roman" w:hAnsi="Times New Roman" w:cs="Times New Roman"/>
          <w:sz w:val="24"/>
          <w:szCs w:val="24"/>
        </w:rPr>
      </w:pPr>
      <w:r>
        <w:rPr>
          <w:rFonts w:ascii="Times New Roman" w:hAnsi="Times New Roman" w:cs="Times New Roman"/>
          <w:sz w:val="24"/>
          <w:szCs w:val="24"/>
        </w:rPr>
        <w:br w:type="page"/>
      </w:r>
    </w:p>
    <w:p w:rsidR="00122250" w:rsidRPr="001B4D30" w:rsidRDefault="00122250" w:rsidP="004F585D">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122250" w:rsidRDefault="00122250" w:rsidP="00122250">
      <w:pPr>
        <w:spacing w:after="0" w:line="360" w:lineRule="auto"/>
        <w:jc w:val="both"/>
        <w:rPr>
          <w:rFonts w:ascii="Times New Roman" w:hAnsi="Times New Roman" w:cs="Times New Roman"/>
          <w:sz w:val="24"/>
          <w:szCs w:val="24"/>
        </w:rPr>
      </w:pPr>
    </w:p>
    <w:p w:rsidR="00036B1E" w:rsidRDefault="00122250" w:rsidP="00122250">
      <w:pPr>
        <w:spacing w:after="0" w:line="360" w:lineRule="auto"/>
        <w:jc w:val="both"/>
        <w:rPr>
          <w:rFonts w:ascii="Times New Roman" w:hAnsi="Times New Roman" w:cs="Times New Roman"/>
          <w:sz w:val="24"/>
          <w:szCs w:val="24"/>
        </w:rPr>
      </w:pPr>
      <w:r w:rsidRPr="00312CD5">
        <w:rPr>
          <w:rFonts w:ascii="Times New Roman" w:hAnsi="Times New Roman" w:cs="Times New Roman"/>
          <w:sz w:val="24"/>
          <w:szCs w:val="24"/>
        </w:rPr>
        <w:t xml:space="preserve">In </w:t>
      </w:r>
      <w:r w:rsidR="0079409D">
        <w:rPr>
          <w:rFonts w:ascii="Times New Roman" w:hAnsi="Times New Roman" w:cs="Times New Roman"/>
          <w:sz w:val="24"/>
          <w:szCs w:val="24"/>
        </w:rPr>
        <w:t>its recent Rate of Return Guidelines (AER, 2013</w:t>
      </w:r>
      <w:r w:rsidR="00F6628B">
        <w:rPr>
          <w:rFonts w:ascii="Times New Roman" w:hAnsi="Times New Roman" w:cs="Times New Roman"/>
          <w:sz w:val="24"/>
          <w:szCs w:val="24"/>
        </w:rPr>
        <w:t>a</w:t>
      </w:r>
      <w:r w:rsidR="0079409D">
        <w:rPr>
          <w:rFonts w:ascii="Times New Roman" w:hAnsi="Times New Roman" w:cs="Times New Roman"/>
          <w:sz w:val="24"/>
          <w:szCs w:val="24"/>
        </w:rPr>
        <w:t>), the AER</w:t>
      </w:r>
      <w:r w:rsidR="006279AB">
        <w:rPr>
          <w:rFonts w:ascii="Times New Roman" w:hAnsi="Times New Roman" w:cs="Times New Roman"/>
          <w:sz w:val="24"/>
          <w:szCs w:val="24"/>
        </w:rPr>
        <w:t xml:space="preserve"> proposed switching from </w:t>
      </w:r>
      <w:r w:rsidR="003E6235">
        <w:rPr>
          <w:rFonts w:ascii="Times New Roman" w:hAnsi="Times New Roman" w:cs="Times New Roman"/>
          <w:sz w:val="24"/>
          <w:szCs w:val="24"/>
        </w:rPr>
        <w:t>setting the cost of debt at the prevailing rate at the beginning of the regulatory cycle to setting it in accordance with an annually revised trailing average</w:t>
      </w:r>
      <w:r w:rsidR="009145B1">
        <w:rPr>
          <w:rFonts w:ascii="Times New Roman" w:hAnsi="Times New Roman" w:cs="Times New Roman"/>
          <w:sz w:val="24"/>
          <w:szCs w:val="24"/>
        </w:rPr>
        <w:t xml:space="preserve">, </w:t>
      </w:r>
      <w:r w:rsidR="006D5A32">
        <w:rPr>
          <w:rFonts w:ascii="Times New Roman" w:hAnsi="Times New Roman" w:cs="Times New Roman"/>
          <w:sz w:val="24"/>
          <w:szCs w:val="24"/>
        </w:rPr>
        <w:t xml:space="preserve">to </w:t>
      </w:r>
      <w:r w:rsidR="009145B1">
        <w:rPr>
          <w:rFonts w:ascii="Times New Roman" w:hAnsi="Times New Roman" w:cs="Times New Roman"/>
          <w:sz w:val="24"/>
          <w:szCs w:val="24"/>
        </w:rPr>
        <w:t xml:space="preserve">use an independent third party service provider to estimate the cost of debt, </w:t>
      </w:r>
      <w:r w:rsidR="00FC0374">
        <w:rPr>
          <w:rFonts w:ascii="Times New Roman" w:hAnsi="Times New Roman" w:cs="Times New Roman"/>
          <w:sz w:val="24"/>
          <w:szCs w:val="24"/>
        </w:rPr>
        <w:t xml:space="preserve">to use a debt term of ten years, </w:t>
      </w:r>
      <w:r w:rsidR="009145B1">
        <w:rPr>
          <w:rFonts w:ascii="Times New Roman" w:hAnsi="Times New Roman" w:cs="Times New Roman"/>
          <w:sz w:val="24"/>
          <w:szCs w:val="24"/>
        </w:rPr>
        <w:t>and to use a benchmark credit rating of BBB+</w:t>
      </w:r>
      <w:r w:rsidR="003E6235">
        <w:rPr>
          <w:rFonts w:ascii="Times New Roman" w:hAnsi="Times New Roman" w:cs="Times New Roman"/>
          <w:sz w:val="24"/>
          <w:szCs w:val="24"/>
        </w:rPr>
        <w:t xml:space="preserve">.  </w:t>
      </w:r>
      <w:r w:rsidR="00E070FC">
        <w:rPr>
          <w:rFonts w:ascii="Times New Roman" w:hAnsi="Times New Roman" w:cs="Times New Roman"/>
          <w:sz w:val="24"/>
          <w:szCs w:val="24"/>
        </w:rPr>
        <w:t xml:space="preserve">This has led the AER to raise a number of implementation issues with me, as </w:t>
      </w:r>
      <w:r w:rsidR="005416F5">
        <w:rPr>
          <w:rFonts w:ascii="Times New Roman" w:hAnsi="Times New Roman" w:cs="Times New Roman"/>
          <w:sz w:val="24"/>
          <w:szCs w:val="24"/>
        </w:rPr>
        <w:t xml:space="preserve">detailed in the Appendix.  </w:t>
      </w:r>
      <w:r w:rsidR="00036B1E">
        <w:rPr>
          <w:rFonts w:ascii="Times New Roman" w:hAnsi="Times New Roman" w:cs="Times New Roman"/>
          <w:sz w:val="24"/>
          <w:szCs w:val="24"/>
        </w:rPr>
        <w:t>This paper seeks to address these questions.</w:t>
      </w:r>
    </w:p>
    <w:p w:rsidR="00D613F0" w:rsidRDefault="00D613F0" w:rsidP="00122250">
      <w:pPr>
        <w:spacing w:after="0" w:line="360" w:lineRule="auto"/>
        <w:jc w:val="both"/>
        <w:rPr>
          <w:rFonts w:ascii="Times New Roman" w:hAnsi="Times New Roman" w:cs="Times New Roman"/>
          <w:sz w:val="24"/>
          <w:szCs w:val="24"/>
        </w:rPr>
      </w:pPr>
    </w:p>
    <w:p w:rsidR="00122250" w:rsidRDefault="00F45695" w:rsidP="004F585D">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The Choice of Third Party Data Service Provider</w:t>
      </w:r>
    </w:p>
    <w:p w:rsidR="00903A4A" w:rsidRPr="00A1252C" w:rsidRDefault="00A1252C" w:rsidP="00903A4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2.1 The Relative Merits of the BVAL and RBA Indexes</w:t>
      </w:r>
    </w:p>
    <w:p w:rsidR="00A136F9" w:rsidRDefault="00F45695"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available third party providers for the cost of debt are the BVAL corporate debt yield curve and the RBA Australian non-financial corporation debt yield curve.  Neither </w:t>
      </w:r>
      <w:r w:rsidR="00E94A51">
        <w:rPr>
          <w:rFonts w:ascii="Times New Roman" w:hAnsi="Times New Roman" w:cs="Times New Roman"/>
          <w:sz w:val="24"/>
          <w:szCs w:val="24"/>
        </w:rPr>
        <w:t>of these providers offers a BBB+</w:t>
      </w:r>
      <w:r>
        <w:rPr>
          <w:rFonts w:ascii="Times New Roman" w:hAnsi="Times New Roman" w:cs="Times New Roman"/>
          <w:sz w:val="24"/>
          <w:szCs w:val="24"/>
        </w:rPr>
        <w:t xml:space="preserve"> curve and the nearest </w:t>
      </w:r>
      <w:r w:rsidR="00E94A51">
        <w:rPr>
          <w:rFonts w:ascii="Times New Roman" w:hAnsi="Times New Roman" w:cs="Times New Roman"/>
          <w:sz w:val="24"/>
          <w:szCs w:val="24"/>
        </w:rPr>
        <w:t xml:space="preserve">available </w:t>
      </w:r>
      <w:r>
        <w:rPr>
          <w:rFonts w:ascii="Times New Roman" w:hAnsi="Times New Roman" w:cs="Times New Roman"/>
          <w:sz w:val="24"/>
          <w:szCs w:val="24"/>
        </w:rPr>
        <w:t>option is the</w:t>
      </w:r>
      <w:r w:rsidR="003E4359">
        <w:rPr>
          <w:rFonts w:ascii="Times New Roman" w:hAnsi="Times New Roman" w:cs="Times New Roman"/>
          <w:sz w:val="24"/>
          <w:szCs w:val="24"/>
        </w:rPr>
        <w:t xml:space="preserve"> broad</w:t>
      </w:r>
      <w:r>
        <w:rPr>
          <w:rFonts w:ascii="Times New Roman" w:hAnsi="Times New Roman" w:cs="Times New Roman"/>
          <w:sz w:val="24"/>
          <w:szCs w:val="24"/>
        </w:rPr>
        <w:t xml:space="preserve"> BBB curve</w:t>
      </w:r>
      <w:r w:rsidR="00E94A51">
        <w:rPr>
          <w:rFonts w:ascii="Times New Roman" w:hAnsi="Times New Roman" w:cs="Times New Roman"/>
          <w:sz w:val="24"/>
          <w:szCs w:val="24"/>
        </w:rPr>
        <w:t xml:space="preserve"> (which incorporates </w:t>
      </w:r>
      <w:r w:rsidR="006D5A32">
        <w:rPr>
          <w:rFonts w:ascii="Times New Roman" w:hAnsi="Times New Roman" w:cs="Times New Roman"/>
          <w:sz w:val="24"/>
          <w:szCs w:val="24"/>
        </w:rPr>
        <w:t xml:space="preserve">BBB-, BBB, </w:t>
      </w:r>
      <w:r w:rsidR="00E94A51">
        <w:rPr>
          <w:rFonts w:ascii="Times New Roman" w:hAnsi="Times New Roman" w:cs="Times New Roman"/>
          <w:sz w:val="24"/>
          <w:szCs w:val="24"/>
        </w:rPr>
        <w:t>and BBB+ bonds)</w:t>
      </w:r>
      <w:r>
        <w:rPr>
          <w:rFonts w:ascii="Times New Roman" w:hAnsi="Times New Roman" w:cs="Times New Roman"/>
          <w:sz w:val="24"/>
          <w:szCs w:val="24"/>
        </w:rPr>
        <w:t xml:space="preserve">.  </w:t>
      </w:r>
      <w:r w:rsidR="002525B5">
        <w:rPr>
          <w:rFonts w:ascii="Times New Roman" w:hAnsi="Times New Roman" w:cs="Times New Roman"/>
          <w:sz w:val="24"/>
          <w:szCs w:val="24"/>
        </w:rPr>
        <w:t>The Regulatory Economic Unit</w:t>
      </w:r>
      <w:r w:rsidR="00ED3646">
        <w:rPr>
          <w:rFonts w:ascii="Times New Roman" w:hAnsi="Times New Roman" w:cs="Times New Roman"/>
          <w:sz w:val="24"/>
          <w:szCs w:val="24"/>
        </w:rPr>
        <w:t xml:space="preserve"> </w:t>
      </w:r>
      <w:r>
        <w:rPr>
          <w:rFonts w:ascii="Times New Roman" w:hAnsi="Times New Roman" w:cs="Times New Roman"/>
          <w:sz w:val="24"/>
          <w:szCs w:val="24"/>
        </w:rPr>
        <w:t>(</w:t>
      </w:r>
      <w:r w:rsidR="00254E37">
        <w:rPr>
          <w:rFonts w:ascii="Times New Roman" w:hAnsi="Times New Roman" w:cs="Times New Roman"/>
          <w:sz w:val="24"/>
          <w:szCs w:val="24"/>
        </w:rPr>
        <w:t xml:space="preserve">REU: </w:t>
      </w:r>
      <w:r>
        <w:rPr>
          <w:rFonts w:ascii="Times New Roman" w:hAnsi="Times New Roman" w:cs="Times New Roman"/>
          <w:sz w:val="24"/>
          <w:szCs w:val="24"/>
        </w:rPr>
        <w:t xml:space="preserve">2014) </w:t>
      </w:r>
      <w:r w:rsidR="00DB7DF9">
        <w:rPr>
          <w:rFonts w:ascii="Times New Roman" w:hAnsi="Times New Roman" w:cs="Times New Roman"/>
          <w:sz w:val="24"/>
          <w:szCs w:val="24"/>
        </w:rPr>
        <w:t>has examined these two series, and has identi</w:t>
      </w:r>
      <w:r w:rsidR="006D5A32">
        <w:rPr>
          <w:rFonts w:ascii="Times New Roman" w:hAnsi="Times New Roman" w:cs="Times New Roman"/>
          <w:sz w:val="24"/>
          <w:szCs w:val="24"/>
        </w:rPr>
        <w:t>fied the following distinctions:</w:t>
      </w:r>
      <w:r w:rsidR="00DB7DF9">
        <w:rPr>
          <w:rFonts w:ascii="Times New Roman" w:hAnsi="Times New Roman" w:cs="Times New Roman"/>
          <w:sz w:val="24"/>
          <w:szCs w:val="24"/>
        </w:rPr>
        <w:t xml:space="preserve">  </w:t>
      </w:r>
    </w:p>
    <w:p w:rsidR="00A136F9" w:rsidRDefault="00A136F9"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w:t>
      </w:r>
      <w:r w:rsidR="00A373F4">
        <w:rPr>
          <w:rFonts w:ascii="Times New Roman" w:hAnsi="Times New Roman" w:cs="Times New Roman"/>
          <w:sz w:val="24"/>
          <w:szCs w:val="24"/>
        </w:rPr>
        <w:t xml:space="preserve">BVAL is available daily whilst the RBA is only available monthly.  </w:t>
      </w:r>
    </w:p>
    <w:p w:rsidR="000D27FD" w:rsidRDefault="00A136F9"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w:t>
      </w:r>
      <w:r w:rsidR="00A373F4">
        <w:rPr>
          <w:rFonts w:ascii="Times New Roman" w:hAnsi="Times New Roman" w:cs="Times New Roman"/>
          <w:sz w:val="24"/>
          <w:szCs w:val="24"/>
        </w:rPr>
        <w:t xml:space="preserve">BVAL is only available for terms up to </w:t>
      </w:r>
      <w:r w:rsidR="00F438D1">
        <w:rPr>
          <w:rFonts w:ascii="Times New Roman" w:hAnsi="Times New Roman" w:cs="Times New Roman"/>
          <w:sz w:val="24"/>
          <w:szCs w:val="24"/>
        </w:rPr>
        <w:t>seven</w:t>
      </w:r>
      <w:r w:rsidR="00A373F4">
        <w:rPr>
          <w:rFonts w:ascii="Times New Roman" w:hAnsi="Times New Roman" w:cs="Times New Roman"/>
          <w:sz w:val="24"/>
          <w:szCs w:val="24"/>
        </w:rPr>
        <w:t xml:space="preserve"> years, and therefore would have to be extrapolated out to the desired ten years, whilst the RBA is </w:t>
      </w:r>
      <w:r w:rsidR="006D5A32">
        <w:rPr>
          <w:rFonts w:ascii="Times New Roman" w:hAnsi="Times New Roman" w:cs="Times New Roman"/>
          <w:sz w:val="24"/>
          <w:szCs w:val="24"/>
        </w:rPr>
        <w:t xml:space="preserve">at least notionally </w:t>
      </w:r>
      <w:r w:rsidR="00A373F4">
        <w:rPr>
          <w:rFonts w:ascii="Times New Roman" w:hAnsi="Times New Roman" w:cs="Times New Roman"/>
          <w:sz w:val="24"/>
          <w:szCs w:val="24"/>
        </w:rPr>
        <w:t>available</w:t>
      </w:r>
      <w:r>
        <w:rPr>
          <w:rFonts w:ascii="Times New Roman" w:hAnsi="Times New Roman" w:cs="Times New Roman"/>
          <w:sz w:val="24"/>
          <w:szCs w:val="24"/>
        </w:rPr>
        <w:t xml:space="preserve"> for the desired ten year term.</w:t>
      </w:r>
    </w:p>
    <w:p w:rsidR="00A136F9" w:rsidRDefault="00A136F9"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BVAL sample </w:t>
      </w:r>
      <w:r w:rsidR="006D5A32">
        <w:rPr>
          <w:rFonts w:ascii="Times New Roman" w:hAnsi="Times New Roman" w:cs="Times New Roman"/>
          <w:sz w:val="24"/>
          <w:szCs w:val="24"/>
        </w:rPr>
        <w:t xml:space="preserve">of bonds </w:t>
      </w:r>
      <w:r>
        <w:rPr>
          <w:rFonts w:ascii="Times New Roman" w:hAnsi="Times New Roman" w:cs="Times New Roman"/>
          <w:sz w:val="24"/>
          <w:szCs w:val="24"/>
        </w:rPr>
        <w:t xml:space="preserve">is limited to those with a minimum pricing quality </w:t>
      </w:r>
      <w:r w:rsidR="00BF1C80">
        <w:rPr>
          <w:rFonts w:ascii="Times New Roman" w:hAnsi="Times New Roman" w:cs="Times New Roman"/>
          <w:sz w:val="24"/>
          <w:szCs w:val="24"/>
        </w:rPr>
        <w:t>(liquidity measure)</w:t>
      </w:r>
      <w:r w:rsidR="00483B33">
        <w:rPr>
          <w:rFonts w:ascii="Times New Roman" w:hAnsi="Times New Roman" w:cs="Times New Roman"/>
          <w:sz w:val="24"/>
          <w:szCs w:val="24"/>
        </w:rPr>
        <w:t xml:space="preserve">, </w:t>
      </w:r>
      <w:r w:rsidR="000719E4" w:rsidRPr="00DE633A">
        <w:rPr>
          <w:rFonts w:ascii="Times New Roman" w:hAnsi="Times New Roman" w:cs="Times New Roman"/>
          <w:sz w:val="24"/>
          <w:szCs w:val="24"/>
        </w:rPr>
        <w:t>at least two months to maturity</w:t>
      </w:r>
      <w:r w:rsidR="00483B33" w:rsidRPr="00DE633A">
        <w:rPr>
          <w:rFonts w:ascii="Times New Roman" w:hAnsi="Times New Roman" w:cs="Times New Roman"/>
          <w:sz w:val="24"/>
          <w:szCs w:val="24"/>
        </w:rPr>
        <w:t xml:space="preserve">, and above retail size ($10m: see </w:t>
      </w:r>
      <w:r w:rsidR="00254E37">
        <w:rPr>
          <w:rFonts w:ascii="Times New Roman" w:hAnsi="Times New Roman" w:cs="Times New Roman"/>
          <w:sz w:val="24"/>
          <w:szCs w:val="24"/>
        </w:rPr>
        <w:t xml:space="preserve">REU, </w:t>
      </w:r>
      <w:r w:rsidR="00483B33" w:rsidRPr="00DE633A">
        <w:rPr>
          <w:rFonts w:ascii="Times New Roman" w:hAnsi="Times New Roman" w:cs="Times New Roman"/>
          <w:sz w:val="24"/>
          <w:szCs w:val="24"/>
        </w:rPr>
        <w:t>2014, page 20),</w:t>
      </w:r>
      <w:r w:rsidR="00BF1C80">
        <w:rPr>
          <w:rFonts w:ascii="Times New Roman" w:hAnsi="Times New Roman" w:cs="Times New Roman"/>
          <w:sz w:val="24"/>
          <w:szCs w:val="24"/>
        </w:rPr>
        <w:t xml:space="preserve"> </w:t>
      </w:r>
      <w:r>
        <w:rPr>
          <w:rFonts w:ascii="Times New Roman" w:hAnsi="Times New Roman" w:cs="Times New Roman"/>
          <w:sz w:val="24"/>
          <w:szCs w:val="24"/>
        </w:rPr>
        <w:t xml:space="preserve">whilst the RBA </w:t>
      </w:r>
      <w:r w:rsidR="008F41BD">
        <w:rPr>
          <w:rFonts w:ascii="Times New Roman" w:hAnsi="Times New Roman" w:cs="Times New Roman"/>
          <w:sz w:val="24"/>
          <w:szCs w:val="24"/>
        </w:rPr>
        <w:t xml:space="preserve">sample </w:t>
      </w:r>
      <w:r>
        <w:rPr>
          <w:rFonts w:ascii="Times New Roman" w:hAnsi="Times New Roman" w:cs="Times New Roman"/>
          <w:sz w:val="24"/>
          <w:szCs w:val="24"/>
        </w:rPr>
        <w:t>is limited to bond issues of at least $100mAUD</w:t>
      </w:r>
      <w:r w:rsidR="00135777">
        <w:rPr>
          <w:rFonts w:ascii="Times New Roman" w:hAnsi="Times New Roman" w:cs="Times New Roman"/>
          <w:sz w:val="24"/>
          <w:szCs w:val="24"/>
        </w:rPr>
        <w:t xml:space="preserve"> and at least one year to maturity</w:t>
      </w:r>
      <w:r>
        <w:rPr>
          <w:rFonts w:ascii="Times New Roman" w:hAnsi="Times New Roman" w:cs="Times New Roman"/>
          <w:sz w:val="24"/>
          <w:szCs w:val="24"/>
        </w:rPr>
        <w:t>.</w:t>
      </w:r>
    </w:p>
    <w:p w:rsidR="00A136F9" w:rsidRDefault="00A136F9"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The BVAL sample does not exclude finan</w:t>
      </w:r>
      <w:r w:rsidR="008F41BD">
        <w:rPr>
          <w:rFonts w:ascii="Times New Roman" w:hAnsi="Times New Roman" w:cs="Times New Roman"/>
          <w:sz w:val="24"/>
          <w:szCs w:val="24"/>
        </w:rPr>
        <w:t>cial corporations whilst the RBA’s</w:t>
      </w:r>
      <w:r>
        <w:rPr>
          <w:rFonts w:ascii="Times New Roman" w:hAnsi="Times New Roman" w:cs="Times New Roman"/>
          <w:sz w:val="24"/>
          <w:szCs w:val="24"/>
        </w:rPr>
        <w:t xml:space="preserve"> does.</w:t>
      </w:r>
    </w:p>
    <w:p w:rsidR="00A136F9" w:rsidRDefault="00726250"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BVAL sample is limited to unsecured bonds whilst </w:t>
      </w:r>
      <w:r w:rsidR="008F41BD">
        <w:rPr>
          <w:rFonts w:ascii="Times New Roman" w:hAnsi="Times New Roman" w:cs="Times New Roman"/>
          <w:sz w:val="24"/>
          <w:szCs w:val="24"/>
        </w:rPr>
        <w:t xml:space="preserve">the RBA’s </w:t>
      </w:r>
      <w:r>
        <w:rPr>
          <w:rFonts w:ascii="Times New Roman" w:hAnsi="Times New Roman" w:cs="Times New Roman"/>
          <w:sz w:val="24"/>
          <w:szCs w:val="24"/>
        </w:rPr>
        <w:t>sample includes both sec</w:t>
      </w:r>
      <w:r w:rsidR="00AA63EB">
        <w:rPr>
          <w:rFonts w:ascii="Times New Roman" w:hAnsi="Times New Roman" w:cs="Times New Roman"/>
          <w:sz w:val="24"/>
          <w:szCs w:val="24"/>
        </w:rPr>
        <w:t>ured and unsecured bonds.</w:t>
      </w:r>
    </w:p>
    <w:p w:rsidR="00AA63EB" w:rsidRDefault="00AA63EB"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BVAL sample </w:t>
      </w:r>
      <w:r w:rsidR="00620070">
        <w:rPr>
          <w:rFonts w:ascii="Times New Roman" w:hAnsi="Times New Roman" w:cs="Times New Roman"/>
          <w:sz w:val="24"/>
          <w:szCs w:val="24"/>
        </w:rPr>
        <w:t xml:space="preserve">is limited to </w:t>
      </w:r>
      <w:r>
        <w:rPr>
          <w:rFonts w:ascii="Times New Roman" w:hAnsi="Times New Roman" w:cs="Times New Roman"/>
          <w:sz w:val="24"/>
          <w:szCs w:val="24"/>
        </w:rPr>
        <w:t xml:space="preserve">bonds rated by </w:t>
      </w:r>
      <w:r w:rsidR="00AF2BFB">
        <w:rPr>
          <w:rFonts w:ascii="Times New Roman" w:hAnsi="Times New Roman" w:cs="Times New Roman"/>
          <w:sz w:val="24"/>
          <w:szCs w:val="24"/>
        </w:rPr>
        <w:t xml:space="preserve">either </w:t>
      </w:r>
      <w:r>
        <w:rPr>
          <w:rFonts w:ascii="Times New Roman" w:hAnsi="Times New Roman" w:cs="Times New Roman"/>
          <w:sz w:val="24"/>
          <w:szCs w:val="24"/>
        </w:rPr>
        <w:t xml:space="preserve">S&amp;P </w:t>
      </w:r>
      <w:r w:rsidR="000F01CC">
        <w:rPr>
          <w:rFonts w:ascii="Times New Roman" w:hAnsi="Times New Roman" w:cs="Times New Roman"/>
          <w:sz w:val="24"/>
          <w:szCs w:val="24"/>
        </w:rPr>
        <w:t xml:space="preserve">or </w:t>
      </w:r>
      <w:r>
        <w:rPr>
          <w:rFonts w:ascii="Times New Roman" w:hAnsi="Times New Roman" w:cs="Times New Roman"/>
          <w:sz w:val="24"/>
          <w:szCs w:val="24"/>
        </w:rPr>
        <w:t>Moody’s, whilst the RBA sample is limited to bonds rated by S&amp;P</w:t>
      </w:r>
      <w:r w:rsidR="00620070">
        <w:rPr>
          <w:rFonts w:ascii="Times New Roman" w:hAnsi="Times New Roman" w:cs="Times New Roman"/>
          <w:sz w:val="24"/>
          <w:szCs w:val="24"/>
        </w:rPr>
        <w:t xml:space="preserve"> </w:t>
      </w:r>
      <w:r w:rsidR="00620070" w:rsidRPr="00DE633A">
        <w:rPr>
          <w:rFonts w:ascii="Times New Roman" w:hAnsi="Times New Roman" w:cs="Times New Roman"/>
          <w:sz w:val="24"/>
          <w:szCs w:val="24"/>
        </w:rPr>
        <w:t>or issued by a firm with an S&amp;P rating</w:t>
      </w:r>
      <w:r>
        <w:rPr>
          <w:rFonts w:ascii="Times New Roman" w:hAnsi="Times New Roman" w:cs="Times New Roman"/>
          <w:sz w:val="24"/>
          <w:szCs w:val="24"/>
        </w:rPr>
        <w:t>.</w:t>
      </w:r>
    </w:p>
    <w:p w:rsidR="00726250" w:rsidRDefault="00726250"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The BVAL sample is limited to AUD denominated bonds whilst the RBA sample also includes USD and Euro denominated bonds.</w:t>
      </w:r>
    </w:p>
    <w:p w:rsidR="00726250" w:rsidRDefault="00726250"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BVAL sample </w:t>
      </w:r>
      <w:r w:rsidRPr="00DE633A">
        <w:rPr>
          <w:rFonts w:ascii="Times New Roman" w:hAnsi="Times New Roman" w:cs="Times New Roman"/>
          <w:sz w:val="24"/>
          <w:szCs w:val="24"/>
        </w:rPr>
        <w:t xml:space="preserve">excludes bonds with </w:t>
      </w:r>
      <w:r w:rsidR="00317CA8" w:rsidRPr="00DE633A">
        <w:rPr>
          <w:rFonts w:ascii="Times New Roman" w:hAnsi="Times New Roman" w:cs="Times New Roman"/>
          <w:sz w:val="24"/>
          <w:szCs w:val="24"/>
        </w:rPr>
        <w:t>call</w:t>
      </w:r>
      <w:r w:rsidR="00422727" w:rsidRPr="00DE633A">
        <w:rPr>
          <w:rFonts w:ascii="Times New Roman" w:hAnsi="Times New Roman" w:cs="Times New Roman"/>
          <w:sz w:val="24"/>
          <w:szCs w:val="24"/>
        </w:rPr>
        <w:t xml:space="preserve">, </w:t>
      </w:r>
      <w:r w:rsidR="00317CA8" w:rsidRPr="00DE633A">
        <w:rPr>
          <w:rFonts w:ascii="Times New Roman" w:hAnsi="Times New Roman" w:cs="Times New Roman"/>
          <w:sz w:val="24"/>
          <w:szCs w:val="24"/>
        </w:rPr>
        <w:t xml:space="preserve">put </w:t>
      </w:r>
      <w:r w:rsidR="00422727" w:rsidRPr="00DE633A">
        <w:rPr>
          <w:rFonts w:ascii="Times New Roman" w:hAnsi="Times New Roman" w:cs="Times New Roman"/>
          <w:sz w:val="24"/>
          <w:szCs w:val="24"/>
        </w:rPr>
        <w:t>and conversion options,</w:t>
      </w:r>
      <w:r w:rsidR="00317CA8" w:rsidRPr="00DE633A">
        <w:rPr>
          <w:rFonts w:ascii="Times New Roman" w:hAnsi="Times New Roman" w:cs="Times New Roman"/>
          <w:sz w:val="24"/>
          <w:szCs w:val="24"/>
        </w:rPr>
        <w:t xml:space="preserve"> </w:t>
      </w:r>
      <w:r w:rsidRPr="00DE633A">
        <w:rPr>
          <w:rFonts w:ascii="Times New Roman" w:hAnsi="Times New Roman" w:cs="Times New Roman"/>
          <w:sz w:val="24"/>
          <w:szCs w:val="24"/>
        </w:rPr>
        <w:t>whils</w:t>
      </w:r>
      <w:r w:rsidR="00343D50" w:rsidRPr="00DE633A">
        <w:rPr>
          <w:rFonts w:ascii="Times New Roman" w:hAnsi="Times New Roman" w:cs="Times New Roman"/>
          <w:sz w:val="24"/>
          <w:szCs w:val="24"/>
        </w:rPr>
        <w:t xml:space="preserve">t the RBA </w:t>
      </w:r>
      <w:r w:rsidR="000F01CC" w:rsidRPr="00DE633A">
        <w:rPr>
          <w:rFonts w:ascii="Times New Roman" w:hAnsi="Times New Roman" w:cs="Times New Roman"/>
          <w:sz w:val="24"/>
          <w:szCs w:val="24"/>
        </w:rPr>
        <w:t xml:space="preserve">sample </w:t>
      </w:r>
      <w:r w:rsidR="00343D50" w:rsidRPr="00DE633A">
        <w:rPr>
          <w:rFonts w:ascii="Times New Roman" w:hAnsi="Times New Roman" w:cs="Times New Roman"/>
          <w:sz w:val="24"/>
          <w:szCs w:val="24"/>
        </w:rPr>
        <w:t>does not exclude them</w:t>
      </w:r>
      <w:r w:rsidR="00343D50">
        <w:rPr>
          <w:rFonts w:ascii="Times New Roman" w:hAnsi="Times New Roman" w:cs="Times New Roman"/>
          <w:sz w:val="24"/>
          <w:szCs w:val="24"/>
        </w:rPr>
        <w:t>.</w:t>
      </w:r>
    </w:p>
    <w:p w:rsidR="00343D50" w:rsidRDefault="00D44245"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lastRenderedPageBreak/>
        <w:t>The BVAL methodology involves a par yield curve whilst the RBA’s does not.</w:t>
      </w:r>
    </w:p>
    <w:p w:rsidR="00343D50" w:rsidRDefault="00343D50"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w:t>
      </w:r>
      <w:r w:rsidR="00D44245">
        <w:rPr>
          <w:rFonts w:ascii="Times New Roman" w:hAnsi="Times New Roman" w:cs="Times New Roman"/>
          <w:sz w:val="24"/>
          <w:szCs w:val="24"/>
        </w:rPr>
        <w:t>BVAL methodology for curve fitting is (in large part) not disclosed whilst the RBA’s methodology is disclosed.</w:t>
      </w:r>
    </w:p>
    <w:p w:rsidR="00586D66" w:rsidRDefault="00586D66" w:rsidP="00343D50">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BVAL is only available back to February 2011 (continuously) whilst the RBA is available back to January 2005, and therefore there will be more problems obtaining a ten-year trailing average </w:t>
      </w:r>
      <w:r w:rsidR="000F01CC">
        <w:rPr>
          <w:rFonts w:ascii="Times New Roman" w:hAnsi="Times New Roman" w:cs="Times New Roman"/>
          <w:sz w:val="24"/>
          <w:szCs w:val="24"/>
        </w:rPr>
        <w:t xml:space="preserve">when </w:t>
      </w:r>
      <w:r>
        <w:rPr>
          <w:rFonts w:ascii="Times New Roman" w:hAnsi="Times New Roman" w:cs="Times New Roman"/>
          <w:sz w:val="24"/>
          <w:szCs w:val="24"/>
        </w:rPr>
        <w:t>using the BVAL.</w:t>
      </w:r>
    </w:p>
    <w:p w:rsidR="00F45695" w:rsidRDefault="00F45695" w:rsidP="00122250">
      <w:pPr>
        <w:pStyle w:val="ListParagraph"/>
        <w:spacing w:after="0" w:line="360" w:lineRule="auto"/>
        <w:ind w:left="0"/>
        <w:jc w:val="both"/>
        <w:rPr>
          <w:rFonts w:ascii="Times New Roman" w:hAnsi="Times New Roman" w:cs="Times New Roman"/>
          <w:sz w:val="24"/>
          <w:szCs w:val="24"/>
        </w:rPr>
      </w:pPr>
    </w:p>
    <w:p w:rsidR="00A45E19" w:rsidRPr="00DE633A" w:rsidRDefault="007C2FF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w:t>
      </w:r>
      <w:r w:rsidR="006E5571">
        <w:rPr>
          <w:rFonts w:ascii="Times New Roman" w:hAnsi="Times New Roman" w:cs="Times New Roman"/>
          <w:sz w:val="24"/>
          <w:szCs w:val="24"/>
        </w:rPr>
        <w:t xml:space="preserve">respect of point (1), </w:t>
      </w:r>
      <w:r w:rsidR="00D45E44">
        <w:rPr>
          <w:rFonts w:ascii="Times New Roman" w:hAnsi="Times New Roman" w:cs="Times New Roman"/>
          <w:sz w:val="24"/>
          <w:szCs w:val="24"/>
        </w:rPr>
        <w:t xml:space="preserve">NERA (2014, pp. 16-17) </w:t>
      </w:r>
      <w:r>
        <w:rPr>
          <w:rFonts w:ascii="Times New Roman" w:hAnsi="Times New Roman" w:cs="Times New Roman"/>
          <w:sz w:val="24"/>
          <w:szCs w:val="24"/>
        </w:rPr>
        <w:t xml:space="preserve">argues that this is not significant because the </w:t>
      </w:r>
      <w:r w:rsidR="00D45E44">
        <w:rPr>
          <w:rFonts w:ascii="Times New Roman" w:hAnsi="Times New Roman" w:cs="Times New Roman"/>
          <w:sz w:val="24"/>
          <w:szCs w:val="24"/>
        </w:rPr>
        <w:t xml:space="preserve">average difference </w:t>
      </w:r>
      <w:r w:rsidR="00626940">
        <w:rPr>
          <w:rFonts w:ascii="Times New Roman" w:hAnsi="Times New Roman" w:cs="Times New Roman"/>
          <w:sz w:val="24"/>
          <w:szCs w:val="24"/>
        </w:rPr>
        <w:t xml:space="preserve">between a </w:t>
      </w:r>
      <w:r w:rsidR="00EF4B77">
        <w:rPr>
          <w:rFonts w:ascii="Times New Roman" w:hAnsi="Times New Roman" w:cs="Times New Roman"/>
          <w:sz w:val="24"/>
          <w:szCs w:val="24"/>
        </w:rPr>
        <w:t xml:space="preserve">one-year </w:t>
      </w:r>
      <w:r w:rsidR="00626940">
        <w:rPr>
          <w:rFonts w:ascii="Times New Roman" w:hAnsi="Times New Roman" w:cs="Times New Roman"/>
          <w:sz w:val="24"/>
          <w:szCs w:val="24"/>
        </w:rPr>
        <w:t xml:space="preserve">trailing average based upon daily and end of month observations </w:t>
      </w:r>
      <w:r w:rsidR="0017422F">
        <w:rPr>
          <w:rFonts w:ascii="Times New Roman" w:hAnsi="Times New Roman" w:cs="Times New Roman"/>
          <w:sz w:val="24"/>
          <w:szCs w:val="24"/>
        </w:rPr>
        <w:t xml:space="preserve">(for the BFV seven-year index data from 2001 to 2014) </w:t>
      </w:r>
      <w:r w:rsidR="00626940">
        <w:rPr>
          <w:rFonts w:ascii="Times New Roman" w:hAnsi="Times New Roman" w:cs="Times New Roman"/>
          <w:sz w:val="24"/>
          <w:szCs w:val="24"/>
        </w:rPr>
        <w:t xml:space="preserve">is only 0.7 basis points (and does not exceed nine basis </w:t>
      </w:r>
      <w:r w:rsidR="00EF4B77">
        <w:rPr>
          <w:rFonts w:ascii="Times New Roman" w:hAnsi="Times New Roman" w:cs="Times New Roman"/>
          <w:sz w:val="24"/>
          <w:szCs w:val="24"/>
        </w:rPr>
        <w:t>points)</w:t>
      </w:r>
      <w:r w:rsidR="00626940">
        <w:rPr>
          <w:rFonts w:ascii="Times New Roman" w:hAnsi="Times New Roman" w:cs="Times New Roman"/>
          <w:sz w:val="24"/>
          <w:szCs w:val="24"/>
        </w:rPr>
        <w:t>, and these figures decline to 0.4 basis points and 1.4 basis points respectively for a ten-year trailing aver</w:t>
      </w:r>
      <w:r w:rsidR="007345BC">
        <w:rPr>
          <w:rFonts w:ascii="Times New Roman" w:hAnsi="Times New Roman" w:cs="Times New Roman"/>
          <w:sz w:val="24"/>
          <w:szCs w:val="24"/>
        </w:rPr>
        <w:t>age</w:t>
      </w:r>
      <w:r w:rsidR="00626940">
        <w:rPr>
          <w:rFonts w:ascii="Times New Roman" w:hAnsi="Times New Roman" w:cs="Times New Roman"/>
          <w:sz w:val="24"/>
          <w:szCs w:val="24"/>
        </w:rPr>
        <w:t xml:space="preserve">.  </w:t>
      </w:r>
      <w:r w:rsidR="00F70CF7" w:rsidRPr="00DE633A">
        <w:rPr>
          <w:rFonts w:ascii="Times New Roman" w:hAnsi="Times New Roman" w:cs="Times New Roman"/>
          <w:sz w:val="24"/>
          <w:szCs w:val="24"/>
        </w:rPr>
        <w:t xml:space="preserve">However, these results are not inconsistent with </w:t>
      </w:r>
      <w:r w:rsidR="00DE25C2" w:rsidRPr="00DE633A">
        <w:rPr>
          <w:rFonts w:ascii="Times New Roman" w:hAnsi="Times New Roman" w:cs="Times New Roman"/>
          <w:sz w:val="24"/>
          <w:szCs w:val="24"/>
        </w:rPr>
        <w:t xml:space="preserve">the BVAL having </w:t>
      </w:r>
      <w:r w:rsidR="00F70CF7" w:rsidRPr="00DE633A">
        <w:rPr>
          <w:rFonts w:ascii="Times New Roman" w:hAnsi="Times New Roman" w:cs="Times New Roman"/>
          <w:sz w:val="24"/>
          <w:szCs w:val="24"/>
        </w:rPr>
        <w:t xml:space="preserve">a significant </w:t>
      </w:r>
      <w:r w:rsidR="00DE25C2" w:rsidRPr="00DE633A">
        <w:rPr>
          <w:rFonts w:ascii="Times New Roman" w:hAnsi="Times New Roman" w:cs="Times New Roman"/>
          <w:sz w:val="24"/>
          <w:szCs w:val="24"/>
        </w:rPr>
        <w:t xml:space="preserve">advantage </w:t>
      </w:r>
      <w:r w:rsidR="00EF4B77" w:rsidRPr="00DE633A">
        <w:rPr>
          <w:rFonts w:ascii="Times New Roman" w:hAnsi="Times New Roman" w:cs="Times New Roman"/>
          <w:sz w:val="24"/>
          <w:szCs w:val="24"/>
        </w:rPr>
        <w:t xml:space="preserve">over the RBA </w:t>
      </w:r>
      <w:r w:rsidR="00626940" w:rsidRPr="00DE633A">
        <w:rPr>
          <w:rFonts w:ascii="Times New Roman" w:hAnsi="Times New Roman" w:cs="Times New Roman"/>
          <w:sz w:val="24"/>
          <w:szCs w:val="24"/>
        </w:rPr>
        <w:t xml:space="preserve">during the first </w:t>
      </w:r>
      <w:r w:rsidR="006F54D9" w:rsidRPr="00DE633A">
        <w:rPr>
          <w:rFonts w:ascii="Times New Roman" w:hAnsi="Times New Roman" w:cs="Times New Roman"/>
          <w:sz w:val="24"/>
          <w:szCs w:val="24"/>
        </w:rPr>
        <w:t xml:space="preserve">ten </w:t>
      </w:r>
      <w:r w:rsidR="00626940" w:rsidRPr="00DE633A">
        <w:rPr>
          <w:rFonts w:ascii="Times New Roman" w:hAnsi="Times New Roman" w:cs="Times New Roman"/>
          <w:sz w:val="24"/>
          <w:szCs w:val="24"/>
        </w:rPr>
        <w:t xml:space="preserve">years </w:t>
      </w:r>
      <w:r w:rsidR="00480196" w:rsidRPr="00DE633A">
        <w:rPr>
          <w:rFonts w:ascii="Times New Roman" w:hAnsi="Times New Roman" w:cs="Times New Roman"/>
          <w:sz w:val="24"/>
          <w:szCs w:val="24"/>
        </w:rPr>
        <w:t xml:space="preserve">of the new regime </w:t>
      </w:r>
      <w:r w:rsidR="00D600B4" w:rsidRPr="00DE633A">
        <w:rPr>
          <w:rFonts w:ascii="Times New Roman" w:hAnsi="Times New Roman" w:cs="Times New Roman"/>
          <w:sz w:val="24"/>
          <w:szCs w:val="24"/>
        </w:rPr>
        <w:t xml:space="preserve">providing that </w:t>
      </w:r>
      <w:r w:rsidR="006A3CAD" w:rsidRPr="00DE633A">
        <w:rPr>
          <w:rFonts w:ascii="Times New Roman" w:hAnsi="Times New Roman" w:cs="Times New Roman"/>
          <w:sz w:val="24"/>
          <w:szCs w:val="24"/>
        </w:rPr>
        <w:t xml:space="preserve">the AER’s proposed transitional process were used </w:t>
      </w:r>
      <w:r w:rsidR="00626940" w:rsidRPr="00DE633A">
        <w:rPr>
          <w:rFonts w:ascii="Times New Roman" w:hAnsi="Times New Roman" w:cs="Times New Roman"/>
          <w:sz w:val="24"/>
          <w:szCs w:val="24"/>
        </w:rPr>
        <w:t xml:space="preserve">(involving use of the prevailing cost of debt </w:t>
      </w:r>
      <w:r w:rsidR="00EF4B77" w:rsidRPr="00DE633A">
        <w:rPr>
          <w:rFonts w:ascii="Times New Roman" w:hAnsi="Times New Roman" w:cs="Times New Roman"/>
          <w:sz w:val="24"/>
          <w:szCs w:val="24"/>
        </w:rPr>
        <w:t xml:space="preserve">for </w:t>
      </w:r>
      <w:r w:rsidR="00626940" w:rsidRPr="00DE633A">
        <w:rPr>
          <w:rFonts w:ascii="Times New Roman" w:hAnsi="Times New Roman" w:cs="Times New Roman"/>
          <w:sz w:val="24"/>
          <w:szCs w:val="24"/>
        </w:rPr>
        <w:t>the first year</w:t>
      </w:r>
      <w:r w:rsidR="007345BC" w:rsidRPr="00DE633A">
        <w:rPr>
          <w:rFonts w:ascii="Times New Roman" w:hAnsi="Times New Roman" w:cs="Times New Roman"/>
          <w:sz w:val="24"/>
          <w:szCs w:val="24"/>
        </w:rPr>
        <w:t xml:space="preserve"> rather than a ten-year trailing average</w:t>
      </w:r>
      <w:r w:rsidR="00626940" w:rsidRPr="00DE633A">
        <w:rPr>
          <w:rFonts w:ascii="Times New Roman" w:hAnsi="Times New Roman" w:cs="Times New Roman"/>
          <w:sz w:val="24"/>
          <w:szCs w:val="24"/>
        </w:rPr>
        <w:t xml:space="preserve">) and the averaging period </w:t>
      </w:r>
      <w:r w:rsidR="00EF4B77" w:rsidRPr="00DE633A">
        <w:rPr>
          <w:rFonts w:ascii="Times New Roman" w:hAnsi="Times New Roman" w:cs="Times New Roman"/>
          <w:sz w:val="24"/>
          <w:szCs w:val="24"/>
        </w:rPr>
        <w:t xml:space="preserve">used </w:t>
      </w:r>
      <w:r w:rsidR="00626940" w:rsidRPr="00DE633A">
        <w:rPr>
          <w:rFonts w:ascii="Times New Roman" w:hAnsi="Times New Roman" w:cs="Times New Roman"/>
          <w:sz w:val="24"/>
          <w:szCs w:val="24"/>
        </w:rPr>
        <w:t xml:space="preserve">within a year </w:t>
      </w:r>
      <w:r w:rsidR="00EF4B77" w:rsidRPr="00DE633A">
        <w:rPr>
          <w:rFonts w:ascii="Times New Roman" w:hAnsi="Times New Roman" w:cs="Times New Roman"/>
          <w:sz w:val="24"/>
          <w:szCs w:val="24"/>
        </w:rPr>
        <w:t xml:space="preserve">was </w:t>
      </w:r>
      <w:r w:rsidR="006F54D9" w:rsidRPr="00DE633A">
        <w:rPr>
          <w:rFonts w:ascii="Times New Roman" w:hAnsi="Times New Roman" w:cs="Times New Roman"/>
          <w:sz w:val="24"/>
          <w:szCs w:val="24"/>
        </w:rPr>
        <w:t>short</w:t>
      </w:r>
      <w:r w:rsidR="00D600B4" w:rsidRPr="00DE633A">
        <w:rPr>
          <w:rFonts w:ascii="Times New Roman" w:hAnsi="Times New Roman" w:cs="Times New Roman"/>
          <w:sz w:val="24"/>
          <w:szCs w:val="24"/>
        </w:rPr>
        <w:t>, but not otherwise</w:t>
      </w:r>
      <w:r w:rsidR="006F54D9" w:rsidRPr="00DE633A">
        <w:rPr>
          <w:rFonts w:ascii="Times New Roman" w:hAnsi="Times New Roman" w:cs="Times New Roman"/>
          <w:sz w:val="24"/>
          <w:szCs w:val="24"/>
        </w:rPr>
        <w:t>.  For example, if the averaging period used within a year was one month</w:t>
      </w:r>
      <w:r w:rsidRPr="00DE633A">
        <w:rPr>
          <w:rFonts w:ascii="Times New Roman" w:hAnsi="Times New Roman" w:cs="Times New Roman"/>
          <w:sz w:val="24"/>
          <w:szCs w:val="24"/>
        </w:rPr>
        <w:t xml:space="preserve">, then the cost of debt for the first year of the new regime would involve </w:t>
      </w:r>
      <w:r w:rsidR="00F70CF7" w:rsidRPr="00DE633A">
        <w:rPr>
          <w:rFonts w:ascii="Times New Roman" w:hAnsi="Times New Roman" w:cs="Times New Roman"/>
          <w:sz w:val="24"/>
          <w:szCs w:val="24"/>
        </w:rPr>
        <w:t xml:space="preserve">only one </w:t>
      </w:r>
      <w:r w:rsidRPr="00DE633A">
        <w:rPr>
          <w:rFonts w:ascii="Times New Roman" w:hAnsi="Times New Roman" w:cs="Times New Roman"/>
          <w:sz w:val="24"/>
          <w:szCs w:val="24"/>
        </w:rPr>
        <w:t>RBA observation and one month of daily BVAL observations and this choice would clearly favour the BVAL because the single RBA end of month observation</w:t>
      </w:r>
      <w:r w:rsidR="006F54D9" w:rsidRPr="00DE633A">
        <w:rPr>
          <w:rFonts w:ascii="Times New Roman" w:hAnsi="Times New Roman" w:cs="Times New Roman"/>
          <w:sz w:val="24"/>
          <w:szCs w:val="24"/>
        </w:rPr>
        <w:t xml:space="preserve"> </w:t>
      </w:r>
      <w:r w:rsidRPr="00DE633A">
        <w:rPr>
          <w:rFonts w:ascii="Times New Roman" w:hAnsi="Times New Roman" w:cs="Times New Roman"/>
          <w:sz w:val="24"/>
          <w:szCs w:val="24"/>
        </w:rPr>
        <w:t xml:space="preserve">might be quite untypical of the rest of the month.  By contrast, if the averaging period used within a year was again one month but the ten-year </w:t>
      </w:r>
      <w:r w:rsidR="006F54D9" w:rsidRPr="00DE633A">
        <w:rPr>
          <w:rFonts w:ascii="Times New Roman" w:hAnsi="Times New Roman" w:cs="Times New Roman"/>
          <w:sz w:val="24"/>
          <w:szCs w:val="24"/>
        </w:rPr>
        <w:t xml:space="preserve">transitional period had passed and therefore a ten-year trailing average was used, this would involve ten </w:t>
      </w:r>
      <w:r w:rsidR="00D429DC" w:rsidRPr="00DE633A">
        <w:rPr>
          <w:rFonts w:ascii="Times New Roman" w:hAnsi="Times New Roman" w:cs="Times New Roman"/>
          <w:sz w:val="24"/>
          <w:szCs w:val="24"/>
        </w:rPr>
        <w:t xml:space="preserve">RBA </w:t>
      </w:r>
      <w:r w:rsidR="006F54D9" w:rsidRPr="00DE633A">
        <w:rPr>
          <w:rFonts w:ascii="Times New Roman" w:hAnsi="Times New Roman" w:cs="Times New Roman"/>
          <w:sz w:val="24"/>
          <w:szCs w:val="24"/>
        </w:rPr>
        <w:t xml:space="preserve">observations </w:t>
      </w:r>
      <w:r w:rsidR="00D429DC" w:rsidRPr="00DE633A">
        <w:rPr>
          <w:rFonts w:ascii="Times New Roman" w:hAnsi="Times New Roman" w:cs="Times New Roman"/>
          <w:sz w:val="24"/>
          <w:szCs w:val="24"/>
        </w:rPr>
        <w:t xml:space="preserve">(one per year) </w:t>
      </w:r>
      <w:r w:rsidR="006F54D9" w:rsidRPr="00DE633A">
        <w:rPr>
          <w:rFonts w:ascii="Times New Roman" w:hAnsi="Times New Roman" w:cs="Times New Roman"/>
          <w:sz w:val="24"/>
          <w:szCs w:val="24"/>
        </w:rPr>
        <w:t>and ten months of daily BVAL data</w:t>
      </w:r>
      <w:r w:rsidR="00D429DC" w:rsidRPr="00DE633A">
        <w:rPr>
          <w:rFonts w:ascii="Times New Roman" w:hAnsi="Times New Roman" w:cs="Times New Roman"/>
          <w:sz w:val="24"/>
          <w:szCs w:val="24"/>
        </w:rPr>
        <w:t xml:space="preserve"> (one month per year)</w:t>
      </w:r>
      <w:r w:rsidR="006F54D9" w:rsidRPr="00DE633A">
        <w:rPr>
          <w:rFonts w:ascii="Times New Roman" w:hAnsi="Times New Roman" w:cs="Times New Roman"/>
          <w:sz w:val="24"/>
          <w:szCs w:val="24"/>
        </w:rPr>
        <w:t xml:space="preserve">, with results likely to be </w:t>
      </w:r>
      <w:r w:rsidRPr="00DE633A">
        <w:rPr>
          <w:rFonts w:ascii="Times New Roman" w:hAnsi="Times New Roman" w:cs="Times New Roman"/>
          <w:sz w:val="24"/>
          <w:szCs w:val="24"/>
        </w:rPr>
        <w:t xml:space="preserve">very </w:t>
      </w:r>
      <w:r w:rsidR="006F54D9" w:rsidRPr="00DE633A">
        <w:rPr>
          <w:rFonts w:ascii="Times New Roman" w:hAnsi="Times New Roman" w:cs="Times New Roman"/>
          <w:sz w:val="24"/>
          <w:szCs w:val="24"/>
        </w:rPr>
        <w:t xml:space="preserve">similar </w:t>
      </w:r>
      <w:r w:rsidRPr="00DE633A">
        <w:rPr>
          <w:rFonts w:ascii="Times New Roman" w:hAnsi="Times New Roman" w:cs="Times New Roman"/>
          <w:sz w:val="24"/>
          <w:szCs w:val="24"/>
        </w:rPr>
        <w:t xml:space="preserve">(as with </w:t>
      </w:r>
      <w:r w:rsidR="006F54D9" w:rsidRPr="00DE633A">
        <w:rPr>
          <w:rFonts w:ascii="Times New Roman" w:hAnsi="Times New Roman" w:cs="Times New Roman"/>
          <w:sz w:val="24"/>
          <w:szCs w:val="24"/>
        </w:rPr>
        <w:t>NERA’s results f</w:t>
      </w:r>
      <w:r w:rsidRPr="00DE633A">
        <w:rPr>
          <w:rFonts w:ascii="Times New Roman" w:hAnsi="Times New Roman" w:cs="Times New Roman"/>
          <w:sz w:val="24"/>
          <w:szCs w:val="24"/>
        </w:rPr>
        <w:t xml:space="preserve">or a one-year trailing average, </w:t>
      </w:r>
      <w:r w:rsidR="006F54D9" w:rsidRPr="00DE633A">
        <w:rPr>
          <w:rFonts w:ascii="Times New Roman" w:hAnsi="Times New Roman" w:cs="Times New Roman"/>
          <w:sz w:val="24"/>
          <w:szCs w:val="24"/>
        </w:rPr>
        <w:t xml:space="preserve">involving 12 </w:t>
      </w:r>
      <w:r w:rsidR="00D429DC" w:rsidRPr="00DE633A">
        <w:rPr>
          <w:rFonts w:ascii="Times New Roman" w:hAnsi="Times New Roman" w:cs="Times New Roman"/>
          <w:sz w:val="24"/>
          <w:szCs w:val="24"/>
        </w:rPr>
        <w:t xml:space="preserve">monthly </w:t>
      </w:r>
      <w:r w:rsidR="006F54D9" w:rsidRPr="00DE633A">
        <w:rPr>
          <w:rFonts w:ascii="Times New Roman" w:hAnsi="Times New Roman" w:cs="Times New Roman"/>
          <w:sz w:val="24"/>
          <w:szCs w:val="24"/>
        </w:rPr>
        <w:t>RBA observations and 12 months of daily BVAL data).</w:t>
      </w:r>
    </w:p>
    <w:p w:rsidR="00A45E19" w:rsidRDefault="00A45E19" w:rsidP="00122250">
      <w:pPr>
        <w:pStyle w:val="ListParagraph"/>
        <w:spacing w:after="0" w:line="360" w:lineRule="auto"/>
        <w:ind w:left="0"/>
        <w:jc w:val="both"/>
        <w:rPr>
          <w:rFonts w:ascii="Times New Roman" w:hAnsi="Times New Roman" w:cs="Times New Roman"/>
          <w:sz w:val="24"/>
          <w:szCs w:val="24"/>
        </w:rPr>
      </w:pPr>
    </w:p>
    <w:p w:rsidR="00D45E44" w:rsidRDefault="00A45E1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respect of point (2), </w:t>
      </w:r>
      <w:r w:rsidR="003760D8">
        <w:rPr>
          <w:rFonts w:ascii="Times New Roman" w:hAnsi="Times New Roman" w:cs="Times New Roman"/>
          <w:sz w:val="24"/>
          <w:szCs w:val="24"/>
        </w:rPr>
        <w:t>the RBA is not available for ten years as the average tenor of the bonds used for that purpose (since January 2005, from when the RBA is available from) is only 8.7 years.</w:t>
      </w:r>
      <w:r w:rsidR="003760D8">
        <w:rPr>
          <w:rStyle w:val="FootnoteReference"/>
          <w:rFonts w:ascii="Times New Roman" w:hAnsi="Times New Roman" w:cs="Times New Roman"/>
          <w:sz w:val="24"/>
          <w:szCs w:val="24"/>
        </w:rPr>
        <w:footnoteReference w:id="1"/>
      </w:r>
      <w:r w:rsidR="003760D8">
        <w:rPr>
          <w:rFonts w:ascii="Times New Roman" w:hAnsi="Times New Roman" w:cs="Times New Roman"/>
          <w:sz w:val="24"/>
          <w:szCs w:val="24"/>
        </w:rPr>
        <w:t xml:space="preserve">  Thus, both indexes require extrapolation out to ten years and therefore the advantage of the RBA index is less than </w:t>
      </w:r>
      <w:r w:rsidR="00D429DC">
        <w:rPr>
          <w:rFonts w:ascii="Times New Roman" w:hAnsi="Times New Roman" w:cs="Times New Roman"/>
          <w:sz w:val="24"/>
          <w:szCs w:val="24"/>
        </w:rPr>
        <w:t xml:space="preserve">appears.  </w:t>
      </w:r>
      <w:r w:rsidR="003760D8">
        <w:rPr>
          <w:rFonts w:ascii="Times New Roman" w:hAnsi="Times New Roman" w:cs="Times New Roman"/>
          <w:sz w:val="24"/>
          <w:szCs w:val="24"/>
        </w:rPr>
        <w:t xml:space="preserve">In addition, </w:t>
      </w:r>
      <w:r>
        <w:rPr>
          <w:rFonts w:ascii="Times New Roman" w:hAnsi="Times New Roman" w:cs="Times New Roman"/>
          <w:sz w:val="24"/>
          <w:szCs w:val="24"/>
        </w:rPr>
        <w:t xml:space="preserve">NERA (2014, page 13) argues that the extrapolation required for the BVAL cannot be undertaken automatically and therefore will repeatedly require subjective and </w:t>
      </w:r>
      <w:r w:rsidR="00480196">
        <w:rPr>
          <w:rFonts w:ascii="Times New Roman" w:hAnsi="Times New Roman" w:cs="Times New Roman"/>
          <w:sz w:val="24"/>
          <w:szCs w:val="24"/>
        </w:rPr>
        <w:t xml:space="preserve">therefore </w:t>
      </w:r>
      <w:r>
        <w:rPr>
          <w:rFonts w:ascii="Times New Roman" w:hAnsi="Times New Roman" w:cs="Times New Roman"/>
          <w:sz w:val="24"/>
          <w:szCs w:val="24"/>
        </w:rPr>
        <w:t xml:space="preserve">contentious judgements.  However, </w:t>
      </w:r>
      <w:r>
        <w:rPr>
          <w:rFonts w:ascii="Times New Roman" w:hAnsi="Times New Roman" w:cs="Times New Roman"/>
          <w:sz w:val="24"/>
          <w:szCs w:val="24"/>
        </w:rPr>
        <w:lastRenderedPageBreak/>
        <w:t>this claim is not correct.  As</w:t>
      </w:r>
      <w:r w:rsidR="000F01CC">
        <w:rPr>
          <w:rFonts w:ascii="Times New Roman" w:hAnsi="Times New Roman" w:cs="Times New Roman"/>
          <w:sz w:val="24"/>
          <w:szCs w:val="24"/>
        </w:rPr>
        <w:t xml:space="preserve"> will be discussed in section 7</w:t>
      </w:r>
      <w:r>
        <w:rPr>
          <w:rFonts w:ascii="Times New Roman" w:hAnsi="Times New Roman" w:cs="Times New Roman"/>
          <w:sz w:val="24"/>
          <w:szCs w:val="24"/>
        </w:rPr>
        <w:t xml:space="preserve">, there are a number of extrapolation methods that require no judgement in implementing them.  </w:t>
      </w:r>
    </w:p>
    <w:p w:rsidR="00D45E44" w:rsidRDefault="00D45E44" w:rsidP="00122250">
      <w:pPr>
        <w:pStyle w:val="ListParagraph"/>
        <w:spacing w:after="0" w:line="360" w:lineRule="auto"/>
        <w:ind w:left="0"/>
        <w:jc w:val="both"/>
        <w:rPr>
          <w:rFonts w:ascii="Times New Roman" w:hAnsi="Times New Roman" w:cs="Times New Roman"/>
          <w:sz w:val="24"/>
          <w:szCs w:val="24"/>
        </w:rPr>
      </w:pPr>
    </w:p>
    <w:p w:rsidR="00135777" w:rsidRDefault="00135777"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In respect of point (3), the RBA criteria serve as liquidity proxies but the BVAL criterion is more direct and therefore superior</w:t>
      </w:r>
      <w:r w:rsidR="00CF1DDB">
        <w:rPr>
          <w:rFonts w:ascii="Times New Roman" w:hAnsi="Times New Roman" w:cs="Times New Roman"/>
          <w:sz w:val="24"/>
          <w:szCs w:val="24"/>
        </w:rPr>
        <w:t xml:space="preserve">, i.e., some </w:t>
      </w:r>
      <w:r>
        <w:rPr>
          <w:rFonts w:ascii="Times New Roman" w:hAnsi="Times New Roman" w:cs="Times New Roman"/>
          <w:sz w:val="24"/>
          <w:szCs w:val="24"/>
        </w:rPr>
        <w:t xml:space="preserve">bonds that satisfy the RBA criteria may be highly illiquid and therefore would be excluded by the BVAL but not the RBA.  Liquidity is important for two reasons.  Firstly, illiquid bonds typically do not have recent trades and therefore the estimated yield to maturity is more likely to be in error.  Secondly, </w:t>
      </w:r>
      <w:r w:rsidR="001735CA">
        <w:rPr>
          <w:rFonts w:ascii="Times New Roman" w:hAnsi="Times New Roman" w:cs="Times New Roman"/>
          <w:sz w:val="24"/>
          <w:szCs w:val="24"/>
        </w:rPr>
        <w:t xml:space="preserve">when less liquid bonds do trade, the </w:t>
      </w:r>
      <w:r>
        <w:rPr>
          <w:rFonts w:ascii="Times New Roman" w:hAnsi="Times New Roman" w:cs="Times New Roman"/>
          <w:sz w:val="24"/>
          <w:szCs w:val="24"/>
        </w:rPr>
        <w:t xml:space="preserve">yield will be higher than otherwise to </w:t>
      </w:r>
      <w:r w:rsidR="00CF1DDB">
        <w:rPr>
          <w:rFonts w:ascii="Times New Roman" w:hAnsi="Times New Roman" w:cs="Times New Roman"/>
          <w:sz w:val="24"/>
          <w:szCs w:val="24"/>
        </w:rPr>
        <w:t xml:space="preserve">compensate for the </w:t>
      </w:r>
      <w:r>
        <w:rPr>
          <w:rFonts w:ascii="Times New Roman" w:hAnsi="Times New Roman" w:cs="Times New Roman"/>
          <w:sz w:val="24"/>
          <w:szCs w:val="24"/>
        </w:rPr>
        <w:t xml:space="preserve">illiquidity of the bond.  </w:t>
      </w:r>
      <w:r w:rsidR="00F95011">
        <w:rPr>
          <w:rFonts w:ascii="Times New Roman" w:hAnsi="Times New Roman" w:cs="Times New Roman"/>
          <w:sz w:val="24"/>
          <w:szCs w:val="24"/>
        </w:rPr>
        <w:t xml:space="preserve">Since most corporate bonds are highly illiquid, the RBA index is likely to be more representative of the typical corporate bond.  However, </w:t>
      </w:r>
      <w:r>
        <w:rPr>
          <w:rFonts w:ascii="Times New Roman" w:hAnsi="Times New Roman" w:cs="Times New Roman"/>
          <w:sz w:val="24"/>
          <w:szCs w:val="24"/>
        </w:rPr>
        <w:t xml:space="preserve">any index that includes illiquid bonds is subject to variations over time in the yield at a specific term to maturity according to the proportion of bonds that are illiquid.  </w:t>
      </w:r>
      <w:r w:rsidR="00F95011">
        <w:rPr>
          <w:rFonts w:ascii="Times New Roman" w:hAnsi="Times New Roman" w:cs="Times New Roman"/>
          <w:sz w:val="24"/>
          <w:szCs w:val="24"/>
        </w:rPr>
        <w:t>The BVAL index is preferred in respect of the first point whilst the RBA is preferred in respect of the second.  In statistical terms, the trade-off is between standard deviation and bias</w:t>
      </w:r>
      <w:r w:rsidR="00480196">
        <w:rPr>
          <w:rFonts w:ascii="Times New Roman" w:hAnsi="Times New Roman" w:cs="Times New Roman"/>
          <w:sz w:val="24"/>
          <w:szCs w:val="24"/>
        </w:rPr>
        <w:t xml:space="preserve"> and this is embodied in the mean squared error (MSE).  </w:t>
      </w:r>
      <w:r w:rsidR="00F95011">
        <w:rPr>
          <w:rFonts w:ascii="Times New Roman" w:hAnsi="Times New Roman" w:cs="Times New Roman"/>
          <w:sz w:val="24"/>
          <w:szCs w:val="24"/>
        </w:rPr>
        <w:t xml:space="preserve">The preferred index would be that of lower MSE </w:t>
      </w:r>
      <w:r w:rsidR="006C2CD2">
        <w:rPr>
          <w:rFonts w:ascii="Times New Roman" w:hAnsi="Times New Roman" w:cs="Times New Roman"/>
          <w:sz w:val="24"/>
          <w:szCs w:val="24"/>
        </w:rPr>
        <w:t xml:space="preserve">but it is not possible </w:t>
      </w:r>
      <w:r w:rsidR="00CF1DDB">
        <w:rPr>
          <w:rFonts w:ascii="Times New Roman" w:hAnsi="Times New Roman" w:cs="Times New Roman"/>
          <w:sz w:val="24"/>
          <w:szCs w:val="24"/>
        </w:rPr>
        <w:t>to quantify this, and therefore express a preference here</w:t>
      </w:r>
      <w:r w:rsidR="006C2CD2">
        <w:rPr>
          <w:rFonts w:ascii="Times New Roman" w:hAnsi="Times New Roman" w:cs="Times New Roman"/>
          <w:sz w:val="24"/>
          <w:szCs w:val="24"/>
        </w:rPr>
        <w:t>.</w:t>
      </w:r>
      <w:r>
        <w:rPr>
          <w:rFonts w:ascii="Times New Roman" w:hAnsi="Times New Roman" w:cs="Times New Roman"/>
          <w:sz w:val="24"/>
          <w:szCs w:val="24"/>
        </w:rPr>
        <w:t xml:space="preserve"> </w:t>
      </w:r>
    </w:p>
    <w:p w:rsidR="00135777" w:rsidRDefault="00135777" w:rsidP="00122250">
      <w:pPr>
        <w:pStyle w:val="ListParagraph"/>
        <w:spacing w:after="0" w:line="360" w:lineRule="auto"/>
        <w:ind w:left="0"/>
        <w:jc w:val="both"/>
        <w:rPr>
          <w:rFonts w:ascii="Times New Roman" w:hAnsi="Times New Roman" w:cs="Times New Roman"/>
          <w:sz w:val="24"/>
          <w:szCs w:val="24"/>
        </w:rPr>
      </w:pPr>
    </w:p>
    <w:p w:rsidR="00FA705C" w:rsidRDefault="00842732" w:rsidP="00FA70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point (4), the AER is concerned with regulating energy </w:t>
      </w:r>
      <w:r w:rsidR="001276A1">
        <w:rPr>
          <w:rFonts w:ascii="Times New Roman" w:hAnsi="Times New Roman" w:cs="Times New Roman"/>
          <w:sz w:val="24"/>
          <w:szCs w:val="24"/>
        </w:rPr>
        <w:t xml:space="preserve">network </w:t>
      </w:r>
      <w:r>
        <w:rPr>
          <w:rFonts w:ascii="Times New Roman" w:hAnsi="Times New Roman" w:cs="Times New Roman"/>
          <w:sz w:val="24"/>
          <w:szCs w:val="24"/>
        </w:rPr>
        <w:t>businesses and therefore</w:t>
      </w:r>
      <w:r w:rsidR="001276A1">
        <w:rPr>
          <w:rFonts w:ascii="Times New Roman" w:hAnsi="Times New Roman" w:cs="Times New Roman"/>
          <w:sz w:val="24"/>
          <w:szCs w:val="24"/>
        </w:rPr>
        <w:t>,</w:t>
      </w:r>
      <w:r>
        <w:rPr>
          <w:rFonts w:ascii="Times New Roman" w:hAnsi="Times New Roman" w:cs="Times New Roman"/>
          <w:sz w:val="24"/>
          <w:szCs w:val="24"/>
        </w:rPr>
        <w:t xml:space="preserve"> to the extent that financial corporations have different </w:t>
      </w:r>
      <w:r w:rsidR="00137D58">
        <w:rPr>
          <w:rFonts w:ascii="Times New Roman" w:hAnsi="Times New Roman" w:cs="Times New Roman"/>
          <w:sz w:val="24"/>
          <w:szCs w:val="24"/>
        </w:rPr>
        <w:t>costs of debt</w:t>
      </w:r>
      <w:r>
        <w:rPr>
          <w:rFonts w:ascii="Times New Roman" w:hAnsi="Times New Roman" w:cs="Times New Roman"/>
          <w:sz w:val="24"/>
          <w:szCs w:val="24"/>
        </w:rPr>
        <w:t xml:space="preserve"> (at the same credit rating</w:t>
      </w:r>
      <w:r w:rsidR="001276A1">
        <w:rPr>
          <w:rFonts w:ascii="Times New Roman" w:hAnsi="Times New Roman" w:cs="Times New Roman"/>
          <w:sz w:val="24"/>
          <w:szCs w:val="24"/>
        </w:rPr>
        <w:t>, term to maturity, etc</w:t>
      </w:r>
      <w:r>
        <w:rPr>
          <w:rFonts w:ascii="Times New Roman" w:hAnsi="Times New Roman" w:cs="Times New Roman"/>
          <w:sz w:val="24"/>
          <w:szCs w:val="24"/>
        </w:rPr>
        <w:t xml:space="preserve">), the inclusion of such firms </w:t>
      </w:r>
      <w:r w:rsidR="005720FF">
        <w:rPr>
          <w:rFonts w:ascii="Times New Roman" w:hAnsi="Times New Roman" w:cs="Times New Roman"/>
          <w:sz w:val="24"/>
          <w:szCs w:val="24"/>
        </w:rPr>
        <w:t xml:space="preserve">would seem to be </w:t>
      </w:r>
      <w:r>
        <w:rPr>
          <w:rFonts w:ascii="Times New Roman" w:hAnsi="Times New Roman" w:cs="Times New Roman"/>
          <w:sz w:val="24"/>
          <w:szCs w:val="24"/>
        </w:rPr>
        <w:t xml:space="preserve">undesirable and therefore the RBA index </w:t>
      </w:r>
      <w:r w:rsidR="005720FF">
        <w:rPr>
          <w:rFonts w:ascii="Times New Roman" w:hAnsi="Times New Roman" w:cs="Times New Roman"/>
          <w:sz w:val="24"/>
          <w:szCs w:val="24"/>
        </w:rPr>
        <w:t xml:space="preserve">would seem to be </w:t>
      </w:r>
      <w:r>
        <w:rPr>
          <w:rFonts w:ascii="Times New Roman" w:hAnsi="Times New Roman" w:cs="Times New Roman"/>
          <w:sz w:val="24"/>
          <w:szCs w:val="24"/>
        </w:rPr>
        <w:t>superi</w:t>
      </w:r>
      <w:r w:rsidR="007F25B3">
        <w:rPr>
          <w:rFonts w:ascii="Times New Roman" w:hAnsi="Times New Roman" w:cs="Times New Roman"/>
          <w:sz w:val="24"/>
          <w:szCs w:val="24"/>
        </w:rPr>
        <w:t xml:space="preserve">or.  </w:t>
      </w:r>
      <w:r w:rsidR="0009669C">
        <w:rPr>
          <w:rFonts w:ascii="Times New Roman" w:hAnsi="Times New Roman" w:cs="Times New Roman"/>
          <w:sz w:val="24"/>
          <w:szCs w:val="24"/>
        </w:rPr>
        <w:t>It might be thought that controlling for credit rating would ensure that industry was irrelevant to the cost of debt.  However, the cost of debt at a given term to maturity is affected by factors other than the credit rating (</w:t>
      </w:r>
      <w:r w:rsidR="001276A1">
        <w:rPr>
          <w:rFonts w:ascii="Times New Roman" w:hAnsi="Times New Roman" w:cs="Times New Roman"/>
          <w:sz w:val="24"/>
          <w:szCs w:val="24"/>
        </w:rPr>
        <w:t xml:space="preserve">which is </w:t>
      </w:r>
      <w:r w:rsidR="00FA705C">
        <w:rPr>
          <w:rFonts w:ascii="Times New Roman" w:hAnsi="Times New Roman" w:cs="Times New Roman"/>
          <w:sz w:val="24"/>
          <w:szCs w:val="24"/>
        </w:rPr>
        <w:t xml:space="preserve">only </w:t>
      </w:r>
      <w:r w:rsidR="0009669C">
        <w:rPr>
          <w:rFonts w:ascii="Times New Roman" w:hAnsi="Times New Roman" w:cs="Times New Roman"/>
          <w:sz w:val="24"/>
          <w:szCs w:val="24"/>
        </w:rPr>
        <w:t xml:space="preserve">an estimate of default </w:t>
      </w:r>
      <w:r w:rsidR="00FA705C">
        <w:rPr>
          <w:rFonts w:ascii="Times New Roman" w:hAnsi="Times New Roman" w:cs="Times New Roman"/>
          <w:sz w:val="24"/>
          <w:szCs w:val="24"/>
        </w:rPr>
        <w:t xml:space="preserve">risk, </w:t>
      </w:r>
      <w:r w:rsidR="00FA705C" w:rsidRPr="00DE633A">
        <w:rPr>
          <w:rFonts w:ascii="Times New Roman" w:hAnsi="Times New Roman" w:cs="Times New Roman"/>
          <w:sz w:val="24"/>
          <w:szCs w:val="24"/>
        </w:rPr>
        <w:t>at least for S&amp;P ratings</w:t>
      </w:r>
      <w:r w:rsidR="00153724" w:rsidRPr="00DE633A">
        <w:rPr>
          <w:rFonts w:ascii="Times New Roman" w:hAnsi="Times New Roman" w:cs="Times New Roman"/>
          <w:sz w:val="24"/>
          <w:szCs w:val="24"/>
        </w:rPr>
        <w:t xml:space="preserve"> on investment-grade bonds</w:t>
      </w:r>
      <w:r w:rsidR="00FA705C" w:rsidRPr="00DE633A">
        <w:rPr>
          <w:rFonts w:ascii="Times New Roman" w:hAnsi="Times New Roman" w:cs="Times New Roman"/>
          <w:sz w:val="24"/>
          <w:szCs w:val="24"/>
        </w:rPr>
        <w:t xml:space="preserve">: see </w:t>
      </w:r>
      <w:r w:rsidR="002525B5">
        <w:rPr>
          <w:rFonts w:ascii="Times New Roman" w:hAnsi="Times New Roman" w:cs="Times New Roman"/>
          <w:sz w:val="24"/>
          <w:szCs w:val="24"/>
        </w:rPr>
        <w:t>REU</w:t>
      </w:r>
      <w:r w:rsidR="00FA705C" w:rsidRPr="00DE633A">
        <w:rPr>
          <w:rFonts w:ascii="Times New Roman" w:hAnsi="Times New Roman" w:cs="Times New Roman"/>
          <w:sz w:val="24"/>
          <w:szCs w:val="24"/>
        </w:rPr>
        <w:t>, 2014, page 23</w:t>
      </w:r>
      <w:r w:rsidR="0009669C">
        <w:rPr>
          <w:rFonts w:ascii="Times New Roman" w:hAnsi="Times New Roman" w:cs="Times New Roman"/>
          <w:sz w:val="24"/>
          <w:szCs w:val="24"/>
        </w:rPr>
        <w:t xml:space="preserve">).  These </w:t>
      </w:r>
      <w:r w:rsidR="001276A1">
        <w:rPr>
          <w:rFonts w:ascii="Times New Roman" w:hAnsi="Times New Roman" w:cs="Times New Roman"/>
          <w:sz w:val="24"/>
          <w:szCs w:val="24"/>
        </w:rPr>
        <w:t xml:space="preserve">additional factors </w:t>
      </w:r>
      <w:r w:rsidR="0009669C">
        <w:rPr>
          <w:rFonts w:ascii="Times New Roman" w:hAnsi="Times New Roman" w:cs="Times New Roman"/>
          <w:sz w:val="24"/>
          <w:szCs w:val="24"/>
        </w:rPr>
        <w:t>include liquidity, which lowers a bond’s yield but does not affect its credit rating, and the expected recovery rate in the event of default, which lowers a bond’s yield in compensation but does no</w:t>
      </w:r>
      <w:r w:rsidR="00FA705C">
        <w:rPr>
          <w:rFonts w:ascii="Times New Roman" w:hAnsi="Times New Roman" w:cs="Times New Roman"/>
          <w:sz w:val="24"/>
          <w:szCs w:val="24"/>
        </w:rPr>
        <w:t>t affect its credit rating</w:t>
      </w:r>
      <w:r w:rsidR="0009669C">
        <w:rPr>
          <w:rFonts w:ascii="Times New Roman" w:hAnsi="Times New Roman" w:cs="Times New Roman"/>
          <w:sz w:val="24"/>
          <w:szCs w:val="24"/>
        </w:rPr>
        <w:t xml:space="preserve">.  If the bonds of financial corporations differ from those of other firms in these respects, then their cost of debt will differ even at the same credit rating.  </w:t>
      </w:r>
      <w:r w:rsidR="005F11B9">
        <w:rPr>
          <w:rFonts w:ascii="Times New Roman" w:hAnsi="Times New Roman" w:cs="Times New Roman"/>
          <w:sz w:val="24"/>
          <w:szCs w:val="24"/>
        </w:rPr>
        <w:t xml:space="preserve">Both Chairmont (2012, pp. 11-17) and PwC (2013, page 9) claim this to be the case.  </w:t>
      </w:r>
      <w:r w:rsidR="0009669C">
        <w:rPr>
          <w:rFonts w:ascii="Times New Roman" w:hAnsi="Times New Roman" w:cs="Times New Roman"/>
          <w:sz w:val="24"/>
          <w:szCs w:val="24"/>
        </w:rPr>
        <w:t xml:space="preserve">In respect of empirical evidence, </w:t>
      </w:r>
      <w:r w:rsidR="007F25B3">
        <w:rPr>
          <w:rFonts w:ascii="Times New Roman" w:hAnsi="Times New Roman" w:cs="Times New Roman"/>
          <w:sz w:val="24"/>
          <w:szCs w:val="24"/>
        </w:rPr>
        <w:t>Elton et al (1996, Table I</w:t>
      </w:r>
      <w:r>
        <w:rPr>
          <w:rFonts w:ascii="Times New Roman" w:hAnsi="Times New Roman" w:cs="Times New Roman"/>
          <w:sz w:val="24"/>
          <w:szCs w:val="24"/>
        </w:rPr>
        <w:t xml:space="preserve">) find that financial corporations </w:t>
      </w:r>
      <w:r w:rsidR="005F11B9">
        <w:rPr>
          <w:rFonts w:ascii="Times New Roman" w:hAnsi="Times New Roman" w:cs="Times New Roman"/>
          <w:sz w:val="24"/>
          <w:szCs w:val="24"/>
        </w:rPr>
        <w:t xml:space="preserve">in the US </w:t>
      </w:r>
      <w:r>
        <w:rPr>
          <w:rFonts w:ascii="Times New Roman" w:hAnsi="Times New Roman" w:cs="Times New Roman"/>
          <w:sz w:val="24"/>
          <w:szCs w:val="24"/>
        </w:rPr>
        <w:t>have higher DRPs than other corporations at the same credit rating</w:t>
      </w:r>
      <w:r w:rsidR="005720FF">
        <w:rPr>
          <w:rFonts w:ascii="Times New Roman" w:hAnsi="Times New Roman" w:cs="Times New Roman"/>
          <w:sz w:val="24"/>
          <w:szCs w:val="24"/>
        </w:rPr>
        <w:t xml:space="preserve"> </w:t>
      </w:r>
      <w:r w:rsidR="00750A85">
        <w:rPr>
          <w:rFonts w:ascii="Times New Roman" w:hAnsi="Times New Roman" w:cs="Times New Roman"/>
          <w:sz w:val="24"/>
          <w:szCs w:val="24"/>
        </w:rPr>
        <w:t xml:space="preserve">and </w:t>
      </w:r>
      <w:r w:rsidR="005720FF">
        <w:rPr>
          <w:rFonts w:ascii="Times New Roman" w:hAnsi="Times New Roman" w:cs="Times New Roman"/>
          <w:sz w:val="24"/>
          <w:szCs w:val="24"/>
        </w:rPr>
        <w:t>term to maturity</w:t>
      </w:r>
      <w:r w:rsidR="00137D58">
        <w:rPr>
          <w:rFonts w:ascii="Times New Roman" w:hAnsi="Times New Roman" w:cs="Times New Roman"/>
          <w:sz w:val="24"/>
          <w:szCs w:val="24"/>
        </w:rPr>
        <w:t>, and therefore higher costs of debt</w:t>
      </w:r>
      <w:r>
        <w:rPr>
          <w:rFonts w:ascii="Times New Roman" w:hAnsi="Times New Roman" w:cs="Times New Roman"/>
          <w:sz w:val="24"/>
          <w:szCs w:val="24"/>
        </w:rPr>
        <w:t xml:space="preserve">.  </w:t>
      </w:r>
      <w:r w:rsidR="007F25B3">
        <w:rPr>
          <w:rFonts w:ascii="Times New Roman" w:hAnsi="Times New Roman" w:cs="Times New Roman"/>
          <w:sz w:val="24"/>
          <w:szCs w:val="24"/>
        </w:rPr>
        <w:t xml:space="preserve">In particular, the </w:t>
      </w:r>
      <w:r w:rsidR="00137D58">
        <w:rPr>
          <w:rFonts w:ascii="Times New Roman" w:hAnsi="Times New Roman" w:cs="Times New Roman"/>
          <w:sz w:val="24"/>
          <w:szCs w:val="24"/>
        </w:rPr>
        <w:t xml:space="preserve">DRP </w:t>
      </w:r>
      <w:r w:rsidR="007F25B3">
        <w:rPr>
          <w:rFonts w:ascii="Times New Roman" w:hAnsi="Times New Roman" w:cs="Times New Roman"/>
          <w:sz w:val="24"/>
          <w:szCs w:val="24"/>
        </w:rPr>
        <w:t>d</w:t>
      </w:r>
      <w:r w:rsidR="001276A1">
        <w:rPr>
          <w:rFonts w:ascii="Times New Roman" w:hAnsi="Times New Roman" w:cs="Times New Roman"/>
          <w:sz w:val="24"/>
          <w:szCs w:val="24"/>
        </w:rPr>
        <w:t>ifference is 0.15% for ten-year</w:t>
      </w:r>
      <w:r w:rsidR="007F25B3">
        <w:rPr>
          <w:rFonts w:ascii="Times New Roman" w:hAnsi="Times New Roman" w:cs="Times New Roman"/>
          <w:sz w:val="24"/>
          <w:szCs w:val="24"/>
        </w:rPr>
        <w:t xml:space="preserve"> BBB bonds over the period 1987-</w:t>
      </w:r>
      <w:r w:rsidR="007F25B3">
        <w:rPr>
          <w:rFonts w:ascii="Times New Roman" w:hAnsi="Times New Roman" w:cs="Times New Roman"/>
          <w:sz w:val="24"/>
          <w:szCs w:val="24"/>
        </w:rPr>
        <w:lastRenderedPageBreak/>
        <w:t xml:space="preserve">1996.  </w:t>
      </w:r>
      <w:r w:rsidR="0088278E" w:rsidRPr="00DD0988">
        <w:rPr>
          <w:rFonts w:ascii="Times New Roman" w:hAnsi="Times New Roman" w:cs="Times New Roman"/>
          <w:sz w:val="24"/>
          <w:szCs w:val="24"/>
        </w:rPr>
        <w:t xml:space="preserve">In </w:t>
      </w:r>
      <w:r w:rsidR="005F11B9" w:rsidRPr="00DD0988">
        <w:rPr>
          <w:rFonts w:ascii="Times New Roman" w:hAnsi="Times New Roman" w:cs="Times New Roman"/>
          <w:sz w:val="24"/>
          <w:szCs w:val="24"/>
        </w:rPr>
        <w:t xml:space="preserve">respect of Australian data, </w:t>
      </w:r>
      <w:r w:rsidR="002525B5">
        <w:rPr>
          <w:rFonts w:ascii="Times New Roman" w:hAnsi="Times New Roman" w:cs="Times New Roman"/>
          <w:sz w:val="24"/>
          <w:szCs w:val="24"/>
        </w:rPr>
        <w:t xml:space="preserve">the REU </w:t>
      </w:r>
      <w:r w:rsidR="0088278E" w:rsidRPr="00DD0988">
        <w:rPr>
          <w:rFonts w:ascii="Times New Roman" w:hAnsi="Times New Roman" w:cs="Times New Roman"/>
          <w:sz w:val="24"/>
          <w:szCs w:val="24"/>
        </w:rPr>
        <w:t xml:space="preserve">(2014, Figure 4) presents </w:t>
      </w:r>
      <w:r w:rsidR="00AA06EB" w:rsidRPr="00DD0988">
        <w:rPr>
          <w:rFonts w:ascii="Times New Roman" w:hAnsi="Times New Roman" w:cs="Times New Roman"/>
          <w:sz w:val="24"/>
          <w:szCs w:val="24"/>
        </w:rPr>
        <w:t xml:space="preserve">BVAL </w:t>
      </w:r>
      <w:r w:rsidR="0088278E" w:rsidRPr="00DD0988">
        <w:rPr>
          <w:rFonts w:ascii="Times New Roman" w:hAnsi="Times New Roman" w:cs="Times New Roman"/>
          <w:sz w:val="24"/>
          <w:szCs w:val="24"/>
        </w:rPr>
        <w:t>yields on BBB bonds as of 6 June 2014</w:t>
      </w:r>
      <w:r w:rsidR="00AA06EB" w:rsidRPr="00DD0988">
        <w:rPr>
          <w:rFonts w:ascii="Times New Roman" w:hAnsi="Times New Roman" w:cs="Times New Roman"/>
          <w:sz w:val="24"/>
          <w:szCs w:val="24"/>
        </w:rPr>
        <w:t xml:space="preserve"> graphed against the residual term to maturity</w:t>
      </w:r>
      <w:r w:rsidR="0088278E" w:rsidRPr="00DD0988">
        <w:rPr>
          <w:rFonts w:ascii="Times New Roman" w:hAnsi="Times New Roman" w:cs="Times New Roman"/>
          <w:sz w:val="24"/>
          <w:szCs w:val="24"/>
        </w:rPr>
        <w:t xml:space="preserve">, which are classified into financials and nonfinancials; there is no apparent difference </w:t>
      </w:r>
      <w:r w:rsidR="00546584" w:rsidRPr="00DD0988">
        <w:rPr>
          <w:rFonts w:ascii="Times New Roman" w:hAnsi="Times New Roman" w:cs="Times New Roman"/>
          <w:sz w:val="24"/>
          <w:szCs w:val="24"/>
        </w:rPr>
        <w:t xml:space="preserve">but the </w:t>
      </w:r>
      <w:r w:rsidR="00136884" w:rsidRPr="00DD0988">
        <w:rPr>
          <w:rFonts w:ascii="Times New Roman" w:hAnsi="Times New Roman" w:cs="Times New Roman"/>
          <w:sz w:val="24"/>
          <w:szCs w:val="24"/>
        </w:rPr>
        <w:t>sample size (9 financial and 13</w:t>
      </w:r>
      <w:r w:rsidR="00FE07CE" w:rsidRPr="00DD0988">
        <w:rPr>
          <w:rFonts w:ascii="Times New Roman" w:hAnsi="Times New Roman" w:cs="Times New Roman"/>
          <w:sz w:val="24"/>
          <w:szCs w:val="24"/>
        </w:rPr>
        <w:t xml:space="preserve"> </w:t>
      </w:r>
      <w:r w:rsidR="00480196" w:rsidRPr="00DD0988">
        <w:rPr>
          <w:rFonts w:ascii="Times New Roman" w:hAnsi="Times New Roman" w:cs="Times New Roman"/>
          <w:sz w:val="24"/>
          <w:szCs w:val="24"/>
        </w:rPr>
        <w:t>nonfinancial</w:t>
      </w:r>
      <w:r w:rsidR="00FE07CE" w:rsidRPr="00DD0988">
        <w:rPr>
          <w:rFonts w:ascii="Times New Roman" w:hAnsi="Times New Roman" w:cs="Times New Roman"/>
          <w:sz w:val="24"/>
          <w:szCs w:val="24"/>
        </w:rPr>
        <w:t>)</w:t>
      </w:r>
      <w:r w:rsidR="00546584" w:rsidRPr="00DD0988">
        <w:rPr>
          <w:rFonts w:ascii="Times New Roman" w:hAnsi="Times New Roman" w:cs="Times New Roman"/>
          <w:sz w:val="24"/>
          <w:szCs w:val="24"/>
        </w:rPr>
        <w:t xml:space="preserve"> is too smal</w:t>
      </w:r>
      <w:r w:rsidR="0088278E" w:rsidRPr="00DD0988">
        <w:rPr>
          <w:rFonts w:ascii="Times New Roman" w:hAnsi="Times New Roman" w:cs="Times New Roman"/>
          <w:sz w:val="24"/>
          <w:szCs w:val="24"/>
        </w:rPr>
        <w:t>l to draw definite conclusions</w:t>
      </w:r>
      <w:r w:rsidR="00FE07CE" w:rsidRPr="00DD0988">
        <w:rPr>
          <w:rFonts w:ascii="Times New Roman" w:hAnsi="Times New Roman" w:cs="Times New Roman"/>
          <w:sz w:val="24"/>
          <w:szCs w:val="24"/>
        </w:rPr>
        <w:t xml:space="preserve">.  </w:t>
      </w:r>
      <w:r w:rsidR="00FA705C" w:rsidRPr="00DD0988">
        <w:rPr>
          <w:rFonts w:ascii="Times New Roman" w:hAnsi="Times New Roman" w:cs="Times New Roman"/>
          <w:sz w:val="24"/>
          <w:szCs w:val="24"/>
        </w:rPr>
        <w:t>Nevertheless</w:t>
      </w:r>
      <w:r w:rsidR="004D55DE" w:rsidRPr="00DD0988">
        <w:rPr>
          <w:rFonts w:ascii="Times New Roman" w:hAnsi="Times New Roman" w:cs="Times New Roman"/>
          <w:sz w:val="24"/>
          <w:szCs w:val="24"/>
        </w:rPr>
        <w:t xml:space="preserve">, </w:t>
      </w:r>
      <w:r w:rsidR="005720FF" w:rsidRPr="00DD0988">
        <w:rPr>
          <w:rFonts w:ascii="Times New Roman" w:hAnsi="Times New Roman" w:cs="Times New Roman"/>
          <w:sz w:val="24"/>
          <w:szCs w:val="24"/>
        </w:rPr>
        <w:t xml:space="preserve">even if financial corporations do have different costs of debt at the same credit level and term to maturity, the </w:t>
      </w:r>
      <w:r w:rsidR="00546584" w:rsidRPr="00DD0988">
        <w:rPr>
          <w:rFonts w:ascii="Times New Roman" w:hAnsi="Times New Roman" w:cs="Times New Roman"/>
          <w:sz w:val="24"/>
          <w:szCs w:val="24"/>
        </w:rPr>
        <w:t xml:space="preserve">expansion in the </w:t>
      </w:r>
      <w:r w:rsidR="005720FF" w:rsidRPr="00DD0988">
        <w:rPr>
          <w:rFonts w:ascii="Times New Roman" w:hAnsi="Times New Roman" w:cs="Times New Roman"/>
          <w:sz w:val="24"/>
          <w:szCs w:val="24"/>
        </w:rPr>
        <w:t xml:space="preserve">sample size </w:t>
      </w:r>
      <w:r w:rsidR="00F95011" w:rsidRPr="00DD0988">
        <w:rPr>
          <w:rFonts w:ascii="Times New Roman" w:hAnsi="Times New Roman" w:cs="Times New Roman"/>
          <w:sz w:val="24"/>
          <w:szCs w:val="24"/>
        </w:rPr>
        <w:t>(and therefore</w:t>
      </w:r>
      <w:r w:rsidR="00E36AE7" w:rsidRPr="00DD0988">
        <w:rPr>
          <w:rFonts w:ascii="Times New Roman" w:hAnsi="Times New Roman" w:cs="Times New Roman"/>
          <w:sz w:val="24"/>
          <w:szCs w:val="24"/>
        </w:rPr>
        <w:t xml:space="preserve"> possible</w:t>
      </w:r>
      <w:r w:rsidR="00F95011">
        <w:rPr>
          <w:rFonts w:ascii="Times New Roman" w:hAnsi="Times New Roman" w:cs="Times New Roman"/>
          <w:sz w:val="24"/>
          <w:szCs w:val="24"/>
        </w:rPr>
        <w:t xml:space="preserve"> reduction in standard deviation) </w:t>
      </w:r>
      <w:r w:rsidR="005720FF">
        <w:rPr>
          <w:rFonts w:ascii="Times New Roman" w:hAnsi="Times New Roman" w:cs="Times New Roman"/>
          <w:sz w:val="24"/>
          <w:szCs w:val="24"/>
        </w:rPr>
        <w:t>from including them might compensate for</w:t>
      </w:r>
      <w:r w:rsidR="0009669C">
        <w:rPr>
          <w:rFonts w:ascii="Times New Roman" w:hAnsi="Times New Roman" w:cs="Times New Roman"/>
          <w:sz w:val="24"/>
          <w:szCs w:val="24"/>
        </w:rPr>
        <w:t xml:space="preserve"> the bias from including them.  </w:t>
      </w:r>
      <w:r w:rsidR="00DC336D">
        <w:rPr>
          <w:rFonts w:ascii="Times New Roman" w:hAnsi="Times New Roman" w:cs="Times New Roman"/>
          <w:sz w:val="24"/>
          <w:szCs w:val="24"/>
        </w:rPr>
        <w:t xml:space="preserve">In respect of the data just noted, the inclusion of the bonds of financial firms raises the sample size by 70%, from 13 to 22.  </w:t>
      </w:r>
      <w:r w:rsidR="00F95011">
        <w:rPr>
          <w:rFonts w:ascii="Times New Roman" w:hAnsi="Times New Roman" w:cs="Times New Roman"/>
          <w:sz w:val="24"/>
          <w:szCs w:val="24"/>
        </w:rPr>
        <w:t xml:space="preserve">Again, the preferred index would be that of lower MSE but it is not possible to </w:t>
      </w:r>
      <w:r w:rsidR="00145575">
        <w:rPr>
          <w:rFonts w:ascii="Times New Roman" w:hAnsi="Times New Roman" w:cs="Times New Roman"/>
          <w:sz w:val="24"/>
          <w:szCs w:val="24"/>
        </w:rPr>
        <w:t xml:space="preserve">quantify this, and therefore </w:t>
      </w:r>
      <w:r w:rsidR="00FA705C">
        <w:rPr>
          <w:rFonts w:ascii="Times New Roman" w:hAnsi="Times New Roman" w:cs="Times New Roman"/>
          <w:sz w:val="24"/>
          <w:szCs w:val="24"/>
        </w:rPr>
        <w:t>express a preference here.</w:t>
      </w:r>
    </w:p>
    <w:p w:rsidR="00FA705C" w:rsidRDefault="00FA705C" w:rsidP="00FA705C">
      <w:pPr>
        <w:spacing w:after="0" w:line="360" w:lineRule="auto"/>
        <w:jc w:val="both"/>
        <w:rPr>
          <w:rFonts w:ascii="Times New Roman" w:hAnsi="Times New Roman" w:cs="Times New Roman"/>
          <w:sz w:val="24"/>
          <w:szCs w:val="24"/>
        </w:rPr>
      </w:pPr>
    </w:p>
    <w:p w:rsidR="00F93748" w:rsidRDefault="00611105" w:rsidP="00FA70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point (5), the granting of security to some bonds </w:t>
      </w:r>
      <w:r w:rsidR="00C73FAB">
        <w:rPr>
          <w:rFonts w:ascii="Times New Roman" w:hAnsi="Times New Roman" w:cs="Times New Roman"/>
          <w:sz w:val="24"/>
          <w:szCs w:val="24"/>
        </w:rPr>
        <w:t xml:space="preserve">comes </w:t>
      </w:r>
      <w:r>
        <w:rPr>
          <w:rFonts w:ascii="Times New Roman" w:hAnsi="Times New Roman" w:cs="Times New Roman"/>
          <w:sz w:val="24"/>
          <w:szCs w:val="24"/>
        </w:rPr>
        <w:t xml:space="preserve">at the expense of others </w:t>
      </w:r>
      <w:r w:rsidR="00C73FAB">
        <w:rPr>
          <w:rFonts w:ascii="Times New Roman" w:hAnsi="Times New Roman" w:cs="Times New Roman"/>
          <w:sz w:val="24"/>
          <w:szCs w:val="24"/>
        </w:rPr>
        <w:t xml:space="preserve">and </w:t>
      </w:r>
      <w:r>
        <w:rPr>
          <w:rFonts w:ascii="Times New Roman" w:hAnsi="Times New Roman" w:cs="Times New Roman"/>
          <w:sz w:val="24"/>
          <w:szCs w:val="24"/>
        </w:rPr>
        <w:t xml:space="preserve">lowers the </w:t>
      </w:r>
      <w:r w:rsidR="00137D58">
        <w:rPr>
          <w:rFonts w:ascii="Times New Roman" w:hAnsi="Times New Roman" w:cs="Times New Roman"/>
          <w:sz w:val="24"/>
          <w:szCs w:val="24"/>
        </w:rPr>
        <w:t xml:space="preserve">cost of debt </w:t>
      </w:r>
      <w:r>
        <w:rPr>
          <w:rFonts w:ascii="Times New Roman" w:hAnsi="Times New Roman" w:cs="Times New Roman"/>
          <w:sz w:val="24"/>
          <w:szCs w:val="24"/>
        </w:rPr>
        <w:t xml:space="preserve">on the secured bonds </w:t>
      </w:r>
      <w:r w:rsidR="00C73FAB">
        <w:rPr>
          <w:rFonts w:ascii="Times New Roman" w:hAnsi="Times New Roman" w:cs="Times New Roman"/>
          <w:sz w:val="24"/>
          <w:szCs w:val="24"/>
        </w:rPr>
        <w:t xml:space="preserve">whilst raising it </w:t>
      </w:r>
      <w:r>
        <w:rPr>
          <w:rFonts w:ascii="Times New Roman" w:hAnsi="Times New Roman" w:cs="Times New Roman"/>
          <w:sz w:val="24"/>
          <w:szCs w:val="24"/>
        </w:rPr>
        <w:t xml:space="preserve">on the others.  However the overall </w:t>
      </w:r>
      <w:r w:rsidR="00137D58">
        <w:rPr>
          <w:rFonts w:ascii="Times New Roman" w:hAnsi="Times New Roman" w:cs="Times New Roman"/>
          <w:sz w:val="24"/>
          <w:szCs w:val="24"/>
        </w:rPr>
        <w:t xml:space="preserve">cost of debt </w:t>
      </w:r>
      <w:r>
        <w:rPr>
          <w:rFonts w:ascii="Times New Roman" w:hAnsi="Times New Roman" w:cs="Times New Roman"/>
          <w:sz w:val="24"/>
          <w:szCs w:val="24"/>
        </w:rPr>
        <w:t xml:space="preserve">on all of a firm’s bonds will not be affected by such an action. </w:t>
      </w:r>
      <w:r w:rsidR="003D5490">
        <w:rPr>
          <w:rFonts w:ascii="Times New Roman" w:hAnsi="Times New Roman" w:cs="Times New Roman"/>
          <w:sz w:val="24"/>
          <w:szCs w:val="24"/>
        </w:rPr>
        <w:t xml:space="preserve"> </w:t>
      </w:r>
      <w:r w:rsidR="00A73934">
        <w:rPr>
          <w:rFonts w:ascii="Times New Roman" w:hAnsi="Times New Roman" w:cs="Times New Roman"/>
          <w:sz w:val="24"/>
          <w:szCs w:val="24"/>
        </w:rPr>
        <w:t xml:space="preserve">Thus, it is not necessary to impose any requirement </w:t>
      </w:r>
      <w:r w:rsidR="008E3733">
        <w:rPr>
          <w:rFonts w:ascii="Times New Roman" w:hAnsi="Times New Roman" w:cs="Times New Roman"/>
          <w:sz w:val="24"/>
          <w:szCs w:val="24"/>
        </w:rPr>
        <w:t xml:space="preserve">for the benchmark firm that relates to this matter and </w:t>
      </w:r>
      <w:r w:rsidR="00A73934">
        <w:rPr>
          <w:rFonts w:ascii="Times New Roman" w:hAnsi="Times New Roman" w:cs="Times New Roman"/>
          <w:sz w:val="24"/>
          <w:szCs w:val="24"/>
        </w:rPr>
        <w:t xml:space="preserve">the regulator should estimate a cost of debt to be applied to </w:t>
      </w:r>
      <w:r>
        <w:rPr>
          <w:rFonts w:ascii="Times New Roman" w:hAnsi="Times New Roman" w:cs="Times New Roman"/>
          <w:sz w:val="24"/>
          <w:szCs w:val="24"/>
        </w:rPr>
        <w:t>all of the firm’s bonds</w:t>
      </w:r>
      <w:r w:rsidR="00842732">
        <w:rPr>
          <w:rFonts w:ascii="Times New Roman" w:hAnsi="Times New Roman" w:cs="Times New Roman"/>
          <w:sz w:val="24"/>
          <w:szCs w:val="24"/>
        </w:rPr>
        <w:t xml:space="preserve"> </w:t>
      </w:r>
      <w:r>
        <w:rPr>
          <w:rFonts w:ascii="Times New Roman" w:hAnsi="Times New Roman" w:cs="Times New Roman"/>
          <w:sz w:val="24"/>
          <w:szCs w:val="24"/>
        </w:rPr>
        <w:t>(as the AER does)</w:t>
      </w:r>
      <w:r w:rsidR="00137D58">
        <w:rPr>
          <w:rFonts w:ascii="Times New Roman" w:hAnsi="Times New Roman" w:cs="Times New Roman"/>
          <w:sz w:val="24"/>
          <w:szCs w:val="24"/>
        </w:rPr>
        <w:t xml:space="preserve"> rather than different rates for the two bond classes</w:t>
      </w:r>
      <w:r>
        <w:rPr>
          <w:rFonts w:ascii="Times New Roman" w:hAnsi="Times New Roman" w:cs="Times New Roman"/>
          <w:sz w:val="24"/>
          <w:szCs w:val="24"/>
        </w:rPr>
        <w:t xml:space="preserve">.  However that uniform </w:t>
      </w:r>
      <w:r w:rsidR="00137D58">
        <w:rPr>
          <w:rFonts w:ascii="Times New Roman" w:hAnsi="Times New Roman" w:cs="Times New Roman"/>
          <w:sz w:val="24"/>
          <w:szCs w:val="24"/>
        </w:rPr>
        <w:t xml:space="preserve">cost of debt </w:t>
      </w:r>
      <w:r>
        <w:rPr>
          <w:rFonts w:ascii="Times New Roman" w:hAnsi="Times New Roman" w:cs="Times New Roman"/>
          <w:sz w:val="24"/>
          <w:szCs w:val="24"/>
        </w:rPr>
        <w:t>must be estimated from a co</w:t>
      </w:r>
      <w:r w:rsidR="00675C28">
        <w:rPr>
          <w:rFonts w:ascii="Times New Roman" w:hAnsi="Times New Roman" w:cs="Times New Roman"/>
          <w:sz w:val="24"/>
          <w:szCs w:val="24"/>
        </w:rPr>
        <w:t xml:space="preserve">mpatible set of bonds, i.e., if </w:t>
      </w:r>
      <w:r w:rsidR="006051B5">
        <w:rPr>
          <w:rFonts w:ascii="Times New Roman" w:hAnsi="Times New Roman" w:cs="Times New Roman"/>
          <w:sz w:val="24"/>
          <w:szCs w:val="24"/>
        </w:rPr>
        <w:t xml:space="preserve">any bond </w:t>
      </w:r>
      <w:r w:rsidR="005C3A4C">
        <w:rPr>
          <w:rFonts w:ascii="Times New Roman" w:hAnsi="Times New Roman" w:cs="Times New Roman"/>
          <w:sz w:val="24"/>
          <w:szCs w:val="24"/>
        </w:rPr>
        <w:t xml:space="preserve">from a particular firm </w:t>
      </w:r>
      <w:r>
        <w:rPr>
          <w:rFonts w:ascii="Times New Roman" w:hAnsi="Times New Roman" w:cs="Times New Roman"/>
          <w:sz w:val="24"/>
          <w:szCs w:val="24"/>
        </w:rPr>
        <w:t xml:space="preserve">is included in the sample, </w:t>
      </w:r>
      <w:r w:rsidR="005C3A4C">
        <w:rPr>
          <w:rFonts w:ascii="Times New Roman" w:hAnsi="Times New Roman" w:cs="Times New Roman"/>
          <w:sz w:val="24"/>
          <w:szCs w:val="24"/>
        </w:rPr>
        <w:t xml:space="preserve">all bonds from the same firm should also be included in the sample </w:t>
      </w:r>
      <w:r>
        <w:rPr>
          <w:rFonts w:ascii="Times New Roman" w:hAnsi="Times New Roman" w:cs="Times New Roman"/>
          <w:sz w:val="24"/>
          <w:szCs w:val="24"/>
        </w:rPr>
        <w:t xml:space="preserve">and these bonds </w:t>
      </w:r>
      <w:r w:rsidR="005C3A4C">
        <w:rPr>
          <w:rFonts w:ascii="Times New Roman" w:hAnsi="Times New Roman" w:cs="Times New Roman"/>
          <w:sz w:val="24"/>
          <w:szCs w:val="24"/>
        </w:rPr>
        <w:t xml:space="preserve">should </w:t>
      </w:r>
      <w:r>
        <w:rPr>
          <w:rFonts w:ascii="Times New Roman" w:hAnsi="Times New Roman" w:cs="Times New Roman"/>
          <w:sz w:val="24"/>
          <w:szCs w:val="24"/>
        </w:rPr>
        <w:t xml:space="preserve">be weighted in proportion to their values.  </w:t>
      </w:r>
      <w:r w:rsidR="00236C45">
        <w:rPr>
          <w:rFonts w:ascii="Times New Roman" w:hAnsi="Times New Roman" w:cs="Times New Roman"/>
          <w:sz w:val="24"/>
          <w:szCs w:val="24"/>
        </w:rPr>
        <w:t xml:space="preserve">Neither </w:t>
      </w:r>
      <w:r>
        <w:rPr>
          <w:rFonts w:ascii="Times New Roman" w:hAnsi="Times New Roman" w:cs="Times New Roman"/>
          <w:sz w:val="24"/>
          <w:szCs w:val="24"/>
        </w:rPr>
        <w:t>condition is met</w:t>
      </w:r>
      <w:r w:rsidR="00F91503">
        <w:rPr>
          <w:rFonts w:ascii="Times New Roman" w:hAnsi="Times New Roman" w:cs="Times New Roman"/>
          <w:sz w:val="24"/>
          <w:szCs w:val="24"/>
        </w:rPr>
        <w:t xml:space="preserve"> by the BVAL because it excludes secured bonds</w:t>
      </w:r>
      <w:r>
        <w:rPr>
          <w:rFonts w:ascii="Times New Roman" w:hAnsi="Times New Roman" w:cs="Times New Roman"/>
          <w:sz w:val="24"/>
          <w:szCs w:val="24"/>
        </w:rPr>
        <w:t xml:space="preserve"> </w:t>
      </w:r>
      <w:r w:rsidR="00153724">
        <w:rPr>
          <w:rFonts w:ascii="Times New Roman" w:hAnsi="Times New Roman" w:cs="Times New Roman"/>
          <w:sz w:val="24"/>
          <w:szCs w:val="24"/>
        </w:rPr>
        <w:t xml:space="preserve">(the low cost ones) </w:t>
      </w:r>
      <w:r w:rsidR="00F91503">
        <w:rPr>
          <w:rFonts w:ascii="Times New Roman" w:hAnsi="Times New Roman" w:cs="Times New Roman"/>
          <w:sz w:val="24"/>
          <w:szCs w:val="24"/>
        </w:rPr>
        <w:t xml:space="preserve">and this imparts an upward bias to its </w:t>
      </w:r>
      <w:r w:rsidR="00137D58">
        <w:rPr>
          <w:rFonts w:ascii="Times New Roman" w:hAnsi="Times New Roman" w:cs="Times New Roman"/>
          <w:sz w:val="24"/>
          <w:szCs w:val="24"/>
        </w:rPr>
        <w:t xml:space="preserve">cost of debt </w:t>
      </w:r>
      <w:r w:rsidR="00F91503">
        <w:rPr>
          <w:rFonts w:ascii="Times New Roman" w:hAnsi="Times New Roman" w:cs="Times New Roman"/>
          <w:sz w:val="24"/>
          <w:szCs w:val="24"/>
        </w:rPr>
        <w:t xml:space="preserve">estimate.  Neither condition will also be met by the RBA, </w:t>
      </w:r>
      <w:r w:rsidR="005C3A4C">
        <w:rPr>
          <w:rFonts w:ascii="Times New Roman" w:hAnsi="Times New Roman" w:cs="Times New Roman"/>
          <w:sz w:val="24"/>
          <w:szCs w:val="24"/>
        </w:rPr>
        <w:t xml:space="preserve">even though it does not exclude secured bonds, </w:t>
      </w:r>
      <w:r w:rsidR="00F91503">
        <w:rPr>
          <w:rFonts w:ascii="Times New Roman" w:hAnsi="Times New Roman" w:cs="Times New Roman"/>
          <w:sz w:val="24"/>
          <w:szCs w:val="24"/>
        </w:rPr>
        <w:t xml:space="preserve">but the effect on </w:t>
      </w:r>
      <w:r w:rsidR="001276A1">
        <w:rPr>
          <w:rFonts w:ascii="Times New Roman" w:hAnsi="Times New Roman" w:cs="Times New Roman"/>
          <w:sz w:val="24"/>
          <w:szCs w:val="24"/>
        </w:rPr>
        <w:t xml:space="preserve">its </w:t>
      </w:r>
      <w:r w:rsidR="00137D58">
        <w:rPr>
          <w:rFonts w:ascii="Times New Roman" w:hAnsi="Times New Roman" w:cs="Times New Roman"/>
          <w:sz w:val="24"/>
          <w:szCs w:val="24"/>
        </w:rPr>
        <w:t xml:space="preserve">cost of debt </w:t>
      </w:r>
      <w:r w:rsidR="00F91503">
        <w:rPr>
          <w:rFonts w:ascii="Times New Roman" w:hAnsi="Times New Roman" w:cs="Times New Roman"/>
          <w:sz w:val="24"/>
          <w:szCs w:val="24"/>
        </w:rPr>
        <w:t xml:space="preserve">could be in either direction.  On this basis, the </w:t>
      </w:r>
      <w:r w:rsidR="00343D50">
        <w:rPr>
          <w:rFonts w:ascii="Times New Roman" w:hAnsi="Times New Roman" w:cs="Times New Roman"/>
          <w:sz w:val="24"/>
          <w:szCs w:val="24"/>
        </w:rPr>
        <w:t xml:space="preserve">RBA </w:t>
      </w:r>
      <w:r w:rsidR="00236C45">
        <w:rPr>
          <w:rFonts w:ascii="Times New Roman" w:hAnsi="Times New Roman" w:cs="Times New Roman"/>
          <w:sz w:val="24"/>
          <w:szCs w:val="24"/>
        </w:rPr>
        <w:t xml:space="preserve">is preferred.  Furthermore, fixing the credit rating does not address the issue because </w:t>
      </w:r>
      <w:r w:rsidR="005C3A4C">
        <w:rPr>
          <w:rFonts w:ascii="Times New Roman" w:hAnsi="Times New Roman" w:cs="Times New Roman"/>
          <w:sz w:val="24"/>
          <w:szCs w:val="24"/>
        </w:rPr>
        <w:t xml:space="preserve">credit ratings </w:t>
      </w:r>
      <w:r w:rsidR="005C3A4C" w:rsidRPr="00DD0988">
        <w:rPr>
          <w:rFonts w:ascii="Times New Roman" w:hAnsi="Times New Roman" w:cs="Times New Roman"/>
          <w:sz w:val="24"/>
          <w:szCs w:val="24"/>
        </w:rPr>
        <w:t xml:space="preserve">(or at least those of </w:t>
      </w:r>
      <w:r w:rsidR="00C73FAB" w:rsidRPr="00DD0988">
        <w:rPr>
          <w:rFonts w:ascii="Times New Roman" w:hAnsi="Times New Roman" w:cs="Times New Roman"/>
          <w:sz w:val="24"/>
          <w:szCs w:val="24"/>
        </w:rPr>
        <w:t xml:space="preserve">S&amp;P </w:t>
      </w:r>
      <w:r w:rsidR="005C3A4C" w:rsidRPr="00DD0988">
        <w:rPr>
          <w:rFonts w:ascii="Times New Roman" w:hAnsi="Times New Roman" w:cs="Times New Roman"/>
          <w:sz w:val="24"/>
          <w:szCs w:val="24"/>
        </w:rPr>
        <w:t xml:space="preserve">for </w:t>
      </w:r>
      <w:r w:rsidR="00C73FAB" w:rsidRPr="00DD0988">
        <w:rPr>
          <w:rFonts w:ascii="Times New Roman" w:hAnsi="Times New Roman" w:cs="Times New Roman"/>
          <w:sz w:val="24"/>
          <w:szCs w:val="24"/>
        </w:rPr>
        <w:t xml:space="preserve">investment-grade </w:t>
      </w:r>
      <w:r w:rsidR="005C3A4C" w:rsidRPr="00DD0988">
        <w:rPr>
          <w:rFonts w:ascii="Times New Roman" w:hAnsi="Times New Roman" w:cs="Times New Roman"/>
          <w:sz w:val="24"/>
          <w:szCs w:val="24"/>
        </w:rPr>
        <w:t>bonds)</w:t>
      </w:r>
      <w:r w:rsidR="005C3A4C">
        <w:rPr>
          <w:rFonts w:ascii="Times New Roman" w:hAnsi="Times New Roman" w:cs="Times New Roman"/>
          <w:sz w:val="24"/>
          <w:szCs w:val="24"/>
        </w:rPr>
        <w:t xml:space="preserve"> are </w:t>
      </w:r>
      <w:r w:rsidR="00236C45">
        <w:rPr>
          <w:rFonts w:ascii="Times New Roman" w:hAnsi="Times New Roman" w:cs="Times New Roman"/>
          <w:sz w:val="24"/>
          <w:szCs w:val="24"/>
        </w:rPr>
        <w:t>based on the probability of default (</w:t>
      </w:r>
      <w:r w:rsidR="00EA4ECB">
        <w:rPr>
          <w:rFonts w:ascii="Times New Roman" w:hAnsi="Times New Roman" w:cs="Times New Roman"/>
          <w:sz w:val="24"/>
          <w:szCs w:val="24"/>
        </w:rPr>
        <w:t xml:space="preserve">REU, </w:t>
      </w:r>
      <w:r w:rsidR="002972DB">
        <w:rPr>
          <w:rFonts w:ascii="Times New Roman" w:hAnsi="Times New Roman" w:cs="Times New Roman"/>
          <w:sz w:val="24"/>
          <w:szCs w:val="24"/>
        </w:rPr>
        <w:t xml:space="preserve">2014, </w:t>
      </w:r>
      <w:r w:rsidR="00236C45">
        <w:rPr>
          <w:rFonts w:ascii="Times New Roman" w:hAnsi="Times New Roman" w:cs="Times New Roman"/>
          <w:sz w:val="24"/>
          <w:szCs w:val="24"/>
        </w:rPr>
        <w:t>page 23) an</w:t>
      </w:r>
      <w:r w:rsidR="00B72E57">
        <w:rPr>
          <w:rFonts w:ascii="Times New Roman" w:hAnsi="Times New Roman" w:cs="Times New Roman"/>
          <w:sz w:val="24"/>
          <w:szCs w:val="24"/>
        </w:rPr>
        <w:t xml:space="preserve">d security does not affect this.  At the present time, the issue is minor because only a small proportion of BBB bonds are </w:t>
      </w:r>
      <w:r w:rsidR="00405FEB">
        <w:rPr>
          <w:rFonts w:ascii="Times New Roman" w:hAnsi="Times New Roman" w:cs="Times New Roman"/>
          <w:sz w:val="24"/>
          <w:szCs w:val="24"/>
        </w:rPr>
        <w:t>secured</w:t>
      </w:r>
      <w:r w:rsidR="00B72E57">
        <w:rPr>
          <w:rFonts w:ascii="Times New Roman" w:hAnsi="Times New Roman" w:cs="Times New Roman"/>
          <w:sz w:val="24"/>
          <w:szCs w:val="24"/>
        </w:rPr>
        <w:t xml:space="preserve"> (</w:t>
      </w:r>
      <w:r w:rsidR="00294A10">
        <w:rPr>
          <w:rFonts w:ascii="Times New Roman" w:hAnsi="Times New Roman" w:cs="Times New Roman"/>
          <w:sz w:val="24"/>
          <w:szCs w:val="24"/>
        </w:rPr>
        <w:t xml:space="preserve">REU, </w:t>
      </w:r>
      <w:r w:rsidR="00B72E57">
        <w:rPr>
          <w:rFonts w:ascii="Times New Roman" w:hAnsi="Times New Roman" w:cs="Times New Roman"/>
          <w:sz w:val="24"/>
          <w:szCs w:val="24"/>
        </w:rPr>
        <w:t>2014, page 22).  However this might change over time.</w:t>
      </w:r>
      <w:r w:rsidR="00EB3E5F">
        <w:rPr>
          <w:rStyle w:val="FootnoteReference"/>
          <w:rFonts w:ascii="Times New Roman" w:hAnsi="Times New Roman" w:cs="Times New Roman"/>
          <w:sz w:val="24"/>
          <w:szCs w:val="24"/>
        </w:rPr>
        <w:footnoteReference w:id="2"/>
      </w:r>
    </w:p>
    <w:p w:rsidR="00137D58" w:rsidRDefault="00137D58" w:rsidP="00611105">
      <w:pPr>
        <w:pStyle w:val="ListParagraph"/>
        <w:spacing w:after="0" w:line="360" w:lineRule="auto"/>
        <w:ind w:left="0"/>
        <w:jc w:val="both"/>
        <w:rPr>
          <w:rFonts w:ascii="Times New Roman" w:hAnsi="Times New Roman" w:cs="Times New Roman"/>
          <w:sz w:val="24"/>
          <w:szCs w:val="24"/>
        </w:rPr>
      </w:pPr>
    </w:p>
    <w:p w:rsidR="003A196A" w:rsidRDefault="00137D58" w:rsidP="0061110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illustrate </w:t>
      </w:r>
      <w:r w:rsidR="00236C45">
        <w:rPr>
          <w:rFonts w:ascii="Times New Roman" w:hAnsi="Times New Roman" w:cs="Times New Roman"/>
          <w:sz w:val="24"/>
          <w:szCs w:val="24"/>
        </w:rPr>
        <w:t xml:space="preserve">these points, </w:t>
      </w:r>
      <w:r>
        <w:rPr>
          <w:rFonts w:ascii="Times New Roman" w:hAnsi="Times New Roman" w:cs="Times New Roman"/>
          <w:sz w:val="24"/>
          <w:szCs w:val="24"/>
        </w:rPr>
        <w:t xml:space="preserve">suppose that a firm has </w:t>
      </w:r>
      <w:r w:rsidR="005C7DE4">
        <w:rPr>
          <w:rFonts w:ascii="Times New Roman" w:hAnsi="Times New Roman" w:cs="Times New Roman"/>
          <w:sz w:val="24"/>
          <w:szCs w:val="24"/>
        </w:rPr>
        <w:t>debt comprising 70</w:t>
      </w:r>
      <w:r w:rsidR="003327F5">
        <w:rPr>
          <w:rFonts w:ascii="Times New Roman" w:hAnsi="Times New Roman" w:cs="Times New Roman"/>
          <w:sz w:val="24"/>
          <w:szCs w:val="24"/>
        </w:rPr>
        <w:t>%</w:t>
      </w:r>
      <w:r>
        <w:rPr>
          <w:rFonts w:ascii="Times New Roman" w:hAnsi="Times New Roman" w:cs="Times New Roman"/>
          <w:sz w:val="24"/>
          <w:szCs w:val="24"/>
        </w:rPr>
        <w:t xml:space="preserve"> unsecured bonds with a cost of </w:t>
      </w:r>
      <w:r w:rsidR="003327F5">
        <w:rPr>
          <w:rFonts w:ascii="Times New Roman" w:hAnsi="Times New Roman" w:cs="Times New Roman"/>
          <w:sz w:val="24"/>
          <w:szCs w:val="24"/>
        </w:rPr>
        <w:t xml:space="preserve">debt of </w:t>
      </w:r>
      <w:r w:rsidR="005C7DE4">
        <w:rPr>
          <w:rFonts w:ascii="Times New Roman" w:hAnsi="Times New Roman" w:cs="Times New Roman"/>
          <w:sz w:val="24"/>
          <w:szCs w:val="24"/>
        </w:rPr>
        <w:t>7.1</w:t>
      </w:r>
      <w:r w:rsidR="003327F5">
        <w:rPr>
          <w:rFonts w:ascii="Times New Roman" w:hAnsi="Times New Roman" w:cs="Times New Roman"/>
          <w:sz w:val="24"/>
          <w:szCs w:val="24"/>
        </w:rPr>
        <w:t xml:space="preserve">% and </w:t>
      </w:r>
      <w:r w:rsidR="005C7DE4">
        <w:rPr>
          <w:rFonts w:ascii="Times New Roman" w:hAnsi="Times New Roman" w:cs="Times New Roman"/>
          <w:sz w:val="24"/>
          <w:szCs w:val="24"/>
        </w:rPr>
        <w:t>30</w:t>
      </w:r>
      <w:r w:rsidR="00CD2212">
        <w:rPr>
          <w:rFonts w:ascii="Times New Roman" w:hAnsi="Times New Roman" w:cs="Times New Roman"/>
          <w:sz w:val="24"/>
          <w:szCs w:val="24"/>
        </w:rPr>
        <w:t xml:space="preserve">% </w:t>
      </w:r>
      <w:r w:rsidR="003327F5">
        <w:rPr>
          <w:rFonts w:ascii="Times New Roman" w:hAnsi="Times New Roman" w:cs="Times New Roman"/>
          <w:sz w:val="24"/>
          <w:szCs w:val="24"/>
        </w:rPr>
        <w:t xml:space="preserve">secured </w:t>
      </w:r>
      <w:r w:rsidR="00405FEB" w:rsidRPr="009B01B7">
        <w:rPr>
          <w:rFonts w:ascii="Times New Roman" w:hAnsi="Times New Roman" w:cs="Times New Roman"/>
          <w:sz w:val="24"/>
          <w:szCs w:val="24"/>
        </w:rPr>
        <w:t>and otherwise identical</w:t>
      </w:r>
      <w:r w:rsidR="00405FEB" w:rsidRPr="00405FEB">
        <w:rPr>
          <w:rFonts w:ascii="Times New Roman" w:hAnsi="Times New Roman" w:cs="Times New Roman"/>
          <w:sz w:val="24"/>
          <w:szCs w:val="24"/>
        </w:rPr>
        <w:t xml:space="preserve"> </w:t>
      </w:r>
      <w:r w:rsidR="003327F5">
        <w:rPr>
          <w:rFonts w:ascii="Times New Roman" w:hAnsi="Times New Roman" w:cs="Times New Roman"/>
          <w:sz w:val="24"/>
          <w:szCs w:val="24"/>
        </w:rPr>
        <w:t xml:space="preserve">debt with a cost of debt of </w:t>
      </w:r>
      <w:r w:rsidR="005C7DE4">
        <w:rPr>
          <w:rFonts w:ascii="Times New Roman" w:hAnsi="Times New Roman" w:cs="Times New Roman"/>
          <w:sz w:val="24"/>
          <w:szCs w:val="24"/>
        </w:rPr>
        <w:lastRenderedPageBreak/>
        <w:t>6.77</w:t>
      </w:r>
      <w:r w:rsidR="003327F5">
        <w:rPr>
          <w:rFonts w:ascii="Times New Roman" w:hAnsi="Times New Roman" w:cs="Times New Roman"/>
          <w:sz w:val="24"/>
          <w:szCs w:val="24"/>
        </w:rPr>
        <w:t>%.  So, the firm’s overall cost of debt is 7%.  In regulating such a firm, it is sufficient for the regulator to allow a cost of debt of 7%</w:t>
      </w:r>
      <w:r w:rsidR="00153724">
        <w:rPr>
          <w:rFonts w:ascii="Times New Roman" w:hAnsi="Times New Roman" w:cs="Times New Roman"/>
          <w:sz w:val="24"/>
          <w:szCs w:val="24"/>
        </w:rPr>
        <w:t xml:space="preserve"> on all of its bonds</w:t>
      </w:r>
      <w:r w:rsidR="003327F5">
        <w:rPr>
          <w:rFonts w:ascii="Times New Roman" w:hAnsi="Times New Roman" w:cs="Times New Roman"/>
          <w:sz w:val="24"/>
          <w:szCs w:val="24"/>
        </w:rPr>
        <w:t xml:space="preserve">.  </w:t>
      </w:r>
      <w:r>
        <w:rPr>
          <w:rFonts w:ascii="Times New Roman" w:hAnsi="Times New Roman" w:cs="Times New Roman"/>
          <w:sz w:val="24"/>
          <w:szCs w:val="24"/>
        </w:rPr>
        <w:t xml:space="preserve">However, if the </w:t>
      </w:r>
      <w:r w:rsidR="009A1265">
        <w:rPr>
          <w:rFonts w:ascii="Times New Roman" w:hAnsi="Times New Roman" w:cs="Times New Roman"/>
          <w:sz w:val="24"/>
          <w:szCs w:val="24"/>
        </w:rPr>
        <w:t xml:space="preserve">bond </w:t>
      </w:r>
      <w:r>
        <w:rPr>
          <w:rFonts w:ascii="Times New Roman" w:hAnsi="Times New Roman" w:cs="Times New Roman"/>
          <w:sz w:val="24"/>
          <w:szCs w:val="24"/>
        </w:rPr>
        <w:t>index</w:t>
      </w:r>
      <w:r w:rsidR="003327F5">
        <w:rPr>
          <w:rFonts w:ascii="Times New Roman" w:hAnsi="Times New Roman" w:cs="Times New Roman"/>
          <w:sz w:val="24"/>
          <w:szCs w:val="24"/>
        </w:rPr>
        <w:t xml:space="preserve"> comprises only unsecured debt that is comparable with the firm’s unsecured debt, the </w:t>
      </w:r>
      <w:r w:rsidR="005C7DE4">
        <w:rPr>
          <w:rFonts w:ascii="Times New Roman" w:hAnsi="Times New Roman" w:cs="Times New Roman"/>
          <w:sz w:val="24"/>
          <w:szCs w:val="24"/>
        </w:rPr>
        <w:t>allowed cost of debt will be 7.1</w:t>
      </w:r>
      <w:r w:rsidR="003327F5">
        <w:rPr>
          <w:rFonts w:ascii="Times New Roman" w:hAnsi="Times New Roman" w:cs="Times New Roman"/>
          <w:sz w:val="24"/>
          <w:szCs w:val="24"/>
        </w:rPr>
        <w:t>% and therefore will be too high.  This</w:t>
      </w:r>
      <w:r w:rsidR="009A1265">
        <w:rPr>
          <w:rFonts w:ascii="Times New Roman" w:hAnsi="Times New Roman" w:cs="Times New Roman"/>
          <w:sz w:val="24"/>
          <w:szCs w:val="24"/>
        </w:rPr>
        <w:t xml:space="preserve"> is the problem with the </w:t>
      </w:r>
      <w:r w:rsidR="00AA4C8B" w:rsidRPr="00AF083D">
        <w:rPr>
          <w:rFonts w:ascii="Times New Roman" w:hAnsi="Times New Roman" w:cs="Times New Roman"/>
          <w:sz w:val="24"/>
          <w:szCs w:val="24"/>
        </w:rPr>
        <w:t>BVAL</w:t>
      </w:r>
      <w:r w:rsidR="009A1265">
        <w:rPr>
          <w:rFonts w:ascii="Times New Roman" w:hAnsi="Times New Roman" w:cs="Times New Roman"/>
          <w:sz w:val="24"/>
          <w:szCs w:val="24"/>
        </w:rPr>
        <w:t xml:space="preserve"> index.  Suppose instead that the bond index includes both unsecured and secured debt</w:t>
      </w:r>
      <w:r w:rsidR="00CD2212">
        <w:rPr>
          <w:rFonts w:ascii="Times New Roman" w:hAnsi="Times New Roman" w:cs="Times New Roman"/>
          <w:sz w:val="24"/>
          <w:szCs w:val="24"/>
        </w:rPr>
        <w:t xml:space="preserve"> </w:t>
      </w:r>
      <w:r w:rsidR="005C7DE4">
        <w:rPr>
          <w:rFonts w:ascii="Times New Roman" w:hAnsi="Times New Roman" w:cs="Times New Roman"/>
          <w:sz w:val="24"/>
          <w:szCs w:val="24"/>
        </w:rPr>
        <w:t>from firms that have the same 70/30</w:t>
      </w:r>
      <w:r w:rsidR="00CD2212">
        <w:rPr>
          <w:rFonts w:ascii="Times New Roman" w:hAnsi="Times New Roman" w:cs="Times New Roman"/>
          <w:sz w:val="24"/>
          <w:szCs w:val="24"/>
        </w:rPr>
        <w:t xml:space="preserve"> mix</w:t>
      </w:r>
      <w:r w:rsidR="00960441">
        <w:rPr>
          <w:rFonts w:ascii="Times New Roman" w:hAnsi="Times New Roman" w:cs="Times New Roman"/>
          <w:sz w:val="24"/>
          <w:szCs w:val="24"/>
        </w:rPr>
        <w:t xml:space="preserve">, that it value weights, and </w:t>
      </w:r>
      <w:r w:rsidR="007578E0">
        <w:rPr>
          <w:rFonts w:ascii="Times New Roman" w:hAnsi="Times New Roman" w:cs="Times New Roman"/>
          <w:sz w:val="24"/>
          <w:szCs w:val="24"/>
        </w:rPr>
        <w:t xml:space="preserve">draws data from </w:t>
      </w:r>
      <w:r w:rsidR="003A196A">
        <w:rPr>
          <w:rFonts w:ascii="Times New Roman" w:hAnsi="Times New Roman" w:cs="Times New Roman"/>
          <w:sz w:val="24"/>
          <w:szCs w:val="24"/>
        </w:rPr>
        <w:t xml:space="preserve">equally-weighted </w:t>
      </w:r>
      <w:r w:rsidR="007578E0">
        <w:rPr>
          <w:rFonts w:ascii="Times New Roman" w:hAnsi="Times New Roman" w:cs="Times New Roman"/>
          <w:sz w:val="24"/>
          <w:szCs w:val="24"/>
        </w:rPr>
        <w:t xml:space="preserve">firms </w:t>
      </w:r>
      <w:r w:rsidR="003A196A">
        <w:rPr>
          <w:rFonts w:ascii="Times New Roman" w:hAnsi="Times New Roman" w:cs="Times New Roman"/>
          <w:sz w:val="24"/>
          <w:szCs w:val="24"/>
        </w:rPr>
        <w:t>with bonds and rates as follows:</w:t>
      </w:r>
    </w:p>
    <w:p w:rsidR="003A196A" w:rsidRDefault="003A196A" w:rsidP="00611105">
      <w:pPr>
        <w:pStyle w:val="ListParagraph"/>
        <w:spacing w:after="0" w:line="360" w:lineRule="auto"/>
        <w:ind w:left="0"/>
        <w:jc w:val="both"/>
        <w:rPr>
          <w:rFonts w:ascii="Times New Roman" w:hAnsi="Times New Roman" w:cs="Times New Roman"/>
          <w:sz w:val="24"/>
          <w:szCs w:val="24"/>
        </w:rPr>
      </w:pPr>
    </w:p>
    <w:p w:rsidR="003A196A" w:rsidRDefault="003A196A" w:rsidP="003A196A">
      <w:pPr>
        <w:pStyle w:val="ListParagraph"/>
        <w:tabs>
          <w:tab w:val="left" w:pos="360"/>
          <w:tab w:val="left" w:pos="1440"/>
          <w:tab w:val="left" w:pos="63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Type A:</w:t>
      </w:r>
      <w:r>
        <w:rPr>
          <w:rFonts w:ascii="Times New Roman" w:hAnsi="Times New Roman" w:cs="Times New Roman"/>
          <w:sz w:val="24"/>
          <w:szCs w:val="24"/>
        </w:rPr>
        <w:tab/>
        <w:t>70% unsecured (7.1%), 30% secured  (6.77%)</w:t>
      </w:r>
      <w:r>
        <w:rPr>
          <w:rFonts w:ascii="Times New Roman" w:hAnsi="Times New Roman" w:cs="Times New Roman"/>
          <w:sz w:val="24"/>
          <w:szCs w:val="24"/>
        </w:rPr>
        <w:tab/>
        <w:t>market weights 35%, 15%</w:t>
      </w:r>
    </w:p>
    <w:p w:rsidR="00137D58" w:rsidRDefault="003A196A" w:rsidP="003A196A">
      <w:pPr>
        <w:pStyle w:val="ListParagraph"/>
        <w:tabs>
          <w:tab w:val="left" w:pos="360"/>
          <w:tab w:val="left" w:pos="1440"/>
          <w:tab w:val="left" w:pos="63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Type B:</w:t>
      </w:r>
      <w:r>
        <w:rPr>
          <w:rFonts w:ascii="Times New Roman" w:hAnsi="Times New Roman" w:cs="Times New Roman"/>
          <w:sz w:val="24"/>
          <w:szCs w:val="24"/>
        </w:rPr>
        <w:tab/>
      </w:r>
      <w:r w:rsidR="00DB3010">
        <w:rPr>
          <w:rFonts w:ascii="Times New Roman" w:hAnsi="Times New Roman" w:cs="Times New Roman"/>
          <w:sz w:val="24"/>
          <w:szCs w:val="24"/>
        </w:rPr>
        <w:t>30% unsecured (7.23%)</w:t>
      </w:r>
      <w:r>
        <w:rPr>
          <w:rFonts w:ascii="Times New Roman" w:hAnsi="Times New Roman" w:cs="Times New Roman"/>
          <w:sz w:val="24"/>
          <w:szCs w:val="24"/>
        </w:rPr>
        <w:t>,</w:t>
      </w:r>
      <w:r w:rsidR="00DB3010">
        <w:rPr>
          <w:rFonts w:ascii="Times New Roman" w:hAnsi="Times New Roman" w:cs="Times New Roman"/>
          <w:sz w:val="24"/>
          <w:szCs w:val="24"/>
        </w:rPr>
        <w:t xml:space="preserve"> 70% secured </w:t>
      </w:r>
      <w:r w:rsidR="007578E0">
        <w:rPr>
          <w:rFonts w:ascii="Times New Roman" w:hAnsi="Times New Roman" w:cs="Times New Roman"/>
          <w:sz w:val="24"/>
          <w:szCs w:val="24"/>
        </w:rPr>
        <w:t xml:space="preserve"> </w:t>
      </w:r>
      <w:r>
        <w:rPr>
          <w:rFonts w:ascii="Times New Roman" w:hAnsi="Times New Roman" w:cs="Times New Roman"/>
          <w:sz w:val="24"/>
          <w:szCs w:val="24"/>
        </w:rPr>
        <w:t>(6.9%)</w:t>
      </w:r>
      <w:r>
        <w:rPr>
          <w:rFonts w:ascii="Times New Roman" w:hAnsi="Times New Roman" w:cs="Times New Roman"/>
          <w:sz w:val="24"/>
          <w:szCs w:val="24"/>
        </w:rPr>
        <w:tab/>
        <w:t>market weights 15%, 35%</w:t>
      </w:r>
    </w:p>
    <w:p w:rsidR="003A196A" w:rsidRDefault="003A196A" w:rsidP="003A196A">
      <w:pPr>
        <w:pStyle w:val="ListParagraph"/>
        <w:tabs>
          <w:tab w:val="left" w:pos="1440"/>
          <w:tab w:val="left" w:pos="2880"/>
        </w:tabs>
        <w:spacing w:after="0" w:line="360" w:lineRule="auto"/>
        <w:ind w:left="0"/>
        <w:jc w:val="both"/>
        <w:rPr>
          <w:rFonts w:ascii="Times New Roman" w:hAnsi="Times New Roman" w:cs="Times New Roman"/>
          <w:sz w:val="24"/>
          <w:szCs w:val="24"/>
        </w:rPr>
      </w:pPr>
    </w:p>
    <w:p w:rsidR="003A196A" w:rsidRDefault="003A196A" w:rsidP="003A196A">
      <w:pPr>
        <w:pStyle w:val="ListParagraph"/>
        <w:tabs>
          <w:tab w:val="left" w:pos="1440"/>
          <w:tab w:val="left" w:pos="288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Suppose also that the particular sample used in the index is the secured bonds from type A firms (6.77% with market weight 15%) and the unsecured bonds from type B firms (7.23% with market weight 35%), because the other two bond types have been excluded for various reasons (such as </w:t>
      </w:r>
      <w:r w:rsidR="001276A1">
        <w:rPr>
          <w:rFonts w:ascii="Times New Roman" w:hAnsi="Times New Roman" w:cs="Times New Roman"/>
          <w:sz w:val="24"/>
          <w:szCs w:val="24"/>
        </w:rPr>
        <w:t>illiquidity or currency</w:t>
      </w:r>
      <w:r>
        <w:rPr>
          <w:rFonts w:ascii="Times New Roman" w:hAnsi="Times New Roman" w:cs="Times New Roman"/>
          <w:sz w:val="24"/>
          <w:szCs w:val="24"/>
        </w:rPr>
        <w:t>).  The value-weighted average of the rates on these two bonds is</w:t>
      </w:r>
      <w:r w:rsidR="00074D68">
        <w:rPr>
          <w:rFonts w:ascii="Times New Roman" w:hAnsi="Times New Roman" w:cs="Times New Roman"/>
          <w:sz w:val="24"/>
          <w:szCs w:val="24"/>
        </w:rPr>
        <w:t xml:space="preserve"> 7.09%:</w:t>
      </w:r>
    </w:p>
    <w:p w:rsidR="00074D68" w:rsidRDefault="00074D68" w:rsidP="00074D68">
      <w:pPr>
        <w:pStyle w:val="ListParagraph"/>
        <w:tabs>
          <w:tab w:val="left" w:pos="1440"/>
          <w:tab w:val="left" w:pos="2880"/>
        </w:tabs>
        <w:spacing w:after="0" w:line="360" w:lineRule="auto"/>
        <w:ind w:left="0"/>
        <w:jc w:val="center"/>
        <w:rPr>
          <w:rFonts w:ascii="Times New Roman" w:hAnsi="Times New Roman" w:cs="Times New Roman"/>
          <w:sz w:val="24"/>
          <w:szCs w:val="24"/>
        </w:rPr>
      </w:pPr>
      <w:r w:rsidRPr="00074D68">
        <w:rPr>
          <w:rFonts w:ascii="Times New Roman" w:hAnsi="Times New Roman" w:cs="Times New Roman"/>
          <w:position w:val="-10"/>
          <w:sz w:val="24"/>
          <w:szCs w:val="24"/>
        </w:rPr>
        <w:object w:dxaOrig="4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9pt" o:ole="">
            <v:imagedata r:id="rId9" o:title=""/>
          </v:shape>
          <o:OLEObject Type="Embed" ProgID="Equation.3" ShapeID="_x0000_i1025" DrawAspect="Content" ObjectID="_1478385612" r:id="rId10"/>
        </w:object>
      </w:r>
    </w:p>
    <w:p w:rsidR="00074D68" w:rsidRDefault="00074D68" w:rsidP="003A196A">
      <w:pPr>
        <w:pStyle w:val="ListParagraph"/>
        <w:tabs>
          <w:tab w:val="left" w:pos="1440"/>
          <w:tab w:val="left" w:pos="2880"/>
        </w:tabs>
        <w:spacing w:after="0" w:line="360" w:lineRule="auto"/>
        <w:ind w:left="0"/>
        <w:jc w:val="both"/>
        <w:rPr>
          <w:rFonts w:ascii="Times New Roman" w:hAnsi="Times New Roman" w:cs="Times New Roman"/>
          <w:sz w:val="24"/>
          <w:szCs w:val="24"/>
        </w:rPr>
      </w:pPr>
    </w:p>
    <w:p w:rsidR="00A421D0" w:rsidRDefault="00074D68"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This is now too high relative to the correct figure of 7%.</w:t>
      </w:r>
      <w:r w:rsidR="0042627F">
        <w:rPr>
          <w:rFonts w:ascii="Times New Roman" w:hAnsi="Times New Roman" w:cs="Times New Roman"/>
          <w:sz w:val="24"/>
          <w:szCs w:val="24"/>
        </w:rPr>
        <w:t xml:space="preserve">  </w:t>
      </w:r>
      <w:r w:rsidR="0042627F" w:rsidRPr="00C256FD">
        <w:rPr>
          <w:rFonts w:ascii="Times New Roman" w:hAnsi="Times New Roman" w:cs="Times New Roman"/>
          <w:sz w:val="24"/>
          <w:szCs w:val="24"/>
        </w:rPr>
        <w:t xml:space="preserve">However, if the type A and B firms had market weights of 80% and 20% respectively, the result of this calculation would have </w:t>
      </w:r>
      <w:r w:rsidR="00D6355F" w:rsidRPr="00C256FD">
        <w:rPr>
          <w:rFonts w:ascii="Times New Roman" w:hAnsi="Times New Roman" w:cs="Times New Roman"/>
          <w:sz w:val="24"/>
          <w:szCs w:val="24"/>
        </w:rPr>
        <w:t xml:space="preserve">been </w:t>
      </w:r>
      <w:r w:rsidR="0042627F" w:rsidRPr="00C256FD">
        <w:rPr>
          <w:rFonts w:ascii="Times New Roman" w:hAnsi="Times New Roman" w:cs="Times New Roman"/>
          <w:sz w:val="24"/>
          <w:szCs w:val="24"/>
        </w:rPr>
        <w:t>6.94% rather than 7.09%, and therefore would now be too low rather than too high.</w:t>
      </w:r>
      <w:r>
        <w:rPr>
          <w:rFonts w:ascii="Times New Roman" w:hAnsi="Times New Roman" w:cs="Times New Roman"/>
          <w:sz w:val="24"/>
          <w:szCs w:val="24"/>
        </w:rPr>
        <w:t xml:space="preserve">  </w:t>
      </w:r>
      <w:r w:rsidR="00960441">
        <w:rPr>
          <w:rFonts w:ascii="Times New Roman" w:hAnsi="Times New Roman" w:cs="Times New Roman"/>
          <w:sz w:val="24"/>
          <w:szCs w:val="24"/>
        </w:rPr>
        <w:t xml:space="preserve">This is </w:t>
      </w:r>
      <w:r w:rsidR="005D15D0">
        <w:rPr>
          <w:rFonts w:ascii="Times New Roman" w:hAnsi="Times New Roman" w:cs="Times New Roman"/>
          <w:sz w:val="24"/>
          <w:szCs w:val="24"/>
        </w:rPr>
        <w:t>the</w:t>
      </w:r>
      <w:r w:rsidR="00960441">
        <w:rPr>
          <w:rFonts w:ascii="Times New Roman" w:hAnsi="Times New Roman" w:cs="Times New Roman"/>
          <w:sz w:val="24"/>
          <w:szCs w:val="24"/>
        </w:rPr>
        <w:t xml:space="preserve"> </w:t>
      </w:r>
      <w:r w:rsidR="00AC3EF7">
        <w:rPr>
          <w:rFonts w:ascii="Times New Roman" w:hAnsi="Times New Roman" w:cs="Times New Roman"/>
          <w:sz w:val="24"/>
          <w:szCs w:val="24"/>
        </w:rPr>
        <w:t xml:space="preserve">problem with the </w:t>
      </w:r>
      <w:r w:rsidR="00AA4C8B" w:rsidRPr="00AF083D">
        <w:rPr>
          <w:rFonts w:ascii="Times New Roman" w:hAnsi="Times New Roman" w:cs="Times New Roman"/>
          <w:sz w:val="24"/>
          <w:szCs w:val="24"/>
        </w:rPr>
        <w:t>RBA</w:t>
      </w:r>
      <w:r w:rsidR="00AC3EF7">
        <w:rPr>
          <w:rFonts w:ascii="Times New Roman" w:hAnsi="Times New Roman" w:cs="Times New Roman"/>
          <w:sz w:val="24"/>
          <w:szCs w:val="24"/>
        </w:rPr>
        <w:t xml:space="preserve"> index</w:t>
      </w:r>
      <w:r w:rsidR="00B72E57">
        <w:rPr>
          <w:rFonts w:ascii="Times New Roman" w:hAnsi="Times New Roman" w:cs="Times New Roman"/>
          <w:sz w:val="24"/>
          <w:szCs w:val="24"/>
        </w:rPr>
        <w:t xml:space="preserve">.  </w:t>
      </w:r>
      <w:r w:rsidR="00153724">
        <w:rPr>
          <w:rFonts w:ascii="Times New Roman" w:hAnsi="Times New Roman" w:cs="Times New Roman"/>
          <w:sz w:val="24"/>
          <w:szCs w:val="24"/>
        </w:rPr>
        <w:t xml:space="preserve">So, the BVAL is biased up whilst the RBA could </w:t>
      </w:r>
      <w:r w:rsidR="00C463F1">
        <w:rPr>
          <w:rFonts w:ascii="Times New Roman" w:hAnsi="Times New Roman" w:cs="Times New Roman"/>
          <w:sz w:val="24"/>
          <w:szCs w:val="24"/>
        </w:rPr>
        <w:t>overestimate or underestimate.</w:t>
      </w:r>
    </w:p>
    <w:p w:rsidR="00423750" w:rsidRDefault="00423750" w:rsidP="00122250">
      <w:pPr>
        <w:pStyle w:val="ListParagraph"/>
        <w:spacing w:after="0" w:line="360" w:lineRule="auto"/>
        <w:ind w:left="0"/>
        <w:jc w:val="both"/>
        <w:rPr>
          <w:rFonts w:ascii="Times New Roman" w:hAnsi="Times New Roman" w:cs="Times New Roman"/>
          <w:sz w:val="24"/>
          <w:szCs w:val="24"/>
        </w:rPr>
      </w:pPr>
    </w:p>
    <w:p w:rsidR="00FF4495" w:rsidRPr="00AF083D" w:rsidRDefault="00FF4495"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respect of point (6), </w:t>
      </w:r>
      <w:r w:rsidR="00AA06EB" w:rsidRPr="00AF083D">
        <w:rPr>
          <w:rFonts w:ascii="Times New Roman" w:hAnsi="Times New Roman" w:cs="Times New Roman"/>
          <w:sz w:val="24"/>
          <w:szCs w:val="24"/>
        </w:rPr>
        <w:t xml:space="preserve">the BVAL credit criteria for including bonds are the existence of a Bloomberg composite rating </w:t>
      </w:r>
      <w:r w:rsidR="00480196" w:rsidRPr="00AF083D">
        <w:rPr>
          <w:rFonts w:ascii="Times New Roman" w:hAnsi="Times New Roman" w:cs="Times New Roman"/>
          <w:sz w:val="24"/>
          <w:szCs w:val="24"/>
        </w:rPr>
        <w:t xml:space="preserve">for the bond </w:t>
      </w:r>
      <w:r w:rsidR="00AA06EB" w:rsidRPr="00AF083D">
        <w:rPr>
          <w:rFonts w:ascii="Times New Roman" w:hAnsi="Times New Roman" w:cs="Times New Roman"/>
          <w:sz w:val="24"/>
          <w:szCs w:val="24"/>
        </w:rPr>
        <w:t>(</w:t>
      </w:r>
      <w:r w:rsidR="00BF2442" w:rsidRPr="00AF083D">
        <w:rPr>
          <w:rFonts w:ascii="Times New Roman" w:hAnsi="Times New Roman" w:cs="Times New Roman"/>
          <w:sz w:val="24"/>
          <w:szCs w:val="24"/>
        </w:rPr>
        <w:t xml:space="preserve">an average rating across the ratings from </w:t>
      </w:r>
      <w:r w:rsidR="00AA06EB" w:rsidRPr="00AF083D">
        <w:rPr>
          <w:rFonts w:ascii="Times New Roman" w:hAnsi="Times New Roman" w:cs="Times New Roman"/>
          <w:sz w:val="24"/>
          <w:szCs w:val="24"/>
        </w:rPr>
        <w:t xml:space="preserve">at least two of S&amp;P, Moody’s and Fitch), or an S&amp;P rating, or a Moody’s rating; this implies inclusion of a bond if it has either an S&amp;P or a Moody’s rating.  By contrast, the RBA </w:t>
      </w:r>
      <w:r w:rsidR="007C11EF" w:rsidRPr="00AF083D">
        <w:rPr>
          <w:rFonts w:ascii="Times New Roman" w:hAnsi="Times New Roman" w:cs="Times New Roman"/>
          <w:sz w:val="24"/>
          <w:szCs w:val="24"/>
        </w:rPr>
        <w:t xml:space="preserve">credit criteria for including bonds are the existence of an S&amp;P rating for the bond or a rating for the issuer.  So, both indexes include bonds </w:t>
      </w:r>
      <w:r w:rsidR="00C463F1" w:rsidRPr="00AF083D">
        <w:rPr>
          <w:rFonts w:ascii="Times New Roman" w:hAnsi="Times New Roman" w:cs="Times New Roman"/>
          <w:sz w:val="24"/>
          <w:szCs w:val="24"/>
        </w:rPr>
        <w:t xml:space="preserve">which have an </w:t>
      </w:r>
      <w:r w:rsidR="007C11EF" w:rsidRPr="00AF083D">
        <w:rPr>
          <w:rFonts w:ascii="Times New Roman" w:hAnsi="Times New Roman" w:cs="Times New Roman"/>
          <w:sz w:val="24"/>
          <w:szCs w:val="24"/>
        </w:rPr>
        <w:t xml:space="preserve">S&amp;P rating </w:t>
      </w:r>
      <w:r w:rsidR="00C463F1" w:rsidRPr="00AF083D">
        <w:rPr>
          <w:rFonts w:ascii="Times New Roman" w:hAnsi="Times New Roman" w:cs="Times New Roman"/>
          <w:sz w:val="24"/>
          <w:szCs w:val="24"/>
        </w:rPr>
        <w:t xml:space="preserve">and </w:t>
      </w:r>
      <w:r w:rsidR="007C11EF" w:rsidRPr="00AF083D">
        <w:rPr>
          <w:rFonts w:ascii="Times New Roman" w:hAnsi="Times New Roman" w:cs="Times New Roman"/>
          <w:sz w:val="24"/>
          <w:szCs w:val="24"/>
        </w:rPr>
        <w:t>each expands the sample in different ways (</w:t>
      </w:r>
      <w:r w:rsidR="002E46B8" w:rsidRPr="00AF083D">
        <w:rPr>
          <w:rFonts w:ascii="Times New Roman" w:hAnsi="Times New Roman" w:cs="Times New Roman"/>
          <w:sz w:val="24"/>
          <w:szCs w:val="24"/>
        </w:rPr>
        <w:t xml:space="preserve">bonds with a Moody’s </w:t>
      </w:r>
      <w:r w:rsidR="007C11EF" w:rsidRPr="00AF083D">
        <w:rPr>
          <w:rFonts w:ascii="Times New Roman" w:hAnsi="Times New Roman" w:cs="Times New Roman"/>
          <w:sz w:val="24"/>
          <w:szCs w:val="24"/>
        </w:rPr>
        <w:t xml:space="preserve">rating in the case of the BVAL and </w:t>
      </w:r>
      <w:r w:rsidR="002E46B8" w:rsidRPr="00AF083D">
        <w:rPr>
          <w:rFonts w:ascii="Times New Roman" w:hAnsi="Times New Roman" w:cs="Times New Roman"/>
          <w:sz w:val="24"/>
          <w:szCs w:val="24"/>
        </w:rPr>
        <w:t xml:space="preserve">bonds whose issuer has an S&amp;P rating in </w:t>
      </w:r>
      <w:r w:rsidR="009C7EF1" w:rsidRPr="00AF083D">
        <w:rPr>
          <w:rFonts w:ascii="Times New Roman" w:hAnsi="Times New Roman" w:cs="Times New Roman"/>
          <w:sz w:val="24"/>
          <w:szCs w:val="24"/>
        </w:rPr>
        <w:t>the case of the RBA).</w:t>
      </w:r>
      <w:r w:rsidR="007C11EF" w:rsidRPr="00AF083D">
        <w:rPr>
          <w:rFonts w:ascii="Times New Roman" w:hAnsi="Times New Roman" w:cs="Times New Roman"/>
          <w:sz w:val="24"/>
          <w:szCs w:val="24"/>
        </w:rPr>
        <w:t xml:space="preserve">  </w:t>
      </w:r>
      <w:r w:rsidR="00D66483" w:rsidRPr="00AF083D">
        <w:rPr>
          <w:rFonts w:ascii="Times New Roman" w:hAnsi="Times New Roman" w:cs="Times New Roman"/>
          <w:sz w:val="24"/>
          <w:szCs w:val="24"/>
        </w:rPr>
        <w:t xml:space="preserve">However </w:t>
      </w:r>
      <w:r w:rsidR="001E4ADA" w:rsidRPr="00AF083D">
        <w:rPr>
          <w:rFonts w:ascii="Times New Roman" w:hAnsi="Times New Roman" w:cs="Times New Roman"/>
          <w:sz w:val="24"/>
          <w:szCs w:val="24"/>
        </w:rPr>
        <w:t xml:space="preserve">only a small number of debt issuers are rated only by </w:t>
      </w:r>
      <w:r w:rsidR="007C11EF" w:rsidRPr="00AF083D">
        <w:rPr>
          <w:rFonts w:ascii="Times New Roman" w:hAnsi="Times New Roman" w:cs="Times New Roman"/>
          <w:sz w:val="24"/>
          <w:szCs w:val="24"/>
        </w:rPr>
        <w:t>Moody’s</w:t>
      </w:r>
      <w:r w:rsidR="00D66483" w:rsidRPr="00AF083D">
        <w:rPr>
          <w:rFonts w:ascii="Times New Roman" w:hAnsi="Times New Roman" w:cs="Times New Roman"/>
          <w:sz w:val="24"/>
          <w:szCs w:val="24"/>
        </w:rPr>
        <w:t xml:space="preserve"> (Kanangra, 2013, page 9)</w:t>
      </w:r>
      <w:r w:rsidR="007C11EF" w:rsidRPr="00AF083D">
        <w:rPr>
          <w:rFonts w:ascii="Times New Roman" w:hAnsi="Times New Roman" w:cs="Times New Roman"/>
          <w:sz w:val="24"/>
          <w:szCs w:val="24"/>
        </w:rPr>
        <w:t xml:space="preserve">, which suggests that the </w:t>
      </w:r>
      <w:r w:rsidR="007C11EF" w:rsidRPr="00AF083D">
        <w:rPr>
          <w:rFonts w:ascii="Times New Roman" w:hAnsi="Times New Roman" w:cs="Times New Roman"/>
          <w:sz w:val="24"/>
          <w:szCs w:val="24"/>
        </w:rPr>
        <w:lastRenderedPageBreak/>
        <w:t xml:space="preserve">BVAL sample expansion </w:t>
      </w:r>
      <w:r w:rsidR="00480196" w:rsidRPr="00AF083D">
        <w:rPr>
          <w:rFonts w:ascii="Times New Roman" w:hAnsi="Times New Roman" w:cs="Times New Roman"/>
          <w:sz w:val="24"/>
          <w:szCs w:val="24"/>
        </w:rPr>
        <w:t xml:space="preserve">would be </w:t>
      </w:r>
      <w:r w:rsidR="007C11EF" w:rsidRPr="00AF083D">
        <w:rPr>
          <w:rFonts w:ascii="Times New Roman" w:hAnsi="Times New Roman" w:cs="Times New Roman"/>
          <w:sz w:val="24"/>
          <w:szCs w:val="24"/>
        </w:rPr>
        <w:t>small.</w:t>
      </w:r>
      <w:r w:rsidR="005C0541" w:rsidRPr="00AF083D">
        <w:rPr>
          <w:rFonts w:ascii="Times New Roman" w:hAnsi="Times New Roman" w:cs="Times New Roman"/>
          <w:sz w:val="24"/>
          <w:szCs w:val="24"/>
        </w:rPr>
        <w:t xml:space="preserve">  </w:t>
      </w:r>
      <w:r w:rsidR="00BF2442" w:rsidRPr="00AF083D">
        <w:rPr>
          <w:rFonts w:ascii="Times New Roman" w:hAnsi="Times New Roman" w:cs="Times New Roman"/>
          <w:sz w:val="24"/>
          <w:szCs w:val="24"/>
        </w:rPr>
        <w:t xml:space="preserve">In addition, </w:t>
      </w:r>
      <w:r w:rsidR="00754378" w:rsidRPr="00AF083D">
        <w:rPr>
          <w:rFonts w:ascii="Times New Roman" w:hAnsi="Times New Roman" w:cs="Times New Roman"/>
          <w:sz w:val="24"/>
          <w:szCs w:val="24"/>
        </w:rPr>
        <w:t xml:space="preserve">in respect of bonds </w:t>
      </w:r>
      <w:r w:rsidR="00DC336D" w:rsidRPr="00AF083D">
        <w:rPr>
          <w:rFonts w:ascii="Times New Roman" w:hAnsi="Times New Roman" w:cs="Times New Roman"/>
          <w:sz w:val="24"/>
          <w:szCs w:val="24"/>
        </w:rPr>
        <w:t>meeting</w:t>
      </w:r>
      <w:r w:rsidR="00754378" w:rsidRPr="00AF083D">
        <w:rPr>
          <w:rFonts w:ascii="Times New Roman" w:hAnsi="Times New Roman" w:cs="Times New Roman"/>
          <w:sz w:val="24"/>
          <w:szCs w:val="24"/>
        </w:rPr>
        <w:t xml:space="preserve"> the RBA criteria, </w:t>
      </w:r>
      <w:r w:rsidR="00BF2442" w:rsidRPr="00AF083D">
        <w:rPr>
          <w:rFonts w:ascii="Times New Roman" w:hAnsi="Times New Roman" w:cs="Times New Roman"/>
          <w:sz w:val="24"/>
          <w:szCs w:val="24"/>
        </w:rPr>
        <w:t xml:space="preserve">an examination </w:t>
      </w:r>
      <w:r w:rsidR="00754378" w:rsidRPr="00AF083D">
        <w:rPr>
          <w:rFonts w:ascii="Times New Roman" w:hAnsi="Times New Roman" w:cs="Times New Roman"/>
          <w:sz w:val="24"/>
          <w:szCs w:val="24"/>
        </w:rPr>
        <w:t xml:space="preserve">of Bloomberg data for 13 June 2014 revealed </w:t>
      </w:r>
      <w:r w:rsidR="00104732" w:rsidRPr="00AF083D">
        <w:rPr>
          <w:rFonts w:ascii="Times New Roman" w:hAnsi="Times New Roman" w:cs="Times New Roman"/>
          <w:sz w:val="24"/>
          <w:szCs w:val="24"/>
        </w:rPr>
        <w:t xml:space="preserve">69 </w:t>
      </w:r>
      <w:r w:rsidR="009C7EF1" w:rsidRPr="00AF083D">
        <w:rPr>
          <w:rFonts w:ascii="Times New Roman" w:hAnsi="Times New Roman" w:cs="Times New Roman"/>
          <w:sz w:val="24"/>
          <w:szCs w:val="24"/>
        </w:rPr>
        <w:t xml:space="preserve">bonds </w:t>
      </w:r>
      <w:r w:rsidR="00BF2442" w:rsidRPr="00AF083D">
        <w:rPr>
          <w:rFonts w:ascii="Times New Roman" w:hAnsi="Times New Roman" w:cs="Times New Roman"/>
          <w:sz w:val="24"/>
          <w:szCs w:val="24"/>
        </w:rPr>
        <w:t>with an S&amp;P broad BBB rating and a further four without an S&amp;P rating but wh</w:t>
      </w:r>
      <w:r w:rsidR="00D66483" w:rsidRPr="00AF083D">
        <w:rPr>
          <w:rFonts w:ascii="Times New Roman" w:hAnsi="Times New Roman" w:cs="Times New Roman"/>
          <w:sz w:val="24"/>
          <w:szCs w:val="24"/>
        </w:rPr>
        <w:t xml:space="preserve">ose issuer was rated broad BBB; this </w:t>
      </w:r>
      <w:r w:rsidR="00BF2442" w:rsidRPr="00AF083D">
        <w:rPr>
          <w:rFonts w:ascii="Times New Roman" w:hAnsi="Times New Roman" w:cs="Times New Roman"/>
          <w:sz w:val="24"/>
          <w:szCs w:val="24"/>
        </w:rPr>
        <w:t>suggests that the RBA sample expansion is also very small</w:t>
      </w:r>
      <w:r w:rsidR="007C11EF" w:rsidRPr="00AF083D">
        <w:rPr>
          <w:rFonts w:ascii="Times New Roman" w:hAnsi="Times New Roman" w:cs="Times New Roman"/>
          <w:sz w:val="24"/>
          <w:szCs w:val="24"/>
        </w:rPr>
        <w:t xml:space="preserve">.  Consequently, no preference </w:t>
      </w:r>
      <w:r w:rsidR="00480196" w:rsidRPr="00AF083D">
        <w:rPr>
          <w:rFonts w:ascii="Times New Roman" w:hAnsi="Times New Roman" w:cs="Times New Roman"/>
          <w:sz w:val="24"/>
          <w:szCs w:val="24"/>
        </w:rPr>
        <w:t>is expressed on this point.</w:t>
      </w:r>
    </w:p>
    <w:p w:rsidR="00FF4495" w:rsidRDefault="00FF4495" w:rsidP="00122250">
      <w:pPr>
        <w:pStyle w:val="ListParagraph"/>
        <w:spacing w:after="0" w:line="360" w:lineRule="auto"/>
        <w:ind w:left="0"/>
        <w:jc w:val="both"/>
        <w:rPr>
          <w:rFonts w:ascii="Times New Roman" w:hAnsi="Times New Roman" w:cs="Times New Roman"/>
          <w:sz w:val="24"/>
          <w:szCs w:val="24"/>
        </w:rPr>
      </w:pPr>
    </w:p>
    <w:p w:rsidR="00004B5E" w:rsidRDefault="00A421D0"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point (7), Australian businesses </w:t>
      </w:r>
      <w:r w:rsidR="003D1A5B">
        <w:rPr>
          <w:rFonts w:ascii="Times New Roman" w:hAnsi="Times New Roman" w:cs="Times New Roman"/>
          <w:sz w:val="24"/>
          <w:szCs w:val="24"/>
        </w:rPr>
        <w:t xml:space="preserve">frequently </w:t>
      </w:r>
      <w:r>
        <w:rPr>
          <w:rFonts w:ascii="Times New Roman" w:hAnsi="Times New Roman" w:cs="Times New Roman"/>
          <w:sz w:val="24"/>
          <w:szCs w:val="24"/>
        </w:rPr>
        <w:t>borrow in USD or Euro and the costs may differ from AUD denominated debt</w:t>
      </w:r>
      <w:r w:rsidR="006A7566">
        <w:rPr>
          <w:rFonts w:ascii="Times New Roman" w:hAnsi="Times New Roman" w:cs="Times New Roman"/>
          <w:sz w:val="24"/>
          <w:szCs w:val="24"/>
        </w:rPr>
        <w:t xml:space="preserve"> </w:t>
      </w:r>
      <w:r w:rsidR="006A7566" w:rsidRPr="00AF083D">
        <w:rPr>
          <w:rFonts w:ascii="Times New Roman" w:hAnsi="Times New Roman" w:cs="Times New Roman"/>
          <w:sz w:val="24"/>
          <w:szCs w:val="24"/>
        </w:rPr>
        <w:t>(for the same term and after converting the foreign-currency bonds into AUD</w:t>
      </w:r>
      <w:r w:rsidR="009C7EF1" w:rsidRPr="00AF083D">
        <w:rPr>
          <w:rFonts w:ascii="Times New Roman" w:hAnsi="Times New Roman" w:cs="Times New Roman"/>
          <w:sz w:val="24"/>
          <w:szCs w:val="24"/>
        </w:rPr>
        <w:t xml:space="preserve"> using a currency swap</w:t>
      </w:r>
      <w:r w:rsidR="006A7566" w:rsidRPr="00AF083D">
        <w:rPr>
          <w:rFonts w:ascii="Times New Roman" w:hAnsi="Times New Roman" w:cs="Times New Roman"/>
          <w:sz w:val="24"/>
          <w:szCs w:val="24"/>
        </w:rPr>
        <w:t>)</w:t>
      </w:r>
      <w:r w:rsidRPr="00AF083D">
        <w:rPr>
          <w:rFonts w:ascii="Times New Roman" w:hAnsi="Times New Roman" w:cs="Times New Roman"/>
          <w:sz w:val="24"/>
          <w:szCs w:val="24"/>
        </w:rPr>
        <w:t>.</w:t>
      </w:r>
      <w:r w:rsidR="007028DF" w:rsidRPr="00AF083D">
        <w:rPr>
          <w:rStyle w:val="FootnoteReference"/>
          <w:rFonts w:ascii="Times New Roman" w:hAnsi="Times New Roman" w:cs="Times New Roman"/>
          <w:sz w:val="24"/>
          <w:szCs w:val="24"/>
        </w:rPr>
        <w:footnoteReference w:id="3"/>
      </w:r>
      <w:r w:rsidRPr="00AF083D">
        <w:rPr>
          <w:rFonts w:ascii="Times New Roman" w:hAnsi="Times New Roman" w:cs="Times New Roman"/>
          <w:sz w:val="24"/>
          <w:szCs w:val="24"/>
        </w:rPr>
        <w:t xml:space="preserve">  Thus, an index that includes such bonds </w:t>
      </w:r>
      <w:r w:rsidR="00BC559B" w:rsidRPr="00AF083D">
        <w:rPr>
          <w:rFonts w:ascii="Times New Roman" w:hAnsi="Times New Roman" w:cs="Times New Roman"/>
          <w:sz w:val="24"/>
          <w:szCs w:val="24"/>
        </w:rPr>
        <w:t xml:space="preserve">(which the RBA does) </w:t>
      </w:r>
      <w:r w:rsidRPr="00AF083D">
        <w:rPr>
          <w:rFonts w:ascii="Times New Roman" w:hAnsi="Times New Roman" w:cs="Times New Roman"/>
          <w:sz w:val="24"/>
          <w:szCs w:val="24"/>
        </w:rPr>
        <w:t>would s</w:t>
      </w:r>
      <w:r w:rsidR="003D1A5B" w:rsidRPr="00AF083D">
        <w:rPr>
          <w:rFonts w:ascii="Times New Roman" w:hAnsi="Times New Roman" w:cs="Times New Roman"/>
          <w:sz w:val="24"/>
          <w:szCs w:val="24"/>
        </w:rPr>
        <w:t xml:space="preserve">eem to be preferable.  </w:t>
      </w:r>
      <w:r w:rsidR="0015459A" w:rsidRPr="00AF083D">
        <w:rPr>
          <w:rFonts w:ascii="Times New Roman" w:hAnsi="Times New Roman" w:cs="Times New Roman"/>
          <w:sz w:val="24"/>
          <w:szCs w:val="24"/>
        </w:rPr>
        <w:t xml:space="preserve">Furthermore Arsov et al </w:t>
      </w:r>
      <w:r w:rsidR="000C7E37" w:rsidRPr="00AF083D">
        <w:rPr>
          <w:rFonts w:ascii="Times New Roman" w:hAnsi="Times New Roman" w:cs="Times New Roman"/>
          <w:sz w:val="24"/>
          <w:szCs w:val="24"/>
        </w:rPr>
        <w:t xml:space="preserve">(2013, page 5) claims that the paucity of local currency bonds, especially at longer terms to maturity, makes it impractical to estimate costs of debt without using foreign-currency bonds.  For example, Arsov et al (2013, page 3) report that only 20% of BBB bonds are local currency ones and that these 20% are heavily skewed towards shorter residual terms to maturity.  This suggests that, of the </w:t>
      </w:r>
      <w:r w:rsidR="006C0865" w:rsidRPr="00AF083D">
        <w:rPr>
          <w:rFonts w:ascii="Times New Roman" w:hAnsi="Times New Roman" w:cs="Times New Roman"/>
          <w:sz w:val="24"/>
          <w:szCs w:val="24"/>
        </w:rPr>
        <w:t>67</w:t>
      </w:r>
      <w:r w:rsidR="000C7E37" w:rsidRPr="00AF083D">
        <w:rPr>
          <w:rFonts w:ascii="Times New Roman" w:hAnsi="Times New Roman" w:cs="Times New Roman"/>
          <w:sz w:val="24"/>
          <w:szCs w:val="24"/>
        </w:rPr>
        <w:t xml:space="preserve"> BBB bonds </w:t>
      </w:r>
      <w:r w:rsidR="00D66483" w:rsidRPr="00AF083D">
        <w:rPr>
          <w:rFonts w:ascii="Times New Roman" w:hAnsi="Times New Roman" w:cs="Times New Roman"/>
          <w:sz w:val="24"/>
          <w:szCs w:val="24"/>
        </w:rPr>
        <w:t xml:space="preserve">used by the RBA </w:t>
      </w:r>
      <w:r w:rsidR="00294693" w:rsidRPr="00AF083D">
        <w:rPr>
          <w:rFonts w:ascii="Times New Roman" w:hAnsi="Times New Roman" w:cs="Times New Roman"/>
          <w:sz w:val="24"/>
          <w:szCs w:val="24"/>
        </w:rPr>
        <w:t>on 31 July 2014</w:t>
      </w:r>
      <w:r w:rsidR="006C0865" w:rsidRPr="00AF083D">
        <w:rPr>
          <w:rFonts w:ascii="Times New Roman" w:hAnsi="Times New Roman" w:cs="Times New Roman"/>
          <w:sz w:val="24"/>
          <w:szCs w:val="24"/>
        </w:rPr>
        <w:t xml:space="preserve"> including 10 </w:t>
      </w:r>
      <w:r w:rsidR="000C7E37" w:rsidRPr="00AF083D">
        <w:rPr>
          <w:rFonts w:ascii="Times New Roman" w:hAnsi="Times New Roman" w:cs="Times New Roman"/>
          <w:sz w:val="24"/>
          <w:szCs w:val="24"/>
        </w:rPr>
        <w:t xml:space="preserve">with terms of </w:t>
      </w:r>
      <w:r w:rsidR="00CF3513" w:rsidRPr="00AF083D">
        <w:rPr>
          <w:rFonts w:ascii="Times New Roman" w:hAnsi="Times New Roman" w:cs="Times New Roman"/>
          <w:sz w:val="24"/>
          <w:szCs w:val="24"/>
        </w:rPr>
        <w:t xml:space="preserve">at least </w:t>
      </w:r>
      <w:r w:rsidR="00CA5416" w:rsidRPr="00AF083D">
        <w:rPr>
          <w:rFonts w:ascii="Times New Roman" w:hAnsi="Times New Roman" w:cs="Times New Roman"/>
          <w:sz w:val="24"/>
          <w:szCs w:val="24"/>
        </w:rPr>
        <w:t xml:space="preserve">eight </w:t>
      </w:r>
      <w:r w:rsidR="006C0865" w:rsidRPr="00AF083D">
        <w:rPr>
          <w:rFonts w:ascii="Times New Roman" w:hAnsi="Times New Roman" w:cs="Times New Roman"/>
          <w:sz w:val="24"/>
          <w:szCs w:val="24"/>
        </w:rPr>
        <w:t>years, only about 13 are</w:t>
      </w:r>
      <w:r w:rsidR="000C7E37" w:rsidRPr="00AF083D">
        <w:rPr>
          <w:rFonts w:ascii="Times New Roman" w:hAnsi="Times New Roman" w:cs="Times New Roman"/>
          <w:sz w:val="24"/>
          <w:szCs w:val="24"/>
        </w:rPr>
        <w:t xml:space="preserve"> local currency</w:t>
      </w:r>
      <w:r w:rsidR="006C0865" w:rsidRPr="00AF083D">
        <w:rPr>
          <w:rFonts w:ascii="Times New Roman" w:hAnsi="Times New Roman" w:cs="Times New Roman"/>
          <w:sz w:val="24"/>
          <w:szCs w:val="24"/>
        </w:rPr>
        <w:t xml:space="preserve"> and only one of these would have a term of at least eight years</w:t>
      </w:r>
      <w:r w:rsidR="000C7E37" w:rsidRPr="00AF083D">
        <w:rPr>
          <w:rFonts w:ascii="Times New Roman" w:hAnsi="Times New Roman" w:cs="Times New Roman"/>
          <w:sz w:val="24"/>
          <w:szCs w:val="24"/>
        </w:rPr>
        <w:t>.</w:t>
      </w:r>
      <w:r w:rsidR="000C7E37" w:rsidRPr="00AF083D">
        <w:rPr>
          <w:rStyle w:val="FootnoteReference"/>
          <w:rFonts w:ascii="Times New Roman" w:hAnsi="Times New Roman" w:cs="Times New Roman"/>
          <w:sz w:val="24"/>
          <w:szCs w:val="24"/>
        </w:rPr>
        <w:footnoteReference w:id="4"/>
      </w:r>
      <w:r w:rsidR="006C0865">
        <w:rPr>
          <w:rFonts w:ascii="Times New Roman" w:hAnsi="Times New Roman" w:cs="Times New Roman"/>
          <w:sz w:val="24"/>
          <w:szCs w:val="24"/>
        </w:rPr>
        <w:t xml:space="preserve">  However, </w:t>
      </w:r>
      <w:r w:rsidR="003D1A5B">
        <w:rPr>
          <w:rFonts w:ascii="Times New Roman" w:hAnsi="Times New Roman" w:cs="Times New Roman"/>
          <w:sz w:val="24"/>
          <w:szCs w:val="24"/>
        </w:rPr>
        <w:t xml:space="preserve">there are a number of problems with the inclusion of these foreign currency bonds.  Firstly, </w:t>
      </w:r>
      <w:r w:rsidR="0030038D">
        <w:rPr>
          <w:rFonts w:ascii="Times New Roman" w:hAnsi="Times New Roman" w:cs="Times New Roman"/>
          <w:sz w:val="24"/>
          <w:szCs w:val="24"/>
        </w:rPr>
        <w:t>the QTC (2012, Attachment 1, page 25) states that secondary market activity in these bonds is low and that most of the data is only “indicative non-binding bid and offer quotes”.  Since the QTC raises debt finance in both domestic and foreign markets for Queensland government entities, it could reasonably be presumed to be kn</w:t>
      </w:r>
      <w:r w:rsidR="009A26B4">
        <w:rPr>
          <w:rFonts w:ascii="Times New Roman" w:hAnsi="Times New Roman" w:cs="Times New Roman"/>
          <w:sz w:val="24"/>
          <w:szCs w:val="24"/>
        </w:rPr>
        <w:t xml:space="preserve">owledgeable about these matters.  </w:t>
      </w:r>
    </w:p>
    <w:p w:rsidR="00004B5E" w:rsidRDefault="00004B5E" w:rsidP="0030038D">
      <w:pPr>
        <w:spacing w:after="0" w:line="360" w:lineRule="auto"/>
        <w:jc w:val="both"/>
        <w:rPr>
          <w:rFonts w:ascii="Times New Roman" w:hAnsi="Times New Roman" w:cs="Times New Roman"/>
          <w:sz w:val="24"/>
          <w:szCs w:val="24"/>
        </w:rPr>
      </w:pPr>
    </w:p>
    <w:p w:rsidR="001A3F44" w:rsidRPr="00AF083D" w:rsidRDefault="001A3F44"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secondary market transactions on such bonds </w:t>
      </w:r>
      <w:r w:rsidR="00A659A1">
        <w:rPr>
          <w:rFonts w:ascii="Times New Roman" w:hAnsi="Times New Roman" w:cs="Times New Roman"/>
          <w:sz w:val="24"/>
          <w:szCs w:val="24"/>
        </w:rPr>
        <w:t xml:space="preserve">come </w:t>
      </w:r>
      <w:r>
        <w:rPr>
          <w:rFonts w:ascii="Times New Roman" w:hAnsi="Times New Roman" w:cs="Times New Roman"/>
          <w:sz w:val="24"/>
          <w:szCs w:val="24"/>
        </w:rPr>
        <w:t>from a variety of markets.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If they are </w:t>
      </w:r>
      <w:r w:rsidR="00A659A1">
        <w:rPr>
          <w:rFonts w:ascii="Times New Roman" w:hAnsi="Times New Roman" w:cs="Times New Roman"/>
          <w:sz w:val="24"/>
          <w:szCs w:val="24"/>
        </w:rPr>
        <w:t xml:space="preserve">not </w:t>
      </w:r>
      <w:r>
        <w:rPr>
          <w:rFonts w:ascii="Times New Roman" w:hAnsi="Times New Roman" w:cs="Times New Roman"/>
          <w:sz w:val="24"/>
          <w:szCs w:val="24"/>
        </w:rPr>
        <w:t xml:space="preserve">from the same market as the lender, the </w:t>
      </w:r>
      <w:r w:rsidR="00A659A1">
        <w:rPr>
          <w:rFonts w:ascii="Times New Roman" w:hAnsi="Times New Roman" w:cs="Times New Roman"/>
          <w:sz w:val="24"/>
          <w:szCs w:val="24"/>
        </w:rPr>
        <w:t xml:space="preserve">resulting </w:t>
      </w:r>
      <w:r w:rsidR="00004B5E" w:rsidRPr="00AF083D">
        <w:rPr>
          <w:rFonts w:ascii="Times New Roman" w:hAnsi="Times New Roman" w:cs="Times New Roman"/>
          <w:sz w:val="24"/>
          <w:szCs w:val="24"/>
        </w:rPr>
        <w:t xml:space="preserve">estimate of the </w:t>
      </w:r>
      <w:r w:rsidR="00A659A1" w:rsidRPr="00AF083D">
        <w:rPr>
          <w:rFonts w:ascii="Times New Roman" w:hAnsi="Times New Roman" w:cs="Times New Roman"/>
          <w:sz w:val="24"/>
          <w:szCs w:val="24"/>
        </w:rPr>
        <w:t xml:space="preserve">cost of debt may differ from that which would otherwise arise, and therefore </w:t>
      </w:r>
      <w:r w:rsidR="00004B5E" w:rsidRPr="00AF083D">
        <w:rPr>
          <w:rFonts w:ascii="Times New Roman" w:hAnsi="Times New Roman" w:cs="Times New Roman"/>
          <w:sz w:val="24"/>
          <w:szCs w:val="24"/>
        </w:rPr>
        <w:t xml:space="preserve">may generate </w:t>
      </w:r>
      <w:r w:rsidR="00A659A1" w:rsidRPr="00AF083D">
        <w:rPr>
          <w:rFonts w:ascii="Times New Roman" w:hAnsi="Times New Roman" w:cs="Times New Roman"/>
          <w:sz w:val="24"/>
          <w:szCs w:val="24"/>
        </w:rPr>
        <w:t>a biased estimate of the firm’s cost o</w:t>
      </w:r>
      <w:r w:rsidR="00004B5E" w:rsidRPr="00AF083D">
        <w:rPr>
          <w:rFonts w:ascii="Times New Roman" w:hAnsi="Times New Roman" w:cs="Times New Roman"/>
          <w:sz w:val="24"/>
          <w:szCs w:val="24"/>
        </w:rPr>
        <w:t xml:space="preserve">f debt from that foreign source.  </w:t>
      </w:r>
      <w:r w:rsidR="006A7566" w:rsidRPr="00AF083D">
        <w:rPr>
          <w:rFonts w:ascii="Times New Roman" w:hAnsi="Times New Roman" w:cs="Times New Roman"/>
          <w:sz w:val="24"/>
          <w:szCs w:val="24"/>
        </w:rPr>
        <w:t>Since the base rate component of both costs of debt will be equal after the currency swap, the</w:t>
      </w:r>
      <w:r w:rsidR="00004B5E" w:rsidRPr="00AF083D">
        <w:rPr>
          <w:rFonts w:ascii="Times New Roman" w:hAnsi="Times New Roman" w:cs="Times New Roman"/>
          <w:sz w:val="24"/>
          <w:szCs w:val="24"/>
        </w:rPr>
        <w:t xml:space="preserve"> source of the problem is the DRP.  </w:t>
      </w:r>
      <w:r w:rsidR="00CA5416" w:rsidRPr="00AF083D">
        <w:rPr>
          <w:rFonts w:ascii="Times New Roman" w:hAnsi="Times New Roman" w:cs="Times New Roman"/>
          <w:sz w:val="24"/>
          <w:szCs w:val="24"/>
        </w:rPr>
        <w:t>This</w:t>
      </w:r>
      <w:r w:rsidR="00004B5E" w:rsidRPr="00AF083D">
        <w:rPr>
          <w:rFonts w:ascii="Times New Roman" w:hAnsi="Times New Roman" w:cs="Times New Roman"/>
          <w:sz w:val="24"/>
          <w:szCs w:val="24"/>
        </w:rPr>
        <w:t xml:space="preserve"> </w:t>
      </w:r>
      <w:r w:rsidR="00004B5E" w:rsidRPr="00AF083D">
        <w:rPr>
          <w:rFonts w:ascii="Times New Roman" w:hAnsi="Times New Roman" w:cs="Times New Roman"/>
          <w:sz w:val="24"/>
          <w:szCs w:val="24"/>
        </w:rPr>
        <w:lastRenderedPageBreak/>
        <w:t>comprises allowances for expected default losses, the illiquidity of the bonds relative to governm</w:t>
      </w:r>
      <w:r w:rsidR="00CA5416" w:rsidRPr="00AF083D">
        <w:rPr>
          <w:rFonts w:ascii="Times New Roman" w:hAnsi="Times New Roman" w:cs="Times New Roman"/>
          <w:sz w:val="24"/>
          <w:szCs w:val="24"/>
        </w:rPr>
        <w:t xml:space="preserve">ent bonds, and systematic risk.  So, </w:t>
      </w:r>
      <w:r w:rsidR="00004B5E" w:rsidRPr="00AF083D">
        <w:rPr>
          <w:rFonts w:ascii="Times New Roman" w:hAnsi="Times New Roman" w:cs="Times New Roman"/>
          <w:sz w:val="24"/>
          <w:szCs w:val="24"/>
        </w:rPr>
        <w:t xml:space="preserve">the DRPs </w:t>
      </w:r>
      <w:r w:rsidR="00DF13E3" w:rsidRPr="00AF083D">
        <w:rPr>
          <w:rFonts w:ascii="Times New Roman" w:hAnsi="Times New Roman" w:cs="Times New Roman"/>
          <w:sz w:val="24"/>
          <w:szCs w:val="24"/>
        </w:rPr>
        <w:t xml:space="preserve">on </w:t>
      </w:r>
      <w:r w:rsidR="00004B5E" w:rsidRPr="00AF083D">
        <w:rPr>
          <w:rFonts w:ascii="Times New Roman" w:hAnsi="Times New Roman" w:cs="Times New Roman"/>
          <w:sz w:val="24"/>
          <w:szCs w:val="24"/>
        </w:rPr>
        <w:t xml:space="preserve">a given Australian </w:t>
      </w:r>
      <w:r w:rsidR="00DF13E3" w:rsidRPr="00AF083D">
        <w:rPr>
          <w:rFonts w:ascii="Times New Roman" w:hAnsi="Times New Roman" w:cs="Times New Roman"/>
          <w:sz w:val="24"/>
          <w:szCs w:val="24"/>
        </w:rPr>
        <w:t xml:space="preserve">bond arising on a secondary market transaction </w:t>
      </w:r>
      <w:r w:rsidR="00004B5E" w:rsidRPr="00AF083D">
        <w:rPr>
          <w:rFonts w:ascii="Times New Roman" w:hAnsi="Times New Roman" w:cs="Times New Roman"/>
          <w:sz w:val="24"/>
          <w:szCs w:val="24"/>
        </w:rPr>
        <w:t xml:space="preserve">may differ </w:t>
      </w:r>
      <w:r w:rsidR="00DF13E3" w:rsidRPr="00AF083D">
        <w:rPr>
          <w:rFonts w:ascii="Times New Roman" w:hAnsi="Times New Roman" w:cs="Times New Roman"/>
          <w:sz w:val="24"/>
          <w:szCs w:val="24"/>
        </w:rPr>
        <w:t xml:space="preserve">across the nationality of the buyer because </w:t>
      </w:r>
      <w:r w:rsidR="00004B5E" w:rsidRPr="00AF083D">
        <w:rPr>
          <w:rFonts w:ascii="Times New Roman" w:hAnsi="Times New Roman" w:cs="Times New Roman"/>
          <w:sz w:val="24"/>
          <w:szCs w:val="24"/>
        </w:rPr>
        <w:t xml:space="preserve">perceptions of the default risk of Australian firms may </w:t>
      </w:r>
      <w:r w:rsidR="00DF13E3" w:rsidRPr="00AF083D">
        <w:rPr>
          <w:rFonts w:ascii="Times New Roman" w:hAnsi="Times New Roman" w:cs="Times New Roman"/>
          <w:sz w:val="24"/>
          <w:szCs w:val="24"/>
        </w:rPr>
        <w:t xml:space="preserve">differ across markets, </w:t>
      </w:r>
      <w:r w:rsidR="00004B5E" w:rsidRPr="00AF083D">
        <w:rPr>
          <w:rFonts w:ascii="Times New Roman" w:hAnsi="Times New Roman" w:cs="Times New Roman"/>
          <w:sz w:val="24"/>
          <w:szCs w:val="24"/>
        </w:rPr>
        <w:t xml:space="preserve">premiums for the relative illiquidity of the bonds may differ across markets, and the premiums for systematic risk are likely to be different.  </w:t>
      </w:r>
      <w:r w:rsidR="00CA5416" w:rsidRPr="00AF083D">
        <w:rPr>
          <w:rFonts w:ascii="Times New Roman" w:hAnsi="Times New Roman" w:cs="Times New Roman"/>
          <w:sz w:val="24"/>
          <w:szCs w:val="24"/>
        </w:rPr>
        <w:t>For</w:t>
      </w:r>
      <w:r w:rsidR="00004B5E" w:rsidRPr="00AF083D">
        <w:rPr>
          <w:rFonts w:ascii="Times New Roman" w:hAnsi="Times New Roman" w:cs="Times New Roman"/>
          <w:sz w:val="24"/>
          <w:szCs w:val="24"/>
        </w:rPr>
        <w:t xml:space="preserve"> example, if the firm borrows from an EU financial institution (in euros) at </w:t>
      </w:r>
      <w:r w:rsidR="00FF4B55" w:rsidRPr="00AF083D">
        <w:rPr>
          <w:rFonts w:ascii="Times New Roman" w:hAnsi="Times New Roman" w:cs="Times New Roman"/>
          <w:sz w:val="24"/>
          <w:szCs w:val="24"/>
        </w:rPr>
        <w:t xml:space="preserve">6% </w:t>
      </w:r>
      <w:r w:rsidR="009C7EF1" w:rsidRPr="00AF083D">
        <w:rPr>
          <w:rFonts w:ascii="Times New Roman" w:hAnsi="Times New Roman" w:cs="Times New Roman"/>
          <w:sz w:val="24"/>
          <w:szCs w:val="24"/>
        </w:rPr>
        <w:t xml:space="preserve">(after the currency swap) </w:t>
      </w:r>
      <w:r w:rsidR="00004B5E" w:rsidRPr="00AF083D">
        <w:rPr>
          <w:rFonts w:ascii="Times New Roman" w:hAnsi="Times New Roman" w:cs="Times New Roman"/>
          <w:sz w:val="24"/>
          <w:szCs w:val="24"/>
        </w:rPr>
        <w:t xml:space="preserve">and the bonds are purchased shortly afterwards by a US entity at a </w:t>
      </w:r>
      <w:r w:rsidR="00FF4B55" w:rsidRPr="00AF083D">
        <w:rPr>
          <w:rFonts w:ascii="Times New Roman" w:hAnsi="Times New Roman" w:cs="Times New Roman"/>
          <w:sz w:val="24"/>
          <w:szCs w:val="24"/>
        </w:rPr>
        <w:t xml:space="preserve">yield of 6.5% </w:t>
      </w:r>
      <w:r w:rsidR="009C7EF1" w:rsidRPr="00AF083D">
        <w:rPr>
          <w:rFonts w:ascii="Times New Roman" w:hAnsi="Times New Roman" w:cs="Times New Roman"/>
          <w:sz w:val="24"/>
          <w:szCs w:val="24"/>
        </w:rPr>
        <w:t xml:space="preserve">(after the currency swap) </w:t>
      </w:r>
      <w:r w:rsidR="00004B5E" w:rsidRPr="00AF083D">
        <w:rPr>
          <w:rFonts w:ascii="Times New Roman" w:hAnsi="Times New Roman" w:cs="Times New Roman"/>
          <w:sz w:val="24"/>
          <w:szCs w:val="24"/>
        </w:rPr>
        <w:t>because</w:t>
      </w:r>
      <w:r w:rsidR="00FF4B55" w:rsidRPr="00AF083D">
        <w:rPr>
          <w:rFonts w:ascii="Times New Roman" w:hAnsi="Times New Roman" w:cs="Times New Roman"/>
          <w:sz w:val="24"/>
          <w:szCs w:val="24"/>
        </w:rPr>
        <w:t xml:space="preserve"> the systematic risk on Australian bonds is higher for US buyers than EU buyers, then the secondary market data overestimates the firm’s DRP on euro-denominated debt.</w:t>
      </w:r>
    </w:p>
    <w:p w:rsidR="001A3F44" w:rsidRDefault="001A3F44" w:rsidP="0030038D">
      <w:pPr>
        <w:spacing w:after="0" w:line="360" w:lineRule="auto"/>
        <w:jc w:val="both"/>
        <w:rPr>
          <w:rFonts w:ascii="Times New Roman" w:hAnsi="Times New Roman" w:cs="Times New Roman"/>
          <w:sz w:val="24"/>
          <w:szCs w:val="24"/>
        </w:rPr>
      </w:pPr>
    </w:p>
    <w:p w:rsidR="00CA5416" w:rsidRDefault="001A3F44"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Thirdly, the </w:t>
      </w:r>
      <w:r w:rsidR="009A26B4">
        <w:rPr>
          <w:rFonts w:ascii="Times New Roman" w:hAnsi="Times New Roman" w:cs="Times New Roman"/>
          <w:sz w:val="24"/>
          <w:szCs w:val="24"/>
        </w:rPr>
        <w:t xml:space="preserve">use of a bond index that includes </w:t>
      </w:r>
      <w:r w:rsidR="00D94EA2">
        <w:rPr>
          <w:rFonts w:ascii="Times New Roman" w:hAnsi="Times New Roman" w:cs="Times New Roman"/>
          <w:sz w:val="24"/>
          <w:szCs w:val="24"/>
        </w:rPr>
        <w:t xml:space="preserve">foreign currency </w:t>
      </w:r>
      <w:r w:rsidR="009A26B4">
        <w:rPr>
          <w:rFonts w:ascii="Times New Roman" w:hAnsi="Times New Roman" w:cs="Times New Roman"/>
          <w:sz w:val="24"/>
          <w:szCs w:val="24"/>
        </w:rPr>
        <w:t xml:space="preserve">bonds implies that they will be weighted in proportion to their inclusion in the index rather than in proportion to their usage by </w:t>
      </w:r>
      <w:r w:rsidR="00627D02">
        <w:rPr>
          <w:rFonts w:ascii="Times New Roman" w:hAnsi="Times New Roman" w:cs="Times New Roman"/>
          <w:sz w:val="24"/>
          <w:szCs w:val="24"/>
        </w:rPr>
        <w:t xml:space="preserve">Australian regulated energy businesses.  </w:t>
      </w:r>
      <w:r w:rsidR="000975E8" w:rsidRPr="00AF083D">
        <w:rPr>
          <w:rFonts w:ascii="Times New Roman" w:hAnsi="Times New Roman" w:cs="Times New Roman"/>
          <w:sz w:val="24"/>
          <w:szCs w:val="24"/>
        </w:rPr>
        <w:t xml:space="preserve">Amongst these </w:t>
      </w:r>
      <w:r w:rsidR="00627D02" w:rsidRPr="00AF083D">
        <w:rPr>
          <w:rFonts w:ascii="Times New Roman" w:hAnsi="Times New Roman" w:cs="Times New Roman"/>
          <w:sz w:val="24"/>
          <w:szCs w:val="24"/>
        </w:rPr>
        <w:t>firms, PwC (2013, pp. 18-19) estimates that 25% of the debt</w:t>
      </w:r>
      <w:r w:rsidR="00733B05">
        <w:rPr>
          <w:rFonts w:ascii="Times New Roman" w:hAnsi="Times New Roman" w:cs="Times New Roman"/>
          <w:sz w:val="24"/>
          <w:szCs w:val="24"/>
        </w:rPr>
        <w:t xml:space="preserve"> </w:t>
      </w:r>
      <w:r w:rsidR="00733B05" w:rsidRPr="00C256FD">
        <w:rPr>
          <w:rFonts w:ascii="Times New Roman" w:hAnsi="Times New Roman" w:cs="Times New Roman"/>
          <w:sz w:val="24"/>
          <w:szCs w:val="24"/>
        </w:rPr>
        <w:t>(presumably in face value terms)</w:t>
      </w:r>
      <w:r w:rsidR="00627D02" w:rsidRPr="00C256FD">
        <w:rPr>
          <w:rFonts w:ascii="Times New Roman" w:hAnsi="Times New Roman" w:cs="Times New Roman"/>
          <w:sz w:val="24"/>
          <w:szCs w:val="24"/>
        </w:rPr>
        <w:t xml:space="preserve"> is foreign-currency bonds.  By contrast, Arsov et al (2013, page 3) report that </w:t>
      </w:r>
      <w:r w:rsidR="00733B05" w:rsidRPr="00C256FD">
        <w:rPr>
          <w:rFonts w:ascii="Times New Roman" w:hAnsi="Times New Roman" w:cs="Times New Roman"/>
          <w:sz w:val="24"/>
          <w:szCs w:val="24"/>
        </w:rPr>
        <w:t xml:space="preserve">over </w:t>
      </w:r>
      <w:r w:rsidR="00627D02" w:rsidRPr="00C256FD">
        <w:rPr>
          <w:rFonts w:ascii="Times New Roman" w:hAnsi="Times New Roman" w:cs="Times New Roman"/>
          <w:sz w:val="24"/>
          <w:szCs w:val="24"/>
        </w:rPr>
        <w:t xml:space="preserve">80% of the BBB bonds </w:t>
      </w:r>
      <w:r w:rsidR="000975E8" w:rsidRPr="00C256FD">
        <w:rPr>
          <w:rFonts w:ascii="Times New Roman" w:hAnsi="Times New Roman" w:cs="Times New Roman"/>
          <w:sz w:val="24"/>
          <w:szCs w:val="24"/>
        </w:rPr>
        <w:t xml:space="preserve">in the RBA index </w:t>
      </w:r>
      <w:r w:rsidR="00627D02" w:rsidRPr="00C256FD">
        <w:rPr>
          <w:rFonts w:ascii="Times New Roman" w:hAnsi="Times New Roman" w:cs="Times New Roman"/>
          <w:sz w:val="24"/>
          <w:szCs w:val="24"/>
        </w:rPr>
        <w:t>are foreign-currency ones</w:t>
      </w:r>
      <w:r w:rsidR="00733B05" w:rsidRPr="00C256FD">
        <w:rPr>
          <w:rFonts w:ascii="Times New Roman" w:hAnsi="Times New Roman" w:cs="Times New Roman"/>
          <w:sz w:val="24"/>
          <w:szCs w:val="24"/>
        </w:rPr>
        <w:t xml:space="preserve"> (in face value terms)</w:t>
      </w:r>
      <w:r w:rsidR="00627D02" w:rsidRPr="00C256FD">
        <w:rPr>
          <w:rFonts w:ascii="Times New Roman" w:hAnsi="Times New Roman" w:cs="Times New Roman"/>
          <w:sz w:val="24"/>
          <w:szCs w:val="24"/>
        </w:rPr>
        <w:t>.</w:t>
      </w:r>
      <w:r w:rsidR="00627D02" w:rsidRPr="00AF083D">
        <w:rPr>
          <w:rFonts w:ascii="Times New Roman" w:hAnsi="Times New Roman" w:cs="Times New Roman"/>
          <w:sz w:val="24"/>
          <w:szCs w:val="24"/>
        </w:rPr>
        <w:t xml:space="preserve">  Thus, the RBA </w:t>
      </w:r>
      <w:r w:rsidR="000975E8" w:rsidRPr="00AF083D">
        <w:rPr>
          <w:rFonts w:ascii="Times New Roman" w:hAnsi="Times New Roman" w:cs="Times New Roman"/>
          <w:sz w:val="24"/>
          <w:szCs w:val="24"/>
        </w:rPr>
        <w:t xml:space="preserve">index </w:t>
      </w:r>
      <w:r w:rsidR="00627D02" w:rsidRPr="00AF083D">
        <w:rPr>
          <w:rFonts w:ascii="Times New Roman" w:hAnsi="Times New Roman" w:cs="Times New Roman"/>
          <w:sz w:val="24"/>
          <w:szCs w:val="24"/>
        </w:rPr>
        <w:t>overweights foreign-currency bonds at the present time by even more than the BVAL underweights them</w:t>
      </w:r>
      <w:r w:rsidR="000975E8" w:rsidRPr="00AF083D">
        <w:rPr>
          <w:rFonts w:ascii="Times New Roman" w:hAnsi="Times New Roman" w:cs="Times New Roman"/>
          <w:sz w:val="24"/>
          <w:szCs w:val="24"/>
        </w:rPr>
        <w:t>,</w:t>
      </w:r>
      <w:r w:rsidR="00627D02" w:rsidRPr="00AF083D">
        <w:rPr>
          <w:rFonts w:ascii="Times New Roman" w:hAnsi="Times New Roman" w:cs="Times New Roman"/>
          <w:sz w:val="24"/>
          <w:szCs w:val="24"/>
        </w:rPr>
        <w:t xml:space="preserve"> and the consequence </w:t>
      </w:r>
      <w:r w:rsidR="000975E8" w:rsidRPr="00AF083D">
        <w:rPr>
          <w:rFonts w:ascii="Times New Roman" w:hAnsi="Times New Roman" w:cs="Times New Roman"/>
          <w:sz w:val="24"/>
          <w:szCs w:val="24"/>
        </w:rPr>
        <w:t xml:space="preserve">is that </w:t>
      </w:r>
      <w:r w:rsidR="00627D02" w:rsidRPr="00AF083D">
        <w:rPr>
          <w:rFonts w:ascii="Times New Roman" w:hAnsi="Times New Roman" w:cs="Times New Roman"/>
          <w:sz w:val="24"/>
          <w:szCs w:val="24"/>
        </w:rPr>
        <w:t xml:space="preserve">the RBA estimate for the cost of debt will exhibit greater </w:t>
      </w:r>
      <w:r w:rsidR="005729CB" w:rsidRPr="00AF083D">
        <w:rPr>
          <w:rFonts w:ascii="Times New Roman" w:hAnsi="Times New Roman" w:cs="Times New Roman"/>
          <w:sz w:val="24"/>
          <w:szCs w:val="24"/>
        </w:rPr>
        <w:t xml:space="preserve">bias </w:t>
      </w:r>
      <w:r w:rsidR="00627D02" w:rsidRPr="00AF083D">
        <w:rPr>
          <w:rFonts w:ascii="Times New Roman" w:hAnsi="Times New Roman" w:cs="Times New Roman"/>
          <w:sz w:val="24"/>
          <w:szCs w:val="24"/>
        </w:rPr>
        <w:t xml:space="preserve">than the BVAL </w:t>
      </w:r>
      <w:r w:rsidR="005729CB" w:rsidRPr="00AF083D">
        <w:rPr>
          <w:rFonts w:ascii="Times New Roman" w:hAnsi="Times New Roman" w:cs="Times New Roman"/>
          <w:sz w:val="24"/>
          <w:szCs w:val="24"/>
        </w:rPr>
        <w:t>if the cost of debt on local-currency bonds differs from that on foreign ones (of the same term and after the currency swaps)</w:t>
      </w:r>
      <w:r w:rsidR="008C4B93" w:rsidRPr="00AF083D">
        <w:rPr>
          <w:rFonts w:ascii="Times New Roman" w:hAnsi="Times New Roman" w:cs="Times New Roman"/>
          <w:sz w:val="24"/>
          <w:szCs w:val="24"/>
        </w:rPr>
        <w:t>.  For example, suppose the current cost of debt on foreign-currency bonds is 8% (after the currency swap) and that on local currency bonds of the same term</w:t>
      </w:r>
      <w:r w:rsidR="00E61E43" w:rsidRPr="00AF083D">
        <w:rPr>
          <w:rFonts w:ascii="Times New Roman" w:hAnsi="Times New Roman" w:cs="Times New Roman"/>
          <w:sz w:val="24"/>
          <w:szCs w:val="24"/>
        </w:rPr>
        <w:t xml:space="preserve"> is 7%.  Using the appropriate weights of 25% and 75% respectively, as discussed above, the overall cost of debt would be 7.25%.  However, with weights of 80% and 20% respectively, the RBA would estimate the cost of debt at 7.8% whilst the BVAL would estimate it at 7%.  So, the BVAL </w:t>
      </w:r>
      <w:r w:rsidR="000975E8" w:rsidRPr="00AF083D">
        <w:rPr>
          <w:rFonts w:ascii="Times New Roman" w:hAnsi="Times New Roman" w:cs="Times New Roman"/>
          <w:sz w:val="24"/>
          <w:szCs w:val="24"/>
        </w:rPr>
        <w:t xml:space="preserve">would underestimate </w:t>
      </w:r>
      <w:r w:rsidR="00E61E43" w:rsidRPr="00AF083D">
        <w:rPr>
          <w:rFonts w:ascii="Times New Roman" w:hAnsi="Times New Roman" w:cs="Times New Roman"/>
          <w:sz w:val="24"/>
          <w:szCs w:val="24"/>
        </w:rPr>
        <w:t>the cost of debt by 0.25% whilst the RBA w</w:t>
      </w:r>
      <w:r w:rsidR="008F1D90" w:rsidRPr="00AF083D">
        <w:rPr>
          <w:rFonts w:ascii="Times New Roman" w:hAnsi="Times New Roman" w:cs="Times New Roman"/>
          <w:sz w:val="24"/>
          <w:szCs w:val="24"/>
        </w:rPr>
        <w:t xml:space="preserve">ould overestimate it by 0.55%.  Furthermore, given that the weighting on foreign-currency bonds in the RBA index is </w:t>
      </w:r>
      <w:r w:rsidR="00733B05">
        <w:rPr>
          <w:rFonts w:ascii="Times New Roman" w:hAnsi="Times New Roman" w:cs="Times New Roman"/>
          <w:sz w:val="24"/>
          <w:szCs w:val="24"/>
        </w:rPr>
        <w:t xml:space="preserve">significantly </w:t>
      </w:r>
      <w:r w:rsidR="008F1D90" w:rsidRPr="00AF083D">
        <w:rPr>
          <w:rFonts w:ascii="Times New Roman" w:hAnsi="Times New Roman" w:cs="Times New Roman"/>
          <w:sz w:val="24"/>
          <w:szCs w:val="24"/>
        </w:rPr>
        <w:t>greater than 80% around the ten-year term that is the focus here (Arsov et al, 2013, page 3), the RBA bias here would be even worse.</w:t>
      </w:r>
    </w:p>
    <w:p w:rsidR="00CA5416" w:rsidRDefault="00CA5416" w:rsidP="0030038D">
      <w:pPr>
        <w:spacing w:after="0" w:line="360" w:lineRule="auto"/>
        <w:jc w:val="both"/>
        <w:rPr>
          <w:rFonts w:ascii="Times New Roman" w:hAnsi="Times New Roman" w:cs="Times New Roman"/>
          <w:sz w:val="24"/>
          <w:szCs w:val="24"/>
        </w:rPr>
      </w:pPr>
    </w:p>
    <w:p w:rsidR="00C44B8C" w:rsidRPr="00AF083D" w:rsidRDefault="007C3D82"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Fourthly, </w:t>
      </w:r>
      <w:r w:rsidR="008F1D90">
        <w:rPr>
          <w:rFonts w:ascii="Times New Roman" w:hAnsi="Times New Roman" w:cs="Times New Roman"/>
          <w:sz w:val="24"/>
          <w:szCs w:val="24"/>
        </w:rPr>
        <w:t xml:space="preserve">at every </w:t>
      </w:r>
      <w:r w:rsidR="00CD6069">
        <w:rPr>
          <w:rFonts w:ascii="Times New Roman" w:hAnsi="Times New Roman" w:cs="Times New Roman"/>
          <w:sz w:val="24"/>
          <w:szCs w:val="24"/>
        </w:rPr>
        <w:t>point in time at which the costs of debt for these two types of debt are estimated</w:t>
      </w:r>
      <w:r w:rsidR="002768DD">
        <w:rPr>
          <w:rFonts w:ascii="Times New Roman" w:hAnsi="Times New Roman" w:cs="Times New Roman"/>
          <w:sz w:val="24"/>
          <w:szCs w:val="24"/>
        </w:rPr>
        <w:t xml:space="preserve"> </w:t>
      </w:r>
      <w:r w:rsidR="002768DD" w:rsidRPr="00AF083D">
        <w:rPr>
          <w:rFonts w:ascii="Times New Roman" w:hAnsi="Times New Roman" w:cs="Times New Roman"/>
          <w:sz w:val="24"/>
          <w:szCs w:val="24"/>
        </w:rPr>
        <w:t>(in the course of determining a trailing average)</w:t>
      </w:r>
      <w:r w:rsidR="00CD6069" w:rsidRPr="00AF083D">
        <w:rPr>
          <w:rFonts w:ascii="Times New Roman" w:hAnsi="Times New Roman" w:cs="Times New Roman"/>
          <w:sz w:val="24"/>
          <w:szCs w:val="24"/>
        </w:rPr>
        <w:t xml:space="preserve">, the </w:t>
      </w:r>
      <w:r w:rsidR="009A26B4" w:rsidRPr="00AF083D">
        <w:rPr>
          <w:rFonts w:ascii="Times New Roman" w:hAnsi="Times New Roman" w:cs="Times New Roman"/>
          <w:sz w:val="24"/>
          <w:szCs w:val="24"/>
        </w:rPr>
        <w:t xml:space="preserve">weighting </w:t>
      </w:r>
      <w:r w:rsidR="00CD6069" w:rsidRPr="00AF083D">
        <w:rPr>
          <w:rFonts w:ascii="Times New Roman" w:hAnsi="Times New Roman" w:cs="Times New Roman"/>
          <w:sz w:val="24"/>
          <w:szCs w:val="24"/>
        </w:rPr>
        <w:t xml:space="preserve">for </w:t>
      </w:r>
      <w:r w:rsidR="009A26B4" w:rsidRPr="00AF083D">
        <w:rPr>
          <w:rFonts w:ascii="Times New Roman" w:hAnsi="Times New Roman" w:cs="Times New Roman"/>
          <w:sz w:val="24"/>
          <w:szCs w:val="24"/>
        </w:rPr>
        <w:t xml:space="preserve">these </w:t>
      </w:r>
      <w:r w:rsidR="00CD6069" w:rsidRPr="00AF083D">
        <w:rPr>
          <w:rFonts w:ascii="Times New Roman" w:hAnsi="Times New Roman" w:cs="Times New Roman"/>
          <w:sz w:val="24"/>
          <w:szCs w:val="24"/>
        </w:rPr>
        <w:t xml:space="preserve">types of </w:t>
      </w:r>
      <w:r w:rsidR="009A26B4" w:rsidRPr="00AF083D">
        <w:rPr>
          <w:rFonts w:ascii="Times New Roman" w:hAnsi="Times New Roman" w:cs="Times New Roman"/>
          <w:sz w:val="24"/>
          <w:szCs w:val="24"/>
        </w:rPr>
        <w:t xml:space="preserve">bonds in the index will reflect </w:t>
      </w:r>
      <w:r w:rsidR="00CD6069" w:rsidRPr="00AF083D">
        <w:rPr>
          <w:rFonts w:ascii="Times New Roman" w:hAnsi="Times New Roman" w:cs="Times New Roman"/>
          <w:sz w:val="24"/>
          <w:szCs w:val="24"/>
        </w:rPr>
        <w:t>earlier issuance decisions (</w:t>
      </w:r>
      <w:r w:rsidR="006804EE" w:rsidRPr="00AF083D">
        <w:rPr>
          <w:rFonts w:ascii="Times New Roman" w:hAnsi="Times New Roman" w:cs="Times New Roman"/>
          <w:sz w:val="24"/>
          <w:szCs w:val="24"/>
        </w:rPr>
        <w:t xml:space="preserve">the average term from the issuance </w:t>
      </w:r>
      <w:r w:rsidR="006804EE" w:rsidRPr="00AF083D">
        <w:rPr>
          <w:rFonts w:ascii="Times New Roman" w:hAnsi="Times New Roman" w:cs="Times New Roman"/>
          <w:sz w:val="24"/>
          <w:szCs w:val="24"/>
        </w:rPr>
        <w:lastRenderedPageBreak/>
        <w:t xml:space="preserve">of ten-year bonds until a </w:t>
      </w:r>
      <w:r w:rsidR="00CF3513" w:rsidRPr="00AF083D">
        <w:rPr>
          <w:rFonts w:ascii="Times New Roman" w:hAnsi="Times New Roman" w:cs="Times New Roman"/>
          <w:sz w:val="24"/>
          <w:szCs w:val="24"/>
        </w:rPr>
        <w:t xml:space="preserve">randomly selected </w:t>
      </w:r>
      <w:r w:rsidR="006804EE" w:rsidRPr="00AF083D">
        <w:rPr>
          <w:rFonts w:ascii="Times New Roman" w:hAnsi="Times New Roman" w:cs="Times New Roman"/>
          <w:sz w:val="24"/>
          <w:szCs w:val="24"/>
        </w:rPr>
        <w:t xml:space="preserve">secondary market trade </w:t>
      </w:r>
      <w:r w:rsidR="00CF3513" w:rsidRPr="00AF083D">
        <w:rPr>
          <w:rFonts w:ascii="Times New Roman" w:hAnsi="Times New Roman" w:cs="Times New Roman"/>
          <w:sz w:val="24"/>
          <w:szCs w:val="24"/>
        </w:rPr>
        <w:t xml:space="preserve">on that bond </w:t>
      </w:r>
      <w:r w:rsidR="006804EE" w:rsidRPr="00AF083D">
        <w:rPr>
          <w:rFonts w:ascii="Times New Roman" w:hAnsi="Times New Roman" w:cs="Times New Roman"/>
          <w:sz w:val="24"/>
          <w:szCs w:val="24"/>
        </w:rPr>
        <w:t>would be about five years</w:t>
      </w:r>
      <w:r w:rsidR="00CD6069" w:rsidRPr="00AF083D">
        <w:rPr>
          <w:rFonts w:ascii="Times New Roman" w:hAnsi="Times New Roman" w:cs="Times New Roman"/>
          <w:sz w:val="24"/>
          <w:szCs w:val="24"/>
        </w:rPr>
        <w:t>)</w:t>
      </w:r>
      <w:r w:rsidR="000427A8" w:rsidRPr="00AF083D">
        <w:rPr>
          <w:rFonts w:ascii="Times New Roman" w:hAnsi="Times New Roman" w:cs="Times New Roman"/>
          <w:sz w:val="24"/>
          <w:szCs w:val="24"/>
        </w:rPr>
        <w:t xml:space="preserve">, </w:t>
      </w:r>
      <w:r w:rsidR="00457EFD" w:rsidRPr="00AF083D">
        <w:rPr>
          <w:rFonts w:ascii="Times New Roman" w:hAnsi="Times New Roman" w:cs="Times New Roman"/>
          <w:sz w:val="24"/>
          <w:szCs w:val="24"/>
        </w:rPr>
        <w:t xml:space="preserve">the weights </w:t>
      </w:r>
      <w:r w:rsidR="00D30059" w:rsidRPr="00AF083D">
        <w:rPr>
          <w:rFonts w:ascii="Times New Roman" w:hAnsi="Times New Roman" w:cs="Times New Roman"/>
          <w:sz w:val="24"/>
          <w:szCs w:val="24"/>
        </w:rPr>
        <w:t xml:space="preserve">fluctuate over time </w:t>
      </w:r>
      <w:r w:rsidR="00AA311A" w:rsidRPr="00AF083D">
        <w:rPr>
          <w:rFonts w:ascii="Times New Roman" w:hAnsi="Times New Roman" w:cs="Times New Roman"/>
          <w:sz w:val="24"/>
          <w:szCs w:val="24"/>
        </w:rPr>
        <w:t xml:space="preserve">(see </w:t>
      </w:r>
      <w:r w:rsidR="00A20D4E" w:rsidRPr="00AF083D">
        <w:rPr>
          <w:rFonts w:ascii="Times New Roman" w:hAnsi="Times New Roman" w:cs="Times New Roman"/>
          <w:sz w:val="24"/>
          <w:szCs w:val="24"/>
        </w:rPr>
        <w:t xml:space="preserve">Arsov et al, </w:t>
      </w:r>
      <w:r w:rsidR="00AA311A" w:rsidRPr="00AF083D">
        <w:rPr>
          <w:rFonts w:ascii="Times New Roman" w:hAnsi="Times New Roman" w:cs="Times New Roman"/>
          <w:sz w:val="24"/>
          <w:szCs w:val="24"/>
        </w:rPr>
        <w:t xml:space="preserve">2013, Graph 3) </w:t>
      </w:r>
      <w:r w:rsidR="00D30059" w:rsidRPr="00AF083D">
        <w:rPr>
          <w:rFonts w:ascii="Times New Roman" w:hAnsi="Times New Roman" w:cs="Times New Roman"/>
          <w:sz w:val="24"/>
          <w:szCs w:val="24"/>
        </w:rPr>
        <w:t xml:space="preserve">because the differential in the costs of debt from the two sources fluctuates </w:t>
      </w:r>
      <w:r w:rsidR="00457EFD" w:rsidRPr="00AF083D">
        <w:rPr>
          <w:rFonts w:ascii="Times New Roman" w:hAnsi="Times New Roman" w:cs="Times New Roman"/>
          <w:sz w:val="24"/>
          <w:szCs w:val="24"/>
        </w:rPr>
        <w:t xml:space="preserve">over </w:t>
      </w:r>
      <w:r w:rsidR="00D30059" w:rsidRPr="00AF083D">
        <w:rPr>
          <w:rFonts w:ascii="Times New Roman" w:hAnsi="Times New Roman" w:cs="Times New Roman"/>
          <w:sz w:val="24"/>
          <w:szCs w:val="24"/>
        </w:rPr>
        <w:t xml:space="preserve">time, and </w:t>
      </w:r>
      <w:r w:rsidR="000975E8" w:rsidRPr="00AF083D">
        <w:rPr>
          <w:rFonts w:ascii="Times New Roman" w:hAnsi="Times New Roman" w:cs="Times New Roman"/>
          <w:sz w:val="24"/>
          <w:szCs w:val="24"/>
        </w:rPr>
        <w:t xml:space="preserve">this has the potential to aggravate the problem described in the previous paragraph.  Returning to the example in the previous paragraph, suppose in addition that the optimal weights at the time </w:t>
      </w:r>
      <w:r w:rsidR="008F1D90" w:rsidRPr="00AF083D">
        <w:rPr>
          <w:rFonts w:ascii="Times New Roman" w:hAnsi="Times New Roman" w:cs="Times New Roman"/>
          <w:sz w:val="24"/>
          <w:szCs w:val="24"/>
        </w:rPr>
        <w:t xml:space="preserve">at which the calculation is being performed (time </w:t>
      </w:r>
      <w:r w:rsidR="008F1D90" w:rsidRPr="00AF083D">
        <w:rPr>
          <w:rFonts w:ascii="Times New Roman" w:hAnsi="Times New Roman" w:cs="Times New Roman"/>
          <w:i/>
          <w:sz w:val="24"/>
          <w:szCs w:val="24"/>
        </w:rPr>
        <w:t>T</w:t>
      </w:r>
      <w:r w:rsidR="008F1D90" w:rsidRPr="00AF083D">
        <w:rPr>
          <w:rFonts w:ascii="Times New Roman" w:hAnsi="Times New Roman" w:cs="Times New Roman"/>
          <w:sz w:val="24"/>
          <w:szCs w:val="24"/>
        </w:rPr>
        <w:t xml:space="preserve">) </w:t>
      </w:r>
      <w:r w:rsidR="000975E8" w:rsidRPr="00AF083D">
        <w:rPr>
          <w:rFonts w:ascii="Times New Roman" w:hAnsi="Times New Roman" w:cs="Times New Roman"/>
          <w:sz w:val="24"/>
          <w:szCs w:val="24"/>
        </w:rPr>
        <w:t xml:space="preserve">are 15% foreign and 85% local rather than the figures of 25% and 75% respectively (because the cost margin on foreign debt is greater </w:t>
      </w:r>
      <w:r w:rsidR="008F1D90" w:rsidRPr="00AF083D">
        <w:rPr>
          <w:rFonts w:ascii="Times New Roman" w:hAnsi="Times New Roman" w:cs="Times New Roman"/>
          <w:sz w:val="24"/>
          <w:szCs w:val="24"/>
        </w:rPr>
        <w:t xml:space="preserve">at that time </w:t>
      </w:r>
      <w:r w:rsidR="000975E8" w:rsidRPr="00AF083D">
        <w:rPr>
          <w:rFonts w:ascii="Times New Roman" w:hAnsi="Times New Roman" w:cs="Times New Roman"/>
          <w:sz w:val="24"/>
          <w:szCs w:val="24"/>
        </w:rPr>
        <w:t xml:space="preserve">than the average margin over the period in which the bonds </w:t>
      </w:r>
      <w:r w:rsidR="008F1D90" w:rsidRPr="00AF083D">
        <w:rPr>
          <w:rFonts w:ascii="Times New Roman" w:hAnsi="Times New Roman" w:cs="Times New Roman"/>
          <w:sz w:val="24"/>
          <w:szCs w:val="24"/>
        </w:rPr>
        <w:t xml:space="preserve">existing at time </w:t>
      </w:r>
      <w:r w:rsidR="008F1D90" w:rsidRPr="00AF083D">
        <w:rPr>
          <w:rFonts w:ascii="Times New Roman" w:hAnsi="Times New Roman" w:cs="Times New Roman"/>
          <w:i/>
          <w:sz w:val="24"/>
          <w:szCs w:val="24"/>
        </w:rPr>
        <w:t>T</w:t>
      </w:r>
      <w:r w:rsidR="008F1D90" w:rsidRPr="00AF083D">
        <w:rPr>
          <w:rFonts w:ascii="Times New Roman" w:hAnsi="Times New Roman" w:cs="Times New Roman"/>
          <w:sz w:val="24"/>
          <w:szCs w:val="24"/>
        </w:rPr>
        <w:t xml:space="preserve"> </w:t>
      </w:r>
      <w:r w:rsidR="000975E8" w:rsidRPr="00AF083D">
        <w:rPr>
          <w:rFonts w:ascii="Times New Roman" w:hAnsi="Times New Roman" w:cs="Times New Roman"/>
          <w:sz w:val="24"/>
          <w:szCs w:val="24"/>
        </w:rPr>
        <w:t xml:space="preserve">were issued).  </w:t>
      </w:r>
      <w:r w:rsidR="00C44B8C" w:rsidRPr="00AF083D">
        <w:rPr>
          <w:rFonts w:ascii="Times New Roman" w:hAnsi="Times New Roman" w:cs="Times New Roman"/>
          <w:sz w:val="24"/>
          <w:szCs w:val="24"/>
        </w:rPr>
        <w:t xml:space="preserve">Using these optimal weights </w:t>
      </w:r>
      <w:r w:rsidR="002768DD" w:rsidRPr="00AF083D">
        <w:rPr>
          <w:rFonts w:ascii="Times New Roman" w:hAnsi="Times New Roman" w:cs="Times New Roman"/>
          <w:sz w:val="24"/>
          <w:szCs w:val="24"/>
        </w:rPr>
        <w:t xml:space="preserve">at time </w:t>
      </w:r>
      <w:r w:rsidR="002768DD" w:rsidRPr="00AF083D">
        <w:rPr>
          <w:rFonts w:ascii="Times New Roman" w:hAnsi="Times New Roman" w:cs="Times New Roman"/>
          <w:i/>
          <w:sz w:val="24"/>
          <w:szCs w:val="24"/>
        </w:rPr>
        <w:t>T</w:t>
      </w:r>
      <w:r w:rsidR="002768DD" w:rsidRPr="00AF083D">
        <w:rPr>
          <w:rFonts w:ascii="Times New Roman" w:hAnsi="Times New Roman" w:cs="Times New Roman"/>
          <w:sz w:val="24"/>
          <w:szCs w:val="24"/>
        </w:rPr>
        <w:t xml:space="preserve"> </w:t>
      </w:r>
      <w:r w:rsidR="00C44B8C" w:rsidRPr="00AF083D">
        <w:rPr>
          <w:rFonts w:ascii="Times New Roman" w:hAnsi="Times New Roman" w:cs="Times New Roman"/>
          <w:sz w:val="24"/>
          <w:szCs w:val="24"/>
        </w:rPr>
        <w:t xml:space="preserve">in conjunction with the </w:t>
      </w:r>
      <w:r w:rsidR="008F1D90" w:rsidRPr="00AF083D">
        <w:rPr>
          <w:rFonts w:ascii="Times New Roman" w:hAnsi="Times New Roman" w:cs="Times New Roman"/>
          <w:sz w:val="24"/>
          <w:szCs w:val="24"/>
        </w:rPr>
        <w:t xml:space="preserve">contemporaneous </w:t>
      </w:r>
      <w:r w:rsidR="00C44B8C" w:rsidRPr="00AF083D">
        <w:rPr>
          <w:rFonts w:ascii="Times New Roman" w:hAnsi="Times New Roman" w:cs="Times New Roman"/>
          <w:sz w:val="24"/>
          <w:szCs w:val="24"/>
        </w:rPr>
        <w:t xml:space="preserve">costs of debt on the two types of bonds, </w:t>
      </w:r>
      <w:r w:rsidR="008F1D90" w:rsidRPr="00AF083D">
        <w:rPr>
          <w:rFonts w:ascii="Times New Roman" w:hAnsi="Times New Roman" w:cs="Times New Roman"/>
          <w:sz w:val="24"/>
          <w:szCs w:val="24"/>
        </w:rPr>
        <w:t xml:space="preserve">of 8% and 7% respectively, </w:t>
      </w:r>
      <w:r w:rsidR="00C44B8C" w:rsidRPr="00AF083D">
        <w:rPr>
          <w:rFonts w:ascii="Times New Roman" w:hAnsi="Times New Roman" w:cs="Times New Roman"/>
          <w:sz w:val="24"/>
          <w:szCs w:val="24"/>
        </w:rPr>
        <w:t xml:space="preserve">the overall cost of debt at </w:t>
      </w:r>
      <w:r w:rsidR="008F1D90" w:rsidRPr="00AF083D">
        <w:rPr>
          <w:rFonts w:ascii="Times New Roman" w:hAnsi="Times New Roman" w:cs="Times New Roman"/>
          <w:sz w:val="24"/>
          <w:szCs w:val="24"/>
        </w:rPr>
        <w:t xml:space="preserve">time </w:t>
      </w:r>
      <w:r w:rsidR="008F1D90" w:rsidRPr="00AF083D">
        <w:rPr>
          <w:rFonts w:ascii="Times New Roman" w:hAnsi="Times New Roman" w:cs="Times New Roman"/>
          <w:i/>
          <w:sz w:val="24"/>
          <w:szCs w:val="24"/>
        </w:rPr>
        <w:t>T</w:t>
      </w:r>
      <w:r w:rsidR="008F1D90" w:rsidRPr="00AF083D">
        <w:rPr>
          <w:rFonts w:ascii="Times New Roman" w:hAnsi="Times New Roman" w:cs="Times New Roman"/>
          <w:sz w:val="24"/>
          <w:szCs w:val="24"/>
        </w:rPr>
        <w:t xml:space="preserve"> would be 7.15%.  </w:t>
      </w:r>
      <w:r w:rsidR="00C44B8C" w:rsidRPr="00AF083D">
        <w:rPr>
          <w:rFonts w:ascii="Times New Roman" w:hAnsi="Times New Roman" w:cs="Times New Roman"/>
          <w:sz w:val="24"/>
          <w:szCs w:val="24"/>
        </w:rPr>
        <w:t>However, with weights of 80% and 20% respectively, the RBA would estimate the cost of debt at 7.8% whilst the BVAL would estimate it at 7%.  So, the BVAL would underestimate the cost of debt by 0.15% whilst the RBA would overestimate it by 0.65%.  Thus, the RBA’s overestimate would be even greater than before.</w:t>
      </w:r>
    </w:p>
    <w:p w:rsidR="00C44B8C" w:rsidRDefault="00C44B8C" w:rsidP="0030038D">
      <w:pPr>
        <w:spacing w:after="0" w:line="360" w:lineRule="auto"/>
        <w:jc w:val="both"/>
        <w:rPr>
          <w:rFonts w:ascii="Times New Roman" w:hAnsi="Times New Roman" w:cs="Times New Roman"/>
          <w:sz w:val="24"/>
          <w:szCs w:val="24"/>
        </w:rPr>
      </w:pPr>
    </w:p>
    <w:p w:rsidR="00DA2265" w:rsidRDefault="00526A13"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calculations assume that cost of foreign </w:t>
      </w:r>
      <w:r w:rsidR="00BA3DED">
        <w:rPr>
          <w:rFonts w:ascii="Times New Roman" w:hAnsi="Times New Roman" w:cs="Times New Roman"/>
          <w:sz w:val="24"/>
          <w:szCs w:val="24"/>
        </w:rPr>
        <w:t xml:space="preserve">currency </w:t>
      </w:r>
      <w:r>
        <w:rPr>
          <w:rFonts w:ascii="Times New Roman" w:hAnsi="Times New Roman" w:cs="Times New Roman"/>
          <w:sz w:val="24"/>
          <w:szCs w:val="24"/>
        </w:rPr>
        <w:t>debt can significantly diverge from that of local currency debt</w:t>
      </w:r>
      <w:r w:rsidR="006A7566">
        <w:rPr>
          <w:rFonts w:ascii="Times New Roman" w:hAnsi="Times New Roman" w:cs="Times New Roman"/>
          <w:sz w:val="24"/>
          <w:szCs w:val="24"/>
        </w:rPr>
        <w:t xml:space="preserve"> </w:t>
      </w:r>
      <w:r w:rsidR="006A7566" w:rsidRPr="00AF083D">
        <w:rPr>
          <w:rFonts w:ascii="Times New Roman" w:hAnsi="Times New Roman" w:cs="Times New Roman"/>
          <w:sz w:val="24"/>
          <w:szCs w:val="24"/>
        </w:rPr>
        <w:t xml:space="preserve">(for the same term and after </w:t>
      </w:r>
      <w:r w:rsidR="009C7EF1" w:rsidRPr="00AF083D">
        <w:rPr>
          <w:rFonts w:ascii="Times New Roman" w:hAnsi="Times New Roman" w:cs="Times New Roman"/>
          <w:sz w:val="24"/>
          <w:szCs w:val="24"/>
        </w:rPr>
        <w:t>the currency swap</w:t>
      </w:r>
      <w:r w:rsidR="006A7566" w:rsidRPr="00AF083D">
        <w:rPr>
          <w:rFonts w:ascii="Times New Roman" w:hAnsi="Times New Roman" w:cs="Times New Roman"/>
          <w:sz w:val="24"/>
          <w:szCs w:val="24"/>
        </w:rPr>
        <w:t>)</w:t>
      </w:r>
      <w:r>
        <w:rPr>
          <w:rFonts w:ascii="Times New Roman" w:hAnsi="Times New Roman" w:cs="Times New Roman"/>
          <w:sz w:val="24"/>
          <w:szCs w:val="24"/>
        </w:rPr>
        <w:t xml:space="preserve">.  To illustrate the potential here, CEG </w:t>
      </w:r>
      <w:r w:rsidR="00230652">
        <w:rPr>
          <w:rFonts w:ascii="Times New Roman" w:hAnsi="Times New Roman" w:cs="Times New Roman"/>
          <w:sz w:val="24"/>
          <w:szCs w:val="24"/>
        </w:rPr>
        <w:t xml:space="preserve">(2012) present </w:t>
      </w:r>
      <w:r>
        <w:rPr>
          <w:rFonts w:ascii="Times New Roman" w:hAnsi="Times New Roman" w:cs="Times New Roman"/>
          <w:sz w:val="24"/>
          <w:szCs w:val="24"/>
        </w:rPr>
        <w:t xml:space="preserve">Bloomberg and UBS data on AUD denominated bonds (Figure 12) and both AUD and foreign-currency bonds (Figure 13), and then </w:t>
      </w:r>
      <w:r w:rsidR="00CA5416">
        <w:rPr>
          <w:rFonts w:ascii="Times New Roman" w:hAnsi="Times New Roman" w:cs="Times New Roman"/>
          <w:sz w:val="24"/>
          <w:szCs w:val="24"/>
        </w:rPr>
        <w:t xml:space="preserve">fits </w:t>
      </w:r>
      <w:r>
        <w:rPr>
          <w:rFonts w:ascii="Times New Roman" w:hAnsi="Times New Roman" w:cs="Times New Roman"/>
          <w:sz w:val="24"/>
          <w:szCs w:val="24"/>
        </w:rPr>
        <w:t xml:space="preserve">Nelson-Siegel curves to this data for BBB, BBB+ and A- bonds.  In respect of Figure 12, the simple average of the three curves at the ten-year maturity is 7.38% and the corresponding result for Figure 13 is 7.93%.  Furthermore, in moving from Figure 12 to Figure 13, the data set increases from 110 bonds to 297 bonds (CEG, ibid, pp. 36-37).  It follows that 187 of the total set of bonds are foreign currency </w:t>
      </w:r>
      <w:r w:rsidR="00BA3DED">
        <w:rPr>
          <w:rFonts w:ascii="Times New Roman" w:hAnsi="Times New Roman" w:cs="Times New Roman"/>
          <w:sz w:val="24"/>
          <w:szCs w:val="24"/>
        </w:rPr>
        <w:t xml:space="preserve">bonds and </w:t>
      </w:r>
      <w:r>
        <w:rPr>
          <w:rFonts w:ascii="Times New Roman" w:hAnsi="Times New Roman" w:cs="Times New Roman"/>
          <w:sz w:val="24"/>
          <w:szCs w:val="24"/>
        </w:rPr>
        <w:t xml:space="preserve">therefore the average ten-year yield on the foreign currency denominated bonds necessary </w:t>
      </w:r>
      <w:r w:rsidR="00CF3513">
        <w:rPr>
          <w:rFonts w:ascii="Times New Roman" w:hAnsi="Times New Roman" w:cs="Times New Roman"/>
          <w:sz w:val="24"/>
          <w:szCs w:val="24"/>
        </w:rPr>
        <w:t xml:space="preserve">to raise </w:t>
      </w:r>
      <w:r>
        <w:rPr>
          <w:rFonts w:ascii="Times New Roman" w:hAnsi="Times New Roman" w:cs="Times New Roman"/>
          <w:sz w:val="24"/>
          <w:szCs w:val="24"/>
        </w:rPr>
        <w:t xml:space="preserve">the average from </w:t>
      </w:r>
      <w:r w:rsidR="000E6B65">
        <w:rPr>
          <w:rFonts w:ascii="Times New Roman" w:hAnsi="Times New Roman" w:cs="Times New Roman"/>
          <w:sz w:val="24"/>
          <w:szCs w:val="24"/>
        </w:rPr>
        <w:t>7.38% to 7.93% is 8.25%, which exceeds the local currency average by 0.87%</w:t>
      </w:r>
      <w:r w:rsidR="0021378E">
        <w:rPr>
          <w:rFonts w:ascii="Times New Roman" w:hAnsi="Times New Roman" w:cs="Times New Roman"/>
          <w:sz w:val="24"/>
          <w:szCs w:val="24"/>
        </w:rPr>
        <w:t xml:space="preserve">.  </w:t>
      </w:r>
      <w:r w:rsidR="00230652">
        <w:rPr>
          <w:rFonts w:ascii="Times New Roman" w:hAnsi="Times New Roman" w:cs="Times New Roman"/>
          <w:sz w:val="24"/>
          <w:szCs w:val="24"/>
        </w:rPr>
        <w:t xml:space="preserve">In addition, </w:t>
      </w:r>
      <w:r w:rsidR="00803B4A">
        <w:rPr>
          <w:rFonts w:ascii="Times New Roman" w:hAnsi="Times New Roman" w:cs="Times New Roman"/>
          <w:sz w:val="24"/>
          <w:szCs w:val="24"/>
        </w:rPr>
        <w:t>PwC (2013, Figure 5.9</w:t>
      </w:r>
      <w:r w:rsidR="00624562">
        <w:rPr>
          <w:rFonts w:ascii="Times New Roman" w:hAnsi="Times New Roman" w:cs="Times New Roman"/>
          <w:sz w:val="24"/>
          <w:szCs w:val="24"/>
        </w:rPr>
        <w:t>) provides estimates of the DRPs for local and foreign-currency bonds over the period from October 2010 to November 2012</w:t>
      </w:r>
      <w:r w:rsidR="00230652">
        <w:rPr>
          <w:rFonts w:ascii="Times New Roman" w:hAnsi="Times New Roman" w:cs="Times New Roman"/>
          <w:sz w:val="24"/>
          <w:szCs w:val="24"/>
        </w:rPr>
        <w:t xml:space="preserve"> and find considerable differences ranging from local bonds having a DRP that was as much as 1.00% above foreign currency bonds to 0.20% below.</w:t>
      </w:r>
    </w:p>
    <w:p w:rsidR="00DA2265" w:rsidRDefault="00DA2265" w:rsidP="0030038D">
      <w:pPr>
        <w:spacing w:after="0" w:line="360" w:lineRule="auto"/>
        <w:jc w:val="both"/>
        <w:rPr>
          <w:rFonts w:ascii="Times New Roman" w:hAnsi="Times New Roman" w:cs="Times New Roman"/>
          <w:sz w:val="24"/>
          <w:szCs w:val="24"/>
        </w:rPr>
      </w:pPr>
    </w:p>
    <w:p w:rsidR="00BE53EC" w:rsidRDefault="0021378E"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BE53EC">
        <w:rPr>
          <w:rFonts w:ascii="Times New Roman" w:hAnsi="Times New Roman" w:cs="Times New Roman"/>
          <w:sz w:val="24"/>
          <w:szCs w:val="24"/>
        </w:rPr>
        <w:t xml:space="preserve">summary, </w:t>
      </w:r>
      <w:r w:rsidR="00DA2265">
        <w:rPr>
          <w:rFonts w:ascii="Times New Roman" w:hAnsi="Times New Roman" w:cs="Times New Roman"/>
          <w:sz w:val="24"/>
          <w:szCs w:val="24"/>
        </w:rPr>
        <w:t xml:space="preserve">regarding point (7), </w:t>
      </w:r>
      <w:r w:rsidR="0015459A">
        <w:rPr>
          <w:rFonts w:ascii="Times New Roman" w:hAnsi="Times New Roman" w:cs="Times New Roman"/>
          <w:sz w:val="24"/>
          <w:szCs w:val="24"/>
        </w:rPr>
        <w:t xml:space="preserve">there are both pros and cons from the inclusion of foreign currency bonds.  </w:t>
      </w:r>
      <w:r w:rsidR="00482E39">
        <w:rPr>
          <w:rFonts w:ascii="Times New Roman" w:hAnsi="Times New Roman" w:cs="Times New Roman"/>
          <w:sz w:val="24"/>
          <w:szCs w:val="24"/>
        </w:rPr>
        <w:t xml:space="preserve">Arsov et al (2013, page 11) claims that the enhanced sample size from </w:t>
      </w:r>
      <w:r w:rsidR="00482E39">
        <w:rPr>
          <w:rFonts w:ascii="Times New Roman" w:hAnsi="Times New Roman" w:cs="Times New Roman"/>
          <w:sz w:val="24"/>
          <w:szCs w:val="24"/>
        </w:rPr>
        <w:lastRenderedPageBreak/>
        <w:t xml:space="preserve">including foreign currency bonds is necessarily advantageous.  </w:t>
      </w:r>
      <w:r w:rsidR="006C0865" w:rsidRPr="00AF083D">
        <w:rPr>
          <w:rFonts w:ascii="Times New Roman" w:hAnsi="Times New Roman" w:cs="Times New Roman"/>
          <w:sz w:val="24"/>
          <w:szCs w:val="24"/>
        </w:rPr>
        <w:t>However the sample size can be expanded in other ways; the BVAL does so by including the bonds of financial firms and, as discussed above, this raises the BVAL BBB sample from 13 to 22 in June 2014.</w:t>
      </w:r>
      <w:r w:rsidR="006C0865">
        <w:rPr>
          <w:rFonts w:ascii="Times New Roman" w:hAnsi="Times New Roman" w:cs="Times New Roman"/>
          <w:sz w:val="24"/>
          <w:szCs w:val="24"/>
        </w:rPr>
        <w:t xml:space="preserve">  Furthermore, </w:t>
      </w:r>
      <w:r w:rsidR="00482E39">
        <w:rPr>
          <w:rFonts w:ascii="Times New Roman" w:hAnsi="Times New Roman" w:cs="Times New Roman"/>
          <w:sz w:val="24"/>
          <w:szCs w:val="24"/>
        </w:rPr>
        <w:t>an enhanced sample size at the expense of bias or greater variability in the underlying data is not n</w:t>
      </w:r>
      <w:r w:rsidR="00BE53EC">
        <w:rPr>
          <w:rFonts w:ascii="Times New Roman" w:hAnsi="Times New Roman" w:cs="Times New Roman"/>
          <w:sz w:val="24"/>
          <w:szCs w:val="24"/>
        </w:rPr>
        <w:t xml:space="preserve">ecessarily advantageous.  For example, if the sample </w:t>
      </w:r>
      <w:r w:rsidR="000A7A67" w:rsidRPr="00894EF5">
        <w:rPr>
          <w:rFonts w:ascii="Times New Roman" w:hAnsi="Times New Roman" w:cs="Times New Roman"/>
          <w:sz w:val="24"/>
          <w:szCs w:val="24"/>
        </w:rPr>
        <w:t>(</w:t>
      </w:r>
      <w:r w:rsidR="00D91F52" w:rsidRPr="00894EF5">
        <w:rPr>
          <w:rFonts w:ascii="Times New Roman" w:hAnsi="Times New Roman" w:cs="Times New Roman"/>
          <w:sz w:val="24"/>
          <w:szCs w:val="24"/>
        </w:rPr>
        <w:t xml:space="preserve">comprising </w:t>
      </w:r>
      <w:r w:rsidR="000A7A67" w:rsidRPr="00894EF5">
        <w:rPr>
          <w:rFonts w:ascii="Times New Roman" w:hAnsi="Times New Roman" w:cs="Times New Roman"/>
          <w:sz w:val="24"/>
          <w:szCs w:val="24"/>
        </w:rPr>
        <w:t xml:space="preserve">observations </w:t>
      </w:r>
      <w:r w:rsidR="000A7A67" w:rsidRPr="00894EF5">
        <w:rPr>
          <w:rFonts w:ascii="Times New Roman" w:hAnsi="Times New Roman" w:cs="Times New Roman"/>
          <w:i/>
          <w:sz w:val="24"/>
          <w:szCs w:val="24"/>
        </w:rPr>
        <w:t>X</w:t>
      </w:r>
      <w:r w:rsidR="000A7A67" w:rsidRPr="00894EF5">
        <w:rPr>
          <w:rFonts w:ascii="Times New Roman" w:hAnsi="Times New Roman" w:cs="Times New Roman"/>
          <w:i/>
          <w:sz w:val="24"/>
          <w:szCs w:val="24"/>
          <w:vertAlign w:val="subscript"/>
        </w:rPr>
        <w:t>1</w:t>
      </w:r>
      <w:r w:rsidR="000A7A67" w:rsidRPr="00894EF5">
        <w:rPr>
          <w:rFonts w:ascii="Times New Roman" w:hAnsi="Times New Roman" w:cs="Times New Roman"/>
          <w:sz w:val="24"/>
          <w:szCs w:val="24"/>
        </w:rPr>
        <w:t xml:space="preserve">, </w:t>
      </w:r>
      <w:r w:rsidR="000A7A67" w:rsidRPr="00894EF5">
        <w:rPr>
          <w:rFonts w:ascii="Times New Roman" w:hAnsi="Times New Roman" w:cs="Times New Roman"/>
          <w:i/>
          <w:sz w:val="24"/>
          <w:szCs w:val="24"/>
        </w:rPr>
        <w:t>X</w:t>
      </w:r>
      <w:r w:rsidR="000A7A67" w:rsidRPr="00894EF5">
        <w:rPr>
          <w:rFonts w:ascii="Times New Roman" w:hAnsi="Times New Roman" w:cs="Times New Roman"/>
          <w:i/>
          <w:sz w:val="24"/>
          <w:szCs w:val="24"/>
          <w:vertAlign w:val="subscript"/>
        </w:rPr>
        <w:t>2</w:t>
      </w:r>
      <w:r w:rsidR="000A7A67" w:rsidRPr="00894EF5">
        <w:rPr>
          <w:rFonts w:ascii="Times New Roman" w:hAnsi="Times New Roman" w:cs="Times New Roman"/>
          <w:sz w:val="24"/>
          <w:szCs w:val="24"/>
        </w:rPr>
        <w:t>, ….</w:t>
      </w:r>
      <w:r w:rsidR="000A7A67" w:rsidRPr="00894EF5">
        <w:rPr>
          <w:rFonts w:ascii="Times New Roman" w:hAnsi="Times New Roman" w:cs="Times New Roman"/>
          <w:i/>
          <w:sz w:val="24"/>
          <w:szCs w:val="24"/>
        </w:rPr>
        <w:t>X</w:t>
      </w:r>
      <w:r w:rsidR="000A7A67" w:rsidRPr="00894EF5">
        <w:rPr>
          <w:rFonts w:ascii="Times New Roman" w:hAnsi="Times New Roman" w:cs="Times New Roman"/>
          <w:i/>
          <w:sz w:val="24"/>
          <w:szCs w:val="24"/>
          <w:vertAlign w:val="subscript"/>
        </w:rPr>
        <w:t>N</w:t>
      </w:r>
      <w:r w:rsidR="000A7A67" w:rsidRPr="00894EF5">
        <w:rPr>
          <w:rFonts w:ascii="Times New Roman" w:hAnsi="Times New Roman" w:cs="Times New Roman"/>
          <w:sz w:val="24"/>
          <w:szCs w:val="24"/>
        </w:rPr>
        <w:t xml:space="preserve"> from a population with standard deviation </w:t>
      </w:r>
      <w:r w:rsidR="000A7A67" w:rsidRPr="00894EF5">
        <w:rPr>
          <w:rFonts w:ascii="Times New Roman" w:hAnsi="Times New Roman" w:cs="Times New Roman"/>
          <w:i/>
          <w:sz w:val="24"/>
          <w:szCs w:val="24"/>
        </w:rPr>
        <w:t>σ</w:t>
      </w:r>
      <w:r w:rsidR="000A7A67" w:rsidRPr="00894EF5">
        <w:rPr>
          <w:rFonts w:ascii="Times New Roman" w:hAnsi="Times New Roman" w:cs="Times New Roman"/>
          <w:sz w:val="24"/>
          <w:szCs w:val="24"/>
        </w:rPr>
        <w:t>)</w:t>
      </w:r>
      <w:r w:rsidR="000A7A67">
        <w:rPr>
          <w:rFonts w:ascii="Times New Roman" w:hAnsi="Times New Roman" w:cs="Times New Roman"/>
          <w:sz w:val="24"/>
          <w:szCs w:val="24"/>
        </w:rPr>
        <w:t xml:space="preserve"> </w:t>
      </w:r>
      <w:r w:rsidR="00BE53EC">
        <w:rPr>
          <w:rFonts w:ascii="Times New Roman" w:hAnsi="Times New Roman" w:cs="Times New Roman"/>
          <w:sz w:val="24"/>
          <w:szCs w:val="24"/>
        </w:rPr>
        <w:t>is doubled but the additional</w:t>
      </w:r>
      <w:r w:rsidR="00D91F52">
        <w:rPr>
          <w:rFonts w:ascii="Times New Roman" w:hAnsi="Times New Roman" w:cs="Times New Roman"/>
          <w:sz w:val="24"/>
          <w:szCs w:val="24"/>
        </w:rPr>
        <w:t xml:space="preserve"> </w:t>
      </w:r>
      <w:r w:rsidR="00D91F52" w:rsidRPr="00D91F52">
        <w:rPr>
          <w:rFonts w:ascii="Times New Roman" w:hAnsi="Times New Roman" w:cs="Times New Roman"/>
          <w:i/>
          <w:sz w:val="24"/>
          <w:szCs w:val="24"/>
        </w:rPr>
        <w:t>N</w:t>
      </w:r>
      <w:r w:rsidR="00BE53EC">
        <w:rPr>
          <w:rFonts w:ascii="Times New Roman" w:hAnsi="Times New Roman" w:cs="Times New Roman"/>
          <w:sz w:val="24"/>
          <w:szCs w:val="24"/>
        </w:rPr>
        <w:t xml:space="preserve"> </w:t>
      </w:r>
      <w:r w:rsidR="000A7A67" w:rsidRPr="00D91F52">
        <w:rPr>
          <w:rFonts w:ascii="Times New Roman" w:hAnsi="Times New Roman" w:cs="Times New Roman"/>
          <w:sz w:val="24"/>
          <w:szCs w:val="24"/>
        </w:rPr>
        <w:t xml:space="preserve">observations </w:t>
      </w:r>
      <w:r w:rsidR="00D91F52" w:rsidRPr="00894EF5">
        <w:rPr>
          <w:rFonts w:ascii="Times New Roman" w:hAnsi="Times New Roman" w:cs="Times New Roman"/>
          <w:sz w:val="24"/>
          <w:szCs w:val="24"/>
        </w:rPr>
        <w:t>(</w:t>
      </w:r>
      <w:r w:rsidR="000A7A67" w:rsidRPr="00894EF5">
        <w:rPr>
          <w:rFonts w:ascii="Times New Roman" w:hAnsi="Times New Roman" w:cs="Times New Roman"/>
          <w:i/>
          <w:sz w:val="24"/>
          <w:szCs w:val="24"/>
        </w:rPr>
        <w:t>Y</w:t>
      </w:r>
      <w:r w:rsidR="000A7A67" w:rsidRPr="00894EF5">
        <w:rPr>
          <w:rFonts w:ascii="Times New Roman" w:hAnsi="Times New Roman" w:cs="Times New Roman"/>
          <w:i/>
          <w:sz w:val="24"/>
          <w:szCs w:val="24"/>
          <w:vertAlign w:val="subscript"/>
        </w:rPr>
        <w:t>1</w:t>
      </w:r>
      <w:r w:rsidR="000A7A67" w:rsidRPr="00894EF5">
        <w:rPr>
          <w:rFonts w:ascii="Times New Roman" w:hAnsi="Times New Roman" w:cs="Times New Roman"/>
          <w:sz w:val="24"/>
          <w:szCs w:val="24"/>
        </w:rPr>
        <w:t xml:space="preserve">, </w:t>
      </w:r>
      <w:r w:rsidR="000A7A67" w:rsidRPr="00894EF5">
        <w:rPr>
          <w:rFonts w:ascii="Times New Roman" w:hAnsi="Times New Roman" w:cs="Times New Roman"/>
          <w:i/>
          <w:sz w:val="24"/>
          <w:szCs w:val="24"/>
        </w:rPr>
        <w:t>Y</w:t>
      </w:r>
      <w:r w:rsidR="000A7A67" w:rsidRPr="00894EF5">
        <w:rPr>
          <w:rFonts w:ascii="Times New Roman" w:hAnsi="Times New Roman" w:cs="Times New Roman"/>
          <w:i/>
          <w:sz w:val="24"/>
          <w:szCs w:val="24"/>
          <w:vertAlign w:val="subscript"/>
        </w:rPr>
        <w:t>2</w:t>
      </w:r>
      <w:r w:rsidR="000A7A67" w:rsidRPr="00894EF5">
        <w:rPr>
          <w:rFonts w:ascii="Times New Roman" w:hAnsi="Times New Roman" w:cs="Times New Roman"/>
          <w:sz w:val="24"/>
          <w:szCs w:val="24"/>
        </w:rPr>
        <w:t>, ….</w:t>
      </w:r>
      <w:r w:rsidR="000A7A67" w:rsidRPr="00894EF5">
        <w:rPr>
          <w:rFonts w:ascii="Times New Roman" w:hAnsi="Times New Roman" w:cs="Times New Roman"/>
          <w:i/>
          <w:sz w:val="24"/>
          <w:szCs w:val="24"/>
        </w:rPr>
        <w:t>Y</w:t>
      </w:r>
      <w:r w:rsidR="000A7A67" w:rsidRPr="00894EF5">
        <w:rPr>
          <w:rFonts w:ascii="Times New Roman" w:hAnsi="Times New Roman" w:cs="Times New Roman"/>
          <w:i/>
          <w:sz w:val="24"/>
          <w:szCs w:val="24"/>
          <w:vertAlign w:val="subscript"/>
        </w:rPr>
        <w:t>N</w:t>
      </w:r>
      <w:r w:rsidR="000A7A67" w:rsidRPr="00894EF5">
        <w:rPr>
          <w:rFonts w:ascii="Times New Roman" w:hAnsi="Times New Roman" w:cs="Times New Roman"/>
          <w:sz w:val="24"/>
          <w:szCs w:val="24"/>
        </w:rPr>
        <w:t>)</w:t>
      </w:r>
      <w:r w:rsidR="00D91F52" w:rsidRPr="00894EF5">
        <w:rPr>
          <w:rFonts w:ascii="Times New Roman" w:hAnsi="Times New Roman" w:cs="Times New Roman"/>
          <w:sz w:val="24"/>
          <w:szCs w:val="24"/>
        </w:rPr>
        <w:t xml:space="preserve"> </w:t>
      </w:r>
      <w:r w:rsidR="00D91F52">
        <w:rPr>
          <w:rFonts w:ascii="Times New Roman" w:hAnsi="Times New Roman" w:cs="Times New Roman"/>
          <w:sz w:val="24"/>
          <w:szCs w:val="24"/>
        </w:rPr>
        <w:t>are</w:t>
      </w:r>
      <w:r w:rsidR="00BE53EC">
        <w:rPr>
          <w:rFonts w:ascii="Times New Roman" w:hAnsi="Times New Roman" w:cs="Times New Roman"/>
          <w:sz w:val="24"/>
          <w:szCs w:val="24"/>
        </w:rPr>
        <w:t xml:space="preserve"> drawn from a </w:t>
      </w:r>
      <w:r w:rsidR="00D91F52">
        <w:rPr>
          <w:rFonts w:ascii="Times New Roman" w:hAnsi="Times New Roman" w:cs="Times New Roman"/>
          <w:sz w:val="24"/>
          <w:szCs w:val="24"/>
        </w:rPr>
        <w:t xml:space="preserve">population with </w:t>
      </w:r>
      <w:r w:rsidR="00BE53EC">
        <w:rPr>
          <w:rFonts w:ascii="Times New Roman" w:hAnsi="Times New Roman" w:cs="Times New Roman"/>
          <w:sz w:val="24"/>
          <w:szCs w:val="24"/>
        </w:rPr>
        <w:t>twice the standa</w:t>
      </w:r>
      <w:r w:rsidR="00D91F52">
        <w:rPr>
          <w:rFonts w:ascii="Times New Roman" w:hAnsi="Times New Roman" w:cs="Times New Roman"/>
          <w:sz w:val="24"/>
          <w:szCs w:val="24"/>
        </w:rPr>
        <w:t xml:space="preserve">rd deviation of the first group, and the observations are independent, </w:t>
      </w:r>
      <w:r w:rsidR="00BE53EC">
        <w:rPr>
          <w:rFonts w:ascii="Times New Roman" w:hAnsi="Times New Roman" w:cs="Times New Roman"/>
          <w:sz w:val="24"/>
          <w:szCs w:val="24"/>
        </w:rPr>
        <w:t xml:space="preserve">the standard </w:t>
      </w:r>
      <w:r w:rsidR="00547E3B">
        <w:rPr>
          <w:rFonts w:ascii="Times New Roman" w:hAnsi="Times New Roman" w:cs="Times New Roman"/>
          <w:sz w:val="24"/>
          <w:szCs w:val="24"/>
        </w:rPr>
        <w:t xml:space="preserve">deviation </w:t>
      </w:r>
      <w:r w:rsidR="00BE53EC">
        <w:rPr>
          <w:rFonts w:ascii="Times New Roman" w:hAnsi="Times New Roman" w:cs="Times New Roman"/>
          <w:sz w:val="24"/>
          <w:szCs w:val="24"/>
        </w:rPr>
        <w:t xml:space="preserve">of the </w:t>
      </w:r>
      <w:r w:rsidR="00547E3B">
        <w:rPr>
          <w:rFonts w:ascii="Times New Roman" w:hAnsi="Times New Roman" w:cs="Times New Roman"/>
          <w:sz w:val="24"/>
          <w:szCs w:val="24"/>
        </w:rPr>
        <w:t>sample mean</w:t>
      </w:r>
      <w:r w:rsidR="00BE53EC">
        <w:rPr>
          <w:rFonts w:ascii="Times New Roman" w:hAnsi="Times New Roman" w:cs="Times New Roman"/>
          <w:sz w:val="24"/>
          <w:szCs w:val="24"/>
        </w:rPr>
        <w:t xml:space="preserve"> </w:t>
      </w:r>
      <w:r w:rsidR="006C0052">
        <w:rPr>
          <w:rFonts w:ascii="Times New Roman" w:hAnsi="Times New Roman" w:cs="Times New Roman"/>
          <w:sz w:val="24"/>
          <w:szCs w:val="24"/>
        </w:rPr>
        <w:t xml:space="preserve">rises </w:t>
      </w:r>
      <w:r w:rsidR="00547E3B">
        <w:rPr>
          <w:rFonts w:ascii="Times New Roman" w:hAnsi="Times New Roman" w:cs="Times New Roman"/>
          <w:sz w:val="24"/>
          <w:szCs w:val="24"/>
        </w:rPr>
        <w:t>(</w:t>
      </w:r>
      <w:r w:rsidR="006C0052">
        <w:rPr>
          <w:rFonts w:ascii="Times New Roman" w:hAnsi="Times New Roman" w:cs="Times New Roman"/>
          <w:sz w:val="24"/>
          <w:szCs w:val="24"/>
        </w:rPr>
        <w:t>by 12%</w:t>
      </w:r>
      <w:r w:rsidR="00547E3B">
        <w:rPr>
          <w:rFonts w:ascii="Times New Roman" w:hAnsi="Times New Roman" w:cs="Times New Roman"/>
          <w:sz w:val="24"/>
          <w:szCs w:val="24"/>
        </w:rPr>
        <w:t>)</w:t>
      </w:r>
      <w:r w:rsidR="006C0052">
        <w:rPr>
          <w:rFonts w:ascii="Times New Roman" w:hAnsi="Times New Roman" w:cs="Times New Roman"/>
          <w:sz w:val="24"/>
          <w:szCs w:val="24"/>
        </w:rPr>
        <w:t xml:space="preserve"> as </w:t>
      </w:r>
      <w:r w:rsidR="006C0865">
        <w:rPr>
          <w:rFonts w:ascii="Times New Roman" w:hAnsi="Times New Roman" w:cs="Times New Roman"/>
          <w:sz w:val="24"/>
          <w:szCs w:val="24"/>
        </w:rPr>
        <w:t>follows:</w:t>
      </w:r>
    </w:p>
    <w:p w:rsidR="006C0865" w:rsidRDefault="006C0865" w:rsidP="0030038D">
      <w:pPr>
        <w:spacing w:after="0" w:line="360" w:lineRule="auto"/>
        <w:jc w:val="both"/>
        <w:rPr>
          <w:rFonts w:ascii="Times New Roman" w:hAnsi="Times New Roman" w:cs="Times New Roman"/>
          <w:sz w:val="24"/>
          <w:szCs w:val="24"/>
        </w:rPr>
      </w:pPr>
    </w:p>
    <w:p w:rsidR="00BE53EC" w:rsidRDefault="00D91F52" w:rsidP="00D91F52">
      <w:pPr>
        <w:spacing w:after="0" w:line="360" w:lineRule="auto"/>
        <w:jc w:val="both"/>
        <w:rPr>
          <w:b/>
          <w:bCs/>
        </w:rPr>
      </w:pPr>
      <w:r>
        <w:rPr>
          <w:b/>
          <w:bCs/>
        </w:rPr>
        <w:t xml:space="preserve">           </w:t>
      </w:r>
      <w:r w:rsidR="00547E3B">
        <w:rPr>
          <w:b/>
          <w:bCs/>
        </w:rPr>
        <w:t xml:space="preserve">                 </w:t>
      </w:r>
      <w:r w:rsidR="00547E3B" w:rsidRPr="00D91F52">
        <w:rPr>
          <w:b/>
          <w:bCs/>
          <w:position w:val="-12"/>
        </w:rPr>
        <w:object w:dxaOrig="3900" w:dyaOrig="400">
          <v:shape id="_x0000_i1026" type="#_x0000_t75" style="width:194.25pt;height:20.1pt" o:ole="">
            <v:imagedata r:id="rId11" o:title=""/>
          </v:shape>
          <o:OLEObject Type="Embed" ProgID="Equation.3" ShapeID="_x0000_i1026" DrawAspect="Content" ObjectID="_1478385613" r:id="rId12"/>
        </w:object>
      </w:r>
    </w:p>
    <w:p w:rsidR="00D91F52" w:rsidRDefault="00D91F52" w:rsidP="00D91F52">
      <w:pPr>
        <w:spacing w:after="0" w:line="360" w:lineRule="auto"/>
        <w:jc w:val="both"/>
        <w:rPr>
          <w:b/>
          <w:bCs/>
        </w:rPr>
      </w:pPr>
      <w:r>
        <w:rPr>
          <w:b/>
          <w:bCs/>
        </w:rPr>
        <w:t xml:space="preserve">                                                             </w:t>
      </w:r>
      <w:r w:rsidRPr="00D91F52">
        <w:rPr>
          <w:b/>
          <w:bCs/>
          <w:position w:val="-30"/>
        </w:rPr>
        <w:object w:dxaOrig="3660" w:dyaOrig="760">
          <v:shape id="_x0000_i1027" type="#_x0000_t75" style="width:182.5pt;height:38.5pt" o:ole="">
            <v:imagedata r:id="rId13" o:title=""/>
          </v:shape>
          <o:OLEObject Type="Embed" ProgID="Equation.3" ShapeID="_x0000_i1027" DrawAspect="Content" ObjectID="_1478385614" r:id="rId14"/>
        </w:object>
      </w:r>
    </w:p>
    <w:p w:rsidR="00D91F52" w:rsidRDefault="00D91F52" w:rsidP="00D91F52">
      <w:pPr>
        <w:spacing w:after="0" w:line="360" w:lineRule="auto"/>
        <w:jc w:val="both"/>
        <w:rPr>
          <w:b/>
          <w:bCs/>
        </w:rPr>
      </w:pPr>
      <w:r>
        <w:rPr>
          <w:b/>
          <w:bCs/>
        </w:rPr>
        <w:t xml:space="preserve">                                                             </w:t>
      </w:r>
      <w:r w:rsidRPr="00D91F52">
        <w:rPr>
          <w:b/>
          <w:bCs/>
          <w:position w:val="-26"/>
        </w:rPr>
        <w:object w:dxaOrig="5300" w:dyaOrig="700">
          <v:shape id="_x0000_i1028" type="#_x0000_t75" style="width:264.55pt;height:35.15pt" o:ole="">
            <v:imagedata r:id="rId15" o:title=""/>
          </v:shape>
          <o:OLEObject Type="Embed" ProgID="Equation.3" ShapeID="_x0000_i1028" DrawAspect="Content" ObjectID="_1478385615" r:id="rId16"/>
        </w:object>
      </w:r>
    </w:p>
    <w:p w:rsidR="00D91F52" w:rsidRDefault="00D91F52" w:rsidP="00D91F52">
      <w:pPr>
        <w:spacing w:after="0" w:line="360" w:lineRule="auto"/>
        <w:jc w:val="both"/>
        <w:rPr>
          <w:b/>
          <w:bCs/>
        </w:rPr>
      </w:pPr>
      <w:r>
        <w:rPr>
          <w:b/>
          <w:bCs/>
        </w:rPr>
        <w:t xml:space="preserve">                                                             </w:t>
      </w:r>
      <w:r w:rsidRPr="00D91F52">
        <w:rPr>
          <w:b/>
          <w:bCs/>
          <w:position w:val="-34"/>
        </w:rPr>
        <w:object w:dxaOrig="2500" w:dyaOrig="820">
          <v:shape id="_x0000_i1029" type="#_x0000_t75" style="width:124.75pt;height:41pt" o:ole="">
            <v:imagedata r:id="rId17" o:title=""/>
          </v:shape>
          <o:OLEObject Type="Embed" ProgID="Equation.3" ShapeID="_x0000_i1029" DrawAspect="Content" ObjectID="_1478385616" r:id="rId18"/>
        </w:object>
      </w:r>
    </w:p>
    <w:p w:rsidR="00D91F52" w:rsidRDefault="00547E3B" w:rsidP="00D91F52">
      <w:pPr>
        <w:spacing w:after="0" w:line="360" w:lineRule="auto"/>
        <w:jc w:val="both"/>
        <w:rPr>
          <w:rFonts w:ascii="Times New Roman" w:hAnsi="Times New Roman" w:cs="Times New Roman"/>
          <w:sz w:val="24"/>
          <w:szCs w:val="24"/>
        </w:rPr>
      </w:pPr>
      <w:r>
        <w:rPr>
          <w:b/>
          <w:bCs/>
        </w:rPr>
        <w:t xml:space="preserve">                                                             </w:t>
      </w:r>
      <w:r w:rsidRPr="00547E3B">
        <w:rPr>
          <w:b/>
          <w:bCs/>
          <w:position w:val="-28"/>
        </w:rPr>
        <w:object w:dxaOrig="1100" w:dyaOrig="660">
          <v:shape id="_x0000_i1030" type="#_x0000_t75" style="width:54.4pt;height:33.5pt" o:ole="">
            <v:imagedata r:id="rId19" o:title=""/>
          </v:shape>
          <o:OLEObject Type="Embed" ProgID="Equation.3" ShapeID="_x0000_i1030" DrawAspect="Content" ObjectID="_1478385617" r:id="rId20"/>
        </w:object>
      </w:r>
    </w:p>
    <w:p w:rsidR="00BE53EC" w:rsidRDefault="00BE53EC" w:rsidP="0030038D">
      <w:pPr>
        <w:spacing w:after="0" w:line="360" w:lineRule="auto"/>
        <w:jc w:val="both"/>
        <w:rPr>
          <w:rFonts w:ascii="Times New Roman" w:hAnsi="Times New Roman" w:cs="Times New Roman"/>
          <w:sz w:val="24"/>
          <w:szCs w:val="24"/>
        </w:rPr>
      </w:pPr>
    </w:p>
    <w:p w:rsidR="00526A13" w:rsidRDefault="00547E3B" w:rsidP="0030038D">
      <w:pPr>
        <w:spacing w:after="0" w:line="360" w:lineRule="auto"/>
        <w:jc w:val="both"/>
        <w:rPr>
          <w:rFonts w:ascii="Times New Roman" w:hAnsi="Times New Roman" w:cs="Times New Roman"/>
          <w:sz w:val="24"/>
          <w:szCs w:val="24"/>
        </w:rPr>
      </w:pPr>
      <w:r w:rsidRPr="00894EF5">
        <w:rPr>
          <w:rFonts w:ascii="Times New Roman" w:hAnsi="Times New Roman" w:cs="Times New Roman"/>
          <w:sz w:val="24"/>
          <w:szCs w:val="24"/>
        </w:rPr>
        <w:t>This increase in the standard deviation of the sample mean is undesirable.</w:t>
      </w:r>
      <w:r w:rsidRPr="00547E3B">
        <w:rPr>
          <w:rFonts w:ascii="Times New Roman" w:hAnsi="Times New Roman" w:cs="Times New Roman"/>
          <w:sz w:val="24"/>
          <w:szCs w:val="24"/>
        </w:rPr>
        <w:t xml:space="preserve">  </w:t>
      </w:r>
      <w:r w:rsidR="00A65383">
        <w:rPr>
          <w:rFonts w:ascii="Times New Roman" w:hAnsi="Times New Roman" w:cs="Times New Roman"/>
          <w:sz w:val="24"/>
          <w:szCs w:val="24"/>
        </w:rPr>
        <w:t>Furthermore, even if the increased sample size</w:t>
      </w:r>
      <w:r w:rsidR="002F4A2D">
        <w:rPr>
          <w:rFonts w:ascii="Times New Roman" w:hAnsi="Times New Roman" w:cs="Times New Roman"/>
          <w:sz w:val="24"/>
          <w:szCs w:val="24"/>
        </w:rPr>
        <w:t xml:space="preserve"> from including foreign-currency bonds</w:t>
      </w:r>
      <w:r w:rsidR="00A65383">
        <w:rPr>
          <w:rFonts w:ascii="Times New Roman" w:hAnsi="Times New Roman" w:cs="Times New Roman"/>
          <w:sz w:val="24"/>
          <w:szCs w:val="24"/>
        </w:rPr>
        <w:t xml:space="preserve"> did lower the standard </w:t>
      </w:r>
      <w:r>
        <w:rPr>
          <w:rFonts w:ascii="Times New Roman" w:hAnsi="Times New Roman" w:cs="Times New Roman"/>
          <w:sz w:val="24"/>
          <w:szCs w:val="24"/>
        </w:rPr>
        <w:t xml:space="preserve">deviation </w:t>
      </w:r>
      <w:r w:rsidR="00A65383">
        <w:rPr>
          <w:rFonts w:ascii="Times New Roman" w:hAnsi="Times New Roman" w:cs="Times New Roman"/>
          <w:sz w:val="24"/>
          <w:szCs w:val="24"/>
        </w:rPr>
        <w:t>of the mean estimate, the bias might be greater from doing so</w:t>
      </w:r>
      <w:r w:rsidR="004A58A1">
        <w:rPr>
          <w:rFonts w:ascii="Times New Roman" w:hAnsi="Times New Roman" w:cs="Times New Roman"/>
          <w:sz w:val="24"/>
          <w:szCs w:val="24"/>
        </w:rPr>
        <w:t xml:space="preserve"> </w:t>
      </w:r>
      <w:r w:rsidR="004A58A1" w:rsidRPr="00AF083D">
        <w:rPr>
          <w:rFonts w:ascii="Times New Roman" w:hAnsi="Times New Roman" w:cs="Times New Roman"/>
          <w:sz w:val="24"/>
          <w:szCs w:val="24"/>
        </w:rPr>
        <w:t>(by overweighting foreign-currency bonds)</w:t>
      </w:r>
      <w:r w:rsidR="00A65383">
        <w:rPr>
          <w:rFonts w:ascii="Times New Roman" w:hAnsi="Times New Roman" w:cs="Times New Roman"/>
          <w:sz w:val="24"/>
          <w:szCs w:val="24"/>
        </w:rPr>
        <w:t xml:space="preserve"> and this trade-off (reflected in MSE) might be unfavourable (higher MSE).  </w:t>
      </w:r>
      <w:r w:rsidR="006C0052">
        <w:rPr>
          <w:rFonts w:ascii="Times New Roman" w:hAnsi="Times New Roman" w:cs="Times New Roman"/>
          <w:sz w:val="24"/>
          <w:szCs w:val="24"/>
        </w:rPr>
        <w:t xml:space="preserve">In view of this, no </w:t>
      </w:r>
      <w:r w:rsidR="00BE53EC">
        <w:rPr>
          <w:rFonts w:ascii="Times New Roman" w:hAnsi="Times New Roman" w:cs="Times New Roman"/>
          <w:sz w:val="24"/>
          <w:szCs w:val="24"/>
        </w:rPr>
        <w:t xml:space="preserve">preference for </w:t>
      </w:r>
      <w:r w:rsidR="000A552A">
        <w:rPr>
          <w:rFonts w:ascii="Times New Roman" w:hAnsi="Times New Roman" w:cs="Times New Roman"/>
          <w:sz w:val="24"/>
          <w:szCs w:val="24"/>
        </w:rPr>
        <w:t xml:space="preserve">either </w:t>
      </w:r>
      <w:r w:rsidR="00BE53EC">
        <w:rPr>
          <w:rFonts w:ascii="Times New Roman" w:hAnsi="Times New Roman" w:cs="Times New Roman"/>
          <w:sz w:val="24"/>
          <w:szCs w:val="24"/>
        </w:rPr>
        <w:t xml:space="preserve">the BVAL or </w:t>
      </w:r>
      <w:r w:rsidR="000A552A">
        <w:rPr>
          <w:rFonts w:ascii="Times New Roman" w:hAnsi="Times New Roman" w:cs="Times New Roman"/>
          <w:sz w:val="24"/>
          <w:szCs w:val="24"/>
        </w:rPr>
        <w:t xml:space="preserve">the </w:t>
      </w:r>
      <w:r w:rsidR="00BE53EC">
        <w:rPr>
          <w:rFonts w:ascii="Times New Roman" w:hAnsi="Times New Roman" w:cs="Times New Roman"/>
          <w:sz w:val="24"/>
          <w:szCs w:val="24"/>
        </w:rPr>
        <w:t>RBA index is expressed on this point.</w:t>
      </w:r>
    </w:p>
    <w:p w:rsidR="00B97F2C" w:rsidRDefault="00B97F2C" w:rsidP="00B97F2C">
      <w:pPr>
        <w:pStyle w:val="ListParagraph"/>
        <w:spacing w:after="0" w:line="360" w:lineRule="auto"/>
        <w:ind w:left="0"/>
        <w:jc w:val="both"/>
        <w:rPr>
          <w:rFonts w:ascii="Times New Roman" w:hAnsi="Times New Roman" w:cs="Times New Roman"/>
          <w:sz w:val="24"/>
          <w:szCs w:val="24"/>
        </w:rPr>
      </w:pPr>
    </w:p>
    <w:p w:rsidR="00B77682" w:rsidRPr="00AF083D" w:rsidRDefault="00B97F2C" w:rsidP="00B97F2C">
      <w:pPr>
        <w:pStyle w:val="ListParagraph"/>
        <w:spacing w:after="0" w:line="360" w:lineRule="auto"/>
        <w:ind w:left="0"/>
        <w:jc w:val="both"/>
        <w:rPr>
          <w:rFonts w:ascii="Times New Roman" w:hAnsi="Times New Roman" w:cs="Times New Roman"/>
          <w:sz w:val="24"/>
          <w:szCs w:val="24"/>
        </w:rPr>
      </w:pPr>
      <w:r w:rsidRPr="00AF083D">
        <w:rPr>
          <w:rFonts w:ascii="Times New Roman" w:hAnsi="Times New Roman" w:cs="Times New Roman"/>
          <w:sz w:val="24"/>
          <w:szCs w:val="24"/>
        </w:rPr>
        <w:t xml:space="preserve">In respect of point (8), </w:t>
      </w:r>
      <w:r w:rsidR="00694A63" w:rsidRPr="00AF083D">
        <w:rPr>
          <w:rFonts w:ascii="Times New Roman" w:hAnsi="Times New Roman" w:cs="Times New Roman"/>
          <w:sz w:val="24"/>
          <w:szCs w:val="24"/>
        </w:rPr>
        <w:t xml:space="preserve">call, put, and conversion options </w:t>
      </w:r>
      <w:r w:rsidRPr="00AF083D">
        <w:rPr>
          <w:rFonts w:ascii="Times New Roman" w:hAnsi="Times New Roman" w:cs="Times New Roman"/>
          <w:sz w:val="24"/>
          <w:szCs w:val="24"/>
        </w:rPr>
        <w:t>alt</w:t>
      </w:r>
      <w:r w:rsidR="00F65FFE" w:rsidRPr="00AF083D">
        <w:rPr>
          <w:rFonts w:ascii="Times New Roman" w:hAnsi="Times New Roman" w:cs="Times New Roman"/>
          <w:sz w:val="24"/>
          <w:szCs w:val="24"/>
        </w:rPr>
        <w:t>er the cost of debt</w:t>
      </w:r>
      <w:r w:rsidRPr="00AF083D">
        <w:rPr>
          <w:rFonts w:ascii="Times New Roman" w:hAnsi="Times New Roman" w:cs="Times New Roman"/>
          <w:sz w:val="24"/>
          <w:szCs w:val="24"/>
        </w:rPr>
        <w:t xml:space="preserve"> but the</w:t>
      </w:r>
      <w:r w:rsidR="008E19CA" w:rsidRPr="00AF083D">
        <w:rPr>
          <w:rFonts w:ascii="Times New Roman" w:hAnsi="Times New Roman" w:cs="Times New Roman"/>
          <w:sz w:val="24"/>
          <w:szCs w:val="24"/>
        </w:rPr>
        <w:t xml:space="preserve"> exercise of the options </w:t>
      </w:r>
      <w:r w:rsidRPr="00AF083D">
        <w:rPr>
          <w:rFonts w:ascii="Times New Roman" w:hAnsi="Times New Roman" w:cs="Times New Roman"/>
          <w:sz w:val="24"/>
          <w:szCs w:val="24"/>
        </w:rPr>
        <w:t xml:space="preserve">is not </w:t>
      </w:r>
      <w:r w:rsidR="00F65FFE" w:rsidRPr="00AF083D">
        <w:rPr>
          <w:rFonts w:ascii="Times New Roman" w:hAnsi="Times New Roman" w:cs="Times New Roman"/>
          <w:sz w:val="24"/>
          <w:szCs w:val="24"/>
        </w:rPr>
        <w:t xml:space="preserve">and cannot be </w:t>
      </w:r>
      <w:r w:rsidRPr="00AF083D">
        <w:rPr>
          <w:rFonts w:ascii="Times New Roman" w:hAnsi="Times New Roman" w:cs="Times New Roman"/>
          <w:sz w:val="24"/>
          <w:szCs w:val="24"/>
        </w:rPr>
        <w:t>reflected in the regulatory process.  Consequently, the</w:t>
      </w:r>
      <w:r w:rsidR="005D0F38" w:rsidRPr="00AF083D">
        <w:rPr>
          <w:rFonts w:ascii="Times New Roman" w:hAnsi="Times New Roman" w:cs="Times New Roman"/>
          <w:sz w:val="24"/>
          <w:szCs w:val="24"/>
        </w:rPr>
        <w:t xml:space="preserve"> benchmark firm should not have such options and the use </w:t>
      </w:r>
      <w:r w:rsidRPr="00AF083D">
        <w:rPr>
          <w:rFonts w:ascii="Times New Roman" w:hAnsi="Times New Roman" w:cs="Times New Roman"/>
          <w:sz w:val="24"/>
          <w:szCs w:val="24"/>
        </w:rPr>
        <w:t xml:space="preserve">of an index that includes such bonds </w:t>
      </w:r>
      <w:r w:rsidR="005D0F38" w:rsidRPr="00AF083D">
        <w:rPr>
          <w:rFonts w:ascii="Times New Roman" w:hAnsi="Times New Roman" w:cs="Times New Roman"/>
          <w:sz w:val="24"/>
          <w:szCs w:val="24"/>
        </w:rPr>
        <w:t xml:space="preserve">will introduce </w:t>
      </w:r>
      <w:r w:rsidRPr="00AF083D">
        <w:rPr>
          <w:rFonts w:ascii="Times New Roman" w:hAnsi="Times New Roman" w:cs="Times New Roman"/>
          <w:sz w:val="24"/>
          <w:szCs w:val="24"/>
        </w:rPr>
        <w:t>bias</w:t>
      </w:r>
      <w:r w:rsidR="0099126A" w:rsidRPr="00AF083D">
        <w:rPr>
          <w:rFonts w:ascii="Times New Roman" w:hAnsi="Times New Roman" w:cs="Times New Roman"/>
          <w:sz w:val="24"/>
          <w:szCs w:val="24"/>
        </w:rPr>
        <w:t xml:space="preserve"> unless appropriate adjustments are made for the presence of the options</w:t>
      </w:r>
      <w:r w:rsidRPr="00AF083D">
        <w:rPr>
          <w:rFonts w:ascii="Times New Roman" w:hAnsi="Times New Roman" w:cs="Times New Roman"/>
          <w:sz w:val="24"/>
          <w:szCs w:val="24"/>
        </w:rPr>
        <w:t xml:space="preserve">.  </w:t>
      </w:r>
      <w:r w:rsidR="008E19CA" w:rsidRPr="00AF083D">
        <w:rPr>
          <w:rFonts w:ascii="Times New Roman" w:hAnsi="Times New Roman" w:cs="Times New Roman"/>
          <w:sz w:val="24"/>
          <w:szCs w:val="24"/>
        </w:rPr>
        <w:t>For example,</w:t>
      </w:r>
      <w:r w:rsidR="005D0F38" w:rsidRPr="00AF083D">
        <w:rPr>
          <w:rFonts w:ascii="Times New Roman" w:hAnsi="Times New Roman" w:cs="Times New Roman"/>
          <w:sz w:val="24"/>
          <w:szCs w:val="24"/>
        </w:rPr>
        <w:t xml:space="preserve"> consider </w:t>
      </w:r>
      <w:r w:rsidR="00F65FFE" w:rsidRPr="00AF083D">
        <w:rPr>
          <w:rFonts w:ascii="Times New Roman" w:hAnsi="Times New Roman" w:cs="Times New Roman"/>
          <w:sz w:val="24"/>
          <w:szCs w:val="24"/>
        </w:rPr>
        <w:t xml:space="preserve">bonds with </w:t>
      </w:r>
      <w:r w:rsidR="005D0F38" w:rsidRPr="00AF083D">
        <w:rPr>
          <w:rFonts w:ascii="Times New Roman" w:hAnsi="Times New Roman" w:cs="Times New Roman"/>
          <w:sz w:val="24"/>
          <w:szCs w:val="24"/>
        </w:rPr>
        <w:t xml:space="preserve">conversion options exercisable at the maturity of the bonds and which have the effect of </w:t>
      </w:r>
      <w:r w:rsidR="00470593" w:rsidRPr="00AF083D">
        <w:rPr>
          <w:rFonts w:ascii="Times New Roman" w:hAnsi="Times New Roman" w:cs="Times New Roman"/>
          <w:sz w:val="24"/>
          <w:szCs w:val="24"/>
        </w:rPr>
        <w:t xml:space="preserve">lowering </w:t>
      </w:r>
      <w:r w:rsidR="005D0F38" w:rsidRPr="00AF083D">
        <w:rPr>
          <w:rFonts w:ascii="Times New Roman" w:hAnsi="Times New Roman" w:cs="Times New Roman"/>
          <w:sz w:val="24"/>
          <w:szCs w:val="24"/>
        </w:rPr>
        <w:t>the interest rate on the bonds from 7% to 6%</w:t>
      </w:r>
      <w:r w:rsidR="00470593" w:rsidRPr="00AF083D">
        <w:rPr>
          <w:rFonts w:ascii="Times New Roman" w:hAnsi="Times New Roman" w:cs="Times New Roman"/>
          <w:sz w:val="24"/>
          <w:szCs w:val="24"/>
        </w:rPr>
        <w:t xml:space="preserve"> </w:t>
      </w:r>
      <w:r w:rsidR="00470593" w:rsidRPr="00AF083D">
        <w:rPr>
          <w:rFonts w:ascii="Times New Roman" w:hAnsi="Times New Roman" w:cs="Times New Roman"/>
          <w:sz w:val="24"/>
          <w:szCs w:val="24"/>
        </w:rPr>
        <w:lastRenderedPageBreak/>
        <w:t xml:space="preserve">(because these options are advantageous to bond </w:t>
      </w:r>
      <w:r w:rsidR="00002F21" w:rsidRPr="00AF083D">
        <w:rPr>
          <w:rFonts w:ascii="Times New Roman" w:hAnsi="Times New Roman" w:cs="Times New Roman"/>
          <w:sz w:val="24"/>
          <w:szCs w:val="24"/>
        </w:rPr>
        <w:t xml:space="preserve">holders).  If the benchmark </w:t>
      </w:r>
      <w:r w:rsidR="002768DD" w:rsidRPr="00AF083D">
        <w:rPr>
          <w:rFonts w:ascii="Times New Roman" w:hAnsi="Times New Roman" w:cs="Times New Roman"/>
          <w:sz w:val="24"/>
          <w:szCs w:val="24"/>
        </w:rPr>
        <w:t xml:space="preserve">firm’s bonds </w:t>
      </w:r>
      <w:r w:rsidR="00002F21" w:rsidRPr="00AF083D">
        <w:rPr>
          <w:rFonts w:ascii="Times New Roman" w:hAnsi="Times New Roman" w:cs="Times New Roman"/>
          <w:sz w:val="24"/>
          <w:szCs w:val="24"/>
        </w:rPr>
        <w:t xml:space="preserve">had </w:t>
      </w:r>
      <w:r w:rsidR="002768DD" w:rsidRPr="00AF083D">
        <w:rPr>
          <w:rFonts w:ascii="Times New Roman" w:hAnsi="Times New Roman" w:cs="Times New Roman"/>
          <w:sz w:val="24"/>
          <w:szCs w:val="24"/>
        </w:rPr>
        <w:t xml:space="preserve">these </w:t>
      </w:r>
      <w:r w:rsidR="00002F21" w:rsidRPr="00AF083D">
        <w:rPr>
          <w:rFonts w:ascii="Times New Roman" w:hAnsi="Times New Roman" w:cs="Times New Roman"/>
          <w:sz w:val="24"/>
          <w:szCs w:val="24"/>
        </w:rPr>
        <w:t>options, the regulator would allow an interest rate of 6% in setting the price or revenue cap but the conversion option would have no effect on the price or revenue cap</w:t>
      </w:r>
      <w:r w:rsidR="00A510E6">
        <w:rPr>
          <w:rFonts w:ascii="Times New Roman" w:hAnsi="Times New Roman" w:cs="Times New Roman"/>
          <w:sz w:val="24"/>
          <w:szCs w:val="24"/>
        </w:rPr>
        <w:t xml:space="preserve"> </w:t>
      </w:r>
      <w:r w:rsidR="00A510E6" w:rsidRPr="00894EF5">
        <w:rPr>
          <w:rFonts w:ascii="Times New Roman" w:hAnsi="Times New Roman" w:cs="Times New Roman"/>
          <w:sz w:val="24"/>
          <w:szCs w:val="24"/>
        </w:rPr>
        <w:t>(as conventionally determined)</w:t>
      </w:r>
      <w:r w:rsidR="00002F21" w:rsidRPr="00894EF5">
        <w:rPr>
          <w:rFonts w:ascii="Times New Roman" w:hAnsi="Times New Roman" w:cs="Times New Roman"/>
          <w:sz w:val="24"/>
          <w:szCs w:val="24"/>
        </w:rPr>
        <w:t xml:space="preserve">, </w:t>
      </w:r>
      <w:r w:rsidR="00002F21" w:rsidRPr="00AF083D">
        <w:rPr>
          <w:rFonts w:ascii="Times New Roman" w:hAnsi="Times New Roman" w:cs="Times New Roman"/>
          <w:sz w:val="24"/>
          <w:szCs w:val="24"/>
        </w:rPr>
        <w:t xml:space="preserve">with the result that the price or revenue cap would be too low.  Thus, the benchmark </w:t>
      </w:r>
      <w:r w:rsidR="00F65FFE" w:rsidRPr="00AF083D">
        <w:rPr>
          <w:rFonts w:ascii="Times New Roman" w:hAnsi="Times New Roman" w:cs="Times New Roman"/>
          <w:sz w:val="24"/>
          <w:szCs w:val="24"/>
        </w:rPr>
        <w:t xml:space="preserve">firm’s debt </w:t>
      </w:r>
      <w:r w:rsidR="00002F21" w:rsidRPr="00AF083D">
        <w:rPr>
          <w:rFonts w:ascii="Times New Roman" w:hAnsi="Times New Roman" w:cs="Times New Roman"/>
          <w:sz w:val="24"/>
          <w:szCs w:val="24"/>
        </w:rPr>
        <w:t xml:space="preserve">should be defined to not have such options, and therefore should have an interest rate of 7%.  Consequently, the </w:t>
      </w:r>
      <w:r w:rsidR="007B12A1" w:rsidRPr="00AF083D">
        <w:rPr>
          <w:rFonts w:ascii="Times New Roman" w:hAnsi="Times New Roman" w:cs="Times New Roman"/>
          <w:sz w:val="24"/>
          <w:szCs w:val="24"/>
        </w:rPr>
        <w:t>bonds used to estimate this rate should also be free of these opt</w:t>
      </w:r>
      <w:r w:rsidR="00F65FFE" w:rsidRPr="00AF083D">
        <w:rPr>
          <w:rFonts w:ascii="Times New Roman" w:hAnsi="Times New Roman" w:cs="Times New Roman"/>
          <w:sz w:val="24"/>
          <w:szCs w:val="24"/>
        </w:rPr>
        <w:t xml:space="preserve">ions or appropriate adjustments must be </w:t>
      </w:r>
      <w:r w:rsidR="007B12A1" w:rsidRPr="00AF083D">
        <w:rPr>
          <w:rFonts w:ascii="Times New Roman" w:hAnsi="Times New Roman" w:cs="Times New Roman"/>
          <w:sz w:val="24"/>
          <w:szCs w:val="24"/>
        </w:rPr>
        <w:t>made to reflect their presence</w:t>
      </w:r>
      <w:r w:rsidR="00002F21" w:rsidRPr="00AF083D">
        <w:rPr>
          <w:rFonts w:ascii="Times New Roman" w:hAnsi="Times New Roman" w:cs="Times New Roman"/>
          <w:sz w:val="24"/>
          <w:szCs w:val="24"/>
        </w:rPr>
        <w:t xml:space="preserve">.  </w:t>
      </w:r>
      <w:r w:rsidR="007B12A1" w:rsidRPr="00AF083D">
        <w:rPr>
          <w:rFonts w:ascii="Times New Roman" w:hAnsi="Times New Roman" w:cs="Times New Roman"/>
          <w:sz w:val="24"/>
          <w:szCs w:val="24"/>
        </w:rPr>
        <w:t xml:space="preserve">If a bond does have such options, thereby reducing </w:t>
      </w:r>
      <w:r w:rsidR="00F65FFE" w:rsidRPr="00AF083D">
        <w:rPr>
          <w:rFonts w:ascii="Times New Roman" w:hAnsi="Times New Roman" w:cs="Times New Roman"/>
          <w:sz w:val="24"/>
          <w:szCs w:val="24"/>
        </w:rPr>
        <w:t xml:space="preserve">its </w:t>
      </w:r>
      <w:r w:rsidR="007B12A1" w:rsidRPr="00AF083D">
        <w:rPr>
          <w:rFonts w:ascii="Times New Roman" w:hAnsi="Times New Roman" w:cs="Times New Roman"/>
          <w:sz w:val="24"/>
          <w:szCs w:val="24"/>
        </w:rPr>
        <w:t xml:space="preserve">interest rate from 7% to 6%, and the regulator does not make an adjustment for this, the </w:t>
      </w:r>
      <w:r w:rsidR="00B77682" w:rsidRPr="00AF083D">
        <w:rPr>
          <w:rFonts w:ascii="Times New Roman" w:hAnsi="Times New Roman" w:cs="Times New Roman"/>
          <w:sz w:val="24"/>
          <w:szCs w:val="24"/>
        </w:rPr>
        <w:t xml:space="preserve">regulator will thereby </w:t>
      </w:r>
      <w:r w:rsidR="00BF29B8" w:rsidRPr="00AF083D">
        <w:rPr>
          <w:rFonts w:ascii="Times New Roman" w:hAnsi="Times New Roman" w:cs="Times New Roman"/>
          <w:sz w:val="24"/>
          <w:szCs w:val="24"/>
        </w:rPr>
        <w:t xml:space="preserve">estimate the cost of debt at 6%, and apply the same rate to the </w:t>
      </w:r>
      <w:r w:rsidR="007B12A1" w:rsidRPr="00AF083D">
        <w:rPr>
          <w:rFonts w:ascii="Times New Roman" w:hAnsi="Times New Roman" w:cs="Times New Roman"/>
          <w:sz w:val="24"/>
          <w:szCs w:val="24"/>
        </w:rPr>
        <w:t>benchmark</w:t>
      </w:r>
      <w:r w:rsidR="00BF29B8" w:rsidRPr="00AF083D">
        <w:rPr>
          <w:rFonts w:ascii="Times New Roman" w:hAnsi="Times New Roman" w:cs="Times New Roman"/>
          <w:sz w:val="24"/>
          <w:szCs w:val="24"/>
        </w:rPr>
        <w:t xml:space="preserve"> firm, thereby underestimating </w:t>
      </w:r>
      <w:r w:rsidR="007B12A1" w:rsidRPr="00AF083D">
        <w:rPr>
          <w:rFonts w:ascii="Times New Roman" w:hAnsi="Times New Roman" w:cs="Times New Roman"/>
          <w:sz w:val="24"/>
          <w:szCs w:val="24"/>
        </w:rPr>
        <w:t xml:space="preserve">its </w:t>
      </w:r>
      <w:r w:rsidR="00CB5899" w:rsidRPr="00AF083D">
        <w:rPr>
          <w:rFonts w:ascii="Times New Roman" w:hAnsi="Times New Roman" w:cs="Times New Roman"/>
          <w:sz w:val="24"/>
          <w:szCs w:val="24"/>
        </w:rPr>
        <w:t xml:space="preserve">cost of debt by 1%.  </w:t>
      </w:r>
      <w:r w:rsidR="00B77682" w:rsidRPr="00AF083D">
        <w:rPr>
          <w:rFonts w:ascii="Times New Roman" w:hAnsi="Times New Roman" w:cs="Times New Roman"/>
          <w:sz w:val="24"/>
          <w:szCs w:val="24"/>
        </w:rPr>
        <w:t xml:space="preserve">Similarly, </w:t>
      </w:r>
      <w:r w:rsidR="00F65FFE" w:rsidRPr="00AF083D">
        <w:rPr>
          <w:rFonts w:ascii="Times New Roman" w:hAnsi="Times New Roman" w:cs="Times New Roman"/>
          <w:sz w:val="24"/>
          <w:szCs w:val="24"/>
        </w:rPr>
        <w:t xml:space="preserve">call options raise the cost of debt because they are disadvantageous to the bond holders.  So, if the </w:t>
      </w:r>
      <w:r w:rsidR="007665F7" w:rsidRPr="00AF083D">
        <w:rPr>
          <w:rFonts w:ascii="Times New Roman" w:hAnsi="Times New Roman" w:cs="Times New Roman"/>
          <w:sz w:val="24"/>
          <w:szCs w:val="24"/>
        </w:rPr>
        <w:t xml:space="preserve">regulator </w:t>
      </w:r>
      <w:r w:rsidR="00F65FFE" w:rsidRPr="00AF083D">
        <w:rPr>
          <w:rFonts w:ascii="Times New Roman" w:hAnsi="Times New Roman" w:cs="Times New Roman"/>
          <w:sz w:val="24"/>
          <w:szCs w:val="24"/>
        </w:rPr>
        <w:t>estimates the cost of debt of the benchmark firm from bonds with call options, and does not make an adjustment for the effect of these options, they will overestimate the cost of debt of the benchmark firm</w:t>
      </w:r>
      <w:r w:rsidR="007665F7" w:rsidRPr="00AF083D">
        <w:rPr>
          <w:rFonts w:ascii="Times New Roman" w:hAnsi="Times New Roman" w:cs="Times New Roman"/>
          <w:sz w:val="24"/>
          <w:szCs w:val="24"/>
        </w:rPr>
        <w:t>.</w:t>
      </w:r>
      <w:r w:rsidR="00B77682" w:rsidRPr="00AF083D">
        <w:rPr>
          <w:rStyle w:val="FootnoteReference"/>
          <w:rFonts w:ascii="Times New Roman" w:hAnsi="Times New Roman" w:cs="Times New Roman"/>
          <w:sz w:val="24"/>
          <w:szCs w:val="24"/>
        </w:rPr>
        <w:footnoteReference w:id="6"/>
      </w:r>
      <w:r w:rsidR="007665F7" w:rsidRPr="00AF083D">
        <w:rPr>
          <w:rFonts w:ascii="Times New Roman" w:hAnsi="Times New Roman" w:cs="Times New Roman"/>
          <w:sz w:val="24"/>
          <w:szCs w:val="24"/>
        </w:rPr>
        <w:t xml:space="preserve">    </w:t>
      </w:r>
    </w:p>
    <w:p w:rsidR="00B77682" w:rsidRDefault="00B77682" w:rsidP="00B97F2C">
      <w:pPr>
        <w:pStyle w:val="ListParagraph"/>
        <w:spacing w:after="0" w:line="360" w:lineRule="auto"/>
        <w:ind w:left="0"/>
        <w:jc w:val="both"/>
        <w:rPr>
          <w:rFonts w:ascii="Times New Roman" w:hAnsi="Times New Roman" w:cs="Times New Roman"/>
          <w:sz w:val="24"/>
          <w:szCs w:val="24"/>
        </w:rPr>
      </w:pPr>
    </w:p>
    <w:p w:rsidR="00B97F2C" w:rsidRDefault="00A47DED" w:rsidP="00B97F2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Empirically, the </w:t>
      </w:r>
      <w:r w:rsidR="006F18C4">
        <w:rPr>
          <w:rFonts w:ascii="Times New Roman" w:hAnsi="Times New Roman" w:cs="Times New Roman"/>
          <w:sz w:val="24"/>
          <w:szCs w:val="24"/>
        </w:rPr>
        <w:t xml:space="preserve">impact of call options </w:t>
      </w:r>
      <w:r w:rsidR="006E0F7F">
        <w:rPr>
          <w:rFonts w:ascii="Times New Roman" w:hAnsi="Times New Roman" w:cs="Times New Roman"/>
          <w:sz w:val="24"/>
          <w:szCs w:val="24"/>
        </w:rPr>
        <w:t xml:space="preserve">(other than make-whole call options) </w:t>
      </w:r>
      <w:r w:rsidR="00822E8A">
        <w:rPr>
          <w:rFonts w:ascii="Times New Roman" w:hAnsi="Times New Roman" w:cs="Times New Roman"/>
          <w:sz w:val="24"/>
          <w:szCs w:val="24"/>
        </w:rPr>
        <w:t xml:space="preserve">on the cost of debt </w:t>
      </w:r>
      <w:r w:rsidR="006F18C4">
        <w:rPr>
          <w:rFonts w:ascii="Times New Roman" w:hAnsi="Times New Roman" w:cs="Times New Roman"/>
          <w:sz w:val="24"/>
          <w:szCs w:val="24"/>
        </w:rPr>
        <w:t>can be substantial</w:t>
      </w:r>
      <w:r w:rsidR="007665F7">
        <w:rPr>
          <w:rFonts w:ascii="Times New Roman" w:hAnsi="Times New Roman" w:cs="Times New Roman"/>
          <w:sz w:val="24"/>
          <w:szCs w:val="24"/>
        </w:rPr>
        <w:t xml:space="preserve">.  For example, </w:t>
      </w:r>
      <w:r w:rsidR="006F18C4">
        <w:rPr>
          <w:rFonts w:ascii="Times New Roman" w:hAnsi="Times New Roman" w:cs="Times New Roman"/>
          <w:sz w:val="24"/>
          <w:szCs w:val="24"/>
        </w:rPr>
        <w:t xml:space="preserve">Oakvale Capital (2011) </w:t>
      </w:r>
      <w:r w:rsidR="006E0F7F">
        <w:rPr>
          <w:rFonts w:ascii="Times New Roman" w:hAnsi="Times New Roman" w:cs="Times New Roman"/>
          <w:sz w:val="24"/>
          <w:szCs w:val="24"/>
        </w:rPr>
        <w:t xml:space="preserve">examined </w:t>
      </w:r>
      <w:r w:rsidR="006F18C4">
        <w:rPr>
          <w:rFonts w:ascii="Times New Roman" w:hAnsi="Times New Roman" w:cs="Times New Roman"/>
          <w:sz w:val="24"/>
          <w:szCs w:val="24"/>
        </w:rPr>
        <w:t xml:space="preserve">31 </w:t>
      </w:r>
      <w:r w:rsidR="006E0F7F">
        <w:rPr>
          <w:rFonts w:ascii="Times New Roman" w:hAnsi="Times New Roman" w:cs="Times New Roman"/>
          <w:sz w:val="24"/>
          <w:szCs w:val="24"/>
        </w:rPr>
        <w:t xml:space="preserve">such </w:t>
      </w:r>
      <w:r w:rsidR="006F18C4">
        <w:rPr>
          <w:rFonts w:ascii="Times New Roman" w:hAnsi="Times New Roman" w:cs="Times New Roman"/>
          <w:sz w:val="24"/>
          <w:szCs w:val="24"/>
        </w:rPr>
        <w:t xml:space="preserve">bonds, and </w:t>
      </w:r>
      <w:r w:rsidR="006E0F7F">
        <w:rPr>
          <w:rFonts w:ascii="Times New Roman" w:hAnsi="Times New Roman" w:cs="Times New Roman"/>
          <w:sz w:val="24"/>
          <w:szCs w:val="24"/>
        </w:rPr>
        <w:t xml:space="preserve">found that </w:t>
      </w:r>
      <w:r w:rsidR="006F18C4">
        <w:rPr>
          <w:rFonts w:ascii="Times New Roman" w:hAnsi="Times New Roman" w:cs="Times New Roman"/>
          <w:sz w:val="24"/>
          <w:szCs w:val="24"/>
        </w:rPr>
        <w:t xml:space="preserve">the DRP impact of the call option </w:t>
      </w:r>
      <w:r w:rsidR="00EE274F">
        <w:rPr>
          <w:rFonts w:ascii="Times New Roman" w:hAnsi="Times New Roman" w:cs="Times New Roman"/>
          <w:sz w:val="24"/>
          <w:szCs w:val="24"/>
        </w:rPr>
        <w:t xml:space="preserve">ranged </w:t>
      </w:r>
      <w:r w:rsidR="006F18C4">
        <w:rPr>
          <w:rFonts w:ascii="Times New Roman" w:hAnsi="Times New Roman" w:cs="Times New Roman"/>
          <w:sz w:val="24"/>
          <w:szCs w:val="24"/>
        </w:rPr>
        <w:t xml:space="preserve">from zero to 2.0% (ibid, Appendix F and para 50) whilst CEG (2012, Figure 2, Figure 4) present results without adjustments for the call options and with them, and one of these bonds </w:t>
      </w:r>
      <w:r w:rsidR="006E0F7F">
        <w:rPr>
          <w:rFonts w:ascii="Times New Roman" w:hAnsi="Times New Roman" w:cs="Times New Roman"/>
          <w:sz w:val="24"/>
          <w:szCs w:val="24"/>
        </w:rPr>
        <w:t xml:space="preserve">had an estimated DRP that was lower by </w:t>
      </w:r>
      <w:r w:rsidR="006F18C4">
        <w:rPr>
          <w:rFonts w:ascii="Times New Roman" w:hAnsi="Times New Roman" w:cs="Times New Roman"/>
          <w:sz w:val="24"/>
          <w:szCs w:val="24"/>
        </w:rPr>
        <w:t xml:space="preserve">about 1.5% (Suncorp with a 12 year term to maturity).  </w:t>
      </w:r>
      <w:r w:rsidR="00BE4B37">
        <w:rPr>
          <w:rFonts w:ascii="Times New Roman" w:hAnsi="Times New Roman" w:cs="Times New Roman"/>
          <w:sz w:val="24"/>
          <w:szCs w:val="24"/>
        </w:rPr>
        <w:t xml:space="preserve">Although the </w:t>
      </w:r>
      <w:r w:rsidR="0099126A">
        <w:rPr>
          <w:rFonts w:ascii="Times New Roman" w:hAnsi="Times New Roman" w:cs="Times New Roman"/>
          <w:sz w:val="24"/>
          <w:szCs w:val="24"/>
        </w:rPr>
        <w:t>RBA does make an adjustment for the presence of options</w:t>
      </w:r>
      <w:r w:rsidR="000A552A">
        <w:rPr>
          <w:rFonts w:ascii="Times New Roman" w:hAnsi="Times New Roman" w:cs="Times New Roman"/>
          <w:sz w:val="24"/>
          <w:szCs w:val="24"/>
        </w:rPr>
        <w:t>,</w:t>
      </w:r>
      <w:r w:rsidR="00BE4B37">
        <w:rPr>
          <w:rFonts w:ascii="Times New Roman" w:hAnsi="Times New Roman" w:cs="Times New Roman"/>
          <w:sz w:val="24"/>
          <w:szCs w:val="24"/>
        </w:rPr>
        <w:t xml:space="preserve"> this </w:t>
      </w:r>
      <w:r w:rsidR="00610FF8" w:rsidRPr="00AF083D">
        <w:rPr>
          <w:rFonts w:ascii="Times New Roman" w:hAnsi="Times New Roman" w:cs="Times New Roman"/>
          <w:sz w:val="24"/>
          <w:szCs w:val="24"/>
        </w:rPr>
        <w:t xml:space="preserve">is likely to introduce some degree of estimation error.  So, the inclusion of these bonds expands the sample size but at the expense of potentially introducing some bias.  </w:t>
      </w:r>
      <w:r w:rsidR="00DE25C2" w:rsidRPr="00AF083D">
        <w:rPr>
          <w:rFonts w:ascii="Times New Roman" w:hAnsi="Times New Roman" w:cs="Times New Roman"/>
          <w:sz w:val="24"/>
          <w:szCs w:val="24"/>
        </w:rPr>
        <w:t xml:space="preserve">The </w:t>
      </w:r>
      <w:r w:rsidR="00610FF8" w:rsidRPr="00AF083D">
        <w:rPr>
          <w:rFonts w:ascii="Times New Roman" w:hAnsi="Times New Roman" w:cs="Times New Roman"/>
          <w:sz w:val="24"/>
          <w:szCs w:val="24"/>
        </w:rPr>
        <w:t xml:space="preserve">trade-off is embodied in the </w:t>
      </w:r>
      <w:r w:rsidR="00395015" w:rsidRPr="00AF083D">
        <w:rPr>
          <w:rFonts w:ascii="Times New Roman" w:hAnsi="Times New Roman" w:cs="Times New Roman"/>
          <w:sz w:val="24"/>
          <w:szCs w:val="24"/>
        </w:rPr>
        <w:t>MSE</w:t>
      </w:r>
      <w:r w:rsidR="00DE25C2" w:rsidRPr="00AF083D">
        <w:rPr>
          <w:rFonts w:ascii="Times New Roman" w:hAnsi="Times New Roman" w:cs="Times New Roman"/>
          <w:sz w:val="24"/>
          <w:szCs w:val="24"/>
        </w:rPr>
        <w:t xml:space="preserve">, and the </w:t>
      </w:r>
      <w:r w:rsidR="00395015" w:rsidRPr="00AF083D">
        <w:rPr>
          <w:rFonts w:ascii="Times New Roman" w:hAnsi="Times New Roman" w:cs="Times New Roman"/>
          <w:sz w:val="24"/>
          <w:szCs w:val="24"/>
        </w:rPr>
        <w:t>preferred index would be that of lower MSE but it is not possible to quantify this, and therefore offer a judgement on it.</w:t>
      </w:r>
      <w:r w:rsidR="00395015">
        <w:rPr>
          <w:rFonts w:ascii="Times New Roman" w:hAnsi="Times New Roman" w:cs="Times New Roman"/>
          <w:sz w:val="24"/>
          <w:szCs w:val="24"/>
        </w:rPr>
        <w:t xml:space="preserve">  At </w:t>
      </w:r>
      <w:r w:rsidR="00BE4B37">
        <w:rPr>
          <w:rFonts w:ascii="Times New Roman" w:hAnsi="Times New Roman" w:cs="Times New Roman"/>
          <w:sz w:val="24"/>
          <w:szCs w:val="24"/>
        </w:rPr>
        <w:t>the present tim</w:t>
      </w:r>
      <w:r w:rsidR="005F2CC2">
        <w:rPr>
          <w:rFonts w:ascii="Times New Roman" w:hAnsi="Times New Roman" w:cs="Times New Roman"/>
          <w:sz w:val="24"/>
          <w:szCs w:val="24"/>
        </w:rPr>
        <w:t xml:space="preserve">e, the proportion of bonds with </w:t>
      </w:r>
      <w:r w:rsidR="00BE4B37">
        <w:rPr>
          <w:rFonts w:ascii="Times New Roman" w:hAnsi="Times New Roman" w:cs="Times New Roman"/>
          <w:sz w:val="24"/>
          <w:szCs w:val="24"/>
        </w:rPr>
        <w:t xml:space="preserve">options </w:t>
      </w:r>
      <w:r w:rsidR="00EE274F">
        <w:rPr>
          <w:rFonts w:ascii="Times New Roman" w:hAnsi="Times New Roman" w:cs="Times New Roman"/>
          <w:sz w:val="24"/>
          <w:szCs w:val="24"/>
        </w:rPr>
        <w:t xml:space="preserve">of any type </w:t>
      </w:r>
      <w:r w:rsidR="00BE4B37">
        <w:rPr>
          <w:rFonts w:ascii="Times New Roman" w:hAnsi="Times New Roman" w:cs="Times New Roman"/>
          <w:sz w:val="24"/>
          <w:szCs w:val="24"/>
        </w:rPr>
        <w:t>is small (</w:t>
      </w:r>
      <w:r w:rsidR="00A20D4E">
        <w:rPr>
          <w:rFonts w:ascii="Times New Roman" w:hAnsi="Times New Roman" w:cs="Times New Roman"/>
          <w:sz w:val="24"/>
          <w:szCs w:val="24"/>
        </w:rPr>
        <w:t xml:space="preserve">Arsov et al, </w:t>
      </w:r>
      <w:r w:rsidR="00BE4B37">
        <w:rPr>
          <w:rFonts w:ascii="Times New Roman" w:hAnsi="Times New Roman" w:cs="Times New Roman"/>
          <w:sz w:val="24"/>
          <w:szCs w:val="24"/>
        </w:rPr>
        <w:t>2013, Graph 5)</w:t>
      </w:r>
      <w:r w:rsidR="00E94A51">
        <w:rPr>
          <w:rFonts w:ascii="Times New Roman" w:hAnsi="Times New Roman" w:cs="Times New Roman"/>
          <w:sz w:val="24"/>
          <w:szCs w:val="24"/>
        </w:rPr>
        <w:t xml:space="preserve">, and </w:t>
      </w:r>
      <w:r w:rsidR="00EE274F">
        <w:rPr>
          <w:rFonts w:ascii="Times New Roman" w:hAnsi="Times New Roman" w:cs="Times New Roman"/>
          <w:sz w:val="24"/>
          <w:szCs w:val="24"/>
        </w:rPr>
        <w:t xml:space="preserve">virtually all of these </w:t>
      </w:r>
      <w:r w:rsidR="00E94A51">
        <w:rPr>
          <w:rFonts w:ascii="Times New Roman" w:hAnsi="Times New Roman" w:cs="Times New Roman"/>
          <w:sz w:val="24"/>
          <w:szCs w:val="24"/>
        </w:rPr>
        <w:t xml:space="preserve">are of the make-whole </w:t>
      </w:r>
      <w:r w:rsidR="005F2CC2">
        <w:rPr>
          <w:rFonts w:ascii="Times New Roman" w:hAnsi="Times New Roman" w:cs="Times New Roman"/>
          <w:sz w:val="24"/>
          <w:szCs w:val="24"/>
        </w:rPr>
        <w:t xml:space="preserve">call </w:t>
      </w:r>
      <w:r w:rsidR="00E94A51">
        <w:rPr>
          <w:rFonts w:ascii="Times New Roman" w:hAnsi="Times New Roman" w:cs="Times New Roman"/>
          <w:sz w:val="24"/>
          <w:szCs w:val="24"/>
        </w:rPr>
        <w:t xml:space="preserve">type </w:t>
      </w:r>
      <w:r w:rsidR="00610FF8">
        <w:rPr>
          <w:rFonts w:ascii="Times New Roman" w:hAnsi="Times New Roman" w:cs="Times New Roman"/>
          <w:sz w:val="24"/>
          <w:szCs w:val="24"/>
        </w:rPr>
        <w:t>(for which no adjustment is made</w:t>
      </w:r>
      <w:r w:rsidR="000D3E55">
        <w:rPr>
          <w:rFonts w:ascii="Times New Roman" w:hAnsi="Times New Roman" w:cs="Times New Roman"/>
          <w:sz w:val="24"/>
          <w:szCs w:val="24"/>
        </w:rPr>
        <w:t xml:space="preserve">).  So, this is not important at the present time </w:t>
      </w:r>
      <w:r w:rsidR="00BE4B37">
        <w:rPr>
          <w:rFonts w:ascii="Times New Roman" w:hAnsi="Times New Roman" w:cs="Times New Roman"/>
          <w:sz w:val="24"/>
          <w:szCs w:val="24"/>
        </w:rPr>
        <w:t xml:space="preserve">but this </w:t>
      </w:r>
      <w:r w:rsidR="000D3E55">
        <w:rPr>
          <w:rFonts w:ascii="Times New Roman" w:hAnsi="Times New Roman" w:cs="Times New Roman"/>
          <w:sz w:val="24"/>
          <w:szCs w:val="24"/>
        </w:rPr>
        <w:t xml:space="preserve">situation </w:t>
      </w:r>
      <w:r w:rsidR="00BE4B37">
        <w:rPr>
          <w:rFonts w:ascii="Times New Roman" w:hAnsi="Times New Roman" w:cs="Times New Roman"/>
          <w:sz w:val="24"/>
          <w:szCs w:val="24"/>
        </w:rPr>
        <w:t xml:space="preserve">could change.  </w:t>
      </w:r>
    </w:p>
    <w:p w:rsidR="00026D1F" w:rsidRDefault="00026D1F" w:rsidP="0030038D">
      <w:pPr>
        <w:spacing w:after="0" w:line="360" w:lineRule="auto"/>
        <w:jc w:val="both"/>
        <w:rPr>
          <w:rFonts w:ascii="Times New Roman" w:hAnsi="Times New Roman" w:cs="Times New Roman"/>
          <w:sz w:val="24"/>
          <w:szCs w:val="24"/>
        </w:rPr>
      </w:pPr>
    </w:p>
    <w:p w:rsidR="00602663" w:rsidRDefault="00E06A98"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632D9E">
        <w:rPr>
          <w:rFonts w:ascii="Times New Roman" w:hAnsi="Times New Roman" w:cs="Times New Roman"/>
          <w:sz w:val="24"/>
          <w:szCs w:val="24"/>
        </w:rPr>
        <w:t>n respect of point (9</w:t>
      </w:r>
      <w:r>
        <w:rPr>
          <w:rFonts w:ascii="Times New Roman" w:hAnsi="Times New Roman" w:cs="Times New Roman"/>
          <w:sz w:val="24"/>
          <w:szCs w:val="24"/>
        </w:rPr>
        <w:t xml:space="preserve">), regulatory situations </w:t>
      </w:r>
      <w:r w:rsidR="001134B6">
        <w:rPr>
          <w:rFonts w:ascii="Times New Roman" w:hAnsi="Times New Roman" w:cs="Times New Roman"/>
          <w:sz w:val="24"/>
          <w:szCs w:val="24"/>
        </w:rPr>
        <w:t xml:space="preserve">involve a ‘building block’ calculation of the firm’s revenue, which includes an allowed cost of debt that is derived from the yield to maturity of an existing bond or bonds, and which will give rise to interest payments in the building block calculation that involve the same rate.  So, the coupon rate on the bond used to set the allowed rate must match its yield to maturity (a “par yield bond”).  </w:t>
      </w:r>
      <w:r w:rsidR="000A552A">
        <w:rPr>
          <w:rFonts w:ascii="Times New Roman" w:hAnsi="Times New Roman" w:cs="Times New Roman"/>
          <w:sz w:val="24"/>
          <w:szCs w:val="24"/>
        </w:rPr>
        <w:t xml:space="preserve">Since the BVAL yield is a par value yield, and the RBA yield is not, this </w:t>
      </w:r>
      <w:r w:rsidR="001134B6">
        <w:rPr>
          <w:rFonts w:ascii="Times New Roman" w:hAnsi="Times New Roman" w:cs="Times New Roman"/>
          <w:sz w:val="24"/>
          <w:szCs w:val="24"/>
        </w:rPr>
        <w:t>point favours the BVAL</w:t>
      </w:r>
      <w:r w:rsidR="00CF00D2">
        <w:rPr>
          <w:rFonts w:ascii="Times New Roman" w:hAnsi="Times New Roman" w:cs="Times New Roman"/>
          <w:sz w:val="24"/>
          <w:szCs w:val="24"/>
        </w:rPr>
        <w:t xml:space="preserve">.  However, the </w:t>
      </w:r>
      <w:r w:rsidR="001134B6">
        <w:rPr>
          <w:rFonts w:ascii="Times New Roman" w:hAnsi="Times New Roman" w:cs="Times New Roman"/>
          <w:sz w:val="24"/>
          <w:szCs w:val="24"/>
        </w:rPr>
        <w:t xml:space="preserve">effect here is generally </w:t>
      </w:r>
      <w:r>
        <w:rPr>
          <w:rFonts w:ascii="Times New Roman" w:hAnsi="Times New Roman" w:cs="Times New Roman"/>
          <w:sz w:val="24"/>
          <w:szCs w:val="24"/>
        </w:rPr>
        <w:t xml:space="preserve">quite small.  For example, suppose </w:t>
      </w:r>
      <w:r w:rsidR="00806961">
        <w:rPr>
          <w:rFonts w:ascii="Times New Roman" w:hAnsi="Times New Roman" w:cs="Times New Roman"/>
          <w:sz w:val="24"/>
          <w:szCs w:val="24"/>
        </w:rPr>
        <w:t xml:space="preserve">the spot rates on BBB bonds are </w:t>
      </w:r>
      <w:r w:rsidR="001134B6">
        <w:rPr>
          <w:rFonts w:ascii="Times New Roman" w:hAnsi="Times New Roman" w:cs="Times New Roman"/>
          <w:sz w:val="24"/>
          <w:szCs w:val="24"/>
        </w:rPr>
        <w:t xml:space="preserve">currently 6.41%, </w:t>
      </w:r>
      <w:r w:rsidR="00116377">
        <w:rPr>
          <w:rFonts w:ascii="Times New Roman" w:hAnsi="Times New Roman" w:cs="Times New Roman"/>
          <w:sz w:val="24"/>
          <w:szCs w:val="24"/>
        </w:rPr>
        <w:t xml:space="preserve">6.56%, 6.7%, ….7.7% </w:t>
      </w:r>
      <w:r w:rsidR="00806961">
        <w:rPr>
          <w:rFonts w:ascii="Times New Roman" w:hAnsi="Times New Roman" w:cs="Times New Roman"/>
          <w:sz w:val="24"/>
          <w:szCs w:val="24"/>
        </w:rPr>
        <w:t>for years 1, 2…10.</w:t>
      </w:r>
      <w:r w:rsidR="00806961">
        <w:rPr>
          <w:rStyle w:val="FootnoteReference"/>
          <w:rFonts w:ascii="Times New Roman" w:hAnsi="Times New Roman" w:cs="Times New Roman"/>
          <w:sz w:val="24"/>
          <w:szCs w:val="24"/>
        </w:rPr>
        <w:footnoteReference w:id="7"/>
      </w:r>
      <w:r w:rsidR="00806961">
        <w:rPr>
          <w:rFonts w:ascii="Times New Roman" w:hAnsi="Times New Roman" w:cs="Times New Roman"/>
          <w:sz w:val="24"/>
          <w:szCs w:val="24"/>
        </w:rPr>
        <w:t xml:space="preserve">  </w:t>
      </w:r>
      <w:r w:rsidR="00116377">
        <w:rPr>
          <w:rFonts w:ascii="Times New Roman" w:hAnsi="Times New Roman" w:cs="Times New Roman"/>
          <w:sz w:val="24"/>
          <w:szCs w:val="24"/>
        </w:rPr>
        <w:t xml:space="preserve">At any given point in time, there will exist ten-year bonds with a wide range of coupon rates, with each rate reflecting the prevailing YTM at the time of the bond’s issuance.  Across the period </w:t>
      </w:r>
      <w:r w:rsidR="004C5515">
        <w:rPr>
          <w:rFonts w:ascii="Times New Roman" w:hAnsi="Times New Roman" w:cs="Times New Roman"/>
          <w:sz w:val="24"/>
          <w:szCs w:val="24"/>
        </w:rPr>
        <w:t xml:space="preserve">for which the </w:t>
      </w:r>
      <w:r w:rsidR="00116377">
        <w:rPr>
          <w:rFonts w:ascii="Times New Roman" w:hAnsi="Times New Roman" w:cs="Times New Roman"/>
          <w:sz w:val="24"/>
          <w:szCs w:val="24"/>
        </w:rPr>
        <w:t>RBA’s results are available (from Ja</w:t>
      </w:r>
      <w:r w:rsidR="004C5515">
        <w:rPr>
          <w:rFonts w:ascii="Times New Roman" w:hAnsi="Times New Roman" w:cs="Times New Roman"/>
          <w:sz w:val="24"/>
          <w:szCs w:val="24"/>
        </w:rPr>
        <w:t>nuary 2005), the prevailing YTM</w:t>
      </w:r>
      <w:r w:rsidR="00116377">
        <w:rPr>
          <w:rFonts w:ascii="Times New Roman" w:hAnsi="Times New Roman" w:cs="Times New Roman"/>
          <w:sz w:val="24"/>
          <w:szCs w:val="24"/>
        </w:rPr>
        <w:t xml:space="preserve"> on ten-year BBB bonds has ranged from 5.33% to 13.3%.  So, I consider coupon rates ranging between these two extremes.  </w:t>
      </w:r>
      <w:r w:rsidR="00D5496C">
        <w:rPr>
          <w:rFonts w:ascii="Times New Roman" w:hAnsi="Times New Roman" w:cs="Times New Roman"/>
          <w:sz w:val="24"/>
          <w:szCs w:val="24"/>
        </w:rPr>
        <w:t>With the spot rates given above,</w:t>
      </w:r>
      <w:r w:rsidR="00DB2A1C">
        <w:rPr>
          <w:rFonts w:ascii="Times New Roman" w:hAnsi="Times New Roman" w:cs="Times New Roman"/>
          <w:sz w:val="24"/>
          <w:szCs w:val="24"/>
        </w:rPr>
        <w:t xml:space="preserve"> </w:t>
      </w:r>
      <w:r w:rsidR="00DB2A1C" w:rsidRPr="00603EC3">
        <w:rPr>
          <w:rFonts w:ascii="Times New Roman" w:hAnsi="Times New Roman" w:cs="Times New Roman"/>
          <w:sz w:val="24"/>
          <w:szCs w:val="24"/>
        </w:rPr>
        <w:t>and assuming annual coupons to simplify the example,</w:t>
      </w:r>
      <w:r w:rsidR="00D5496C">
        <w:rPr>
          <w:rFonts w:ascii="Times New Roman" w:hAnsi="Times New Roman" w:cs="Times New Roman"/>
          <w:sz w:val="24"/>
          <w:szCs w:val="24"/>
        </w:rPr>
        <w:t xml:space="preserve"> a 5.33% coupon bond will trade at a YTM </w:t>
      </w:r>
      <w:r w:rsidR="00602663">
        <w:rPr>
          <w:rFonts w:ascii="Times New Roman" w:hAnsi="Times New Roman" w:cs="Times New Roman"/>
          <w:sz w:val="24"/>
          <w:szCs w:val="24"/>
        </w:rPr>
        <w:t>that solves the following equation:</w:t>
      </w:r>
    </w:p>
    <w:p w:rsidR="00602663" w:rsidRDefault="00602663" w:rsidP="0030038D">
      <w:pPr>
        <w:spacing w:after="0" w:line="360" w:lineRule="auto"/>
        <w:jc w:val="both"/>
        <w:rPr>
          <w:rFonts w:ascii="Times New Roman" w:hAnsi="Times New Roman" w:cs="Times New Roman"/>
          <w:sz w:val="24"/>
          <w:szCs w:val="24"/>
        </w:rPr>
      </w:pPr>
    </w:p>
    <w:p w:rsidR="00602663" w:rsidRDefault="00602663" w:rsidP="00602663">
      <w:pPr>
        <w:spacing w:after="0" w:line="360" w:lineRule="auto"/>
        <w:jc w:val="center"/>
        <w:rPr>
          <w:rFonts w:ascii="Times New Roman" w:hAnsi="Times New Roman" w:cs="Times New Roman"/>
          <w:sz w:val="24"/>
          <w:szCs w:val="24"/>
        </w:rPr>
      </w:pPr>
      <w:r w:rsidRPr="00602663">
        <w:rPr>
          <w:b/>
          <w:bCs/>
          <w:position w:val="-28"/>
        </w:rPr>
        <w:object w:dxaOrig="6759" w:dyaOrig="660">
          <v:shape id="_x0000_i1031" type="#_x0000_t75" style="width:337.4pt;height:33.5pt" o:ole="">
            <v:imagedata r:id="rId21" o:title=""/>
          </v:shape>
          <o:OLEObject Type="Embed" ProgID="Equation.3" ShapeID="_x0000_i1031" DrawAspect="Content" ObjectID="_1478385618" r:id="rId22"/>
        </w:object>
      </w:r>
    </w:p>
    <w:p w:rsidR="00602663" w:rsidRDefault="00602663" w:rsidP="0030038D">
      <w:pPr>
        <w:spacing w:after="0" w:line="360" w:lineRule="auto"/>
        <w:jc w:val="both"/>
        <w:rPr>
          <w:rFonts w:ascii="Times New Roman" w:hAnsi="Times New Roman" w:cs="Times New Roman"/>
          <w:sz w:val="24"/>
          <w:szCs w:val="24"/>
        </w:rPr>
      </w:pPr>
    </w:p>
    <w:p w:rsidR="00D5496C" w:rsidRDefault="00602663"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YTM is </w:t>
      </w:r>
      <w:r w:rsidR="00D5496C">
        <w:rPr>
          <w:rFonts w:ascii="Times New Roman" w:hAnsi="Times New Roman" w:cs="Times New Roman"/>
          <w:sz w:val="24"/>
          <w:szCs w:val="24"/>
        </w:rPr>
        <w:t>7.56%</w:t>
      </w:r>
      <w:r>
        <w:rPr>
          <w:rFonts w:ascii="Times New Roman" w:hAnsi="Times New Roman" w:cs="Times New Roman"/>
          <w:sz w:val="24"/>
          <w:szCs w:val="24"/>
        </w:rPr>
        <w:t xml:space="preserve">.  Similarly, a </w:t>
      </w:r>
      <w:r w:rsidR="00D5496C">
        <w:rPr>
          <w:rFonts w:ascii="Times New Roman" w:hAnsi="Times New Roman" w:cs="Times New Roman"/>
          <w:sz w:val="24"/>
          <w:szCs w:val="24"/>
        </w:rPr>
        <w:t xml:space="preserve">13.3% coupon bond will trade at a YTM of 7.46%.  Both are BBB bonds trading at the same point in time and with a residual life of ten years, and the YTMs differ simply because they were issued at different times and therefore with different coupon rates.  If either bond </w:t>
      </w:r>
      <w:r>
        <w:rPr>
          <w:rFonts w:ascii="Times New Roman" w:hAnsi="Times New Roman" w:cs="Times New Roman"/>
          <w:sz w:val="24"/>
          <w:szCs w:val="24"/>
        </w:rPr>
        <w:t xml:space="preserve">were </w:t>
      </w:r>
      <w:r w:rsidR="00D5496C">
        <w:rPr>
          <w:rFonts w:ascii="Times New Roman" w:hAnsi="Times New Roman" w:cs="Times New Roman"/>
          <w:sz w:val="24"/>
          <w:szCs w:val="24"/>
        </w:rPr>
        <w:t xml:space="preserve">used to set the allowed (coupon) rate in a building block calculation, neither </w:t>
      </w:r>
      <w:r>
        <w:rPr>
          <w:rFonts w:ascii="Times New Roman" w:hAnsi="Times New Roman" w:cs="Times New Roman"/>
          <w:sz w:val="24"/>
          <w:szCs w:val="24"/>
        </w:rPr>
        <w:t xml:space="preserve">would have a </w:t>
      </w:r>
      <w:r w:rsidR="00D5496C">
        <w:rPr>
          <w:rFonts w:ascii="Times New Roman" w:hAnsi="Times New Roman" w:cs="Times New Roman"/>
          <w:sz w:val="24"/>
          <w:szCs w:val="24"/>
        </w:rPr>
        <w:t xml:space="preserve">market value matching its par value; so, the YTM on the bond will not match the YTM used by the regulator, which contradicts the regulator’s intent.  So, the regulator </w:t>
      </w:r>
      <w:r w:rsidR="004C5515">
        <w:rPr>
          <w:rFonts w:ascii="Times New Roman" w:hAnsi="Times New Roman" w:cs="Times New Roman"/>
          <w:sz w:val="24"/>
          <w:szCs w:val="24"/>
        </w:rPr>
        <w:t xml:space="preserve">should </w:t>
      </w:r>
      <w:r w:rsidR="00D5496C">
        <w:rPr>
          <w:rFonts w:ascii="Times New Roman" w:hAnsi="Times New Roman" w:cs="Times New Roman"/>
          <w:sz w:val="24"/>
          <w:szCs w:val="24"/>
        </w:rPr>
        <w:t xml:space="preserve">use the YTM on a bond whose coupon rate matches its YTM </w:t>
      </w:r>
      <w:r w:rsidR="000A747C">
        <w:rPr>
          <w:rFonts w:ascii="Times New Roman" w:hAnsi="Times New Roman" w:cs="Times New Roman"/>
          <w:sz w:val="24"/>
          <w:szCs w:val="24"/>
        </w:rPr>
        <w:t>(a “par yield bond”</w:t>
      </w:r>
      <w:r w:rsidR="00EF5237">
        <w:rPr>
          <w:rFonts w:ascii="Times New Roman" w:hAnsi="Times New Roman" w:cs="Times New Roman"/>
          <w:sz w:val="24"/>
          <w:szCs w:val="24"/>
        </w:rPr>
        <w:t xml:space="preserve">).  </w:t>
      </w:r>
    </w:p>
    <w:p w:rsidR="00D5496C" w:rsidRDefault="00D5496C" w:rsidP="0030038D">
      <w:pPr>
        <w:spacing w:after="0" w:line="360" w:lineRule="auto"/>
        <w:jc w:val="both"/>
        <w:rPr>
          <w:rFonts w:ascii="Times New Roman" w:hAnsi="Times New Roman" w:cs="Times New Roman"/>
          <w:sz w:val="24"/>
          <w:szCs w:val="24"/>
        </w:rPr>
      </w:pPr>
    </w:p>
    <w:p w:rsidR="00144942" w:rsidRDefault="00D5496C"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(hypothetical) bond </w:t>
      </w:r>
      <w:r w:rsidR="002E53AA">
        <w:rPr>
          <w:rFonts w:ascii="Times New Roman" w:hAnsi="Times New Roman" w:cs="Times New Roman"/>
          <w:sz w:val="24"/>
          <w:szCs w:val="24"/>
        </w:rPr>
        <w:t xml:space="preserve">is obtained by deriving </w:t>
      </w:r>
      <w:r w:rsidR="00AB5843">
        <w:rPr>
          <w:rFonts w:ascii="Times New Roman" w:hAnsi="Times New Roman" w:cs="Times New Roman"/>
          <w:sz w:val="24"/>
          <w:szCs w:val="24"/>
        </w:rPr>
        <w:t xml:space="preserve">the spot rates that underlie the yields to maturity on otherwise identical bonds with different terms to maturity, and then choosing a </w:t>
      </w:r>
      <w:r w:rsidR="00AB5843">
        <w:rPr>
          <w:rFonts w:ascii="Times New Roman" w:hAnsi="Times New Roman" w:cs="Times New Roman"/>
          <w:sz w:val="24"/>
          <w:szCs w:val="24"/>
        </w:rPr>
        <w:lastRenderedPageBreak/>
        <w:t xml:space="preserve">coupon rate on a ten-year bond </w:t>
      </w:r>
      <w:r w:rsidR="00B95551">
        <w:rPr>
          <w:rFonts w:ascii="Times New Roman" w:hAnsi="Times New Roman" w:cs="Times New Roman"/>
          <w:sz w:val="24"/>
          <w:szCs w:val="24"/>
        </w:rPr>
        <w:t xml:space="preserve">so that its value using </w:t>
      </w:r>
      <w:r w:rsidR="00AB5843">
        <w:rPr>
          <w:rFonts w:ascii="Times New Roman" w:hAnsi="Times New Roman" w:cs="Times New Roman"/>
          <w:sz w:val="24"/>
          <w:szCs w:val="24"/>
        </w:rPr>
        <w:t xml:space="preserve">these spot rates </w:t>
      </w:r>
      <w:r w:rsidR="00B95551">
        <w:rPr>
          <w:rFonts w:ascii="Times New Roman" w:hAnsi="Times New Roman" w:cs="Times New Roman"/>
          <w:sz w:val="24"/>
          <w:szCs w:val="24"/>
        </w:rPr>
        <w:t xml:space="preserve">matches its </w:t>
      </w:r>
      <w:r w:rsidR="00AB5843">
        <w:rPr>
          <w:rFonts w:ascii="Times New Roman" w:hAnsi="Times New Roman" w:cs="Times New Roman"/>
          <w:sz w:val="24"/>
          <w:szCs w:val="24"/>
        </w:rPr>
        <w:t>par value; this coupon rate would also be the yield to maturity on such</w:t>
      </w:r>
      <w:r w:rsidR="00910E78">
        <w:rPr>
          <w:rFonts w:ascii="Times New Roman" w:hAnsi="Times New Roman" w:cs="Times New Roman"/>
          <w:sz w:val="24"/>
          <w:szCs w:val="24"/>
        </w:rPr>
        <w:t xml:space="preserve"> a bond</w:t>
      </w:r>
      <w:r w:rsidR="00AB5843">
        <w:rPr>
          <w:rFonts w:ascii="Times New Roman" w:hAnsi="Times New Roman" w:cs="Times New Roman"/>
          <w:sz w:val="24"/>
          <w:szCs w:val="24"/>
        </w:rPr>
        <w:t xml:space="preserve">.  In the </w:t>
      </w:r>
      <w:r w:rsidR="00910E78">
        <w:rPr>
          <w:rFonts w:ascii="Times New Roman" w:hAnsi="Times New Roman" w:cs="Times New Roman"/>
          <w:sz w:val="24"/>
          <w:szCs w:val="24"/>
        </w:rPr>
        <w:t xml:space="preserve">example above, </w:t>
      </w:r>
      <w:r w:rsidR="00AB5843">
        <w:rPr>
          <w:rFonts w:ascii="Times New Roman" w:hAnsi="Times New Roman" w:cs="Times New Roman"/>
          <w:sz w:val="24"/>
          <w:szCs w:val="24"/>
        </w:rPr>
        <w:t xml:space="preserve">it would be </w:t>
      </w:r>
      <w:r w:rsidR="0021378E">
        <w:rPr>
          <w:rFonts w:ascii="Times New Roman" w:hAnsi="Times New Roman" w:cs="Times New Roman"/>
          <w:sz w:val="24"/>
          <w:szCs w:val="24"/>
        </w:rPr>
        <w:t xml:space="preserve">a bond with a coupon </w:t>
      </w:r>
      <w:r w:rsidR="00144942">
        <w:rPr>
          <w:rFonts w:ascii="Times New Roman" w:hAnsi="Times New Roman" w:cs="Times New Roman"/>
          <w:sz w:val="24"/>
          <w:szCs w:val="24"/>
        </w:rPr>
        <w:t>that satisfies the following equation:</w:t>
      </w:r>
    </w:p>
    <w:p w:rsidR="00144942" w:rsidRDefault="00144942" w:rsidP="0030038D">
      <w:pPr>
        <w:spacing w:after="0" w:line="360" w:lineRule="auto"/>
        <w:jc w:val="both"/>
        <w:rPr>
          <w:rFonts w:ascii="Times New Roman" w:hAnsi="Times New Roman" w:cs="Times New Roman"/>
          <w:sz w:val="24"/>
          <w:szCs w:val="24"/>
        </w:rPr>
      </w:pPr>
    </w:p>
    <w:p w:rsidR="00144942" w:rsidRDefault="002E3103" w:rsidP="00144942">
      <w:pPr>
        <w:spacing w:after="0" w:line="360" w:lineRule="auto"/>
        <w:jc w:val="center"/>
        <w:rPr>
          <w:rFonts w:ascii="Times New Roman" w:hAnsi="Times New Roman" w:cs="Times New Roman"/>
          <w:sz w:val="24"/>
          <w:szCs w:val="24"/>
        </w:rPr>
      </w:pPr>
      <w:r w:rsidRPr="00602663">
        <w:rPr>
          <w:b/>
          <w:bCs/>
          <w:position w:val="-28"/>
        </w:rPr>
        <w:object w:dxaOrig="3800" w:dyaOrig="660">
          <v:shape id="_x0000_i1032" type="#_x0000_t75" style="width:189.2pt;height:33.5pt" o:ole="">
            <v:imagedata r:id="rId23" o:title=""/>
          </v:shape>
          <o:OLEObject Type="Embed" ProgID="Equation.3" ShapeID="_x0000_i1032" DrawAspect="Content" ObjectID="_1478385619" r:id="rId24"/>
        </w:object>
      </w:r>
    </w:p>
    <w:p w:rsidR="00144942" w:rsidRDefault="00144942" w:rsidP="0030038D">
      <w:pPr>
        <w:spacing w:after="0" w:line="360" w:lineRule="auto"/>
        <w:jc w:val="both"/>
        <w:rPr>
          <w:rFonts w:ascii="Times New Roman" w:hAnsi="Times New Roman" w:cs="Times New Roman"/>
          <w:sz w:val="24"/>
          <w:szCs w:val="24"/>
        </w:rPr>
      </w:pPr>
    </w:p>
    <w:p w:rsidR="008C1A1B" w:rsidRDefault="002E3103"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C5515">
        <w:rPr>
          <w:rFonts w:ascii="Times New Roman" w:hAnsi="Times New Roman" w:cs="Times New Roman"/>
          <w:sz w:val="24"/>
          <w:szCs w:val="24"/>
        </w:rPr>
        <w:t xml:space="preserve">solution </w:t>
      </w:r>
      <w:r>
        <w:rPr>
          <w:rFonts w:ascii="Times New Roman" w:hAnsi="Times New Roman" w:cs="Times New Roman"/>
          <w:sz w:val="24"/>
          <w:szCs w:val="24"/>
        </w:rPr>
        <w:t>is a coupon rate</w:t>
      </w:r>
      <w:r w:rsidR="004C5515">
        <w:rPr>
          <w:rFonts w:ascii="Times New Roman" w:hAnsi="Times New Roman" w:cs="Times New Roman"/>
          <w:sz w:val="24"/>
          <w:szCs w:val="24"/>
        </w:rPr>
        <w:t>,</w:t>
      </w:r>
      <w:r>
        <w:rPr>
          <w:rFonts w:ascii="Times New Roman" w:hAnsi="Times New Roman" w:cs="Times New Roman"/>
          <w:sz w:val="24"/>
          <w:szCs w:val="24"/>
        </w:rPr>
        <w:t xml:space="preserve"> and therefore also</w:t>
      </w:r>
      <w:r w:rsidR="00EF5237">
        <w:rPr>
          <w:rFonts w:ascii="Times New Roman" w:hAnsi="Times New Roman" w:cs="Times New Roman"/>
          <w:sz w:val="24"/>
          <w:szCs w:val="24"/>
        </w:rPr>
        <w:t xml:space="preserve"> a yield to maturity</w:t>
      </w:r>
      <w:r w:rsidR="004C5515">
        <w:rPr>
          <w:rFonts w:ascii="Times New Roman" w:hAnsi="Times New Roman" w:cs="Times New Roman"/>
          <w:sz w:val="24"/>
          <w:szCs w:val="24"/>
        </w:rPr>
        <w:t>,</w:t>
      </w:r>
      <w:r w:rsidR="00EF5237">
        <w:rPr>
          <w:rFonts w:ascii="Times New Roman" w:hAnsi="Times New Roman" w:cs="Times New Roman"/>
          <w:sz w:val="24"/>
          <w:szCs w:val="24"/>
        </w:rPr>
        <w:t xml:space="preserve"> of </w:t>
      </w:r>
      <w:r w:rsidR="00910E78">
        <w:rPr>
          <w:rFonts w:ascii="Times New Roman" w:hAnsi="Times New Roman" w:cs="Times New Roman"/>
          <w:sz w:val="24"/>
          <w:szCs w:val="24"/>
        </w:rPr>
        <w:t xml:space="preserve">7.52%.  </w:t>
      </w:r>
      <w:r w:rsidR="0021378E">
        <w:rPr>
          <w:rFonts w:ascii="Times New Roman" w:hAnsi="Times New Roman" w:cs="Times New Roman"/>
          <w:sz w:val="24"/>
          <w:szCs w:val="24"/>
        </w:rPr>
        <w:t xml:space="preserve">Thus, if a regulator </w:t>
      </w:r>
      <w:r w:rsidR="00B95551">
        <w:rPr>
          <w:rFonts w:ascii="Times New Roman" w:hAnsi="Times New Roman" w:cs="Times New Roman"/>
          <w:sz w:val="24"/>
          <w:szCs w:val="24"/>
        </w:rPr>
        <w:t xml:space="preserve">used a </w:t>
      </w:r>
      <w:r w:rsidR="00910E78">
        <w:rPr>
          <w:rFonts w:ascii="Times New Roman" w:hAnsi="Times New Roman" w:cs="Times New Roman"/>
          <w:sz w:val="24"/>
          <w:szCs w:val="24"/>
        </w:rPr>
        <w:t xml:space="preserve">YTM </w:t>
      </w:r>
      <w:r w:rsidR="00B95551">
        <w:rPr>
          <w:rFonts w:ascii="Times New Roman" w:hAnsi="Times New Roman" w:cs="Times New Roman"/>
          <w:sz w:val="24"/>
          <w:szCs w:val="24"/>
        </w:rPr>
        <w:t xml:space="preserve">that was not a </w:t>
      </w:r>
      <w:r w:rsidR="0021378E">
        <w:rPr>
          <w:rFonts w:ascii="Times New Roman" w:hAnsi="Times New Roman" w:cs="Times New Roman"/>
          <w:sz w:val="24"/>
          <w:szCs w:val="24"/>
        </w:rPr>
        <w:t xml:space="preserve">par yield, the </w:t>
      </w:r>
      <w:r w:rsidR="00DE1EB2">
        <w:rPr>
          <w:rFonts w:ascii="Times New Roman" w:hAnsi="Times New Roman" w:cs="Times New Roman"/>
          <w:sz w:val="24"/>
          <w:szCs w:val="24"/>
        </w:rPr>
        <w:t>maximum error here would be 0.06</w:t>
      </w:r>
      <w:r w:rsidR="0021378E">
        <w:rPr>
          <w:rFonts w:ascii="Times New Roman" w:hAnsi="Times New Roman" w:cs="Times New Roman"/>
          <w:sz w:val="24"/>
          <w:szCs w:val="24"/>
        </w:rPr>
        <w:t>%</w:t>
      </w:r>
      <w:r w:rsidR="00DE1EB2">
        <w:rPr>
          <w:rFonts w:ascii="Times New Roman" w:hAnsi="Times New Roman" w:cs="Times New Roman"/>
          <w:sz w:val="24"/>
          <w:szCs w:val="24"/>
        </w:rPr>
        <w:t xml:space="preserve"> (</w:t>
      </w:r>
      <w:r w:rsidR="00910E78">
        <w:rPr>
          <w:rFonts w:ascii="Times New Roman" w:hAnsi="Times New Roman" w:cs="Times New Roman"/>
          <w:sz w:val="24"/>
          <w:szCs w:val="24"/>
        </w:rPr>
        <w:t>7.52% v 7.46%)</w:t>
      </w:r>
      <w:r w:rsidR="0021378E">
        <w:rPr>
          <w:rFonts w:ascii="Times New Roman" w:hAnsi="Times New Roman" w:cs="Times New Roman"/>
          <w:sz w:val="24"/>
          <w:szCs w:val="24"/>
        </w:rPr>
        <w:t xml:space="preserve">.  This </w:t>
      </w:r>
      <w:r w:rsidR="00910E78">
        <w:rPr>
          <w:rFonts w:ascii="Times New Roman" w:hAnsi="Times New Roman" w:cs="Times New Roman"/>
          <w:sz w:val="24"/>
          <w:szCs w:val="24"/>
        </w:rPr>
        <w:t xml:space="preserve">difference is trivial, despite using a range in coupon rates that is unlikely to characterize the bonds underlying the ten-year BBB curve at the point in time examined.  </w:t>
      </w:r>
    </w:p>
    <w:p w:rsidR="008C1A1B" w:rsidRDefault="008C1A1B" w:rsidP="0030038D">
      <w:pPr>
        <w:spacing w:after="0" w:line="360" w:lineRule="auto"/>
        <w:jc w:val="both"/>
        <w:rPr>
          <w:rFonts w:ascii="Times New Roman" w:hAnsi="Times New Roman" w:cs="Times New Roman"/>
          <w:sz w:val="24"/>
          <w:szCs w:val="24"/>
        </w:rPr>
      </w:pPr>
    </w:p>
    <w:p w:rsidR="00E06A98" w:rsidRDefault="008C1A1B"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analysis uses a typical set of spot rates.  </w:t>
      </w:r>
      <w:r w:rsidR="00910E78">
        <w:rPr>
          <w:rFonts w:ascii="Times New Roman" w:hAnsi="Times New Roman" w:cs="Times New Roman"/>
          <w:sz w:val="24"/>
          <w:szCs w:val="24"/>
        </w:rPr>
        <w:t xml:space="preserve">However, the error from not using a par yield bond also depends upon the slope of the spot curve at the particular point in time that is examined.  Across the period for which the RBA’s results are available (from January 2005), the greatest slope occurs in January 2009, when the YTMs on three and ten-year bonds were 8.83% and 11.1% respectively.  So, the ten-year spot rate </w:t>
      </w:r>
      <w:r w:rsidR="00521175">
        <w:rPr>
          <w:rFonts w:ascii="Times New Roman" w:hAnsi="Times New Roman" w:cs="Times New Roman"/>
          <w:sz w:val="24"/>
          <w:szCs w:val="24"/>
        </w:rPr>
        <w:t xml:space="preserve">is </w:t>
      </w:r>
      <w:r w:rsidR="00910E78">
        <w:rPr>
          <w:rFonts w:ascii="Times New Roman" w:hAnsi="Times New Roman" w:cs="Times New Roman"/>
          <w:sz w:val="24"/>
          <w:szCs w:val="24"/>
        </w:rPr>
        <w:t xml:space="preserve">set at 11.1%, the three-year spot rate at 8.83% and the spot rates for other years 1, 2….10 </w:t>
      </w:r>
      <w:r w:rsidR="000D3E55">
        <w:rPr>
          <w:rFonts w:ascii="Times New Roman" w:hAnsi="Times New Roman" w:cs="Times New Roman"/>
          <w:sz w:val="24"/>
          <w:szCs w:val="24"/>
        </w:rPr>
        <w:t xml:space="preserve">are </w:t>
      </w:r>
      <w:r w:rsidR="00910E78">
        <w:rPr>
          <w:rFonts w:ascii="Times New Roman" w:hAnsi="Times New Roman" w:cs="Times New Roman"/>
          <w:sz w:val="24"/>
          <w:szCs w:val="24"/>
        </w:rPr>
        <w:t xml:space="preserve">chosen to fit a linear function through these two rates.  These spot rates were then applied to a 5.33% coupon bond and to a 13.3% coupon bond, yielding YTMs of </w:t>
      </w:r>
      <w:r>
        <w:rPr>
          <w:rFonts w:ascii="Times New Roman" w:hAnsi="Times New Roman" w:cs="Times New Roman"/>
          <w:sz w:val="24"/>
          <w:szCs w:val="24"/>
        </w:rPr>
        <w:t>11.09% and 10.78% respectively</w:t>
      </w:r>
      <w:r w:rsidR="00521175">
        <w:rPr>
          <w:rFonts w:ascii="Times New Roman" w:hAnsi="Times New Roman" w:cs="Times New Roman"/>
          <w:sz w:val="24"/>
          <w:szCs w:val="24"/>
        </w:rPr>
        <w:t xml:space="preserve">.  In addition, the </w:t>
      </w:r>
      <w:r>
        <w:rPr>
          <w:rFonts w:ascii="Times New Roman" w:hAnsi="Times New Roman" w:cs="Times New Roman"/>
          <w:sz w:val="24"/>
          <w:szCs w:val="24"/>
        </w:rPr>
        <w:t xml:space="preserve">YTM on a par yield bond </w:t>
      </w:r>
      <w:r w:rsidR="00521175">
        <w:rPr>
          <w:rFonts w:ascii="Times New Roman" w:hAnsi="Times New Roman" w:cs="Times New Roman"/>
          <w:sz w:val="24"/>
          <w:szCs w:val="24"/>
        </w:rPr>
        <w:t xml:space="preserve">would be </w:t>
      </w:r>
      <w:r>
        <w:rPr>
          <w:rFonts w:ascii="Times New Roman" w:hAnsi="Times New Roman" w:cs="Times New Roman"/>
          <w:sz w:val="24"/>
          <w:szCs w:val="24"/>
        </w:rPr>
        <w:t xml:space="preserve">10.85%.  </w:t>
      </w:r>
      <w:r w:rsidR="00910E78">
        <w:rPr>
          <w:rFonts w:ascii="Times New Roman" w:hAnsi="Times New Roman" w:cs="Times New Roman"/>
          <w:sz w:val="24"/>
          <w:szCs w:val="24"/>
        </w:rPr>
        <w:t xml:space="preserve">So, the </w:t>
      </w:r>
      <w:r>
        <w:rPr>
          <w:rFonts w:ascii="Times New Roman" w:hAnsi="Times New Roman" w:cs="Times New Roman"/>
          <w:sz w:val="24"/>
          <w:szCs w:val="24"/>
        </w:rPr>
        <w:t xml:space="preserve">error from failing to use a par yield bond would now be as </w:t>
      </w:r>
      <w:r w:rsidR="005D5A3D">
        <w:rPr>
          <w:rFonts w:ascii="Times New Roman" w:hAnsi="Times New Roman" w:cs="Times New Roman"/>
          <w:sz w:val="24"/>
          <w:szCs w:val="24"/>
        </w:rPr>
        <w:t>much as</w:t>
      </w:r>
      <w:r w:rsidR="0090666C">
        <w:rPr>
          <w:rFonts w:ascii="Times New Roman" w:hAnsi="Times New Roman" w:cs="Times New Roman"/>
          <w:sz w:val="24"/>
          <w:szCs w:val="24"/>
        </w:rPr>
        <w:t xml:space="preserve"> </w:t>
      </w:r>
      <w:r w:rsidR="0090666C" w:rsidRPr="00E455CB">
        <w:rPr>
          <w:rFonts w:ascii="Times New Roman" w:hAnsi="Times New Roman" w:cs="Times New Roman"/>
          <w:sz w:val="24"/>
          <w:szCs w:val="24"/>
        </w:rPr>
        <w:t>an overestimate of</w:t>
      </w:r>
      <w:r w:rsidR="005D5A3D" w:rsidRPr="00E455CB">
        <w:rPr>
          <w:rFonts w:ascii="Times New Roman" w:hAnsi="Times New Roman" w:cs="Times New Roman"/>
          <w:sz w:val="24"/>
          <w:szCs w:val="24"/>
        </w:rPr>
        <w:t xml:space="preserve"> 0.24% (11.09% v 10.85%)</w:t>
      </w:r>
      <w:r w:rsidR="0090666C" w:rsidRPr="00E455CB">
        <w:rPr>
          <w:rFonts w:ascii="Times New Roman" w:hAnsi="Times New Roman" w:cs="Times New Roman"/>
          <w:sz w:val="24"/>
          <w:szCs w:val="24"/>
        </w:rPr>
        <w:t xml:space="preserve"> or an underestimate of 0.07% (10.78% v 10.85%)</w:t>
      </w:r>
      <w:r w:rsidR="005D5A3D">
        <w:rPr>
          <w:rFonts w:ascii="Times New Roman" w:hAnsi="Times New Roman" w:cs="Times New Roman"/>
          <w:sz w:val="24"/>
          <w:szCs w:val="24"/>
        </w:rPr>
        <w:t xml:space="preserve">, and </w:t>
      </w:r>
      <w:r w:rsidR="0090666C">
        <w:rPr>
          <w:rFonts w:ascii="Times New Roman" w:hAnsi="Times New Roman" w:cs="Times New Roman"/>
          <w:sz w:val="24"/>
          <w:szCs w:val="24"/>
        </w:rPr>
        <w:t xml:space="preserve">arise </w:t>
      </w:r>
      <w:r w:rsidR="005D5A3D">
        <w:rPr>
          <w:rFonts w:ascii="Times New Roman" w:hAnsi="Times New Roman" w:cs="Times New Roman"/>
          <w:sz w:val="24"/>
          <w:szCs w:val="24"/>
        </w:rPr>
        <w:t xml:space="preserve">from a situation in which the slope of the spot yield curve is at its observed maximum in the last ten years and the index rate is determined solely by a bond with </w:t>
      </w:r>
      <w:r w:rsidR="0090666C">
        <w:rPr>
          <w:rFonts w:ascii="Times New Roman" w:hAnsi="Times New Roman" w:cs="Times New Roman"/>
          <w:sz w:val="24"/>
          <w:szCs w:val="24"/>
        </w:rPr>
        <w:t xml:space="preserve">either </w:t>
      </w:r>
      <w:r w:rsidR="005D5A3D">
        <w:rPr>
          <w:rFonts w:ascii="Times New Roman" w:hAnsi="Times New Roman" w:cs="Times New Roman"/>
          <w:sz w:val="24"/>
          <w:szCs w:val="24"/>
        </w:rPr>
        <w:t xml:space="preserve">the lowest </w:t>
      </w:r>
      <w:r w:rsidR="0090666C">
        <w:rPr>
          <w:rFonts w:ascii="Times New Roman" w:hAnsi="Times New Roman" w:cs="Times New Roman"/>
          <w:sz w:val="24"/>
          <w:szCs w:val="24"/>
        </w:rPr>
        <w:t xml:space="preserve">or highest </w:t>
      </w:r>
      <w:r w:rsidR="005D5A3D">
        <w:rPr>
          <w:rFonts w:ascii="Times New Roman" w:hAnsi="Times New Roman" w:cs="Times New Roman"/>
          <w:sz w:val="24"/>
          <w:szCs w:val="24"/>
        </w:rPr>
        <w:t>coupon rate observed in the last ten years.</w:t>
      </w:r>
      <w:r>
        <w:rPr>
          <w:rFonts w:ascii="Times New Roman" w:hAnsi="Times New Roman" w:cs="Times New Roman"/>
          <w:sz w:val="24"/>
          <w:szCs w:val="24"/>
        </w:rPr>
        <w:t xml:space="preserve">  </w:t>
      </w:r>
      <w:r w:rsidR="005D5A3D">
        <w:rPr>
          <w:rFonts w:ascii="Times New Roman" w:hAnsi="Times New Roman" w:cs="Times New Roman"/>
          <w:sz w:val="24"/>
          <w:szCs w:val="24"/>
        </w:rPr>
        <w:t xml:space="preserve">Despite these extreme conditions, the error from failing to use a par yield curve is </w:t>
      </w:r>
      <w:r>
        <w:rPr>
          <w:rFonts w:ascii="Times New Roman" w:hAnsi="Times New Roman" w:cs="Times New Roman"/>
          <w:sz w:val="24"/>
          <w:szCs w:val="24"/>
        </w:rPr>
        <w:t xml:space="preserve">still not very substantial.  So, the </w:t>
      </w:r>
      <w:r w:rsidR="0021378E">
        <w:rPr>
          <w:rFonts w:ascii="Times New Roman" w:hAnsi="Times New Roman" w:cs="Times New Roman"/>
          <w:sz w:val="24"/>
          <w:szCs w:val="24"/>
        </w:rPr>
        <w:t>BVAL advantage over the RBA</w:t>
      </w:r>
      <w:r>
        <w:rPr>
          <w:rFonts w:ascii="Times New Roman" w:hAnsi="Times New Roman" w:cs="Times New Roman"/>
          <w:sz w:val="24"/>
          <w:szCs w:val="24"/>
        </w:rPr>
        <w:t xml:space="preserve"> in this respect is in general tri</w:t>
      </w:r>
      <w:r w:rsidR="00D44245">
        <w:rPr>
          <w:rFonts w:ascii="Times New Roman" w:hAnsi="Times New Roman" w:cs="Times New Roman"/>
          <w:sz w:val="24"/>
          <w:szCs w:val="24"/>
        </w:rPr>
        <w:t>vial and never very substantial.</w:t>
      </w:r>
    </w:p>
    <w:p w:rsidR="00632D9E" w:rsidRDefault="00632D9E" w:rsidP="00632D9E">
      <w:pPr>
        <w:pStyle w:val="ListParagraph"/>
        <w:spacing w:after="0" w:line="360" w:lineRule="auto"/>
        <w:ind w:left="0"/>
        <w:jc w:val="both"/>
        <w:rPr>
          <w:rFonts w:ascii="Times New Roman" w:hAnsi="Times New Roman" w:cs="Times New Roman"/>
          <w:sz w:val="24"/>
          <w:szCs w:val="24"/>
          <w:u w:val="single"/>
        </w:rPr>
      </w:pPr>
    </w:p>
    <w:p w:rsidR="00632D9E" w:rsidRPr="00E455CB" w:rsidRDefault="00632D9E" w:rsidP="00632D9E">
      <w:pPr>
        <w:pStyle w:val="ListParagraph"/>
        <w:spacing w:after="0" w:line="360" w:lineRule="auto"/>
        <w:ind w:left="0"/>
        <w:jc w:val="both"/>
        <w:rPr>
          <w:rFonts w:ascii="Times New Roman" w:hAnsi="Times New Roman" w:cs="Times New Roman"/>
          <w:sz w:val="24"/>
          <w:szCs w:val="24"/>
        </w:rPr>
      </w:pPr>
      <w:r w:rsidRPr="00E455CB">
        <w:rPr>
          <w:rFonts w:ascii="Times New Roman" w:hAnsi="Times New Roman" w:cs="Times New Roman"/>
          <w:sz w:val="24"/>
          <w:szCs w:val="24"/>
        </w:rPr>
        <w:t xml:space="preserve">In respect of point (10), the superior disclosure by the RBA of its curve fitting methodology favours it over the BVAL.  The par yield curve issue just discussed illustrates the advantages of disclosure, i.e., it allows one to assess whether the issue is significant and if so, to then favour one of the indexes in inverse relation to the scale of the problem.  Non-disclosure </w:t>
      </w:r>
      <w:r w:rsidRPr="00E455CB">
        <w:rPr>
          <w:rFonts w:ascii="Times New Roman" w:hAnsi="Times New Roman" w:cs="Times New Roman"/>
          <w:sz w:val="24"/>
          <w:szCs w:val="24"/>
        </w:rPr>
        <w:lastRenderedPageBreak/>
        <w:t>raises the possibility that a significant problem exists, and some weight must then be given to this possibility.</w:t>
      </w:r>
    </w:p>
    <w:p w:rsidR="00D44245" w:rsidRPr="00E455CB" w:rsidRDefault="00D44245" w:rsidP="0030038D">
      <w:pPr>
        <w:spacing w:after="0" w:line="360" w:lineRule="auto"/>
        <w:jc w:val="both"/>
        <w:rPr>
          <w:rFonts w:ascii="Times New Roman" w:hAnsi="Times New Roman" w:cs="Times New Roman"/>
          <w:sz w:val="24"/>
          <w:szCs w:val="24"/>
        </w:rPr>
      </w:pPr>
    </w:p>
    <w:p w:rsidR="00D44245" w:rsidRPr="00E455CB" w:rsidRDefault="00D44245" w:rsidP="0030038D">
      <w:pPr>
        <w:spacing w:after="0" w:line="360" w:lineRule="auto"/>
        <w:jc w:val="both"/>
        <w:rPr>
          <w:rFonts w:ascii="Times New Roman" w:hAnsi="Times New Roman" w:cs="Times New Roman"/>
          <w:sz w:val="24"/>
          <w:szCs w:val="24"/>
        </w:rPr>
      </w:pPr>
      <w:r w:rsidRPr="00E455CB">
        <w:rPr>
          <w:rFonts w:ascii="Times New Roman" w:hAnsi="Times New Roman" w:cs="Times New Roman"/>
          <w:sz w:val="24"/>
          <w:szCs w:val="24"/>
        </w:rPr>
        <w:t>Finally, in respect of point (11), the fact that the BVAL index only goes back to 2011 whilst the RBA index goes back to 2005 is only significant if the AER uses historical data.  Since it does not propose to do so, this difference between the two indexes is not significant.</w:t>
      </w:r>
    </w:p>
    <w:p w:rsidR="001A3F44" w:rsidRDefault="001A3F44" w:rsidP="0030038D">
      <w:pPr>
        <w:spacing w:after="0" w:line="360" w:lineRule="auto"/>
        <w:jc w:val="both"/>
        <w:rPr>
          <w:rFonts w:ascii="Times New Roman" w:hAnsi="Times New Roman" w:cs="Times New Roman"/>
          <w:sz w:val="24"/>
          <w:szCs w:val="24"/>
        </w:rPr>
      </w:pPr>
    </w:p>
    <w:p w:rsidR="001A3F44" w:rsidRDefault="001A3F44" w:rsidP="00300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t>
      </w:r>
      <w:r w:rsidR="00CF5D45">
        <w:rPr>
          <w:rFonts w:ascii="Times New Roman" w:hAnsi="Times New Roman" w:cs="Times New Roman"/>
          <w:sz w:val="24"/>
          <w:szCs w:val="24"/>
        </w:rPr>
        <w:t>eleven points of distinction have been identified between the BVAL and RBA indexes.</w:t>
      </w:r>
      <w:r w:rsidR="00480196">
        <w:rPr>
          <w:rFonts w:ascii="Times New Roman" w:hAnsi="Times New Roman" w:cs="Times New Roman"/>
          <w:sz w:val="24"/>
          <w:szCs w:val="24"/>
        </w:rPr>
        <w:t xml:space="preserve">  </w:t>
      </w:r>
      <w:r w:rsidR="00D44245" w:rsidRPr="00E455CB">
        <w:rPr>
          <w:rFonts w:ascii="Times New Roman" w:hAnsi="Times New Roman" w:cs="Times New Roman"/>
          <w:sz w:val="24"/>
          <w:szCs w:val="24"/>
        </w:rPr>
        <w:t>Point (11) is irrelevant in view of the AER not requiring historical data.</w:t>
      </w:r>
      <w:r w:rsidR="00D44245" w:rsidRPr="00D44245">
        <w:rPr>
          <w:rFonts w:ascii="Times New Roman" w:hAnsi="Times New Roman" w:cs="Times New Roman"/>
          <w:sz w:val="24"/>
          <w:szCs w:val="24"/>
        </w:rPr>
        <w:t xml:space="preserve">  </w:t>
      </w:r>
      <w:r w:rsidR="00480196">
        <w:rPr>
          <w:rFonts w:ascii="Times New Roman" w:hAnsi="Times New Roman" w:cs="Times New Roman"/>
          <w:sz w:val="24"/>
          <w:szCs w:val="24"/>
        </w:rPr>
        <w:t xml:space="preserve">In </w:t>
      </w:r>
      <w:r w:rsidR="00DE25C2">
        <w:rPr>
          <w:rFonts w:ascii="Times New Roman" w:hAnsi="Times New Roman" w:cs="Times New Roman"/>
          <w:sz w:val="24"/>
          <w:szCs w:val="24"/>
        </w:rPr>
        <w:t xml:space="preserve">respect of points (3), (4), (6), </w:t>
      </w:r>
      <w:r w:rsidR="00CF5D45">
        <w:rPr>
          <w:rFonts w:ascii="Times New Roman" w:hAnsi="Times New Roman" w:cs="Times New Roman"/>
          <w:sz w:val="24"/>
          <w:szCs w:val="24"/>
        </w:rPr>
        <w:t>(7)</w:t>
      </w:r>
      <w:r w:rsidR="00DE25C2">
        <w:rPr>
          <w:rFonts w:ascii="Times New Roman" w:hAnsi="Times New Roman" w:cs="Times New Roman"/>
          <w:sz w:val="24"/>
          <w:szCs w:val="24"/>
        </w:rPr>
        <w:t xml:space="preserve"> and (8)</w:t>
      </w:r>
      <w:r w:rsidR="00CF5D45">
        <w:rPr>
          <w:rFonts w:ascii="Times New Roman" w:hAnsi="Times New Roman" w:cs="Times New Roman"/>
          <w:sz w:val="24"/>
          <w:szCs w:val="24"/>
        </w:rPr>
        <w:t xml:space="preserve">, </w:t>
      </w:r>
      <w:r w:rsidR="003F6A85">
        <w:rPr>
          <w:rFonts w:ascii="Times New Roman" w:hAnsi="Times New Roman" w:cs="Times New Roman"/>
          <w:sz w:val="24"/>
          <w:szCs w:val="24"/>
        </w:rPr>
        <w:t xml:space="preserve">it is not possible to express a preference for one of the </w:t>
      </w:r>
      <w:r w:rsidR="00CF5D45">
        <w:rPr>
          <w:rFonts w:ascii="Times New Roman" w:hAnsi="Times New Roman" w:cs="Times New Roman"/>
          <w:sz w:val="24"/>
          <w:szCs w:val="24"/>
        </w:rPr>
        <w:t>two indexes</w:t>
      </w:r>
      <w:r w:rsidR="001A3F0D">
        <w:rPr>
          <w:rFonts w:ascii="Times New Roman" w:hAnsi="Times New Roman" w:cs="Times New Roman"/>
          <w:sz w:val="24"/>
          <w:szCs w:val="24"/>
        </w:rPr>
        <w:t>.  The BVAL is favoured in respect of points (1)</w:t>
      </w:r>
      <w:r w:rsidR="00DE25C2">
        <w:rPr>
          <w:rFonts w:ascii="Times New Roman" w:hAnsi="Times New Roman" w:cs="Times New Roman"/>
          <w:sz w:val="24"/>
          <w:szCs w:val="24"/>
        </w:rPr>
        <w:t xml:space="preserve"> </w:t>
      </w:r>
      <w:r w:rsidR="00981ED5">
        <w:rPr>
          <w:rFonts w:ascii="Times New Roman" w:hAnsi="Times New Roman" w:cs="Times New Roman"/>
          <w:sz w:val="24"/>
          <w:szCs w:val="24"/>
        </w:rPr>
        <w:t>and (9</w:t>
      </w:r>
      <w:r w:rsidR="001A3F0D">
        <w:rPr>
          <w:rFonts w:ascii="Times New Roman" w:hAnsi="Times New Roman" w:cs="Times New Roman"/>
          <w:sz w:val="24"/>
          <w:szCs w:val="24"/>
        </w:rPr>
        <w:t xml:space="preserve">), but the advantage </w:t>
      </w:r>
      <w:r w:rsidR="00D75A1E">
        <w:rPr>
          <w:rFonts w:ascii="Times New Roman" w:hAnsi="Times New Roman" w:cs="Times New Roman"/>
          <w:sz w:val="24"/>
          <w:szCs w:val="24"/>
        </w:rPr>
        <w:t xml:space="preserve">in respect of </w:t>
      </w:r>
      <w:r w:rsidR="00DE25C2">
        <w:rPr>
          <w:rFonts w:ascii="Times New Roman" w:hAnsi="Times New Roman" w:cs="Times New Roman"/>
          <w:sz w:val="24"/>
          <w:szCs w:val="24"/>
        </w:rPr>
        <w:t>po</w:t>
      </w:r>
      <w:r w:rsidR="00981ED5">
        <w:rPr>
          <w:rFonts w:ascii="Times New Roman" w:hAnsi="Times New Roman" w:cs="Times New Roman"/>
          <w:sz w:val="24"/>
          <w:szCs w:val="24"/>
        </w:rPr>
        <w:t>int (9</w:t>
      </w:r>
      <w:r w:rsidR="00DE25C2">
        <w:rPr>
          <w:rFonts w:ascii="Times New Roman" w:hAnsi="Times New Roman" w:cs="Times New Roman"/>
          <w:sz w:val="24"/>
          <w:szCs w:val="24"/>
        </w:rPr>
        <w:t xml:space="preserve">) is </w:t>
      </w:r>
      <w:r w:rsidR="005C0541">
        <w:rPr>
          <w:rFonts w:ascii="Times New Roman" w:hAnsi="Times New Roman" w:cs="Times New Roman"/>
          <w:sz w:val="24"/>
          <w:szCs w:val="24"/>
        </w:rPr>
        <w:t xml:space="preserve">small.  </w:t>
      </w:r>
      <w:r w:rsidR="001A3F0D">
        <w:rPr>
          <w:rFonts w:ascii="Times New Roman" w:hAnsi="Times New Roman" w:cs="Times New Roman"/>
          <w:sz w:val="24"/>
          <w:szCs w:val="24"/>
        </w:rPr>
        <w:t>The RBA is favoured in respect of points (2), (5)</w:t>
      </w:r>
      <w:r w:rsidR="00D44245">
        <w:rPr>
          <w:rFonts w:ascii="Times New Roman" w:hAnsi="Times New Roman" w:cs="Times New Roman"/>
          <w:sz w:val="24"/>
          <w:szCs w:val="24"/>
        </w:rPr>
        <w:t xml:space="preserve"> and </w:t>
      </w:r>
      <w:r w:rsidR="00981ED5">
        <w:rPr>
          <w:rFonts w:ascii="Times New Roman" w:hAnsi="Times New Roman" w:cs="Times New Roman"/>
          <w:sz w:val="24"/>
          <w:szCs w:val="24"/>
        </w:rPr>
        <w:t>(10</w:t>
      </w:r>
      <w:r w:rsidR="001A3F0D">
        <w:rPr>
          <w:rFonts w:ascii="Times New Roman" w:hAnsi="Times New Roman" w:cs="Times New Roman"/>
          <w:sz w:val="24"/>
          <w:szCs w:val="24"/>
        </w:rPr>
        <w:t xml:space="preserve">), </w:t>
      </w:r>
      <w:r w:rsidR="0035024C">
        <w:rPr>
          <w:rFonts w:ascii="Times New Roman" w:hAnsi="Times New Roman" w:cs="Times New Roman"/>
          <w:sz w:val="24"/>
          <w:szCs w:val="24"/>
        </w:rPr>
        <w:t>but the advantage in respect of point (5) is small</w:t>
      </w:r>
      <w:r w:rsidR="001A3F0D">
        <w:rPr>
          <w:rFonts w:ascii="Times New Roman" w:hAnsi="Times New Roman" w:cs="Times New Roman"/>
          <w:sz w:val="24"/>
          <w:szCs w:val="24"/>
        </w:rPr>
        <w:t xml:space="preserve">.  </w:t>
      </w:r>
      <w:r w:rsidR="00D015EA">
        <w:rPr>
          <w:rFonts w:ascii="Times New Roman" w:hAnsi="Times New Roman" w:cs="Times New Roman"/>
          <w:sz w:val="24"/>
          <w:szCs w:val="24"/>
        </w:rPr>
        <w:t>The most that can be said here is that neither index i</w:t>
      </w:r>
      <w:r w:rsidR="00847EFE">
        <w:rPr>
          <w:rFonts w:ascii="Times New Roman" w:hAnsi="Times New Roman" w:cs="Times New Roman"/>
          <w:sz w:val="24"/>
          <w:szCs w:val="24"/>
        </w:rPr>
        <w:t>s clearly superior to the other.</w:t>
      </w:r>
    </w:p>
    <w:p w:rsidR="00A421D0" w:rsidRDefault="00A421D0" w:rsidP="00122250">
      <w:pPr>
        <w:pStyle w:val="ListParagraph"/>
        <w:spacing w:after="0" w:line="360" w:lineRule="auto"/>
        <w:ind w:left="0"/>
        <w:jc w:val="both"/>
        <w:rPr>
          <w:rFonts w:ascii="Times New Roman" w:hAnsi="Times New Roman" w:cs="Times New Roman"/>
          <w:sz w:val="24"/>
          <w:szCs w:val="24"/>
        </w:rPr>
      </w:pPr>
    </w:p>
    <w:p w:rsidR="00A1252C" w:rsidRPr="00A1252C" w:rsidRDefault="00A1252C" w:rsidP="00122250">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2.2 The Merits of Combining Estimators</w:t>
      </w:r>
    </w:p>
    <w:p w:rsidR="004F393F" w:rsidRDefault="00A1252C" w:rsidP="00847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general, </w:t>
      </w:r>
      <w:r w:rsidR="00847EFE">
        <w:rPr>
          <w:rFonts w:ascii="Times New Roman" w:hAnsi="Times New Roman" w:cs="Times New Roman"/>
          <w:sz w:val="24"/>
          <w:szCs w:val="24"/>
        </w:rPr>
        <w:t>when multiple methods of estimating a parameter are available, the use of only one approach is likely to produce a less reliable estimate of the parameter than from averaging over the results from a range of different approaches, p</w:t>
      </w:r>
      <w:r w:rsidR="008F0830">
        <w:rPr>
          <w:rFonts w:ascii="Times New Roman" w:hAnsi="Times New Roman" w:cs="Times New Roman"/>
          <w:sz w:val="24"/>
          <w:szCs w:val="24"/>
        </w:rPr>
        <w:t>articularly if these estimators have low correlation</w:t>
      </w:r>
      <w:r>
        <w:rPr>
          <w:rFonts w:ascii="Times New Roman" w:hAnsi="Times New Roman" w:cs="Times New Roman"/>
          <w:sz w:val="24"/>
          <w:szCs w:val="24"/>
        </w:rPr>
        <w:t>, similar standard deviations and similar degrees of bias</w:t>
      </w:r>
      <w:r w:rsidR="00847EFE">
        <w:rPr>
          <w:rFonts w:ascii="Times New Roman" w:hAnsi="Times New Roman" w:cs="Times New Roman"/>
          <w:sz w:val="24"/>
          <w:szCs w:val="24"/>
        </w:rPr>
        <w:t>.</w:t>
      </w:r>
      <w:r w:rsidR="00847EFE" w:rsidRPr="00FE021E">
        <w:rPr>
          <w:rFonts w:ascii="Times New Roman" w:hAnsi="Times New Roman" w:cs="Times New Roman"/>
          <w:sz w:val="24"/>
          <w:szCs w:val="24"/>
        </w:rPr>
        <w:t xml:space="preserve"> </w:t>
      </w:r>
      <w:r w:rsidR="00847EFE">
        <w:rPr>
          <w:rFonts w:ascii="Times New Roman" w:hAnsi="Times New Roman" w:cs="Times New Roman"/>
          <w:sz w:val="24"/>
          <w:szCs w:val="24"/>
        </w:rPr>
        <w:t xml:space="preserve"> Furthermore, even if one of the estimators were </w:t>
      </w:r>
      <w:r>
        <w:rPr>
          <w:rFonts w:ascii="Times New Roman" w:hAnsi="Times New Roman" w:cs="Times New Roman"/>
          <w:sz w:val="24"/>
          <w:szCs w:val="24"/>
        </w:rPr>
        <w:t xml:space="preserve">significantly more biased than the others, </w:t>
      </w:r>
      <w:r w:rsidR="00847EFE">
        <w:rPr>
          <w:rFonts w:ascii="Times New Roman" w:hAnsi="Times New Roman" w:cs="Times New Roman"/>
          <w:sz w:val="24"/>
          <w:szCs w:val="24"/>
        </w:rPr>
        <w:t xml:space="preserve">it might still warrant </w:t>
      </w:r>
      <w:r w:rsidR="00EA33EF">
        <w:rPr>
          <w:rFonts w:ascii="Times New Roman" w:hAnsi="Times New Roman" w:cs="Times New Roman"/>
          <w:sz w:val="24"/>
          <w:szCs w:val="24"/>
        </w:rPr>
        <w:t xml:space="preserve">significant </w:t>
      </w:r>
      <w:r w:rsidR="00847EFE">
        <w:rPr>
          <w:rFonts w:ascii="Times New Roman" w:hAnsi="Times New Roman" w:cs="Times New Roman"/>
          <w:sz w:val="24"/>
          <w:szCs w:val="24"/>
        </w:rPr>
        <w:t xml:space="preserve">weight.  To illustrate </w:t>
      </w:r>
      <w:r w:rsidR="00EA33EF">
        <w:rPr>
          <w:rFonts w:ascii="Times New Roman" w:hAnsi="Times New Roman" w:cs="Times New Roman"/>
          <w:sz w:val="24"/>
          <w:szCs w:val="24"/>
        </w:rPr>
        <w:t xml:space="preserve">these points, </w:t>
      </w:r>
      <w:r w:rsidR="00847EFE">
        <w:rPr>
          <w:rFonts w:ascii="Times New Roman" w:hAnsi="Times New Roman" w:cs="Times New Roman"/>
          <w:sz w:val="24"/>
          <w:szCs w:val="24"/>
        </w:rPr>
        <w:t xml:space="preserve">consider the following analysis.  The usual criterion in selecting an estimator or combination is minimising the Mean Squared Error (MSE) of the estimate </w:t>
      </w:r>
      <w:r w:rsidR="00847EFE" w:rsidRPr="00AD71B3">
        <w:rPr>
          <w:rFonts w:ascii="Times New Roman" w:hAnsi="Times New Roman" w:cs="Times New Roman"/>
          <w:sz w:val="24"/>
          <w:szCs w:val="24"/>
        </w:rPr>
        <w:t>(Ferguson, 1967, page 11)</w:t>
      </w:r>
      <w:r w:rsidR="00847EFE">
        <w:rPr>
          <w:rFonts w:ascii="Times New Roman" w:hAnsi="Times New Roman" w:cs="Times New Roman"/>
          <w:sz w:val="24"/>
          <w:szCs w:val="24"/>
        </w:rPr>
        <w:t>.</w:t>
      </w:r>
      <w:r w:rsidR="00847EFE">
        <w:rPr>
          <w:rStyle w:val="FootnoteReference"/>
        </w:rPr>
        <w:footnoteReference w:id="8"/>
      </w:r>
      <w:r w:rsidR="00847EFE">
        <w:rPr>
          <w:rFonts w:ascii="Times New Roman" w:hAnsi="Times New Roman" w:cs="Times New Roman"/>
          <w:sz w:val="24"/>
          <w:szCs w:val="24"/>
        </w:rPr>
        <w:t xml:space="preserve">  Letting </w:t>
      </w:r>
      <w:r w:rsidR="00847EFE" w:rsidRPr="00AC7760">
        <w:rPr>
          <w:b/>
          <w:bCs/>
          <w:position w:val="-4"/>
        </w:rPr>
        <w:object w:dxaOrig="220" w:dyaOrig="320">
          <v:shape id="_x0000_i1033" type="#_x0000_t75" style="width:10.9pt;height:16.75pt" o:ole="">
            <v:imagedata r:id="rId25" o:title=""/>
          </v:shape>
          <o:OLEObject Type="Embed" ProgID="Equation.3" ShapeID="_x0000_i1033" DrawAspect="Content" ObjectID="_1478385620" r:id="rId26"/>
        </w:object>
      </w:r>
      <w:r w:rsidR="00847EFE">
        <w:rPr>
          <w:rFonts w:ascii="Times New Roman" w:hAnsi="Times New Roman" w:cs="Times New Roman"/>
          <w:sz w:val="24"/>
          <w:szCs w:val="24"/>
        </w:rPr>
        <w:t xml:space="preserve">denote an estimator and </w:t>
      </w:r>
      <w:r w:rsidR="00847EFE" w:rsidRPr="00AC7760">
        <w:rPr>
          <w:rFonts w:ascii="Times New Roman" w:hAnsi="Times New Roman" w:cs="Times New Roman"/>
          <w:i/>
          <w:sz w:val="24"/>
          <w:szCs w:val="24"/>
        </w:rPr>
        <w:t>T</w:t>
      </w:r>
      <w:r w:rsidR="00847EFE">
        <w:rPr>
          <w:rFonts w:ascii="Times New Roman" w:hAnsi="Times New Roman" w:cs="Times New Roman"/>
          <w:sz w:val="24"/>
          <w:szCs w:val="24"/>
        </w:rPr>
        <w:t xml:space="preserve"> the true value of the parameter being estimated, the MSE of </w:t>
      </w:r>
      <w:r w:rsidR="00EA33EF">
        <w:rPr>
          <w:rFonts w:ascii="Times New Roman" w:hAnsi="Times New Roman" w:cs="Times New Roman"/>
          <w:sz w:val="24"/>
          <w:szCs w:val="24"/>
        </w:rPr>
        <w:t xml:space="preserve">the </w:t>
      </w:r>
      <w:r w:rsidR="00847EFE">
        <w:rPr>
          <w:rFonts w:ascii="Times New Roman" w:hAnsi="Times New Roman" w:cs="Times New Roman"/>
          <w:sz w:val="24"/>
          <w:szCs w:val="24"/>
        </w:rPr>
        <w:t>estimator is as follows</w:t>
      </w:r>
      <w:r w:rsidR="004F393F">
        <w:rPr>
          <w:rFonts w:ascii="Times New Roman" w:hAnsi="Times New Roman" w:cs="Times New Roman"/>
          <w:sz w:val="24"/>
          <w:szCs w:val="24"/>
        </w:rPr>
        <w:t>:</w:t>
      </w:r>
    </w:p>
    <w:p w:rsidR="00847EFE" w:rsidRDefault="00847EFE" w:rsidP="00847EFE">
      <w:pPr>
        <w:spacing w:after="0" w:line="360" w:lineRule="auto"/>
        <w:jc w:val="center"/>
        <w:rPr>
          <w:rFonts w:ascii="Times New Roman" w:hAnsi="Times New Roman" w:cs="Times New Roman"/>
          <w:sz w:val="24"/>
          <w:szCs w:val="24"/>
        </w:rPr>
      </w:pPr>
      <w:r w:rsidRPr="00AC7760">
        <w:rPr>
          <w:b/>
          <w:bCs/>
          <w:position w:val="-10"/>
        </w:rPr>
        <w:object w:dxaOrig="1700" w:dyaOrig="440">
          <v:shape id="_x0000_i1034" type="#_x0000_t75" style="width:84.55pt;height:21.75pt" o:ole="">
            <v:imagedata r:id="rId27" o:title=""/>
          </v:shape>
          <o:OLEObject Type="Embed" ProgID="Equation.3" ShapeID="_x0000_i1034" DrawAspect="Content" ObjectID="_1478385621" r:id="rId28"/>
        </w:object>
      </w:r>
    </w:p>
    <w:p w:rsidR="00847EFE" w:rsidRDefault="00847EFE" w:rsidP="00847EFE">
      <w:pPr>
        <w:spacing w:after="0" w:line="360" w:lineRule="auto"/>
        <w:jc w:val="both"/>
        <w:rPr>
          <w:rFonts w:ascii="Times New Roman" w:hAnsi="Times New Roman" w:cs="Times New Roman"/>
          <w:sz w:val="24"/>
          <w:szCs w:val="24"/>
        </w:rPr>
      </w:pPr>
      <w:r>
        <w:rPr>
          <w:b/>
          <w:bCs/>
          <w:position w:val="-12"/>
        </w:rPr>
        <w:t xml:space="preserve">                                                                                     </w:t>
      </w:r>
      <w:r w:rsidRPr="00AC7760">
        <w:rPr>
          <w:b/>
          <w:bCs/>
          <w:position w:val="-10"/>
        </w:rPr>
        <w:object w:dxaOrig="2520" w:dyaOrig="440">
          <v:shape id="_x0000_i1035" type="#_x0000_t75" style="width:125.6pt;height:21.75pt" o:ole="">
            <v:imagedata r:id="rId29" o:title=""/>
          </v:shape>
          <o:OLEObject Type="Embed" ProgID="Equation.3" ShapeID="_x0000_i1035" DrawAspect="Content" ObjectID="_1478385622" r:id="rId30"/>
        </w:object>
      </w:r>
    </w:p>
    <w:p w:rsidR="00847EFE" w:rsidRDefault="00847EFE" w:rsidP="00847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760">
        <w:rPr>
          <w:b/>
          <w:bCs/>
          <w:position w:val="-10"/>
        </w:rPr>
        <w:object w:dxaOrig="2740" w:dyaOrig="440">
          <v:shape id="_x0000_i1036" type="#_x0000_t75" style="width:137.3pt;height:21.75pt" o:ole="">
            <v:imagedata r:id="rId31" o:title=""/>
          </v:shape>
          <o:OLEObject Type="Embed" ProgID="Equation.3" ShapeID="_x0000_i1036" DrawAspect="Content" ObjectID="_1478385623" r:id="rId32"/>
        </w:object>
      </w:r>
      <w:r w:rsidR="001D4EB9">
        <w:rPr>
          <w:rFonts w:ascii="Times New Roman" w:hAnsi="Times New Roman" w:cs="Times New Roman"/>
          <w:sz w:val="24"/>
          <w:szCs w:val="24"/>
        </w:rPr>
        <w:t xml:space="preserve">                           </w:t>
      </w:r>
      <w:r>
        <w:rPr>
          <w:rFonts w:ascii="Times New Roman" w:hAnsi="Times New Roman" w:cs="Times New Roman"/>
          <w:sz w:val="24"/>
          <w:szCs w:val="24"/>
        </w:rPr>
        <w:t>(1)</w:t>
      </w:r>
    </w:p>
    <w:p w:rsidR="00847EFE" w:rsidRDefault="00847EFE" w:rsidP="00847EFE">
      <w:pPr>
        <w:spacing w:after="0" w:line="360" w:lineRule="auto"/>
        <w:jc w:val="both"/>
        <w:rPr>
          <w:rFonts w:ascii="Times New Roman" w:hAnsi="Times New Roman" w:cs="Times New Roman"/>
          <w:sz w:val="24"/>
          <w:szCs w:val="24"/>
        </w:rPr>
      </w:pPr>
    </w:p>
    <w:p w:rsidR="00847EFE" w:rsidRDefault="00847EFE" w:rsidP="00847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the first term in the last equation is the variance of the estimator and the second term is the square of the bias.  Now, suppose that there are two estimators.  Letting </w:t>
      </w:r>
      <w:r w:rsidRPr="0036443A">
        <w:rPr>
          <w:rFonts w:ascii="Times New Roman" w:hAnsi="Times New Roman" w:cs="Times New Roman"/>
          <w:i/>
          <w:sz w:val="24"/>
          <w:szCs w:val="24"/>
        </w:rPr>
        <w:t>w</w:t>
      </w:r>
      <w:r>
        <w:rPr>
          <w:rFonts w:ascii="Times New Roman" w:hAnsi="Times New Roman" w:cs="Times New Roman"/>
          <w:sz w:val="24"/>
          <w:szCs w:val="24"/>
        </w:rPr>
        <w:t xml:space="preserve"> denote the weight on the first estimator, this weight should be chosen to minimise the MSE of the weighted-average estimator:</w:t>
      </w:r>
    </w:p>
    <w:p w:rsidR="00847EFE" w:rsidRDefault="00847EFE" w:rsidP="00847EFE">
      <w:pPr>
        <w:spacing w:after="0" w:line="360" w:lineRule="auto"/>
        <w:jc w:val="both"/>
        <w:rPr>
          <w:rFonts w:ascii="Times New Roman" w:hAnsi="Times New Roman" w:cs="Times New Roman"/>
          <w:sz w:val="24"/>
          <w:szCs w:val="24"/>
        </w:rPr>
      </w:pPr>
    </w:p>
    <w:p w:rsidR="00847EFE" w:rsidRDefault="00847EFE" w:rsidP="00847EFE">
      <w:pPr>
        <w:spacing w:after="0" w:line="360" w:lineRule="auto"/>
        <w:jc w:val="both"/>
        <w:rPr>
          <w:rFonts w:ascii="Times New Roman" w:hAnsi="Times New Roman" w:cs="Times New Roman"/>
          <w:sz w:val="24"/>
          <w:szCs w:val="24"/>
        </w:rPr>
      </w:pPr>
      <w:r>
        <w:rPr>
          <w:b/>
          <w:bCs/>
        </w:rPr>
        <w:t xml:space="preserve">                                  </w:t>
      </w:r>
      <w:r w:rsidRPr="008E6AB0">
        <w:rPr>
          <w:b/>
          <w:bCs/>
          <w:position w:val="-10"/>
        </w:rPr>
        <w:object w:dxaOrig="3000" w:dyaOrig="420">
          <v:shape id="_x0000_i1037" type="#_x0000_t75" style="width:149.85pt;height:21.75pt" o:ole="">
            <v:imagedata r:id="rId33" o:title=""/>
          </v:shape>
          <o:OLEObject Type="Embed" ProgID="Equation.3" ShapeID="_x0000_i1037" DrawAspect="Content" ObjectID="_1478385624" r:id="rId34"/>
        </w:object>
      </w:r>
    </w:p>
    <w:p w:rsidR="00847EFE" w:rsidRDefault="00847EFE" w:rsidP="00847EFE">
      <w:pPr>
        <w:spacing w:after="0" w:line="360" w:lineRule="auto"/>
        <w:jc w:val="both"/>
        <w:rPr>
          <w:rFonts w:ascii="Times New Roman" w:hAnsi="Times New Roman" w:cs="Times New Roman"/>
          <w:sz w:val="24"/>
          <w:szCs w:val="24"/>
        </w:rPr>
      </w:pPr>
      <w:r>
        <w:rPr>
          <w:b/>
          <w:bCs/>
          <w:position w:val="-12"/>
        </w:rPr>
        <w:t xml:space="preserve">                                             </w:t>
      </w:r>
      <w:r w:rsidRPr="00AC7760">
        <w:rPr>
          <w:b/>
          <w:bCs/>
          <w:position w:val="-10"/>
        </w:rPr>
        <w:object w:dxaOrig="3060" w:dyaOrig="440">
          <v:shape id="_x0000_i1038" type="#_x0000_t75" style="width:154.05pt;height:21.75pt" o:ole="">
            <v:imagedata r:id="rId35" o:title=""/>
          </v:shape>
          <o:OLEObject Type="Embed" ProgID="Equation.3" ShapeID="_x0000_i1038" DrawAspect="Content" ObjectID="_1478385625" r:id="rId36"/>
        </w:object>
      </w:r>
    </w:p>
    <w:p w:rsidR="00847EFE" w:rsidRDefault="00847EFE" w:rsidP="00847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760">
        <w:rPr>
          <w:b/>
          <w:bCs/>
          <w:position w:val="-10"/>
        </w:rPr>
        <w:object w:dxaOrig="5600" w:dyaOrig="420">
          <v:shape id="_x0000_i1039" type="#_x0000_t75" style="width:280.45pt;height:21.75pt" o:ole="">
            <v:imagedata r:id="rId37" o:title=""/>
          </v:shape>
          <o:OLEObject Type="Embed" ProgID="Equation.3" ShapeID="_x0000_i1039" DrawAspect="Content" ObjectID="_1478385626" r:id="rId38"/>
        </w:object>
      </w:r>
    </w:p>
    <w:p w:rsidR="00847EFE" w:rsidRDefault="00847EFE" w:rsidP="00847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760">
        <w:rPr>
          <w:b/>
          <w:bCs/>
          <w:position w:val="-10"/>
        </w:rPr>
        <w:object w:dxaOrig="4819" w:dyaOrig="380">
          <v:shape id="_x0000_i1040" type="#_x0000_t75" style="width:241.1pt;height:18.4pt" o:ole="">
            <v:imagedata r:id="rId39" o:title=""/>
          </v:shape>
          <o:OLEObject Type="Embed" ProgID="Equation.3" ShapeID="_x0000_i1040" DrawAspect="Content" ObjectID="_1478385627" r:id="rId40"/>
        </w:object>
      </w:r>
      <w:r>
        <w:rPr>
          <w:rFonts w:ascii="Times New Roman" w:hAnsi="Times New Roman" w:cs="Times New Roman"/>
          <w:sz w:val="24"/>
          <w:szCs w:val="24"/>
        </w:rPr>
        <w:t xml:space="preserve"> </w:t>
      </w:r>
      <w:r w:rsidR="001D4EB9">
        <w:rPr>
          <w:rFonts w:ascii="Times New Roman" w:hAnsi="Times New Roman" w:cs="Times New Roman"/>
          <w:sz w:val="24"/>
          <w:szCs w:val="24"/>
        </w:rPr>
        <w:t xml:space="preserve">                         </w:t>
      </w:r>
      <w:r>
        <w:rPr>
          <w:rFonts w:ascii="Times New Roman" w:hAnsi="Times New Roman" w:cs="Times New Roman"/>
          <w:sz w:val="24"/>
          <w:szCs w:val="24"/>
        </w:rPr>
        <w:t>(2)</w:t>
      </w:r>
    </w:p>
    <w:p w:rsidR="00847EFE" w:rsidRDefault="00847EFE" w:rsidP="00847EFE">
      <w:pPr>
        <w:spacing w:after="0" w:line="360" w:lineRule="auto"/>
        <w:jc w:val="both"/>
        <w:rPr>
          <w:rFonts w:ascii="Times New Roman" w:hAnsi="Times New Roman" w:cs="Times New Roman"/>
          <w:sz w:val="24"/>
          <w:szCs w:val="24"/>
        </w:rPr>
      </w:pPr>
    </w:p>
    <w:p w:rsidR="001D4EB9" w:rsidRPr="001D4EB9" w:rsidRDefault="00847EFE" w:rsidP="00847EFE">
      <w:pPr>
        <w:spacing w:after="0" w:line="360" w:lineRule="auto"/>
        <w:jc w:val="both"/>
        <w:rPr>
          <w:rFonts w:ascii="Times New Roman" w:hAnsi="Times New Roman" w:cs="Times New Roman"/>
          <w:bCs/>
          <w:sz w:val="24"/>
          <w:szCs w:val="24"/>
        </w:rPr>
      </w:pPr>
      <w:r w:rsidRPr="001D4EB9">
        <w:rPr>
          <w:rFonts w:ascii="Times New Roman" w:hAnsi="Times New Roman" w:cs="Times New Roman"/>
          <w:sz w:val="24"/>
          <w:szCs w:val="24"/>
        </w:rPr>
        <w:t xml:space="preserve">where </w:t>
      </w:r>
      <w:r w:rsidRPr="001D4EB9">
        <w:rPr>
          <w:rFonts w:ascii="Times New Roman" w:hAnsi="Times New Roman" w:cs="Times New Roman"/>
          <w:b/>
          <w:bCs/>
          <w:position w:val="-10"/>
          <w:sz w:val="24"/>
          <w:szCs w:val="24"/>
        </w:rPr>
        <w:object w:dxaOrig="1140" w:dyaOrig="380">
          <v:shape id="_x0000_i1041" type="#_x0000_t75" style="width:57.75pt;height:18.4pt" o:ole="">
            <v:imagedata r:id="rId41" o:title=""/>
          </v:shape>
          <o:OLEObject Type="Embed" ProgID="Equation.3" ShapeID="_x0000_i1041" DrawAspect="Content" ObjectID="_1478385628" r:id="rId42"/>
        </w:object>
      </w:r>
      <w:r w:rsidRPr="001D4EB9">
        <w:rPr>
          <w:rFonts w:ascii="Times New Roman" w:hAnsi="Times New Roman" w:cs="Times New Roman"/>
          <w:bCs/>
          <w:sz w:val="24"/>
          <w:szCs w:val="24"/>
        </w:rPr>
        <w:t xml:space="preserve"> is the covariance between the two estimators.</w:t>
      </w:r>
      <w:r w:rsidRPr="001D4EB9">
        <w:rPr>
          <w:rFonts w:ascii="Times New Roman" w:hAnsi="Times New Roman" w:cs="Times New Roman"/>
          <w:b/>
          <w:bCs/>
          <w:sz w:val="24"/>
          <w:szCs w:val="24"/>
        </w:rPr>
        <w:t xml:space="preserve">  </w:t>
      </w:r>
      <w:r w:rsidR="001D4EB9" w:rsidRPr="001D4EB9">
        <w:rPr>
          <w:rFonts w:ascii="Times New Roman" w:hAnsi="Times New Roman" w:cs="Times New Roman"/>
          <w:bCs/>
          <w:sz w:val="24"/>
          <w:szCs w:val="24"/>
        </w:rPr>
        <w:t xml:space="preserve">The MSE is minimized with the following choice of </w:t>
      </w:r>
      <w:r w:rsidR="001D4EB9" w:rsidRPr="001D4EB9">
        <w:rPr>
          <w:rFonts w:ascii="Times New Roman" w:hAnsi="Times New Roman" w:cs="Times New Roman"/>
          <w:bCs/>
          <w:i/>
          <w:sz w:val="24"/>
          <w:szCs w:val="24"/>
        </w:rPr>
        <w:t>w</w:t>
      </w:r>
      <w:r w:rsidR="001D4EB9" w:rsidRPr="001D4EB9">
        <w:rPr>
          <w:rFonts w:ascii="Times New Roman" w:hAnsi="Times New Roman" w:cs="Times New Roman"/>
          <w:bCs/>
          <w:sz w:val="24"/>
          <w:szCs w:val="24"/>
        </w:rPr>
        <w:t>:</w:t>
      </w:r>
    </w:p>
    <w:p w:rsidR="001D4EB9" w:rsidRDefault="001D4EB9" w:rsidP="00847EFE">
      <w:pPr>
        <w:spacing w:after="0" w:line="360" w:lineRule="auto"/>
        <w:jc w:val="both"/>
        <w:rPr>
          <w:rFonts w:ascii="Times New Roman" w:hAnsi="Times New Roman" w:cs="Times New Roman"/>
          <w:b/>
          <w:bCs/>
          <w:sz w:val="24"/>
          <w:szCs w:val="24"/>
        </w:rPr>
      </w:pPr>
    </w:p>
    <w:p w:rsidR="001D4EB9" w:rsidRPr="001D4EB9" w:rsidRDefault="001D4EB9" w:rsidP="001D4EB9">
      <w:pPr>
        <w:spacing w:after="0" w:line="360" w:lineRule="auto"/>
        <w:jc w:val="both"/>
        <w:rPr>
          <w:rFonts w:ascii="Times New Roman" w:hAnsi="Times New Roman" w:cs="Times New Roman"/>
          <w:b/>
          <w:bCs/>
          <w:sz w:val="24"/>
          <w:szCs w:val="24"/>
        </w:rPr>
      </w:pPr>
      <w:r w:rsidRPr="001D4EB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D4EB9">
        <w:rPr>
          <w:rFonts w:ascii="Times New Roman" w:hAnsi="Times New Roman" w:cs="Times New Roman"/>
          <w:b/>
          <w:bCs/>
          <w:position w:val="-32"/>
          <w:sz w:val="24"/>
          <w:szCs w:val="24"/>
        </w:rPr>
        <w:object w:dxaOrig="3300" w:dyaOrig="760">
          <v:shape id="_x0000_i1042" type="#_x0000_t75" style="width:164.95pt;height:37.65pt" o:ole="">
            <v:imagedata r:id="rId43" o:title=""/>
          </v:shape>
          <o:OLEObject Type="Embed" ProgID="Equation.3" ShapeID="_x0000_i1042" DrawAspect="Content" ObjectID="_1478385629" r:id="rId44"/>
        </w:object>
      </w:r>
      <w:r w:rsidRPr="001D4EB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D4EB9">
        <w:rPr>
          <w:rFonts w:ascii="Times New Roman" w:hAnsi="Times New Roman" w:cs="Times New Roman"/>
          <w:bCs/>
          <w:sz w:val="24"/>
          <w:szCs w:val="24"/>
        </w:rPr>
        <w:t>(3)</w:t>
      </w:r>
      <w:r w:rsidRPr="001D4EB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1D4EB9" w:rsidRPr="001D4EB9" w:rsidRDefault="001D4EB9" w:rsidP="001D4EB9">
      <w:pPr>
        <w:spacing w:after="0" w:line="360" w:lineRule="auto"/>
        <w:jc w:val="center"/>
        <w:rPr>
          <w:rFonts w:ascii="Times New Roman" w:hAnsi="Times New Roman" w:cs="Times New Roman"/>
          <w:b/>
          <w:bCs/>
          <w:sz w:val="24"/>
          <w:szCs w:val="24"/>
        </w:rPr>
      </w:pPr>
    </w:p>
    <w:p w:rsidR="00847EFE" w:rsidRDefault="00014014" w:rsidP="00847EFE">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Turning now to the two estimators under consideration in the present situation, </w:t>
      </w:r>
      <w:r w:rsidR="00EA33EF">
        <w:rPr>
          <w:rFonts w:ascii="Times New Roman" w:hAnsi="Times New Roman" w:cs="Times New Roman"/>
          <w:sz w:val="24"/>
          <w:szCs w:val="24"/>
        </w:rPr>
        <w:t xml:space="preserve">which are </w:t>
      </w:r>
      <w:r>
        <w:rPr>
          <w:rFonts w:ascii="Times New Roman" w:hAnsi="Times New Roman" w:cs="Times New Roman"/>
          <w:sz w:val="24"/>
          <w:szCs w:val="24"/>
        </w:rPr>
        <w:t>the BVAL and the RBA, suppose tha</w:t>
      </w:r>
      <w:r w:rsidR="00EA33EF">
        <w:rPr>
          <w:rFonts w:ascii="Times New Roman" w:hAnsi="Times New Roman" w:cs="Times New Roman"/>
          <w:sz w:val="24"/>
          <w:szCs w:val="24"/>
        </w:rPr>
        <w:t xml:space="preserve">t each of them are unbiased and each </w:t>
      </w:r>
      <w:r>
        <w:rPr>
          <w:rFonts w:ascii="Times New Roman" w:hAnsi="Times New Roman" w:cs="Times New Roman"/>
          <w:sz w:val="24"/>
          <w:szCs w:val="24"/>
        </w:rPr>
        <w:t xml:space="preserve">have a standard deviation of 1%.  Over the period since the two indexes have each been </w:t>
      </w:r>
      <w:r w:rsidR="008F1F64">
        <w:rPr>
          <w:rFonts w:ascii="Times New Roman" w:hAnsi="Times New Roman" w:cs="Times New Roman"/>
          <w:sz w:val="24"/>
          <w:szCs w:val="24"/>
        </w:rPr>
        <w:t>continuously in existence (</w:t>
      </w:r>
      <w:r>
        <w:rPr>
          <w:rFonts w:ascii="Times New Roman" w:hAnsi="Times New Roman" w:cs="Times New Roman"/>
          <w:sz w:val="24"/>
          <w:szCs w:val="24"/>
        </w:rPr>
        <w:t>February 2011</w:t>
      </w:r>
      <w:r w:rsidR="008F1F64">
        <w:rPr>
          <w:rFonts w:ascii="Times New Roman" w:hAnsi="Times New Roman" w:cs="Times New Roman"/>
          <w:sz w:val="24"/>
          <w:szCs w:val="24"/>
        </w:rPr>
        <w:t xml:space="preserve"> to July 2014</w:t>
      </w:r>
      <w:r>
        <w:rPr>
          <w:rFonts w:ascii="Times New Roman" w:hAnsi="Times New Roman" w:cs="Times New Roman"/>
          <w:sz w:val="24"/>
          <w:szCs w:val="24"/>
        </w:rPr>
        <w:t xml:space="preserve">), the estimated correlation has been 0.94.  </w:t>
      </w:r>
      <w:r w:rsidR="00847EFE">
        <w:rPr>
          <w:rFonts w:ascii="Times New Roman" w:hAnsi="Times New Roman" w:cs="Times New Roman"/>
          <w:sz w:val="24"/>
          <w:szCs w:val="24"/>
        </w:rPr>
        <w:t xml:space="preserve">Using equation (1), both estimators have a MSE of </w:t>
      </w:r>
      <w:r w:rsidR="00A248BE" w:rsidRPr="00A074FC">
        <w:rPr>
          <w:rFonts w:ascii="Times New Roman" w:hAnsi="Times New Roman" w:cs="Times New Roman"/>
          <w:b/>
          <w:bCs/>
          <w:position w:val="-6"/>
          <w:sz w:val="24"/>
          <w:szCs w:val="24"/>
        </w:rPr>
        <w:object w:dxaOrig="440" w:dyaOrig="320">
          <v:shape id="_x0000_i1043" type="#_x0000_t75" style="width:21.75pt;height:16.75pt" o:ole="">
            <v:imagedata r:id="rId45" o:title=""/>
          </v:shape>
          <o:OLEObject Type="Embed" ProgID="Equation.3" ShapeID="_x0000_i1043" DrawAspect="Content" ObjectID="_1478385630" r:id="rId46"/>
        </w:object>
      </w:r>
      <w:r w:rsidR="001D4EB9">
        <w:rPr>
          <w:rFonts w:ascii="Times New Roman" w:hAnsi="Times New Roman" w:cs="Times New Roman"/>
          <w:bCs/>
          <w:sz w:val="24"/>
          <w:szCs w:val="24"/>
        </w:rPr>
        <w:t>.  Using equation (3</w:t>
      </w:r>
      <w:r w:rsidR="00847EFE" w:rsidRPr="00A074FC">
        <w:rPr>
          <w:rFonts w:ascii="Times New Roman" w:hAnsi="Times New Roman" w:cs="Times New Roman"/>
          <w:bCs/>
          <w:sz w:val="24"/>
          <w:szCs w:val="24"/>
        </w:rPr>
        <w:t>)</w:t>
      </w:r>
      <w:r w:rsidR="00847EFE">
        <w:rPr>
          <w:rFonts w:ascii="Times New Roman" w:hAnsi="Times New Roman" w:cs="Times New Roman"/>
          <w:bCs/>
          <w:sz w:val="24"/>
          <w:szCs w:val="24"/>
        </w:rPr>
        <w:t>, the MSE of a combined estimator is minimised with equal weight on the two estimators</w:t>
      </w:r>
      <w:r w:rsidR="001D4EB9">
        <w:rPr>
          <w:rFonts w:ascii="Times New Roman" w:hAnsi="Times New Roman" w:cs="Times New Roman"/>
          <w:bCs/>
          <w:sz w:val="24"/>
          <w:szCs w:val="24"/>
        </w:rPr>
        <w:t xml:space="preserve">.  Using equation (2), the resulting </w:t>
      </w:r>
      <w:r w:rsidR="00847EFE">
        <w:rPr>
          <w:rFonts w:ascii="Times New Roman" w:hAnsi="Times New Roman" w:cs="Times New Roman"/>
          <w:bCs/>
          <w:sz w:val="24"/>
          <w:szCs w:val="24"/>
        </w:rPr>
        <w:t xml:space="preserve">MSE </w:t>
      </w:r>
      <w:r w:rsidR="00FA021F">
        <w:rPr>
          <w:rFonts w:ascii="Times New Roman" w:hAnsi="Times New Roman" w:cs="Times New Roman"/>
          <w:bCs/>
          <w:sz w:val="24"/>
          <w:szCs w:val="24"/>
        </w:rPr>
        <w:t xml:space="preserve">is </w:t>
      </w:r>
      <w:r w:rsidRPr="00A074FC">
        <w:rPr>
          <w:rFonts w:ascii="Times New Roman" w:hAnsi="Times New Roman" w:cs="Times New Roman"/>
          <w:b/>
          <w:bCs/>
          <w:position w:val="-6"/>
          <w:sz w:val="24"/>
          <w:szCs w:val="24"/>
        </w:rPr>
        <w:object w:dxaOrig="680" w:dyaOrig="320">
          <v:shape id="_x0000_i1044" type="#_x0000_t75" style="width:33.5pt;height:16.75pt" o:ole="">
            <v:imagedata r:id="rId47" o:title=""/>
          </v:shape>
          <o:OLEObject Type="Embed" ProgID="Equation.3" ShapeID="_x0000_i1044" DrawAspect="Content" ObjectID="_1478385631" r:id="rId48"/>
        </w:object>
      </w:r>
      <w:r w:rsidR="003D3E19">
        <w:rPr>
          <w:rFonts w:ascii="Times New Roman" w:hAnsi="Times New Roman" w:cs="Times New Roman"/>
          <w:bCs/>
          <w:sz w:val="24"/>
          <w:szCs w:val="24"/>
        </w:rPr>
        <w:t xml:space="preserve">.  So, the MSE is reduced by </w:t>
      </w:r>
      <w:r>
        <w:rPr>
          <w:rFonts w:ascii="Times New Roman" w:hAnsi="Times New Roman" w:cs="Times New Roman"/>
          <w:bCs/>
          <w:sz w:val="24"/>
          <w:szCs w:val="24"/>
        </w:rPr>
        <w:t xml:space="preserve">only 3% </w:t>
      </w:r>
      <w:r w:rsidR="00847EFE">
        <w:rPr>
          <w:rFonts w:ascii="Times New Roman" w:hAnsi="Times New Roman" w:cs="Times New Roman"/>
          <w:bCs/>
          <w:sz w:val="24"/>
          <w:szCs w:val="24"/>
        </w:rPr>
        <w:t>by optimally</w:t>
      </w:r>
      <w:r>
        <w:rPr>
          <w:rFonts w:ascii="Times New Roman" w:hAnsi="Times New Roman" w:cs="Times New Roman"/>
          <w:bCs/>
          <w:sz w:val="24"/>
          <w:szCs w:val="24"/>
        </w:rPr>
        <w:t xml:space="preserve"> combining the two estimators.  However, consideration of the longer period for which both the BFV </w:t>
      </w:r>
      <w:r w:rsidR="0010217E">
        <w:rPr>
          <w:rFonts w:ascii="Times New Roman" w:hAnsi="Times New Roman" w:cs="Times New Roman"/>
          <w:bCs/>
          <w:sz w:val="24"/>
          <w:szCs w:val="24"/>
        </w:rPr>
        <w:t xml:space="preserve">(another Bloomberg series) </w:t>
      </w:r>
      <w:r>
        <w:rPr>
          <w:rFonts w:ascii="Times New Roman" w:hAnsi="Times New Roman" w:cs="Times New Roman"/>
          <w:bCs/>
          <w:sz w:val="24"/>
          <w:szCs w:val="24"/>
        </w:rPr>
        <w:t>and RBA have each continuously been in exis</w:t>
      </w:r>
      <w:r w:rsidR="006C7C22">
        <w:rPr>
          <w:rFonts w:ascii="Times New Roman" w:hAnsi="Times New Roman" w:cs="Times New Roman"/>
          <w:bCs/>
          <w:sz w:val="24"/>
          <w:szCs w:val="24"/>
        </w:rPr>
        <w:t>tence (January 2005</w:t>
      </w:r>
      <w:r w:rsidR="0010217E">
        <w:rPr>
          <w:rFonts w:ascii="Times New Roman" w:hAnsi="Times New Roman" w:cs="Times New Roman"/>
          <w:bCs/>
          <w:sz w:val="24"/>
          <w:szCs w:val="24"/>
        </w:rPr>
        <w:t xml:space="preserve"> to April 2014) reveals that there were periods in which they were almost identical (January 2005 to June 2008, with an estimated correlation of 0.99) and periods when they were quite different (July 2008 to January 2012, with an estimated correlation of -0.31).  This suggests that the </w:t>
      </w:r>
      <w:r w:rsidR="00EA33EF">
        <w:rPr>
          <w:rFonts w:ascii="Times New Roman" w:hAnsi="Times New Roman" w:cs="Times New Roman"/>
          <w:bCs/>
          <w:sz w:val="24"/>
          <w:szCs w:val="24"/>
        </w:rPr>
        <w:t xml:space="preserve">BVAL </w:t>
      </w:r>
      <w:r w:rsidR="0010217E">
        <w:rPr>
          <w:rFonts w:ascii="Times New Roman" w:hAnsi="Times New Roman" w:cs="Times New Roman"/>
          <w:bCs/>
          <w:sz w:val="24"/>
          <w:szCs w:val="24"/>
        </w:rPr>
        <w:t xml:space="preserve">and RBA </w:t>
      </w:r>
      <w:r w:rsidR="00EA33EF">
        <w:rPr>
          <w:rFonts w:ascii="Times New Roman" w:hAnsi="Times New Roman" w:cs="Times New Roman"/>
          <w:bCs/>
          <w:sz w:val="24"/>
          <w:szCs w:val="24"/>
        </w:rPr>
        <w:t xml:space="preserve">indexes </w:t>
      </w:r>
      <w:r w:rsidR="0010217E">
        <w:rPr>
          <w:rFonts w:ascii="Times New Roman" w:hAnsi="Times New Roman" w:cs="Times New Roman"/>
          <w:bCs/>
          <w:sz w:val="24"/>
          <w:szCs w:val="24"/>
        </w:rPr>
        <w:t xml:space="preserve">might also at some future point experience much lower correlation than they have to date, and this strengthens the argument for using both series.  For example, if </w:t>
      </w:r>
      <w:r w:rsidR="00C05DE8">
        <w:rPr>
          <w:rFonts w:ascii="Times New Roman" w:hAnsi="Times New Roman" w:cs="Times New Roman"/>
          <w:bCs/>
          <w:sz w:val="24"/>
          <w:szCs w:val="24"/>
        </w:rPr>
        <w:t>the correlation were as low as zero</w:t>
      </w:r>
      <w:r w:rsidR="0010217E">
        <w:rPr>
          <w:rFonts w:ascii="Times New Roman" w:hAnsi="Times New Roman" w:cs="Times New Roman"/>
          <w:bCs/>
          <w:sz w:val="24"/>
          <w:szCs w:val="24"/>
        </w:rPr>
        <w:t xml:space="preserve">, and the standard deviations </w:t>
      </w:r>
      <w:r w:rsidR="0010217E">
        <w:rPr>
          <w:rFonts w:ascii="Times New Roman" w:hAnsi="Times New Roman" w:cs="Times New Roman"/>
          <w:bCs/>
          <w:sz w:val="24"/>
          <w:szCs w:val="24"/>
        </w:rPr>
        <w:lastRenderedPageBreak/>
        <w:t xml:space="preserve">were equal, the optimal weights from equation (3) would still be equal but the MSE from equation (2) would now be </w:t>
      </w:r>
      <w:r w:rsidR="000B138F">
        <w:rPr>
          <w:rFonts w:ascii="Times New Roman" w:hAnsi="Times New Roman" w:cs="Times New Roman"/>
          <w:bCs/>
          <w:sz w:val="24"/>
          <w:szCs w:val="24"/>
        </w:rPr>
        <w:t xml:space="preserve">50% </w:t>
      </w:r>
      <w:r w:rsidR="00EA33EF">
        <w:rPr>
          <w:rFonts w:ascii="Times New Roman" w:hAnsi="Times New Roman" w:cs="Times New Roman"/>
          <w:bCs/>
          <w:sz w:val="24"/>
          <w:szCs w:val="24"/>
        </w:rPr>
        <w:t xml:space="preserve">less than that </w:t>
      </w:r>
      <w:r w:rsidR="0010217E">
        <w:rPr>
          <w:rFonts w:ascii="Times New Roman" w:hAnsi="Times New Roman" w:cs="Times New Roman"/>
          <w:bCs/>
          <w:sz w:val="24"/>
          <w:szCs w:val="24"/>
        </w:rPr>
        <w:t>from using only one of the two estimators.</w:t>
      </w:r>
    </w:p>
    <w:p w:rsidR="00A248BE" w:rsidRDefault="00A248BE" w:rsidP="00847EFE">
      <w:pPr>
        <w:spacing w:after="0" w:line="360" w:lineRule="auto"/>
        <w:jc w:val="both"/>
        <w:rPr>
          <w:rFonts w:ascii="Times New Roman" w:hAnsi="Times New Roman" w:cs="Times New Roman"/>
          <w:sz w:val="24"/>
          <w:szCs w:val="24"/>
        </w:rPr>
      </w:pPr>
    </w:p>
    <w:p w:rsidR="00E3481F" w:rsidRDefault="00847EFE" w:rsidP="004327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Suppose now that </w:t>
      </w:r>
      <w:r w:rsidR="007C2719">
        <w:rPr>
          <w:rFonts w:ascii="Times New Roman" w:hAnsi="Times New Roman" w:cs="Times New Roman"/>
          <w:sz w:val="24"/>
          <w:szCs w:val="24"/>
        </w:rPr>
        <w:t xml:space="preserve">one of the estimators were considered to be biased.  </w:t>
      </w:r>
      <w:r>
        <w:rPr>
          <w:rFonts w:ascii="Times New Roman" w:hAnsi="Times New Roman" w:cs="Times New Roman"/>
          <w:sz w:val="24"/>
          <w:szCs w:val="24"/>
        </w:rPr>
        <w:t xml:space="preserve">Naturally, </w:t>
      </w:r>
      <w:r w:rsidR="007C2719">
        <w:rPr>
          <w:rFonts w:ascii="Times New Roman" w:hAnsi="Times New Roman" w:cs="Times New Roman"/>
          <w:sz w:val="24"/>
          <w:szCs w:val="24"/>
        </w:rPr>
        <w:t xml:space="preserve">one </w:t>
      </w:r>
      <w:r>
        <w:rPr>
          <w:rFonts w:ascii="Times New Roman" w:hAnsi="Times New Roman" w:cs="Times New Roman"/>
          <w:sz w:val="24"/>
          <w:szCs w:val="24"/>
        </w:rPr>
        <w:t>could not specify the degree of bias to a high degree of precision.  Nevertheless, one could consider the implications of a range of possible values for that bias.  For example, suppose the b</w:t>
      </w:r>
      <w:r w:rsidR="007C2719">
        <w:rPr>
          <w:rFonts w:ascii="Times New Roman" w:hAnsi="Times New Roman" w:cs="Times New Roman"/>
          <w:sz w:val="24"/>
          <w:szCs w:val="24"/>
        </w:rPr>
        <w:t xml:space="preserve">ias </w:t>
      </w:r>
      <w:r w:rsidR="000B138F">
        <w:rPr>
          <w:rFonts w:ascii="Times New Roman" w:hAnsi="Times New Roman" w:cs="Times New Roman"/>
          <w:sz w:val="24"/>
          <w:szCs w:val="24"/>
        </w:rPr>
        <w:t xml:space="preserve">in that estimator was considered to be as much as its standard deviation.  </w:t>
      </w:r>
      <w:r>
        <w:rPr>
          <w:rFonts w:ascii="Times New Roman" w:hAnsi="Times New Roman" w:cs="Times New Roman"/>
          <w:sz w:val="24"/>
          <w:szCs w:val="24"/>
        </w:rPr>
        <w:t xml:space="preserve">At </w:t>
      </w:r>
      <w:r w:rsidR="00C05DE8">
        <w:rPr>
          <w:rFonts w:ascii="Times New Roman" w:hAnsi="Times New Roman" w:cs="Times New Roman"/>
          <w:sz w:val="24"/>
          <w:szCs w:val="24"/>
        </w:rPr>
        <w:t xml:space="preserve">this </w:t>
      </w:r>
      <w:r w:rsidR="007C2719">
        <w:rPr>
          <w:rFonts w:ascii="Times New Roman" w:hAnsi="Times New Roman" w:cs="Times New Roman"/>
          <w:sz w:val="24"/>
          <w:szCs w:val="24"/>
        </w:rPr>
        <w:t>upper limit</w:t>
      </w:r>
      <w:r w:rsidR="00C05DE8">
        <w:rPr>
          <w:rFonts w:ascii="Times New Roman" w:hAnsi="Times New Roman" w:cs="Times New Roman"/>
          <w:sz w:val="24"/>
          <w:szCs w:val="24"/>
        </w:rPr>
        <w:t xml:space="preserve">, and continuing to assume a correlation of zero, the optimal weight on the biased estimator </w:t>
      </w:r>
      <w:r w:rsidR="006B452B">
        <w:rPr>
          <w:rFonts w:ascii="Times New Roman" w:hAnsi="Times New Roman" w:cs="Times New Roman"/>
          <w:sz w:val="24"/>
          <w:szCs w:val="24"/>
        </w:rPr>
        <w:t xml:space="preserve">would now be </w:t>
      </w:r>
      <w:r w:rsidR="00C05DE8">
        <w:rPr>
          <w:rFonts w:ascii="Times New Roman" w:hAnsi="Times New Roman" w:cs="Times New Roman"/>
          <w:sz w:val="24"/>
          <w:szCs w:val="24"/>
        </w:rPr>
        <w:t xml:space="preserve">0.33 following equation (3), and the MSE would then be </w:t>
      </w:r>
      <w:r w:rsidR="006B452B">
        <w:rPr>
          <w:rFonts w:ascii="Times New Roman" w:hAnsi="Times New Roman" w:cs="Times New Roman"/>
          <w:sz w:val="24"/>
          <w:szCs w:val="24"/>
        </w:rPr>
        <w:t xml:space="preserve">34% less than </w:t>
      </w:r>
      <w:r w:rsidR="00C05DE8">
        <w:rPr>
          <w:rFonts w:ascii="Times New Roman" w:hAnsi="Times New Roman" w:cs="Times New Roman"/>
          <w:sz w:val="24"/>
          <w:szCs w:val="24"/>
        </w:rPr>
        <w:t xml:space="preserve">that from sole use of the unbiased estimator.  As the bias goes to zero, the MSE of the combined estimator falls to 50% of that from sole use of the unbiased estimator.  </w:t>
      </w:r>
      <w:r>
        <w:rPr>
          <w:rFonts w:ascii="Times New Roman" w:hAnsi="Times New Roman" w:cs="Times New Roman"/>
          <w:sz w:val="24"/>
          <w:szCs w:val="24"/>
        </w:rPr>
        <w:t xml:space="preserve">So, even with significant bias in </w:t>
      </w:r>
      <w:r w:rsidR="006B452B">
        <w:rPr>
          <w:rFonts w:ascii="Times New Roman" w:hAnsi="Times New Roman" w:cs="Times New Roman"/>
          <w:sz w:val="24"/>
          <w:szCs w:val="24"/>
        </w:rPr>
        <w:t xml:space="preserve">one estimator, it </w:t>
      </w:r>
      <w:r>
        <w:rPr>
          <w:rFonts w:ascii="Times New Roman" w:hAnsi="Times New Roman" w:cs="Times New Roman"/>
          <w:sz w:val="24"/>
          <w:szCs w:val="24"/>
        </w:rPr>
        <w:t xml:space="preserve">may still warrant significant weight in a weighted-average estimator and the combined estimator </w:t>
      </w:r>
      <w:r w:rsidR="00E06A98">
        <w:rPr>
          <w:rFonts w:ascii="Times New Roman" w:hAnsi="Times New Roman" w:cs="Times New Roman"/>
          <w:sz w:val="24"/>
          <w:szCs w:val="24"/>
        </w:rPr>
        <w:t xml:space="preserve">would have an </w:t>
      </w:r>
      <w:r>
        <w:rPr>
          <w:rFonts w:ascii="Times New Roman" w:hAnsi="Times New Roman" w:cs="Times New Roman"/>
          <w:sz w:val="24"/>
          <w:szCs w:val="24"/>
        </w:rPr>
        <w:t xml:space="preserve">MSE that </w:t>
      </w:r>
      <w:r w:rsidR="00E06A98">
        <w:rPr>
          <w:rFonts w:ascii="Times New Roman" w:hAnsi="Times New Roman" w:cs="Times New Roman"/>
          <w:sz w:val="24"/>
          <w:szCs w:val="24"/>
        </w:rPr>
        <w:t>was</w:t>
      </w:r>
      <w:r>
        <w:rPr>
          <w:rFonts w:ascii="Times New Roman" w:hAnsi="Times New Roman" w:cs="Times New Roman"/>
          <w:sz w:val="24"/>
          <w:szCs w:val="24"/>
        </w:rPr>
        <w:t xml:space="preserve"> significantly less than the better of</w:t>
      </w:r>
      <w:r w:rsidR="00E3481F">
        <w:rPr>
          <w:rFonts w:ascii="Times New Roman" w:hAnsi="Times New Roman" w:cs="Times New Roman"/>
          <w:sz w:val="24"/>
          <w:szCs w:val="24"/>
        </w:rPr>
        <w:t xml:space="preserve"> the two individual estimators.</w:t>
      </w:r>
    </w:p>
    <w:p w:rsidR="00E3481F" w:rsidRDefault="00E3481F" w:rsidP="00432721">
      <w:pPr>
        <w:spacing w:after="0" w:line="360" w:lineRule="auto"/>
        <w:jc w:val="both"/>
        <w:rPr>
          <w:rFonts w:ascii="Times New Roman" w:hAnsi="Times New Roman" w:cs="Times New Roman"/>
          <w:sz w:val="24"/>
          <w:szCs w:val="24"/>
        </w:rPr>
      </w:pPr>
    </w:p>
    <w:p w:rsidR="006F59A4" w:rsidRDefault="00E3481F" w:rsidP="004327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(3) does not imply that the weights on the two estimators would be equal; such a result would only arise if both estimators were unbiased and </w:t>
      </w:r>
      <w:r w:rsidR="00402795">
        <w:rPr>
          <w:rFonts w:ascii="Times New Roman" w:hAnsi="Times New Roman" w:cs="Times New Roman"/>
          <w:sz w:val="24"/>
          <w:szCs w:val="24"/>
        </w:rPr>
        <w:t xml:space="preserve">had </w:t>
      </w:r>
      <w:r>
        <w:rPr>
          <w:rFonts w:ascii="Times New Roman" w:hAnsi="Times New Roman" w:cs="Times New Roman"/>
          <w:sz w:val="24"/>
          <w:szCs w:val="24"/>
        </w:rPr>
        <w:t xml:space="preserve">equal standard deviations.  </w:t>
      </w:r>
      <w:r w:rsidR="00402795">
        <w:rPr>
          <w:rFonts w:ascii="Times New Roman" w:hAnsi="Times New Roman" w:cs="Times New Roman"/>
          <w:sz w:val="24"/>
          <w:szCs w:val="24"/>
        </w:rPr>
        <w:t xml:space="preserve">Naturally, there is </w:t>
      </w:r>
      <w:r>
        <w:rPr>
          <w:rFonts w:ascii="Times New Roman" w:hAnsi="Times New Roman" w:cs="Times New Roman"/>
          <w:sz w:val="24"/>
          <w:szCs w:val="24"/>
        </w:rPr>
        <w:t>no reliable basis for estimating the bias</w:t>
      </w:r>
      <w:r w:rsidR="00402795">
        <w:rPr>
          <w:rFonts w:ascii="Times New Roman" w:hAnsi="Times New Roman" w:cs="Times New Roman"/>
          <w:sz w:val="24"/>
          <w:szCs w:val="24"/>
        </w:rPr>
        <w:t xml:space="preserve"> and, </w:t>
      </w:r>
      <w:r>
        <w:rPr>
          <w:rFonts w:ascii="Times New Roman" w:hAnsi="Times New Roman" w:cs="Times New Roman"/>
          <w:sz w:val="24"/>
          <w:szCs w:val="24"/>
        </w:rPr>
        <w:t xml:space="preserve">if there were, one would simply adjust the estimator accordingly and therefore the bias would be removed.  </w:t>
      </w:r>
      <w:r w:rsidR="00402795">
        <w:rPr>
          <w:rFonts w:ascii="Times New Roman" w:hAnsi="Times New Roman" w:cs="Times New Roman"/>
          <w:sz w:val="24"/>
          <w:szCs w:val="24"/>
        </w:rPr>
        <w:t>However, the time-series of observations for the BVAL and the RBA allow us to</w:t>
      </w:r>
      <w:r w:rsidR="006A36CA">
        <w:rPr>
          <w:rFonts w:ascii="Times New Roman" w:hAnsi="Times New Roman" w:cs="Times New Roman"/>
          <w:sz w:val="24"/>
          <w:szCs w:val="24"/>
        </w:rPr>
        <w:t xml:space="preserve"> </w:t>
      </w:r>
      <w:r w:rsidR="006A36CA" w:rsidRPr="005C1D97">
        <w:rPr>
          <w:rFonts w:ascii="Times New Roman" w:hAnsi="Times New Roman" w:cs="Times New Roman"/>
          <w:sz w:val="24"/>
          <w:szCs w:val="24"/>
        </w:rPr>
        <w:t>at least</w:t>
      </w:r>
      <w:r w:rsidR="00402795">
        <w:rPr>
          <w:rFonts w:ascii="Times New Roman" w:hAnsi="Times New Roman" w:cs="Times New Roman"/>
          <w:sz w:val="24"/>
          <w:szCs w:val="24"/>
        </w:rPr>
        <w:t xml:space="preserve"> estimate the st</w:t>
      </w:r>
      <w:r w:rsidR="006F59A4">
        <w:rPr>
          <w:rFonts w:ascii="Times New Roman" w:hAnsi="Times New Roman" w:cs="Times New Roman"/>
          <w:sz w:val="24"/>
          <w:szCs w:val="24"/>
        </w:rPr>
        <w:t>andard deviation for each estimator</w:t>
      </w:r>
      <w:r w:rsidR="008311E0">
        <w:rPr>
          <w:rFonts w:ascii="Times New Roman" w:hAnsi="Times New Roman" w:cs="Times New Roman"/>
          <w:sz w:val="24"/>
          <w:szCs w:val="24"/>
        </w:rPr>
        <w:t xml:space="preserve">.  Over the period since both series have continuously operated, the standard deviations </w:t>
      </w:r>
      <w:r w:rsidR="006F59A4">
        <w:rPr>
          <w:rFonts w:ascii="Times New Roman" w:hAnsi="Times New Roman" w:cs="Times New Roman"/>
          <w:sz w:val="24"/>
          <w:szCs w:val="24"/>
        </w:rPr>
        <w:t xml:space="preserve">of the time-series observations </w:t>
      </w:r>
      <w:r w:rsidR="006017E3">
        <w:rPr>
          <w:rFonts w:ascii="Times New Roman" w:hAnsi="Times New Roman" w:cs="Times New Roman"/>
          <w:sz w:val="24"/>
          <w:szCs w:val="24"/>
        </w:rPr>
        <w:t xml:space="preserve">for the </w:t>
      </w:r>
      <w:r w:rsidR="008311E0">
        <w:rPr>
          <w:rFonts w:ascii="Times New Roman" w:hAnsi="Times New Roman" w:cs="Times New Roman"/>
          <w:sz w:val="24"/>
          <w:szCs w:val="24"/>
        </w:rPr>
        <w:t xml:space="preserve">seven-year term are 0.89 for the BVAL and 0.76 for the RBA.  For each series, some of </w:t>
      </w:r>
      <w:r w:rsidR="006F59A4">
        <w:rPr>
          <w:rFonts w:ascii="Times New Roman" w:hAnsi="Times New Roman" w:cs="Times New Roman"/>
          <w:sz w:val="24"/>
          <w:szCs w:val="24"/>
        </w:rPr>
        <w:t>this</w:t>
      </w:r>
      <w:r w:rsidR="008311E0">
        <w:rPr>
          <w:rFonts w:ascii="Times New Roman" w:hAnsi="Times New Roman" w:cs="Times New Roman"/>
          <w:sz w:val="24"/>
          <w:szCs w:val="24"/>
        </w:rPr>
        <w:t xml:space="preserve"> </w:t>
      </w:r>
      <w:r w:rsidR="00292EF5">
        <w:rPr>
          <w:rFonts w:ascii="Times New Roman" w:hAnsi="Times New Roman" w:cs="Times New Roman"/>
          <w:sz w:val="24"/>
          <w:szCs w:val="24"/>
        </w:rPr>
        <w:t xml:space="preserve">time-series </w:t>
      </w:r>
      <w:r w:rsidR="008311E0">
        <w:rPr>
          <w:rFonts w:ascii="Times New Roman" w:hAnsi="Times New Roman" w:cs="Times New Roman"/>
          <w:sz w:val="24"/>
          <w:szCs w:val="24"/>
        </w:rPr>
        <w:t>variation is variation</w:t>
      </w:r>
      <w:r w:rsidR="006A36CA">
        <w:rPr>
          <w:rFonts w:ascii="Times New Roman" w:hAnsi="Times New Roman" w:cs="Times New Roman"/>
          <w:sz w:val="24"/>
          <w:szCs w:val="24"/>
        </w:rPr>
        <w:t xml:space="preserve"> over time</w:t>
      </w:r>
      <w:r w:rsidR="008311E0">
        <w:rPr>
          <w:rFonts w:ascii="Times New Roman" w:hAnsi="Times New Roman" w:cs="Times New Roman"/>
          <w:sz w:val="24"/>
          <w:szCs w:val="24"/>
        </w:rPr>
        <w:t xml:space="preserve"> in the ‘true’ cost of debt</w:t>
      </w:r>
      <w:r w:rsidR="006A36CA">
        <w:rPr>
          <w:rFonts w:ascii="Times New Roman" w:hAnsi="Times New Roman" w:cs="Times New Roman"/>
          <w:sz w:val="24"/>
          <w:szCs w:val="24"/>
        </w:rPr>
        <w:t xml:space="preserve"> </w:t>
      </w:r>
      <w:r w:rsidR="006A36CA" w:rsidRPr="00C74515">
        <w:rPr>
          <w:rFonts w:ascii="Times New Roman" w:hAnsi="Times New Roman" w:cs="Times New Roman"/>
          <w:sz w:val="24"/>
          <w:szCs w:val="24"/>
        </w:rPr>
        <w:t>and is therefore irrelevant to the standard deviation of the estimator</w:t>
      </w:r>
      <w:r w:rsidR="00382434" w:rsidRPr="00C74515">
        <w:rPr>
          <w:rFonts w:ascii="Times New Roman" w:hAnsi="Times New Roman" w:cs="Times New Roman"/>
          <w:sz w:val="24"/>
          <w:szCs w:val="24"/>
        </w:rPr>
        <w:t xml:space="preserve"> (the standard deviation of the distribution from which today’s estimate is drawn)</w:t>
      </w:r>
      <w:r w:rsidR="006A36CA" w:rsidRPr="00C74515">
        <w:rPr>
          <w:rFonts w:ascii="Times New Roman" w:hAnsi="Times New Roman" w:cs="Times New Roman"/>
          <w:sz w:val="24"/>
          <w:szCs w:val="24"/>
        </w:rPr>
        <w:t>.</w:t>
      </w:r>
      <w:r w:rsidR="006A36CA" w:rsidRPr="006A36CA">
        <w:rPr>
          <w:rFonts w:ascii="Times New Roman" w:hAnsi="Times New Roman" w:cs="Times New Roman"/>
          <w:sz w:val="24"/>
          <w:szCs w:val="24"/>
        </w:rPr>
        <w:t xml:space="preserve">  However, whatever this time-series variation in the true cost of debt is, it will be</w:t>
      </w:r>
      <w:r w:rsidR="00382434" w:rsidRPr="00382434">
        <w:rPr>
          <w:rFonts w:ascii="Times New Roman" w:hAnsi="Times New Roman" w:cs="Times New Roman"/>
          <w:sz w:val="24"/>
          <w:szCs w:val="24"/>
        </w:rPr>
        <w:t xml:space="preserve"> </w:t>
      </w:r>
      <w:r w:rsidR="008311E0">
        <w:rPr>
          <w:rFonts w:ascii="Times New Roman" w:hAnsi="Times New Roman" w:cs="Times New Roman"/>
          <w:sz w:val="24"/>
          <w:szCs w:val="24"/>
        </w:rPr>
        <w:t>common to both series.  Thus, since the BVAL ha</w:t>
      </w:r>
      <w:r w:rsidR="00C762A5">
        <w:rPr>
          <w:rFonts w:ascii="Times New Roman" w:hAnsi="Times New Roman" w:cs="Times New Roman"/>
          <w:sz w:val="24"/>
          <w:szCs w:val="24"/>
        </w:rPr>
        <w:t>s higher time-series variation</w:t>
      </w:r>
      <w:r w:rsidR="006A36CA">
        <w:rPr>
          <w:rFonts w:ascii="Times New Roman" w:hAnsi="Times New Roman" w:cs="Times New Roman"/>
          <w:sz w:val="24"/>
          <w:szCs w:val="24"/>
        </w:rPr>
        <w:t xml:space="preserve"> than the RBA</w:t>
      </w:r>
      <w:r w:rsidR="00C762A5">
        <w:rPr>
          <w:rFonts w:ascii="Times New Roman" w:hAnsi="Times New Roman" w:cs="Times New Roman"/>
          <w:sz w:val="24"/>
          <w:szCs w:val="24"/>
        </w:rPr>
        <w:t xml:space="preserve">, the estimated standard deviation </w:t>
      </w:r>
      <w:r w:rsidR="006F59A4">
        <w:rPr>
          <w:rFonts w:ascii="Times New Roman" w:hAnsi="Times New Roman" w:cs="Times New Roman"/>
          <w:sz w:val="24"/>
          <w:szCs w:val="24"/>
        </w:rPr>
        <w:t xml:space="preserve">of the </w:t>
      </w:r>
      <w:r w:rsidR="00382434">
        <w:rPr>
          <w:rFonts w:ascii="Times New Roman" w:hAnsi="Times New Roman" w:cs="Times New Roman"/>
          <w:sz w:val="24"/>
          <w:szCs w:val="24"/>
        </w:rPr>
        <w:t xml:space="preserve">BVAL </w:t>
      </w:r>
      <w:r w:rsidR="006F59A4">
        <w:rPr>
          <w:rFonts w:ascii="Times New Roman" w:hAnsi="Times New Roman" w:cs="Times New Roman"/>
          <w:sz w:val="24"/>
          <w:szCs w:val="24"/>
        </w:rPr>
        <w:t xml:space="preserve">estimator </w:t>
      </w:r>
      <w:r w:rsidR="006A36CA">
        <w:rPr>
          <w:rFonts w:ascii="Times New Roman" w:hAnsi="Times New Roman" w:cs="Times New Roman"/>
          <w:sz w:val="24"/>
          <w:szCs w:val="24"/>
        </w:rPr>
        <w:t xml:space="preserve">will be </w:t>
      </w:r>
      <w:r w:rsidR="00C762A5">
        <w:rPr>
          <w:rFonts w:ascii="Times New Roman" w:hAnsi="Times New Roman" w:cs="Times New Roman"/>
          <w:sz w:val="24"/>
          <w:szCs w:val="24"/>
        </w:rPr>
        <w:t>greater</w:t>
      </w:r>
      <w:r w:rsidR="00382434">
        <w:rPr>
          <w:rFonts w:ascii="Times New Roman" w:hAnsi="Times New Roman" w:cs="Times New Roman"/>
          <w:sz w:val="24"/>
          <w:szCs w:val="24"/>
        </w:rPr>
        <w:t xml:space="preserve"> than that of the RBA estimator</w:t>
      </w:r>
      <w:r w:rsidR="00C762A5">
        <w:rPr>
          <w:rFonts w:ascii="Times New Roman" w:hAnsi="Times New Roman" w:cs="Times New Roman"/>
          <w:sz w:val="24"/>
          <w:szCs w:val="24"/>
        </w:rPr>
        <w:t xml:space="preserve">.  However, the difference here is not </w:t>
      </w:r>
      <w:r w:rsidR="00214B4B" w:rsidRPr="00E455CB">
        <w:rPr>
          <w:rFonts w:ascii="Times New Roman" w:hAnsi="Times New Roman" w:cs="Times New Roman"/>
          <w:sz w:val="24"/>
          <w:szCs w:val="24"/>
        </w:rPr>
        <w:t>substantial</w:t>
      </w:r>
      <w:r w:rsidR="00C762A5" w:rsidRPr="00E455CB">
        <w:rPr>
          <w:rFonts w:ascii="Times New Roman" w:hAnsi="Times New Roman" w:cs="Times New Roman"/>
          <w:sz w:val="24"/>
          <w:szCs w:val="24"/>
        </w:rPr>
        <w:t>.  Consequently, o</w:t>
      </w:r>
      <w:r w:rsidR="00B3101E" w:rsidRPr="00E455CB">
        <w:rPr>
          <w:rFonts w:ascii="Times New Roman" w:hAnsi="Times New Roman" w:cs="Times New Roman"/>
          <w:sz w:val="24"/>
          <w:szCs w:val="24"/>
        </w:rPr>
        <w:t xml:space="preserve">ne should act as if the standard deviations </w:t>
      </w:r>
      <w:r w:rsidR="006F59A4" w:rsidRPr="00E455CB">
        <w:rPr>
          <w:rFonts w:ascii="Times New Roman" w:hAnsi="Times New Roman" w:cs="Times New Roman"/>
          <w:sz w:val="24"/>
          <w:szCs w:val="24"/>
        </w:rPr>
        <w:t>of</w:t>
      </w:r>
      <w:r w:rsidR="00B3101E" w:rsidRPr="00E455CB">
        <w:rPr>
          <w:rFonts w:ascii="Times New Roman" w:hAnsi="Times New Roman" w:cs="Times New Roman"/>
          <w:sz w:val="24"/>
          <w:szCs w:val="24"/>
        </w:rPr>
        <w:t xml:space="preserve"> the </w:t>
      </w:r>
      <w:r w:rsidR="006F59A4" w:rsidRPr="00E455CB">
        <w:rPr>
          <w:rFonts w:ascii="Times New Roman" w:hAnsi="Times New Roman" w:cs="Times New Roman"/>
          <w:sz w:val="24"/>
          <w:szCs w:val="24"/>
        </w:rPr>
        <w:t xml:space="preserve">two estimators </w:t>
      </w:r>
      <w:r w:rsidR="00B3101E" w:rsidRPr="00E455CB">
        <w:rPr>
          <w:rFonts w:ascii="Times New Roman" w:hAnsi="Times New Roman" w:cs="Times New Roman"/>
          <w:sz w:val="24"/>
          <w:szCs w:val="24"/>
        </w:rPr>
        <w:t>are equa</w:t>
      </w:r>
      <w:r w:rsidR="000E244D" w:rsidRPr="00E455CB">
        <w:rPr>
          <w:rFonts w:ascii="Times New Roman" w:hAnsi="Times New Roman" w:cs="Times New Roman"/>
          <w:sz w:val="24"/>
          <w:szCs w:val="24"/>
        </w:rPr>
        <w:t xml:space="preserve">l.  So, following equation (3) with the common standard deviation </w:t>
      </w:r>
      <w:r w:rsidR="000E244D" w:rsidRPr="00E455CB">
        <w:rPr>
          <w:rFonts w:ascii="Times New Roman" w:hAnsi="Times New Roman" w:cs="Times New Roman"/>
          <w:i/>
          <w:sz w:val="24"/>
          <w:szCs w:val="24"/>
        </w:rPr>
        <w:t>σ</w:t>
      </w:r>
      <w:r w:rsidR="00BD4386" w:rsidRPr="00E455CB">
        <w:rPr>
          <w:rFonts w:ascii="Times New Roman" w:hAnsi="Times New Roman" w:cs="Times New Roman"/>
          <w:sz w:val="24"/>
          <w:szCs w:val="24"/>
        </w:rPr>
        <w:t xml:space="preserve"> and no bias,</w:t>
      </w:r>
      <w:r w:rsidR="00BD4386">
        <w:rPr>
          <w:rFonts w:ascii="Times New Roman" w:hAnsi="Times New Roman" w:cs="Times New Roman"/>
          <w:sz w:val="24"/>
          <w:szCs w:val="24"/>
        </w:rPr>
        <w:t xml:space="preserve"> </w:t>
      </w:r>
      <w:r w:rsidR="000E244D">
        <w:rPr>
          <w:rFonts w:ascii="Times New Roman" w:hAnsi="Times New Roman" w:cs="Times New Roman"/>
          <w:sz w:val="24"/>
          <w:szCs w:val="24"/>
        </w:rPr>
        <w:t xml:space="preserve">the optimal weight on each estimator is 50% regardless of the correlation coefficient </w:t>
      </w:r>
      <w:r w:rsidR="000E244D" w:rsidRPr="000E244D">
        <w:rPr>
          <w:rFonts w:ascii="Times New Roman" w:hAnsi="Times New Roman" w:cs="Times New Roman"/>
          <w:i/>
          <w:sz w:val="24"/>
          <w:szCs w:val="24"/>
        </w:rPr>
        <w:t>ρ</w:t>
      </w:r>
      <w:r w:rsidR="00382434">
        <w:rPr>
          <w:rFonts w:ascii="Times New Roman" w:hAnsi="Times New Roman" w:cs="Times New Roman"/>
          <w:sz w:val="24"/>
          <w:szCs w:val="24"/>
        </w:rPr>
        <w:t>:</w:t>
      </w:r>
    </w:p>
    <w:p w:rsidR="00382434" w:rsidRDefault="00382434" w:rsidP="00432721">
      <w:pPr>
        <w:spacing w:after="0" w:line="360" w:lineRule="auto"/>
        <w:jc w:val="both"/>
        <w:rPr>
          <w:rFonts w:ascii="Times New Roman" w:hAnsi="Times New Roman" w:cs="Times New Roman"/>
          <w:sz w:val="24"/>
          <w:szCs w:val="24"/>
        </w:rPr>
      </w:pPr>
    </w:p>
    <w:p w:rsidR="005C23C9" w:rsidRDefault="00112DC6" w:rsidP="005C23C9">
      <w:pPr>
        <w:spacing w:after="0" w:line="360" w:lineRule="auto"/>
        <w:jc w:val="center"/>
        <w:rPr>
          <w:rFonts w:ascii="Times New Roman" w:hAnsi="Times New Roman" w:cs="Times New Roman"/>
          <w:sz w:val="24"/>
          <w:szCs w:val="24"/>
        </w:rPr>
      </w:pPr>
      <w:r w:rsidRPr="00CF32BD">
        <w:rPr>
          <w:rFonts w:ascii="Times New Roman" w:hAnsi="Times New Roman" w:cs="Times New Roman"/>
          <w:b/>
          <w:bCs/>
          <w:position w:val="-28"/>
          <w:sz w:val="24"/>
          <w:szCs w:val="24"/>
        </w:rPr>
        <w:object w:dxaOrig="3940" w:dyaOrig="700">
          <v:shape id="_x0000_i1045" type="#_x0000_t75" style="width:197.6pt;height:34.35pt" o:ole="">
            <v:imagedata r:id="rId49" o:title=""/>
          </v:shape>
          <o:OLEObject Type="Embed" ProgID="Equation.3" ShapeID="_x0000_i1045" DrawAspect="Content" ObjectID="_1478385632" r:id="rId50"/>
        </w:object>
      </w:r>
    </w:p>
    <w:p w:rsidR="00074D68" w:rsidRDefault="00074D68" w:rsidP="00122250">
      <w:pPr>
        <w:pStyle w:val="ListParagraph"/>
        <w:spacing w:after="0" w:line="360" w:lineRule="auto"/>
        <w:ind w:left="0"/>
        <w:jc w:val="both"/>
        <w:rPr>
          <w:rFonts w:ascii="Times New Roman" w:hAnsi="Times New Roman" w:cs="Times New Roman"/>
          <w:sz w:val="24"/>
          <w:szCs w:val="24"/>
        </w:rPr>
      </w:pPr>
    </w:p>
    <w:p w:rsidR="00DB50A4" w:rsidRDefault="00DB50A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w:t>
      </w:r>
      <w:r w:rsidR="00A01DED">
        <w:rPr>
          <w:rFonts w:ascii="Times New Roman" w:hAnsi="Times New Roman" w:cs="Times New Roman"/>
          <w:sz w:val="24"/>
          <w:szCs w:val="24"/>
        </w:rPr>
        <w:t xml:space="preserve">since neither the BVAL nor the RBA index is clearly superior to the other, I recommend that a combined estimator be used.  Furthermore, since </w:t>
      </w:r>
      <w:r w:rsidR="004D49E9">
        <w:rPr>
          <w:rFonts w:ascii="Times New Roman" w:hAnsi="Times New Roman" w:cs="Times New Roman"/>
          <w:sz w:val="24"/>
          <w:szCs w:val="24"/>
        </w:rPr>
        <w:t xml:space="preserve">the </w:t>
      </w:r>
      <w:r w:rsidR="00A01DED">
        <w:rPr>
          <w:rFonts w:ascii="Times New Roman" w:hAnsi="Times New Roman" w:cs="Times New Roman"/>
          <w:sz w:val="24"/>
          <w:szCs w:val="24"/>
        </w:rPr>
        <w:t xml:space="preserve">standard </w:t>
      </w:r>
      <w:r w:rsidR="004D49E9">
        <w:rPr>
          <w:rFonts w:ascii="Times New Roman" w:hAnsi="Times New Roman" w:cs="Times New Roman"/>
          <w:sz w:val="24"/>
          <w:szCs w:val="24"/>
        </w:rPr>
        <w:t xml:space="preserve">deviations </w:t>
      </w:r>
      <w:r w:rsidR="00A01DED" w:rsidRPr="00E455CB">
        <w:rPr>
          <w:rFonts w:ascii="Times New Roman" w:hAnsi="Times New Roman" w:cs="Times New Roman"/>
          <w:sz w:val="24"/>
          <w:szCs w:val="24"/>
        </w:rPr>
        <w:t xml:space="preserve">of </w:t>
      </w:r>
      <w:r w:rsidR="006F59A4" w:rsidRPr="00E455CB">
        <w:rPr>
          <w:rFonts w:ascii="Times New Roman" w:hAnsi="Times New Roman" w:cs="Times New Roman"/>
          <w:sz w:val="24"/>
          <w:szCs w:val="24"/>
        </w:rPr>
        <w:t>the two estimators</w:t>
      </w:r>
      <w:r w:rsidR="006F59A4">
        <w:rPr>
          <w:rFonts w:ascii="Times New Roman" w:hAnsi="Times New Roman" w:cs="Times New Roman"/>
          <w:sz w:val="24"/>
          <w:szCs w:val="24"/>
        </w:rPr>
        <w:t xml:space="preserve"> </w:t>
      </w:r>
      <w:r w:rsidR="00A01DED">
        <w:rPr>
          <w:rFonts w:ascii="Times New Roman" w:hAnsi="Times New Roman" w:cs="Times New Roman"/>
          <w:sz w:val="24"/>
          <w:szCs w:val="24"/>
        </w:rPr>
        <w:t>are similar and it is not possible to quantify biases, I recommend that the two indexes be equally weighted.  This will lower the MSE of the estimator relative t</w:t>
      </w:r>
      <w:r w:rsidR="006017E3">
        <w:rPr>
          <w:rFonts w:ascii="Times New Roman" w:hAnsi="Times New Roman" w:cs="Times New Roman"/>
          <w:sz w:val="24"/>
          <w:szCs w:val="24"/>
        </w:rPr>
        <w:t>o using only one of the indexes, and significantly so if the correlation between the two indexes is low.</w:t>
      </w:r>
    </w:p>
    <w:p w:rsidR="00DA7493" w:rsidRPr="004F393F" w:rsidRDefault="00DA7493" w:rsidP="004F393F">
      <w:pPr>
        <w:spacing w:after="0" w:line="360" w:lineRule="auto"/>
        <w:jc w:val="both"/>
        <w:rPr>
          <w:rFonts w:ascii="Times New Roman" w:hAnsi="Times New Roman" w:cs="Times New Roman"/>
          <w:b/>
          <w:sz w:val="24"/>
          <w:szCs w:val="24"/>
        </w:rPr>
      </w:pPr>
    </w:p>
    <w:p w:rsidR="00A02D32" w:rsidRPr="004F393F" w:rsidRDefault="004F393F" w:rsidP="00A02D32">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2.3 Contrary Views</w:t>
      </w:r>
    </w:p>
    <w:p w:rsidR="00B823D7" w:rsidRDefault="00A02D32" w:rsidP="00A02D3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NERA (2014, section 4.3) rai</w:t>
      </w:r>
      <w:r w:rsidR="00ED5E37">
        <w:rPr>
          <w:rFonts w:ascii="Times New Roman" w:hAnsi="Times New Roman" w:cs="Times New Roman"/>
          <w:sz w:val="24"/>
          <w:szCs w:val="24"/>
        </w:rPr>
        <w:t xml:space="preserve">ses points (1), (2), (7), and </w:t>
      </w:r>
      <w:r w:rsidR="00ED5E37" w:rsidRPr="0003720D">
        <w:rPr>
          <w:rFonts w:ascii="Times New Roman" w:hAnsi="Times New Roman" w:cs="Times New Roman"/>
          <w:sz w:val="24"/>
          <w:szCs w:val="24"/>
        </w:rPr>
        <w:t>(10</w:t>
      </w:r>
      <w:r w:rsidRPr="0003720D">
        <w:rPr>
          <w:rFonts w:ascii="Times New Roman" w:hAnsi="Times New Roman" w:cs="Times New Roman"/>
          <w:sz w:val="24"/>
          <w:szCs w:val="24"/>
        </w:rPr>
        <w:t>),</w:t>
      </w:r>
      <w:r>
        <w:rPr>
          <w:rFonts w:ascii="Times New Roman" w:hAnsi="Times New Roman" w:cs="Times New Roman"/>
          <w:sz w:val="24"/>
          <w:szCs w:val="24"/>
        </w:rPr>
        <w:t xml:space="preserve"> </w:t>
      </w:r>
      <w:r w:rsidR="00B823D7">
        <w:rPr>
          <w:rFonts w:ascii="Times New Roman" w:hAnsi="Times New Roman" w:cs="Times New Roman"/>
          <w:sz w:val="24"/>
          <w:szCs w:val="24"/>
        </w:rPr>
        <w:t xml:space="preserve">and concludes in favour of the RBA index.  However, the failure to discuss the other points of distinction between the two series, as detailed </w:t>
      </w:r>
      <w:r>
        <w:rPr>
          <w:rFonts w:ascii="Times New Roman" w:hAnsi="Times New Roman" w:cs="Times New Roman"/>
          <w:sz w:val="24"/>
          <w:szCs w:val="24"/>
        </w:rPr>
        <w:t>in the previous section</w:t>
      </w:r>
      <w:r w:rsidR="00B823D7">
        <w:rPr>
          <w:rFonts w:ascii="Times New Roman" w:hAnsi="Times New Roman" w:cs="Times New Roman"/>
          <w:sz w:val="24"/>
          <w:szCs w:val="24"/>
        </w:rPr>
        <w:t>, undercuts the merit of NERA’s conclusion.</w:t>
      </w:r>
    </w:p>
    <w:p w:rsidR="00B823D7" w:rsidRDefault="00B823D7" w:rsidP="00A02D32">
      <w:pPr>
        <w:pStyle w:val="ListParagraph"/>
        <w:spacing w:after="0" w:line="360" w:lineRule="auto"/>
        <w:ind w:left="0"/>
        <w:jc w:val="both"/>
        <w:rPr>
          <w:rFonts w:ascii="Times New Roman" w:hAnsi="Times New Roman" w:cs="Times New Roman"/>
          <w:sz w:val="24"/>
          <w:szCs w:val="24"/>
        </w:rPr>
      </w:pPr>
    </w:p>
    <w:p w:rsidR="00A02D32" w:rsidRDefault="00A02D32" w:rsidP="00A02D3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NERA (2014, page 13) </w:t>
      </w:r>
      <w:r w:rsidR="008553C4">
        <w:rPr>
          <w:rFonts w:ascii="Times New Roman" w:hAnsi="Times New Roman" w:cs="Times New Roman"/>
          <w:sz w:val="24"/>
          <w:szCs w:val="24"/>
        </w:rPr>
        <w:t xml:space="preserve">also </w:t>
      </w:r>
      <w:r>
        <w:rPr>
          <w:rFonts w:ascii="Times New Roman" w:hAnsi="Times New Roman" w:cs="Times New Roman"/>
          <w:sz w:val="24"/>
          <w:szCs w:val="24"/>
        </w:rPr>
        <w:t xml:space="preserve">argues </w:t>
      </w:r>
      <w:r w:rsidR="008553C4">
        <w:rPr>
          <w:rFonts w:ascii="Times New Roman" w:hAnsi="Times New Roman" w:cs="Times New Roman"/>
          <w:sz w:val="24"/>
          <w:szCs w:val="24"/>
        </w:rPr>
        <w:t xml:space="preserve">in respect of point (2) </w:t>
      </w:r>
      <w:r>
        <w:rPr>
          <w:rFonts w:ascii="Times New Roman" w:hAnsi="Times New Roman" w:cs="Times New Roman"/>
          <w:sz w:val="24"/>
          <w:szCs w:val="24"/>
        </w:rPr>
        <w:t>that the extrapolation required for the BVAL cannot be undertaken automatically and therefore will repeatedly require subjective and contentious judgements.  However, this claim is not correct.  As</w:t>
      </w:r>
      <w:r w:rsidR="008553C4">
        <w:rPr>
          <w:rFonts w:ascii="Times New Roman" w:hAnsi="Times New Roman" w:cs="Times New Roman"/>
          <w:sz w:val="24"/>
          <w:szCs w:val="24"/>
        </w:rPr>
        <w:t xml:space="preserve"> will be discussed in section 7</w:t>
      </w:r>
      <w:r>
        <w:rPr>
          <w:rFonts w:ascii="Times New Roman" w:hAnsi="Times New Roman" w:cs="Times New Roman"/>
          <w:sz w:val="24"/>
          <w:szCs w:val="24"/>
        </w:rPr>
        <w:t>, there are a number of extrapolation methods that require no judgement in implementing them.  So, whilst point (2) favours the RBA index, the advantage is not as great as claimed by NERA.</w:t>
      </w:r>
    </w:p>
    <w:p w:rsidR="00A02D32" w:rsidRDefault="00A02D32" w:rsidP="00A02D32">
      <w:pPr>
        <w:pStyle w:val="ListParagraph"/>
        <w:spacing w:after="0" w:line="360" w:lineRule="auto"/>
        <w:ind w:left="0"/>
        <w:jc w:val="both"/>
        <w:rPr>
          <w:rFonts w:ascii="Times New Roman" w:hAnsi="Times New Roman" w:cs="Times New Roman"/>
          <w:sz w:val="24"/>
          <w:szCs w:val="24"/>
        </w:rPr>
      </w:pPr>
    </w:p>
    <w:p w:rsidR="00A02D32" w:rsidRPr="003F6A85" w:rsidRDefault="00A02D32" w:rsidP="00A02D32">
      <w:pPr>
        <w:pStyle w:val="ListParagraph"/>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rPr>
        <w:t xml:space="preserve">NERA (2014, page 14) </w:t>
      </w:r>
      <w:r w:rsidR="008553C4">
        <w:rPr>
          <w:rFonts w:ascii="Times New Roman" w:hAnsi="Times New Roman" w:cs="Times New Roman"/>
          <w:sz w:val="24"/>
          <w:szCs w:val="24"/>
        </w:rPr>
        <w:t xml:space="preserve">also </w:t>
      </w:r>
      <w:r>
        <w:rPr>
          <w:rFonts w:ascii="Times New Roman" w:hAnsi="Times New Roman" w:cs="Times New Roman"/>
          <w:sz w:val="24"/>
          <w:szCs w:val="24"/>
        </w:rPr>
        <w:t xml:space="preserve">argues that the RBA estimates are “reliable” because there are no grounds to suspect bias in its results, and this in turn </w:t>
      </w:r>
      <w:r w:rsidR="00EE1258">
        <w:rPr>
          <w:rFonts w:ascii="Times New Roman" w:hAnsi="Times New Roman" w:cs="Times New Roman"/>
          <w:sz w:val="24"/>
          <w:szCs w:val="24"/>
        </w:rPr>
        <w:t xml:space="preserve">follows from its </w:t>
      </w:r>
      <w:r>
        <w:rPr>
          <w:rFonts w:ascii="Times New Roman" w:hAnsi="Times New Roman" w:cs="Times New Roman"/>
          <w:sz w:val="24"/>
          <w:szCs w:val="24"/>
        </w:rPr>
        <w:t>‘Code of Conduct’.  However, even without bias, estimates will be unreliable if they are drawn from a distribution with a high standard deviatio</w:t>
      </w:r>
      <w:r w:rsidR="00827C1B">
        <w:rPr>
          <w:rFonts w:ascii="Times New Roman" w:hAnsi="Times New Roman" w:cs="Times New Roman"/>
          <w:sz w:val="24"/>
          <w:szCs w:val="24"/>
        </w:rPr>
        <w:t>n</w:t>
      </w:r>
      <w:r w:rsidR="004A34D3">
        <w:rPr>
          <w:rFonts w:ascii="Times New Roman" w:hAnsi="Times New Roman" w:cs="Times New Roman"/>
          <w:sz w:val="24"/>
          <w:szCs w:val="24"/>
        </w:rPr>
        <w:t xml:space="preserve">.  Furthermore, the RBA </w:t>
      </w:r>
      <w:r w:rsidR="00EE1258">
        <w:rPr>
          <w:rFonts w:ascii="Times New Roman" w:hAnsi="Times New Roman" w:cs="Times New Roman"/>
          <w:sz w:val="24"/>
          <w:szCs w:val="24"/>
        </w:rPr>
        <w:t xml:space="preserve">index values for ten-year bonds </w:t>
      </w:r>
      <w:r w:rsidR="004A34D3">
        <w:rPr>
          <w:rFonts w:ascii="Times New Roman" w:hAnsi="Times New Roman" w:cs="Times New Roman"/>
          <w:sz w:val="24"/>
          <w:szCs w:val="24"/>
        </w:rPr>
        <w:t xml:space="preserve">are biased at the very least because the weightings given to bonds </w:t>
      </w:r>
      <w:r w:rsidR="00EE1258">
        <w:rPr>
          <w:rFonts w:ascii="Times New Roman" w:hAnsi="Times New Roman" w:cs="Times New Roman"/>
          <w:sz w:val="24"/>
          <w:szCs w:val="24"/>
        </w:rPr>
        <w:t>used for this purpose do not have a</w:t>
      </w:r>
      <w:r w:rsidR="004A34D3">
        <w:rPr>
          <w:rFonts w:ascii="Times New Roman" w:hAnsi="Times New Roman" w:cs="Times New Roman"/>
          <w:sz w:val="24"/>
          <w:szCs w:val="24"/>
        </w:rPr>
        <w:t xml:space="preserve"> weighted-average tenor equal to ten years and this point is even acknowledged by the RBA (Arsov et al, 2013, page </w:t>
      </w:r>
      <w:r w:rsidR="00EE1258">
        <w:rPr>
          <w:rFonts w:ascii="Times New Roman" w:hAnsi="Times New Roman" w:cs="Times New Roman"/>
          <w:sz w:val="24"/>
          <w:szCs w:val="24"/>
        </w:rPr>
        <w:t>10). In fact, across the entire period for which the RBA series is presented (from January 2005), the average tenor of the bonds used to form the index value for ten years is 8.7 years and has been as low as 6.11 years (in August 2005).</w:t>
      </w:r>
      <w:r w:rsidR="00EE1258">
        <w:rPr>
          <w:rStyle w:val="FootnoteReference"/>
          <w:rFonts w:ascii="Times New Roman" w:hAnsi="Times New Roman" w:cs="Times New Roman"/>
          <w:sz w:val="24"/>
          <w:szCs w:val="24"/>
        </w:rPr>
        <w:footnoteReference w:id="9"/>
      </w:r>
      <w:r w:rsidR="003F6A85">
        <w:rPr>
          <w:rFonts w:ascii="Times New Roman" w:hAnsi="Times New Roman" w:cs="Times New Roman"/>
          <w:sz w:val="24"/>
          <w:szCs w:val="24"/>
        </w:rPr>
        <w:t xml:space="preserve">  </w:t>
      </w:r>
      <w:r w:rsidR="003F6A85" w:rsidRPr="00E455CB">
        <w:rPr>
          <w:rFonts w:ascii="Times New Roman" w:hAnsi="Times New Roman" w:cs="Times New Roman"/>
          <w:sz w:val="24"/>
          <w:szCs w:val="24"/>
        </w:rPr>
        <w:t xml:space="preserve">Furthermore, </w:t>
      </w:r>
      <w:r w:rsidR="00ED5E37">
        <w:rPr>
          <w:rFonts w:ascii="Times New Roman" w:hAnsi="Times New Roman" w:cs="Times New Roman"/>
          <w:sz w:val="24"/>
          <w:szCs w:val="24"/>
        </w:rPr>
        <w:t xml:space="preserve">as discussed earlier, </w:t>
      </w:r>
      <w:r w:rsidR="003F6A85" w:rsidRPr="00E455CB">
        <w:rPr>
          <w:rFonts w:ascii="Times New Roman" w:hAnsi="Times New Roman" w:cs="Times New Roman"/>
          <w:sz w:val="24"/>
          <w:szCs w:val="24"/>
        </w:rPr>
        <w:t>the RBA index values are likely to be biased because they significantly overweight foreign currency bonds, especially for ten years.</w:t>
      </w:r>
    </w:p>
    <w:p w:rsidR="00827C1B" w:rsidRDefault="00827C1B" w:rsidP="00A02D32">
      <w:pPr>
        <w:pStyle w:val="ListParagraph"/>
        <w:spacing w:after="0" w:line="360" w:lineRule="auto"/>
        <w:ind w:left="0"/>
        <w:jc w:val="both"/>
        <w:rPr>
          <w:rFonts w:ascii="Times New Roman" w:hAnsi="Times New Roman" w:cs="Times New Roman"/>
          <w:sz w:val="24"/>
          <w:szCs w:val="24"/>
        </w:rPr>
      </w:pPr>
    </w:p>
    <w:p w:rsidR="00DA7493" w:rsidRDefault="00827C1B"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NERA (2014</w:t>
      </w:r>
      <w:r w:rsidR="00E8490C">
        <w:rPr>
          <w:rFonts w:ascii="Times New Roman" w:hAnsi="Times New Roman" w:cs="Times New Roman"/>
          <w:sz w:val="24"/>
          <w:szCs w:val="24"/>
        </w:rPr>
        <w:t>,</w:t>
      </w:r>
      <w:r>
        <w:rPr>
          <w:rFonts w:ascii="Times New Roman" w:hAnsi="Times New Roman" w:cs="Times New Roman"/>
          <w:sz w:val="24"/>
          <w:szCs w:val="24"/>
        </w:rPr>
        <w:t xml:space="preserve"> page 18) also argues that the RBA series appeared to perform better than the BFV series during the GFC.  However, whatever the merits of this claim, the </w:t>
      </w:r>
      <w:r w:rsidR="00747554">
        <w:rPr>
          <w:rFonts w:ascii="Times New Roman" w:hAnsi="Times New Roman" w:cs="Times New Roman"/>
          <w:sz w:val="24"/>
          <w:szCs w:val="24"/>
        </w:rPr>
        <w:t xml:space="preserve">alleged </w:t>
      </w:r>
      <w:r>
        <w:rPr>
          <w:rFonts w:ascii="Times New Roman" w:hAnsi="Times New Roman" w:cs="Times New Roman"/>
          <w:sz w:val="24"/>
          <w:szCs w:val="24"/>
        </w:rPr>
        <w:t xml:space="preserve">failings of the BFV are irrelevant to the current choice, which involves the BVAL and RBA rather than the BFV and the RBA.  </w:t>
      </w:r>
      <w:r w:rsidR="00B823D7">
        <w:rPr>
          <w:rFonts w:ascii="Times New Roman" w:hAnsi="Times New Roman" w:cs="Times New Roman"/>
          <w:sz w:val="24"/>
          <w:szCs w:val="24"/>
        </w:rPr>
        <w:t xml:space="preserve">It might be argued that, since the </w:t>
      </w:r>
      <w:r>
        <w:rPr>
          <w:rFonts w:ascii="Times New Roman" w:hAnsi="Times New Roman" w:cs="Times New Roman"/>
          <w:sz w:val="24"/>
          <w:szCs w:val="24"/>
        </w:rPr>
        <w:t xml:space="preserve">BVAL </w:t>
      </w:r>
      <w:r w:rsidR="00B823D7">
        <w:rPr>
          <w:rFonts w:ascii="Times New Roman" w:hAnsi="Times New Roman" w:cs="Times New Roman"/>
          <w:sz w:val="24"/>
          <w:szCs w:val="24"/>
        </w:rPr>
        <w:t xml:space="preserve">is </w:t>
      </w:r>
      <w:r w:rsidR="00747554">
        <w:rPr>
          <w:rFonts w:ascii="Times New Roman" w:hAnsi="Times New Roman" w:cs="Times New Roman"/>
          <w:sz w:val="24"/>
          <w:szCs w:val="24"/>
        </w:rPr>
        <w:t xml:space="preserve">highly correlated </w:t>
      </w:r>
      <w:r w:rsidR="00B823D7">
        <w:rPr>
          <w:rFonts w:ascii="Times New Roman" w:hAnsi="Times New Roman" w:cs="Times New Roman"/>
          <w:sz w:val="24"/>
          <w:szCs w:val="24"/>
        </w:rPr>
        <w:t xml:space="preserve">with the BFV </w:t>
      </w:r>
      <w:r w:rsidR="00747554">
        <w:rPr>
          <w:rFonts w:ascii="Times New Roman" w:hAnsi="Times New Roman" w:cs="Times New Roman"/>
          <w:sz w:val="24"/>
          <w:szCs w:val="24"/>
        </w:rPr>
        <w:t xml:space="preserve">in the common period of existence (0.92), </w:t>
      </w:r>
      <w:r w:rsidR="00B823D7">
        <w:rPr>
          <w:rFonts w:ascii="Times New Roman" w:hAnsi="Times New Roman" w:cs="Times New Roman"/>
          <w:sz w:val="24"/>
          <w:szCs w:val="24"/>
        </w:rPr>
        <w:t xml:space="preserve">the BVAL would inherit the deficiencies in the BFV.  However, the </w:t>
      </w:r>
      <w:r w:rsidR="00747554">
        <w:rPr>
          <w:rFonts w:ascii="Times New Roman" w:hAnsi="Times New Roman" w:cs="Times New Roman"/>
          <w:sz w:val="24"/>
          <w:szCs w:val="24"/>
        </w:rPr>
        <w:t xml:space="preserve">RBA is </w:t>
      </w:r>
      <w:r w:rsidR="00B823D7">
        <w:rPr>
          <w:rFonts w:ascii="Times New Roman" w:hAnsi="Times New Roman" w:cs="Times New Roman"/>
          <w:sz w:val="24"/>
          <w:szCs w:val="24"/>
        </w:rPr>
        <w:t>similarly highly correlated with the BFV (0.90</w:t>
      </w:r>
      <w:r w:rsidR="00747554">
        <w:rPr>
          <w:rFonts w:ascii="Times New Roman" w:hAnsi="Times New Roman" w:cs="Times New Roman"/>
          <w:sz w:val="24"/>
          <w:szCs w:val="24"/>
        </w:rPr>
        <w:t>) and therefore it c</w:t>
      </w:r>
      <w:r w:rsidR="00B823D7">
        <w:rPr>
          <w:rFonts w:ascii="Times New Roman" w:hAnsi="Times New Roman" w:cs="Times New Roman"/>
          <w:sz w:val="24"/>
          <w:szCs w:val="24"/>
        </w:rPr>
        <w:t xml:space="preserve">ould not be argued that the BFV would inherit the deficiencies in the BVAL </w:t>
      </w:r>
      <w:r w:rsidR="006D332D">
        <w:rPr>
          <w:rFonts w:ascii="Times New Roman" w:hAnsi="Times New Roman" w:cs="Times New Roman"/>
          <w:sz w:val="24"/>
          <w:szCs w:val="24"/>
        </w:rPr>
        <w:t>whilst the RBA was free of them.</w:t>
      </w:r>
    </w:p>
    <w:p w:rsidR="006D332D" w:rsidRDefault="006D332D" w:rsidP="00122250">
      <w:pPr>
        <w:pStyle w:val="ListParagraph"/>
        <w:spacing w:after="0" w:line="360" w:lineRule="auto"/>
        <w:ind w:left="0"/>
        <w:jc w:val="both"/>
        <w:rPr>
          <w:rFonts w:ascii="Times New Roman" w:hAnsi="Times New Roman" w:cs="Times New Roman"/>
          <w:sz w:val="24"/>
          <w:szCs w:val="24"/>
        </w:rPr>
      </w:pPr>
    </w:p>
    <w:p w:rsidR="00DA7493" w:rsidRDefault="006D332D"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CEG (2014, section 3.1) favours the RBA index purely on the basis that it provided more plausible results than the BVAL</w:t>
      </w:r>
      <w:r w:rsidR="003F4D6C">
        <w:rPr>
          <w:rFonts w:ascii="Times New Roman" w:hAnsi="Times New Roman" w:cs="Times New Roman"/>
          <w:sz w:val="24"/>
          <w:szCs w:val="24"/>
        </w:rPr>
        <w:t xml:space="preserve"> and BFV over the period since the GFC commenced.  </w:t>
      </w:r>
      <w:r w:rsidR="003A0F5D">
        <w:rPr>
          <w:rFonts w:ascii="Times New Roman" w:hAnsi="Times New Roman" w:cs="Times New Roman"/>
          <w:sz w:val="24"/>
          <w:szCs w:val="24"/>
        </w:rPr>
        <w:t xml:space="preserve">However CEG’s </w:t>
      </w:r>
      <w:r w:rsidR="00DA3FBD">
        <w:rPr>
          <w:rFonts w:ascii="Times New Roman" w:hAnsi="Times New Roman" w:cs="Times New Roman"/>
          <w:sz w:val="24"/>
          <w:szCs w:val="24"/>
        </w:rPr>
        <w:t xml:space="preserve">failure to discuss any of the points raised in the previous section undercuts the merit in this conclusion.  Furthermore, since the </w:t>
      </w:r>
      <w:r w:rsidR="003F4D6C">
        <w:rPr>
          <w:rFonts w:ascii="Times New Roman" w:hAnsi="Times New Roman" w:cs="Times New Roman"/>
          <w:sz w:val="24"/>
          <w:szCs w:val="24"/>
        </w:rPr>
        <w:t xml:space="preserve">choice </w:t>
      </w:r>
      <w:r w:rsidR="00DA3FBD">
        <w:rPr>
          <w:rFonts w:ascii="Times New Roman" w:hAnsi="Times New Roman" w:cs="Times New Roman"/>
          <w:sz w:val="24"/>
          <w:szCs w:val="24"/>
        </w:rPr>
        <w:t xml:space="preserve">facing the AER </w:t>
      </w:r>
      <w:r w:rsidR="003F4D6C">
        <w:rPr>
          <w:rFonts w:ascii="Times New Roman" w:hAnsi="Times New Roman" w:cs="Times New Roman"/>
          <w:sz w:val="24"/>
          <w:szCs w:val="24"/>
        </w:rPr>
        <w:t>is between the RBA and the BVAL</w:t>
      </w:r>
      <w:r w:rsidR="00DA3FBD">
        <w:rPr>
          <w:rFonts w:ascii="Times New Roman" w:hAnsi="Times New Roman" w:cs="Times New Roman"/>
          <w:sz w:val="24"/>
          <w:szCs w:val="24"/>
        </w:rPr>
        <w:t>,</w:t>
      </w:r>
      <w:r w:rsidR="003F4D6C">
        <w:rPr>
          <w:rFonts w:ascii="Times New Roman" w:hAnsi="Times New Roman" w:cs="Times New Roman"/>
          <w:sz w:val="24"/>
          <w:szCs w:val="24"/>
        </w:rPr>
        <w:t xml:space="preserve"> the historical performance of the BFV is irrelevant.  CEG offer only two comments that are relevant to a comparison of the RBA and the BVAL</w:t>
      </w:r>
      <w:r w:rsidR="00DA3FBD">
        <w:rPr>
          <w:rFonts w:ascii="Times New Roman" w:hAnsi="Times New Roman" w:cs="Times New Roman"/>
          <w:sz w:val="24"/>
          <w:szCs w:val="24"/>
        </w:rPr>
        <w:t xml:space="preserve"> indexes</w:t>
      </w:r>
      <w:r w:rsidR="003F4D6C">
        <w:rPr>
          <w:rFonts w:ascii="Times New Roman" w:hAnsi="Times New Roman" w:cs="Times New Roman"/>
          <w:sz w:val="24"/>
          <w:szCs w:val="24"/>
        </w:rPr>
        <w:t xml:space="preserve">.  Firstly, CEG (2014, para 143) </w:t>
      </w:r>
      <w:r w:rsidR="00E8490C">
        <w:rPr>
          <w:rFonts w:ascii="Times New Roman" w:hAnsi="Times New Roman" w:cs="Times New Roman"/>
          <w:sz w:val="24"/>
          <w:szCs w:val="24"/>
        </w:rPr>
        <w:t xml:space="preserve">argues </w:t>
      </w:r>
      <w:r w:rsidR="003F4D6C">
        <w:rPr>
          <w:rFonts w:ascii="Times New Roman" w:hAnsi="Times New Roman" w:cs="Times New Roman"/>
          <w:sz w:val="24"/>
          <w:szCs w:val="24"/>
        </w:rPr>
        <w:t xml:space="preserve">that the BVAL curve is more erratic, with large single day changes in yields.  However, the RBA is only reported </w:t>
      </w:r>
      <w:r w:rsidR="00B1388B">
        <w:rPr>
          <w:rFonts w:ascii="Times New Roman" w:hAnsi="Times New Roman" w:cs="Times New Roman"/>
          <w:sz w:val="24"/>
          <w:szCs w:val="24"/>
        </w:rPr>
        <w:t xml:space="preserve">for the last day of each month </w:t>
      </w:r>
      <w:r w:rsidR="003F4D6C">
        <w:rPr>
          <w:rFonts w:ascii="Times New Roman" w:hAnsi="Times New Roman" w:cs="Times New Roman"/>
          <w:sz w:val="24"/>
          <w:szCs w:val="24"/>
        </w:rPr>
        <w:t xml:space="preserve">rather than daily and therefore no such comparison </w:t>
      </w:r>
      <w:r w:rsidR="00DA3FBD">
        <w:rPr>
          <w:rFonts w:ascii="Times New Roman" w:hAnsi="Times New Roman" w:cs="Times New Roman"/>
          <w:sz w:val="24"/>
          <w:szCs w:val="24"/>
        </w:rPr>
        <w:t xml:space="preserve">of the day-to-day volatility </w:t>
      </w:r>
      <w:r w:rsidR="00E8490C">
        <w:rPr>
          <w:rFonts w:ascii="Times New Roman" w:hAnsi="Times New Roman" w:cs="Times New Roman"/>
          <w:sz w:val="24"/>
          <w:szCs w:val="24"/>
        </w:rPr>
        <w:t xml:space="preserve">of the two indexes </w:t>
      </w:r>
      <w:r w:rsidR="003F4D6C">
        <w:rPr>
          <w:rFonts w:ascii="Times New Roman" w:hAnsi="Times New Roman" w:cs="Times New Roman"/>
          <w:sz w:val="24"/>
          <w:szCs w:val="24"/>
        </w:rPr>
        <w:t xml:space="preserve">is possible.  Secondly, CEG (2014, para 144) argues that the BVAL </w:t>
      </w:r>
      <w:r w:rsidR="00640369">
        <w:rPr>
          <w:rFonts w:ascii="Times New Roman" w:hAnsi="Times New Roman" w:cs="Times New Roman"/>
          <w:sz w:val="24"/>
          <w:szCs w:val="24"/>
        </w:rPr>
        <w:t xml:space="preserve">DRP </w:t>
      </w:r>
      <w:r w:rsidR="003F4D6C">
        <w:rPr>
          <w:rFonts w:ascii="Times New Roman" w:hAnsi="Times New Roman" w:cs="Times New Roman"/>
          <w:sz w:val="24"/>
          <w:szCs w:val="24"/>
        </w:rPr>
        <w:t>fell from a peak of 3.44% in December 2011 to 2.98% in June/July 2012</w:t>
      </w:r>
      <w:r w:rsidR="00B1388B">
        <w:rPr>
          <w:rFonts w:ascii="Times New Roman" w:hAnsi="Times New Roman" w:cs="Times New Roman"/>
          <w:sz w:val="24"/>
          <w:szCs w:val="24"/>
        </w:rPr>
        <w:t xml:space="preserve"> whilst there was considerable turmoil in financial markets, and therefore </w:t>
      </w:r>
      <w:r w:rsidR="00E8490C">
        <w:rPr>
          <w:rFonts w:ascii="Times New Roman" w:hAnsi="Times New Roman" w:cs="Times New Roman"/>
          <w:sz w:val="24"/>
          <w:szCs w:val="24"/>
        </w:rPr>
        <w:t xml:space="preserve">that </w:t>
      </w:r>
      <w:r w:rsidR="00B1388B">
        <w:rPr>
          <w:rFonts w:ascii="Times New Roman" w:hAnsi="Times New Roman" w:cs="Times New Roman"/>
          <w:sz w:val="24"/>
          <w:szCs w:val="24"/>
        </w:rPr>
        <w:t xml:space="preserve">the behavior of the BVAL was implausible.  However the </w:t>
      </w:r>
      <w:r w:rsidR="00640369">
        <w:rPr>
          <w:rFonts w:ascii="Times New Roman" w:hAnsi="Times New Roman" w:cs="Times New Roman"/>
          <w:sz w:val="24"/>
          <w:szCs w:val="24"/>
        </w:rPr>
        <w:t>only points in ti</w:t>
      </w:r>
      <w:r w:rsidR="00DA3FBD">
        <w:rPr>
          <w:rFonts w:ascii="Times New Roman" w:hAnsi="Times New Roman" w:cs="Times New Roman"/>
          <w:sz w:val="24"/>
          <w:szCs w:val="24"/>
        </w:rPr>
        <w:t xml:space="preserve">me at which a comparison can be performed </w:t>
      </w:r>
      <w:r w:rsidR="00640369">
        <w:rPr>
          <w:rFonts w:ascii="Times New Roman" w:hAnsi="Times New Roman" w:cs="Times New Roman"/>
          <w:sz w:val="24"/>
          <w:szCs w:val="24"/>
        </w:rPr>
        <w:t xml:space="preserve">are on the last day of each month, and therefore the comparison should involve 31 December 2011 and 31 July 2012.  Furthermore, there is no BVAL ten-year curve and the comparison should </w:t>
      </w:r>
      <w:r w:rsidR="00E8490C">
        <w:rPr>
          <w:rFonts w:ascii="Times New Roman" w:hAnsi="Times New Roman" w:cs="Times New Roman"/>
          <w:sz w:val="24"/>
          <w:szCs w:val="24"/>
        </w:rPr>
        <w:t xml:space="preserve">then </w:t>
      </w:r>
      <w:r w:rsidR="00640369">
        <w:rPr>
          <w:rFonts w:ascii="Times New Roman" w:hAnsi="Times New Roman" w:cs="Times New Roman"/>
          <w:sz w:val="24"/>
          <w:szCs w:val="24"/>
        </w:rPr>
        <w:t>be with the seven-year curves.</w:t>
      </w:r>
      <w:r w:rsidR="00DA3FBD">
        <w:rPr>
          <w:rStyle w:val="FootnoteReference"/>
          <w:rFonts w:ascii="Times New Roman" w:hAnsi="Times New Roman" w:cs="Times New Roman"/>
          <w:sz w:val="24"/>
          <w:szCs w:val="24"/>
        </w:rPr>
        <w:footnoteReference w:id="10"/>
      </w:r>
      <w:r w:rsidR="00640369">
        <w:rPr>
          <w:rFonts w:ascii="Times New Roman" w:hAnsi="Times New Roman" w:cs="Times New Roman"/>
          <w:sz w:val="24"/>
          <w:szCs w:val="24"/>
        </w:rPr>
        <w:t xml:space="preserve">  </w:t>
      </w:r>
      <w:r w:rsidR="00B32A18">
        <w:rPr>
          <w:rFonts w:ascii="Times New Roman" w:hAnsi="Times New Roman" w:cs="Times New Roman"/>
          <w:sz w:val="24"/>
          <w:szCs w:val="24"/>
        </w:rPr>
        <w:t xml:space="preserve">Consistent with CEG’s Figure 9, the DRPs are determined relative to the CGS and, consistent with using seven-year values for the RBA and the BVAL, the CGS is for a seven-year bond.  The results are shown in Table 1 below.  </w:t>
      </w:r>
      <w:r w:rsidR="00DA3FBD">
        <w:rPr>
          <w:rFonts w:ascii="Times New Roman" w:hAnsi="Times New Roman" w:cs="Times New Roman"/>
          <w:sz w:val="24"/>
          <w:szCs w:val="24"/>
        </w:rPr>
        <w:t xml:space="preserve">Both the RBA DRP and the BVAL DRP fall over this period (by 0.37% and 0.69% respectively), </w:t>
      </w:r>
      <w:r w:rsidR="00E8490C">
        <w:rPr>
          <w:rFonts w:ascii="Times New Roman" w:hAnsi="Times New Roman" w:cs="Times New Roman"/>
          <w:sz w:val="24"/>
          <w:szCs w:val="24"/>
        </w:rPr>
        <w:t xml:space="preserve">whilst </w:t>
      </w:r>
      <w:r w:rsidR="00DA3FBD">
        <w:rPr>
          <w:rFonts w:ascii="Times New Roman" w:hAnsi="Times New Roman" w:cs="Times New Roman"/>
          <w:sz w:val="24"/>
          <w:szCs w:val="24"/>
        </w:rPr>
        <w:t>CEG thinks they should have risen.  The only reasonable conclusion to draw from this is that CEG’s views do not accord with the market.</w:t>
      </w:r>
    </w:p>
    <w:p w:rsidR="003C0B84" w:rsidRDefault="003C0B84" w:rsidP="00122250">
      <w:pPr>
        <w:pStyle w:val="ListParagraph"/>
        <w:spacing w:after="0" w:line="360" w:lineRule="auto"/>
        <w:ind w:left="0"/>
        <w:jc w:val="both"/>
        <w:rPr>
          <w:rFonts w:ascii="Times New Roman" w:hAnsi="Times New Roman" w:cs="Times New Roman"/>
          <w:sz w:val="24"/>
          <w:szCs w:val="24"/>
        </w:rPr>
      </w:pPr>
    </w:p>
    <w:p w:rsidR="003C0B84" w:rsidRDefault="003C0B84" w:rsidP="00B32A1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Table 1: DRPs in </w:t>
      </w:r>
      <w:r w:rsidR="00583319">
        <w:rPr>
          <w:rFonts w:ascii="Times New Roman" w:hAnsi="Times New Roman" w:cs="Times New Roman"/>
          <w:sz w:val="24"/>
          <w:szCs w:val="24"/>
        </w:rPr>
        <w:t xml:space="preserve">the </w:t>
      </w:r>
      <w:r>
        <w:rPr>
          <w:rFonts w:ascii="Times New Roman" w:hAnsi="Times New Roman" w:cs="Times New Roman"/>
          <w:sz w:val="24"/>
          <w:szCs w:val="24"/>
        </w:rPr>
        <w:t>First Half</w:t>
      </w:r>
      <w:r w:rsidR="00583319">
        <w:rPr>
          <w:rFonts w:ascii="Times New Roman" w:hAnsi="Times New Roman" w:cs="Times New Roman"/>
          <w:sz w:val="24"/>
          <w:szCs w:val="24"/>
        </w:rPr>
        <w:t xml:space="preserve"> of 2012</w:t>
      </w:r>
    </w:p>
    <w:p w:rsidR="003C0B84" w:rsidRDefault="003C0B84" w:rsidP="003C0B8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F4D6C" w:rsidRDefault="00B32A18" w:rsidP="00B32A1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Date                                 </w:t>
      </w:r>
      <w:r w:rsidR="00DC5266">
        <w:rPr>
          <w:rFonts w:ascii="Times New Roman" w:hAnsi="Times New Roman" w:cs="Times New Roman"/>
          <w:sz w:val="24"/>
          <w:szCs w:val="24"/>
        </w:rPr>
        <w:t xml:space="preserve"> </w:t>
      </w:r>
      <w:r>
        <w:rPr>
          <w:rFonts w:ascii="Times New Roman" w:hAnsi="Times New Roman" w:cs="Times New Roman"/>
          <w:sz w:val="24"/>
          <w:szCs w:val="24"/>
        </w:rPr>
        <w:t xml:space="preserve">RBA           </w:t>
      </w:r>
      <w:r w:rsidR="00DC5266">
        <w:rPr>
          <w:rFonts w:ascii="Times New Roman" w:hAnsi="Times New Roman" w:cs="Times New Roman"/>
          <w:sz w:val="24"/>
          <w:szCs w:val="24"/>
        </w:rPr>
        <w:t xml:space="preserve"> </w:t>
      </w:r>
      <w:r>
        <w:rPr>
          <w:rFonts w:ascii="Times New Roman" w:hAnsi="Times New Roman" w:cs="Times New Roman"/>
          <w:sz w:val="24"/>
          <w:szCs w:val="24"/>
        </w:rPr>
        <w:t>BVAL           CGS              RBA-DRP     BVAL-DRP</w:t>
      </w:r>
    </w:p>
    <w:p w:rsidR="003C0B84" w:rsidRDefault="003C0B8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C0B84" w:rsidRDefault="003C0B84" w:rsidP="00B32A18">
      <w:pPr>
        <w:pStyle w:val="ListParagraph"/>
        <w:tabs>
          <w:tab w:val="left" w:pos="2520"/>
          <w:tab w:val="left" w:pos="3780"/>
          <w:tab w:val="left" w:pos="5040"/>
          <w:tab w:val="left" w:pos="6660"/>
          <w:tab w:val="left" w:pos="810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31 December 2011</w:t>
      </w:r>
      <w:r>
        <w:rPr>
          <w:rFonts w:ascii="Times New Roman" w:hAnsi="Times New Roman" w:cs="Times New Roman"/>
          <w:sz w:val="24"/>
          <w:szCs w:val="24"/>
        </w:rPr>
        <w:tab/>
        <w:t>7.44</w:t>
      </w:r>
      <w:r>
        <w:rPr>
          <w:rFonts w:ascii="Times New Roman" w:hAnsi="Times New Roman" w:cs="Times New Roman"/>
          <w:sz w:val="24"/>
          <w:szCs w:val="24"/>
        </w:rPr>
        <w:tab/>
        <w:t>6.84</w:t>
      </w:r>
      <w:r>
        <w:rPr>
          <w:rFonts w:ascii="Times New Roman" w:hAnsi="Times New Roman" w:cs="Times New Roman"/>
          <w:sz w:val="24"/>
          <w:szCs w:val="24"/>
        </w:rPr>
        <w:tab/>
        <w:t>3.44</w:t>
      </w:r>
      <w:r>
        <w:rPr>
          <w:rFonts w:ascii="Times New Roman" w:hAnsi="Times New Roman" w:cs="Times New Roman"/>
          <w:sz w:val="24"/>
          <w:szCs w:val="24"/>
        </w:rPr>
        <w:tab/>
      </w:r>
      <w:r w:rsidR="00B32A18">
        <w:rPr>
          <w:rFonts w:ascii="Times New Roman" w:hAnsi="Times New Roman" w:cs="Times New Roman"/>
          <w:sz w:val="24"/>
          <w:szCs w:val="24"/>
        </w:rPr>
        <w:t>4.00</w:t>
      </w:r>
      <w:r w:rsidR="00B32A18">
        <w:rPr>
          <w:rFonts w:ascii="Times New Roman" w:hAnsi="Times New Roman" w:cs="Times New Roman"/>
          <w:sz w:val="24"/>
          <w:szCs w:val="24"/>
        </w:rPr>
        <w:tab/>
        <w:t>3.40</w:t>
      </w:r>
    </w:p>
    <w:p w:rsidR="00B32A18" w:rsidRDefault="00B32A18" w:rsidP="00B32A18">
      <w:pPr>
        <w:pStyle w:val="ListParagraph"/>
        <w:tabs>
          <w:tab w:val="left" w:pos="2520"/>
          <w:tab w:val="left" w:pos="3780"/>
          <w:tab w:val="left" w:pos="5040"/>
          <w:tab w:val="left" w:pos="6660"/>
          <w:tab w:val="left" w:pos="81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31 July 2012</w:t>
      </w:r>
      <w:r>
        <w:rPr>
          <w:rFonts w:ascii="Times New Roman" w:hAnsi="Times New Roman" w:cs="Times New Roman"/>
          <w:sz w:val="24"/>
          <w:szCs w:val="24"/>
        </w:rPr>
        <w:tab/>
        <w:t>6.43</w:t>
      </w:r>
      <w:r>
        <w:rPr>
          <w:rFonts w:ascii="Times New Roman" w:hAnsi="Times New Roman" w:cs="Times New Roman"/>
          <w:sz w:val="24"/>
          <w:szCs w:val="24"/>
        </w:rPr>
        <w:tab/>
        <w:t>5.51</w:t>
      </w:r>
      <w:r>
        <w:rPr>
          <w:rFonts w:ascii="Times New Roman" w:hAnsi="Times New Roman" w:cs="Times New Roman"/>
          <w:sz w:val="24"/>
          <w:szCs w:val="24"/>
        </w:rPr>
        <w:tab/>
        <w:t>2.80</w:t>
      </w:r>
      <w:r>
        <w:rPr>
          <w:rFonts w:ascii="Times New Roman" w:hAnsi="Times New Roman" w:cs="Times New Roman"/>
          <w:sz w:val="24"/>
          <w:szCs w:val="24"/>
        </w:rPr>
        <w:tab/>
        <w:t>3.63</w:t>
      </w:r>
      <w:r>
        <w:rPr>
          <w:rFonts w:ascii="Times New Roman" w:hAnsi="Times New Roman" w:cs="Times New Roman"/>
          <w:sz w:val="24"/>
          <w:szCs w:val="24"/>
        </w:rPr>
        <w:tab/>
        <w:t>2.71</w:t>
      </w:r>
    </w:p>
    <w:p w:rsidR="00B32A18" w:rsidRDefault="00B32A18" w:rsidP="003C0B84">
      <w:pPr>
        <w:pStyle w:val="ListParagraph"/>
        <w:tabs>
          <w:tab w:val="left" w:pos="2880"/>
          <w:tab w:val="left" w:pos="4140"/>
          <w:tab w:val="left" w:pos="5400"/>
          <w:tab w:val="left" w:pos="6660"/>
          <w:tab w:val="left" w:pos="792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C0B84" w:rsidRDefault="003C0B84" w:rsidP="00122250">
      <w:pPr>
        <w:pStyle w:val="ListParagraph"/>
        <w:spacing w:after="0" w:line="360" w:lineRule="auto"/>
        <w:ind w:left="0"/>
        <w:jc w:val="both"/>
        <w:rPr>
          <w:rFonts w:ascii="Times New Roman" w:hAnsi="Times New Roman" w:cs="Times New Roman"/>
          <w:sz w:val="24"/>
          <w:szCs w:val="24"/>
        </w:rPr>
      </w:pPr>
    </w:p>
    <w:p w:rsidR="00C868FE" w:rsidRDefault="00C868FE"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ActewAGL (2014, section 10.6.5) favours the RBA index over the BVAL index on the grounds that the </w:t>
      </w:r>
      <w:r w:rsidR="00153619">
        <w:rPr>
          <w:rFonts w:ascii="Times New Roman" w:hAnsi="Times New Roman" w:cs="Times New Roman"/>
          <w:sz w:val="24"/>
          <w:szCs w:val="24"/>
        </w:rPr>
        <w:t xml:space="preserve">RBA </w:t>
      </w:r>
      <w:r>
        <w:rPr>
          <w:rFonts w:ascii="Times New Roman" w:hAnsi="Times New Roman" w:cs="Times New Roman"/>
          <w:sz w:val="24"/>
          <w:szCs w:val="24"/>
        </w:rPr>
        <w:t xml:space="preserve">methodology is more transparent, that a ten-year cost of debt is provided, </w:t>
      </w:r>
      <w:r w:rsidR="008C6C29">
        <w:rPr>
          <w:rFonts w:ascii="Times New Roman" w:hAnsi="Times New Roman" w:cs="Times New Roman"/>
          <w:sz w:val="24"/>
          <w:szCs w:val="24"/>
        </w:rPr>
        <w:t xml:space="preserve">that it is available over a much larger fraction of the required historical period of ten years, that </w:t>
      </w:r>
      <w:r>
        <w:rPr>
          <w:rFonts w:ascii="Times New Roman" w:hAnsi="Times New Roman" w:cs="Times New Roman"/>
          <w:sz w:val="24"/>
          <w:szCs w:val="24"/>
        </w:rPr>
        <w:t>it has behaved more as one would expect over the last ten years</w:t>
      </w:r>
      <w:r w:rsidR="008C6C29">
        <w:rPr>
          <w:rFonts w:ascii="Times New Roman" w:hAnsi="Times New Roman" w:cs="Times New Roman"/>
          <w:sz w:val="24"/>
          <w:szCs w:val="24"/>
        </w:rPr>
        <w:t>, and notwithstanding its availability at only monthly rather than daily intervals (which would have no material effect upon a ten-year trailing average)</w:t>
      </w:r>
      <w:r>
        <w:rPr>
          <w:rFonts w:ascii="Times New Roman" w:hAnsi="Times New Roman" w:cs="Times New Roman"/>
          <w:sz w:val="24"/>
          <w:szCs w:val="24"/>
        </w:rPr>
        <w:t>.</w:t>
      </w:r>
      <w:r w:rsidR="003F6A85">
        <w:rPr>
          <w:rFonts w:ascii="Times New Roman" w:hAnsi="Times New Roman" w:cs="Times New Roman"/>
          <w:sz w:val="24"/>
          <w:szCs w:val="24"/>
        </w:rPr>
        <w:t xml:space="preserve">  </w:t>
      </w:r>
      <w:r w:rsidR="003F6A85" w:rsidRPr="00E455CB">
        <w:rPr>
          <w:rFonts w:ascii="Times New Roman" w:hAnsi="Times New Roman" w:cs="Times New Roman"/>
          <w:sz w:val="24"/>
          <w:szCs w:val="24"/>
        </w:rPr>
        <w:t xml:space="preserve">In respect of the last point, </w:t>
      </w:r>
      <w:r w:rsidR="00B61346" w:rsidRPr="00E455CB">
        <w:rPr>
          <w:rFonts w:ascii="Times New Roman" w:hAnsi="Times New Roman" w:cs="Times New Roman"/>
          <w:sz w:val="24"/>
          <w:szCs w:val="24"/>
        </w:rPr>
        <w:t>and as noted earlier, this is only clearly true once the ten-year transitional period has passed.</w:t>
      </w:r>
      <w:r>
        <w:rPr>
          <w:rFonts w:ascii="Times New Roman" w:hAnsi="Times New Roman" w:cs="Times New Roman"/>
          <w:sz w:val="24"/>
          <w:szCs w:val="24"/>
        </w:rPr>
        <w:t xml:space="preserve">  In respect of the </w:t>
      </w:r>
      <w:r w:rsidR="00B61346">
        <w:rPr>
          <w:rFonts w:ascii="Times New Roman" w:hAnsi="Times New Roman" w:cs="Times New Roman"/>
          <w:sz w:val="24"/>
          <w:szCs w:val="24"/>
        </w:rPr>
        <w:t xml:space="preserve">claims concerning how it has behaved over the last ten years, </w:t>
      </w:r>
      <w:r>
        <w:rPr>
          <w:rFonts w:ascii="Times New Roman" w:hAnsi="Times New Roman" w:cs="Times New Roman"/>
          <w:sz w:val="24"/>
          <w:szCs w:val="24"/>
        </w:rPr>
        <w:t>ActewAGL repeats the points made by CEG (2014, section 3.1) and these have been addressed in the previous paragraph.</w:t>
      </w:r>
      <w:r w:rsidR="00B61346">
        <w:rPr>
          <w:rFonts w:ascii="Times New Roman" w:hAnsi="Times New Roman" w:cs="Times New Roman"/>
          <w:sz w:val="24"/>
          <w:szCs w:val="24"/>
        </w:rPr>
        <w:t xml:space="preserve">  </w:t>
      </w:r>
      <w:r w:rsidR="00B61346" w:rsidRPr="0043794C">
        <w:rPr>
          <w:rFonts w:ascii="Times New Roman" w:hAnsi="Times New Roman" w:cs="Times New Roman"/>
          <w:sz w:val="24"/>
          <w:szCs w:val="24"/>
        </w:rPr>
        <w:t>In respect of the historical availability issue, and as noted earlier, this is irrelevant in view of the AER’s decision to avoid the use of historical data.</w:t>
      </w:r>
      <w:r>
        <w:rPr>
          <w:rFonts w:ascii="Times New Roman" w:hAnsi="Times New Roman" w:cs="Times New Roman"/>
          <w:sz w:val="24"/>
          <w:szCs w:val="24"/>
        </w:rPr>
        <w:t xml:space="preserve">  In respect of the </w:t>
      </w:r>
      <w:r w:rsidR="008C6C29">
        <w:rPr>
          <w:rFonts w:ascii="Times New Roman" w:hAnsi="Times New Roman" w:cs="Times New Roman"/>
          <w:sz w:val="24"/>
          <w:szCs w:val="24"/>
        </w:rPr>
        <w:t xml:space="preserve">other </w:t>
      </w:r>
      <w:r w:rsidR="00B61346">
        <w:rPr>
          <w:rFonts w:ascii="Times New Roman" w:hAnsi="Times New Roman" w:cs="Times New Roman"/>
          <w:sz w:val="24"/>
          <w:szCs w:val="24"/>
        </w:rPr>
        <w:t>two</w:t>
      </w:r>
      <w:r w:rsidR="008C6C29">
        <w:rPr>
          <w:rFonts w:ascii="Times New Roman" w:hAnsi="Times New Roman" w:cs="Times New Roman"/>
          <w:sz w:val="24"/>
          <w:szCs w:val="24"/>
        </w:rPr>
        <w:t xml:space="preserve"> </w:t>
      </w:r>
      <w:r>
        <w:rPr>
          <w:rFonts w:ascii="Times New Roman" w:hAnsi="Times New Roman" w:cs="Times New Roman"/>
          <w:sz w:val="24"/>
          <w:szCs w:val="24"/>
        </w:rPr>
        <w:t xml:space="preserve">points, these are </w:t>
      </w:r>
      <w:r w:rsidR="00B61346">
        <w:rPr>
          <w:rFonts w:ascii="Times New Roman" w:hAnsi="Times New Roman" w:cs="Times New Roman"/>
          <w:sz w:val="24"/>
          <w:szCs w:val="24"/>
        </w:rPr>
        <w:t xml:space="preserve">both </w:t>
      </w:r>
      <w:r>
        <w:rPr>
          <w:rFonts w:ascii="Times New Roman" w:hAnsi="Times New Roman" w:cs="Times New Roman"/>
          <w:sz w:val="24"/>
          <w:szCs w:val="24"/>
        </w:rPr>
        <w:t xml:space="preserve">valid but they represent only </w:t>
      </w:r>
      <w:r w:rsidR="00B61346">
        <w:rPr>
          <w:rFonts w:ascii="Times New Roman" w:hAnsi="Times New Roman" w:cs="Times New Roman"/>
          <w:sz w:val="24"/>
          <w:szCs w:val="24"/>
        </w:rPr>
        <w:t>two</w:t>
      </w:r>
      <w:r w:rsidR="008C6C29">
        <w:rPr>
          <w:rFonts w:ascii="Times New Roman" w:hAnsi="Times New Roman" w:cs="Times New Roman"/>
          <w:sz w:val="24"/>
          <w:szCs w:val="24"/>
        </w:rPr>
        <w:t xml:space="preserve"> </w:t>
      </w:r>
      <w:r>
        <w:rPr>
          <w:rFonts w:ascii="Times New Roman" w:hAnsi="Times New Roman" w:cs="Times New Roman"/>
          <w:sz w:val="24"/>
          <w:szCs w:val="24"/>
        </w:rPr>
        <w:t xml:space="preserve">of the eleven points of difference examined in section 2.1 above.  ActewAGL’s failure to consider the </w:t>
      </w:r>
      <w:r w:rsidR="008C6C29">
        <w:rPr>
          <w:rFonts w:ascii="Times New Roman" w:hAnsi="Times New Roman" w:cs="Times New Roman"/>
          <w:sz w:val="24"/>
          <w:szCs w:val="24"/>
        </w:rPr>
        <w:t xml:space="preserve">other seven points undercuts the merit of their </w:t>
      </w:r>
      <w:r w:rsidR="00BA18D5">
        <w:rPr>
          <w:rFonts w:ascii="Times New Roman" w:hAnsi="Times New Roman" w:cs="Times New Roman"/>
          <w:sz w:val="24"/>
          <w:szCs w:val="24"/>
        </w:rPr>
        <w:t>conclusion.</w:t>
      </w:r>
    </w:p>
    <w:p w:rsidR="00BA18D5" w:rsidRDefault="00BA18D5" w:rsidP="00122250">
      <w:pPr>
        <w:pStyle w:val="ListParagraph"/>
        <w:spacing w:after="0" w:line="360" w:lineRule="auto"/>
        <w:ind w:left="0"/>
        <w:jc w:val="both"/>
        <w:rPr>
          <w:rFonts w:ascii="Times New Roman" w:hAnsi="Times New Roman" w:cs="Times New Roman"/>
          <w:sz w:val="24"/>
          <w:szCs w:val="24"/>
        </w:rPr>
      </w:pPr>
    </w:p>
    <w:p w:rsidR="00E724CE" w:rsidRDefault="00BA18D5" w:rsidP="00E724C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Directlink (2014, Attachment 6.1) favours the RBA index over the BVAL index because the former incorporates foreign-currency bonds and these are part of the financing of</w:t>
      </w:r>
      <w:r w:rsidR="00183CB5">
        <w:rPr>
          <w:rFonts w:ascii="Times New Roman" w:hAnsi="Times New Roman" w:cs="Times New Roman"/>
          <w:sz w:val="24"/>
          <w:szCs w:val="24"/>
        </w:rPr>
        <w:t xml:space="preserve"> the benchmark efficient entity.  However, there are a number of disadvantages from doing do as discussed in section 2.1.  Furthermore, </w:t>
      </w:r>
      <w:r w:rsidR="00E724CE">
        <w:rPr>
          <w:rFonts w:ascii="Times New Roman" w:hAnsi="Times New Roman" w:cs="Times New Roman"/>
          <w:sz w:val="24"/>
          <w:szCs w:val="24"/>
        </w:rPr>
        <w:t xml:space="preserve">this point of distinction between the two indexes is </w:t>
      </w:r>
      <w:r w:rsidR="00153619">
        <w:rPr>
          <w:rFonts w:ascii="Times New Roman" w:hAnsi="Times New Roman" w:cs="Times New Roman"/>
          <w:sz w:val="24"/>
          <w:szCs w:val="24"/>
        </w:rPr>
        <w:t xml:space="preserve">only one of the eleven points </w:t>
      </w:r>
      <w:r w:rsidR="00E724CE">
        <w:rPr>
          <w:rFonts w:ascii="Times New Roman" w:hAnsi="Times New Roman" w:cs="Times New Roman"/>
          <w:sz w:val="24"/>
          <w:szCs w:val="24"/>
        </w:rPr>
        <w:t>raised in section 2.1 and Directlink’s failure to consider the other ten points undercuts the merit of their conclusion.</w:t>
      </w:r>
      <w:r w:rsidR="00E724CE">
        <w:rPr>
          <w:rStyle w:val="FootnoteReference"/>
          <w:rFonts w:ascii="Times New Roman" w:hAnsi="Times New Roman" w:cs="Times New Roman"/>
          <w:sz w:val="24"/>
          <w:szCs w:val="24"/>
        </w:rPr>
        <w:footnoteReference w:id="11"/>
      </w:r>
    </w:p>
    <w:p w:rsidR="008C4973" w:rsidRDefault="008C4973" w:rsidP="00E724CE">
      <w:pPr>
        <w:pStyle w:val="ListParagraph"/>
        <w:spacing w:after="0" w:line="360" w:lineRule="auto"/>
        <w:ind w:left="0"/>
        <w:jc w:val="both"/>
        <w:rPr>
          <w:rFonts w:ascii="Times New Roman" w:hAnsi="Times New Roman" w:cs="Times New Roman"/>
          <w:sz w:val="24"/>
          <w:szCs w:val="24"/>
        </w:rPr>
      </w:pPr>
    </w:p>
    <w:p w:rsidR="008C4973" w:rsidRDefault="008C4973" w:rsidP="00E724C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Jemena (2014, section 5.3.2) argues that the AER should choose between the available indexes according to which offers a better fit to the available data (defined in accordance with </w:t>
      </w:r>
      <w:r>
        <w:rPr>
          <w:rFonts w:ascii="Times New Roman" w:hAnsi="Times New Roman" w:cs="Times New Roman"/>
          <w:sz w:val="24"/>
          <w:szCs w:val="24"/>
        </w:rPr>
        <w:lastRenderedPageBreak/>
        <w:t xml:space="preserve">criteria proposed by Jemena).  </w:t>
      </w:r>
      <w:r w:rsidR="004C6F90">
        <w:rPr>
          <w:rFonts w:ascii="Times New Roman" w:hAnsi="Times New Roman" w:cs="Times New Roman"/>
          <w:sz w:val="24"/>
          <w:szCs w:val="24"/>
        </w:rPr>
        <w:t xml:space="preserve">However, such </w:t>
      </w:r>
      <w:r>
        <w:rPr>
          <w:rFonts w:ascii="Times New Roman" w:hAnsi="Times New Roman" w:cs="Times New Roman"/>
          <w:sz w:val="24"/>
          <w:szCs w:val="24"/>
        </w:rPr>
        <w:t>an approach sacrifices the MSE gains from a combined estimator.</w:t>
      </w:r>
    </w:p>
    <w:p w:rsidR="00C868FE" w:rsidRDefault="00C868FE" w:rsidP="00122250">
      <w:pPr>
        <w:pStyle w:val="ListParagraph"/>
        <w:spacing w:after="0" w:line="360" w:lineRule="auto"/>
        <w:ind w:left="0"/>
        <w:jc w:val="both"/>
        <w:rPr>
          <w:rFonts w:ascii="Times New Roman" w:hAnsi="Times New Roman" w:cs="Times New Roman"/>
          <w:sz w:val="24"/>
          <w:szCs w:val="24"/>
        </w:rPr>
      </w:pPr>
    </w:p>
    <w:p w:rsidR="002E3103" w:rsidRDefault="002E3103"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the </w:t>
      </w:r>
      <w:r w:rsidR="0009700E">
        <w:rPr>
          <w:rFonts w:ascii="Times New Roman" w:hAnsi="Times New Roman" w:cs="Times New Roman"/>
          <w:sz w:val="24"/>
          <w:szCs w:val="24"/>
        </w:rPr>
        <w:t xml:space="preserve">arguments presented by </w:t>
      </w:r>
      <w:r w:rsidR="00BD4386" w:rsidRPr="00024F47">
        <w:rPr>
          <w:rFonts w:ascii="Times New Roman" w:hAnsi="Times New Roman" w:cs="Times New Roman"/>
          <w:sz w:val="24"/>
          <w:szCs w:val="24"/>
        </w:rPr>
        <w:t>NERA</w:t>
      </w:r>
      <w:r w:rsidR="008C6C29">
        <w:rPr>
          <w:rFonts w:ascii="Times New Roman" w:hAnsi="Times New Roman" w:cs="Times New Roman"/>
          <w:sz w:val="24"/>
          <w:szCs w:val="24"/>
        </w:rPr>
        <w:t xml:space="preserve">, </w:t>
      </w:r>
      <w:r>
        <w:rPr>
          <w:rFonts w:ascii="Times New Roman" w:hAnsi="Times New Roman" w:cs="Times New Roman"/>
          <w:sz w:val="24"/>
          <w:szCs w:val="24"/>
        </w:rPr>
        <w:t>CEG</w:t>
      </w:r>
      <w:r w:rsidR="008C6C29">
        <w:rPr>
          <w:rFonts w:ascii="Times New Roman" w:hAnsi="Times New Roman" w:cs="Times New Roman"/>
          <w:sz w:val="24"/>
          <w:szCs w:val="24"/>
        </w:rPr>
        <w:t>, ActewAGL</w:t>
      </w:r>
      <w:r w:rsidR="00E724CE">
        <w:rPr>
          <w:rFonts w:ascii="Times New Roman" w:hAnsi="Times New Roman" w:cs="Times New Roman"/>
          <w:sz w:val="24"/>
          <w:szCs w:val="24"/>
        </w:rPr>
        <w:t>, and Directlink</w:t>
      </w:r>
      <w:r w:rsidR="008C6C29">
        <w:rPr>
          <w:rFonts w:ascii="Times New Roman" w:hAnsi="Times New Roman" w:cs="Times New Roman"/>
          <w:sz w:val="24"/>
          <w:szCs w:val="24"/>
        </w:rPr>
        <w:t xml:space="preserve"> </w:t>
      </w:r>
      <w:r>
        <w:rPr>
          <w:rFonts w:ascii="Times New Roman" w:hAnsi="Times New Roman" w:cs="Times New Roman"/>
          <w:sz w:val="24"/>
          <w:szCs w:val="24"/>
        </w:rPr>
        <w:t>do not support the</w:t>
      </w:r>
      <w:r w:rsidR="008C4973">
        <w:rPr>
          <w:rFonts w:ascii="Times New Roman" w:hAnsi="Times New Roman" w:cs="Times New Roman"/>
          <w:sz w:val="24"/>
          <w:szCs w:val="24"/>
        </w:rPr>
        <w:t>ir preference for the RBA index, and the approach proposed by Jemena sacrifices the MSE gains from a combined estimator.</w:t>
      </w:r>
    </w:p>
    <w:p w:rsidR="003C0B84" w:rsidRDefault="003C0B84" w:rsidP="00122250">
      <w:pPr>
        <w:pStyle w:val="ListParagraph"/>
        <w:spacing w:after="0" w:line="360" w:lineRule="auto"/>
        <w:ind w:left="0"/>
        <w:jc w:val="both"/>
        <w:rPr>
          <w:rFonts w:ascii="Times New Roman" w:hAnsi="Times New Roman" w:cs="Times New Roman"/>
          <w:sz w:val="24"/>
          <w:szCs w:val="24"/>
        </w:rPr>
      </w:pPr>
    </w:p>
    <w:p w:rsidR="001559F3" w:rsidRPr="001559F3" w:rsidRDefault="001559F3" w:rsidP="001559F3">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The Efficient Financing Mix</w:t>
      </w:r>
    </w:p>
    <w:p w:rsidR="001559F3" w:rsidRDefault="001559F3" w:rsidP="00122250">
      <w:pPr>
        <w:pStyle w:val="ListParagraph"/>
        <w:spacing w:after="0" w:line="360" w:lineRule="auto"/>
        <w:ind w:left="0"/>
        <w:jc w:val="both"/>
        <w:rPr>
          <w:rFonts w:ascii="Times New Roman" w:hAnsi="Times New Roman" w:cs="Times New Roman"/>
          <w:sz w:val="24"/>
          <w:szCs w:val="24"/>
        </w:rPr>
      </w:pPr>
    </w:p>
    <w:p w:rsidR="001559F3" w:rsidRDefault="001559F3"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Australian corporates draw debt financing from three primary sources: local bank borrowing, local bond issues, and foreign bond </w:t>
      </w:r>
      <w:r w:rsidR="00A15A74">
        <w:rPr>
          <w:rFonts w:ascii="Times New Roman" w:hAnsi="Times New Roman" w:cs="Times New Roman"/>
          <w:sz w:val="24"/>
          <w:szCs w:val="24"/>
        </w:rPr>
        <w:t xml:space="preserve">issues.  </w:t>
      </w:r>
      <w:r w:rsidR="00961B7C">
        <w:rPr>
          <w:rFonts w:ascii="Times New Roman" w:hAnsi="Times New Roman" w:cs="Times New Roman"/>
          <w:sz w:val="24"/>
          <w:szCs w:val="24"/>
        </w:rPr>
        <w:t xml:space="preserve">Amongst Australian regulated energy businesses, </w:t>
      </w:r>
      <w:r w:rsidR="00E17260">
        <w:rPr>
          <w:rFonts w:ascii="Times New Roman" w:hAnsi="Times New Roman" w:cs="Times New Roman"/>
          <w:sz w:val="24"/>
          <w:szCs w:val="24"/>
        </w:rPr>
        <w:t xml:space="preserve">PwC (2013, pp. 18-19) estimates the 2012 proportions at approximately 25%, 50% and 25% respectively.  The explanations for this </w:t>
      </w:r>
      <w:r w:rsidR="004C6F90">
        <w:rPr>
          <w:rFonts w:ascii="Times New Roman" w:hAnsi="Times New Roman" w:cs="Times New Roman"/>
          <w:sz w:val="24"/>
          <w:szCs w:val="24"/>
        </w:rPr>
        <w:t xml:space="preserve">mix </w:t>
      </w:r>
      <w:r w:rsidR="00E17260">
        <w:rPr>
          <w:rFonts w:ascii="Times New Roman" w:hAnsi="Times New Roman" w:cs="Times New Roman"/>
          <w:sz w:val="24"/>
          <w:szCs w:val="24"/>
        </w:rPr>
        <w:t xml:space="preserve">are </w:t>
      </w:r>
      <w:r w:rsidR="009C423C">
        <w:rPr>
          <w:rFonts w:ascii="Times New Roman" w:hAnsi="Times New Roman" w:cs="Times New Roman"/>
          <w:sz w:val="24"/>
          <w:szCs w:val="24"/>
        </w:rPr>
        <w:t xml:space="preserve">threefold.  </w:t>
      </w:r>
      <w:r w:rsidR="00A15A74">
        <w:rPr>
          <w:rFonts w:ascii="Times New Roman" w:hAnsi="Times New Roman" w:cs="Times New Roman"/>
          <w:sz w:val="24"/>
          <w:szCs w:val="24"/>
        </w:rPr>
        <w:t xml:space="preserve">Firstly, borrowing from a variety of sources gives the firm protection against the possibility of funding from one source not being available at the desired time.  Naturally, if a firm were dependent upon only one source and that source ceased to provide it, the firm would seek out </w:t>
      </w:r>
      <w:r w:rsidR="003470F1">
        <w:rPr>
          <w:rFonts w:ascii="Times New Roman" w:hAnsi="Times New Roman" w:cs="Times New Roman"/>
          <w:sz w:val="24"/>
          <w:szCs w:val="24"/>
        </w:rPr>
        <w:t xml:space="preserve">an </w:t>
      </w:r>
      <w:r w:rsidR="00A15A74">
        <w:rPr>
          <w:rFonts w:ascii="Times New Roman" w:hAnsi="Times New Roman" w:cs="Times New Roman"/>
          <w:sz w:val="24"/>
          <w:szCs w:val="24"/>
        </w:rPr>
        <w:t xml:space="preserve">alternative </w:t>
      </w:r>
      <w:r w:rsidR="003470F1">
        <w:rPr>
          <w:rFonts w:ascii="Times New Roman" w:hAnsi="Times New Roman" w:cs="Times New Roman"/>
          <w:sz w:val="24"/>
          <w:szCs w:val="24"/>
        </w:rPr>
        <w:t xml:space="preserve">source </w:t>
      </w:r>
      <w:r w:rsidR="00A15A74">
        <w:rPr>
          <w:rFonts w:ascii="Times New Roman" w:hAnsi="Times New Roman" w:cs="Times New Roman"/>
          <w:sz w:val="24"/>
          <w:szCs w:val="24"/>
        </w:rPr>
        <w:t xml:space="preserve">but the lack of a history of borrowing </w:t>
      </w:r>
      <w:r w:rsidR="003470F1">
        <w:rPr>
          <w:rFonts w:ascii="Times New Roman" w:hAnsi="Times New Roman" w:cs="Times New Roman"/>
          <w:sz w:val="24"/>
          <w:szCs w:val="24"/>
        </w:rPr>
        <w:t>from the new source would be an impediment</w:t>
      </w:r>
      <w:r w:rsidR="00302CB1">
        <w:rPr>
          <w:rFonts w:ascii="Times New Roman" w:hAnsi="Times New Roman" w:cs="Times New Roman"/>
          <w:sz w:val="24"/>
          <w:szCs w:val="24"/>
        </w:rPr>
        <w:t xml:space="preserve">.  Secondly, </w:t>
      </w:r>
      <w:r w:rsidR="00A36B43">
        <w:rPr>
          <w:rFonts w:ascii="Times New Roman" w:hAnsi="Times New Roman" w:cs="Times New Roman"/>
          <w:sz w:val="24"/>
          <w:szCs w:val="24"/>
        </w:rPr>
        <w:t xml:space="preserve">the level of </w:t>
      </w:r>
      <w:r w:rsidR="00302CB1">
        <w:rPr>
          <w:rFonts w:ascii="Times New Roman" w:hAnsi="Times New Roman" w:cs="Times New Roman"/>
          <w:sz w:val="24"/>
          <w:szCs w:val="24"/>
        </w:rPr>
        <w:t xml:space="preserve">bank borrowing </w:t>
      </w:r>
      <w:r w:rsidR="00A36B43">
        <w:rPr>
          <w:rFonts w:ascii="Times New Roman" w:hAnsi="Times New Roman" w:cs="Times New Roman"/>
          <w:sz w:val="24"/>
          <w:szCs w:val="24"/>
        </w:rPr>
        <w:t xml:space="preserve">is much more easily adjusted in the </w:t>
      </w:r>
      <w:r w:rsidR="003470F1">
        <w:rPr>
          <w:rFonts w:ascii="Times New Roman" w:hAnsi="Times New Roman" w:cs="Times New Roman"/>
          <w:sz w:val="24"/>
          <w:szCs w:val="24"/>
        </w:rPr>
        <w:t>face of short-term fluctuations in the firm’s demand for debt</w:t>
      </w:r>
      <w:r w:rsidR="00643483">
        <w:rPr>
          <w:rFonts w:ascii="Times New Roman" w:hAnsi="Times New Roman" w:cs="Times New Roman"/>
          <w:sz w:val="24"/>
          <w:szCs w:val="24"/>
        </w:rPr>
        <w:t>, and therefore some level of it is desirable even if other features of it are disadvantageous</w:t>
      </w:r>
      <w:r w:rsidR="00302CB1">
        <w:rPr>
          <w:rFonts w:ascii="Times New Roman" w:hAnsi="Times New Roman" w:cs="Times New Roman"/>
          <w:sz w:val="24"/>
          <w:szCs w:val="24"/>
        </w:rPr>
        <w:t xml:space="preserve"> (such as the shorter term for which it is available)</w:t>
      </w:r>
      <w:r w:rsidR="009C423C">
        <w:rPr>
          <w:rFonts w:ascii="Times New Roman" w:hAnsi="Times New Roman" w:cs="Times New Roman"/>
          <w:sz w:val="24"/>
          <w:szCs w:val="24"/>
        </w:rPr>
        <w:t>.  Thirdly,</w:t>
      </w:r>
      <w:r w:rsidR="00471325">
        <w:rPr>
          <w:rFonts w:ascii="Times New Roman" w:hAnsi="Times New Roman" w:cs="Times New Roman"/>
          <w:sz w:val="24"/>
          <w:szCs w:val="24"/>
        </w:rPr>
        <w:t xml:space="preserve"> </w:t>
      </w:r>
      <w:r w:rsidR="00471325" w:rsidRPr="00024F47">
        <w:rPr>
          <w:rFonts w:ascii="Times New Roman" w:hAnsi="Times New Roman" w:cs="Times New Roman"/>
          <w:sz w:val="24"/>
          <w:szCs w:val="24"/>
        </w:rPr>
        <w:t>at present</w:t>
      </w:r>
      <w:r w:rsidR="009C423C">
        <w:rPr>
          <w:rFonts w:ascii="Times New Roman" w:hAnsi="Times New Roman" w:cs="Times New Roman"/>
          <w:sz w:val="24"/>
          <w:szCs w:val="24"/>
        </w:rPr>
        <w:t xml:space="preserve"> only foreign bonds can provide very long</w:t>
      </w:r>
      <w:r w:rsidR="004A1D61">
        <w:rPr>
          <w:rFonts w:ascii="Times New Roman" w:hAnsi="Times New Roman" w:cs="Times New Roman"/>
          <w:sz w:val="24"/>
          <w:szCs w:val="24"/>
        </w:rPr>
        <w:t>-term debt finance, which minimizes refinancing risk, and therefore might be desired even if other features of such debt were undesirable.</w:t>
      </w:r>
      <w:r w:rsidR="00F5634D">
        <w:rPr>
          <w:rStyle w:val="FootnoteReference"/>
          <w:rFonts w:ascii="Times New Roman" w:hAnsi="Times New Roman" w:cs="Times New Roman"/>
          <w:sz w:val="24"/>
          <w:szCs w:val="24"/>
        </w:rPr>
        <w:footnoteReference w:id="12"/>
      </w:r>
    </w:p>
    <w:p w:rsidR="00643483" w:rsidRDefault="00643483" w:rsidP="00122250">
      <w:pPr>
        <w:pStyle w:val="ListParagraph"/>
        <w:spacing w:after="0" w:line="360" w:lineRule="auto"/>
        <w:ind w:left="0"/>
        <w:jc w:val="both"/>
        <w:rPr>
          <w:rFonts w:ascii="Times New Roman" w:hAnsi="Times New Roman" w:cs="Times New Roman"/>
          <w:sz w:val="24"/>
          <w:szCs w:val="24"/>
        </w:rPr>
      </w:pPr>
    </w:p>
    <w:p w:rsidR="00643483" w:rsidRDefault="00643483"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Over time, the relative rates charged by these three sources</w:t>
      </w:r>
      <w:r w:rsidR="006A7566">
        <w:rPr>
          <w:rFonts w:ascii="Times New Roman" w:hAnsi="Times New Roman" w:cs="Times New Roman"/>
          <w:sz w:val="24"/>
          <w:szCs w:val="24"/>
        </w:rPr>
        <w:t xml:space="preserve"> </w:t>
      </w:r>
      <w:r w:rsidR="006A7566" w:rsidRPr="00024F47">
        <w:rPr>
          <w:rFonts w:ascii="Times New Roman" w:hAnsi="Times New Roman" w:cs="Times New Roman"/>
          <w:sz w:val="24"/>
          <w:szCs w:val="24"/>
        </w:rPr>
        <w:t>(for the same term and after converting foreign-currency bonds into AUD</w:t>
      </w:r>
      <w:r w:rsidR="009C7EF1" w:rsidRPr="00024F47">
        <w:rPr>
          <w:rFonts w:ascii="Times New Roman" w:hAnsi="Times New Roman" w:cs="Times New Roman"/>
          <w:sz w:val="24"/>
          <w:szCs w:val="24"/>
        </w:rPr>
        <w:t xml:space="preserve"> using a currency swap</w:t>
      </w:r>
      <w:r w:rsidR="006A7566" w:rsidRPr="00024F47">
        <w:rPr>
          <w:rFonts w:ascii="Times New Roman" w:hAnsi="Times New Roman" w:cs="Times New Roman"/>
          <w:sz w:val="24"/>
          <w:szCs w:val="24"/>
        </w:rPr>
        <w:t>)</w:t>
      </w:r>
      <w:r>
        <w:rPr>
          <w:rFonts w:ascii="Times New Roman" w:hAnsi="Times New Roman" w:cs="Times New Roman"/>
          <w:sz w:val="24"/>
          <w:szCs w:val="24"/>
        </w:rPr>
        <w:t xml:space="preserve"> will vary and therefore will affect the optimal weights</w:t>
      </w:r>
      <w:r w:rsidR="004C6F90">
        <w:rPr>
          <w:rFonts w:ascii="Times New Roman" w:hAnsi="Times New Roman" w:cs="Times New Roman"/>
          <w:sz w:val="24"/>
          <w:szCs w:val="24"/>
        </w:rPr>
        <w:t xml:space="preserve"> in the inverse direction.</w:t>
      </w:r>
      <w:r>
        <w:rPr>
          <w:rFonts w:ascii="Times New Roman" w:hAnsi="Times New Roman" w:cs="Times New Roman"/>
          <w:sz w:val="24"/>
          <w:szCs w:val="24"/>
        </w:rPr>
        <w:t xml:space="preserve">  For example, if the cost of debt were </w:t>
      </w:r>
      <w:r w:rsidR="00753D52">
        <w:rPr>
          <w:rFonts w:ascii="Times New Roman" w:hAnsi="Times New Roman" w:cs="Times New Roman"/>
          <w:sz w:val="24"/>
          <w:szCs w:val="24"/>
        </w:rPr>
        <w:t>7% from all three sources, the optimal we</w:t>
      </w:r>
      <w:r w:rsidR="00230652">
        <w:rPr>
          <w:rFonts w:ascii="Times New Roman" w:hAnsi="Times New Roman" w:cs="Times New Roman"/>
          <w:sz w:val="24"/>
          <w:szCs w:val="24"/>
        </w:rPr>
        <w:t>ights might be 20% bank debt, 50% local bonds, and 30</w:t>
      </w:r>
      <w:r w:rsidR="00753D52">
        <w:rPr>
          <w:rFonts w:ascii="Times New Roman" w:hAnsi="Times New Roman" w:cs="Times New Roman"/>
          <w:sz w:val="24"/>
          <w:szCs w:val="24"/>
        </w:rPr>
        <w:t xml:space="preserve">% foreign bonds.  If the cost of foreign debt </w:t>
      </w:r>
      <w:r w:rsidR="004A58A1">
        <w:rPr>
          <w:rFonts w:ascii="Times New Roman" w:hAnsi="Times New Roman" w:cs="Times New Roman"/>
          <w:sz w:val="24"/>
          <w:szCs w:val="24"/>
        </w:rPr>
        <w:t xml:space="preserve">rose </w:t>
      </w:r>
      <w:r w:rsidR="00753D52">
        <w:rPr>
          <w:rFonts w:ascii="Times New Roman" w:hAnsi="Times New Roman" w:cs="Times New Roman"/>
          <w:sz w:val="24"/>
          <w:szCs w:val="24"/>
        </w:rPr>
        <w:t xml:space="preserve">to 8%, the optimal weights might then be 20%, </w:t>
      </w:r>
      <w:r w:rsidR="00302CB1">
        <w:rPr>
          <w:rFonts w:ascii="Times New Roman" w:hAnsi="Times New Roman" w:cs="Times New Roman"/>
          <w:sz w:val="24"/>
          <w:szCs w:val="24"/>
        </w:rPr>
        <w:t xml:space="preserve">60%, and 20% respectively.  Different firms might have different views on the optimal mix, which trades off cost against flexibility (in the case of bank debt), the term for which the debt is available, and the protection that comes from multiple sources. </w:t>
      </w:r>
    </w:p>
    <w:p w:rsidR="00302CB1" w:rsidRDefault="00302CB1" w:rsidP="00122250">
      <w:pPr>
        <w:pStyle w:val="ListParagraph"/>
        <w:spacing w:after="0" w:line="360" w:lineRule="auto"/>
        <w:ind w:left="0"/>
        <w:jc w:val="both"/>
        <w:rPr>
          <w:rFonts w:ascii="Times New Roman" w:hAnsi="Times New Roman" w:cs="Times New Roman"/>
          <w:sz w:val="24"/>
          <w:szCs w:val="24"/>
        </w:rPr>
      </w:pPr>
    </w:p>
    <w:p w:rsidR="00DC67CA" w:rsidRDefault="00302CB1"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In using a cost of debt index that is based upon bonds, </w:t>
      </w:r>
      <w:r w:rsidR="009C5109">
        <w:rPr>
          <w:rFonts w:ascii="Times New Roman" w:hAnsi="Times New Roman" w:cs="Times New Roman"/>
          <w:sz w:val="24"/>
          <w:szCs w:val="24"/>
        </w:rPr>
        <w:t xml:space="preserve">as the RBA and BVAL indexes are, </w:t>
      </w:r>
      <w:r>
        <w:rPr>
          <w:rFonts w:ascii="Times New Roman" w:hAnsi="Times New Roman" w:cs="Times New Roman"/>
          <w:sz w:val="24"/>
          <w:szCs w:val="24"/>
        </w:rPr>
        <w:t>bank debt is excluded and this raises the question of whether bias in the allowed cost of debt might aris</w:t>
      </w:r>
      <w:r w:rsidR="00C35A90">
        <w:rPr>
          <w:rFonts w:ascii="Times New Roman" w:hAnsi="Times New Roman" w:cs="Times New Roman"/>
          <w:sz w:val="24"/>
          <w:szCs w:val="24"/>
        </w:rPr>
        <w:t>e.  For example, if bank debt were</w:t>
      </w:r>
      <w:r>
        <w:rPr>
          <w:rFonts w:ascii="Times New Roman" w:hAnsi="Times New Roman" w:cs="Times New Roman"/>
          <w:sz w:val="24"/>
          <w:szCs w:val="24"/>
        </w:rPr>
        <w:t xml:space="preserve"> less expensive</w:t>
      </w:r>
      <w:r w:rsidR="00230652">
        <w:rPr>
          <w:rFonts w:ascii="Times New Roman" w:hAnsi="Times New Roman" w:cs="Times New Roman"/>
          <w:sz w:val="24"/>
          <w:szCs w:val="24"/>
        </w:rPr>
        <w:t xml:space="preserve"> for the same term</w:t>
      </w:r>
      <w:r>
        <w:rPr>
          <w:rFonts w:ascii="Times New Roman" w:hAnsi="Times New Roman" w:cs="Times New Roman"/>
          <w:sz w:val="24"/>
          <w:szCs w:val="24"/>
        </w:rPr>
        <w:t xml:space="preserve">, the allowed cost of debt </w:t>
      </w:r>
      <w:r w:rsidR="00C35A90">
        <w:rPr>
          <w:rFonts w:ascii="Times New Roman" w:hAnsi="Times New Roman" w:cs="Times New Roman"/>
          <w:sz w:val="24"/>
          <w:szCs w:val="24"/>
        </w:rPr>
        <w:t xml:space="preserve">would be </w:t>
      </w:r>
      <w:r w:rsidR="009C5109">
        <w:rPr>
          <w:rFonts w:ascii="Times New Roman" w:hAnsi="Times New Roman" w:cs="Times New Roman"/>
          <w:sz w:val="24"/>
          <w:szCs w:val="24"/>
        </w:rPr>
        <w:t>overstated</w:t>
      </w:r>
      <w:r w:rsidR="004C6F90">
        <w:rPr>
          <w:rFonts w:ascii="Times New Roman" w:hAnsi="Times New Roman" w:cs="Times New Roman"/>
          <w:sz w:val="24"/>
          <w:szCs w:val="24"/>
        </w:rPr>
        <w:t xml:space="preserve"> as a result of excluding it</w:t>
      </w:r>
      <w:r w:rsidR="009C5109">
        <w:rPr>
          <w:rFonts w:ascii="Times New Roman" w:hAnsi="Times New Roman" w:cs="Times New Roman"/>
          <w:sz w:val="24"/>
          <w:szCs w:val="24"/>
        </w:rPr>
        <w:t xml:space="preserve">.  </w:t>
      </w:r>
      <w:r w:rsidR="009C423C">
        <w:rPr>
          <w:rFonts w:ascii="Times New Roman" w:hAnsi="Times New Roman" w:cs="Times New Roman"/>
          <w:sz w:val="24"/>
          <w:szCs w:val="24"/>
        </w:rPr>
        <w:t xml:space="preserve">However the very reason for excluding bank debt in the assessment of the allowed cost of debt (the lack of </w:t>
      </w:r>
      <w:r w:rsidR="00C35A90">
        <w:rPr>
          <w:rFonts w:ascii="Times New Roman" w:hAnsi="Times New Roman" w:cs="Times New Roman"/>
          <w:sz w:val="24"/>
          <w:szCs w:val="24"/>
        </w:rPr>
        <w:t xml:space="preserve">secondary market </w:t>
      </w:r>
      <w:r w:rsidR="009C423C">
        <w:rPr>
          <w:rFonts w:ascii="Times New Roman" w:hAnsi="Times New Roman" w:cs="Times New Roman"/>
          <w:sz w:val="24"/>
          <w:szCs w:val="24"/>
        </w:rPr>
        <w:t xml:space="preserve">data) also precludes a formal assessment of this potential concern.  </w:t>
      </w:r>
      <w:r w:rsidR="00CA53B9" w:rsidRPr="00493A80">
        <w:rPr>
          <w:rFonts w:ascii="Times New Roman" w:hAnsi="Times New Roman" w:cs="Times New Roman"/>
          <w:sz w:val="24"/>
          <w:szCs w:val="24"/>
        </w:rPr>
        <w:t>Furthermore, since</w:t>
      </w:r>
      <w:r w:rsidR="00FF15AA" w:rsidRPr="00493A80">
        <w:rPr>
          <w:rFonts w:ascii="Times New Roman" w:hAnsi="Times New Roman" w:cs="Times New Roman"/>
          <w:sz w:val="24"/>
          <w:szCs w:val="24"/>
        </w:rPr>
        <w:t xml:space="preserve"> bank debt constitutes only about 25% of the </w:t>
      </w:r>
      <w:r w:rsidR="00DC67CA" w:rsidRPr="00493A80">
        <w:rPr>
          <w:rFonts w:ascii="Times New Roman" w:hAnsi="Times New Roman" w:cs="Times New Roman"/>
          <w:sz w:val="24"/>
          <w:szCs w:val="24"/>
        </w:rPr>
        <w:t>debt of regulated firms</w:t>
      </w:r>
      <w:r w:rsidR="00CA53B9" w:rsidRPr="00493A80">
        <w:rPr>
          <w:rFonts w:ascii="Times New Roman" w:hAnsi="Times New Roman" w:cs="Times New Roman"/>
          <w:sz w:val="24"/>
          <w:szCs w:val="24"/>
        </w:rPr>
        <w:t>,</w:t>
      </w:r>
      <w:r w:rsidR="00DC67CA" w:rsidRPr="00493A80">
        <w:rPr>
          <w:rFonts w:ascii="Times New Roman" w:hAnsi="Times New Roman" w:cs="Times New Roman"/>
          <w:sz w:val="24"/>
          <w:szCs w:val="24"/>
        </w:rPr>
        <w:t xml:space="preserve"> </w:t>
      </w:r>
      <w:r w:rsidR="00FF15AA" w:rsidRPr="00493A80">
        <w:rPr>
          <w:rFonts w:ascii="Times New Roman" w:hAnsi="Times New Roman" w:cs="Times New Roman"/>
          <w:sz w:val="24"/>
          <w:szCs w:val="24"/>
        </w:rPr>
        <w:t xml:space="preserve">this </w:t>
      </w:r>
      <w:r w:rsidR="008800E8" w:rsidRPr="00493A80">
        <w:rPr>
          <w:rFonts w:ascii="Times New Roman" w:hAnsi="Times New Roman" w:cs="Times New Roman"/>
          <w:sz w:val="24"/>
          <w:szCs w:val="24"/>
        </w:rPr>
        <w:t xml:space="preserve">low weighting </w:t>
      </w:r>
      <w:r w:rsidR="00FF15AA" w:rsidRPr="00493A80">
        <w:rPr>
          <w:rFonts w:ascii="Times New Roman" w:hAnsi="Times New Roman" w:cs="Times New Roman"/>
          <w:sz w:val="24"/>
          <w:szCs w:val="24"/>
        </w:rPr>
        <w:t>mitigates any bias arising from its omission from the RBA and BVAL indexes</w:t>
      </w:r>
      <w:r w:rsidR="00DC67CA">
        <w:rPr>
          <w:rFonts w:ascii="Times New Roman" w:hAnsi="Times New Roman" w:cs="Times New Roman"/>
          <w:sz w:val="24"/>
          <w:szCs w:val="24"/>
        </w:rPr>
        <w:t>.</w:t>
      </w:r>
    </w:p>
    <w:p w:rsidR="00DC67CA" w:rsidRDefault="00DC67CA" w:rsidP="00122250">
      <w:pPr>
        <w:pStyle w:val="ListParagraph"/>
        <w:spacing w:after="0" w:line="360" w:lineRule="auto"/>
        <w:ind w:left="0"/>
        <w:jc w:val="both"/>
        <w:rPr>
          <w:rFonts w:ascii="Times New Roman" w:hAnsi="Times New Roman" w:cs="Times New Roman"/>
          <w:sz w:val="24"/>
          <w:szCs w:val="24"/>
        </w:rPr>
      </w:pPr>
    </w:p>
    <w:p w:rsidR="00302CB1" w:rsidRDefault="009C510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addition, if the AER were to use the BVAL index only or average </w:t>
      </w:r>
      <w:r w:rsidR="00DC67CA">
        <w:rPr>
          <w:rFonts w:ascii="Times New Roman" w:hAnsi="Times New Roman" w:cs="Times New Roman"/>
          <w:sz w:val="24"/>
          <w:szCs w:val="24"/>
        </w:rPr>
        <w:t xml:space="preserve">over the RBA and BVAL indexes, the fact that the BVAL index does not include foreign </w:t>
      </w:r>
      <w:r w:rsidR="004C6F90">
        <w:rPr>
          <w:rFonts w:ascii="Times New Roman" w:hAnsi="Times New Roman" w:cs="Times New Roman"/>
          <w:sz w:val="24"/>
          <w:szCs w:val="24"/>
        </w:rPr>
        <w:t xml:space="preserve">currency </w:t>
      </w:r>
      <w:r w:rsidR="00DC67CA">
        <w:rPr>
          <w:rFonts w:ascii="Times New Roman" w:hAnsi="Times New Roman" w:cs="Times New Roman"/>
          <w:sz w:val="24"/>
          <w:szCs w:val="24"/>
        </w:rPr>
        <w:t xml:space="preserve">bonds implies that foreign </w:t>
      </w:r>
      <w:r w:rsidR="004C6F90">
        <w:rPr>
          <w:rFonts w:ascii="Times New Roman" w:hAnsi="Times New Roman" w:cs="Times New Roman"/>
          <w:sz w:val="24"/>
          <w:szCs w:val="24"/>
        </w:rPr>
        <w:t xml:space="preserve">currency </w:t>
      </w:r>
      <w:r w:rsidR="00DC67CA">
        <w:rPr>
          <w:rFonts w:ascii="Times New Roman" w:hAnsi="Times New Roman" w:cs="Times New Roman"/>
          <w:sz w:val="24"/>
          <w:szCs w:val="24"/>
        </w:rPr>
        <w:t xml:space="preserve">bonds will be underweighted </w:t>
      </w:r>
      <w:r>
        <w:rPr>
          <w:rFonts w:ascii="Times New Roman" w:hAnsi="Times New Roman" w:cs="Times New Roman"/>
          <w:sz w:val="24"/>
          <w:szCs w:val="24"/>
        </w:rPr>
        <w:t xml:space="preserve">and </w:t>
      </w:r>
      <w:r w:rsidR="00DC67CA">
        <w:rPr>
          <w:rFonts w:ascii="Times New Roman" w:hAnsi="Times New Roman" w:cs="Times New Roman"/>
          <w:sz w:val="24"/>
          <w:szCs w:val="24"/>
        </w:rPr>
        <w:t xml:space="preserve">this raises the question of whether bias in the allowed cost of debt might arise.  For example, if foreign </w:t>
      </w:r>
      <w:r w:rsidR="004C6F90">
        <w:rPr>
          <w:rFonts w:ascii="Times New Roman" w:hAnsi="Times New Roman" w:cs="Times New Roman"/>
          <w:sz w:val="24"/>
          <w:szCs w:val="24"/>
        </w:rPr>
        <w:t xml:space="preserve">currency </w:t>
      </w:r>
      <w:r w:rsidR="00DC67CA">
        <w:rPr>
          <w:rFonts w:ascii="Times New Roman" w:hAnsi="Times New Roman" w:cs="Times New Roman"/>
          <w:sz w:val="24"/>
          <w:szCs w:val="24"/>
        </w:rPr>
        <w:t>debt is currently more expensive, the allowed cost of debt</w:t>
      </w:r>
      <w:r w:rsidR="004A58A1">
        <w:rPr>
          <w:rFonts w:ascii="Times New Roman" w:hAnsi="Times New Roman" w:cs="Times New Roman"/>
          <w:sz w:val="24"/>
          <w:szCs w:val="24"/>
        </w:rPr>
        <w:t xml:space="preserve"> from the BVAL</w:t>
      </w:r>
      <w:r w:rsidR="00DC67CA">
        <w:rPr>
          <w:rFonts w:ascii="Times New Roman" w:hAnsi="Times New Roman" w:cs="Times New Roman"/>
          <w:sz w:val="24"/>
          <w:szCs w:val="24"/>
        </w:rPr>
        <w:t xml:space="preserve"> will be too low.  </w:t>
      </w:r>
      <w:r w:rsidR="00623D83">
        <w:rPr>
          <w:rFonts w:ascii="Times New Roman" w:hAnsi="Times New Roman" w:cs="Times New Roman"/>
          <w:sz w:val="24"/>
          <w:szCs w:val="24"/>
        </w:rPr>
        <w:t xml:space="preserve">However, </w:t>
      </w:r>
      <w:r w:rsidR="004A1D61">
        <w:rPr>
          <w:rFonts w:ascii="Times New Roman" w:hAnsi="Times New Roman" w:cs="Times New Roman"/>
          <w:sz w:val="24"/>
          <w:szCs w:val="24"/>
        </w:rPr>
        <w:t>in respect of primary market data, I understand from discussions with corporate treasury staff that the rate differential between local bonds and otherwise identical foreign denominated bonds fluctuates considerably over time, with the differential typically up to 1%</w:t>
      </w:r>
      <w:r w:rsidR="006A7566">
        <w:rPr>
          <w:rFonts w:ascii="Times New Roman" w:hAnsi="Times New Roman" w:cs="Times New Roman"/>
          <w:sz w:val="24"/>
          <w:szCs w:val="24"/>
        </w:rPr>
        <w:t xml:space="preserve"> </w:t>
      </w:r>
      <w:r w:rsidR="006A7566" w:rsidRPr="00493A80">
        <w:rPr>
          <w:rFonts w:ascii="Times New Roman" w:hAnsi="Times New Roman" w:cs="Times New Roman"/>
          <w:sz w:val="24"/>
          <w:szCs w:val="24"/>
        </w:rPr>
        <w:t>(af</w:t>
      </w:r>
      <w:r w:rsidR="009C7EF1" w:rsidRPr="00493A80">
        <w:rPr>
          <w:rFonts w:ascii="Times New Roman" w:hAnsi="Times New Roman" w:cs="Times New Roman"/>
          <w:sz w:val="24"/>
          <w:szCs w:val="24"/>
        </w:rPr>
        <w:t>ter the currency swap</w:t>
      </w:r>
      <w:r w:rsidR="006A7566" w:rsidRPr="00493A80">
        <w:rPr>
          <w:rFonts w:ascii="Times New Roman" w:hAnsi="Times New Roman" w:cs="Times New Roman"/>
          <w:sz w:val="24"/>
          <w:szCs w:val="24"/>
        </w:rPr>
        <w:t>)</w:t>
      </w:r>
      <w:r w:rsidR="004A1D61">
        <w:rPr>
          <w:rFonts w:ascii="Times New Roman" w:hAnsi="Times New Roman" w:cs="Times New Roman"/>
          <w:sz w:val="24"/>
          <w:szCs w:val="24"/>
        </w:rPr>
        <w:t xml:space="preserve">.  </w:t>
      </w:r>
      <w:r w:rsidR="006A7566">
        <w:rPr>
          <w:rFonts w:ascii="Times New Roman" w:hAnsi="Times New Roman" w:cs="Times New Roman"/>
          <w:sz w:val="24"/>
          <w:szCs w:val="24"/>
        </w:rPr>
        <w:t xml:space="preserve">The source of this is in the DRP.  Since it </w:t>
      </w:r>
      <w:r w:rsidR="004A1D61">
        <w:rPr>
          <w:rFonts w:ascii="Times New Roman" w:hAnsi="Times New Roman" w:cs="Times New Roman"/>
          <w:sz w:val="24"/>
          <w:szCs w:val="24"/>
        </w:rPr>
        <w:t>comprises allowances for expected default losses, the illiquidity of the bonds relative to government bonds, and systematic risk</w:t>
      </w:r>
      <w:r w:rsidR="004A1D61">
        <w:rPr>
          <w:rStyle w:val="FootnoteReference"/>
          <w:rFonts w:ascii="Times New Roman" w:hAnsi="Times New Roman" w:cs="Times New Roman"/>
          <w:sz w:val="24"/>
          <w:szCs w:val="24"/>
        </w:rPr>
        <w:footnoteReference w:id="13"/>
      </w:r>
      <w:r w:rsidR="004A1D61">
        <w:rPr>
          <w:rFonts w:ascii="Times New Roman" w:hAnsi="Times New Roman" w:cs="Times New Roman"/>
          <w:sz w:val="24"/>
          <w:szCs w:val="24"/>
        </w:rPr>
        <w:t xml:space="preserve">, the DRPs paid by a given Australian borrower at a given time for debt with the same term and other conditions may differ between local and foreign </w:t>
      </w:r>
      <w:r w:rsidR="004C6F90">
        <w:rPr>
          <w:rFonts w:ascii="Times New Roman" w:hAnsi="Times New Roman" w:cs="Times New Roman"/>
          <w:sz w:val="24"/>
          <w:szCs w:val="24"/>
        </w:rPr>
        <w:t xml:space="preserve">currency </w:t>
      </w:r>
      <w:r w:rsidR="004A1D61">
        <w:rPr>
          <w:rFonts w:ascii="Times New Roman" w:hAnsi="Times New Roman" w:cs="Times New Roman"/>
          <w:sz w:val="24"/>
          <w:szCs w:val="24"/>
        </w:rPr>
        <w:t>borrowing because local and foreign lender perceptions of the default risk of Australian firms may be different, premiums for the relative illiquidity of the bonds may differ across markets, and the premiums for systematic risk are likely to be different.</w:t>
      </w:r>
      <w:r w:rsidR="004A1D61">
        <w:rPr>
          <w:rStyle w:val="FootnoteReference"/>
          <w:rFonts w:ascii="Times New Roman" w:hAnsi="Times New Roman" w:cs="Times New Roman"/>
          <w:sz w:val="24"/>
          <w:szCs w:val="24"/>
        </w:rPr>
        <w:footnoteReference w:id="14"/>
      </w:r>
      <w:r w:rsidR="004A1D61">
        <w:rPr>
          <w:rFonts w:ascii="Times New Roman" w:hAnsi="Times New Roman" w:cs="Times New Roman"/>
          <w:sz w:val="24"/>
          <w:szCs w:val="24"/>
        </w:rPr>
        <w:t xml:space="preserve">  The first two of these factors will change over time.  Thus, even if foreign debt were currently materially more expensive than </w:t>
      </w:r>
      <w:r w:rsidR="004A1D61">
        <w:rPr>
          <w:rFonts w:ascii="Times New Roman" w:hAnsi="Times New Roman" w:cs="Times New Roman"/>
          <w:sz w:val="24"/>
          <w:szCs w:val="24"/>
        </w:rPr>
        <w:lastRenderedPageBreak/>
        <w:t xml:space="preserve">otherwise identical local debt, the average differential over time would be less significant </w:t>
      </w:r>
      <w:r>
        <w:rPr>
          <w:rFonts w:ascii="Times New Roman" w:hAnsi="Times New Roman" w:cs="Times New Roman"/>
          <w:sz w:val="24"/>
          <w:szCs w:val="24"/>
        </w:rPr>
        <w:t xml:space="preserve">(or even zero) </w:t>
      </w:r>
      <w:r w:rsidR="004A1D61">
        <w:rPr>
          <w:rFonts w:ascii="Times New Roman" w:hAnsi="Times New Roman" w:cs="Times New Roman"/>
          <w:sz w:val="24"/>
          <w:szCs w:val="24"/>
        </w:rPr>
        <w:t xml:space="preserve">and therefore </w:t>
      </w:r>
      <w:r w:rsidR="00623D83">
        <w:rPr>
          <w:rFonts w:ascii="Times New Roman" w:hAnsi="Times New Roman" w:cs="Times New Roman"/>
          <w:sz w:val="24"/>
          <w:szCs w:val="24"/>
        </w:rPr>
        <w:t>the bias problem less significant</w:t>
      </w:r>
      <w:r>
        <w:rPr>
          <w:rFonts w:ascii="Times New Roman" w:hAnsi="Times New Roman" w:cs="Times New Roman"/>
          <w:sz w:val="24"/>
          <w:szCs w:val="24"/>
        </w:rPr>
        <w:t xml:space="preserve"> (or even eliminated</w:t>
      </w:r>
      <w:r w:rsidR="008800E8">
        <w:rPr>
          <w:rFonts w:ascii="Times New Roman" w:hAnsi="Times New Roman" w:cs="Times New Roman"/>
          <w:sz w:val="24"/>
          <w:szCs w:val="24"/>
        </w:rPr>
        <w:t>).</w:t>
      </w:r>
    </w:p>
    <w:p w:rsidR="008800E8" w:rsidRDefault="008800E8" w:rsidP="00122250">
      <w:pPr>
        <w:pStyle w:val="ListParagraph"/>
        <w:spacing w:after="0" w:line="360" w:lineRule="auto"/>
        <w:ind w:left="0"/>
        <w:jc w:val="both"/>
        <w:rPr>
          <w:rFonts w:ascii="Times New Roman" w:hAnsi="Times New Roman" w:cs="Times New Roman"/>
          <w:sz w:val="24"/>
          <w:szCs w:val="24"/>
        </w:rPr>
      </w:pPr>
    </w:p>
    <w:p w:rsidR="008800E8" w:rsidRPr="00CB48F7" w:rsidRDefault="008800E8" w:rsidP="00122250">
      <w:pPr>
        <w:pStyle w:val="ListParagraph"/>
        <w:spacing w:after="0" w:line="360" w:lineRule="auto"/>
        <w:ind w:left="0"/>
        <w:jc w:val="both"/>
        <w:rPr>
          <w:rFonts w:ascii="Times New Roman" w:hAnsi="Times New Roman" w:cs="Times New Roman"/>
          <w:sz w:val="24"/>
          <w:szCs w:val="24"/>
        </w:rPr>
      </w:pPr>
      <w:r w:rsidRPr="00CB48F7">
        <w:rPr>
          <w:rFonts w:ascii="Times New Roman" w:hAnsi="Times New Roman" w:cs="Times New Roman"/>
          <w:sz w:val="24"/>
          <w:szCs w:val="24"/>
        </w:rPr>
        <w:t xml:space="preserve">In addition, even if the AER used only the RBA index, the weighting on foreign bonds in that index will not reflect the current optimal weights but the optimal weights at the earlier times that these existing bonds were issued and the extent to which the sample of bonds appearing in the RBA index reflects the entire population of existing bonds.  Consequently, even if the AER used only the RBA index, there may still be bias in estimating the current cost of debt.  For example, the current optimal weights may be 25% foreign currency bonds and 75% local currency bonds but the proportions of existing bonds that are of these two types may be 40% and 60% respectively (because the cost of foreign currency debt relative to that of local currency </w:t>
      </w:r>
      <w:r w:rsidR="00CA53B9" w:rsidRPr="00CB48F7">
        <w:rPr>
          <w:rFonts w:ascii="Times New Roman" w:hAnsi="Times New Roman" w:cs="Times New Roman"/>
          <w:sz w:val="24"/>
          <w:szCs w:val="24"/>
        </w:rPr>
        <w:t>is higher today than at the times that these existing bonds were issued)</w:t>
      </w:r>
      <w:r w:rsidRPr="00CB48F7">
        <w:rPr>
          <w:rFonts w:ascii="Times New Roman" w:hAnsi="Times New Roman" w:cs="Times New Roman"/>
          <w:sz w:val="24"/>
          <w:szCs w:val="24"/>
        </w:rPr>
        <w:t>, and the subset appearing i</w:t>
      </w:r>
      <w:r w:rsidR="00CA53B9" w:rsidRPr="00CB48F7">
        <w:rPr>
          <w:rFonts w:ascii="Times New Roman" w:hAnsi="Times New Roman" w:cs="Times New Roman"/>
          <w:sz w:val="24"/>
          <w:szCs w:val="24"/>
        </w:rPr>
        <w:t>n the RBA index may be 50% each.  Nevertheless, for the reasons given in the previous paragraph, the average bias tends to zero over time.</w:t>
      </w:r>
    </w:p>
    <w:p w:rsidR="00A01DED" w:rsidRDefault="00A01DED" w:rsidP="00122250">
      <w:pPr>
        <w:pStyle w:val="ListParagraph"/>
        <w:spacing w:after="0" w:line="360" w:lineRule="auto"/>
        <w:ind w:left="0"/>
        <w:jc w:val="both"/>
        <w:rPr>
          <w:rFonts w:ascii="Times New Roman" w:hAnsi="Times New Roman" w:cs="Times New Roman"/>
          <w:sz w:val="24"/>
          <w:szCs w:val="24"/>
        </w:rPr>
      </w:pPr>
    </w:p>
    <w:p w:rsidR="00A01DED" w:rsidRPr="00CB48F7" w:rsidRDefault="00A01DED"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In summary, the efficient financing mix for Australian corporates involves bank debt, Australian currency b</w:t>
      </w:r>
      <w:r w:rsidR="00A36B43">
        <w:rPr>
          <w:rFonts w:ascii="Times New Roman" w:hAnsi="Times New Roman" w:cs="Times New Roman"/>
          <w:sz w:val="24"/>
          <w:szCs w:val="24"/>
        </w:rPr>
        <w:t xml:space="preserve">onds and foreign currency bonds so as to mitigate refinancing risk and benefit from the flexibility of bank debt.  The optimal weights will vary over time, in </w:t>
      </w:r>
      <w:r w:rsidR="00C35A90">
        <w:rPr>
          <w:rFonts w:ascii="Times New Roman" w:hAnsi="Times New Roman" w:cs="Times New Roman"/>
          <w:sz w:val="24"/>
          <w:szCs w:val="24"/>
        </w:rPr>
        <w:t xml:space="preserve">inverse relation to their costs.  In using a cost of debt index that is based upon bonds, as the RBA and BVAL indexes are, bank debt is excluded and this raises the question of whether bias in the allowed cost of debt might arise.  However the very reason for excluding bank debt in the assessment of the allowed cost of debt (the lack of secondary market data) also precludes a formal assessment of this potential concern.  </w:t>
      </w:r>
      <w:r w:rsidR="00CA53B9" w:rsidRPr="00CB48F7">
        <w:rPr>
          <w:rFonts w:ascii="Times New Roman" w:hAnsi="Times New Roman" w:cs="Times New Roman"/>
          <w:sz w:val="24"/>
          <w:szCs w:val="24"/>
        </w:rPr>
        <w:t xml:space="preserve">Furthermore, since bank debt constitutes only about 25% of the debt of regulated firms, this low weighting mitigates any bias arising from its omission from the RBA and BVAL indexes.  </w:t>
      </w:r>
      <w:r w:rsidR="00C35A90" w:rsidRPr="00CB48F7">
        <w:rPr>
          <w:rFonts w:ascii="Times New Roman" w:hAnsi="Times New Roman" w:cs="Times New Roman"/>
          <w:sz w:val="24"/>
          <w:szCs w:val="24"/>
        </w:rPr>
        <w:t>In addition, if the AER were to use the BVAL index only or average over the RBA and BVAL indexes, the fact that the BVAL index does not include foreign bonds implies that foreign bonds will be underweighted and this raises the question of whether bias in the allowed cost of debt might arise.  However, whilst there are good grounds to believe that the cost of local currency bonds does vary from that of otherwise identical foreign currency bonds,</w:t>
      </w:r>
      <w:r w:rsidR="006A7566" w:rsidRPr="00CB48F7">
        <w:rPr>
          <w:rFonts w:ascii="Times New Roman" w:hAnsi="Times New Roman" w:cs="Times New Roman"/>
          <w:sz w:val="24"/>
          <w:szCs w:val="24"/>
        </w:rPr>
        <w:t xml:space="preserve"> after the currency swap to convert the foreign-currency bonds to AUD,</w:t>
      </w:r>
      <w:r w:rsidR="00C35A90" w:rsidRPr="00CB48F7">
        <w:rPr>
          <w:rFonts w:ascii="Times New Roman" w:hAnsi="Times New Roman" w:cs="Times New Roman"/>
          <w:sz w:val="24"/>
          <w:szCs w:val="24"/>
        </w:rPr>
        <w:t xml:space="preserve"> there are no grounds to believe that there is a systematically higher rate on one or the other.  Thus, the omission of foreign currency bonds from the BVAL index should not lead to </w:t>
      </w:r>
      <w:r w:rsidR="004C6F90" w:rsidRPr="00CB48F7">
        <w:rPr>
          <w:rFonts w:ascii="Times New Roman" w:hAnsi="Times New Roman" w:cs="Times New Roman"/>
          <w:sz w:val="24"/>
          <w:szCs w:val="24"/>
        </w:rPr>
        <w:t xml:space="preserve">it </w:t>
      </w:r>
      <w:r w:rsidR="00C35A90" w:rsidRPr="00CB48F7">
        <w:rPr>
          <w:rFonts w:ascii="Times New Roman" w:hAnsi="Times New Roman" w:cs="Times New Roman"/>
          <w:sz w:val="24"/>
          <w:szCs w:val="24"/>
        </w:rPr>
        <w:t xml:space="preserve">systematically over or understating the cost of debt of the efficient benchmark entity.  </w:t>
      </w:r>
      <w:r w:rsidR="00CA53B9" w:rsidRPr="00CB48F7">
        <w:rPr>
          <w:rFonts w:ascii="Times New Roman" w:hAnsi="Times New Roman" w:cs="Times New Roman"/>
          <w:sz w:val="24"/>
          <w:szCs w:val="24"/>
        </w:rPr>
        <w:t xml:space="preserve">In addition, even if the AER used only the RBA index, the weights on </w:t>
      </w:r>
      <w:r w:rsidR="00CA53B9" w:rsidRPr="00CB48F7">
        <w:rPr>
          <w:rFonts w:ascii="Times New Roman" w:hAnsi="Times New Roman" w:cs="Times New Roman"/>
          <w:sz w:val="24"/>
          <w:szCs w:val="24"/>
        </w:rPr>
        <w:lastRenderedPageBreak/>
        <w:t>local and foreign currency</w:t>
      </w:r>
      <w:r w:rsidR="004A58A1" w:rsidRPr="00CB48F7">
        <w:rPr>
          <w:rFonts w:ascii="Times New Roman" w:hAnsi="Times New Roman" w:cs="Times New Roman"/>
          <w:sz w:val="24"/>
          <w:szCs w:val="24"/>
        </w:rPr>
        <w:t xml:space="preserve"> bonds within that index may be </w:t>
      </w:r>
      <w:r w:rsidR="00CA53B9" w:rsidRPr="00CB48F7">
        <w:rPr>
          <w:rFonts w:ascii="Times New Roman" w:hAnsi="Times New Roman" w:cs="Times New Roman"/>
          <w:sz w:val="24"/>
          <w:szCs w:val="24"/>
        </w:rPr>
        <w:t xml:space="preserve">significantly different to </w:t>
      </w:r>
      <w:r w:rsidR="004A58A1" w:rsidRPr="00CB48F7">
        <w:rPr>
          <w:rFonts w:ascii="Times New Roman" w:hAnsi="Times New Roman" w:cs="Times New Roman"/>
          <w:sz w:val="24"/>
          <w:szCs w:val="24"/>
        </w:rPr>
        <w:t xml:space="preserve">that of bonds in general and </w:t>
      </w:r>
      <w:r w:rsidR="006A5490" w:rsidRPr="00CB48F7">
        <w:rPr>
          <w:rFonts w:ascii="Times New Roman" w:hAnsi="Times New Roman" w:cs="Times New Roman"/>
          <w:sz w:val="24"/>
          <w:szCs w:val="24"/>
        </w:rPr>
        <w:t xml:space="preserve">these </w:t>
      </w:r>
      <w:r w:rsidR="004A58A1" w:rsidRPr="00CB48F7">
        <w:rPr>
          <w:rFonts w:ascii="Times New Roman" w:hAnsi="Times New Roman" w:cs="Times New Roman"/>
          <w:sz w:val="24"/>
          <w:szCs w:val="24"/>
        </w:rPr>
        <w:t xml:space="preserve">in turn to </w:t>
      </w:r>
      <w:r w:rsidR="00CA53B9" w:rsidRPr="00CB48F7">
        <w:rPr>
          <w:rFonts w:ascii="Times New Roman" w:hAnsi="Times New Roman" w:cs="Times New Roman"/>
          <w:sz w:val="24"/>
          <w:szCs w:val="24"/>
        </w:rPr>
        <w:t>the currently optimal weights, and this too would introduce bias but again the effect would not be systematic over time.</w:t>
      </w:r>
    </w:p>
    <w:p w:rsidR="003C2993" w:rsidRDefault="003C2993" w:rsidP="00122250">
      <w:pPr>
        <w:pStyle w:val="ListParagraph"/>
        <w:spacing w:after="0" w:line="360" w:lineRule="auto"/>
        <w:ind w:left="0"/>
        <w:jc w:val="both"/>
        <w:rPr>
          <w:rFonts w:ascii="Times New Roman" w:hAnsi="Times New Roman" w:cs="Times New Roman"/>
          <w:sz w:val="24"/>
          <w:szCs w:val="24"/>
        </w:rPr>
      </w:pPr>
    </w:p>
    <w:p w:rsidR="004F393F" w:rsidRPr="004F393F" w:rsidRDefault="004F393F" w:rsidP="004F393F">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Credit Ratings</w:t>
      </w:r>
    </w:p>
    <w:p w:rsidR="004F393F" w:rsidRPr="00207529" w:rsidRDefault="00207529" w:rsidP="00122250">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4.1 </w:t>
      </w:r>
      <w:r w:rsidRPr="00CF5D45">
        <w:rPr>
          <w:rFonts w:ascii="Times New Roman" w:hAnsi="Times New Roman" w:cs="Times New Roman"/>
          <w:i/>
          <w:sz w:val="24"/>
          <w:szCs w:val="24"/>
        </w:rPr>
        <w:t>The Appropriate Credit Rating for the Benchmark Entity</w:t>
      </w:r>
    </w:p>
    <w:p w:rsidR="00AF2734" w:rsidRDefault="004F393F"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w:t>
      </w:r>
      <w:r w:rsidR="00402BA3">
        <w:rPr>
          <w:rFonts w:ascii="Times New Roman" w:hAnsi="Times New Roman" w:cs="Times New Roman"/>
          <w:sz w:val="24"/>
          <w:szCs w:val="24"/>
        </w:rPr>
        <w:t xml:space="preserve"> AER favours a credit rating of BBB+ for </w:t>
      </w:r>
      <w:r w:rsidR="0013264C">
        <w:rPr>
          <w:rFonts w:ascii="Times New Roman" w:hAnsi="Times New Roman" w:cs="Times New Roman"/>
          <w:sz w:val="24"/>
          <w:szCs w:val="24"/>
        </w:rPr>
        <w:t xml:space="preserve">pure-play </w:t>
      </w:r>
      <w:r w:rsidR="00402BA3">
        <w:rPr>
          <w:rFonts w:ascii="Times New Roman" w:hAnsi="Times New Roman" w:cs="Times New Roman"/>
          <w:sz w:val="24"/>
          <w:szCs w:val="24"/>
        </w:rPr>
        <w:t xml:space="preserve">regulated energy networks </w:t>
      </w:r>
      <w:r w:rsidR="0013264C">
        <w:rPr>
          <w:rFonts w:ascii="Times New Roman" w:hAnsi="Times New Roman" w:cs="Times New Roman"/>
          <w:sz w:val="24"/>
          <w:szCs w:val="24"/>
        </w:rPr>
        <w:t xml:space="preserve">(gas and electricity transmission and distribution) </w:t>
      </w:r>
      <w:r w:rsidR="00402BA3">
        <w:rPr>
          <w:rFonts w:ascii="Times New Roman" w:hAnsi="Times New Roman" w:cs="Times New Roman"/>
          <w:sz w:val="24"/>
          <w:szCs w:val="24"/>
        </w:rPr>
        <w:t>operating within Australia over the period 2002-2013</w:t>
      </w:r>
      <w:r w:rsidR="0013264C">
        <w:rPr>
          <w:rFonts w:ascii="Times New Roman" w:hAnsi="Times New Roman" w:cs="Times New Roman"/>
          <w:sz w:val="24"/>
          <w:szCs w:val="24"/>
        </w:rPr>
        <w:t xml:space="preserve">, consistent with the median of the ratings assigned to the 13 comparator firms selected by the AER </w:t>
      </w:r>
      <w:r w:rsidR="001643A3">
        <w:rPr>
          <w:rFonts w:ascii="Times New Roman" w:hAnsi="Times New Roman" w:cs="Times New Roman"/>
          <w:sz w:val="24"/>
          <w:szCs w:val="24"/>
        </w:rPr>
        <w:t>(2013, pp. 153-154).  However, the AER does not supply the underlying ratings for the individual firms used as comparators</w:t>
      </w:r>
      <w:r w:rsidR="00290ADA">
        <w:rPr>
          <w:rFonts w:ascii="Times New Roman" w:hAnsi="Times New Roman" w:cs="Times New Roman"/>
          <w:sz w:val="24"/>
          <w:szCs w:val="24"/>
        </w:rPr>
        <w:t xml:space="preserve">, or </w:t>
      </w:r>
      <w:r w:rsidR="00C11E2F">
        <w:rPr>
          <w:rFonts w:ascii="Times New Roman" w:hAnsi="Times New Roman" w:cs="Times New Roman"/>
          <w:sz w:val="24"/>
          <w:szCs w:val="24"/>
        </w:rPr>
        <w:t xml:space="preserve">the medians </w:t>
      </w:r>
      <w:r w:rsidR="00290ADA">
        <w:rPr>
          <w:rFonts w:ascii="Times New Roman" w:hAnsi="Times New Roman" w:cs="Times New Roman"/>
          <w:sz w:val="24"/>
          <w:szCs w:val="24"/>
        </w:rPr>
        <w:t>for the individual years (apart from 2013, for which the median is claimed to be BBB)</w:t>
      </w:r>
      <w:r w:rsidR="001643A3">
        <w:rPr>
          <w:rFonts w:ascii="Times New Roman" w:hAnsi="Times New Roman" w:cs="Times New Roman"/>
          <w:sz w:val="24"/>
          <w:szCs w:val="24"/>
        </w:rPr>
        <w:t xml:space="preserve">.  </w:t>
      </w:r>
    </w:p>
    <w:p w:rsidR="00AF2734" w:rsidRDefault="00AF2734" w:rsidP="00122250">
      <w:pPr>
        <w:pStyle w:val="ListParagraph"/>
        <w:spacing w:after="0" w:line="360" w:lineRule="auto"/>
        <w:ind w:left="0"/>
        <w:jc w:val="both"/>
        <w:rPr>
          <w:rFonts w:ascii="Times New Roman" w:hAnsi="Times New Roman" w:cs="Times New Roman"/>
          <w:sz w:val="24"/>
          <w:szCs w:val="24"/>
        </w:rPr>
      </w:pPr>
    </w:p>
    <w:p w:rsidR="00291908" w:rsidRPr="000E3390" w:rsidRDefault="001643A3"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CEG (2014, Appendix B) </w:t>
      </w:r>
      <w:r w:rsidR="00290ADA">
        <w:rPr>
          <w:rFonts w:ascii="Times New Roman" w:hAnsi="Times New Roman" w:cs="Times New Roman"/>
          <w:sz w:val="24"/>
          <w:szCs w:val="24"/>
        </w:rPr>
        <w:t xml:space="preserve">do report the </w:t>
      </w:r>
      <w:r w:rsidR="009D2CCD">
        <w:rPr>
          <w:rFonts w:ascii="Times New Roman" w:hAnsi="Times New Roman" w:cs="Times New Roman"/>
          <w:sz w:val="24"/>
          <w:szCs w:val="24"/>
        </w:rPr>
        <w:t xml:space="preserve">ratings for </w:t>
      </w:r>
      <w:r w:rsidR="00290ADA">
        <w:rPr>
          <w:rFonts w:ascii="Times New Roman" w:hAnsi="Times New Roman" w:cs="Times New Roman"/>
          <w:sz w:val="24"/>
          <w:szCs w:val="24"/>
        </w:rPr>
        <w:t xml:space="preserve">the individual firms and, </w:t>
      </w:r>
      <w:r>
        <w:rPr>
          <w:rFonts w:ascii="Times New Roman" w:hAnsi="Times New Roman" w:cs="Times New Roman"/>
          <w:sz w:val="24"/>
          <w:szCs w:val="24"/>
        </w:rPr>
        <w:t xml:space="preserve">using the same weighting scheme used by the AER to average across different credit ratings, </w:t>
      </w:r>
      <w:r w:rsidR="009D2CCD">
        <w:rPr>
          <w:rFonts w:ascii="Times New Roman" w:hAnsi="Times New Roman" w:cs="Times New Roman"/>
          <w:sz w:val="24"/>
          <w:szCs w:val="24"/>
        </w:rPr>
        <w:t xml:space="preserve">derive the median rating for each of the years 2002-1013.  They </w:t>
      </w:r>
      <w:r>
        <w:rPr>
          <w:rFonts w:ascii="Times New Roman" w:hAnsi="Times New Roman" w:cs="Times New Roman"/>
          <w:sz w:val="24"/>
          <w:szCs w:val="24"/>
        </w:rPr>
        <w:t>find that the median ratin</w:t>
      </w:r>
      <w:r w:rsidR="006E4FF1">
        <w:rPr>
          <w:rFonts w:ascii="Times New Roman" w:hAnsi="Times New Roman" w:cs="Times New Roman"/>
          <w:sz w:val="24"/>
          <w:szCs w:val="24"/>
        </w:rPr>
        <w:t>g falls from BBB+ to BBB in 2009</w:t>
      </w:r>
      <w:r>
        <w:rPr>
          <w:rFonts w:ascii="Times New Roman" w:hAnsi="Times New Roman" w:cs="Times New Roman"/>
          <w:sz w:val="24"/>
          <w:szCs w:val="24"/>
        </w:rPr>
        <w:t xml:space="preserve"> (</w:t>
      </w:r>
      <w:r w:rsidR="006E4FF1">
        <w:rPr>
          <w:rFonts w:ascii="Times New Roman" w:hAnsi="Times New Roman" w:cs="Times New Roman"/>
          <w:sz w:val="24"/>
          <w:szCs w:val="24"/>
        </w:rPr>
        <w:t xml:space="preserve">presumably in response to the </w:t>
      </w:r>
      <w:r>
        <w:rPr>
          <w:rFonts w:ascii="Times New Roman" w:hAnsi="Times New Roman" w:cs="Times New Roman"/>
          <w:sz w:val="24"/>
          <w:szCs w:val="24"/>
        </w:rPr>
        <w:t>GFC)</w:t>
      </w:r>
      <w:r w:rsidR="002E0848">
        <w:rPr>
          <w:rFonts w:ascii="Times New Roman" w:hAnsi="Times New Roman" w:cs="Times New Roman"/>
          <w:sz w:val="24"/>
          <w:szCs w:val="24"/>
        </w:rPr>
        <w:t xml:space="preserve"> and has remained there since</w:t>
      </w:r>
      <w:r>
        <w:rPr>
          <w:rFonts w:ascii="Times New Roman" w:hAnsi="Times New Roman" w:cs="Times New Roman"/>
          <w:sz w:val="24"/>
          <w:szCs w:val="24"/>
        </w:rPr>
        <w:t xml:space="preserve">.  Consequently they favour a median credit rating at the present time of BBB.  </w:t>
      </w:r>
      <w:r w:rsidR="00FC287B" w:rsidRPr="000E3390">
        <w:rPr>
          <w:rFonts w:ascii="Times New Roman" w:hAnsi="Times New Roman" w:cs="Times New Roman"/>
          <w:sz w:val="24"/>
          <w:szCs w:val="24"/>
        </w:rPr>
        <w:t xml:space="preserve">By contrast, </w:t>
      </w:r>
      <w:r w:rsidR="00291908" w:rsidRPr="000E3390">
        <w:rPr>
          <w:rFonts w:ascii="Times New Roman" w:hAnsi="Times New Roman" w:cs="Times New Roman"/>
          <w:sz w:val="24"/>
          <w:szCs w:val="24"/>
        </w:rPr>
        <w:t xml:space="preserve">the AER </w:t>
      </w:r>
      <w:r w:rsidR="0057514A" w:rsidRPr="000E3390">
        <w:rPr>
          <w:rFonts w:ascii="Times New Roman" w:hAnsi="Times New Roman" w:cs="Times New Roman"/>
          <w:sz w:val="24"/>
          <w:szCs w:val="24"/>
        </w:rPr>
        <w:t xml:space="preserve">(2013, page 154) </w:t>
      </w:r>
      <w:r w:rsidR="00291908" w:rsidRPr="000E3390">
        <w:rPr>
          <w:rFonts w:ascii="Times New Roman" w:hAnsi="Times New Roman" w:cs="Times New Roman"/>
          <w:sz w:val="24"/>
          <w:szCs w:val="24"/>
        </w:rPr>
        <w:t>argues that the number of firms</w:t>
      </w:r>
      <w:r w:rsidR="00FC287B" w:rsidRPr="000E3390">
        <w:rPr>
          <w:rFonts w:ascii="Times New Roman" w:hAnsi="Times New Roman" w:cs="Times New Roman"/>
          <w:sz w:val="24"/>
          <w:szCs w:val="24"/>
        </w:rPr>
        <w:t xml:space="preserve"> in this industry</w:t>
      </w:r>
      <w:r w:rsidR="00291908" w:rsidRPr="000E3390">
        <w:rPr>
          <w:rFonts w:ascii="Times New Roman" w:hAnsi="Times New Roman" w:cs="Times New Roman"/>
          <w:sz w:val="24"/>
          <w:szCs w:val="24"/>
        </w:rPr>
        <w:t xml:space="preserve"> is limited</w:t>
      </w:r>
      <w:r w:rsidR="0057514A" w:rsidRPr="000E3390">
        <w:rPr>
          <w:rFonts w:ascii="Times New Roman" w:hAnsi="Times New Roman" w:cs="Times New Roman"/>
          <w:sz w:val="24"/>
          <w:szCs w:val="24"/>
        </w:rPr>
        <w:t xml:space="preserve">, </w:t>
      </w:r>
      <w:r w:rsidR="00F6760A" w:rsidRPr="000E3390">
        <w:rPr>
          <w:rFonts w:ascii="Times New Roman" w:hAnsi="Times New Roman" w:cs="Times New Roman"/>
          <w:sz w:val="24"/>
          <w:szCs w:val="24"/>
        </w:rPr>
        <w:t xml:space="preserve">averaging over </w:t>
      </w:r>
      <w:r w:rsidR="0057514A" w:rsidRPr="000E3390">
        <w:rPr>
          <w:rFonts w:ascii="Times New Roman" w:hAnsi="Times New Roman" w:cs="Times New Roman"/>
          <w:sz w:val="24"/>
          <w:szCs w:val="24"/>
        </w:rPr>
        <w:t xml:space="preserve">a historical period </w:t>
      </w:r>
      <w:r w:rsidR="00F6760A" w:rsidRPr="000E3390">
        <w:rPr>
          <w:rFonts w:ascii="Times New Roman" w:hAnsi="Times New Roman" w:cs="Times New Roman"/>
          <w:sz w:val="24"/>
          <w:szCs w:val="24"/>
        </w:rPr>
        <w:t>improves the reliability of the estimate</w:t>
      </w:r>
      <w:r w:rsidR="0057514A" w:rsidRPr="000E3390">
        <w:rPr>
          <w:rFonts w:ascii="Times New Roman" w:hAnsi="Times New Roman" w:cs="Times New Roman"/>
          <w:sz w:val="24"/>
          <w:szCs w:val="24"/>
        </w:rPr>
        <w:t>, and at least five years would be appropriate</w:t>
      </w:r>
      <w:r w:rsidR="000A40C6" w:rsidRPr="000E3390">
        <w:rPr>
          <w:rFonts w:ascii="Times New Roman" w:hAnsi="Times New Roman" w:cs="Times New Roman"/>
          <w:sz w:val="24"/>
          <w:szCs w:val="24"/>
        </w:rPr>
        <w:t xml:space="preserve"> (in fact, data from 2002-2013 are used)</w:t>
      </w:r>
      <w:r w:rsidR="0057514A" w:rsidRPr="000E3390">
        <w:rPr>
          <w:rFonts w:ascii="Times New Roman" w:hAnsi="Times New Roman" w:cs="Times New Roman"/>
          <w:sz w:val="24"/>
          <w:szCs w:val="24"/>
        </w:rPr>
        <w:t xml:space="preserve"> consistent with their approach to estimating the equity beta</w:t>
      </w:r>
      <w:r w:rsidR="00F6760A" w:rsidRPr="000E3390">
        <w:rPr>
          <w:rFonts w:ascii="Times New Roman" w:hAnsi="Times New Roman" w:cs="Times New Roman"/>
          <w:sz w:val="24"/>
          <w:szCs w:val="24"/>
        </w:rPr>
        <w:t xml:space="preserve">.  </w:t>
      </w:r>
      <w:r w:rsidR="0057514A" w:rsidRPr="000E3390">
        <w:rPr>
          <w:rFonts w:ascii="Times New Roman" w:hAnsi="Times New Roman" w:cs="Times New Roman"/>
          <w:sz w:val="24"/>
          <w:szCs w:val="24"/>
        </w:rPr>
        <w:t xml:space="preserve">However the </w:t>
      </w:r>
      <w:r w:rsidR="00DB5CEC" w:rsidRPr="000E3390">
        <w:rPr>
          <w:rFonts w:ascii="Times New Roman" w:hAnsi="Times New Roman" w:cs="Times New Roman"/>
          <w:sz w:val="24"/>
          <w:szCs w:val="24"/>
        </w:rPr>
        <w:t xml:space="preserve">optimal historical period over which to </w:t>
      </w:r>
      <w:r w:rsidR="00FC287B" w:rsidRPr="000E3390">
        <w:rPr>
          <w:rFonts w:ascii="Times New Roman" w:hAnsi="Times New Roman" w:cs="Times New Roman"/>
          <w:sz w:val="24"/>
          <w:szCs w:val="24"/>
        </w:rPr>
        <w:t xml:space="preserve">draw upon data to estimate an industry-level parameter </w:t>
      </w:r>
      <w:r w:rsidR="00DB5CEC" w:rsidRPr="000E3390">
        <w:rPr>
          <w:rFonts w:ascii="Times New Roman" w:hAnsi="Times New Roman" w:cs="Times New Roman"/>
          <w:sz w:val="24"/>
          <w:szCs w:val="24"/>
        </w:rPr>
        <w:t xml:space="preserve">will depend upon the standard deviation </w:t>
      </w:r>
      <w:r w:rsidR="00FC287B" w:rsidRPr="000E3390">
        <w:rPr>
          <w:rFonts w:ascii="Times New Roman" w:hAnsi="Times New Roman" w:cs="Times New Roman"/>
          <w:sz w:val="24"/>
          <w:szCs w:val="24"/>
        </w:rPr>
        <w:t xml:space="preserve">of the annual estimation errors </w:t>
      </w:r>
      <w:r w:rsidR="00DB5CEC" w:rsidRPr="000E3390">
        <w:rPr>
          <w:rFonts w:ascii="Times New Roman" w:hAnsi="Times New Roman" w:cs="Times New Roman"/>
          <w:sz w:val="24"/>
          <w:szCs w:val="24"/>
        </w:rPr>
        <w:t>at the l</w:t>
      </w:r>
      <w:r w:rsidR="0057514A" w:rsidRPr="000E3390">
        <w:rPr>
          <w:rFonts w:ascii="Times New Roman" w:hAnsi="Times New Roman" w:cs="Times New Roman"/>
          <w:sz w:val="24"/>
          <w:szCs w:val="24"/>
        </w:rPr>
        <w:t>evel of the individual firm</w:t>
      </w:r>
      <w:r w:rsidR="00DB5CEC" w:rsidRPr="000E3390">
        <w:rPr>
          <w:rFonts w:ascii="Times New Roman" w:hAnsi="Times New Roman" w:cs="Times New Roman"/>
          <w:sz w:val="24"/>
          <w:szCs w:val="24"/>
        </w:rPr>
        <w:t xml:space="preserve">.  </w:t>
      </w:r>
      <w:r w:rsidR="0057514A" w:rsidRPr="000E3390">
        <w:rPr>
          <w:rFonts w:ascii="Times New Roman" w:hAnsi="Times New Roman" w:cs="Times New Roman"/>
          <w:sz w:val="24"/>
          <w:szCs w:val="24"/>
        </w:rPr>
        <w:t xml:space="preserve">In respect of beta, estimates for an individual firm using one year of data have very high standard errors, and even betas for large portfolios of comparable firms estimated with the use of five years of data still have significant standard errors; this supports the use of more than five years of data in estimating </w:t>
      </w:r>
      <w:r w:rsidR="00030B22" w:rsidRPr="000E3390">
        <w:rPr>
          <w:rFonts w:ascii="Times New Roman" w:hAnsi="Times New Roman" w:cs="Times New Roman"/>
          <w:sz w:val="24"/>
          <w:szCs w:val="24"/>
        </w:rPr>
        <w:t xml:space="preserve">industry </w:t>
      </w:r>
      <w:r w:rsidR="0057514A" w:rsidRPr="000E3390">
        <w:rPr>
          <w:rFonts w:ascii="Times New Roman" w:hAnsi="Times New Roman" w:cs="Times New Roman"/>
          <w:sz w:val="24"/>
          <w:szCs w:val="24"/>
        </w:rPr>
        <w:t xml:space="preserve">betas.  However, inspection of </w:t>
      </w:r>
      <w:r w:rsidR="00DB5CEC" w:rsidRPr="000E3390">
        <w:rPr>
          <w:rFonts w:ascii="Times New Roman" w:hAnsi="Times New Roman" w:cs="Times New Roman"/>
          <w:sz w:val="24"/>
          <w:szCs w:val="24"/>
        </w:rPr>
        <w:t xml:space="preserve">CEG (2014, Table 13) </w:t>
      </w:r>
      <w:r w:rsidR="00915974" w:rsidRPr="000E3390">
        <w:rPr>
          <w:rFonts w:ascii="Times New Roman" w:hAnsi="Times New Roman" w:cs="Times New Roman"/>
          <w:sz w:val="24"/>
          <w:szCs w:val="24"/>
        </w:rPr>
        <w:t xml:space="preserve">reveals that the ratings at the individual firm level are very stable over time and the principal changes (in 2007/2008 for three firms and in 2013 for SP Ausnet Group and </w:t>
      </w:r>
      <w:r w:rsidR="00915974" w:rsidRPr="00294FBA">
        <w:rPr>
          <w:rFonts w:ascii="Times New Roman" w:hAnsi="Times New Roman" w:cs="Times New Roman"/>
          <w:sz w:val="24"/>
          <w:szCs w:val="24"/>
        </w:rPr>
        <w:t>SPI</w:t>
      </w:r>
      <w:r w:rsidR="00F010D4" w:rsidRPr="00294FBA">
        <w:rPr>
          <w:rFonts w:ascii="Times New Roman" w:hAnsi="Times New Roman" w:cs="Times New Roman"/>
          <w:sz w:val="24"/>
          <w:szCs w:val="24"/>
        </w:rPr>
        <w:t>AA</w:t>
      </w:r>
      <w:r w:rsidR="00915974" w:rsidRPr="00294FBA">
        <w:rPr>
          <w:rFonts w:ascii="Times New Roman" w:hAnsi="Times New Roman" w:cs="Times New Roman"/>
          <w:sz w:val="24"/>
          <w:szCs w:val="24"/>
        </w:rPr>
        <w:t>) have highly plausible explanations</w:t>
      </w:r>
      <w:r w:rsidR="00F010D4" w:rsidRPr="00294FBA">
        <w:rPr>
          <w:rFonts w:ascii="Times New Roman" w:hAnsi="Times New Roman" w:cs="Times New Roman"/>
          <w:sz w:val="24"/>
          <w:szCs w:val="24"/>
        </w:rPr>
        <w:t xml:space="preserve"> (the GFC for the first three cases and the loss of majority ownership by Singapore Power in the last two cases)</w:t>
      </w:r>
      <w:r w:rsidR="00915974" w:rsidRPr="00294FBA">
        <w:rPr>
          <w:rFonts w:ascii="Times New Roman" w:hAnsi="Times New Roman" w:cs="Times New Roman"/>
          <w:sz w:val="24"/>
          <w:szCs w:val="24"/>
        </w:rPr>
        <w:t>.</w:t>
      </w:r>
      <w:r w:rsidR="00915974" w:rsidRPr="000E3390">
        <w:rPr>
          <w:rFonts w:ascii="Times New Roman" w:hAnsi="Times New Roman" w:cs="Times New Roman"/>
          <w:sz w:val="24"/>
          <w:szCs w:val="24"/>
        </w:rPr>
        <w:t xml:space="preserve">  This suggests that the ratings are estimated </w:t>
      </w:r>
      <w:r w:rsidR="000A40C6" w:rsidRPr="000E3390">
        <w:rPr>
          <w:rFonts w:ascii="Times New Roman" w:hAnsi="Times New Roman" w:cs="Times New Roman"/>
          <w:sz w:val="24"/>
          <w:szCs w:val="24"/>
        </w:rPr>
        <w:t>much more accurately than equity betas</w:t>
      </w:r>
      <w:r w:rsidR="00915974" w:rsidRPr="000E3390">
        <w:rPr>
          <w:rFonts w:ascii="Times New Roman" w:hAnsi="Times New Roman" w:cs="Times New Roman"/>
          <w:sz w:val="24"/>
          <w:szCs w:val="24"/>
        </w:rPr>
        <w:t xml:space="preserve">, and therefore </w:t>
      </w:r>
      <w:r w:rsidR="00E01982" w:rsidRPr="000E3390">
        <w:rPr>
          <w:rFonts w:ascii="Times New Roman" w:hAnsi="Times New Roman" w:cs="Times New Roman"/>
          <w:sz w:val="24"/>
          <w:szCs w:val="24"/>
        </w:rPr>
        <w:t xml:space="preserve">that </w:t>
      </w:r>
      <w:r w:rsidR="000A40C6" w:rsidRPr="000E3390">
        <w:rPr>
          <w:rFonts w:ascii="Times New Roman" w:hAnsi="Times New Roman" w:cs="Times New Roman"/>
          <w:sz w:val="24"/>
          <w:szCs w:val="24"/>
        </w:rPr>
        <w:t>the optimal period of historical data to use is much less than for equity betas</w:t>
      </w:r>
      <w:r w:rsidR="00441FF4">
        <w:rPr>
          <w:rFonts w:ascii="Times New Roman" w:hAnsi="Times New Roman" w:cs="Times New Roman"/>
          <w:sz w:val="24"/>
          <w:szCs w:val="24"/>
        </w:rPr>
        <w:t xml:space="preserve">, i.e., the use of ratings data from only the recent past shields the estimate </w:t>
      </w:r>
      <w:r w:rsidR="00441FF4">
        <w:rPr>
          <w:rFonts w:ascii="Times New Roman" w:hAnsi="Times New Roman" w:cs="Times New Roman"/>
          <w:sz w:val="24"/>
          <w:szCs w:val="24"/>
        </w:rPr>
        <w:lastRenderedPageBreak/>
        <w:t xml:space="preserve">from </w:t>
      </w:r>
      <w:r w:rsidR="00382434">
        <w:rPr>
          <w:rFonts w:ascii="Times New Roman" w:hAnsi="Times New Roman" w:cs="Times New Roman"/>
          <w:sz w:val="24"/>
          <w:szCs w:val="24"/>
        </w:rPr>
        <w:t xml:space="preserve">past </w:t>
      </w:r>
      <w:r w:rsidR="004515C5">
        <w:rPr>
          <w:rFonts w:ascii="Times New Roman" w:hAnsi="Times New Roman" w:cs="Times New Roman"/>
          <w:sz w:val="24"/>
          <w:szCs w:val="24"/>
        </w:rPr>
        <w:t xml:space="preserve">conditions that no longer prevail (avoidance of bias) whilst the lost benefits of </w:t>
      </w:r>
      <w:r w:rsidR="005A4B58">
        <w:rPr>
          <w:rFonts w:ascii="Times New Roman" w:hAnsi="Times New Roman" w:cs="Times New Roman"/>
          <w:sz w:val="24"/>
          <w:szCs w:val="24"/>
        </w:rPr>
        <w:t>averaging over a longer period (</w:t>
      </w:r>
      <w:r w:rsidR="004515C5">
        <w:rPr>
          <w:rFonts w:ascii="Times New Roman" w:hAnsi="Times New Roman" w:cs="Times New Roman"/>
          <w:sz w:val="24"/>
          <w:szCs w:val="24"/>
        </w:rPr>
        <w:t>washing out estimation errors</w:t>
      </w:r>
      <w:r w:rsidR="005A4B58">
        <w:rPr>
          <w:rFonts w:ascii="Times New Roman" w:hAnsi="Times New Roman" w:cs="Times New Roman"/>
          <w:sz w:val="24"/>
          <w:szCs w:val="24"/>
        </w:rPr>
        <w:t>)</w:t>
      </w:r>
      <w:r w:rsidR="004515C5">
        <w:rPr>
          <w:rFonts w:ascii="Times New Roman" w:hAnsi="Times New Roman" w:cs="Times New Roman"/>
          <w:sz w:val="24"/>
          <w:szCs w:val="24"/>
        </w:rPr>
        <w:t xml:space="preserve"> are minimal</w:t>
      </w:r>
      <w:r w:rsidR="00915974" w:rsidRPr="000E3390">
        <w:rPr>
          <w:rFonts w:ascii="Times New Roman" w:hAnsi="Times New Roman" w:cs="Times New Roman"/>
          <w:sz w:val="24"/>
          <w:szCs w:val="24"/>
        </w:rPr>
        <w:t>.</w:t>
      </w:r>
      <w:r w:rsidR="000A40C6" w:rsidRPr="000E3390">
        <w:rPr>
          <w:rStyle w:val="FootnoteReference"/>
          <w:rFonts w:ascii="Times New Roman" w:hAnsi="Times New Roman" w:cs="Times New Roman"/>
          <w:sz w:val="24"/>
          <w:szCs w:val="24"/>
        </w:rPr>
        <w:footnoteReference w:id="15"/>
      </w:r>
      <w:r w:rsidR="009C7EDD">
        <w:rPr>
          <w:rFonts w:ascii="Times New Roman" w:hAnsi="Times New Roman" w:cs="Times New Roman"/>
          <w:sz w:val="24"/>
          <w:szCs w:val="24"/>
        </w:rPr>
        <w:t xml:space="preserve">  </w:t>
      </w:r>
      <w:r w:rsidR="009C7EDD" w:rsidRPr="004C457B">
        <w:rPr>
          <w:rFonts w:ascii="Times New Roman" w:hAnsi="Times New Roman" w:cs="Times New Roman"/>
          <w:sz w:val="24"/>
          <w:szCs w:val="24"/>
        </w:rPr>
        <w:t xml:space="preserve">However, the accuracy of ratings does not imply that they are error-free, because they will reflect some firm-specific features that are irrelevant to the benchmark firm.  If a sufficiently large number of firms </w:t>
      </w:r>
      <w:r w:rsidR="006B7BC7" w:rsidRPr="004C457B">
        <w:rPr>
          <w:rFonts w:ascii="Times New Roman" w:hAnsi="Times New Roman" w:cs="Times New Roman"/>
          <w:sz w:val="24"/>
          <w:szCs w:val="24"/>
        </w:rPr>
        <w:t xml:space="preserve">were </w:t>
      </w:r>
      <w:r w:rsidR="009C7EDD" w:rsidRPr="004C457B">
        <w:rPr>
          <w:rFonts w:ascii="Times New Roman" w:hAnsi="Times New Roman" w:cs="Times New Roman"/>
          <w:sz w:val="24"/>
          <w:szCs w:val="24"/>
        </w:rPr>
        <w:t xml:space="preserve">available, averaging over the very recent ratings of </w:t>
      </w:r>
      <w:r w:rsidR="00C3377F" w:rsidRPr="004C457B">
        <w:rPr>
          <w:rFonts w:ascii="Times New Roman" w:hAnsi="Times New Roman" w:cs="Times New Roman"/>
          <w:sz w:val="24"/>
          <w:szCs w:val="24"/>
        </w:rPr>
        <w:t xml:space="preserve">these firms will largely wash-out such effects.  However the number of firms is very limited and therefore </w:t>
      </w:r>
      <w:r w:rsidR="006B7BC7" w:rsidRPr="004C457B">
        <w:rPr>
          <w:rFonts w:ascii="Times New Roman" w:hAnsi="Times New Roman" w:cs="Times New Roman"/>
          <w:sz w:val="24"/>
          <w:szCs w:val="24"/>
        </w:rPr>
        <w:t xml:space="preserve">also </w:t>
      </w:r>
      <w:r w:rsidR="00C3377F" w:rsidRPr="004C457B">
        <w:rPr>
          <w:rFonts w:ascii="Times New Roman" w:hAnsi="Times New Roman" w:cs="Times New Roman"/>
          <w:sz w:val="24"/>
          <w:szCs w:val="24"/>
        </w:rPr>
        <w:t>averaging results over a significant historical period</w:t>
      </w:r>
      <w:r w:rsidR="00441FF4" w:rsidRPr="004C457B">
        <w:rPr>
          <w:rFonts w:ascii="Times New Roman" w:hAnsi="Times New Roman" w:cs="Times New Roman"/>
          <w:sz w:val="24"/>
          <w:szCs w:val="24"/>
        </w:rPr>
        <w:t xml:space="preserve"> </w:t>
      </w:r>
      <w:r w:rsidR="00382434" w:rsidRPr="004C457B">
        <w:rPr>
          <w:rFonts w:ascii="Times New Roman" w:hAnsi="Times New Roman" w:cs="Times New Roman"/>
          <w:sz w:val="24"/>
          <w:szCs w:val="24"/>
        </w:rPr>
        <w:t xml:space="preserve">may significantly </w:t>
      </w:r>
      <w:r w:rsidR="006B7BC7" w:rsidRPr="004C457B">
        <w:rPr>
          <w:rFonts w:ascii="Times New Roman" w:hAnsi="Times New Roman" w:cs="Times New Roman"/>
          <w:sz w:val="24"/>
          <w:szCs w:val="24"/>
        </w:rPr>
        <w:t xml:space="preserve">contribute to mitigating these </w:t>
      </w:r>
      <w:r w:rsidR="00441FF4" w:rsidRPr="004C457B">
        <w:rPr>
          <w:rFonts w:ascii="Times New Roman" w:hAnsi="Times New Roman" w:cs="Times New Roman"/>
          <w:sz w:val="24"/>
          <w:szCs w:val="24"/>
        </w:rPr>
        <w:t xml:space="preserve">firm-specific events (providing that they do not afflict the firms over a long period).  Thus, there are </w:t>
      </w:r>
      <w:r w:rsidR="004515C5" w:rsidRPr="004C457B">
        <w:rPr>
          <w:rFonts w:ascii="Times New Roman" w:hAnsi="Times New Roman" w:cs="Times New Roman"/>
          <w:sz w:val="24"/>
          <w:szCs w:val="24"/>
        </w:rPr>
        <w:t xml:space="preserve">pros and cons from </w:t>
      </w:r>
      <w:r w:rsidR="00B31C1A" w:rsidRPr="004C457B">
        <w:rPr>
          <w:rFonts w:ascii="Times New Roman" w:hAnsi="Times New Roman" w:cs="Times New Roman"/>
          <w:sz w:val="24"/>
          <w:szCs w:val="24"/>
        </w:rPr>
        <w:t xml:space="preserve">significant </w:t>
      </w:r>
      <w:r w:rsidR="004515C5" w:rsidRPr="004C457B">
        <w:rPr>
          <w:rFonts w:ascii="Times New Roman" w:hAnsi="Times New Roman" w:cs="Times New Roman"/>
          <w:sz w:val="24"/>
          <w:szCs w:val="24"/>
        </w:rPr>
        <w:t>averaging over time.</w:t>
      </w:r>
      <w:r w:rsidR="00915974" w:rsidRPr="000E3390">
        <w:rPr>
          <w:rFonts w:ascii="Times New Roman" w:hAnsi="Times New Roman" w:cs="Times New Roman"/>
          <w:sz w:val="24"/>
          <w:szCs w:val="24"/>
        </w:rPr>
        <w:t xml:space="preserve">  </w:t>
      </w:r>
      <w:r w:rsidR="00B31C1A">
        <w:rPr>
          <w:rFonts w:ascii="Times New Roman" w:hAnsi="Times New Roman" w:cs="Times New Roman"/>
          <w:sz w:val="24"/>
          <w:szCs w:val="24"/>
        </w:rPr>
        <w:t xml:space="preserve">Taking account of all this, my </w:t>
      </w:r>
      <w:r w:rsidR="004515C5">
        <w:rPr>
          <w:rFonts w:ascii="Times New Roman" w:hAnsi="Times New Roman" w:cs="Times New Roman"/>
          <w:sz w:val="24"/>
          <w:szCs w:val="24"/>
        </w:rPr>
        <w:t xml:space="preserve">judgement is that the optimal historical period to use is </w:t>
      </w:r>
      <w:r w:rsidR="00D8019B" w:rsidRPr="000E3390">
        <w:rPr>
          <w:rFonts w:ascii="Times New Roman" w:hAnsi="Times New Roman" w:cs="Times New Roman"/>
          <w:sz w:val="24"/>
          <w:szCs w:val="24"/>
        </w:rPr>
        <w:t>less</w:t>
      </w:r>
      <w:r w:rsidR="004515C5">
        <w:rPr>
          <w:rFonts w:ascii="Times New Roman" w:hAnsi="Times New Roman" w:cs="Times New Roman"/>
          <w:sz w:val="24"/>
          <w:szCs w:val="24"/>
        </w:rPr>
        <w:t xml:space="preserve"> than five years</w:t>
      </w:r>
      <w:r w:rsidR="008F5341" w:rsidRPr="000E3390">
        <w:rPr>
          <w:rFonts w:ascii="Times New Roman" w:hAnsi="Times New Roman" w:cs="Times New Roman"/>
          <w:sz w:val="24"/>
          <w:szCs w:val="24"/>
        </w:rPr>
        <w:t xml:space="preserve">.  Using </w:t>
      </w:r>
      <w:r w:rsidR="00696A51" w:rsidRPr="000E3390">
        <w:rPr>
          <w:rFonts w:ascii="Times New Roman" w:hAnsi="Times New Roman" w:cs="Times New Roman"/>
          <w:sz w:val="24"/>
          <w:szCs w:val="24"/>
        </w:rPr>
        <w:t xml:space="preserve">the data presented in CEG (2014, Table 13), this </w:t>
      </w:r>
      <w:r w:rsidR="00915974" w:rsidRPr="000E3390">
        <w:rPr>
          <w:rFonts w:ascii="Times New Roman" w:hAnsi="Times New Roman" w:cs="Times New Roman"/>
          <w:sz w:val="24"/>
          <w:szCs w:val="24"/>
        </w:rPr>
        <w:t xml:space="preserve">points to </w:t>
      </w:r>
      <w:r w:rsidR="00696A51" w:rsidRPr="000E3390">
        <w:rPr>
          <w:rFonts w:ascii="Times New Roman" w:hAnsi="Times New Roman" w:cs="Times New Roman"/>
          <w:sz w:val="24"/>
          <w:szCs w:val="24"/>
        </w:rPr>
        <w:t xml:space="preserve">an industry </w:t>
      </w:r>
      <w:r w:rsidR="00915974" w:rsidRPr="000E3390">
        <w:rPr>
          <w:rFonts w:ascii="Times New Roman" w:hAnsi="Times New Roman" w:cs="Times New Roman"/>
          <w:sz w:val="24"/>
          <w:szCs w:val="24"/>
        </w:rPr>
        <w:t>credit rating of BBB</w:t>
      </w:r>
      <w:r w:rsidR="008F5341" w:rsidRPr="000E3390">
        <w:rPr>
          <w:rFonts w:ascii="Times New Roman" w:hAnsi="Times New Roman" w:cs="Times New Roman"/>
          <w:sz w:val="24"/>
          <w:szCs w:val="24"/>
        </w:rPr>
        <w:t xml:space="preserve"> consistent with CEG’s conclusion.</w:t>
      </w:r>
      <w:r w:rsidR="00915974" w:rsidRPr="000E3390">
        <w:rPr>
          <w:rFonts w:ascii="Times New Roman" w:hAnsi="Times New Roman" w:cs="Times New Roman"/>
          <w:sz w:val="24"/>
          <w:szCs w:val="24"/>
        </w:rPr>
        <w:t xml:space="preserve"> </w:t>
      </w:r>
    </w:p>
    <w:p w:rsidR="00291908" w:rsidRDefault="00291908" w:rsidP="00122250">
      <w:pPr>
        <w:pStyle w:val="ListParagraph"/>
        <w:spacing w:after="0" w:line="360" w:lineRule="auto"/>
        <w:ind w:left="0"/>
        <w:jc w:val="both"/>
        <w:rPr>
          <w:rFonts w:ascii="Times New Roman" w:hAnsi="Times New Roman" w:cs="Times New Roman"/>
          <w:sz w:val="24"/>
          <w:szCs w:val="24"/>
        </w:rPr>
      </w:pPr>
    </w:p>
    <w:p w:rsidR="00696A51" w:rsidRPr="008A7CFD" w:rsidRDefault="0091597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CEG (2014, Appendix B</w:t>
      </w:r>
      <w:r w:rsidR="001643A3">
        <w:rPr>
          <w:rFonts w:ascii="Times New Roman" w:hAnsi="Times New Roman" w:cs="Times New Roman"/>
          <w:sz w:val="24"/>
          <w:szCs w:val="24"/>
        </w:rPr>
        <w:t>) also argue that three of the 13 firms used by the AER are part of the same corporate group</w:t>
      </w:r>
      <w:r w:rsidR="00696A51">
        <w:rPr>
          <w:rFonts w:ascii="Times New Roman" w:hAnsi="Times New Roman" w:cs="Times New Roman"/>
          <w:sz w:val="24"/>
          <w:szCs w:val="24"/>
        </w:rPr>
        <w:t xml:space="preserve"> (Citipower, Powercor, and ETSA)</w:t>
      </w:r>
      <w:r w:rsidR="001643A3">
        <w:rPr>
          <w:rFonts w:ascii="Times New Roman" w:hAnsi="Times New Roman" w:cs="Times New Roman"/>
          <w:sz w:val="24"/>
          <w:szCs w:val="24"/>
        </w:rPr>
        <w:t xml:space="preserve">, </w:t>
      </w:r>
      <w:r w:rsidR="00C11E2F">
        <w:rPr>
          <w:rFonts w:ascii="Times New Roman" w:hAnsi="Times New Roman" w:cs="Times New Roman"/>
          <w:sz w:val="24"/>
          <w:szCs w:val="24"/>
        </w:rPr>
        <w:t xml:space="preserve">that </w:t>
      </w:r>
      <w:r w:rsidR="001643A3">
        <w:rPr>
          <w:rFonts w:ascii="Times New Roman" w:hAnsi="Times New Roman" w:cs="Times New Roman"/>
          <w:sz w:val="24"/>
          <w:szCs w:val="24"/>
        </w:rPr>
        <w:t xml:space="preserve">they should be treated as a single observation, and that doing so would produce a </w:t>
      </w:r>
      <w:r w:rsidR="00C93E66">
        <w:rPr>
          <w:rFonts w:ascii="Times New Roman" w:hAnsi="Times New Roman" w:cs="Times New Roman"/>
          <w:sz w:val="24"/>
          <w:szCs w:val="24"/>
        </w:rPr>
        <w:t xml:space="preserve">median </w:t>
      </w:r>
      <w:r w:rsidR="00AF2734">
        <w:rPr>
          <w:rFonts w:ascii="Times New Roman" w:hAnsi="Times New Roman" w:cs="Times New Roman"/>
          <w:sz w:val="24"/>
          <w:szCs w:val="24"/>
        </w:rPr>
        <w:t xml:space="preserve">BBB </w:t>
      </w:r>
      <w:r w:rsidR="00C93E66">
        <w:rPr>
          <w:rFonts w:ascii="Times New Roman" w:hAnsi="Times New Roman" w:cs="Times New Roman"/>
          <w:sz w:val="24"/>
          <w:szCs w:val="24"/>
        </w:rPr>
        <w:t xml:space="preserve">rating </w:t>
      </w:r>
      <w:r w:rsidR="00AF2734">
        <w:rPr>
          <w:rFonts w:ascii="Times New Roman" w:hAnsi="Times New Roman" w:cs="Times New Roman"/>
          <w:sz w:val="24"/>
          <w:szCs w:val="24"/>
        </w:rPr>
        <w:t>in many</w:t>
      </w:r>
      <w:r w:rsidR="00C11E2F">
        <w:rPr>
          <w:rFonts w:ascii="Times New Roman" w:hAnsi="Times New Roman" w:cs="Times New Roman"/>
          <w:sz w:val="24"/>
          <w:szCs w:val="24"/>
        </w:rPr>
        <w:t xml:space="preserve"> of the pre-</w:t>
      </w:r>
      <w:r w:rsidR="00AF2734">
        <w:rPr>
          <w:rFonts w:ascii="Times New Roman" w:hAnsi="Times New Roman" w:cs="Times New Roman"/>
          <w:sz w:val="24"/>
          <w:szCs w:val="24"/>
        </w:rPr>
        <w:t>GFC years</w:t>
      </w:r>
      <w:r w:rsidR="006E4FF1">
        <w:rPr>
          <w:rFonts w:ascii="Times New Roman" w:hAnsi="Times New Roman" w:cs="Times New Roman"/>
          <w:sz w:val="24"/>
          <w:szCs w:val="24"/>
        </w:rPr>
        <w:t xml:space="preserve"> as well as subsequently</w:t>
      </w:r>
      <w:r w:rsidR="00AF2734">
        <w:rPr>
          <w:rFonts w:ascii="Times New Roman" w:hAnsi="Times New Roman" w:cs="Times New Roman"/>
          <w:sz w:val="24"/>
          <w:szCs w:val="24"/>
        </w:rPr>
        <w:t xml:space="preserve">.  </w:t>
      </w:r>
      <w:r w:rsidR="00696A51" w:rsidRPr="008A7CFD">
        <w:rPr>
          <w:rFonts w:ascii="Times New Roman" w:hAnsi="Times New Roman" w:cs="Times New Roman"/>
          <w:sz w:val="24"/>
          <w:szCs w:val="24"/>
        </w:rPr>
        <w:t xml:space="preserve">This </w:t>
      </w:r>
      <w:r w:rsidR="00991283" w:rsidRPr="008A7CFD">
        <w:rPr>
          <w:rFonts w:ascii="Times New Roman" w:hAnsi="Times New Roman" w:cs="Times New Roman"/>
          <w:sz w:val="24"/>
          <w:szCs w:val="24"/>
        </w:rPr>
        <w:t xml:space="preserve">argument for using only one observation across these three firms is reasonable.  However, the same argument would apply to </w:t>
      </w:r>
      <w:r w:rsidR="00696A51" w:rsidRPr="008A7CFD">
        <w:rPr>
          <w:rFonts w:ascii="Times New Roman" w:hAnsi="Times New Roman" w:cs="Times New Roman"/>
          <w:sz w:val="24"/>
          <w:szCs w:val="24"/>
        </w:rPr>
        <w:t>DUET, Energy Partnership (wholly owned by DUET) and DBNGP (80</w:t>
      </w:r>
      <w:r w:rsidR="00991283" w:rsidRPr="008A7CFD">
        <w:rPr>
          <w:rFonts w:ascii="Times New Roman" w:hAnsi="Times New Roman" w:cs="Times New Roman"/>
          <w:sz w:val="24"/>
          <w:szCs w:val="24"/>
        </w:rPr>
        <w:t>% owned by DUET)</w:t>
      </w:r>
      <w:r w:rsidR="00696A51" w:rsidRPr="008A7CFD">
        <w:rPr>
          <w:rFonts w:ascii="Times New Roman" w:hAnsi="Times New Roman" w:cs="Times New Roman"/>
          <w:sz w:val="24"/>
          <w:szCs w:val="24"/>
        </w:rPr>
        <w:t xml:space="preserve">.  If both </w:t>
      </w:r>
      <w:r w:rsidR="001460D3" w:rsidRPr="008A7CFD">
        <w:rPr>
          <w:rFonts w:ascii="Times New Roman" w:hAnsi="Times New Roman" w:cs="Times New Roman"/>
          <w:sz w:val="24"/>
          <w:szCs w:val="24"/>
        </w:rPr>
        <w:t xml:space="preserve">contractions in the set of observations </w:t>
      </w:r>
      <w:r w:rsidR="006E4FF1" w:rsidRPr="008A7CFD">
        <w:rPr>
          <w:rFonts w:ascii="Times New Roman" w:hAnsi="Times New Roman" w:cs="Times New Roman"/>
          <w:sz w:val="24"/>
          <w:szCs w:val="24"/>
        </w:rPr>
        <w:t>were undertaken</w:t>
      </w:r>
      <w:r w:rsidR="00696A51" w:rsidRPr="008A7CFD">
        <w:rPr>
          <w:rFonts w:ascii="Times New Roman" w:hAnsi="Times New Roman" w:cs="Times New Roman"/>
          <w:sz w:val="24"/>
          <w:szCs w:val="24"/>
        </w:rPr>
        <w:t>, then CEG’</w:t>
      </w:r>
      <w:r w:rsidR="006E4FF1" w:rsidRPr="008A7CFD">
        <w:rPr>
          <w:rFonts w:ascii="Times New Roman" w:hAnsi="Times New Roman" w:cs="Times New Roman"/>
          <w:sz w:val="24"/>
          <w:szCs w:val="24"/>
        </w:rPr>
        <w:t>s Table 14 would be as shown in Table 2</w:t>
      </w:r>
      <w:r w:rsidR="00C11E2F" w:rsidRPr="008A7CFD">
        <w:rPr>
          <w:rFonts w:ascii="Times New Roman" w:hAnsi="Times New Roman" w:cs="Times New Roman"/>
          <w:sz w:val="24"/>
          <w:szCs w:val="24"/>
        </w:rPr>
        <w:t xml:space="preserve"> below</w:t>
      </w:r>
      <w:r w:rsidR="00991283" w:rsidRPr="008A7CFD">
        <w:rPr>
          <w:rFonts w:ascii="Times New Roman" w:hAnsi="Times New Roman" w:cs="Times New Roman"/>
          <w:sz w:val="24"/>
          <w:szCs w:val="24"/>
        </w:rPr>
        <w:t xml:space="preserve"> (up to and including 2013)</w:t>
      </w:r>
      <w:r w:rsidR="006E4FF1" w:rsidRPr="008A7CFD">
        <w:rPr>
          <w:rFonts w:ascii="Times New Roman" w:hAnsi="Times New Roman" w:cs="Times New Roman"/>
          <w:sz w:val="24"/>
          <w:szCs w:val="24"/>
        </w:rPr>
        <w:t xml:space="preserve">.  As is apparent, </w:t>
      </w:r>
      <w:r w:rsidR="00207529" w:rsidRPr="008A7CFD">
        <w:rPr>
          <w:rFonts w:ascii="Times New Roman" w:hAnsi="Times New Roman" w:cs="Times New Roman"/>
          <w:sz w:val="24"/>
          <w:szCs w:val="24"/>
        </w:rPr>
        <w:t xml:space="preserve">these two steps do not </w:t>
      </w:r>
      <w:r w:rsidR="006E4FF1" w:rsidRPr="008A7CFD">
        <w:rPr>
          <w:rFonts w:ascii="Times New Roman" w:hAnsi="Times New Roman" w:cs="Times New Roman"/>
          <w:sz w:val="24"/>
          <w:szCs w:val="24"/>
        </w:rPr>
        <w:t xml:space="preserve">materially change the picture; the median rating </w:t>
      </w:r>
      <w:r w:rsidR="00C01D64" w:rsidRPr="008A7CFD">
        <w:rPr>
          <w:rFonts w:ascii="Times New Roman" w:hAnsi="Times New Roman" w:cs="Times New Roman"/>
          <w:sz w:val="24"/>
          <w:szCs w:val="24"/>
        </w:rPr>
        <w:t xml:space="preserve">shown in the </w:t>
      </w:r>
      <w:r w:rsidR="008F5341" w:rsidRPr="008A7CFD">
        <w:rPr>
          <w:rFonts w:ascii="Times New Roman" w:hAnsi="Times New Roman" w:cs="Times New Roman"/>
          <w:sz w:val="24"/>
          <w:szCs w:val="24"/>
        </w:rPr>
        <w:t xml:space="preserve">last </w:t>
      </w:r>
      <w:r w:rsidR="00470B8D" w:rsidRPr="008A7CFD">
        <w:rPr>
          <w:rFonts w:ascii="Times New Roman" w:hAnsi="Times New Roman" w:cs="Times New Roman"/>
          <w:sz w:val="24"/>
          <w:szCs w:val="24"/>
        </w:rPr>
        <w:t xml:space="preserve">row of Table 2 fell </w:t>
      </w:r>
      <w:r w:rsidR="006E4FF1" w:rsidRPr="008A7CFD">
        <w:rPr>
          <w:rFonts w:ascii="Times New Roman" w:hAnsi="Times New Roman" w:cs="Times New Roman"/>
          <w:sz w:val="24"/>
          <w:szCs w:val="24"/>
        </w:rPr>
        <w:t>from 3 (BBB+) to 2 (BBB) in 2</w:t>
      </w:r>
      <w:r w:rsidR="00991283" w:rsidRPr="008A7CFD">
        <w:rPr>
          <w:rFonts w:ascii="Times New Roman" w:hAnsi="Times New Roman" w:cs="Times New Roman"/>
          <w:sz w:val="24"/>
          <w:szCs w:val="24"/>
        </w:rPr>
        <w:t>009 and has remained there up to and including 2013</w:t>
      </w:r>
      <w:r w:rsidR="00D8019B" w:rsidRPr="008A7CFD">
        <w:rPr>
          <w:rFonts w:ascii="Times New Roman" w:hAnsi="Times New Roman" w:cs="Times New Roman"/>
          <w:sz w:val="24"/>
          <w:szCs w:val="24"/>
        </w:rPr>
        <w:t>.</w:t>
      </w:r>
    </w:p>
    <w:p w:rsidR="00D8019B" w:rsidRDefault="00D8019B" w:rsidP="00122250">
      <w:pPr>
        <w:pStyle w:val="ListParagraph"/>
        <w:spacing w:after="0" w:line="360" w:lineRule="auto"/>
        <w:ind w:left="0"/>
        <w:jc w:val="both"/>
        <w:rPr>
          <w:rFonts w:ascii="Times New Roman" w:hAnsi="Times New Roman" w:cs="Times New Roman"/>
          <w:sz w:val="24"/>
          <w:szCs w:val="24"/>
        </w:rPr>
      </w:pPr>
    </w:p>
    <w:p w:rsidR="00D8019B" w:rsidRPr="008A7CFD" w:rsidRDefault="00D8019B" w:rsidP="00122250">
      <w:pPr>
        <w:pStyle w:val="ListParagraph"/>
        <w:spacing w:after="0" w:line="360" w:lineRule="auto"/>
        <w:ind w:left="0"/>
        <w:jc w:val="both"/>
        <w:rPr>
          <w:rFonts w:ascii="Times New Roman" w:hAnsi="Times New Roman" w:cs="Times New Roman"/>
          <w:sz w:val="24"/>
          <w:szCs w:val="24"/>
        </w:rPr>
      </w:pPr>
      <w:r w:rsidRPr="008A7CFD">
        <w:rPr>
          <w:rFonts w:ascii="Times New Roman" w:hAnsi="Times New Roman" w:cs="Times New Roman"/>
          <w:sz w:val="24"/>
          <w:szCs w:val="24"/>
        </w:rPr>
        <w:t>A more important issue is that five firms have experienced rating changes since CEG’s data was presented, all but one of which involves an upgrade.  This gives rise to the results in the last column of Table 2, and the median is now BBB+.  Given my earlier view that one does not need to engage in much historical averaging, this points to an industry credit rating of BBB to BBB+</w:t>
      </w:r>
      <w:r w:rsidR="001460D3" w:rsidRPr="008A7CFD">
        <w:rPr>
          <w:rFonts w:ascii="Times New Roman" w:hAnsi="Times New Roman" w:cs="Times New Roman"/>
          <w:sz w:val="24"/>
          <w:szCs w:val="24"/>
        </w:rPr>
        <w:t xml:space="preserve"> at the present time</w:t>
      </w:r>
      <w:r w:rsidRPr="008A7CFD">
        <w:rPr>
          <w:rFonts w:ascii="Times New Roman" w:hAnsi="Times New Roman" w:cs="Times New Roman"/>
          <w:sz w:val="24"/>
          <w:szCs w:val="24"/>
        </w:rPr>
        <w:t>.</w:t>
      </w:r>
    </w:p>
    <w:p w:rsidR="00486794" w:rsidRDefault="00486794" w:rsidP="00122250">
      <w:pPr>
        <w:pStyle w:val="ListParagraph"/>
        <w:spacing w:after="0" w:line="360" w:lineRule="auto"/>
        <w:ind w:left="0"/>
        <w:jc w:val="both"/>
        <w:rPr>
          <w:rFonts w:ascii="Times New Roman" w:hAnsi="Times New Roman" w:cs="Times New Roman"/>
          <w:sz w:val="24"/>
          <w:szCs w:val="24"/>
        </w:rPr>
      </w:pPr>
    </w:p>
    <w:p w:rsidR="00486794" w:rsidRDefault="00486794" w:rsidP="00122250">
      <w:pPr>
        <w:pStyle w:val="ListParagraph"/>
        <w:spacing w:after="0" w:line="360" w:lineRule="auto"/>
        <w:ind w:left="0"/>
        <w:jc w:val="both"/>
        <w:rPr>
          <w:rFonts w:ascii="Times New Roman" w:hAnsi="Times New Roman" w:cs="Times New Roman"/>
          <w:sz w:val="24"/>
          <w:szCs w:val="24"/>
        </w:rPr>
      </w:pPr>
    </w:p>
    <w:p w:rsidR="00696A51" w:rsidRDefault="00696A51" w:rsidP="006E4FF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Table 2: Credit Rating Values</w:t>
      </w:r>
      <w:r w:rsidR="005C0541">
        <w:rPr>
          <w:rFonts w:ascii="Times New Roman" w:hAnsi="Times New Roman" w:cs="Times New Roman"/>
          <w:sz w:val="24"/>
          <w:szCs w:val="24"/>
        </w:rPr>
        <w:t xml:space="preserve"> for Regulated Energy NSPs</w:t>
      </w:r>
    </w:p>
    <w:p w:rsidR="00696A51" w:rsidRDefault="00696A51" w:rsidP="00696A5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393F" w:rsidRDefault="00D21346"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D8019B">
        <w:rPr>
          <w:rFonts w:ascii="Times New Roman" w:hAnsi="Times New Roman" w:cs="Times New Roman"/>
          <w:sz w:val="24"/>
          <w:szCs w:val="24"/>
        </w:rPr>
        <w:t>2003</w:t>
      </w:r>
      <w:r w:rsidR="00D8019B">
        <w:rPr>
          <w:rFonts w:ascii="Times New Roman" w:hAnsi="Times New Roman" w:cs="Times New Roman"/>
          <w:sz w:val="24"/>
          <w:szCs w:val="24"/>
        </w:rPr>
        <w:tab/>
        <w:t>04</w:t>
      </w:r>
      <w:r w:rsidR="00D8019B">
        <w:rPr>
          <w:rFonts w:ascii="Times New Roman" w:hAnsi="Times New Roman" w:cs="Times New Roman"/>
          <w:sz w:val="24"/>
          <w:szCs w:val="24"/>
        </w:rPr>
        <w:tab/>
        <w:t>05</w:t>
      </w:r>
      <w:r w:rsidR="00D8019B">
        <w:rPr>
          <w:rFonts w:ascii="Times New Roman" w:hAnsi="Times New Roman" w:cs="Times New Roman"/>
          <w:sz w:val="24"/>
          <w:szCs w:val="24"/>
        </w:rPr>
        <w:tab/>
        <w:t>06</w:t>
      </w:r>
      <w:r w:rsidR="00D8019B">
        <w:rPr>
          <w:rFonts w:ascii="Times New Roman" w:hAnsi="Times New Roman" w:cs="Times New Roman"/>
          <w:sz w:val="24"/>
          <w:szCs w:val="24"/>
        </w:rPr>
        <w:tab/>
        <w:t>07</w:t>
      </w:r>
      <w:r w:rsidR="00D8019B">
        <w:rPr>
          <w:rFonts w:ascii="Times New Roman" w:hAnsi="Times New Roman" w:cs="Times New Roman"/>
          <w:sz w:val="24"/>
          <w:szCs w:val="24"/>
        </w:rPr>
        <w:tab/>
        <w:t>08</w:t>
      </w:r>
      <w:r w:rsidR="00D8019B">
        <w:rPr>
          <w:rFonts w:ascii="Times New Roman" w:hAnsi="Times New Roman" w:cs="Times New Roman"/>
          <w:sz w:val="24"/>
          <w:szCs w:val="24"/>
        </w:rPr>
        <w:tab/>
        <w:t>09</w:t>
      </w:r>
      <w:r w:rsidR="00D8019B">
        <w:rPr>
          <w:rFonts w:ascii="Times New Roman" w:hAnsi="Times New Roman" w:cs="Times New Roman"/>
          <w:sz w:val="24"/>
          <w:szCs w:val="24"/>
        </w:rPr>
        <w:tab/>
        <w:t>10</w:t>
      </w:r>
      <w:r w:rsidR="00D8019B">
        <w:rPr>
          <w:rFonts w:ascii="Times New Roman" w:hAnsi="Times New Roman" w:cs="Times New Roman"/>
          <w:sz w:val="24"/>
          <w:szCs w:val="24"/>
        </w:rPr>
        <w:tab/>
        <w:t>11</w:t>
      </w:r>
      <w:r w:rsidR="00D8019B">
        <w:rPr>
          <w:rFonts w:ascii="Times New Roman" w:hAnsi="Times New Roman" w:cs="Times New Roman"/>
          <w:sz w:val="24"/>
          <w:szCs w:val="24"/>
        </w:rPr>
        <w:tab/>
        <w:t>12</w:t>
      </w:r>
      <w:r w:rsidR="00D8019B">
        <w:rPr>
          <w:rFonts w:ascii="Times New Roman" w:hAnsi="Times New Roman" w:cs="Times New Roman"/>
          <w:sz w:val="24"/>
          <w:szCs w:val="24"/>
        </w:rPr>
        <w:tab/>
      </w:r>
      <w:r w:rsidR="004B5C25">
        <w:rPr>
          <w:rFonts w:ascii="Times New Roman" w:hAnsi="Times New Roman" w:cs="Times New Roman"/>
          <w:sz w:val="24"/>
          <w:szCs w:val="24"/>
        </w:rPr>
        <w:t>13</w:t>
      </w:r>
      <w:r w:rsidR="00D8019B">
        <w:rPr>
          <w:rFonts w:ascii="Times New Roman" w:hAnsi="Times New Roman" w:cs="Times New Roman"/>
          <w:sz w:val="24"/>
          <w:szCs w:val="24"/>
        </w:rPr>
        <w:tab/>
        <w:t>14</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sidR="00D8019B">
        <w:rPr>
          <w:rFonts w:ascii="Times New Roman" w:hAnsi="Times New Roman" w:cs="Times New Roman"/>
          <w:sz w:val="24"/>
          <w:szCs w:val="24"/>
        </w:rPr>
        <w:tab/>
        <w:t>2</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ATCO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sidR="00D8019B">
        <w:rPr>
          <w:rFonts w:ascii="Times New Roman" w:hAnsi="Times New Roman" w:cs="Times New Roman"/>
          <w:sz w:val="24"/>
          <w:szCs w:val="24"/>
        </w:rPr>
        <w:tab/>
        <w:t>4</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DUET</w:t>
      </w:r>
      <w:r w:rsidR="001460D3">
        <w:rPr>
          <w:rFonts w:ascii="Times New Roman" w:hAnsi="Times New Roman" w:cs="Times New Roman"/>
          <w:sz w:val="24"/>
          <w:szCs w:val="24"/>
        </w:rPr>
        <w:t xml:space="preserve"> Group</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sidR="00D8019B">
        <w:rPr>
          <w:rFonts w:ascii="Times New Roman" w:hAnsi="Times New Roman" w:cs="Times New Roman"/>
          <w:sz w:val="24"/>
          <w:szCs w:val="24"/>
        </w:rPr>
        <w:tab/>
        <w:t>1</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Electranet</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sidR="00D8019B">
        <w:rPr>
          <w:rFonts w:ascii="Times New Roman" w:hAnsi="Times New Roman" w:cs="Times New Roman"/>
          <w:sz w:val="24"/>
          <w:szCs w:val="24"/>
        </w:rPr>
        <w:tab/>
        <w:t>2</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Envestra</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2</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2</w:t>
      </w:r>
      <w:r w:rsidR="00D8019B">
        <w:rPr>
          <w:rFonts w:ascii="Times New Roman" w:hAnsi="Times New Roman" w:cs="Times New Roman"/>
          <w:sz w:val="24"/>
          <w:szCs w:val="24"/>
        </w:rPr>
        <w:tab/>
        <w:t>3</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SP</w:t>
      </w:r>
      <w:r w:rsidR="00C01D64">
        <w:rPr>
          <w:rFonts w:ascii="Times New Roman" w:hAnsi="Times New Roman" w:cs="Times New Roman"/>
          <w:sz w:val="24"/>
          <w:szCs w:val="24"/>
        </w:rPr>
        <w:t xml:space="preserve"> Ausnet</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5</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3</w:t>
      </w:r>
      <w:r w:rsidR="00D8019B">
        <w:rPr>
          <w:rFonts w:ascii="Times New Roman" w:hAnsi="Times New Roman" w:cs="Times New Roman"/>
          <w:sz w:val="24"/>
          <w:szCs w:val="24"/>
        </w:rPr>
        <w:tab/>
        <w:t>4</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SPI</w:t>
      </w:r>
      <w:r w:rsidR="00E00D73">
        <w:rPr>
          <w:rFonts w:ascii="Times New Roman" w:hAnsi="Times New Roman" w:cs="Times New Roman"/>
          <w:sz w:val="24"/>
          <w:szCs w:val="24"/>
        </w:rPr>
        <w:t>AA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2</w:t>
      </w:r>
      <w:r w:rsidR="00D8019B">
        <w:rPr>
          <w:rFonts w:ascii="Times New Roman" w:hAnsi="Times New Roman" w:cs="Times New Roman"/>
          <w:sz w:val="24"/>
          <w:szCs w:val="24"/>
        </w:rPr>
        <w:tab/>
        <w:t>3</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Citipower</w:t>
      </w:r>
      <w:r w:rsidR="008F5341">
        <w:rPr>
          <w:rFonts w:ascii="Times New Roman" w:hAnsi="Times New Roman" w:cs="Times New Roman"/>
          <w:sz w:val="24"/>
          <w:szCs w:val="24"/>
        </w:rPr>
        <w:t xml:space="preserve"> Grp</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t>4</w:t>
      </w:r>
      <w:r>
        <w:rPr>
          <w:rFonts w:ascii="Times New Roman" w:hAnsi="Times New Roman" w:cs="Times New Roman"/>
          <w:sz w:val="24"/>
          <w:szCs w:val="24"/>
        </w:rPr>
        <w:tab/>
      </w:r>
      <w:r w:rsidR="00D8019B">
        <w:rPr>
          <w:rFonts w:ascii="Times New Roman" w:hAnsi="Times New Roman" w:cs="Times New Roman"/>
          <w:sz w:val="24"/>
          <w:szCs w:val="24"/>
        </w:rPr>
        <w:t>4</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United</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D40CD" w:rsidRDefault="00FD40CD"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B5C25" w:rsidRDefault="004B5C25" w:rsidP="008F5341">
      <w:pPr>
        <w:pStyle w:val="ListParagraph"/>
        <w:tabs>
          <w:tab w:val="left" w:pos="1620"/>
          <w:tab w:val="left" w:pos="2250"/>
          <w:tab w:val="left" w:pos="2880"/>
          <w:tab w:val="left" w:pos="3510"/>
          <w:tab w:val="left" w:pos="4140"/>
          <w:tab w:val="left" w:pos="4770"/>
          <w:tab w:val="left" w:pos="5400"/>
          <w:tab w:val="left" w:pos="6030"/>
          <w:tab w:val="left" w:pos="6660"/>
          <w:tab w:val="left" w:pos="7290"/>
          <w:tab w:val="left" w:pos="7920"/>
          <w:tab w:val="left" w:pos="8550"/>
        </w:tabs>
        <w:spacing w:after="0" w:line="240" w:lineRule="auto"/>
        <w:ind w:left="0"/>
        <w:jc w:val="both"/>
        <w:rPr>
          <w:rFonts w:ascii="Times New Roman" w:hAnsi="Times New Roman" w:cs="Times New Roman"/>
          <w:sz w:val="24"/>
          <w:szCs w:val="24"/>
        </w:rPr>
      </w:pPr>
      <w:r w:rsidRPr="006E4FF1">
        <w:rPr>
          <w:rFonts w:ascii="Times New Roman" w:hAnsi="Times New Roman" w:cs="Times New Roman"/>
          <w:i/>
          <w:sz w:val="24"/>
          <w:szCs w:val="24"/>
        </w:rPr>
        <w:t>Median</w:t>
      </w:r>
      <w:r>
        <w:rPr>
          <w:rFonts w:ascii="Times New Roman" w:hAnsi="Times New Roman" w:cs="Times New Roman"/>
          <w:sz w:val="24"/>
          <w:szCs w:val="24"/>
        </w:rPr>
        <w:tab/>
        <w:t>2.5</w:t>
      </w:r>
      <w:r>
        <w:rPr>
          <w:rFonts w:ascii="Times New Roman" w:hAnsi="Times New Roman" w:cs="Times New Roman"/>
          <w:sz w:val="24"/>
          <w:szCs w:val="24"/>
        </w:rPr>
        <w:tab/>
        <w:t>3</w:t>
      </w:r>
      <w:r w:rsidR="006E4FF1">
        <w:rPr>
          <w:rFonts w:ascii="Times New Roman" w:hAnsi="Times New Roman" w:cs="Times New Roman"/>
          <w:sz w:val="24"/>
          <w:szCs w:val="24"/>
        </w:rPr>
        <w:tab/>
        <w:t>3</w:t>
      </w:r>
      <w:r w:rsidR="006E4FF1">
        <w:rPr>
          <w:rFonts w:ascii="Times New Roman" w:hAnsi="Times New Roman" w:cs="Times New Roman"/>
          <w:sz w:val="24"/>
          <w:szCs w:val="24"/>
        </w:rPr>
        <w:tab/>
        <w:t>3</w:t>
      </w:r>
      <w:r w:rsidR="006E4FF1">
        <w:rPr>
          <w:rFonts w:ascii="Times New Roman" w:hAnsi="Times New Roman" w:cs="Times New Roman"/>
          <w:sz w:val="24"/>
          <w:szCs w:val="24"/>
        </w:rPr>
        <w:tab/>
        <w:t>3</w:t>
      </w:r>
      <w:r w:rsidR="006E4FF1">
        <w:rPr>
          <w:rFonts w:ascii="Times New Roman" w:hAnsi="Times New Roman" w:cs="Times New Roman"/>
          <w:sz w:val="24"/>
          <w:szCs w:val="24"/>
        </w:rPr>
        <w:tab/>
        <w:t>3.5</w:t>
      </w:r>
      <w:r w:rsidR="006E4FF1">
        <w:rPr>
          <w:rFonts w:ascii="Times New Roman" w:hAnsi="Times New Roman" w:cs="Times New Roman"/>
          <w:sz w:val="24"/>
          <w:szCs w:val="24"/>
        </w:rPr>
        <w:tab/>
        <w:t>2</w:t>
      </w:r>
      <w:r w:rsidR="006E4FF1">
        <w:rPr>
          <w:rFonts w:ascii="Times New Roman" w:hAnsi="Times New Roman" w:cs="Times New Roman"/>
          <w:sz w:val="24"/>
          <w:szCs w:val="24"/>
        </w:rPr>
        <w:tab/>
        <w:t>2</w:t>
      </w:r>
      <w:r w:rsidR="006E4FF1">
        <w:rPr>
          <w:rFonts w:ascii="Times New Roman" w:hAnsi="Times New Roman" w:cs="Times New Roman"/>
          <w:sz w:val="24"/>
          <w:szCs w:val="24"/>
        </w:rPr>
        <w:tab/>
        <w:t>2</w:t>
      </w:r>
      <w:r w:rsidR="006E4FF1">
        <w:rPr>
          <w:rFonts w:ascii="Times New Roman" w:hAnsi="Times New Roman" w:cs="Times New Roman"/>
          <w:sz w:val="24"/>
          <w:szCs w:val="24"/>
        </w:rPr>
        <w:tab/>
        <w:t>2</w:t>
      </w:r>
      <w:r w:rsidR="006E4FF1">
        <w:rPr>
          <w:rFonts w:ascii="Times New Roman" w:hAnsi="Times New Roman" w:cs="Times New Roman"/>
          <w:sz w:val="24"/>
          <w:szCs w:val="24"/>
        </w:rPr>
        <w:tab/>
        <w:t>2</w:t>
      </w:r>
      <w:r w:rsidR="00D8019B">
        <w:rPr>
          <w:rFonts w:ascii="Times New Roman" w:hAnsi="Times New Roman" w:cs="Times New Roman"/>
          <w:sz w:val="24"/>
          <w:szCs w:val="24"/>
        </w:rPr>
        <w:tab/>
        <w:t>3</w:t>
      </w:r>
    </w:p>
    <w:p w:rsidR="006E4FF1" w:rsidRDefault="006E4FF1"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B5C25" w:rsidRDefault="004B5C25"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4F50C4" w:rsidRPr="008A7CFD" w:rsidRDefault="00137BBC"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sidRPr="008A7CFD">
        <w:rPr>
          <w:rFonts w:ascii="Times New Roman" w:hAnsi="Times New Roman" w:cs="Times New Roman"/>
          <w:sz w:val="24"/>
          <w:szCs w:val="24"/>
        </w:rPr>
        <w:t xml:space="preserve">A further issue </w:t>
      </w:r>
      <w:r w:rsidR="006E4FF1" w:rsidRPr="008A7CFD">
        <w:rPr>
          <w:rFonts w:ascii="Times New Roman" w:hAnsi="Times New Roman" w:cs="Times New Roman"/>
          <w:sz w:val="24"/>
          <w:szCs w:val="24"/>
        </w:rPr>
        <w:t xml:space="preserve">arises from the AER’s definition of the benchmark entity as a </w:t>
      </w:r>
      <w:r w:rsidR="00DA7094" w:rsidRPr="008A7CFD">
        <w:rPr>
          <w:rFonts w:ascii="Times New Roman" w:hAnsi="Times New Roman" w:cs="Times New Roman"/>
          <w:sz w:val="24"/>
          <w:szCs w:val="24"/>
        </w:rPr>
        <w:t>‘pure-</w:t>
      </w:r>
      <w:r w:rsidR="006E4FF1" w:rsidRPr="008A7CFD">
        <w:rPr>
          <w:rFonts w:ascii="Times New Roman" w:hAnsi="Times New Roman" w:cs="Times New Roman"/>
          <w:sz w:val="24"/>
          <w:szCs w:val="24"/>
        </w:rPr>
        <w:t>play</w:t>
      </w:r>
      <w:r w:rsidR="00DA7094" w:rsidRPr="008A7CFD">
        <w:rPr>
          <w:rFonts w:ascii="Times New Roman" w:hAnsi="Times New Roman" w:cs="Times New Roman"/>
          <w:sz w:val="24"/>
          <w:szCs w:val="24"/>
        </w:rPr>
        <w:t>’</w:t>
      </w:r>
      <w:r w:rsidR="006E4FF1" w:rsidRPr="008A7CFD">
        <w:rPr>
          <w:rFonts w:ascii="Times New Roman" w:hAnsi="Times New Roman" w:cs="Times New Roman"/>
          <w:sz w:val="24"/>
          <w:szCs w:val="24"/>
        </w:rPr>
        <w:t>.</w:t>
      </w:r>
      <w:r w:rsidR="00C01D64" w:rsidRPr="008A7CFD">
        <w:rPr>
          <w:rFonts w:ascii="Times New Roman" w:hAnsi="Times New Roman" w:cs="Times New Roman"/>
          <w:sz w:val="24"/>
          <w:szCs w:val="24"/>
        </w:rPr>
        <w:t xml:space="preserve">  </w:t>
      </w:r>
      <w:r w:rsidR="002403D2" w:rsidRPr="008A7CFD">
        <w:rPr>
          <w:rFonts w:ascii="Times New Roman" w:hAnsi="Times New Roman" w:cs="Times New Roman"/>
          <w:sz w:val="24"/>
          <w:szCs w:val="24"/>
        </w:rPr>
        <w:t xml:space="preserve">This raises the </w:t>
      </w:r>
      <w:r w:rsidR="008F5341" w:rsidRPr="008A7CFD">
        <w:rPr>
          <w:rFonts w:ascii="Times New Roman" w:hAnsi="Times New Roman" w:cs="Times New Roman"/>
          <w:sz w:val="24"/>
          <w:szCs w:val="24"/>
        </w:rPr>
        <w:t xml:space="preserve">related </w:t>
      </w:r>
      <w:r w:rsidR="002403D2" w:rsidRPr="008A7CFD">
        <w:rPr>
          <w:rFonts w:ascii="Times New Roman" w:hAnsi="Times New Roman" w:cs="Times New Roman"/>
          <w:sz w:val="24"/>
          <w:szCs w:val="24"/>
        </w:rPr>
        <w:t xml:space="preserve">question of whether firms with parents who have a higher credit rating have experienced a rating boost from that association, and therefore should be deleted on the grounds that their credit rating has been affected by the unrelated activities of their parent.  If this were done, it would lead to the deletion of </w:t>
      </w:r>
      <w:r w:rsidR="00C01D64" w:rsidRPr="008A7CFD">
        <w:rPr>
          <w:rFonts w:ascii="Times New Roman" w:hAnsi="Times New Roman" w:cs="Times New Roman"/>
          <w:sz w:val="24"/>
          <w:szCs w:val="24"/>
        </w:rPr>
        <w:t>ATCO Australia (owned by ATCO Group</w:t>
      </w:r>
      <w:r w:rsidR="00470B8D" w:rsidRPr="008A7CFD">
        <w:rPr>
          <w:rFonts w:ascii="Times New Roman" w:hAnsi="Times New Roman" w:cs="Times New Roman"/>
          <w:sz w:val="24"/>
          <w:szCs w:val="24"/>
        </w:rPr>
        <w:t>,</w:t>
      </w:r>
      <w:r w:rsidR="00C01D64" w:rsidRPr="008A7CFD">
        <w:rPr>
          <w:rFonts w:ascii="Times New Roman" w:hAnsi="Times New Roman" w:cs="Times New Roman"/>
          <w:sz w:val="24"/>
          <w:szCs w:val="24"/>
        </w:rPr>
        <w:t xml:space="preserve"> with an A rating),</w:t>
      </w:r>
      <w:r w:rsidR="002403D2" w:rsidRPr="008A7CFD">
        <w:rPr>
          <w:rFonts w:ascii="Times New Roman" w:hAnsi="Times New Roman" w:cs="Times New Roman"/>
          <w:sz w:val="24"/>
          <w:szCs w:val="24"/>
        </w:rPr>
        <w:t xml:space="preserve"> Electranet (41% owned by State Grid Corp of China</w:t>
      </w:r>
      <w:r w:rsidR="00FD6854" w:rsidRPr="008A7CFD">
        <w:rPr>
          <w:rFonts w:ascii="Times New Roman" w:hAnsi="Times New Roman" w:cs="Times New Roman"/>
          <w:sz w:val="24"/>
          <w:szCs w:val="24"/>
        </w:rPr>
        <w:t xml:space="preserve"> (with an AA- rating), Envestra (owned by CKI Group, with an A rating),</w:t>
      </w:r>
      <w:r w:rsidR="00C01D64" w:rsidRPr="008A7CFD">
        <w:rPr>
          <w:rFonts w:ascii="Times New Roman" w:hAnsi="Times New Roman" w:cs="Times New Roman"/>
          <w:sz w:val="24"/>
          <w:szCs w:val="24"/>
        </w:rPr>
        <w:t xml:space="preserve"> SP Ausnet Group (majority owned by SPI</w:t>
      </w:r>
      <w:r w:rsidR="00470B8D" w:rsidRPr="008A7CFD">
        <w:rPr>
          <w:rFonts w:ascii="Times New Roman" w:hAnsi="Times New Roman" w:cs="Times New Roman"/>
          <w:sz w:val="24"/>
          <w:szCs w:val="24"/>
        </w:rPr>
        <w:t>,</w:t>
      </w:r>
      <w:r w:rsidR="00C120E2" w:rsidRPr="008A7CFD">
        <w:rPr>
          <w:rFonts w:ascii="Times New Roman" w:hAnsi="Times New Roman" w:cs="Times New Roman"/>
          <w:sz w:val="24"/>
          <w:szCs w:val="24"/>
        </w:rPr>
        <w:t xml:space="preserve"> with an A+</w:t>
      </w:r>
      <w:r w:rsidR="00C01D64" w:rsidRPr="008A7CFD">
        <w:rPr>
          <w:rFonts w:ascii="Times New Roman" w:hAnsi="Times New Roman" w:cs="Times New Roman"/>
          <w:sz w:val="24"/>
          <w:szCs w:val="24"/>
        </w:rPr>
        <w:t xml:space="preserve"> rating), SPI Australia (owned by SPI</w:t>
      </w:r>
      <w:r w:rsidR="00C120E2" w:rsidRPr="008A7CFD">
        <w:rPr>
          <w:rFonts w:ascii="Times New Roman" w:hAnsi="Times New Roman" w:cs="Times New Roman"/>
          <w:sz w:val="24"/>
          <w:szCs w:val="24"/>
        </w:rPr>
        <w:t>, with an A+</w:t>
      </w:r>
      <w:r w:rsidR="00470B8D" w:rsidRPr="008A7CFD">
        <w:rPr>
          <w:rFonts w:ascii="Times New Roman" w:hAnsi="Times New Roman" w:cs="Times New Roman"/>
          <w:sz w:val="24"/>
          <w:szCs w:val="24"/>
        </w:rPr>
        <w:t xml:space="preserve"> rating</w:t>
      </w:r>
      <w:r w:rsidR="00C01D64" w:rsidRPr="008A7CFD">
        <w:rPr>
          <w:rFonts w:ascii="Times New Roman" w:hAnsi="Times New Roman" w:cs="Times New Roman"/>
          <w:sz w:val="24"/>
          <w:szCs w:val="24"/>
        </w:rPr>
        <w:t>), and Citipower (majority owned by CKI</w:t>
      </w:r>
      <w:r w:rsidR="00470B8D" w:rsidRPr="008A7CFD">
        <w:rPr>
          <w:rFonts w:ascii="Times New Roman" w:hAnsi="Times New Roman" w:cs="Times New Roman"/>
          <w:sz w:val="24"/>
          <w:szCs w:val="24"/>
        </w:rPr>
        <w:t>, with an A rating</w:t>
      </w:r>
      <w:r w:rsidR="00C01D64" w:rsidRPr="008A7CFD">
        <w:rPr>
          <w:rFonts w:ascii="Times New Roman" w:hAnsi="Times New Roman" w:cs="Times New Roman"/>
          <w:sz w:val="24"/>
          <w:szCs w:val="24"/>
        </w:rPr>
        <w:t xml:space="preserve">).  </w:t>
      </w:r>
      <w:r w:rsidR="00FD6854" w:rsidRPr="008A7CFD">
        <w:rPr>
          <w:rFonts w:ascii="Times New Roman" w:hAnsi="Times New Roman" w:cs="Times New Roman"/>
          <w:sz w:val="24"/>
          <w:szCs w:val="24"/>
        </w:rPr>
        <w:t xml:space="preserve">Doing so </w:t>
      </w:r>
      <w:r w:rsidR="001460D3" w:rsidRPr="008A7CFD">
        <w:rPr>
          <w:rFonts w:ascii="Times New Roman" w:hAnsi="Times New Roman" w:cs="Times New Roman"/>
          <w:sz w:val="24"/>
          <w:szCs w:val="24"/>
        </w:rPr>
        <w:t xml:space="preserve">would leave </w:t>
      </w:r>
      <w:r w:rsidR="00FD6854" w:rsidRPr="008A7CFD">
        <w:rPr>
          <w:rFonts w:ascii="Times New Roman" w:hAnsi="Times New Roman" w:cs="Times New Roman"/>
          <w:sz w:val="24"/>
          <w:szCs w:val="24"/>
        </w:rPr>
        <w:t xml:space="preserve">only two firms (APT and DUET), and these are predominantly involved in </w:t>
      </w:r>
      <w:r w:rsidR="001460D3" w:rsidRPr="008A7CFD">
        <w:rPr>
          <w:rFonts w:ascii="Times New Roman" w:hAnsi="Times New Roman" w:cs="Times New Roman"/>
          <w:sz w:val="24"/>
          <w:szCs w:val="24"/>
        </w:rPr>
        <w:t>only gas</w:t>
      </w:r>
      <w:r w:rsidR="00FD6854" w:rsidRPr="008A7CFD">
        <w:rPr>
          <w:rFonts w:ascii="Times New Roman" w:hAnsi="Times New Roman" w:cs="Times New Roman"/>
          <w:sz w:val="24"/>
          <w:szCs w:val="24"/>
        </w:rPr>
        <w:t>.  Even leaving aside the lack of significant electricity operations</w:t>
      </w:r>
      <w:r w:rsidR="008F5341" w:rsidRPr="008A7CFD">
        <w:rPr>
          <w:rFonts w:ascii="Times New Roman" w:hAnsi="Times New Roman" w:cs="Times New Roman"/>
          <w:sz w:val="24"/>
          <w:szCs w:val="24"/>
        </w:rPr>
        <w:t xml:space="preserve"> by these firms</w:t>
      </w:r>
      <w:r w:rsidR="00FD6854" w:rsidRPr="008A7CFD">
        <w:rPr>
          <w:rFonts w:ascii="Times New Roman" w:hAnsi="Times New Roman" w:cs="Times New Roman"/>
          <w:sz w:val="24"/>
          <w:szCs w:val="24"/>
        </w:rPr>
        <w:t xml:space="preserve">, two firms are </w:t>
      </w:r>
      <w:r w:rsidR="001460D3" w:rsidRPr="008A7CFD">
        <w:rPr>
          <w:rFonts w:ascii="Times New Roman" w:hAnsi="Times New Roman" w:cs="Times New Roman"/>
          <w:sz w:val="24"/>
          <w:szCs w:val="24"/>
        </w:rPr>
        <w:t xml:space="preserve">insufficient to enable one to </w:t>
      </w:r>
      <w:r w:rsidR="00FD6854" w:rsidRPr="008A7CFD">
        <w:rPr>
          <w:rFonts w:ascii="Times New Roman" w:hAnsi="Times New Roman" w:cs="Times New Roman"/>
          <w:sz w:val="24"/>
          <w:szCs w:val="24"/>
        </w:rPr>
        <w:t xml:space="preserve">form a conclusion about the credit rating of </w:t>
      </w:r>
      <w:r w:rsidR="001460D3" w:rsidRPr="008A7CFD">
        <w:rPr>
          <w:rFonts w:ascii="Times New Roman" w:hAnsi="Times New Roman" w:cs="Times New Roman"/>
          <w:sz w:val="24"/>
          <w:szCs w:val="24"/>
        </w:rPr>
        <w:t xml:space="preserve">Australian </w:t>
      </w:r>
      <w:r w:rsidR="00FD6854" w:rsidRPr="008A7CFD">
        <w:rPr>
          <w:rFonts w:ascii="Times New Roman" w:hAnsi="Times New Roman" w:cs="Times New Roman"/>
          <w:sz w:val="24"/>
          <w:szCs w:val="24"/>
        </w:rPr>
        <w:t xml:space="preserve">energy network businesses in general.  </w:t>
      </w:r>
    </w:p>
    <w:p w:rsidR="00FD6854" w:rsidRDefault="00FD6854"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4F50C4" w:rsidRDefault="00137BBC"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further </w:t>
      </w:r>
      <w:r w:rsidR="004F50C4">
        <w:rPr>
          <w:rFonts w:ascii="Times New Roman" w:hAnsi="Times New Roman" w:cs="Times New Roman"/>
          <w:sz w:val="24"/>
          <w:szCs w:val="24"/>
        </w:rPr>
        <w:t xml:space="preserve">issue concerns the period for which the credit rating </w:t>
      </w:r>
      <w:r w:rsidR="00C22CC3">
        <w:rPr>
          <w:rFonts w:ascii="Times New Roman" w:hAnsi="Times New Roman" w:cs="Times New Roman"/>
          <w:sz w:val="24"/>
          <w:szCs w:val="24"/>
        </w:rPr>
        <w:t>applies to</w:t>
      </w:r>
      <w:r w:rsidR="004F50C4">
        <w:rPr>
          <w:rFonts w:ascii="Times New Roman" w:hAnsi="Times New Roman" w:cs="Times New Roman"/>
          <w:sz w:val="24"/>
          <w:szCs w:val="24"/>
        </w:rPr>
        <w:t xml:space="preserve">.  </w:t>
      </w:r>
      <w:r w:rsidR="00983760">
        <w:rPr>
          <w:rFonts w:ascii="Times New Roman" w:hAnsi="Times New Roman" w:cs="Times New Roman"/>
          <w:sz w:val="24"/>
          <w:szCs w:val="24"/>
        </w:rPr>
        <w:t xml:space="preserve">Since </w:t>
      </w:r>
      <w:r w:rsidR="00C22CC3">
        <w:rPr>
          <w:rFonts w:ascii="Times New Roman" w:hAnsi="Times New Roman" w:cs="Times New Roman"/>
          <w:sz w:val="24"/>
          <w:szCs w:val="24"/>
        </w:rPr>
        <w:t xml:space="preserve">it is </w:t>
      </w:r>
      <w:r w:rsidR="00983760">
        <w:rPr>
          <w:rFonts w:ascii="Times New Roman" w:hAnsi="Times New Roman" w:cs="Times New Roman"/>
          <w:sz w:val="24"/>
          <w:szCs w:val="24"/>
        </w:rPr>
        <w:t xml:space="preserve">intended to apply to the entire </w:t>
      </w:r>
      <w:r w:rsidR="00295903">
        <w:rPr>
          <w:rFonts w:ascii="Times New Roman" w:hAnsi="Times New Roman" w:cs="Times New Roman"/>
          <w:sz w:val="24"/>
          <w:szCs w:val="24"/>
        </w:rPr>
        <w:t xml:space="preserve">regulatory cycle of five years, then it is not sufficient to judge the appropriate credit rating at the beginning of the cycle; it is instead necessary to form a judgement about the average value over the next five years. </w:t>
      </w:r>
      <w:r w:rsidR="00021403">
        <w:rPr>
          <w:rFonts w:ascii="Times New Roman" w:hAnsi="Times New Roman" w:cs="Times New Roman"/>
          <w:sz w:val="24"/>
          <w:szCs w:val="24"/>
        </w:rPr>
        <w:t xml:space="preserve"> To do so, the current value must be coupled with an assess</w:t>
      </w:r>
      <w:r w:rsidR="00C42F4D">
        <w:rPr>
          <w:rFonts w:ascii="Times New Roman" w:hAnsi="Times New Roman" w:cs="Times New Roman"/>
          <w:sz w:val="24"/>
          <w:szCs w:val="24"/>
        </w:rPr>
        <w:t xml:space="preserve">ment about </w:t>
      </w:r>
      <w:r w:rsidR="0080524E">
        <w:rPr>
          <w:rFonts w:ascii="Times New Roman" w:hAnsi="Times New Roman" w:cs="Times New Roman"/>
          <w:sz w:val="24"/>
          <w:szCs w:val="24"/>
        </w:rPr>
        <w:t xml:space="preserve">its </w:t>
      </w:r>
      <w:r w:rsidR="00C42F4D">
        <w:rPr>
          <w:rFonts w:ascii="Times New Roman" w:hAnsi="Times New Roman" w:cs="Times New Roman"/>
          <w:sz w:val="24"/>
          <w:szCs w:val="24"/>
        </w:rPr>
        <w:t xml:space="preserve">future direction.  </w:t>
      </w:r>
      <w:r w:rsidR="00983760">
        <w:rPr>
          <w:rFonts w:ascii="Times New Roman" w:hAnsi="Times New Roman" w:cs="Times New Roman"/>
          <w:sz w:val="24"/>
          <w:szCs w:val="24"/>
        </w:rPr>
        <w:t xml:space="preserve">Taking account of the time series of </w:t>
      </w:r>
      <w:r w:rsidR="00983760">
        <w:rPr>
          <w:rFonts w:ascii="Times New Roman" w:hAnsi="Times New Roman" w:cs="Times New Roman"/>
          <w:sz w:val="24"/>
          <w:szCs w:val="24"/>
        </w:rPr>
        <w:lastRenderedPageBreak/>
        <w:t xml:space="preserve">median ratings </w:t>
      </w:r>
      <w:r w:rsidR="00470B8D">
        <w:rPr>
          <w:rFonts w:ascii="Times New Roman" w:hAnsi="Times New Roman" w:cs="Times New Roman"/>
          <w:sz w:val="24"/>
          <w:szCs w:val="24"/>
        </w:rPr>
        <w:t>shown in the last row of Table 2</w:t>
      </w:r>
      <w:r w:rsidR="00983760">
        <w:rPr>
          <w:rFonts w:ascii="Times New Roman" w:hAnsi="Times New Roman" w:cs="Times New Roman"/>
          <w:sz w:val="24"/>
          <w:szCs w:val="24"/>
        </w:rPr>
        <w:t xml:space="preserve">, the current rating of </w:t>
      </w:r>
      <w:r w:rsidR="00983760" w:rsidRPr="008A7CFD">
        <w:rPr>
          <w:rFonts w:ascii="Times New Roman" w:hAnsi="Times New Roman" w:cs="Times New Roman"/>
          <w:sz w:val="24"/>
          <w:szCs w:val="24"/>
        </w:rPr>
        <w:t xml:space="preserve">BBB </w:t>
      </w:r>
      <w:r w:rsidR="00F8108F" w:rsidRPr="008A7CFD">
        <w:rPr>
          <w:rFonts w:ascii="Times New Roman" w:hAnsi="Times New Roman" w:cs="Times New Roman"/>
          <w:sz w:val="24"/>
          <w:szCs w:val="24"/>
        </w:rPr>
        <w:t>to BBB+</w:t>
      </w:r>
      <w:r w:rsidR="00F8108F">
        <w:rPr>
          <w:rFonts w:ascii="Times New Roman" w:hAnsi="Times New Roman" w:cs="Times New Roman"/>
          <w:sz w:val="24"/>
          <w:szCs w:val="24"/>
        </w:rPr>
        <w:t xml:space="preserve"> </w:t>
      </w:r>
      <w:r w:rsidR="00983760">
        <w:rPr>
          <w:rFonts w:ascii="Times New Roman" w:hAnsi="Times New Roman" w:cs="Times New Roman"/>
          <w:sz w:val="24"/>
          <w:szCs w:val="24"/>
        </w:rPr>
        <w:t>could reasonably be viewed as a good predictor for</w:t>
      </w:r>
      <w:r w:rsidR="00897268">
        <w:rPr>
          <w:rFonts w:ascii="Times New Roman" w:hAnsi="Times New Roman" w:cs="Times New Roman"/>
          <w:sz w:val="24"/>
          <w:szCs w:val="24"/>
        </w:rPr>
        <w:t xml:space="preserve"> the next five years.</w:t>
      </w:r>
    </w:p>
    <w:p w:rsidR="00024968" w:rsidRDefault="00024968"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1D0825" w:rsidRDefault="00CB79FF" w:rsidP="00612CF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Table 3: Median Credit Ratings for Gas and Electricity Businesses</w:t>
      </w:r>
    </w:p>
    <w:p w:rsidR="00CB79FF" w:rsidRDefault="00CB79FF" w:rsidP="00CB79FF">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D0825" w:rsidRDefault="00612CF5" w:rsidP="00612CF5">
      <w:pPr>
        <w:pStyle w:val="ListParagraph"/>
        <w:tabs>
          <w:tab w:val="left" w:pos="2880"/>
          <w:tab w:val="left" w:pos="5580"/>
          <w:tab w:val="left" w:pos="6300"/>
          <w:tab w:val="left" w:pos="7020"/>
          <w:tab w:val="left" w:pos="7740"/>
          <w:tab w:val="left" w:pos="846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8108F">
        <w:rPr>
          <w:rFonts w:ascii="Times New Roman" w:hAnsi="Times New Roman" w:cs="Times New Roman"/>
          <w:sz w:val="24"/>
          <w:szCs w:val="24"/>
        </w:rPr>
        <w:t xml:space="preserve">               </w:t>
      </w:r>
      <w:r w:rsidR="00897268">
        <w:rPr>
          <w:rFonts w:ascii="Times New Roman" w:hAnsi="Times New Roman" w:cs="Times New Roman"/>
          <w:sz w:val="24"/>
          <w:szCs w:val="24"/>
        </w:rPr>
        <w:t>2007</w:t>
      </w:r>
      <w:r w:rsidR="00F8108F">
        <w:rPr>
          <w:rFonts w:ascii="Times New Roman" w:hAnsi="Times New Roman" w:cs="Times New Roman"/>
          <w:sz w:val="24"/>
          <w:szCs w:val="24"/>
        </w:rPr>
        <w:t xml:space="preserve">       </w:t>
      </w:r>
      <w:r w:rsidR="00897268">
        <w:rPr>
          <w:rFonts w:ascii="Times New Roman" w:hAnsi="Times New Roman" w:cs="Times New Roman"/>
          <w:sz w:val="24"/>
          <w:szCs w:val="24"/>
        </w:rPr>
        <w:t>2008</w:t>
      </w:r>
      <w:r>
        <w:rPr>
          <w:rFonts w:ascii="Times New Roman" w:hAnsi="Times New Roman" w:cs="Times New Roman"/>
          <w:sz w:val="24"/>
          <w:szCs w:val="24"/>
        </w:rPr>
        <w:t xml:space="preserve"> </w:t>
      </w:r>
      <w:r w:rsidR="00897268">
        <w:rPr>
          <w:rFonts w:ascii="Times New Roman" w:hAnsi="Times New Roman" w:cs="Times New Roman"/>
          <w:sz w:val="24"/>
          <w:szCs w:val="24"/>
        </w:rPr>
        <w:t xml:space="preserve">   </w:t>
      </w:r>
      <w:r w:rsidR="00F8108F">
        <w:rPr>
          <w:rFonts w:ascii="Times New Roman" w:hAnsi="Times New Roman" w:cs="Times New Roman"/>
          <w:sz w:val="24"/>
          <w:szCs w:val="24"/>
        </w:rPr>
        <w:t xml:space="preserve">  2009       </w:t>
      </w:r>
      <w:r>
        <w:rPr>
          <w:rFonts w:ascii="Times New Roman" w:hAnsi="Times New Roman" w:cs="Times New Roman"/>
          <w:sz w:val="24"/>
          <w:szCs w:val="24"/>
        </w:rPr>
        <w:t xml:space="preserve">2010     </w:t>
      </w:r>
      <w:r w:rsidR="00897268">
        <w:rPr>
          <w:rFonts w:ascii="Times New Roman" w:hAnsi="Times New Roman" w:cs="Times New Roman"/>
          <w:sz w:val="24"/>
          <w:szCs w:val="24"/>
        </w:rPr>
        <w:t xml:space="preserve">  </w:t>
      </w:r>
      <w:r w:rsidR="00C50B35">
        <w:rPr>
          <w:rFonts w:ascii="Times New Roman" w:hAnsi="Times New Roman" w:cs="Times New Roman"/>
          <w:sz w:val="24"/>
          <w:szCs w:val="24"/>
        </w:rPr>
        <w:t xml:space="preserve"> </w:t>
      </w:r>
      <w:r w:rsidR="00897268">
        <w:rPr>
          <w:rFonts w:ascii="Times New Roman" w:hAnsi="Times New Roman" w:cs="Times New Roman"/>
          <w:sz w:val="24"/>
          <w:szCs w:val="24"/>
        </w:rPr>
        <w:t xml:space="preserve">2011      2012       </w:t>
      </w:r>
      <w:r>
        <w:rPr>
          <w:rFonts w:ascii="Times New Roman" w:hAnsi="Times New Roman" w:cs="Times New Roman"/>
          <w:sz w:val="24"/>
          <w:szCs w:val="24"/>
        </w:rPr>
        <w:t>2013</w:t>
      </w:r>
      <w:r w:rsidR="00F8108F">
        <w:rPr>
          <w:rFonts w:ascii="Times New Roman" w:hAnsi="Times New Roman" w:cs="Times New Roman"/>
          <w:sz w:val="24"/>
          <w:szCs w:val="24"/>
        </w:rPr>
        <w:t xml:space="preserve">     </w:t>
      </w:r>
      <w:r w:rsidR="00C50B35">
        <w:rPr>
          <w:rFonts w:ascii="Times New Roman" w:hAnsi="Times New Roman" w:cs="Times New Roman"/>
          <w:sz w:val="24"/>
          <w:szCs w:val="24"/>
        </w:rPr>
        <w:t xml:space="preserve">   </w:t>
      </w:r>
      <w:r w:rsidR="00F8108F">
        <w:rPr>
          <w:rFonts w:ascii="Times New Roman" w:hAnsi="Times New Roman" w:cs="Times New Roman"/>
          <w:sz w:val="24"/>
          <w:szCs w:val="24"/>
        </w:rPr>
        <w:t>2014</w:t>
      </w:r>
    </w:p>
    <w:p w:rsidR="00CB79FF" w:rsidRDefault="00CB79FF" w:rsidP="00CB79FF">
      <w:pPr>
        <w:pStyle w:val="ListParagraph"/>
        <w:tabs>
          <w:tab w:val="left" w:pos="288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B79FF" w:rsidRDefault="00612CF5" w:rsidP="00F8108F">
      <w:pPr>
        <w:pStyle w:val="ListParagraph"/>
        <w:tabs>
          <w:tab w:val="left" w:pos="1980"/>
          <w:tab w:val="left" w:pos="2880"/>
          <w:tab w:val="left" w:pos="3780"/>
          <w:tab w:val="left" w:pos="4680"/>
          <w:tab w:val="left" w:pos="5580"/>
          <w:tab w:val="left" w:pos="6480"/>
          <w:tab w:val="left" w:pos="7380"/>
          <w:tab w:val="left" w:pos="828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Electricity</w:t>
      </w:r>
      <w:r w:rsidR="00F8108F">
        <w:rPr>
          <w:rFonts w:ascii="Times New Roman" w:hAnsi="Times New Roman" w:cs="Times New Roman"/>
          <w:sz w:val="24"/>
          <w:szCs w:val="24"/>
        </w:rPr>
        <w:t xml:space="preserve"> (2)</w:t>
      </w:r>
      <w:r>
        <w:rPr>
          <w:rFonts w:ascii="Times New Roman" w:hAnsi="Times New Roman" w:cs="Times New Roman"/>
          <w:sz w:val="24"/>
          <w:szCs w:val="24"/>
        </w:rPr>
        <w:tab/>
      </w:r>
      <w:r w:rsidR="00897268">
        <w:rPr>
          <w:rFonts w:ascii="Times New Roman" w:hAnsi="Times New Roman" w:cs="Times New Roman"/>
          <w:sz w:val="24"/>
          <w:szCs w:val="24"/>
        </w:rPr>
        <w:t>3.5</w:t>
      </w:r>
      <w:r w:rsidR="00897268">
        <w:rPr>
          <w:rFonts w:ascii="Times New Roman" w:hAnsi="Times New Roman" w:cs="Times New Roman"/>
          <w:sz w:val="24"/>
          <w:szCs w:val="24"/>
        </w:rPr>
        <w:tab/>
        <w:t>3.5</w:t>
      </w:r>
      <w:r w:rsidR="00897268">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Pr>
          <w:rFonts w:ascii="Times New Roman" w:hAnsi="Times New Roman" w:cs="Times New Roman"/>
          <w:sz w:val="24"/>
          <w:szCs w:val="24"/>
        </w:rPr>
        <w:tab/>
        <w:t>3</w:t>
      </w:r>
      <w:r w:rsidR="00F8108F">
        <w:rPr>
          <w:rFonts w:ascii="Times New Roman" w:hAnsi="Times New Roman" w:cs="Times New Roman"/>
          <w:sz w:val="24"/>
          <w:szCs w:val="24"/>
        </w:rPr>
        <w:tab/>
        <w:t>3</w:t>
      </w:r>
    </w:p>
    <w:p w:rsidR="00983760" w:rsidRDefault="00612CF5" w:rsidP="009F3859">
      <w:pPr>
        <w:pStyle w:val="ListParagraph"/>
        <w:tabs>
          <w:tab w:val="left" w:pos="1980"/>
          <w:tab w:val="left" w:pos="2880"/>
          <w:tab w:val="left" w:pos="3780"/>
          <w:tab w:val="left" w:pos="4680"/>
          <w:tab w:val="left" w:pos="5580"/>
          <w:tab w:val="left" w:pos="6480"/>
          <w:tab w:val="left" w:pos="7380"/>
          <w:tab w:val="left" w:pos="828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Gas</w:t>
      </w:r>
      <w:r w:rsidR="00F8108F">
        <w:rPr>
          <w:rFonts w:ascii="Times New Roman" w:hAnsi="Times New Roman" w:cs="Times New Roman"/>
          <w:sz w:val="24"/>
          <w:szCs w:val="24"/>
        </w:rPr>
        <w:t xml:space="preserve"> (4)</w:t>
      </w:r>
      <w:r>
        <w:rPr>
          <w:rFonts w:ascii="Times New Roman" w:hAnsi="Times New Roman" w:cs="Times New Roman"/>
          <w:sz w:val="24"/>
          <w:szCs w:val="24"/>
        </w:rPr>
        <w:tab/>
      </w:r>
      <w:r w:rsidR="00897268">
        <w:rPr>
          <w:rFonts w:ascii="Times New Roman" w:hAnsi="Times New Roman" w:cs="Times New Roman"/>
          <w:sz w:val="24"/>
          <w:szCs w:val="24"/>
        </w:rPr>
        <w:t>1</w:t>
      </w:r>
      <w:r w:rsidR="00897268">
        <w:rPr>
          <w:rFonts w:ascii="Times New Roman" w:hAnsi="Times New Roman" w:cs="Times New Roman"/>
          <w:sz w:val="24"/>
          <w:szCs w:val="24"/>
        </w:rPr>
        <w:tab/>
        <w:t>1</w:t>
      </w:r>
      <w:r w:rsidR="00897268">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2</w:t>
      </w:r>
      <w:r w:rsidR="00F8108F">
        <w:rPr>
          <w:rFonts w:ascii="Times New Roman" w:hAnsi="Times New Roman" w:cs="Times New Roman"/>
          <w:sz w:val="24"/>
          <w:szCs w:val="24"/>
        </w:rPr>
        <w:tab/>
        <w:t>2.5</w:t>
      </w:r>
    </w:p>
    <w:p w:rsidR="009F3859" w:rsidRDefault="009F3859" w:rsidP="009F3859">
      <w:pPr>
        <w:pStyle w:val="ListParagraph"/>
        <w:tabs>
          <w:tab w:val="left" w:pos="1980"/>
          <w:tab w:val="left" w:pos="2880"/>
          <w:tab w:val="left" w:pos="3780"/>
          <w:tab w:val="left" w:pos="4680"/>
          <w:tab w:val="left" w:pos="5580"/>
          <w:tab w:val="left" w:pos="6480"/>
          <w:tab w:val="left" w:pos="7380"/>
          <w:tab w:val="left" w:pos="82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Gas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t>1.5</w:t>
      </w:r>
      <w:r>
        <w:rPr>
          <w:rFonts w:ascii="Times New Roman" w:hAnsi="Times New Roman" w:cs="Times New Roman"/>
          <w:sz w:val="24"/>
          <w:szCs w:val="24"/>
        </w:rPr>
        <w:tab/>
        <w:t>2</w:t>
      </w:r>
      <w:r>
        <w:rPr>
          <w:rFonts w:ascii="Times New Roman" w:hAnsi="Times New Roman" w:cs="Times New Roman"/>
          <w:sz w:val="24"/>
          <w:szCs w:val="24"/>
        </w:rPr>
        <w:tab/>
        <w:t>3.5</w:t>
      </w:r>
    </w:p>
    <w:p w:rsidR="00612CF5" w:rsidRDefault="00612CF5" w:rsidP="00612CF5">
      <w:pPr>
        <w:pStyle w:val="ListParagraph"/>
        <w:tabs>
          <w:tab w:val="left" w:pos="3600"/>
          <w:tab w:val="left" w:pos="4680"/>
          <w:tab w:val="left" w:pos="5760"/>
          <w:tab w:val="left" w:pos="6840"/>
          <w:tab w:val="left" w:pos="792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B79FF" w:rsidRDefault="00CB79FF"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C16897" w:rsidRPr="008A7CFD" w:rsidRDefault="00C16897" w:rsidP="00C16897">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further issue concerns whether to apply the same rating to all businesses within the regulated energy network sector.  Jemena (2014, section 3) argues that gas distribution businesses are subject to greater risks than other energy network businesses.  They classify businesses into electricity, gas, and mixed and claim that the median rating for the electricity businesses is A- whilst the others are BBB.  However their analysis does not pool companies that are part of the same corporate group.  Doing so from 2009 onwards leaves only Citipower Group and Electranet amongst electricity businesses, and only ATCO, APT, DUET Group, and Envestra amongst the gas businesses.  </w:t>
      </w:r>
      <w:r w:rsidRPr="008A7CFD">
        <w:rPr>
          <w:rFonts w:ascii="Times New Roman" w:hAnsi="Times New Roman" w:cs="Times New Roman"/>
          <w:sz w:val="24"/>
          <w:szCs w:val="24"/>
        </w:rPr>
        <w:t>Furthermore, both APT and DUET whilst predominantly involved in gas have some electricity assets and therefore might be excluded from the gas set, leaving only two electricity businesses and two gas ones.  Drawing upon the data in Table 2, the median results for each of these two sets from 2007 onwards is as shown in Table 3.</w:t>
      </w:r>
      <w:r w:rsidRPr="008A7CFD">
        <w:rPr>
          <w:rStyle w:val="FootnoteReference"/>
          <w:rFonts w:ascii="Times New Roman" w:hAnsi="Times New Roman" w:cs="Times New Roman"/>
          <w:sz w:val="24"/>
          <w:szCs w:val="24"/>
        </w:rPr>
        <w:footnoteReference w:id="16"/>
      </w:r>
      <w:r w:rsidRPr="008A7CFD">
        <w:rPr>
          <w:rFonts w:ascii="Times New Roman" w:hAnsi="Times New Roman" w:cs="Times New Roman"/>
          <w:sz w:val="24"/>
          <w:szCs w:val="24"/>
        </w:rPr>
        <w:t xml:space="preserve">  Taking account of the fact that there are only two electricity firms, and 2-4 gas firms, I cannot confidently conclude that there is any difference between the two subsets at the present time.  Accordingly, my assessment of the credit rating is limited to the entire energy network sector.  As indicated above, this is BBB to BBB+ both at the present time and as an estimate for the next five years.</w:t>
      </w:r>
    </w:p>
    <w:p w:rsidR="00C16897" w:rsidRPr="008A7CFD" w:rsidRDefault="00C16897"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1D0825" w:rsidRPr="008A7CFD" w:rsidRDefault="009D4F22" w:rsidP="004B5C25">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sidRPr="008A7CFD">
        <w:rPr>
          <w:rFonts w:ascii="Times New Roman" w:hAnsi="Times New Roman" w:cs="Times New Roman"/>
          <w:sz w:val="24"/>
          <w:szCs w:val="24"/>
        </w:rPr>
        <w:t xml:space="preserve">In summary, </w:t>
      </w:r>
      <w:r w:rsidR="00024968" w:rsidRPr="008A7CFD">
        <w:rPr>
          <w:rFonts w:ascii="Times New Roman" w:hAnsi="Times New Roman" w:cs="Times New Roman"/>
          <w:sz w:val="24"/>
          <w:szCs w:val="24"/>
        </w:rPr>
        <w:t xml:space="preserve">I </w:t>
      </w:r>
      <w:r w:rsidR="009F3859" w:rsidRPr="008A7CFD">
        <w:rPr>
          <w:rFonts w:ascii="Times New Roman" w:hAnsi="Times New Roman" w:cs="Times New Roman"/>
          <w:sz w:val="24"/>
          <w:szCs w:val="24"/>
        </w:rPr>
        <w:t xml:space="preserve">do not think that one can differentiate between the gas and electricity businesses at the present time </w:t>
      </w:r>
      <w:r w:rsidR="006C4AD1" w:rsidRPr="008A7CFD">
        <w:rPr>
          <w:rFonts w:ascii="Times New Roman" w:hAnsi="Times New Roman" w:cs="Times New Roman"/>
          <w:sz w:val="24"/>
          <w:szCs w:val="24"/>
        </w:rPr>
        <w:t xml:space="preserve">and </w:t>
      </w:r>
      <w:r w:rsidR="009E131D" w:rsidRPr="008A7CFD">
        <w:rPr>
          <w:rFonts w:ascii="Times New Roman" w:hAnsi="Times New Roman" w:cs="Times New Roman"/>
          <w:sz w:val="24"/>
          <w:szCs w:val="24"/>
        </w:rPr>
        <w:t xml:space="preserve">I </w:t>
      </w:r>
      <w:r w:rsidR="006C4AD1" w:rsidRPr="008A7CFD">
        <w:rPr>
          <w:rFonts w:ascii="Times New Roman" w:hAnsi="Times New Roman" w:cs="Times New Roman"/>
          <w:sz w:val="24"/>
          <w:szCs w:val="24"/>
        </w:rPr>
        <w:t xml:space="preserve">therefore favour </w:t>
      </w:r>
      <w:r w:rsidR="00024968" w:rsidRPr="008A7CFD">
        <w:rPr>
          <w:rFonts w:ascii="Times New Roman" w:hAnsi="Times New Roman" w:cs="Times New Roman"/>
          <w:sz w:val="24"/>
          <w:szCs w:val="24"/>
        </w:rPr>
        <w:t xml:space="preserve">a credit rating </w:t>
      </w:r>
      <w:r w:rsidR="006C4AD1" w:rsidRPr="008A7CFD">
        <w:rPr>
          <w:rFonts w:ascii="Times New Roman" w:hAnsi="Times New Roman" w:cs="Times New Roman"/>
          <w:sz w:val="24"/>
          <w:szCs w:val="24"/>
        </w:rPr>
        <w:t xml:space="preserve">for the entire sector of BBB to BBB+ both at the present time and </w:t>
      </w:r>
      <w:r w:rsidR="00952227" w:rsidRPr="008A7CFD">
        <w:rPr>
          <w:rFonts w:ascii="Times New Roman" w:hAnsi="Times New Roman" w:cs="Times New Roman"/>
          <w:sz w:val="24"/>
          <w:szCs w:val="24"/>
        </w:rPr>
        <w:t xml:space="preserve">as an estimate </w:t>
      </w:r>
      <w:r w:rsidR="006C4AD1" w:rsidRPr="008A7CFD">
        <w:rPr>
          <w:rFonts w:ascii="Times New Roman" w:hAnsi="Times New Roman" w:cs="Times New Roman"/>
          <w:sz w:val="24"/>
          <w:szCs w:val="24"/>
        </w:rPr>
        <w:t xml:space="preserve">over the next five years.  </w:t>
      </w:r>
    </w:p>
    <w:p w:rsidR="00696A51" w:rsidRDefault="00696A51" w:rsidP="00122250">
      <w:pPr>
        <w:pStyle w:val="ListParagraph"/>
        <w:spacing w:after="0" w:line="360" w:lineRule="auto"/>
        <w:ind w:left="0"/>
        <w:jc w:val="both"/>
        <w:rPr>
          <w:rFonts w:ascii="Times New Roman" w:hAnsi="Times New Roman" w:cs="Times New Roman"/>
          <w:sz w:val="24"/>
          <w:szCs w:val="24"/>
        </w:rPr>
      </w:pPr>
    </w:p>
    <w:p w:rsidR="00206E87" w:rsidRPr="00206E87" w:rsidRDefault="00206E87" w:rsidP="00122250">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4.2 The Relationship Between Costs of Debt and Credit Ratings</w:t>
      </w:r>
    </w:p>
    <w:p w:rsidR="001B4B21" w:rsidRDefault="00206E87" w:rsidP="001B4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AER seeks to estimate the cost of debt for the benchmark entity by first specifying a credit rating.  Implicit in doing so is a belief that there is a close correspondence between c</w:t>
      </w:r>
      <w:r w:rsidR="001B4B21">
        <w:rPr>
          <w:rFonts w:ascii="Times New Roman" w:hAnsi="Times New Roman" w:cs="Times New Roman"/>
          <w:sz w:val="24"/>
          <w:szCs w:val="24"/>
        </w:rPr>
        <w:t xml:space="preserve">osts of debt and credit ratings.  However there are considerable variations in the DRPs (or equivalently the costs of debt) for bonds of the same credit rating (and term to maturity).  For example, CEG (2012, Figure 1) shows a spread in the </w:t>
      </w:r>
      <w:r w:rsidR="00151910" w:rsidRPr="00F40B53">
        <w:rPr>
          <w:rFonts w:ascii="Times New Roman" w:hAnsi="Times New Roman" w:cs="Times New Roman"/>
          <w:sz w:val="24"/>
          <w:szCs w:val="24"/>
        </w:rPr>
        <w:t>Bloomberg</w:t>
      </w:r>
      <w:r w:rsidR="001B4B21" w:rsidRPr="00F40B53">
        <w:rPr>
          <w:rFonts w:ascii="Times New Roman" w:hAnsi="Times New Roman" w:cs="Times New Roman"/>
          <w:sz w:val="24"/>
          <w:szCs w:val="24"/>
        </w:rPr>
        <w:t xml:space="preserve"> DRPs on two-year BBB+ bonds from 1.6% to 3.4%.  In addition, CEG (2012, Figure 2) shows a spread in the </w:t>
      </w:r>
      <w:r w:rsidR="00151910" w:rsidRPr="00F40B53">
        <w:rPr>
          <w:rFonts w:ascii="Times New Roman" w:hAnsi="Times New Roman" w:cs="Times New Roman"/>
          <w:sz w:val="24"/>
          <w:szCs w:val="24"/>
        </w:rPr>
        <w:t xml:space="preserve">Bloomberg </w:t>
      </w:r>
      <w:r w:rsidR="001B4B21" w:rsidRPr="00F40B53">
        <w:rPr>
          <w:rFonts w:ascii="Times New Roman" w:hAnsi="Times New Roman" w:cs="Times New Roman"/>
          <w:sz w:val="24"/>
          <w:szCs w:val="24"/>
        </w:rPr>
        <w:t xml:space="preserve">DRPs on six-year </w:t>
      </w:r>
      <w:r w:rsidR="004C539C" w:rsidRPr="00F40B53">
        <w:rPr>
          <w:rFonts w:ascii="Times New Roman" w:hAnsi="Times New Roman" w:cs="Times New Roman"/>
          <w:sz w:val="24"/>
          <w:szCs w:val="24"/>
        </w:rPr>
        <w:t>BBB</w:t>
      </w:r>
      <w:r w:rsidR="001B4B21" w:rsidRPr="00F40B53">
        <w:rPr>
          <w:rFonts w:ascii="Times New Roman" w:hAnsi="Times New Roman" w:cs="Times New Roman"/>
          <w:sz w:val="24"/>
          <w:szCs w:val="24"/>
        </w:rPr>
        <w:t xml:space="preserve"> bonds from 2.8% to 5.2%.</w:t>
      </w:r>
      <w:r w:rsidR="001B4B21" w:rsidRPr="00F40B53">
        <w:rPr>
          <w:rStyle w:val="FootnoteReference"/>
          <w:rFonts w:ascii="Times New Roman" w:hAnsi="Times New Roman" w:cs="Times New Roman"/>
          <w:sz w:val="24"/>
          <w:szCs w:val="24"/>
        </w:rPr>
        <w:footnoteReference w:id="17"/>
      </w:r>
      <w:r w:rsidR="001B4B21" w:rsidRPr="00F40B53">
        <w:rPr>
          <w:rFonts w:ascii="Times New Roman" w:hAnsi="Times New Roman" w:cs="Times New Roman"/>
          <w:sz w:val="24"/>
          <w:szCs w:val="24"/>
        </w:rPr>
        <w:t xml:space="preserve">  Nor is this variation limited to</w:t>
      </w:r>
      <w:r w:rsidR="00151910" w:rsidRPr="00F40B53">
        <w:rPr>
          <w:rFonts w:ascii="Times New Roman" w:hAnsi="Times New Roman" w:cs="Times New Roman"/>
          <w:sz w:val="24"/>
          <w:szCs w:val="24"/>
        </w:rPr>
        <w:t xml:space="preserve"> Bloomberg</w:t>
      </w:r>
      <w:r w:rsidR="001B4B21" w:rsidRPr="00A1440C">
        <w:rPr>
          <w:rFonts w:ascii="Times New Roman" w:hAnsi="Times New Roman" w:cs="Times New Roman"/>
          <w:sz w:val="24"/>
          <w:szCs w:val="24"/>
        </w:rPr>
        <w:t xml:space="preserve"> </w:t>
      </w:r>
      <w:r w:rsidR="00FE6D32">
        <w:rPr>
          <w:rFonts w:ascii="Times New Roman" w:hAnsi="Times New Roman" w:cs="Times New Roman"/>
          <w:sz w:val="24"/>
          <w:szCs w:val="24"/>
        </w:rPr>
        <w:t>data</w:t>
      </w:r>
      <w:r w:rsidR="001B4B21" w:rsidRPr="00A1440C">
        <w:rPr>
          <w:rFonts w:ascii="Times New Roman" w:hAnsi="Times New Roman" w:cs="Times New Roman"/>
          <w:sz w:val="24"/>
          <w:szCs w:val="24"/>
        </w:rPr>
        <w:t>.</w:t>
      </w:r>
      <w:r w:rsidR="001B4B21">
        <w:rPr>
          <w:rFonts w:ascii="Times New Roman" w:hAnsi="Times New Roman" w:cs="Times New Roman"/>
          <w:sz w:val="24"/>
          <w:szCs w:val="24"/>
        </w:rPr>
        <w:t xml:space="preserve">  For example, CEG (ibid, Figure 2) shows a spread in the UBS DRPs on one-year A- bonds from 1% to 4%, on six-year A- bonds from 2% to 4%, and on fifteen-year A- bonds from 3.3% to 5.8%.  Even more spectacularly, CEG (Figure 11) shows a spread in the DRPs on pooled UBS and Bloomberg data on ten-year BBB bonds issued by Australian firms from 7% to 14.5%.  Chairmont Consulting (2012, Graph 1) provides another dramatic example of this kind, in the form of yields on 18.11.2011 for a range of AAA rated public-sector entities that issued debt in the Australian market; the yields range from 3% to 7% at a five year term to maturity.  </w:t>
      </w:r>
      <w:r w:rsidR="001B4B21" w:rsidRPr="00A1440C">
        <w:rPr>
          <w:rFonts w:ascii="Times New Roman" w:hAnsi="Times New Roman" w:cs="Times New Roman"/>
          <w:sz w:val="24"/>
          <w:szCs w:val="24"/>
        </w:rPr>
        <w:t>Thus, in using any curve that is fitted to data of a particular credit rating and at a particular term to maturity, one is averaging over huge variation in DRPs.</w:t>
      </w:r>
    </w:p>
    <w:p w:rsidR="001B4B21" w:rsidRDefault="001B4B21" w:rsidP="001B4B21">
      <w:pPr>
        <w:spacing w:after="0" w:line="360" w:lineRule="auto"/>
        <w:jc w:val="both"/>
        <w:rPr>
          <w:rFonts w:ascii="Times New Roman" w:hAnsi="Times New Roman" w:cs="Times New Roman"/>
          <w:sz w:val="24"/>
          <w:szCs w:val="24"/>
        </w:rPr>
      </w:pPr>
    </w:p>
    <w:p w:rsidR="001B4B21" w:rsidRDefault="001B4B21" w:rsidP="001B4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Many of the sources of this variation are quite well understood; current DRPs depend not simply on credit rating (</w:t>
      </w:r>
      <w:r w:rsidR="005D0191">
        <w:rPr>
          <w:rFonts w:ascii="Times New Roman" w:hAnsi="Times New Roman" w:cs="Times New Roman"/>
          <w:sz w:val="24"/>
          <w:szCs w:val="24"/>
        </w:rPr>
        <w:t xml:space="preserve">which is </w:t>
      </w:r>
      <w:r>
        <w:rPr>
          <w:rFonts w:ascii="Times New Roman" w:hAnsi="Times New Roman" w:cs="Times New Roman"/>
          <w:sz w:val="24"/>
          <w:szCs w:val="24"/>
        </w:rPr>
        <w:t>an estimate of default risk based upon past information</w:t>
      </w:r>
      <w:r w:rsidR="00133F40">
        <w:rPr>
          <w:rFonts w:ascii="Times New Roman" w:hAnsi="Times New Roman" w:cs="Times New Roman"/>
          <w:sz w:val="24"/>
          <w:szCs w:val="24"/>
        </w:rPr>
        <w:t xml:space="preserve">, </w:t>
      </w:r>
      <w:r w:rsidR="00630B2C" w:rsidRPr="00835559">
        <w:rPr>
          <w:rFonts w:ascii="Times New Roman" w:hAnsi="Times New Roman" w:cs="Times New Roman"/>
          <w:sz w:val="24"/>
          <w:szCs w:val="24"/>
        </w:rPr>
        <w:t>at least in</w:t>
      </w:r>
      <w:r w:rsidR="00133F40" w:rsidRPr="00835559">
        <w:rPr>
          <w:rFonts w:ascii="Times New Roman" w:hAnsi="Times New Roman" w:cs="Times New Roman"/>
          <w:sz w:val="24"/>
          <w:szCs w:val="24"/>
        </w:rPr>
        <w:t xml:space="preserve"> the case of S&amp;P</w:t>
      </w:r>
      <w:r w:rsidRPr="00835559">
        <w:rPr>
          <w:rFonts w:ascii="Times New Roman" w:hAnsi="Times New Roman" w:cs="Times New Roman"/>
          <w:sz w:val="24"/>
          <w:szCs w:val="24"/>
        </w:rPr>
        <w:t>)</w:t>
      </w:r>
      <w:r>
        <w:rPr>
          <w:rFonts w:ascii="Times New Roman" w:hAnsi="Times New Roman" w:cs="Times New Roman"/>
          <w:sz w:val="24"/>
          <w:szCs w:val="24"/>
        </w:rPr>
        <w:t xml:space="preserve"> and term to maturity but a host of other factors that affect the DRP but not the current credit rating.</w:t>
      </w:r>
      <w:r w:rsidR="00133F40">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One of these is liquidity, which lowers a bond’s yield but does not affect its credit rating.  Another is callability, which raises a bond’s yield to compensate the bondholder for the bond issuer’s right to call the bond but may not affect its credit rating.  </w:t>
      </w:r>
      <w:r w:rsidR="0051019D">
        <w:rPr>
          <w:rFonts w:ascii="Times New Roman" w:hAnsi="Times New Roman" w:cs="Times New Roman"/>
          <w:sz w:val="24"/>
          <w:szCs w:val="24"/>
        </w:rPr>
        <w:t xml:space="preserve">Another is a conversion option, which lowers a bond’s yield to compensate the issuer for the bond holder’s right to convert the bond but may not affect its credit rating.  Another is the expected </w:t>
      </w:r>
      <w:r w:rsidR="00CE4B1C">
        <w:rPr>
          <w:rFonts w:ascii="Times New Roman" w:hAnsi="Times New Roman" w:cs="Times New Roman"/>
          <w:sz w:val="24"/>
          <w:szCs w:val="24"/>
        </w:rPr>
        <w:t xml:space="preserve">loss rate </w:t>
      </w:r>
      <w:r w:rsidR="0051019D">
        <w:rPr>
          <w:rFonts w:ascii="Times New Roman" w:hAnsi="Times New Roman" w:cs="Times New Roman"/>
          <w:sz w:val="24"/>
          <w:szCs w:val="24"/>
        </w:rPr>
        <w:t xml:space="preserve">in the event of default, which lowers a bond’s yield in </w:t>
      </w:r>
      <w:r w:rsidR="0051019D">
        <w:rPr>
          <w:rFonts w:ascii="Times New Roman" w:hAnsi="Times New Roman" w:cs="Times New Roman"/>
          <w:sz w:val="24"/>
          <w:szCs w:val="24"/>
        </w:rPr>
        <w:lastRenderedPageBreak/>
        <w:t>compensation but does no</w:t>
      </w:r>
      <w:r w:rsidR="00133F40">
        <w:rPr>
          <w:rFonts w:ascii="Times New Roman" w:hAnsi="Times New Roman" w:cs="Times New Roman"/>
          <w:sz w:val="24"/>
          <w:szCs w:val="24"/>
        </w:rPr>
        <w:t xml:space="preserve">t affect its </w:t>
      </w:r>
      <w:r w:rsidR="00133F40" w:rsidRPr="00835559">
        <w:rPr>
          <w:rFonts w:ascii="Times New Roman" w:hAnsi="Times New Roman" w:cs="Times New Roman"/>
          <w:sz w:val="24"/>
          <w:szCs w:val="24"/>
        </w:rPr>
        <w:t>S&amp;P</w:t>
      </w:r>
      <w:r w:rsidR="00133F40">
        <w:rPr>
          <w:rFonts w:ascii="Times New Roman" w:hAnsi="Times New Roman" w:cs="Times New Roman"/>
          <w:sz w:val="24"/>
          <w:szCs w:val="24"/>
        </w:rPr>
        <w:t xml:space="preserve"> credit rating</w:t>
      </w:r>
      <w:r w:rsidR="0051019D">
        <w:rPr>
          <w:rFonts w:ascii="Times New Roman" w:hAnsi="Times New Roman" w:cs="Times New Roman"/>
          <w:sz w:val="24"/>
          <w:szCs w:val="24"/>
        </w:rPr>
        <w:t xml:space="preserve">.  </w:t>
      </w:r>
      <w:r>
        <w:rPr>
          <w:rFonts w:ascii="Times New Roman" w:hAnsi="Times New Roman" w:cs="Times New Roman"/>
          <w:sz w:val="24"/>
          <w:szCs w:val="24"/>
        </w:rPr>
        <w:t xml:space="preserve">Another is mere differences in opinion between the market and the rating agencies about the risk of default, and this can extend to entire industries.  Lastly, markets react more quickly to new developments than rating agencies and therefore bonds may have unusually high or low DRPs relative to other bonds of the same rating until the rating is changed.  Chairmont Consulting (2012, Graph 2) again provides a particularly pointed example of this point, involving GE Capital whose DRP rose from 0.8% to 5.0% over the two year period preceding a rating downgrade in March 2009.  </w:t>
      </w:r>
    </w:p>
    <w:p w:rsidR="001B4B21" w:rsidRDefault="001B4B21" w:rsidP="001B4B21">
      <w:pPr>
        <w:spacing w:after="0" w:line="360" w:lineRule="auto"/>
        <w:jc w:val="both"/>
        <w:rPr>
          <w:rFonts w:ascii="Times New Roman" w:hAnsi="Times New Roman" w:cs="Times New Roman"/>
          <w:sz w:val="24"/>
          <w:szCs w:val="24"/>
        </w:rPr>
      </w:pPr>
    </w:p>
    <w:p w:rsidR="005D0191" w:rsidRDefault="001B4B21" w:rsidP="001B4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implications of all this for </w:t>
      </w:r>
      <w:r w:rsidR="00FE6D32">
        <w:rPr>
          <w:rFonts w:ascii="Times New Roman" w:hAnsi="Times New Roman" w:cs="Times New Roman"/>
          <w:sz w:val="24"/>
          <w:szCs w:val="24"/>
        </w:rPr>
        <w:t xml:space="preserve">the AER’s process is </w:t>
      </w:r>
      <w:r>
        <w:rPr>
          <w:rFonts w:ascii="Times New Roman" w:hAnsi="Times New Roman" w:cs="Times New Roman"/>
          <w:sz w:val="24"/>
          <w:szCs w:val="24"/>
        </w:rPr>
        <w:t xml:space="preserve">clear.  </w:t>
      </w:r>
      <w:r w:rsidR="0051019D">
        <w:rPr>
          <w:rFonts w:ascii="Times New Roman" w:hAnsi="Times New Roman" w:cs="Times New Roman"/>
          <w:sz w:val="24"/>
          <w:szCs w:val="24"/>
        </w:rPr>
        <w:t xml:space="preserve">Amongst the energy network businesses that the AER regulates, if </w:t>
      </w:r>
      <w:r w:rsidR="00ED0C60">
        <w:rPr>
          <w:rFonts w:ascii="Times New Roman" w:hAnsi="Times New Roman" w:cs="Times New Roman"/>
          <w:sz w:val="24"/>
          <w:szCs w:val="24"/>
        </w:rPr>
        <w:t xml:space="preserve">the </w:t>
      </w:r>
      <w:r>
        <w:rPr>
          <w:rFonts w:ascii="Times New Roman" w:hAnsi="Times New Roman" w:cs="Times New Roman"/>
          <w:sz w:val="24"/>
          <w:szCs w:val="24"/>
        </w:rPr>
        <w:t>liquidity</w:t>
      </w:r>
      <w:r w:rsidR="00ED0C60">
        <w:rPr>
          <w:rFonts w:ascii="Times New Roman" w:hAnsi="Times New Roman" w:cs="Times New Roman"/>
          <w:sz w:val="24"/>
          <w:szCs w:val="24"/>
        </w:rPr>
        <w:t xml:space="preserve"> of their bonds</w:t>
      </w:r>
      <w:r>
        <w:rPr>
          <w:rFonts w:ascii="Times New Roman" w:hAnsi="Times New Roman" w:cs="Times New Roman"/>
          <w:sz w:val="24"/>
          <w:szCs w:val="24"/>
        </w:rPr>
        <w:t xml:space="preserve">, incidence of call options, </w:t>
      </w:r>
      <w:r w:rsidR="0051019D">
        <w:rPr>
          <w:rFonts w:ascii="Times New Roman" w:hAnsi="Times New Roman" w:cs="Times New Roman"/>
          <w:sz w:val="24"/>
          <w:szCs w:val="24"/>
        </w:rPr>
        <w:t xml:space="preserve">incidence of conversion options, </w:t>
      </w:r>
      <w:r>
        <w:rPr>
          <w:rFonts w:ascii="Times New Roman" w:hAnsi="Times New Roman" w:cs="Times New Roman"/>
          <w:sz w:val="24"/>
          <w:szCs w:val="24"/>
        </w:rPr>
        <w:t xml:space="preserve">or expected </w:t>
      </w:r>
      <w:r w:rsidR="00CE4B1C">
        <w:rPr>
          <w:rFonts w:ascii="Times New Roman" w:hAnsi="Times New Roman" w:cs="Times New Roman"/>
          <w:sz w:val="24"/>
          <w:szCs w:val="24"/>
        </w:rPr>
        <w:t xml:space="preserve">loss </w:t>
      </w:r>
      <w:r>
        <w:rPr>
          <w:rFonts w:ascii="Times New Roman" w:hAnsi="Times New Roman" w:cs="Times New Roman"/>
          <w:sz w:val="24"/>
          <w:szCs w:val="24"/>
        </w:rPr>
        <w:t xml:space="preserve">rates </w:t>
      </w:r>
      <w:r w:rsidR="005D0191">
        <w:rPr>
          <w:rFonts w:ascii="Times New Roman" w:hAnsi="Times New Roman" w:cs="Times New Roman"/>
          <w:sz w:val="24"/>
          <w:szCs w:val="24"/>
        </w:rPr>
        <w:t xml:space="preserve">in the event of default </w:t>
      </w:r>
      <w:r>
        <w:rPr>
          <w:rFonts w:ascii="Times New Roman" w:hAnsi="Times New Roman" w:cs="Times New Roman"/>
          <w:sz w:val="24"/>
          <w:szCs w:val="24"/>
        </w:rPr>
        <w:t xml:space="preserve">are not typical of </w:t>
      </w:r>
      <w:r w:rsidR="00AE0A96">
        <w:rPr>
          <w:rFonts w:ascii="Times New Roman" w:hAnsi="Times New Roman" w:cs="Times New Roman"/>
          <w:sz w:val="24"/>
          <w:szCs w:val="24"/>
        </w:rPr>
        <w:t xml:space="preserve">bonds within the BVAL and RBA samples </w:t>
      </w:r>
      <w:r>
        <w:rPr>
          <w:rFonts w:ascii="Times New Roman" w:hAnsi="Times New Roman" w:cs="Times New Roman"/>
          <w:sz w:val="24"/>
          <w:szCs w:val="24"/>
        </w:rPr>
        <w:t xml:space="preserve">with the same credit ratings, their </w:t>
      </w:r>
      <w:r w:rsidR="00424A5E">
        <w:rPr>
          <w:rFonts w:ascii="Times New Roman" w:hAnsi="Times New Roman" w:cs="Times New Roman"/>
          <w:sz w:val="24"/>
          <w:szCs w:val="24"/>
        </w:rPr>
        <w:t xml:space="preserve">cost of debt will </w:t>
      </w:r>
      <w:r>
        <w:rPr>
          <w:rFonts w:ascii="Times New Roman" w:hAnsi="Times New Roman" w:cs="Times New Roman"/>
          <w:sz w:val="24"/>
          <w:szCs w:val="24"/>
        </w:rPr>
        <w:t xml:space="preserve">diverge from that of </w:t>
      </w:r>
      <w:r w:rsidR="002D462A">
        <w:rPr>
          <w:rFonts w:ascii="Times New Roman" w:hAnsi="Times New Roman" w:cs="Times New Roman"/>
          <w:sz w:val="24"/>
          <w:szCs w:val="24"/>
        </w:rPr>
        <w:t xml:space="preserve">these </w:t>
      </w:r>
      <w:r w:rsidR="00DE123D">
        <w:rPr>
          <w:rFonts w:ascii="Times New Roman" w:hAnsi="Times New Roman" w:cs="Times New Roman"/>
          <w:sz w:val="24"/>
          <w:szCs w:val="24"/>
        </w:rPr>
        <w:t xml:space="preserve">comparator </w:t>
      </w:r>
      <w:r w:rsidR="002D462A">
        <w:rPr>
          <w:rFonts w:ascii="Times New Roman" w:hAnsi="Times New Roman" w:cs="Times New Roman"/>
          <w:sz w:val="24"/>
          <w:szCs w:val="24"/>
        </w:rPr>
        <w:t xml:space="preserve">bonds with the </w:t>
      </w:r>
      <w:r>
        <w:rPr>
          <w:rFonts w:ascii="Times New Roman" w:hAnsi="Times New Roman" w:cs="Times New Roman"/>
          <w:sz w:val="24"/>
          <w:szCs w:val="24"/>
        </w:rPr>
        <w:t xml:space="preserve">same credit rating.  </w:t>
      </w:r>
      <w:r w:rsidR="0051019D">
        <w:rPr>
          <w:rFonts w:ascii="Times New Roman" w:hAnsi="Times New Roman" w:cs="Times New Roman"/>
          <w:sz w:val="24"/>
          <w:szCs w:val="24"/>
        </w:rPr>
        <w:t xml:space="preserve">Consequently, an allowed cost of debt </w:t>
      </w:r>
      <w:r w:rsidR="00DE123D">
        <w:rPr>
          <w:rFonts w:ascii="Times New Roman" w:hAnsi="Times New Roman" w:cs="Times New Roman"/>
          <w:sz w:val="24"/>
          <w:szCs w:val="24"/>
        </w:rPr>
        <w:t xml:space="preserve">for these energy network businesses </w:t>
      </w:r>
      <w:r w:rsidR="0051019D">
        <w:rPr>
          <w:rFonts w:ascii="Times New Roman" w:hAnsi="Times New Roman" w:cs="Times New Roman"/>
          <w:sz w:val="24"/>
          <w:szCs w:val="24"/>
        </w:rPr>
        <w:t xml:space="preserve">that is based upon the average cost of debt of a </w:t>
      </w:r>
      <w:r w:rsidR="00DE123D">
        <w:rPr>
          <w:rFonts w:ascii="Times New Roman" w:hAnsi="Times New Roman" w:cs="Times New Roman"/>
          <w:sz w:val="24"/>
          <w:szCs w:val="24"/>
        </w:rPr>
        <w:t xml:space="preserve">comparator </w:t>
      </w:r>
      <w:r w:rsidR="0051019D">
        <w:rPr>
          <w:rFonts w:ascii="Times New Roman" w:hAnsi="Times New Roman" w:cs="Times New Roman"/>
          <w:sz w:val="24"/>
          <w:szCs w:val="24"/>
        </w:rPr>
        <w:t xml:space="preserve">group of </w:t>
      </w:r>
      <w:r w:rsidR="00DE123D">
        <w:rPr>
          <w:rFonts w:ascii="Times New Roman" w:hAnsi="Times New Roman" w:cs="Times New Roman"/>
          <w:sz w:val="24"/>
          <w:szCs w:val="24"/>
        </w:rPr>
        <w:t>bonds</w:t>
      </w:r>
      <w:r w:rsidR="0051019D">
        <w:rPr>
          <w:rFonts w:ascii="Times New Roman" w:hAnsi="Times New Roman" w:cs="Times New Roman"/>
          <w:sz w:val="24"/>
          <w:szCs w:val="24"/>
        </w:rPr>
        <w:t xml:space="preserve"> will be biased.  </w:t>
      </w:r>
      <w:r w:rsidR="00AE0A96" w:rsidRPr="00963341">
        <w:rPr>
          <w:rFonts w:ascii="Times New Roman" w:hAnsi="Times New Roman" w:cs="Times New Roman"/>
          <w:sz w:val="24"/>
          <w:szCs w:val="24"/>
        </w:rPr>
        <w:t>Two points warrant mention.  Firstly, bonds within the RBA and (especially) BVAL sample sets have higher than normal liquidity</w:t>
      </w:r>
      <w:r w:rsidR="00B65B00">
        <w:rPr>
          <w:rFonts w:ascii="Times New Roman" w:hAnsi="Times New Roman" w:cs="Times New Roman"/>
          <w:sz w:val="24"/>
          <w:szCs w:val="24"/>
        </w:rPr>
        <w:t xml:space="preserve"> </w:t>
      </w:r>
      <w:r w:rsidR="00B65B00" w:rsidRPr="00F40B53">
        <w:rPr>
          <w:rFonts w:ascii="Times New Roman" w:hAnsi="Times New Roman" w:cs="Times New Roman"/>
          <w:sz w:val="24"/>
          <w:szCs w:val="24"/>
        </w:rPr>
        <w:t>(because liquidity is one of the selection criteria</w:t>
      </w:r>
      <w:r w:rsidR="006624DE">
        <w:rPr>
          <w:rFonts w:ascii="Times New Roman" w:hAnsi="Times New Roman" w:cs="Times New Roman"/>
          <w:sz w:val="24"/>
          <w:szCs w:val="24"/>
        </w:rPr>
        <w:t xml:space="preserve"> in both indexes</w:t>
      </w:r>
      <w:r w:rsidR="00B65B00" w:rsidRPr="00F40B53">
        <w:rPr>
          <w:rFonts w:ascii="Times New Roman" w:hAnsi="Times New Roman" w:cs="Times New Roman"/>
          <w:sz w:val="24"/>
          <w:szCs w:val="24"/>
        </w:rPr>
        <w:t>)</w:t>
      </w:r>
      <w:r w:rsidR="00AE0A96" w:rsidRPr="00F40B53">
        <w:rPr>
          <w:rFonts w:ascii="Times New Roman" w:hAnsi="Times New Roman" w:cs="Times New Roman"/>
          <w:sz w:val="24"/>
          <w:szCs w:val="24"/>
        </w:rPr>
        <w:t>, and therefore lower than normal DRPs</w:t>
      </w:r>
      <w:r w:rsidR="00DE123D" w:rsidRPr="00F40B53">
        <w:rPr>
          <w:rFonts w:ascii="Times New Roman" w:hAnsi="Times New Roman" w:cs="Times New Roman"/>
          <w:sz w:val="24"/>
          <w:szCs w:val="24"/>
        </w:rPr>
        <w:t>, and this would exert a downward bias in estimating the cost of debt for the energy network businesses</w:t>
      </w:r>
      <w:r w:rsidR="00AE0A96" w:rsidRPr="00F40B53">
        <w:rPr>
          <w:rFonts w:ascii="Times New Roman" w:hAnsi="Times New Roman" w:cs="Times New Roman"/>
          <w:sz w:val="24"/>
          <w:szCs w:val="24"/>
        </w:rPr>
        <w:t xml:space="preserve">.  Secondly, and in relation to expected loss rates in default, defaults can </w:t>
      </w:r>
      <w:r w:rsidR="00CE4B1C" w:rsidRPr="00F40B53">
        <w:rPr>
          <w:rFonts w:ascii="Times New Roman" w:hAnsi="Times New Roman" w:cs="Times New Roman"/>
          <w:sz w:val="24"/>
          <w:szCs w:val="24"/>
        </w:rPr>
        <w:t>occur for a variety of reasons including collapse of demand for the product or service supplied</w:t>
      </w:r>
      <w:r w:rsidR="00494B1F" w:rsidRPr="00F40B53">
        <w:rPr>
          <w:rFonts w:ascii="Times New Roman" w:hAnsi="Times New Roman" w:cs="Times New Roman"/>
          <w:sz w:val="24"/>
          <w:szCs w:val="24"/>
        </w:rPr>
        <w:t xml:space="preserve"> by the entire industry</w:t>
      </w:r>
      <w:r w:rsidR="006D6695" w:rsidRPr="00F40B53">
        <w:rPr>
          <w:rFonts w:ascii="Times New Roman" w:hAnsi="Times New Roman" w:cs="Times New Roman"/>
          <w:sz w:val="24"/>
          <w:szCs w:val="24"/>
        </w:rPr>
        <w:t>,</w:t>
      </w:r>
      <w:r w:rsidR="00ED0C60" w:rsidRPr="00F40B53">
        <w:rPr>
          <w:rFonts w:ascii="Times New Roman" w:hAnsi="Times New Roman" w:cs="Times New Roman"/>
          <w:sz w:val="24"/>
          <w:szCs w:val="24"/>
        </w:rPr>
        <w:t xml:space="preserve"> or collapse in the demand for the</w:t>
      </w:r>
      <w:r w:rsidR="006D6695" w:rsidRPr="00F40B53">
        <w:rPr>
          <w:rFonts w:ascii="Times New Roman" w:hAnsi="Times New Roman" w:cs="Times New Roman"/>
          <w:sz w:val="24"/>
          <w:szCs w:val="24"/>
        </w:rPr>
        <w:t xml:space="preserve"> product or service supplied by </w:t>
      </w:r>
      <w:r w:rsidR="00ED0C60" w:rsidRPr="00F40B53">
        <w:rPr>
          <w:rFonts w:ascii="Times New Roman" w:hAnsi="Times New Roman" w:cs="Times New Roman"/>
          <w:sz w:val="24"/>
          <w:szCs w:val="24"/>
        </w:rPr>
        <w:t>the</w:t>
      </w:r>
      <w:r w:rsidR="002E7BBE" w:rsidRPr="00F40B53">
        <w:rPr>
          <w:rFonts w:ascii="Times New Roman" w:hAnsi="Times New Roman" w:cs="Times New Roman"/>
          <w:sz w:val="24"/>
          <w:szCs w:val="24"/>
        </w:rPr>
        <w:t xml:space="preserve"> particular</w:t>
      </w:r>
      <w:r w:rsidR="00ED0C60" w:rsidRPr="00963341">
        <w:rPr>
          <w:rFonts w:ascii="Times New Roman" w:hAnsi="Times New Roman" w:cs="Times New Roman"/>
          <w:sz w:val="24"/>
          <w:szCs w:val="24"/>
        </w:rPr>
        <w:t xml:space="preserve"> firm due to </w:t>
      </w:r>
      <w:r w:rsidR="00630B2C" w:rsidRPr="00963341">
        <w:rPr>
          <w:rFonts w:ascii="Times New Roman" w:hAnsi="Times New Roman" w:cs="Times New Roman"/>
          <w:sz w:val="24"/>
          <w:szCs w:val="24"/>
        </w:rPr>
        <w:t xml:space="preserve">the </w:t>
      </w:r>
      <w:r w:rsidR="00ED0C60" w:rsidRPr="00963341">
        <w:rPr>
          <w:rFonts w:ascii="Times New Roman" w:hAnsi="Times New Roman" w:cs="Times New Roman"/>
          <w:sz w:val="24"/>
          <w:szCs w:val="24"/>
        </w:rPr>
        <w:t xml:space="preserve">higher </w:t>
      </w:r>
      <w:r w:rsidR="00630B2C" w:rsidRPr="00963341">
        <w:rPr>
          <w:rFonts w:ascii="Times New Roman" w:hAnsi="Times New Roman" w:cs="Times New Roman"/>
          <w:sz w:val="24"/>
          <w:szCs w:val="24"/>
        </w:rPr>
        <w:t xml:space="preserve">output </w:t>
      </w:r>
      <w:r w:rsidR="00ED0C60" w:rsidRPr="00963341">
        <w:rPr>
          <w:rFonts w:ascii="Times New Roman" w:hAnsi="Times New Roman" w:cs="Times New Roman"/>
          <w:sz w:val="24"/>
          <w:szCs w:val="24"/>
        </w:rPr>
        <w:t xml:space="preserve">quality </w:t>
      </w:r>
      <w:r w:rsidR="00630B2C" w:rsidRPr="00963341">
        <w:rPr>
          <w:rFonts w:ascii="Times New Roman" w:hAnsi="Times New Roman" w:cs="Times New Roman"/>
          <w:sz w:val="24"/>
          <w:szCs w:val="24"/>
        </w:rPr>
        <w:t xml:space="preserve">or </w:t>
      </w:r>
      <w:r w:rsidR="006D6695" w:rsidRPr="00963341">
        <w:rPr>
          <w:rFonts w:ascii="Times New Roman" w:hAnsi="Times New Roman" w:cs="Times New Roman"/>
          <w:sz w:val="24"/>
          <w:szCs w:val="24"/>
        </w:rPr>
        <w:t xml:space="preserve">the </w:t>
      </w:r>
      <w:r w:rsidR="00ED0C60" w:rsidRPr="00963341">
        <w:rPr>
          <w:rFonts w:ascii="Times New Roman" w:hAnsi="Times New Roman" w:cs="Times New Roman"/>
          <w:sz w:val="24"/>
          <w:szCs w:val="24"/>
        </w:rPr>
        <w:t xml:space="preserve">lower costs of </w:t>
      </w:r>
      <w:r w:rsidR="006D6695" w:rsidRPr="00963341">
        <w:rPr>
          <w:rFonts w:ascii="Times New Roman" w:hAnsi="Times New Roman" w:cs="Times New Roman"/>
          <w:sz w:val="24"/>
          <w:szCs w:val="24"/>
        </w:rPr>
        <w:t xml:space="preserve">its </w:t>
      </w:r>
      <w:r w:rsidR="00ED0C60" w:rsidRPr="00963341">
        <w:rPr>
          <w:rFonts w:ascii="Times New Roman" w:hAnsi="Times New Roman" w:cs="Times New Roman"/>
          <w:sz w:val="24"/>
          <w:szCs w:val="24"/>
        </w:rPr>
        <w:t>competitors</w:t>
      </w:r>
      <w:r w:rsidR="00CE4B1C" w:rsidRPr="00963341">
        <w:rPr>
          <w:rFonts w:ascii="Times New Roman" w:hAnsi="Times New Roman" w:cs="Times New Roman"/>
          <w:sz w:val="24"/>
          <w:szCs w:val="24"/>
        </w:rPr>
        <w:t xml:space="preserve">.  </w:t>
      </w:r>
      <w:r w:rsidR="00ED0C60" w:rsidRPr="00963341">
        <w:rPr>
          <w:rFonts w:ascii="Times New Roman" w:hAnsi="Times New Roman" w:cs="Times New Roman"/>
          <w:sz w:val="24"/>
          <w:szCs w:val="24"/>
        </w:rPr>
        <w:t xml:space="preserve">In such cases, the business </w:t>
      </w:r>
      <w:r w:rsidR="00630B2C" w:rsidRPr="00963341">
        <w:rPr>
          <w:rFonts w:ascii="Times New Roman" w:hAnsi="Times New Roman" w:cs="Times New Roman"/>
          <w:sz w:val="24"/>
          <w:szCs w:val="24"/>
        </w:rPr>
        <w:t xml:space="preserve">will have no </w:t>
      </w:r>
      <w:r w:rsidR="00ED0C60" w:rsidRPr="00963341">
        <w:rPr>
          <w:rFonts w:ascii="Times New Roman" w:hAnsi="Times New Roman" w:cs="Times New Roman"/>
          <w:sz w:val="24"/>
          <w:szCs w:val="24"/>
        </w:rPr>
        <w:t xml:space="preserve">value as a going concern and the loss rate to debt holders will depend upon the liquidation value of the individual assets, which could be very low.  These scenarios are much less relevant to firms with </w:t>
      </w:r>
      <w:r w:rsidR="00CE4B1C" w:rsidRPr="00963341">
        <w:rPr>
          <w:rFonts w:ascii="Times New Roman" w:hAnsi="Times New Roman" w:cs="Times New Roman"/>
          <w:sz w:val="24"/>
          <w:szCs w:val="24"/>
        </w:rPr>
        <w:t xml:space="preserve">regulated </w:t>
      </w:r>
      <w:r w:rsidR="00287FA9" w:rsidRPr="00963341">
        <w:rPr>
          <w:rFonts w:ascii="Times New Roman" w:hAnsi="Times New Roman" w:cs="Times New Roman"/>
          <w:sz w:val="24"/>
          <w:szCs w:val="24"/>
        </w:rPr>
        <w:t xml:space="preserve">energy network </w:t>
      </w:r>
      <w:r w:rsidRPr="00963341">
        <w:rPr>
          <w:rFonts w:ascii="Times New Roman" w:hAnsi="Times New Roman" w:cs="Times New Roman"/>
          <w:sz w:val="24"/>
          <w:szCs w:val="24"/>
        </w:rPr>
        <w:t>businesses</w:t>
      </w:r>
      <w:r w:rsidR="00ED0C60" w:rsidRPr="00963341">
        <w:rPr>
          <w:rFonts w:ascii="Times New Roman" w:hAnsi="Times New Roman" w:cs="Times New Roman"/>
          <w:sz w:val="24"/>
          <w:szCs w:val="24"/>
        </w:rPr>
        <w:t xml:space="preserve">; in the event of them defaulting on their debt obligations, the </w:t>
      </w:r>
      <w:r w:rsidR="004D0A74" w:rsidRPr="00963341">
        <w:rPr>
          <w:rFonts w:ascii="Times New Roman" w:hAnsi="Times New Roman" w:cs="Times New Roman"/>
          <w:sz w:val="24"/>
          <w:szCs w:val="24"/>
        </w:rPr>
        <w:t>regulated</w:t>
      </w:r>
      <w:r w:rsidR="00CE4B1C" w:rsidRPr="00963341">
        <w:rPr>
          <w:rFonts w:ascii="Times New Roman" w:hAnsi="Times New Roman" w:cs="Times New Roman"/>
          <w:sz w:val="24"/>
          <w:szCs w:val="24"/>
        </w:rPr>
        <w:t xml:space="preserve"> businesses </w:t>
      </w:r>
      <w:r w:rsidR="00630B2C" w:rsidRPr="00963341">
        <w:rPr>
          <w:rFonts w:ascii="Times New Roman" w:hAnsi="Times New Roman" w:cs="Times New Roman"/>
          <w:sz w:val="24"/>
          <w:szCs w:val="24"/>
        </w:rPr>
        <w:t xml:space="preserve">are </w:t>
      </w:r>
      <w:r w:rsidR="00ED0C60" w:rsidRPr="00963341">
        <w:rPr>
          <w:rFonts w:ascii="Times New Roman" w:hAnsi="Times New Roman" w:cs="Times New Roman"/>
          <w:sz w:val="24"/>
          <w:szCs w:val="24"/>
        </w:rPr>
        <w:t xml:space="preserve">still </w:t>
      </w:r>
      <w:r w:rsidR="006D6695" w:rsidRPr="00963341">
        <w:rPr>
          <w:rFonts w:ascii="Times New Roman" w:hAnsi="Times New Roman" w:cs="Times New Roman"/>
          <w:sz w:val="24"/>
          <w:szCs w:val="24"/>
        </w:rPr>
        <w:t xml:space="preserve">likely </w:t>
      </w:r>
      <w:r w:rsidR="00630B2C" w:rsidRPr="00963341">
        <w:rPr>
          <w:rFonts w:ascii="Times New Roman" w:hAnsi="Times New Roman" w:cs="Times New Roman"/>
          <w:sz w:val="24"/>
          <w:szCs w:val="24"/>
        </w:rPr>
        <w:t xml:space="preserve">to be </w:t>
      </w:r>
      <w:r w:rsidR="00ED0C60" w:rsidRPr="00963341">
        <w:rPr>
          <w:rFonts w:ascii="Times New Roman" w:hAnsi="Times New Roman" w:cs="Times New Roman"/>
          <w:sz w:val="24"/>
          <w:szCs w:val="24"/>
        </w:rPr>
        <w:t xml:space="preserve">viable and </w:t>
      </w:r>
      <w:r w:rsidR="00630B2C" w:rsidRPr="00963341">
        <w:rPr>
          <w:rFonts w:ascii="Times New Roman" w:hAnsi="Times New Roman" w:cs="Times New Roman"/>
          <w:sz w:val="24"/>
          <w:szCs w:val="24"/>
        </w:rPr>
        <w:t xml:space="preserve">their </w:t>
      </w:r>
      <w:r w:rsidR="006D6695" w:rsidRPr="00963341">
        <w:rPr>
          <w:rFonts w:ascii="Times New Roman" w:hAnsi="Times New Roman" w:cs="Times New Roman"/>
          <w:sz w:val="24"/>
          <w:szCs w:val="24"/>
        </w:rPr>
        <w:t xml:space="preserve">value as a going concern undiminished.  Consequently, </w:t>
      </w:r>
      <w:r w:rsidR="004D0A74" w:rsidRPr="00963341">
        <w:rPr>
          <w:rFonts w:ascii="Times New Roman" w:hAnsi="Times New Roman" w:cs="Times New Roman"/>
          <w:sz w:val="24"/>
          <w:szCs w:val="24"/>
        </w:rPr>
        <w:t xml:space="preserve">the firm’s bond holders would </w:t>
      </w:r>
      <w:r w:rsidR="005D0191" w:rsidRPr="00963341">
        <w:rPr>
          <w:rFonts w:ascii="Times New Roman" w:hAnsi="Times New Roman" w:cs="Times New Roman"/>
          <w:sz w:val="24"/>
          <w:szCs w:val="24"/>
        </w:rPr>
        <w:t xml:space="preserve">be </w:t>
      </w:r>
      <w:r w:rsidR="004D0A74" w:rsidRPr="00963341">
        <w:rPr>
          <w:rFonts w:ascii="Times New Roman" w:hAnsi="Times New Roman" w:cs="Times New Roman"/>
          <w:sz w:val="24"/>
          <w:szCs w:val="24"/>
        </w:rPr>
        <w:t xml:space="preserve">likely to </w:t>
      </w:r>
      <w:r w:rsidR="005D0191" w:rsidRPr="00963341">
        <w:rPr>
          <w:rFonts w:ascii="Times New Roman" w:hAnsi="Times New Roman" w:cs="Times New Roman"/>
          <w:sz w:val="24"/>
          <w:szCs w:val="24"/>
        </w:rPr>
        <w:t xml:space="preserve">experience </w:t>
      </w:r>
      <w:r w:rsidR="00CE4B1C" w:rsidRPr="00963341">
        <w:rPr>
          <w:rFonts w:ascii="Times New Roman" w:hAnsi="Times New Roman" w:cs="Times New Roman"/>
          <w:sz w:val="24"/>
          <w:szCs w:val="24"/>
        </w:rPr>
        <w:t xml:space="preserve">lower than </w:t>
      </w:r>
      <w:r w:rsidRPr="00963341">
        <w:rPr>
          <w:rFonts w:ascii="Times New Roman" w:hAnsi="Times New Roman" w:cs="Times New Roman"/>
          <w:sz w:val="24"/>
          <w:szCs w:val="24"/>
        </w:rPr>
        <w:t xml:space="preserve">normal expected </w:t>
      </w:r>
      <w:r w:rsidR="00CE4B1C" w:rsidRPr="00963341">
        <w:rPr>
          <w:rFonts w:ascii="Times New Roman" w:hAnsi="Times New Roman" w:cs="Times New Roman"/>
          <w:sz w:val="24"/>
          <w:szCs w:val="24"/>
        </w:rPr>
        <w:t xml:space="preserve">loss </w:t>
      </w:r>
      <w:r w:rsidRPr="00963341">
        <w:rPr>
          <w:rFonts w:ascii="Times New Roman" w:hAnsi="Times New Roman" w:cs="Times New Roman"/>
          <w:sz w:val="24"/>
          <w:szCs w:val="24"/>
        </w:rPr>
        <w:t xml:space="preserve">rates </w:t>
      </w:r>
      <w:r w:rsidR="00693094" w:rsidRPr="00963341">
        <w:rPr>
          <w:rFonts w:ascii="Times New Roman" w:hAnsi="Times New Roman" w:cs="Times New Roman"/>
          <w:sz w:val="24"/>
          <w:szCs w:val="24"/>
        </w:rPr>
        <w:t>in the event of a default</w:t>
      </w:r>
      <w:r w:rsidRPr="00963341">
        <w:rPr>
          <w:rFonts w:ascii="Times New Roman" w:hAnsi="Times New Roman" w:cs="Times New Roman"/>
          <w:sz w:val="24"/>
          <w:szCs w:val="24"/>
        </w:rPr>
        <w:t xml:space="preserve">.  </w:t>
      </w:r>
      <w:r w:rsidR="00D014C8" w:rsidRPr="00963341">
        <w:rPr>
          <w:rFonts w:ascii="Times New Roman" w:hAnsi="Times New Roman" w:cs="Times New Roman"/>
          <w:sz w:val="24"/>
          <w:szCs w:val="24"/>
        </w:rPr>
        <w:t>Consistent with this, PwC (2013, pp. 11-12) find that the yields on the ten-year BBB bonds of US utilities are 0.34% less on average than for BBB bonds in general over the period since 1991.</w:t>
      </w:r>
      <w:r w:rsidR="00D014C8">
        <w:rPr>
          <w:rFonts w:ascii="Times New Roman" w:hAnsi="Times New Roman" w:cs="Times New Roman"/>
          <w:sz w:val="24"/>
          <w:szCs w:val="24"/>
        </w:rPr>
        <w:t xml:space="preserve">  </w:t>
      </w:r>
    </w:p>
    <w:p w:rsidR="005D0191" w:rsidRDefault="005D0191" w:rsidP="001B4B21">
      <w:pPr>
        <w:spacing w:after="0" w:line="360" w:lineRule="auto"/>
        <w:jc w:val="both"/>
        <w:rPr>
          <w:rFonts w:ascii="Times New Roman" w:hAnsi="Times New Roman" w:cs="Times New Roman"/>
          <w:sz w:val="24"/>
          <w:szCs w:val="24"/>
        </w:rPr>
      </w:pPr>
    </w:p>
    <w:p w:rsidR="004D0A74" w:rsidRDefault="00693094" w:rsidP="001B4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5D0191">
        <w:rPr>
          <w:rFonts w:ascii="Times New Roman" w:hAnsi="Times New Roman" w:cs="Times New Roman"/>
          <w:sz w:val="24"/>
          <w:szCs w:val="24"/>
        </w:rPr>
        <w:t xml:space="preserve">explore this issue further, </w:t>
      </w:r>
      <w:r>
        <w:rPr>
          <w:rFonts w:ascii="Times New Roman" w:hAnsi="Times New Roman" w:cs="Times New Roman"/>
          <w:sz w:val="24"/>
          <w:szCs w:val="24"/>
        </w:rPr>
        <w:t xml:space="preserve">let </w:t>
      </w:r>
      <w:r w:rsidRPr="00321346">
        <w:rPr>
          <w:rFonts w:ascii="Times New Roman" w:hAnsi="Times New Roman" w:cs="Times New Roman"/>
          <w:i/>
          <w:sz w:val="24"/>
          <w:szCs w:val="24"/>
        </w:rPr>
        <w:t>p</w:t>
      </w:r>
      <w:r>
        <w:rPr>
          <w:rFonts w:ascii="Times New Roman" w:hAnsi="Times New Roman" w:cs="Times New Roman"/>
          <w:sz w:val="24"/>
          <w:szCs w:val="24"/>
        </w:rPr>
        <w:t xml:space="preserve"> denote the probability of a firm defaulting over the next </w:t>
      </w:r>
      <w:r w:rsidR="004D0A74">
        <w:rPr>
          <w:rFonts w:ascii="Times New Roman" w:hAnsi="Times New Roman" w:cs="Times New Roman"/>
          <w:sz w:val="24"/>
          <w:szCs w:val="24"/>
        </w:rPr>
        <w:t xml:space="preserve">(and final) </w:t>
      </w:r>
      <w:r>
        <w:rPr>
          <w:rFonts w:ascii="Times New Roman" w:hAnsi="Times New Roman" w:cs="Times New Roman"/>
          <w:sz w:val="24"/>
          <w:szCs w:val="24"/>
        </w:rPr>
        <w:t>year</w:t>
      </w:r>
      <w:r w:rsidR="004D0A74">
        <w:rPr>
          <w:rFonts w:ascii="Times New Roman" w:hAnsi="Times New Roman" w:cs="Times New Roman"/>
          <w:sz w:val="24"/>
          <w:szCs w:val="24"/>
        </w:rPr>
        <w:t xml:space="preserve"> of its life</w:t>
      </w:r>
      <w:r>
        <w:rPr>
          <w:rFonts w:ascii="Times New Roman" w:hAnsi="Times New Roman" w:cs="Times New Roman"/>
          <w:sz w:val="24"/>
          <w:szCs w:val="24"/>
        </w:rPr>
        <w:t xml:space="preserve">, </w:t>
      </w:r>
      <w:r w:rsidRPr="00321346">
        <w:rPr>
          <w:rFonts w:ascii="Times New Roman" w:hAnsi="Times New Roman" w:cs="Times New Roman"/>
          <w:i/>
          <w:sz w:val="24"/>
          <w:szCs w:val="24"/>
        </w:rPr>
        <w:t>L</w:t>
      </w:r>
      <w:r>
        <w:rPr>
          <w:rFonts w:ascii="Times New Roman" w:hAnsi="Times New Roman" w:cs="Times New Roman"/>
          <w:sz w:val="24"/>
          <w:szCs w:val="24"/>
        </w:rPr>
        <w:t xml:space="preserve"> the loss rate for bondholders in the event of default</w:t>
      </w:r>
      <w:r w:rsidR="004C57DC">
        <w:rPr>
          <w:rFonts w:ascii="Times New Roman" w:hAnsi="Times New Roman" w:cs="Times New Roman"/>
          <w:sz w:val="24"/>
          <w:szCs w:val="24"/>
        </w:rPr>
        <w:t xml:space="preserve">, </w:t>
      </w:r>
      <w:r w:rsidR="004C57DC" w:rsidRPr="00321346">
        <w:rPr>
          <w:rFonts w:ascii="Times New Roman" w:hAnsi="Times New Roman" w:cs="Times New Roman"/>
          <w:i/>
          <w:sz w:val="24"/>
          <w:szCs w:val="24"/>
        </w:rPr>
        <w:t>d</w:t>
      </w:r>
      <w:r w:rsidR="004C57DC">
        <w:rPr>
          <w:rFonts w:ascii="Times New Roman" w:hAnsi="Times New Roman" w:cs="Times New Roman"/>
          <w:sz w:val="24"/>
          <w:szCs w:val="24"/>
        </w:rPr>
        <w:t xml:space="preserve"> the expected rate of return, and </w:t>
      </w:r>
      <w:r w:rsidR="004C57DC" w:rsidRPr="00321346">
        <w:rPr>
          <w:rFonts w:ascii="Times New Roman" w:hAnsi="Times New Roman" w:cs="Times New Roman"/>
          <w:i/>
          <w:sz w:val="24"/>
          <w:szCs w:val="24"/>
        </w:rPr>
        <w:t>k</w:t>
      </w:r>
      <w:r w:rsidR="004C57DC">
        <w:rPr>
          <w:rFonts w:ascii="Times New Roman" w:hAnsi="Times New Roman" w:cs="Times New Roman"/>
          <w:sz w:val="24"/>
          <w:szCs w:val="24"/>
        </w:rPr>
        <w:t xml:space="preserve"> the promised </w:t>
      </w:r>
      <w:r w:rsidR="004D0A74">
        <w:rPr>
          <w:rFonts w:ascii="Times New Roman" w:hAnsi="Times New Roman" w:cs="Times New Roman"/>
          <w:sz w:val="24"/>
          <w:szCs w:val="24"/>
        </w:rPr>
        <w:t>yield to maturity</w:t>
      </w:r>
      <w:r w:rsidR="005D0191">
        <w:rPr>
          <w:rFonts w:ascii="Times New Roman" w:hAnsi="Times New Roman" w:cs="Times New Roman"/>
          <w:sz w:val="24"/>
          <w:szCs w:val="24"/>
        </w:rPr>
        <w:t xml:space="preserve">.  The </w:t>
      </w:r>
      <w:r w:rsidR="004C57DC">
        <w:rPr>
          <w:rFonts w:ascii="Times New Roman" w:hAnsi="Times New Roman" w:cs="Times New Roman"/>
          <w:sz w:val="24"/>
          <w:szCs w:val="24"/>
        </w:rPr>
        <w:t>value now of a bond per $1 of promised payoff is</w:t>
      </w:r>
      <w:r w:rsidR="004D0A74">
        <w:rPr>
          <w:rFonts w:ascii="Times New Roman" w:hAnsi="Times New Roman" w:cs="Times New Roman"/>
          <w:sz w:val="24"/>
          <w:szCs w:val="24"/>
        </w:rPr>
        <w:t xml:space="preserve"> </w:t>
      </w:r>
      <w:r w:rsidR="005D0191">
        <w:rPr>
          <w:rFonts w:ascii="Times New Roman" w:hAnsi="Times New Roman" w:cs="Times New Roman"/>
          <w:sz w:val="24"/>
          <w:szCs w:val="24"/>
        </w:rPr>
        <w:t>then as follows:</w:t>
      </w:r>
    </w:p>
    <w:p w:rsidR="005D0191" w:rsidRDefault="005D0191" w:rsidP="001B4B21">
      <w:pPr>
        <w:spacing w:after="0" w:line="360" w:lineRule="auto"/>
        <w:jc w:val="both"/>
        <w:rPr>
          <w:rFonts w:ascii="Times New Roman" w:hAnsi="Times New Roman" w:cs="Times New Roman"/>
          <w:sz w:val="24"/>
          <w:szCs w:val="24"/>
        </w:rPr>
      </w:pPr>
    </w:p>
    <w:p w:rsidR="00693094" w:rsidRDefault="004D0A74" w:rsidP="00DD74F0">
      <w:pPr>
        <w:spacing w:after="0" w:line="360" w:lineRule="auto"/>
        <w:jc w:val="center"/>
        <w:rPr>
          <w:rFonts w:ascii="Times New Roman" w:hAnsi="Times New Roman" w:cs="Times New Roman"/>
          <w:sz w:val="24"/>
          <w:szCs w:val="24"/>
        </w:rPr>
      </w:pPr>
      <w:r w:rsidRPr="004C57DC">
        <w:rPr>
          <w:rFonts w:ascii="Times New Roman" w:hAnsi="Times New Roman" w:cs="Times New Roman"/>
          <w:b/>
          <w:bCs/>
          <w:position w:val="-24"/>
          <w:sz w:val="24"/>
          <w:szCs w:val="24"/>
        </w:rPr>
        <w:object w:dxaOrig="2820" w:dyaOrig="620">
          <v:shape id="_x0000_i1046" type="#_x0000_t75" style="width:141.5pt;height:31pt" o:ole="">
            <v:imagedata r:id="rId51" o:title=""/>
          </v:shape>
          <o:OLEObject Type="Embed" ProgID="Equation.3" ShapeID="_x0000_i1046" DrawAspect="Content" ObjectID="_1478385633" r:id="rId52"/>
        </w:object>
      </w:r>
    </w:p>
    <w:p w:rsidR="004C57DC" w:rsidRDefault="004C57DC" w:rsidP="001B4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Solving this yields</w:t>
      </w:r>
    </w:p>
    <w:p w:rsidR="004C57DC" w:rsidRDefault="004D0A74" w:rsidP="004C57DC">
      <w:pPr>
        <w:spacing w:after="0" w:line="360" w:lineRule="auto"/>
        <w:jc w:val="center"/>
        <w:rPr>
          <w:rFonts w:ascii="Times New Roman" w:hAnsi="Times New Roman" w:cs="Times New Roman"/>
          <w:sz w:val="24"/>
          <w:szCs w:val="24"/>
        </w:rPr>
      </w:pPr>
      <w:r w:rsidRPr="004D0A74">
        <w:rPr>
          <w:rFonts w:ascii="Times New Roman" w:hAnsi="Times New Roman" w:cs="Times New Roman"/>
          <w:b/>
          <w:bCs/>
          <w:position w:val="-28"/>
          <w:sz w:val="24"/>
          <w:szCs w:val="24"/>
        </w:rPr>
        <w:object w:dxaOrig="1060" w:dyaOrig="660">
          <v:shape id="_x0000_i1047" type="#_x0000_t75" style="width:53.6pt;height:32.65pt" o:ole="">
            <v:imagedata r:id="rId53" o:title=""/>
          </v:shape>
          <o:OLEObject Type="Embed" ProgID="Equation.3" ShapeID="_x0000_i1047" DrawAspect="Content" ObjectID="_1478385634" r:id="rId54"/>
        </w:object>
      </w:r>
    </w:p>
    <w:p w:rsidR="004C57DC" w:rsidRDefault="004C57DC" w:rsidP="001B4B21">
      <w:pPr>
        <w:spacing w:after="0" w:line="360" w:lineRule="auto"/>
        <w:jc w:val="both"/>
        <w:rPr>
          <w:rFonts w:ascii="Times New Roman" w:hAnsi="Times New Roman" w:cs="Times New Roman"/>
          <w:sz w:val="24"/>
          <w:szCs w:val="24"/>
        </w:rPr>
      </w:pPr>
    </w:p>
    <w:p w:rsidR="004D0A74" w:rsidRDefault="004D0A74" w:rsidP="001B4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Thus, the loss rate in the event of a default is as important as the default probability in determining the promised yield on a bond, i.e., doubling the loss rate would have the same effect as d</w:t>
      </w:r>
      <w:r w:rsidR="007B1126">
        <w:rPr>
          <w:rFonts w:ascii="Times New Roman" w:hAnsi="Times New Roman" w:cs="Times New Roman"/>
          <w:sz w:val="24"/>
          <w:szCs w:val="24"/>
        </w:rPr>
        <w:t xml:space="preserve">oubling the default probability.  Thus, any feature of a firm that significantly affects </w:t>
      </w:r>
      <w:r w:rsidR="00BC6C4B">
        <w:rPr>
          <w:rFonts w:ascii="Times New Roman" w:hAnsi="Times New Roman" w:cs="Times New Roman"/>
          <w:sz w:val="24"/>
          <w:szCs w:val="24"/>
        </w:rPr>
        <w:t xml:space="preserve">the </w:t>
      </w:r>
      <w:r w:rsidR="007B1126">
        <w:rPr>
          <w:rFonts w:ascii="Times New Roman" w:hAnsi="Times New Roman" w:cs="Times New Roman"/>
          <w:sz w:val="24"/>
          <w:szCs w:val="24"/>
        </w:rPr>
        <w:t xml:space="preserve">loss rate </w:t>
      </w:r>
      <w:r w:rsidR="00BC6C4B">
        <w:rPr>
          <w:rFonts w:ascii="Times New Roman" w:hAnsi="Times New Roman" w:cs="Times New Roman"/>
          <w:sz w:val="24"/>
          <w:szCs w:val="24"/>
        </w:rPr>
        <w:t xml:space="preserve">suffered by its bond holders in the event of a default </w:t>
      </w:r>
      <w:r w:rsidR="007B1126">
        <w:rPr>
          <w:rFonts w:ascii="Times New Roman" w:hAnsi="Times New Roman" w:cs="Times New Roman"/>
          <w:sz w:val="24"/>
          <w:szCs w:val="24"/>
        </w:rPr>
        <w:t xml:space="preserve">would significantly affect </w:t>
      </w:r>
      <w:r w:rsidR="00BC6C4B">
        <w:rPr>
          <w:rFonts w:ascii="Times New Roman" w:hAnsi="Times New Roman" w:cs="Times New Roman"/>
          <w:sz w:val="24"/>
          <w:szCs w:val="24"/>
        </w:rPr>
        <w:t xml:space="preserve">that part of its cost of debt that is </w:t>
      </w:r>
      <w:r w:rsidR="007B1126">
        <w:rPr>
          <w:rFonts w:ascii="Times New Roman" w:hAnsi="Times New Roman" w:cs="Times New Roman"/>
          <w:sz w:val="24"/>
          <w:szCs w:val="24"/>
        </w:rPr>
        <w:t>compensation for expected default losses.</w:t>
      </w:r>
    </w:p>
    <w:p w:rsidR="004D0A74" w:rsidRDefault="004D0A74" w:rsidP="001B4B21">
      <w:pPr>
        <w:spacing w:after="0" w:line="360" w:lineRule="auto"/>
        <w:jc w:val="both"/>
        <w:rPr>
          <w:rFonts w:ascii="Times New Roman" w:hAnsi="Times New Roman" w:cs="Times New Roman"/>
          <w:sz w:val="24"/>
          <w:szCs w:val="24"/>
        </w:rPr>
      </w:pPr>
    </w:p>
    <w:p w:rsidR="0070206E" w:rsidRDefault="0070206E" w:rsidP="001B4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t>
      </w:r>
      <w:r w:rsidR="00AD52EC">
        <w:rPr>
          <w:rFonts w:ascii="Times New Roman" w:hAnsi="Times New Roman" w:cs="Times New Roman"/>
          <w:sz w:val="24"/>
          <w:szCs w:val="24"/>
        </w:rPr>
        <w:t xml:space="preserve">credit ratings do not fully reflect the cost of debt because they do not reflect the liquidity, </w:t>
      </w:r>
      <w:r w:rsidR="00DD74F0">
        <w:rPr>
          <w:rFonts w:ascii="Times New Roman" w:hAnsi="Times New Roman" w:cs="Times New Roman"/>
          <w:sz w:val="24"/>
          <w:szCs w:val="24"/>
        </w:rPr>
        <w:t xml:space="preserve">presence of call options, presence </w:t>
      </w:r>
      <w:r w:rsidR="00AD52EC">
        <w:rPr>
          <w:rFonts w:ascii="Times New Roman" w:hAnsi="Times New Roman" w:cs="Times New Roman"/>
          <w:sz w:val="24"/>
          <w:szCs w:val="24"/>
        </w:rPr>
        <w:t xml:space="preserve">of conversion options, </w:t>
      </w:r>
      <w:r w:rsidR="00DD74F0">
        <w:rPr>
          <w:rFonts w:ascii="Times New Roman" w:hAnsi="Times New Roman" w:cs="Times New Roman"/>
          <w:sz w:val="24"/>
          <w:szCs w:val="24"/>
        </w:rPr>
        <w:t>and</w:t>
      </w:r>
      <w:r w:rsidR="006409A9">
        <w:rPr>
          <w:rFonts w:ascii="Times New Roman" w:hAnsi="Times New Roman" w:cs="Times New Roman"/>
          <w:sz w:val="24"/>
          <w:szCs w:val="24"/>
        </w:rPr>
        <w:t xml:space="preserve"> </w:t>
      </w:r>
      <w:r w:rsidR="006409A9" w:rsidRPr="00963341">
        <w:rPr>
          <w:rFonts w:ascii="Times New Roman" w:hAnsi="Times New Roman" w:cs="Times New Roman"/>
          <w:sz w:val="24"/>
          <w:szCs w:val="24"/>
        </w:rPr>
        <w:t>(in respect of S&amp;P)</w:t>
      </w:r>
      <w:r w:rsidR="00DD74F0" w:rsidRPr="00963341">
        <w:rPr>
          <w:rFonts w:ascii="Times New Roman" w:hAnsi="Times New Roman" w:cs="Times New Roman"/>
          <w:sz w:val="24"/>
          <w:szCs w:val="24"/>
        </w:rPr>
        <w:t xml:space="preserve"> </w:t>
      </w:r>
      <w:r w:rsidR="00630B2C" w:rsidRPr="00963341">
        <w:rPr>
          <w:rFonts w:ascii="Times New Roman" w:hAnsi="Times New Roman" w:cs="Times New Roman"/>
          <w:sz w:val="24"/>
          <w:szCs w:val="24"/>
        </w:rPr>
        <w:t xml:space="preserve">expected loss rates for </w:t>
      </w:r>
      <w:r w:rsidR="00AD52EC" w:rsidRPr="00963341">
        <w:rPr>
          <w:rFonts w:ascii="Times New Roman" w:hAnsi="Times New Roman" w:cs="Times New Roman"/>
          <w:sz w:val="24"/>
          <w:szCs w:val="24"/>
        </w:rPr>
        <w:t xml:space="preserve">bonds.  Furthermore, </w:t>
      </w:r>
      <w:r w:rsidR="00DE123D" w:rsidRPr="00963341">
        <w:rPr>
          <w:rFonts w:ascii="Times New Roman" w:hAnsi="Times New Roman" w:cs="Times New Roman"/>
          <w:sz w:val="24"/>
          <w:szCs w:val="24"/>
        </w:rPr>
        <w:t xml:space="preserve">the bonds of </w:t>
      </w:r>
      <w:r w:rsidR="00100891" w:rsidRPr="00963341">
        <w:rPr>
          <w:rFonts w:ascii="Times New Roman" w:hAnsi="Times New Roman" w:cs="Times New Roman"/>
          <w:sz w:val="24"/>
          <w:szCs w:val="24"/>
        </w:rPr>
        <w:t xml:space="preserve">regulated energy network businesses </w:t>
      </w:r>
      <w:r w:rsidR="00DE123D" w:rsidRPr="00963341">
        <w:rPr>
          <w:rFonts w:ascii="Times New Roman" w:hAnsi="Times New Roman" w:cs="Times New Roman"/>
          <w:sz w:val="24"/>
          <w:szCs w:val="24"/>
        </w:rPr>
        <w:t xml:space="preserve">would </w:t>
      </w:r>
      <w:r w:rsidR="00100891" w:rsidRPr="00963341">
        <w:rPr>
          <w:rFonts w:ascii="Times New Roman" w:hAnsi="Times New Roman" w:cs="Times New Roman"/>
          <w:sz w:val="24"/>
          <w:szCs w:val="24"/>
        </w:rPr>
        <w:t>have</w:t>
      </w:r>
      <w:r w:rsidR="00DE123D" w:rsidRPr="00963341">
        <w:rPr>
          <w:rFonts w:ascii="Times New Roman" w:hAnsi="Times New Roman" w:cs="Times New Roman"/>
          <w:sz w:val="24"/>
          <w:szCs w:val="24"/>
        </w:rPr>
        <w:t xml:space="preserve"> lower </w:t>
      </w:r>
      <w:r w:rsidR="00FD2CD8" w:rsidRPr="00963341">
        <w:rPr>
          <w:rFonts w:ascii="Times New Roman" w:hAnsi="Times New Roman" w:cs="Times New Roman"/>
          <w:sz w:val="24"/>
          <w:szCs w:val="24"/>
        </w:rPr>
        <w:t xml:space="preserve">average </w:t>
      </w:r>
      <w:r w:rsidR="00DE123D" w:rsidRPr="00963341">
        <w:rPr>
          <w:rFonts w:ascii="Times New Roman" w:hAnsi="Times New Roman" w:cs="Times New Roman"/>
          <w:sz w:val="24"/>
          <w:szCs w:val="24"/>
        </w:rPr>
        <w:t>liquidity than the bonds in the BVAL and RBA sets, and are also likely to have</w:t>
      </w:r>
      <w:r w:rsidR="00100891" w:rsidRPr="00963341">
        <w:rPr>
          <w:rFonts w:ascii="Times New Roman" w:hAnsi="Times New Roman" w:cs="Times New Roman"/>
          <w:sz w:val="24"/>
          <w:szCs w:val="24"/>
        </w:rPr>
        <w:t xml:space="preserve"> </w:t>
      </w:r>
      <w:r w:rsidR="00693094" w:rsidRPr="00963341">
        <w:rPr>
          <w:rFonts w:ascii="Times New Roman" w:hAnsi="Times New Roman" w:cs="Times New Roman"/>
          <w:sz w:val="24"/>
          <w:szCs w:val="24"/>
        </w:rPr>
        <w:t>lower</w:t>
      </w:r>
      <w:r w:rsidR="00100891" w:rsidRPr="00963341">
        <w:rPr>
          <w:rFonts w:ascii="Times New Roman" w:hAnsi="Times New Roman" w:cs="Times New Roman"/>
          <w:sz w:val="24"/>
          <w:szCs w:val="24"/>
        </w:rPr>
        <w:t xml:space="preserve"> than normal expected </w:t>
      </w:r>
      <w:r w:rsidR="00693094" w:rsidRPr="00963341">
        <w:rPr>
          <w:rFonts w:ascii="Times New Roman" w:hAnsi="Times New Roman" w:cs="Times New Roman"/>
          <w:sz w:val="24"/>
          <w:szCs w:val="24"/>
        </w:rPr>
        <w:t xml:space="preserve">loss </w:t>
      </w:r>
      <w:r w:rsidR="00100891" w:rsidRPr="00963341">
        <w:rPr>
          <w:rFonts w:ascii="Times New Roman" w:hAnsi="Times New Roman" w:cs="Times New Roman"/>
          <w:sz w:val="24"/>
          <w:szCs w:val="24"/>
        </w:rPr>
        <w:t xml:space="preserve">rates </w:t>
      </w:r>
      <w:r w:rsidR="00BC6C4B" w:rsidRPr="00963341">
        <w:rPr>
          <w:rFonts w:ascii="Times New Roman" w:hAnsi="Times New Roman" w:cs="Times New Roman"/>
          <w:sz w:val="24"/>
          <w:szCs w:val="24"/>
        </w:rPr>
        <w:t xml:space="preserve">for bondholders </w:t>
      </w:r>
      <w:r w:rsidR="00100891" w:rsidRPr="00963341">
        <w:rPr>
          <w:rFonts w:ascii="Times New Roman" w:hAnsi="Times New Roman" w:cs="Times New Roman"/>
          <w:sz w:val="24"/>
          <w:szCs w:val="24"/>
        </w:rPr>
        <w:t>in the event of default</w:t>
      </w:r>
      <w:r w:rsidR="007B1126" w:rsidRPr="00963341">
        <w:rPr>
          <w:rFonts w:ascii="Times New Roman" w:hAnsi="Times New Roman" w:cs="Times New Roman"/>
          <w:sz w:val="24"/>
          <w:szCs w:val="24"/>
        </w:rPr>
        <w:t xml:space="preserve">.  </w:t>
      </w:r>
      <w:r w:rsidR="00DE123D" w:rsidRPr="00963341">
        <w:rPr>
          <w:rFonts w:ascii="Times New Roman" w:hAnsi="Times New Roman" w:cs="Times New Roman"/>
          <w:sz w:val="24"/>
          <w:szCs w:val="24"/>
        </w:rPr>
        <w:t xml:space="preserve">The first point would lead to the </w:t>
      </w:r>
      <w:r w:rsidR="00100891" w:rsidRPr="00963341">
        <w:rPr>
          <w:rFonts w:ascii="Times New Roman" w:hAnsi="Times New Roman" w:cs="Times New Roman"/>
          <w:sz w:val="24"/>
          <w:szCs w:val="24"/>
        </w:rPr>
        <w:t xml:space="preserve">BVAL or RBA </w:t>
      </w:r>
      <w:r w:rsidR="007B1126" w:rsidRPr="00963341">
        <w:rPr>
          <w:rFonts w:ascii="Times New Roman" w:hAnsi="Times New Roman" w:cs="Times New Roman"/>
          <w:sz w:val="24"/>
          <w:szCs w:val="24"/>
        </w:rPr>
        <w:t xml:space="preserve">indexes </w:t>
      </w:r>
      <w:r w:rsidR="00DE123D" w:rsidRPr="00963341">
        <w:rPr>
          <w:rFonts w:ascii="Times New Roman" w:hAnsi="Times New Roman" w:cs="Times New Roman"/>
          <w:sz w:val="24"/>
          <w:szCs w:val="24"/>
        </w:rPr>
        <w:t xml:space="preserve">underestimating </w:t>
      </w:r>
      <w:r w:rsidR="00BC6C4B" w:rsidRPr="00963341">
        <w:rPr>
          <w:rFonts w:ascii="Times New Roman" w:hAnsi="Times New Roman" w:cs="Times New Roman"/>
          <w:sz w:val="24"/>
          <w:szCs w:val="24"/>
        </w:rPr>
        <w:t xml:space="preserve">the </w:t>
      </w:r>
      <w:r w:rsidR="00100891" w:rsidRPr="00963341">
        <w:rPr>
          <w:rFonts w:ascii="Times New Roman" w:hAnsi="Times New Roman" w:cs="Times New Roman"/>
          <w:sz w:val="24"/>
          <w:szCs w:val="24"/>
        </w:rPr>
        <w:t xml:space="preserve">cost of debt for </w:t>
      </w:r>
      <w:r w:rsidR="00837759" w:rsidRPr="00963341">
        <w:rPr>
          <w:rFonts w:ascii="Times New Roman" w:hAnsi="Times New Roman" w:cs="Times New Roman"/>
          <w:sz w:val="24"/>
          <w:szCs w:val="24"/>
        </w:rPr>
        <w:t xml:space="preserve">regulated energy network businesses with </w:t>
      </w:r>
      <w:r w:rsidR="00DE123D" w:rsidRPr="00963341">
        <w:rPr>
          <w:rFonts w:ascii="Times New Roman" w:hAnsi="Times New Roman" w:cs="Times New Roman"/>
          <w:sz w:val="24"/>
          <w:szCs w:val="24"/>
        </w:rPr>
        <w:t xml:space="preserve">the same </w:t>
      </w:r>
      <w:r w:rsidR="00837759" w:rsidRPr="00963341">
        <w:rPr>
          <w:rFonts w:ascii="Times New Roman" w:hAnsi="Times New Roman" w:cs="Times New Roman"/>
          <w:sz w:val="24"/>
          <w:szCs w:val="24"/>
        </w:rPr>
        <w:t>credit ratings</w:t>
      </w:r>
      <w:r w:rsidR="00DE123D" w:rsidRPr="00963341">
        <w:rPr>
          <w:rFonts w:ascii="Times New Roman" w:hAnsi="Times New Roman" w:cs="Times New Roman"/>
          <w:sz w:val="24"/>
          <w:szCs w:val="24"/>
        </w:rPr>
        <w:t xml:space="preserve"> whilst the second point would lead to an overestimate.  The net effect of these two points is not known.</w:t>
      </w:r>
      <w:r w:rsidR="00100891">
        <w:rPr>
          <w:rFonts w:ascii="Times New Roman" w:hAnsi="Times New Roman" w:cs="Times New Roman"/>
          <w:sz w:val="24"/>
          <w:szCs w:val="24"/>
        </w:rPr>
        <w:t xml:space="preserve"> </w:t>
      </w:r>
      <w:r w:rsidR="0009700E">
        <w:rPr>
          <w:rFonts w:ascii="Times New Roman" w:hAnsi="Times New Roman" w:cs="Times New Roman"/>
          <w:sz w:val="24"/>
          <w:szCs w:val="24"/>
        </w:rPr>
        <w:t xml:space="preserve"> </w:t>
      </w:r>
    </w:p>
    <w:p w:rsidR="0070206E" w:rsidRDefault="0070206E" w:rsidP="001B4B21">
      <w:pPr>
        <w:spacing w:after="0" w:line="360" w:lineRule="auto"/>
        <w:jc w:val="both"/>
        <w:rPr>
          <w:rFonts w:ascii="Times New Roman" w:hAnsi="Times New Roman" w:cs="Times New Roman"/>
          <w:sz w:val="24"/>
          <w:szCs w:val="24"/>
        </w:rPr>
      </w:pPr>
    </w:p>
    <w:p w:rsidR="0070206E" w:rsidRPr="0070206E" w:rsidRDefault="0070206E" w:rsidP="001B4B2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4.3 Application of the RBA/BVAL BBB Indexes to Regulated </w:t>
      </w:r>
      <w:r w:rsidR="00C0172B">
        <w:rPr>
          <w:rFonts w:ascii="Times New Roman" w:hAnsi="Times New Roman" w:cs="Times New Roman"/>
          <w:i/>
          <w:sz w:val="24"/>
          <w:szCs w:val="24"/>
        </w:rPr>
        <w:t>NSPs</w:t>
      </w:r>
    </w:p>
    <w:p w:rsidR="0070206E" w:rsidRPr="00963341" w:rsidRDefault="0070206E" w:rsidP="001B4B21">
      <w:pPr>
        <w:spacing w:after="0" w:line="360" w:lineRule="auto"/>
        <w:jc w:val="both"/>
        <w:rPr>
          <w:rFonts w:ascii="Times New Roman" w:hAnsi="Times New Roman" w:cs="Times New Roman"/>
          <w:sz w:val="24"/>
          <w:szCs w:val="24"/>
        </w:rPr>
      </w:pPr>
      <w:r w:rsidRPr="00963341">
        <w:rPr>
          <w:rFonts w:ascii="Times New Roman" w:hAnsi="Times New Roman" w:cs="Times New Roman"/>
          <w:sz w:val="24"/>
          <w:szCs w:val="24"/>
        </w:rPr>
        <w:t xml:space="preserve">Section 4.1 argues that the appropriate credit rating for regulated </w:t>
      </w:r>
      <w:r w:rsidR="00837759" w:rsidRPr="00963341">
        <w:rPr>
          <w:rFonts w:ascii="Times New Roman" w:hAnsi="Times New Roman" w:cs="Times New Roman"/>
          <w:sz w:val="24"/>
          <w:szCs w:val="24"/>
        </w:rPr>
        <w:t>energy network</w:t>
      </w:r>
      <w:r w:rsidRPr="00963341">
        <w:rPr>
          <w:rFonts w:ascii="Times New Roman" w:hAnsi="Times New Roman" w:cs="Times New Roman"/>
          <w:sz w:val="24"/>
          <w:szCs w:val="24"/>
        </w:rPr>
        <w:t xml:space="preserve"> businesses is BBB </w:t>
      </w:r>
      <w:r w:rsidR="00837759" w:rsidRPr="00963341">
        <w:rPr>
          <w:rFonts w:ascii="Times New Roman" w:hAnsi="Times New Roman" w:cs="Times New Roman"/>
          <w:sz w:val="24"/>
          <w:szCs w:val="24"/>
        </w:rPr>
        <w:t>to BBB+, both at the present time and over the next five years</w:t>
      </w:r>
      <w:r w:rsidRPr="00963341">
        <w:rPr>
          <w:rFonts w:ascii="Times New Roman" w:hAnsi="Times New Roman" w:cs="Times New Roman"/>
          <w:sz w:val="24"/>
          <w:szCs w:val="24"/>
        </w:rPr>
        <w:t xml:space="preserve">.  </w:t>
      </w:r>
      <w:r w:rsidR="00732DFD" w:rsidRPr="00963341">
        <w:rPr>
          <w:rFonts w:ascii="Times New Roman" w:hAnsi="Times New Roman" w:cs="Times New Roman"/>
          <w:sz w:val="24"/>
          <w:szCs w:val="24"/>
        </w:rPr>
        <w:t xml:space="preserve">In addition, section 4.2 argues the bonds of regulated energy network businesses would have lower </w:t>
      </w:r>
      <w:r w:rsidR="00FD2CD8" w:rsidRPr="00963341">
        <w:rPr>
          <w:rFonts w:ascii="Times New Roman" w:hAnsi="Times New Roman" w:cs="Times New Roman"/>
          <w:sz w:val="24"/>
          <w:szCs w:val="24"/>
        </w:rPr>
        <w:t xml:space="preserve">average </w:t>
      </w:r>
      <w:r w:rsidR="00732DFD" w:rsidRPr="00963341">
        <w:rPr>
          <w:rFonts w:ascii="Times New Roman" w:hAnsi="Times New Roman" w:cs="Times New Roman"/>
          <w:sz w:val="24"/>
          <w:szCs w:val="24"/>
        </w:rPr>
        <w:t xml:space="preserve">liquidity than the bonds in the BVAL and RBA sets, and are also likely to have lower than normal expected loss rates for bondholders in the event of default.  The first point would lead to the BVAL or RBA indexes underestimating the cost of debt for regulated energy network businesses with the same credit ratings whilst the second point would lead to an overestimate.  </w:t>
      </w:r>
      <w:r w:rsidR="00732DFD" w:rsidRPr="00963341">
        <w:rPr>
          <w:rFonts w:ascii="Times New Roman" w:hAnsi="Times New Roman" w:cs="Times New Roman"/>
          <w:sz w:val="24"/>
          <w:szCs w:val="24"/>
        </w:rPr>
        <w:lastRenderedPageBreak/>
        <w:t>The net effect of these two points is not known</w:t>
      </w:r>
      <w:r w:rsidR="00320A9A">
        <w:rPr>
          <w:rFonts w:ascii="Times New Roman" w:hAnsi="Times New Roman" w:cs="Times New Roman"/>
          <w:sz w:val="24"/>
          <w:szCs w:val="24"/>
        </w:rPr>
        <w:t xml:space="preserve">, </w:t>
      </w:r>
      <w:r w:rsidR="00320A9A" w:rsidRPr="006624DE">
        <w:rPr>
          <w:rFonts w:ascii="Times New Roman" w:hAnsi="Times New Roman" w:cs="Times New Roman"/>
          <w:sz w:val="24"/>
          <w:szCs w:val="24"/>
        </w:rPr>
        <w:t>and therefore one would have to act as if this net effect is zero</w:t>
      </w:r>
      <w:r w:rsidR="00732DFD" w:rsidRPr="006624DE">
        <w:rPr>
          <w:rFonts w:ascii="Times New Roman" w:hAnsi="Times New Roman" w:cs="Times New Roman"/>
          <w:sz w:val="24"/>
          <w:szCs w:val="24"/>
        </w:rPr>
        <w:t xml:space="preserve">.  So, because the appropriate credit rating for regulated energy network businesses is BBB to BBB+ rather than BBB, </w:t>
      </w:r>
      <w:r w:rsidR="000719E4" w:rsidRPr="006624DE">
        <w:rPr>
          <w:rFonts w:ascii="Times New Roman" w:hAnsi="Times New Roman" w:cs="Times New Roman"/>
          <w:sz w:val="24"/>
          <w:szCs w:val="24"/>
        </w:rPr>
        <w:t xml:space="preserve">the use of the BVAL or </w:t>
      </w:r>
      <w:r w:rsidR="00100891" w:rsidRPr="006624DE">
        <w:rPr>
          <w:rFonts w:ascii="Times New Roman" w:hAnsi="Times New Roman" w:cs="Times New Roman"/>
          <w:sz w:val="24"/>
          <w:szCs w:val="24"/>
        </w:rPr>
        <w:t xml:space="preserve">RBA indexes </w:t>
      </w:r>
      <w:r w:rsidR="000719E4" w:rsidRPr="006624DE">
        <w:rPr>
          <w:rFonts w:ascii="Times New Roman" w:hAnsi="Times New Roman" w:cs="Times New Roman"/>
          <w:sz w:val="24"/>
          <w:szCs w:val="24"/>
        </w:rPr>
        <w:t xml:space="preserve">for the broad BBB group </w:t>
      </w:r>
      <w:r w:rsidR="00320A9A" w:rsidRPr="006624DE">
        <w:rPr>
          <w:rFonts w:ascii="Times New Roman" w:hAnsi="Times New Roman" w:cs="Times New Roman"/>
          <w:sz w:val="24"/>
          <w:szCs w:val="24"/>
        </w:rPr>
        <w:t>is likely to</w:t>
      </w:r>
      <w:r w:rsidR="000719E4" w:rsidRPr="00963341">
        <w:rPr>
          <w:rFonts w:ascii="Times New Roman" w:hAnsi="Times New Roman" w:cs="Times New Roman"/>
          <w:sz w:val="24"/>
          <w:szCs w:val="24"/>
        </w:rPr>
        <w:t xml:space="preserve"> overestimate the cost of debt for regulated energy network businesses.</w:t>
      </w:r>
      <w:r w:rsidR="00100891" w:rsidRPr="00963341">
        <w:rPr>
          <w:rFonts w:ascii="Times New Roman" w:hAnsi="Times New Roman" w:cs="Times New Roman"/>
          <w:sz w:val="24"/>
          <w:szCs w:val="24"/>
        </w:rPr>
        <w:t xml:space="preserve">  </w:t>
      </w:r>
    </w:p>
    <w:p w:rsidR="00206E87" w:rsidRDefault="00206E87" w:rsidP="00122250">
      <w:pPr>
        <w:pStyle w:val="ListParagraph"/>
        <w:spacing w:after="0" w:line="360" w:lineRule="auto"/>
        <w:ind w:left="0"/>
        <w:jc w:val="both"/>
        <w:rPr>
          <w:rFonts w:ascii="Times New Roman" w:hAnsi="Times New Roman" w:cs="Times New Roman"/>
          <w:sz w:val="24"/>
          <w:szCs w:val="24"/>
        </w:rPr>
      </w:pPr>
    </w:p>
    <w:p w:rsidR="001559F3" w:rsidRPr="009C5109" w:rsidRDefault="009C5109" w:rsidP="009C5109">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Bond Selection Criteria</w:t>
      </w:r>
    </w:p>
    <w:p w:rsidR="009C5109" w:rsidRDefault="009C5109" w:rsidP="00122250">
      <w:pPr>
        <w:pStyle w:val="ListParagraph"/>
        <w:spacing w:after="0" w:line="360" w:lineRule="auto"/>
        <w:ind w:left="0"/>
        <w:jc w:val="both"/>
        <w:rPr>
          <w:rFonts w:ascii="Times New Roman" w:hAnsi="Times New Roman" w:cs="Times New Roman"/>
          <w:sz w:val="24"/>
          <w:szCs w:val="24"/>
        </w:rPr>
      </w:pPr>
    </w:p>
    <w:p w:rsidR="009C5109" w:rsidRDefault="009C5109"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w:t>
      </w:r>
      <w:r w:rsidR="00DD460A">
        <w:rPr>
          <w:rFonts w:ascii="Times New Roman" w:hAnsi="Times New Roman" w:cs="Times New Roman"/>
          <w:sz w:val="24"/>
          <w:szCs w:val="24"/>
        </w:rPr>
        <w:t xml:space="preserve"> BVAL and RBA indexes use different criteria for selecting bonds.  As discussed in section 2, these are as follows:</w:t>
      </w:r>
    </w:p>
    <w:p w:rsidR="00DD460A" w:rsidRPr="00C510F1" w:rsidRDefault="00DD460A" w:rsidP="00630B2C">
      <w:pPr>
        <w:pStyle w:val="ListParagraph"/>
        <w:numPr>
          <w:ilvl w:val="0"/>
          <w:numId w:val="25"/>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The BVAL sample </w:t>
      </w:r>
      <w:r w:rsidR="00DD74F0">
        <w:rPr>
          <w:rFonts w:ascii="Times New Roman" w:hAnsi="Times New Roman" w:cs="Times New Roman"/>
          <w:sz w:val="24"/>
          <w:szCs w:val="24"/>
        </w:rPr>
        <w:t xml:space="preserve">of bonds </w:t>
      </w:r>
      <w:r>
        <w:rPr>
          <w:rFonts w:ascii="Times New Roman" w:hAnsi="Times New Roman" w:cs="Times New Roman"/>
          <w:sz w:val="24"/>
          <w:szCs w:val="24"/>
        </w:rPr>
        <w:t>is limited to those with a minimum pricing quality (liquidity measure)</w:t>
      </w:r>
      <w:r w:rsidR="00346C13">
        <w:rPr>
          <w:rFonts w:ascii="Times New Roman" w:hAnsi="Times New Roman" w:cs="Times New Roman"/>
          <w:sz w:val="24"/>
          <w:szCs w:val="24"/>
        </w:rPr>
        <w:t xml:space="preserve">, </w:t>
      </w:r>
      <w:r w:rsidR="000719E4" w:rsidRPr="00C510F1">
        <w:rPr>
          <w:rFonts w:ascii="Times New Roman" w:hAnsi="Times New Roman" w:cs="Times New Roman"/>
          <w:sz w:val="24"/>
          <w:szCs w:val="24"/>
        </w:rPr>
        <w:t>at least two months to maturity</w:t>
      </w:r>
      <w:r w:rsidR="00346C13" w:rsidRPr="00C510F1">
        <w:rPr>
          <w:rFonts w:ascii="Times New Roman" w:hAnsi="Times New Roman" w:cs="Times New Roman"/>
          <w:sz w:val="24"/>
          <w:szCs w:val="24"/>
        </w:rPr>
        <w:t xml:space="preserve">, and </w:t>
      </w:r>
      <w:r w:rsidR="00630B2C" w:rsidRPr="00C510F1">
        <w:rPr>
          <w:rFonts w:ascii="Times New Roman" w:hAnsi="Times New Roman" w:cs="Times New Roman"/>
          <w:sz w:val="24"/>
          <w:szCs w:val="24"/>
        </w:rPr>
        <w:t xml:space="preserve">bond issues of </w:t>
      </w:r>
      <w:r w:rsidR="00346C13" w:rsidRPr="00C510F1">
        <w:rPr>
          <w:rFonts w:ascii="Times New Roman" w:hAnsi="Times New Roman" w:cs="Times New Roman"/>
          <w:sz w:val="24"/>
          <w:szCs w:val="24"/>
        </w:rPr>
        <w:t>at least $10m</w:t>
      </w:r>
      <w:r w:rsidRPr="00C510F1">
        <w:rPr>
          <w:rFonts w:ascii="Times New Roman" w:hAnsi="Times New Roman" w:cs="Times New Roman"/>
          <w:sz w:val="24"/>
          <w:szCs w:val="24"/>
        </w:rPr>
        <w:t xml:space="preserve"> whilst the RBA sample is limited to </w:t>
      </w:r>
      <w:r w:rsidR="00346C13" w:rsidRPr="00C510F1">
        <w:rPr>
          <w:rFonts w:ascii="Times New Roman" w:hAnsi="Times New Roman" w:cs="Times New Roman"/>
          <w:sz w:val="24"/>
          <w:szCs w:val="24"/>
        </w:rPr>
        <w:t>bond issues of at least $100m</w:t>
      </w:r>
      <w:r w:rsidRPr="00C510F1">
        <w:rPr>
          <w:rFonts w:ascii="Times New Roman" w:hAnsi="Times New Roman" w:cs="Times New Roman"/>
          <w:sz w:val="24"/>
          <w:szCs w:val="24"/>
        </w:rPr>
        <w:t xml:space="preserve"> and at least one year to maturity.</w:t>
      </w:r>
    </w:p>
    <w:p w:rsidR="00DD460A" w:rsidRPr="00C510F1" w:rsidRDefault="00DD460A" w:rsidP="00DD460A">
      <w:pPr>
        <w:pStyle w:val="ListParagraph"/>
        <w:numPr>
          <w:ilvl w:val="0"/>
          <w:numId w:val="25"/>
        </w:numPr>
        <w:spacing w:after="0" w:line="360" w:lineRule="auto"/>
        <w:ind w:left="900" w:hanging="540"/>
        <w:jc w:val="both"/>
        <w:rPr>
          <w:rFonts w:ascii="Times New Roman" w:hAnsi="Times New Roman" w:cs="Times New Roman"/>
          <w:sz w:val="24"/>
          <w:szCs w:val="24"/>
        </w:rPr>
      </w:pPr>
      <w:r w:rsidRPr="00C510F1">
        <w:rPr>
          <w:rFonts w:ascii="Times New Roman" w:hAnsi="Times New Roman" w:cs="Times New Roman"/>
          <w:sz w:val="24"/>
          <w:szCs w:val="24"/>
        </w:rPr>
        <w:t>The BVAL sample does not exclude financial corporations whilst the RBA’s does.</w:t>
      </w:r>
    </w:p>
    <w:p w:rsidR="00DD460A" w:rsidRPr="00C510F1" w:rsidRDefault="00DD460A" w:rsidP="00DD460A">
      <w:pPr>
        <w:pStyle w:val="ListParagraph"/>
        <w:numPr>
          <w:ilvl w:val="0"/>
          <w:numId w:val="25"/>
        </w:numPr>
        <w:spacing w:after="0" w:line="360" w:lineRule="auto"/>
        <w:ind w:left="900" w:hanging="540"/>
        <w:jc w:val="both"/>
        <w:rPr>
          <w:rFonts w:ascii="Times New Roman" w:hAnsi="Times New Roman" w:cs="Times New Roman"/>
          <w:sz w:val="24"/>
          <w:szCs w:val="24"/>
        </w:rPr>
      </w:pPr>
      <w:r w:rsidRPr="00C510F1">
        <w:rPr>
          <w:rFonts w:ascii="Times New Roman" w:hAnsi="Times New Roman" w:cs="Times New Roman"/>
          <w:sz w:val="24"/>
          <w:szCs w:val="24"/>
        </w:rPr>
        <w:t>The BVAL sample is limited to unsecured bonds whilst the RBA’s sample includes both secured and unsecured bonds.</w:t>
      </w:r>
    </w:p>
    <w:p w:rsidR="00DD460A" w:rsidRPr="00C510F1" w:rsidRDefault="00DD460A" w:rsidP="00DD460A">
      <w:pPr>
        <w:pStyle w:val="ListParagraph"/>
        <w:numPr>
          <w:ilvl w:val="0"/>
          <w:numId w:val="25"/>
        </w:numPr>
        <w:spacing w:after="0" w:line="360" w:lineRule="auto"/>
        <w:ind w:left="900" w:hanging="540"/>
        <w:jc w:val="both"/>
        <w:rPr>
          <w:rFonts w:ascii="Times New Roman" w:hAnsi="Times New Roman" w:cs="Times New Roman"/>
          <w:sz w:val="24"/>
          <w:szCs w:val="24"/>
        </w:rPr>
      </w:pPr>
      <w:r w:rsidRPr="00C510F1">
        <w:rPr>
          <w:rFonts w:ascii="Times New Roman" w:hAnsi="Times New Roman" w:cs="Times New Roman"/>
          <w:sz w:val="24"/>
          <w:szCs w:val="24"/>
        </w:rPr>
        <w:t xml:space="preserve">The BVAL sample includes bonds rated by </w:t>
      </w:r>
      <w:r w:rsidR="00346C13" w:rsidRPr="00C510F1">
        <w:rPr>
          <w:rFonts w:ascii="Times New Roman" w:hAnsi="Times New Roman" w:cs="Times New Roman"/>
          <w:sz w:val="24"/>
          <w:szCs w:val="24"/>
        </w:rPr>
        <w:t>either</w:t>
      </w:r>
      <w:r w:rsidRPr="00C510F1">
        <w:rPr>
          <w:rFonts w:ascii="Times New Roman" w:hAnsi="Times New Roman" w:cs="Times New Roman"/>
          <w:sz w:val="24"/>
          <w:szCs w:val="24"/>
        </w:rPr>
        <w:t xml:space="preserve"> S&amp;P </w:t>
      </w:r>
      <w:r w:rsidR="00346C13" w:rsidRPr="00C510F1">
        <w:rPr>
          <w:rFonts w:ascii="Times New Roman" w:hAnsi="Times New Roman" w:cs="Times New Roman"/>
          <w:sz w:val="24"/>
          <w:szCs w:val="24"/>
        </w:rPr>
        <w:t xml:space="preserve">or </w:t>
      </w:r>
      <w:r w:rsidRPr="00C510F1">
        <w:rPr>
          <w:rFonts w:ascii="Times New Roman" w:hAnsi="Times New Roman" w:cs="Times New Roman"/>
          <w:sz w:val="24"/>
          <w:szCs w:val="24"/>
        </w:rPr>
        <w:t xml:space="preserve">Moody’s, whilst the RBA sample is limited </w:t>
      </w:r>
      <w:r w:rsidR="00DD74F0" w:rsidRPr="00C510F1">
        <w:rPr>
          <w:rFonts w:ascii="Times New Roman" w:hAnsi="Times New Roman" w:cs="Times New Roman"/>
          <w:sz w:val="24"/>
          <w:szCs w:val="24"/>
        </w:rPr>
        <w:t xml:space="preserve">only </w:t>
      </w:r>
      <w:r w:rsidRPr="00C510F1">
        <w:rPr>
          <w:rFonts w:ascii="Times New Roman" w:hAnsi="Times New Roman" w:cs="Times New Roman"/>
          <w:sz w:val="24"/>
          <w:szCs w:val="24"/>
        </w:rPr>
        <w:t>to bonds rated by S&amp;P</w:t>
      </w:r>
      <w:r w:rsidR="008E19CA" w:rsidRPr="00C510F1">
        <w:rPr>
          <w:rFonts w:ascii="Times New Roman" w:hAnsi="Times New Roman" w:cs="Times New Roman"/>
          <w:sz w:val="24"/>
          <w:szCs w:val="24"/>
        </w:rPr>
        <w:t xml:space="preserve"> or issued by a firm with an S&amp;P rating</w:t>
      </w:r>
      <w:r w:rsidRPr="00C510F1">
        <w:rPr>
          <w:rFonts w:ascii="Times New Roman" w:hAnsi="Times New Roman" w:cs="Times New Roman"/>
          <w:sz w:val="24"/>
          <w:szCs w:val="24"/>
        </w:rPr>
        <w:t>.</w:t>
      </w:r>
    </w:p>
    <w:p w:rsidR="00DD460A" w:rsidRPr="00C510F1" w:rsidRDefault="00DD460A" w:rsidP="00DD460A">
      <w:pPr>
        <w:pStyle w:val="ListParagraph"/>
        <w:numPr>
          <w:ilvl w:val="0"/>
          <w:numId w:val="25"/>
        </w:numPr>
        <w:spacing w:after="0" w:line="360" w:lineRule="auto"/>
        <w:ind w:left="900" w:hanging="540"/>
        <w:jc w:val="both"/>
        <w:rPr>
          <w:rFonts w:ascii="Times New Roman" w:hAnsi="Times New Roman" w:cs="Times New Roman"/>
          <w:sz w:val="24"/>
          <w:szCs w:val="24"/>
        </w:rPr>
      </w:pPr>
      <w:r w:rsidRPr="00C510F1">
        <w:rPr>
          <w:rFonts w:ascii="Times New Roman" w:hAnsi="Times New Roman" w:cs="Times New Roman"/>
          <w:sz w:val="24"/>
          <w:szCs w:val="24"/>
        </w:rPr>
        <w:t>The BVAL sample is limited to AUD denominated bonds whilst the RBA sample also includes USD and Euro denominated bonds.</w:t>
      </w:r>
    </w:p>
    <w:p w:rsidR="00DD460A" w:rsidRPr="00C510F1" w:rsidRDefault="00DD460A" w:rsidP="00DD460A">
      <w:pPr>
        <w:pStyle w:val="ListParagraph"/>
        <w:numPr>
          <w:ilvl w:val="0"/>
          <w:numId w:val="25"/>
        </w:numPr>
        <w:spacing w:after="0" w:line="360" w:lineRule="auto"/>
        <w:ind w:left="900" w:hanging="540"/>
        <w:jc w:val="both"/>
        <w:rPr>
          <w:rFonts w:ascii="Times New Roman" w:hAnsi="Times New Roman" w:cs="Times New Roman"/>
          <w:sz w:val="24"/>
          <w:szCs w:val="24"/>
        </w:rPr>
      </w:pPr>
      <w:r w:rsidRPr="00C510F1">
        <w:rPr>
          <w:rFonts w:ascii="Times New Roman" w:hAnsi="Times New Roman" w:cs="Times New Roman"/>
          <w:sz w:val="24"/>
          <w:szCs w:val="24"/>
        </w:rPr>
        <w:t xml:space="preserve">The BVAL sample </w:t>
      </w:r>
      <w:r w:rsidR="008E19CA" w:rsidRPr="00C510F1">
        <w:rPr>
          <w:rFonts w:ascii="Times New Roman" w:hAnsi="Times New Roman" w:cs="Times New Roman"/>
          <w:sz w:val="24"/>
          <w:szCs w:val="24"/>
        </w:rPr>
        <w:t>excludes bonds with call, put and conversion options, whilst the RBA sample does not exclude them</w:t>
      </w:r>
      <w:r w:rsidRPr="00C510F1">
        <w:rPr>
          <w:rFonts w:ascii="Times New Roman" w:hAnsi="Times New Roman" w:cs="Times New Roman"/>
          <w:sz w:val="24"/>
          <w:szCs w:val="24"/>
        </w:rPr>
        <w:t>.</w:t>
      </w:r>
    </w:p>
    <w:p w:rsidR="002D4806" w:rsidRDefault="00DD460A"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difference in criteria raises the question of whether this would lead to a significant and systematically different</w:t>
      </w:r>
      <w:r w:rsidR="00255AC7">
        <w:rPr>
          <w:rFonts w:ascii="Times New Roman" w:hAnsi="Times New Roman" w:cs="Times New Roman"/>
          <w:sz w:val="24"/>
          <w:szCs w:val="24"/>
        </w:rPr>
        <w:t xml:space="preserve"> result.  </w:t>
      </w:r>
      <w:r w:rsidR="00DB6950">
        <w:rPr>
          <w:rFonts w:ascii="Times New Roman" w:hAnsi="Times New Roman" w:cs="Times New Roman"/>
          <w:sz w:val="24"/>
          <w:szCs w:val="24"/>
        </w:rPr>
        <w:t>In respect of</w:t>
      </w:r>
      <w:r w:rsidR="002D4806">
        <w:rPr>
          <w:rFonts w:ascii="Times New Roman" w:hAnsi="Times New Roman" w:cs="Times New Roman"/>
          <w:sz w:val="24"/>
          <w:szCs w:val="24"/>
        </w:rPr>
        <w:t xml:space="preserve"> point (1), </w:t>
      </w:r>
      <w:r w:rsidR="00E744A2">
        <w:rPr>
          <w:rFonts w:ascii="Times New Roman" w:hAnsi="Times New Roman" w:cs="Times New Roman"/>
          <w:sz w:val="24"/>
          <w:szCs w:val="24"/>
        </w:rPr>
        <w:t xml:space="preserve">and as discussed in section 2.1, </w:t>
      </w:r>
      <w:r w:rsidR="002D4806">
        <w:rPr>
          <w:rFonts w:ascii="Times New Roman" w:hAnsi="Times New Roman" w:cs="Times New Roman"/>
          <w:sz w:val="24"/>
          <w:szCs w:val="24"/>
        </w:rPr>
        <w:t xml:space="preserve">the liquidity of bonds in the BVAL set </w:t>
      </w:r>
      <w:r w:rsidR="00346C13" w:rsidRPr="00C510F1">
        <w:rPr>
          <w:rFonts w:ascii="Times New Roman" w:hAnsi="Times New Roman" w:cs="Times New Roman"/>
          <w:sz w:val="24"/>
          <w:szCs w:val="24"/>
        </w:rPr>
        <w:t>is likely to</w:t>
      </w:r>
      <w:r w:rsidR="00346C13" w:rsidRPr="00346C13">
        <w:rPr>
          <w:rFonts w:ascii="Times New Roman" w:hAnsi="Times New Roman" w:cs="Times New Roman"/>
          <w:sz w:val="24"/>
          <w:szCs w:val="24"/>
        </w:rPr>
        <w:t xml:space="preserve"> </w:t>
      </w:r>
      <w:r w:rsidR="002D4806">
        <w:rPr>
          <w:rFonts w:ascii="Times New Roman" w:hAnsi="Times New Roman" w:cs="Times New Roman"/>
          <w:sz w:val="24"/>
          <w:szCs w:val="24"/>
        </w:rPr>
        <w:t>be higher than in the RBA set and this has two effects.  Firstly, illiquid bonds typically do not have recent trades and therefore the estimated yield to maturity is more likely to be in error; this could be in either direction and is therefore not systematic.  Secondly, when more illiquid bonds do trade, the yield will be higher than otherwise to reflect the illiquidity of the bond, and this will exert a systemati</w:t>
      </w:r>
      <w:r w:rsidR="00AC2E06">
        <w:rPr>
          <w:rFonts w:ascii="Times New Roman" w:hAnsi="Times New Roman" w:cs="Times New Roman"/>
          <w:sz w:val="24"/>
          <w:szCs w:val="24"/>
        </w:rPr>
        <w:t>c upward effect on the RBA index</w:t>
      </w:r>
      <w:r w:rsidR="00517DF4">
        <w:rPr>
          <w:rFonts w:ascii="Times New Roman" w:hAnsi="Times New Roman" w:cs="Times New Roman"/>
          <w:sz w:val="24"/>
          <w:szCs w:val="24"/>
        </w:rPr>
        <w:t xml:space="preserve"> but it is not </w:t>
      </w:r>
      <w:r w:rsidR="00AC2E06">
        <w:rPr>
          <w:rFonts w:ascii="Times New Roman" w:hAnsi="Times New Roman" w:cs="Times New Roman"/>
          <w:sz w:val="24"/>
          <w:szCs w:val="24"/>
        </w:rPr>
        <w:t>possible to det</w:t>
      </w:r>
      <w:r w:rsidR="00517DF4">
        <w:rPr>
          <w:rFonts w:ascii="Times New Roman" w:hAnsi="Times New Roman" w:cs="Times New Roman"/>
          <w:sz w:val="24"/>
          <w:szCs w:val="24"/>
        </w:rPr>
        <w:t xml:space="preserve">ermine the scale of this effect.  Since most corporate bonds are highly illiquid, the RBA index is likely to be more representative of the typical corporate bond.  The BVAL index is preferred in respect of the first point whilst the </w:t>
      </w:r>
      <w:r w:rsidR="00517DF4">
        <w:rPr>
          <w:rFonts w:ascii="Times New Roman" w:hAnsi="Times New Roman" w:cs="Times New Roman"/>
          <w:sz w:val="24"/>
          <w:szCs w:val="24"/>
        </w:rPr>
        <w:lastRenderedPageBreak/>
        <w:t xml:space="preserve">RBA is preferred in respect of the second.  In statistical terms, the trade-off is between standard deviation and bias.  The preferred index would be that of lower MSE (Mean Squared Error) but it is not possible to </w:t>
      </w:r>
      <w:r w:rsidR="00E744A2">
        <w:rPr>
          <w:rFonts w:ascii="Times New Roman" w:hAnsi="Times New Roman" w:cs="Times New Roman"/>
          <w:sz w:val="24"/>
          <w:szCs w:val="24"/>
        </w:rPr>
        <w:t>express a preference on this.</w:t>
      </w:r>
      <w:r w:rsidR="00517DF4">
        <w:rPr>
          <w:rFonts w:ascii="Times New Roman" w:hAnsi="Times New Roman" w:cs="Times New Roman"/>
          <w:sz w:val="24"/>
          <w:szCs w:val="24"/>
        </w:rPr>
        <w:t xml:space="preserve"> </w:t>
      </w:r>
    </w:p>
    <w:p w:rsidR="002D4806" w:rsidRDefault="002D4806" w:rsidP="00122250">
      <w:pPr>
        <w:pStyle w:val="ListParagraph"/>
        <w:spacing w:after="0" w:line="360" w:lineRule="auto"/>
        <w:ind w:left="0"/>
        <w:jc w:val="both"/>
        <w:rPr>
          <w:rFonts w:ascii="Times New Roman" w:hAnsi="Times New Roman" w:cs="Times New Roman"/>
          <w:sz w:val="24"/>
          <w:szCs w:val="24"/>
        </w:rPr>
      </w:pPr>
    </w:p>
    <w:p w:rsidR="0035024C" w:rsidRDefault="00DB6950" w:rsidP="00350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point (2), </w:t>
      </w:r>
      <w:r w:rsidR="00535A37">
        <w:rPr>
          <w:rFonts w:ascii="Times New Roman" w:hAnsi="Times New Roman" w:cs="Times New Roman"/>
          <w:sz w:val="24"/>
          <w:szCs w:val="24"/>
        </w:rPr>
        <w:t xml:space="preserve">there </w:t>
      </w:r>
      <w:r w:rsidR="009F73C7">
        <w:rPr>
          <w:rFonts w:ascii="Times New Roman" w:hAnsi="Times New Roman" w:cs="Times New Roman"/>
          <w:sz w:val="24"/>
          <w:szCs w:val="24"/>
        </w:rPr>
        <w:t xml:space="preserve">are no a </w:t>
      </w:r>
      <w:r w:rsidR="00535A37">
        <w:rPr>
          <w:rFonts w:ascii="Times New Roman" w:hAnsi="Times New Roman" w:cs="Times New Roman"/>
          <w:sz w:val="24"/>
          <w:szCs w:val="24"/>
        </w:rPr>
        <w:t xml:space="preserve">priori grounds to expect a difference in yields between financial and non-financial corporations (for </w:t>
      </w:r>
      <w:r w:rsidR="00D473F7">
        <w:rPr>
          <w:rFonts w:ascii="Times New Roman" w:hAnsi="Times New Roman" w:cs="Times New Roman"/>
          <w:sz w:val="24"/>
          <w:szCs w:val="24"/>
        </w:rPr>
        <w:t xml:space="preserve">a </w:t>
      </w:r>
      <w:r w:rsidR="00535A37">
        <w:rPr>
          <w:rFonts w:ascii="Times New Roman" w:hAnsi="Times New Roman" w:cs="Times New Roman"/>
          <w:sz w:val="24"/>
          <w:szCs w:val="24"/>
        </w:rPr>
        <w:t xml:space="preserve">given credit rating and term to maturity) and, </w:t>
      </w:r>
      <w:r w:rsidR="00977D82">
        <w:rPr>
          <w:rFonts w:ascii="Times New Roman" w:hAnsi="Times New Roman" w:cs="Times New Roman"/>
          <w:sz w:val="24"/>
          <w:szCs w:val="24"/>
        </w:rPr>
        <w:t>as discussed in section 2.1</w:t>
      </w:r>
      <w:r>
        <w:rPr>
          <w:rFonts w:ascii="Times New Roman" w:hAnsi="Times New Roman" w:cs="Times New Roman"/>
          <w:sz w:val="24"/>
          <w:szCs w:val="24"/>
        </w:rPr>
        <w:t xml:space="preserve">, </w:t>
      </w:r>
      <w:r w:rsidR="00535A37">
        <w:rPr>
          <w:rFonts w:ascii="Times New Roman" w:hAnsi="Times New Roman" w:cs="Times New Roman"/>
          <w:sz w:val="24"/>
          <w:szCs w:val="24"/>
        </w:rPr>
        <w:t xml:space="preserve">the </w:t>
      </w:r>
      <w:r w:rsidR="00977D82">
        <w:rPr>
          <w:rFonts w:ascii="Times New Roman" w:hAnsi="Times New Roman" w:cs="Times New Roman"/>
          <w:sz w:val="24"/>
          <w:szCs w:val="24"/>
        </w:rPr>
        <w:t xml:space="preserve">Australian </w:t>
      </w:r>
      <w:r w:rsidR="00535A37">
        <w:rPr>
          <w:rFonts w:ascii="Times New Roman" w:hAnsi="Times New Roman" w:cs="Times New Roman"/>
          <w:sz w:val="24"/>
          <w:szCs w:val="24"/>
        </w:rPr>
        <w:t xml:space="preserve">empirical evidence is unclear.  </w:t>
      </w:r>
      <w:r w:rsidR="0035024C">
        <w:rPr>
          <w:rFonts w:ascii="Times New Roman" w:hAnsi="Times New Roman" w:cs="Times New Roman"/>
          <w:sz w:val="24"/>
          <w:szCs w:val="24"/>
        </w:rPr>
        <w:t>Furthermore, even if financial corporations do have different costs of debt at the same credit level and term to maturity, the resulting expansion in the sample size (and therefore</w:t>
      </w:r>
      <w:r w:rsidR="000719E4">
        <w:rPr>
          <w:rFonts w:ascii="Times New Roman" w:hAnsi="Times New Roman" w:cs="Times New Roman"/>
          <w:sz w:val="24"/>
          <w:szCs w:val="24"/>
        </w:rPr>
        <w:t xml:space="preserve"> </w:t>
      </w:r>
      <w:r w:rsidR="000719E4" w:rsidRPr="00C510F1">
        <w:rPr>
          <w:rFonts w:ascii="Times New Roman" w:hAnsi="Times New Roman" w:cs="Times New Roman"/>
          <w:sz w:val="24"/>
          <w:szCs w:val="24"/>
        </w:rPr>
        <w:t>possible</w:t>
      </w:r>
      <w:r w:rsidR="0035024C">
        <w:rPr>
          <w:rFonts w:ascii="Times New Roman" w:hAnsi="Times New Roman" w:cs="Times New Roman"/>
          <w:sz w:val="24"/>
          <w:szCs w:val="24"/>
        </w:rPr>
        <w:t xml:space="preserve"> reduction in standard deviation) from including them might compensate for the bias from including them.  Again, the preferred index would be that of lower MSE but it is not possible to </w:t>
      </w:r>
      <w:r w:rsidR="00E744A2">
        <w:rPr>
          <w:rFonts w:ascii="Times New Roman" w:hAnsi="Times New Roman" w:cs="Times New Roman"/>
          <w:sz w:val="24"/>
          <w:szCs w:val="24"/>
        </w:rPr>
        <w:t>express a preference on this.</w:t>
      </w:r>
    </w:p>
    <w:p w:rsidR="00E744A2" w:rsidRDefault="00E744A2" w:rsidP="0035024C">
      <w:pPr>
        <w:spacing w:after="0" w:line="360" w:lineRule="auto"/>
        <w:jc w:val="both"/>
        <w:rPr>
          <w:rFonts w:ascii="Times New Roman" w:hAnsi="Times New Roman" w:cs="Times New Roman"/>
          <w:sz w:val="24"/>
          <w:szCs w:val="24"/>
        </w:rPr>
      </w:pPr>
    </w:p>
    <w:p w:rsidR="00DD460A" w:rsidRDefault="00F958EA"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respect of point (3), </w:t>
      </w:r>
      <w:r w:rsidR="005C7762">
        <w:rPr>
          <w:rFonts w:ascii="Times New Roman" w:hAnsi="Times New Roman" w:cs="Times New Roman"/>
          <w:sz w:val="24"/>
          <w:szCs w:val="24"/>
        </w:rPr>
        <w:t>and</w:t>
      </w:r>
      <w:r w:rsidR="00AF2BFB">
        <w:rPr>
          <w:rFonts w:ascii="Times New Roman" w:hAnsi="Times New Roman" w:cs="Times New Roman"/>
          <w:sz w:val="24"/>
          <w:szCs w:val="24"/>
        </w:rPr>
        <w:t xml:space="preserve"> again as discussed in section 2.1</w:t>
      </w:r>
      <w:r w:rsidR="005C7762">
        <w:rPr>
          <w:rFonts w:ascii="Times New Roman" w:hAnsi="Times New Roman" w:cs="Times New Roman"/>
          <w:sz w:val="24"/>
          <w:szCs w:val="24"/>
        </w:rPr>
        <w:t xml:space="preserve">, </w:t>
      </w:r>
      <w:r>
        <w:rPr>
          <w:rFonts w:ascii="Times New Roman" w:hAnsi="Times New Roman" w:cs="Times New Roman"/>
          <w:sz w:val="24"/>
          <w:szCs w:val="24"/>
        </w:rPr>
        <w:t xml:space="preserve">the omission of secured </w:t>
      </w:r>
      <w:r w:rsidR="005A599F">
        <w:rPr>
          <w:rFonts w:ascii="Times New Roman" w:hAnsi="Times New Roman" w:cs="Times New Roman"/>
          <w:sz w:val="24"/>
          <w:szCs w:val="24"/>
        </w:rPr>
        <w:t xml:space="preserve">bonds </w:t>
      </w:r>
      <w:r w:rsidR="00D473F7">
        <w:rPr>
          <w:rFonts w:ascii="Times New Roman" w:hAnsi="Times New Roman" w:cs="Times New Roman"/>
          <w:sz w:val="24"/>
          <w:szCs w:val="24"/>
        </w:rPr>
        <w:t xml:space="preserve">from the BVAL sample </w:t>
      </w:r>
      <w:r>
        <w:rPr>
          <w:rFonts w:ascii="Times New Roman" w:hAnsi="Times New Roman" w:cs="Times New Roman"/>
          <w:sz w:val="24"/>
          <w:szCs w:val="24"/>
        </w:rPr>
        <w:t xml:space="preserve">will </w:t>
      </w:r>
      <w:r w:rsidR="00535A37">
        <w:rPr>
          <w:rFonts w:ascii="Times New Roman" w:hAnsi="Times New Roman" w:cs="Times New Roman"/>
          <w:sz w:val="24"/>
          <w:szCs w:val="24"/>
        </w:rPr>
        <w:t xml:space="preserve">systematically </w:t>
      </w:r>
      <w:r>
        <w:rPr>
          <w:rFonts w:ascii="Times New Roman" w:hAnsi="Times New Roman" w:cs="Times New Roman"/>
          <w:sz w:val="24"/>
          <w:szCs w:val="24"/>
        </w:rPr>
        <w:t xml:space="preserve">raise </w:t>
      </w:r>
      <w:r w:rsidR="005608BD">
        <w:rPr>
          <w:rFonts w:ascii="Times New Roman" w:hAnsi="Times New Roman" w:cs="Times New Roman"/>
          <w:sz w:val="24"/>
          <w:szCs w:val="24"/>
        </w:rPr>
        <w:t xml:space="preserve">its </w:t>
      </w:r>
      <w:r>
        <w:rPr>
          <w:rFonts w:ascii="Times New Roman" w:hAnsi="Times New Roman" w:cs="Times New Roman"/>
          <w:sz w:val="24"/>
          <w:szCs w:val="24"/>
        </w:rPr>
        <w:t xml:space="preserve">index value but the point is not significant at the present time due to the paucity of these bonds.  </w:t>
      </w:r>
      <w:r w:rsidR="005C7762">
        <w:rPr>
          <w:rFonts w:ascii="Times New Roman" w:hAnsi="Times New Roman" w:cs="Times New Roman"/>
          <w:sz w:val="24"/>
          <w:szCs w:val="24"/>
        </w:rPr>
        <w:t xml:space="preserve">In respect of point (4), </w:t>
      </w:r>
      <w:r w:rsidR="00AF2BFB">
        <w:rPr>
          <w:rFonts w:ascii="Times New Roman" w:hAnsi="Times New Roman" w:cs="Times New Roman"/>
          <w:sz w:val="24"/>
          <w:szCs w:val="24"/>
        </w:rPr>
        <w:t xml:space="preserve">and as discussed in section 2.1, </w:t>
      </w:r>
      <w:r w:rsidR="005C7762">
        <w:rPr>
          <w:rFonts w:ascii="Times New Roman" w:hAnsi="Times New Roman" w:cs="Times New Roman"/>
          <w:sz w:val="24"/>
          <w:szCs w:val="24"/>
        </w:rPr>
        <w:t xml:space="preserve">the effect is </w:t>
      </w:r>
      <w:r w:rsidR="00535A37">
        <w:rPr>
          <w:rFonts w:ascii="Times New Roman" w:hAnsi="Times New Roman" w:cs="Times New Roman"/>
          <w:sz w:val="24"/>
          <w:szCs w:val="24"/>
        </w:rPr>
        <w:t xml:space="preserve">unlikely to be significant and even less likely to be systematic.  </w:t>
      </w:r>
      <w:r>
        <w:rPr>
          <w:rFonts w:ascii="Times New Roman" w:hAnsi="Times New Roman" w:cs="Times New Roman"/>
          <w:sz w:val="24"/>
          <w:szCs w:val="24"/>
        </w:rPr>
        <w:t xml:space="preserve">In respect of point (5), </w:t>
      </w:r>
      <w:r w:rsidR="00977D82">
        <w:rPr>
          <w:rFonts w:ascii="Times New Roman" w:hAnsi="Times New Roman" w:cs="Times New Roman"/>
          <w:sz w:val="24"/>
          <w:szCs w:val="24"/>
        </w:rPr>
        <w:t xml:space="preserve">I do not have current data on the differential between local and foreign currency bonds.  However, </w:t>
      </w:r>
      <w:r w:rsidR="009B2759">
        <w:rPr>
          <w:rFonts w:ascii="Times New Roman" w:hAnsi="Times New Roman" w:cs="Times New Roman"/>
          <w:sz w:val="24"/>
          <w:szCs w:val="24"/>
        </w:rPr>
        <w:t>there are no a priori grounds to expect that any differential would be systematic</w:t>
      </w:r>
      <w:r w:rsidR="007D4E2D">
        <w:rPr>
          <w:rFonts w:ascii="Times New Roman" w:hAnsi="Times New Roman" w:cs="Times New Roman"/>
          <w:sz w:val="24"/>
          <w:szCs w:val="24"/>
        </w:rPr>
        <w:t xml:space="preserve">.  Consistent with this, </w:t>
      </w:r>
      <w:r w:rsidR="009B2759">
        <w:rPr>
          <w:rFonts w:ascii="Times New Roman" w:hAnsi="Times New Roman" w:cs="Times New Roman"/>
          <w:sz w:val="24"/>
          <w:szCs w:val="24"/>
        </w:rPr>
        <w:t xml:space="preserve">the empirical evidence </w:t>
      </w:r>
      <w:r w:rsidR="00977D82">
        <w:rPr>
          <w:rFonts w:ascii="Times New Roman" w:hAnsi="Times New Roman" w:cs="Times New Roman"/>
          <w:sz w:val="24"/>
          <w:szCs w:val="24"/>
        </w:rPr>
        <w:t>discussed in section 2.1</w:t>
      </w:r>
      <w:r w:rsidR="009B2759">
        <w:rPr>
          <w:rFonts w:ascii="Times New Roman" w:hAnsi="Times New Roman" w:cs="Times New Roman"/>
          <w:sz w:val="24"/>
          <w:szCs w:val="24"/>
        </w:rPr>
        <w:t xml:space="preserve"> suggests that the differential </w:t>
      </w:r>
      <w:r w:rsidR="00977D82">
        <w:rPr>
          <w:rFonts w:ascii="Times New Roman" w:hAnsi="Times New Roman" w:cs="Times New Roman"/>
          <w:sz w:val="24"/>
          <w:szCs w:val="24"/>
        </w:rPr>
        <w:t>has fluctuated over time (from positive to negative)</w:t>
      </w:r>
      <w:r w:rsidR="009B2759">
        <w:rPr>
          <w:rFonts w:ascii="Times New Roman" w:hAnsi="Times New Roman" w:cs="Times New Roman"/>
          <w:sz w:val="24"/>
          <w:szCs w:val="24"/>
        </w:rPr>
        <w:t xml:space="preserve">.  </w:t>
      </w:r>
      <w:r w:rsidR="00977D82">
        <w:rPr>
          <w:rFonts w:ascii="Times New Roman" w:hAnsi="Times New Roman" w:cs="Times New Roman"/>
          <w:sz w:val="24"/>
          <w:szCs w:val="24"/>
        </w:rPr>
        <w:t xml:space="preserve"> </w:t>
      </w:r>
      <w:r>
        <w:rPr>
          <w:rFonts w:ascii="Times New Roman" w:hAnsi="Times New Roman" w:cs="Times New Roman"/>
          <w:sz w:val="24"/>
          <w:szCs w:val="24"/>
        </w:rPr>
        <w:t>Finally, in respect of point (6</w:t>
      </w:r>
      <w:r w:rsidR="007D4E2D">
        <w:rPr>
          <w:rFonts w:ascii="Times New Roman" w:hAnsi="Times New Roman" w:cs="Times New Roman"/>
          <w:sz w:val="24"/>
          <w:szCs w:val="24"/>
        </w:rPr>
        <w:t>), and as discussed in section 2.1</w:t>
      </w:r>
      <w:r>
        <w:rPr>
          <w:rFonts w:ascii="Times New Roman" w:hAnsi="Times New Roman" w:cs="Times New Roman"/>
          <w:sz w:val="24"/>
          <w:szCs w:val="24"/>
        </w:rPr>
        <w:t xml:space="preserve">, the omission of callable bonds lowers the index value whilst the omission of convertible bonds would raise it but only if no adjustments are made.  </w:t>
      </w:r>
      <w:r w:rsidR="00EE274F">
        <w:rPr>
          <w:rFonts w:ascii="Times New Roman" w:hAnsi="Times New Roman" w:cs="Times New Roman"/>
          <w:sz w:val="24"/>
          <w:szCs w:val="24"/>
        </w:rPr>
        <w:t xml:space="preserve">Any </w:t>
      </w:r>
      <w:r>
        <w:rPr>
          <w:rFonts w:ascii="Times New Roman" w:hAnsi="Times New Roman" w:cs="Times New Roman"/>
          <w:sz w:val="24"/>
          <w:szCs w:val="24"/>
        </w:rPr>
        <w:t xml:space="preserve">adjustments </w:t>
      </w:r>
      <w:r w:rsidR="00EE274F">
        <w:rPr>
          <w:rFonts w:ascii="Times New Roman" w:hAnsi="Times New Roman" w:cs="Times New Roman"/>
          <w:sz w:val="24"/>
          <w:szCs w:val="24"/>
        </w:rPr>
        <w:t xml:space="preserve">that are made </w:t>
      </w:r>
      <w:r w:rsidR="00DE25C2" w:rsidRPr="00C510F1">
        <w:rPr>
          <w:rFonts w:ascii="Times New Roman" w:hAnsi="Times New Roman" w:cs="Times New Roman"/>
          <w:sz w:val="24"/>
          <w:szCs w:val="24"/>
        </w:rPr>
        <w:t xml:space="preserve">are likely to be imperfect to some degree </w:t>
      </w:r>
      <w:r>
        <w:rPr>
          <w:rFonts w:ascii="Times New Roman" w:hAnsi="Times New Roman" w:cs="Times New Roman"/>
          <w:sz w:val="24"/>
          <w:szCs w:val="24"/>
        </w:rPr>
        <w:t xml:space="preserve">but this only adds noise rather than a systematic effect.  </w:t>
      </w:r>
      <w:r w:rsidR="00F96066">
        <w:rPr>
          <w:rFonts w:ascii="Times New Roman" w:hAnsi="Times New Roman" w:cs="Times New Roman"/>
          <w:sz w:val="24"/>
          <w:szCs w:val="24"/>
        </w:rPr>
        <w:t xml:space="preserve">Since the proportion of bonds in the RBA index with embedded options (other than make-whole call options, for which there is minimal effect) is very small at the present time, the effect on the index would be minimal even without adjustments and </w:t>
      </w:r>
      <w:r w:rsidR="005608BD">
        <w:rPr>
          <w:rFonts w:ascii="Times New Roman" w:hAnsi="Times New Roman" w:cs="Times New Roman"/>
          <w:sz w:val="24"/>
          <w:szCs w:val="24"/>
        </w:rPr>
        <w:t xml:space="preserve">even more so if </w:t>
      </w:r>
      <w:r w:rsidR="00F96066">
        <w:rPr>
          <w:rFonts w:ascii="Times New Roman" w:hAnsi="Times New Roman" w:cs="Times New Roman"/>
          <w:sz w:val="24"/>
          <w:szCs w:val="24"/>
        </w:rPr>
        <w:t>there were adjustments.</w:t>
      </w:r>
    </w:p>
    <w:p w:rsidR="00F96066" w:rsidRDefault="00F96066" w:rsidP="00122250">
      <w:pPr>
        <w:pStyle w:val="ListParagraph"/>
        <w:spacing w:after="0" w:line="360" w:lineRule="auto"/>
        <w:ind w:left="0"/>
        <w:jc w:val="both"/>
        <w:rPr>
          <w:rFonts w:ascii="Times New Roman" w:hAnsi="Times New Roman" w:cs="Times New Roman"/>
          <w:sz w:val="24"/>
          <w:szCs w:val="24"/>
        </w:rPr>
      </w:pPr>
    </w:p>
    <w:p w:rsidR="009C5109" w:rsidRDefault="00F96066"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w:t>
      </w:r>
      <w:r w:rsidR="00AC2E06">
        <w:rPr>
          <w:rFonts w:ascii="Times New Roman" w:hAnsi="Times New Roman" w:cs="Times New Roman"/>
          <w:sz w:val="24"/>
          <w:szCs w:val="24"/>
        </w:rPr>
        <w:t xml:space="preserve">none of these effects are clearly both significant and systematic.  </w:t>
      </w:r>
      <w:r w:rsidR="00A81A11" w:rsidRPr="00C510F1">
        <w:rPr>
          <w:rFonts w:ascii="Times New Roman" w:hAnsi="Times New Roman" w:cs="Times New Roman"/>
          <w:sz w:val="24"/>
          <w:szCs w:val="24"/>
        </w:rPr>
        <w:t xml:space="preserve">It is likely that the bonds in the RBA index have on average </w:t>
      </w:r>
      <w:r w:rsidR="00C23B1A" w:rsidRPr="00C510F1">
        <w:rPr>
          <w:rFonts w:ascii="Times New Roman" w:hAnsi="Times New Roman" w:cs="Times New Roman"/>
          <w:sz w:val="24"/>
          <w:szCs w:val="24"/>
        </w:rPr>
        <w:t xml:space="preserve">inferior </w:t>
      </w:r>
      <w:r w:rsidR="00AC2E06" w:rsidRPr="00C510F1">
        <w:rPr>
          <w:rFonts w:ascii="Times New Roman" w:hAnsi="Times New Roman" w:cs="Times New Roman"/>
          <w:sz w:val="24"/>
          <w:szCs w:val="24"/>
        </w:rPr>
        <w:t xml:space="preserve">liquidity </w:t>
      </w:r>
      <w:r w:rsidR="00A81A11" w:rsidRPr="00C510F1">
        <w:rPr>
          <w:rFonts w:ascii="Times New Roman" w:hAnsi="Times New Roman" w:cs="Times New Roman"/>
          <w:sz w:val="24"/>
          <w:szCs w:val="24"/>
        </w:rPr>
        <w:t xml:space="preserve">than those in the BVAL </w:t>
      </w:r>
      <w:r w:rsidR="00AC2E06" w:rsidRPr="00C510F1">
        <w:rPr>
          <w:rFonts w:ascii="Times New Roman" w:hAnsi="Times New Roman" w:cs="Times New Roman"/>
          <w:sz w:val="24"/>
          <w:szCs w:val="24"/>
        </w:rPr>
        <w:t>index</w:t>
      </w:r>
      <w:r w:rsidR="00A81A11" w:rsidRPr="00C510F1">
        <w:rPr>
          <w:rFonts w:ascii="Times New Roman" w:hAnsi="Times New Roman" w:cs="Times New Roman"/>
          <w:sz w:val="24"/>
          <w:szCs w:val="24"/>
        </w:rPr>
        <w:t xml:space="preserve">, and this </w:t>
      </w:r>
      <w:r w:rsidR="00AC2E06" w:rsidRPr="00C510F1">
        <w:rPr>
          <w:rFonts w:ascii="Times New Roman" w:hAnsi="Times New Roman" w:cs="Times New Roman"/>
          <w:sz w:val="24"/>
          <w:szCs w:val="24"/>
        </w:rPr>
        <w:t>will exert a systematic</w:t>
      </w:r>
      <w:r w:rsidR="00C23B1A" w:rsidRPr="00C510F1">
        <w:rPr>
          <w:rFonts w:ascii="Times New Roman" w:hAnsi="Times New Roman" w:cs="Times New Roman"/>
          <w:sz w:val="24"/>
          <w:szCs w:val="24"/>
        </w:rPr>
        <w:t xml:space="preserve"> upward </w:t>
      </w:r>
      <w:r w:rsidR="00AC2E06" w:rsidRPr="00C510F1">
        <w:rPr>
          <w:rFonts w:ascii="Times New Roman" w:hAnsi="Times New Roman" w:cs="Times New Roman"/>
          <w:sz w:val="24"/>
          <w:szCs w:val="24"/>
        </w:rPr>
        <w:t>eff</w:t>
      </w:r>
      <w:r w:rsidR="00EB10CC" w:rsidRPr="00C510F1">
        <w:rPr>
          <w:rFonts w:ascii="Times New Roman" w:hAnsi="Times New Roman" w:cs="Times New Roman"/>
          <w:sz w:val="24"/>
          <w:szCs w:val="24"/>
        </w:rPr>
        <w:t xml:space="preserve">ect </w:t>
      </w:r>
      <w:r w:rsidR="00A81A11" w:rsidRPr="00C510F1">
        <w:rPr>
          <w:rFonts w:ascii="Times New Roman" w:hAnsi="Times New Roman" w:cs="Times New Roman"/>
          <w:sz w:val="24"/>
          <w:szCs w:val="24"/>
        </w:rPr>
        <w:t>on the</w:t>
      </w:r>
      <w:r w:rsidR="00D47DD0" w:rsidRPr="00C510F1">
        <w:rPr>
          <w:rFonts w:ascii="Times New Roman" w:hAnsi="Times New Roman" w:cs="Times New Roman"/>
          <w:sz w:val="24"/>
          <w:szCs w:val="24"/>
        </w:rPr>
        <w:t xml:space="preserve"> RBA</w:t>
      </w:r>
      <w:r w:rsidR="00A81A11" w:rsidRPr="00C510F1">
        <w:rPr>
          <w:rFonts w:ascii="Times New Roman" w:hAnsi="Times New Roman" w:cs="Times New Roman"/>
          <w:sz w:val="24"/>
          <w:szCs w:val="24"/>
        </w:rPr>
        <w:t xml:space="preserve"> index, but it is not possible to determine whether this is </w:t>
      </w:r>
      <w:r w:rsidR="00EB10CC" w:rsidRPr="00C510F1">
        <w:rPr>
          <w:rFonts w:ascii="Times New Roman" w:hAnsi="Times New Roman" w:cs="Times New Roman"/>
          <w:sz w:val="24"/>
          <w:szCs w:val="24"/>
        </w:rPr>
        <w:t>significant</w:t>
      </w:r>
      <w:r w:rsidR="00D77E14" w:rsidRPr="00C510F1">
        <w:rPr>
          <w:rFonts w:ascii="Times New Roman" w:hAnsi="Times New Roman" w:cs="Times New Roman"/>
          <w:sz w:val="24"/>
          <w:szCs w:val="24"/>
        </w:rPr>
        <w:t xml:space="preserve">.  </w:t>
      </w:r>
      <w:r w:rsidR="0061160D" w:rsidRPr="00C510F1">
        <w:rPr>
          <w:rFonts w:ascii="Times New Roman" w:hAnsi="Times New Roman" w:cs="Times New Roman"/>
          <w:sz w:val="24"/>
          <w:szCs w:val="24"/>
        </w:rPr>
        <w:t xml:space="preserve">In addition, the presence of foreign currency bonds in the RBA index </w:t>
      </w:r>
      <w:r w:rsidR="00CB3195" w:rsidRPr="00C510F1">
        <w:rPr>
          <w:rFonts w:ascii="Times New Roman" w:hAnsi="Times New Roman" w:cs="Times New Roman"/>
          <w:sz w:val="24"/>
          <w:szCs w:val="24"/>
        </w:rPr>
        <w:t xml:space="preserve">may have </w:t>
      </w:r>
      <w:r w:rsidR="0061160D" w:rsidRPr="00C510F1">
        <w:rPr>
          <w:rFonts w:ascii="Times New Roman" w:hAnsi="Times New Roman" w:cs="Times New Roman"/>
          <w:sz w:val="24"/>
          <w:szCs w:val="24"/>
        </w:rPr>
        <w:t xml:space="preserve">exerted a significant impact at some points in the past.  </w:t>
      </w:r>
      <w:r w:rsidR="00D77E14" w:rsidRPr="00C510F1">
        <w:rPr>
          <w:rFonts w:ascii="Times New Roman" w:hAnsi="Times New Roman" w:cs="Times New Roman"/>
          <w:sz w:val="24"/>
          <w:szCs w:val="24"/>
        </w:rPr>
        <w:t xml:space="preserve">Over the </w:t>
      </w:r>
      <w:r w:rsidR="00D77E14" w:rsidRPr="00C510F1">
        <w:rPr>
          <w:rFonts w:ascii="Times New Roman" w:hAnsi="Times New Roman" w:cs="Times New Roman"/>
          <w:sz w:val="24"/>
          <w:szCs w:val="24"/>
        </w:rPr>
        <w:lastRenderedPageBreak/>
        <w:t xml:space="preserve">period since both indexes have been </w:t>
      </w:r>
      <w:r w:rsidR="004D420B" w:rsidRPr="00C510F1">
        <w:rPr>
          <w:rFonts w:ascii="Times New Roman" w:hAnsi="Times New Roman" w:cs="Times New Roman"/>
          <w:sz w:val="24"/>
          <w:szCs w:val="24"/>
        </w:rPr>
        <w:t xml:space="preserve">continuously </w:t>
      </w:r>
      <w:r w:rsidR="00D77E14" w:rsidRPr="00C510F1">
        <w:rPr>
          <w:rFonts w:ascii="Times New Roman" w:hAnsi="Times New Roman" w:cs="Times New Roman"/>
          <w:sz w:val="24"/>
          <w:szCs w:val="24"/>
        </w:rPr>
        <w:t xml:space="preserve">available (since </w:t>
      </w:r>
      <w:r w:rsidR="00F707FD" w:rsidRPr="00074F9D">
        <w:rPr>
          <w:rFonts w:ascii="Times New Roman" w:hAnsi="Times New Roman" w:cs="Times New Roman"/>
          <w:sz w:val="24"/>
          <w:szCs w:val="24"/>
        </w:rPr>
        <w:t>February 2011</w:t>
      </w:r>
      <w:r w:rsidR="00D77E14" w:rsidRPr="00C510F1">
        <w:rPr>
          <w:rFonts w:ascii="Times New Roman" w:hAnsi="Times New Roman" w:cs="Times New Roman"/>
          <w:sz w:val="24"/>
          <w:szCs w:val="24"/>
        </w:rPr>
        <w:t xml:space="preserve">), the BVAL </w:t>
      </w:r>
      <w:r w:rsidR="00E82D6A" w:rsidRPr="00C510F1">
        <w:rPr>
          <w:rFonts w:ascii="Times New Roman" w:hAnsi="Times New Roman" w:cs="Times New Roman"/>
          <w:sz w:val="24"/>
          <w:szCs w:val="24"/>
        </w:rPr>
        <w:t xml:space="preserve">index </w:t>
      </w:r>
      <w:r w:rsidR="00D77E14" w:rsidRPr="00C510F1">
        <w:rPr>
          <w:rFonts w:ascii="Times New Roman" w:hAnsi="Times New Roman" w:cs="Times New Roman"/>
          <w:sz w:val="24"/>
          <w:szCs w:val="24"/>
        </w:rPr>
        <w:t xml:space="preserve">initially exceeded the RBA index by </w:t>
      </w:r>
      <w:r w:rsidR="009C05DA" w:rsidRPr="00C510F1">
        <w:rPr>
          <w:rFonts w:ascii="Times New Roman" w:hAnsi="Times New Roman" w:cs="Times New Roman"/>
          <w:sz w:val="24"/>
          <w:szCs w:val="24"/>
        </w:rPr>
        <w:t>0.44</w:t>
      </w:r>
      <w:r w:rsidR="004D420B" w:rsidRPr="00C510F1">
        <w:rPr>
          <w:rFonts w:ascii="Times New Roman" w:hAnsi="Times New Roman" w:cs="Times New Roman"/>
          <w:sz w:val="24"/>
          <w:szCs w:val="24"/>
        </w:rPr>
        <w:t xml:space="preserve">% but the situation quickly reversed and the RBA index has exceeded the BVAL since then by </w:t>
      </w:r>
      <w:r w:rsidR="009C05DA" w:rsidRPr="00C510F1">
        <w:rPr>
          <w:rFonts w:ascii="Times New Roman" w:hAnsi="Times New Roman" w:cs="Times New Roman"/>
          <w:sz w:val="24"/>
          <w:szCs w:val="24"/>
        </w:rPr>
        <w:t xml:space="preserve">between 0.07% and 0.97% with </w:t>
      </w:r>
      <w:r w:rsidR="004D420B" w:rsidRPr="00C510F1">
        <w:rPr>
          <w:rFonts w:ascii="Times New Roman" w:hAnsi="Times New Roman" w:cs="Times New Roman"/>
          <w:sz w:val="24"/>
          <w:szCs w:val="24"/>
        </w:rPr>
        <w:t>an average of 0.5</w:t>
      </w:r>
      <w:r w:rsidR="009C05DA" w:rsidRPr="00C510F1">
        <w:rPr>
          <w:rFonts w:ascii="Times New Roman" w:hAnsi="Times New Roman" w:cs="Times New Roman"/>
          <w:sz w:val="24"/>
          <w:szCs w:val="24"/>
        </w:rPr>
        <w:t>0</w:t>
      </w:r>
      <w:r w:rsidR="004D420B" w:rsidRPr="00C510F1">
        <w:rPr>
          <w:rFonts w:ascii="Times New Roman" w:hAnsi="Times New Roman" w:cs="Times New Roman"/>
          <w:sz w:val="24"/>
          <w:szCs w:val="24"/>
        </w:rPr>
        <w:t>%.</w:t>
      </w:r>
      <w:r w:rsidR="00A96DB3">
        <w:rPr>
          <w:rStyle w:val="FootnoteReference"/>
          <w:rFonts w:ascii="Times New Roman" w:hAnsi="Times New Roman" w:cs="Times New Roman"/>
          <w:sz w:val="24"/>
          <w:szCs w:val="24"/>
        </w:rPr>
        <w:footnoteReference w:id="19"/>
      </w:r>
      <w:r w:rsidR="004D420B" w:rsidRPr="00C510F1">
        <w:rPr>
          <w:rFonts w:ascii="Times New Roman" w:hAnsi="Times New Roman" w:cs="Times New Roman"/>
          <w:sz w:val="24"/>
          <w:szCs w:val="24"/>
        </w:rPr>
        <w:t xml:space="preserve">  </w:t>
      </w:r>
      <w:r w:rsidR="00A81A11" w:rsidRPr="00C510F1">
        <w:rPr>
          <w:rFonts w:ascii="Times New Roman" w:hAnsi="Times New Roman" w:cs="Times New Roman"/>
          <w:sz w:val="24"/>
          <w:szCs w:val="24"/>
        </w:rPr>
        <w:t xml:space="preserve">The most likely cause of this </w:t>
      </w:r>
      <w:r w:rsidR="00A96DB3">
        <w:rPr>
          <w:rFonts w:ascii="Times New Roman" w:hAnsi="Times New Roman" w:cs="Times New Roman"/>
          <w:sz w:val="24"/>
          <w:szCs w:val="24"/>
        </w:rPr>
        <w:t xml:space="preserve">substantial </w:t>
      </w:r>
      <w:r w:rsidR="00A81A11" w:rsidRPr="00C510F1">
        <w:rPr>
          <w:rFonts w:ascii="Times New Roman" w:hAnsi="Times New Roman" w:cs="Times New Roman"/>
          <w:sz w:val="24"/>
          <w:szCs w:val="24"/>
        </w:rPr>
        <w:t xml:space="preserve">fluctuation is the inclusion of </w:t>
      </w:r>
      <w:r w:rsidR="004D420B" w:rsidRPr="00C510F1">
        <w:rPr>
          <w:rFonts w:ascii="Times New Roman" w:hAnsi="Times New Roman" w:cs="Times New Roman"/>
          <w:sz w:val="24"/>
          <w:szCs w:val="24"/>
        </w:rPr>
        <w:t xml:space="preserve">foreign-currency </w:t>
      </w:r>
      <w:r w:rsidR="00A81A11" w:rsidRPr="00C510F1">
        <w:rPr>
          <w:rFonts w:ascii="Times New Roman" w:hAnsi="Times New Roman" w:cs="Times New Roman"/>
          <w:sz w:val="24"/>
          <w:szCs w:val="24"/>
        </w:rPr>
        <w:t>bonds in the RBA index</w:t>
      </w:r>
      <w:r w:rsidR="00BC6C4B" w:rsidRPr="00C510F1">
        <w:rPr>
          <w:rFonts w:ascii="Times New Roman" w:hAnsi="Times New Roman" w:cs="Times New Roman"/>
          <w:sz w:val="24"/>
          <w:szCs w:val="24"/>
        </w:rPr>
        <w:t xml:space="preserve">.  </w:t>
      </w:r>
      <w:r w:rsidR="005A599F" w:rsidRPr="00C510F1">
        <w:rPr>
          <w:rFonts w:ascii="Times New Roman" w:hAnsi="Times New Roman" w:cs="Times New Roman"/>
          <w:sz w:val="24"/>
          <w:szCs w:val="24"/>
        </w:rPr>
        <w:t>Finally, on the question of which index better reflects the cost of debt for</w:t>
      </w:r>
      <w:r w:rsidR="0035024C" w:rsidRPr="00C510F1">
        <w:rPr>
          <w:rFonts w:ascii="Times New Roman" w:hAnsi="Times New Roman" w:cs="Times New Roman"/>
          <w:sz w:val="24"/>
          <w:szCs w:val="24"/>
        </w:rPr>
        <w:t xml:space="preserve"> the efficient benchmark entity</w:t>
      </w:r>
      <w:r w:rsidR="00CE528C" w:rsidRPr="00C510F1">
        <w:rPr>
          <w:rFonts w:ascii="Times New Roman" w:hAnsi="Times New Roman" w:cs="Times New Roman"/>
          <w:sz w:val="24"/>
          <w:szCs w:val="24"/>
        </w:rPr>
        <w:t xml:space="preserve">, there is no clear winner.  The inclusion of secured bonds in the RBA index will generate results that better reflect the benchmark entity (whether it has secured bonds or not).  However, by excluding bonds with embedded options, the BVAL index better reflects the benchmark entity (which </w:t>
      </w:r>
      <w:r w:rsidR="00F32BEA" w:rsidRPr="00C510F1">
        <w:rPr>
          <w:rFonts w:ascii="Times New Roman" w:hAnsi="Times New Roman" w:cs="Times New Roman"/>
          <w:sz w:val="24"/>
          <w:szCs w:val="24"/>
        </w:rPr>
        <w:t>should be defined as not having any such options because the regulatory process cannot allow for them</w:t>
      </w:r>
      <w:r w:rsidR="00A34C59" w:rsidRPr="00C510F1">
        <w:rPr>
          <w:rFonts w:ascii="Times New Roman" w:hAnsi="Times New Roman" w:cs="Times New Roman"/>
          <w:sz w:val="24"/>
          <w:szCs w:val="24"/>
        </w:rPr>
        <w:t>, as discussed in section 2.1</w:t>
      </w:r>
      <w:r w:rsidR="00CE528C" w:rsidRPr="00C510F1">
        <w:rPr>
          <w:rFonts w:ascii="Times New Roman" w:hAnsi="Times New Roman" w:cs="Times New Roman"/>
          <w:sz w:val="24"/>
          <w:szCs w:val="24"/>
        </w:rPr>
        <w:t>).</w:t>
      </w:r>
      <w:r w:rsidR="00CE528C">
        <w:rPr>
          <w:rFonts w:ascii="Times New Roman" w:hAnsi="Times New Roman" w:cs="Times New Roman"/>
          <w:sz w:val="24"/>
          <w:szCs w:val="24"/>
        </w:rPr>
        <w:t xml:space="preserve">  </w:t>
      </w:r>
    </w:p>
    <w:p w:rsidR="0071495C" w:rsidRDefault="0071495C" w:rsidP="00122250">
      <w:pPr>
        <w:pStyle w:val="ListParagraph"/>
        <w:spacing w:after="0" w:line="360" w:lineRule="auto"/>
        <w:ind w:left="0"/>
        <w:jc w:val="both"/>
        <w:rPr>
          <w:rFonts w:ascii="Times New Roman" w:hAnsi="Times New Roman" w:cs="Times New Roman"/>
          <w:sz w:val="24"/>
          <w:szCs w:val="24"/>
        </w:rPr>
      </w:pPr>
    </w:p>
    <w:p w:rsidR="00475D02" w:rsidRPr="00475D02" w:rsidRDefault="00475D02" w:rsidP="00475D02">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Curve Fitting Methodology</w:t>
      </w:r>
    </w:p>
    <w:p w:rsidR="00475D02" w:rsidRDefault="00475D02" w:rsidP="00122250">
      <w:pPr>
        <w:pStyle w:val="ListParagraph"/>
        <w:spacing w:after="0" w:line="360" w:lineRule="auto"/>
        <w:ind w:left="0"/>
        <w:jc w:val="both"/>
        <w:rPr>
          <w:rFonts w:ascii="Times New Roman" w:hAnsi="Times New Roman" w:cs="Times New Roman"/>
          <w:sz w:val="24"/>
          <w:szCs w:val="24"/>
        </w:rPr>
      </w:pPr>
    </w:p>
    <w:p w:rsidR="00475D02" w:rsidRDefault="007143C3"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Arsov et al (2013) provides considerable detail on the curve fitting methodology adopted by the RBA.  By contrast, Bloomberg is much less forthcoming and the only clear point of distinction is that the </w:t>
      </w:r>
      <w:r w:rsidR="00A94F05">
        <w:rPr>
          <w:rFonts w:ascii="Times New Roman" w:hAnsi="Times New Roman" w:cs="Times New Roman"/>
          <w:sz w:val="24"/>
          <w:szCs w:val="24"/>
        </w:rPr>
        <w:t xml:space="preserve">BVAL yields are par yields whilst the </w:t>
      </w:r>
      <w:r>
        <w:rPr>
          <w:rFonts w:ascii="Times New Roman" w:hAnsi="Times New Roman" w:cs="Times New Roman"/>
          <w:sz w:val="24"/>
          <w:szCs w:val="24"/>
        </w:rPr>
        <w:t xml:space="preserve">RBA </w:t>
      </w:r>
      <w:r w:rsidR="00A94F05">
        <w:rPr>
          <w:rFonts w:ascii="Times New Roman" w:hAnsi="Times New Roman" w:cs="Times New Roman"/>
          <w:sz w:val="24"/>
          <w:szCs w:val="24"/>
        </w:rPr>
        <w:t xml:space="preserve">yields are not </w:t>
      </w:r>
      <w:r w:rsidR="008A1350">
        <w:rPr>
          <w:rFonts w:ascii="Times New Roman" w:hAnsi="Times New Roman" w:cs="Times New Roman"/>
          <w:sz w:val="24"/>
          <w:szCs w:val="24"/>
        </w:rPr>
        <w:t>(</w:t>
      </w:r>
      <w:r w:rsidR="00497577">
        <w:rPr>
          <w:rFonts w:ascii="Times New Roman" w:hAnsi="Times New Roman" w:cs="Times New Roman"/>
          <w:sz w:val="24"/>
          <w:szCs w:val="24"/>
        </w:rPr>
        <w:t xml:space="preserve">REU, </w:t>
      </w:r>
      <w:r w:rsidR="009C05DA">
        <w:rPr>
          <w:rFonts w:ascii="Times New Roman" w:hAnsi="Times New Roman" w:cs="Times New Roman"/>
          <w:sz w:val="24"/>
          <w:szCs w:val="24"/>
        </w:rPr>
        <w:t>2014, pp. 13-14</w:t>
      </w:r>
      <w:r w:rsidR="008A1350">
        <w:rPr>
          <w:rFonts w:ascii="Times New Roman" w:hAnsi="Times New Roman" w:cs="Times New Roman"/>
          <w:sz w:val="24"/>
          <w:szCs w:val="24"/>
        </w:rPr>
        <w:t>).  This issu</w:t>
      </w:r>
      <w:r w:rsidR="00585A28">
        <w:rPr>
          <w:rFonts w:ascii="Times New Roman" w:hAnsi="Times New Roman" w:cs="Times New Roman"/>
          <w:sz w:val="24"/>
          <w:szCs w:val="24"/>
        </w:rPr>
        <w:t>e has been examined in section 2.1</w:t>
      </w:r>
      <w:r w:rsidR="008A1350">
        <w:rPr>
          <w:rFonts w:ascii="Times New Roman" w:hAnsi="Times New Roman" w:cs="Times New Roman"/>
          <w:sz w:val="24"/>
          <w:szCs w:val="24"/>
        </w:rPr>
        <w:t xml:space="preserve"> and it is argued there that par yield results are more appropriate for the AER’s p</w:t>
      </w:r>
      <w:r w:rsidR="009C05DA">
        <w:rPr>
          <w:rFonts w:ascii="Times New Roman" w:hAnsi="Times New Roman" w:cs="Times New Roman"/>
          <w:sz w:val="24"/>
          <w:szCs w:val="24"/>
        </w:rPr>
        <w:t>urposes (</w:t>
      </w:r>
      <w:r w:rsidR="00A94F05">
        <w:rPr>
          <w:rFonts w:ascii="Times New Roman" w:hAnsi="Times New Roman" w:cs="Times New Roman"/>
          <w:sz w:val="24"/>
          <w:szCs w:val="24"/>
        </w:rPr>
        <w:t xml:space="preserve">i.e., </w:t>
      </w:r>
      <w:r w:rsidR="009C05DA">
        <w:rPr>
          <w:rFonts w:ascii="Times New Roman" w:hAnsi="Times New Roman" w:cs="Times New Roman"/>
          <w:sz w:val="24"/>
          <w:szCs w:val="24"/>
        </w:rPr>
        <w:t xml:space="preserve">the BVAL is superior), that the error from failing to use </w:t>
      </w:r>
      <w:r w:rsidR="008003E7">
        <w:rPr>
          <w:rFonts w:ascii="Times New Roman" w:hAnsi="Times New Roman" w:cs="Times New Roman"/>
          <w:sz w:val="24"/>
          <w:szCs w:val="24"/>
        </w:rPr>
        <w:t xml:space="preserve">par yields </w:t>
      </w:r>
      <w:r w:rsidR="009C05DA">
        <w:rPr>
          <w:rFonts w:ascii="Times New Roman" w:hAnsi="Times New Roman" w:cs="Times New Roman"/>
          <w:sz w:val="24"/>
          <w:szCs w:val="24"/>
        </w:rPr>
        <w:t xml:space="preserve">would not exceed 0.06% when the slope of the spot yield curve is typical, and that the error would not exceed 0.24% when the slope of the spot yield curve was at its greatest.  </w:t>
      </w:r>
      <w:r w:rsidR="00A94F05">
        <w:rPr>
          <w:rFonts w:ascii="Times New Roman" w:hAnsi="Times New Roman" w:cs="Times New Roman"/>
          <w:sz w:val="24"/>
          <w:szCs w:val="24"/>
        </w:rPr>
        <w:t xml:space="preserve">These upper limits would only arise if the RBA index estimated the yield at a particular tenor using bonds with extreme coupon rates, and therefore are unlikely to arise.  In addition, the error from failing to use a par yield could be in either direction (too low or too high).  Thus, </w:t>
      </w:r>
      <w:r w:rsidR="008003E7">
        <w:rPr>
          <w:rFonts w:ascii="Times New Roman" w:hAnsi="Times New Roman" w:cs="Times New Roman"/>
          <w:sz w:val="24"/>
          <w:szCs w:val="24"/>
        </w:rPr>
        <w:t xml:space="preserve">the differences between the BVAL and RBA indexes in this respect are neither material nor systematic.  Finally, since the </w:t>
      </w:r>
      <w:r w:rsidR="009C05DA">
        <w:rPr>
          <w:rFonts w:ascii="Times New Roman" w:hAnsi="Times New Roman" w:cs="Times New Roman"/>
          <w:sz w:val="24"/>
          <w:szCs w:val="24"/>
        </w:rPr>
        <w:t xml:space="preserve">BVAL index has exceeded the RBA index by as much as 0.44%, and the RBA index has exceeded the BVAL by as much as 0.97%, the par yield issue could have contributed </w:t>
      </w:r>
      <w:r w:rsidR="00A94F05">
        <w:rPr>
          <w:rFonts w:ascii="Times New Roman" w:hAnsi="Times New Roman" w:cs="Times New Roman"/>
          <w:sz w:val="24"/>
          <w:szCs w:val="24"/>
        </w:rPr>
        <w:t xml:space="preserve">at most </w:t>
      </w:r>
      <w:r w:rsidR="009C05DA">
        <w:rPr>
          <w:rFonts w:ascii="Times New Roman" w:hAnsi="Times New Roman" w:cs="Times New Roman"/>
          <w:sz w:val="24"/>
          <w:szCs w:val="24"/>
        </w:rPr>
        <w:t>only a small part to these diffe</w:t>
      </w:r>
      <w:r w:rsidR="000F62E8">
        <w:rPr>
          <w:rFonts w:ascii="Times New Roman" w:hAnsi="Times New Roman" w:cs="Times New Roman"/>
          <w:sz w:val="24"/>
          <w:szCs w:val="24"/>
        </w:rPr>
        <w:t>rences.</w:t>
      </w:r>
    </w:p>
    <w:p w:rsidR="000F62E8" w:rsidRDefault="000F62E8" w:rsidP="00122250">
      <w:pPr>
        <w:pStyle w:val="ListParagraph"/>
        <w:spacing w:after="0" w:line="360" w:lineRule="auto"/>
        <w:ind w:left="0"/>
        <w:jc w:val="both"/>
        <w:rPr>
          <w:rFonts w:ascii="Times New Roman" w:hAnsi="Times New Roman" w:cs="Times New Roman"/>
          <w:sz w:val="24"/>
          <w:szCs w:val="24"/>
        </w:rPr>
      </w:pPr>
    </w:p>
    <w:p w:rsidR="000F62E8" w:rsidRDefault="000F62E8"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and in respect of curve fitting methodology, the only clear point of distinction between the BVAL and RBA indexes is that the BVAL yields are par yields whilst the RBA yields are not.  Par yields are more appropriate for the AER’s purposes but the differences are neither material nor systematic. </w:t>
      </w:r>
    </w:p>
    <w:p w:rsidR="00475D02" w:rsidRPr="00E7020C" w:rsidRDefault="00475D02" w:rsidP="00122250">
      <w:pPr>
        <w:pStyle w:val="ListParagraph"/>
        <w:spacing w:after="0" w:line="360" w:lineRule="auto"/>
        <w:ind w:left="0"/>
        <w:jc w:val="both"/>
        <w:rPr>
          <w:rFonts w:ascii="Times New Roman" w:hAnsi="Times New Roman" w:cs="Times New Roman"/>
          <w:sz w:val="24"/>
          <w:szCs w:val="24"/>
        </w:rPr>
      </w:pPr>
    </w:p>
    <w:p w:rsidR="00122250" w:rsidRPr="00137D58" w:rsidRDefault="00DB50A4" w:rsidP="00122250">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Curve Extrapolation</w:t>
      </w:r>
    </w:p>
    <w:p w:rsidR="00BD5B70" w:rsidRDefault="00BD5B70" w:rsidP="00122250">
      <w:pPr>
        <w:pStyle w:val="ListParagraph"/>
        <w:spacing w:after="0" w:line="360" w:lineRule="auto"/>
        <w:ind w:left="0"/>
        <w:jc w:val="both"/>
        <w:rPr>
          <w:rFonts w:ascii="Times New Roman" w:hAnsi="Times New Roman" w:cs="Times New Roman"/>
          <w:sz w:val="24"/>
          <w:szCs w:val="24"/>
        </w:rPr>
      </w:pPr>
    </w:p>
    <w:p w:rsidR="007E6C11" w:rsidRDefault="008A0F83"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Both the RBA and BVAL indexes require </w:t>
      </w:r>
      <w:r w:rsidR="00B17F4C">
        <w:rPr>
          <w:rFonts w:ascii="Times New Roman" w:hAnsi="Times New Roman" w:cs="Times New Roman"/>
          <w:sz w:val="24"/>
          <w:szCs w:val="24"/>
        </w:rPr>
        <w:t xml:space="preserve">extension </w:t>
      </w:r>
      <w:r>
        <w:rPr>
          <w:rFonts w:ascii="Times New Roman" w:hAnsi="Times New Roman" w:cs="Times New Roman"/>
          <w:sz w:val="24"/>
          <w:szCs w:val="24"/>
        </w:rPr>
        <w:t xml:space="preserve">out to ten years, the latter because the longest tenor is </w:t>
      </w:r>
      <w:r w:rsidR="008C0FB9">
        <w:rPr>
          <w:rFonts w:ascii="Times New Roman" w:hAnsi="Times New Roman" w:cs="Times New Roman"/>
          <w:sz w:val="24"/>
          <w:szCs w:val="24"/>
        </w:rPr>
        <w:t xml:space="preserve">only seven </w:t>
      </w:r>
      <w:r>
        <w:rPr>
          <w:rFonts w:ascii="Times New Roman" w:hAnsi="Times New Roman" w:cs="Times New Roman"/>
          <w:sz w:val="24"/>
          <w:szCs w:val="24"/>
        </w:rPr>
        <w:t>years</w:t>
      </w:r>
      <w:r w:rsidR="00F438D1">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and the former because the effective tenor for the</w:t>
      </w:r>
      <w:r w:rsidR="00580656">
        <w:rPr>
          <w:rFonts w:ascii="Times New Roman" w:hAnsi="Times New Roman" w:cs="Times New Roman"/>
          <w:sz w:val="24"/>
          <w:szCs w:val="24"/>
        </w:rPr>
        <w:t xml:space="preserve"> DRP component of the</w:t>
      </w:r>
      <w:r>
        <w:rPr>
          <w:rFonts w:ascii="Times New Roman" w:hAnsi="Times New Roman" w:cs="Times New Roman"/>
          <w:sz w:val="24"/>
          <w:szCs w:val="24"/>
        </w:rPr>
        <w:t xml:space="preserve"> ten-year term is generally less </w:t>
      </w:r>
      <w:r w:rsidR="00585A28">
        <w:rPr>
          <w:rFonts w:ascii="Times New Roman" w:hAnsi="Times New Roman" w:cs="Times New Roman"/>
          <w:sz w:val="24"/>
          <w:szCs w:val="24"/>
        </w:rPr>
        <w:t xml:space="preserve">than ten years </w:t>
      </w:r>
      <w:r>
        <w:rPr>
          <w:rFonts w:ascii="Times New Roman" w:hAnsi="Times New Roman" w:cs="Times New Roman"/>
          <w:sz w:val="24"/>
          <w:szCs w:val="24"/>
        </w:rPr>
        <w:t xml:space="preserve">(and has averaged 8.7 years since its inception).  </w:t>
      </w:r>
      <w:r w:rsidR="007E6C11">
        <w:rPr>
          <w:rFonts w:ascii="Times New Roman" w:hAnsi="Times New Roman" w:cs="Times New Roman"/>
          <w:sz w:val="24"/>
          <w:szCs w:val="24"/>
        </w:rPr>
        <w:t xml:space="preserve">I therefore examine techniques for </w:t>
      </w:r>
      <w:r w:rsidR="00B17F4C">
        <w:rPr>
          <w:rFonts w:ascii="Times New Roman" w:hAnsi="Times New Roman" w:cs="Times New Roman"/>
          <w:sz w:val="24"/>
          <w:szCs w:val="24"/>
        </w:rPr>
        <w:t xml:space="preserve">extending the </w:t>
      </w:r>
      <w:r w:rsidR="007E6C11">
        <w:rPr>
          <w:rFonts w:ascii="Times New Roman" w:hAnsi="Times New Roman" w:cs="Times New Roman"/>
          <w:sz w:val="24"/>
          <w:szCs w:val="24"/>
        </w:rPr>
        <w:t xml:space="preserve">index </w:t>
      </w:r>
      <w:r w:rsidR="00B17F4C">
        <w:rPr>
          <w:rFonts w:ascii="Times New Roman" w:hAnsi="Times New Roman" w:cs="Times New Roman"/>
          <w:sz w:val="24"/>
          <w:szCs w:val="24"/>
        </w:rPr>
        <w:t xml:space="preserve">values </w:t>
      </w:r>
      <w:r w:rsidR="007E6C11">
        <w:rPr>
          <w:rFonts w:ascii="Times New Roman" w:hAnsi="Times New Roman" w:cs="Times New Roman"/>
          <w:sz w:val="24"/>
          <w:szCs w:val="24"/>
        </w:rPr>
        <w:t>out to ten years</w:t>
      </w:r>
      <w:r w:rsidR="008003E7">
        <w:rPr>
          <w:rFonts w:ascii="Times New Roman" w:hAnsi="Times New Roman" w:cs="Times New Roman"/>
          <w:sz w:val="24"/>
          <w:szCs w:val="24"/>
        </w:rPr>
        <w:t xml:space="preserve"> subject to </w:t>
      </w:r>
      <w:r w:rsidR="00E82D6A">
        <w:rPr>
          <w:rFonts w:ascii="Times New Roman" w:hAnsi="Times New Roman" w:cs="Times New Roman"/>
          <w:sz w:val="24"/>
          <w:szCs w:val="24"/>
        </w:rPr>
        <w:t xml:space="preserve">these techniques </w:t>
      </w:r>
      <w:r w:rsidR="008003E7">
        <w:rPr>
          <w:rFonts w:ascii="Times New Roman" w:hAnsi="Times New Roman" w:cs="Times New Roman"/>
          <w:sz w:val="24"/>
          <w:szCs w:val="24"/>
        </w:rPr>
        <w:t>involving the automatic application of a formula.</w:t>
      </w:r>
    </w:p>
    <w:p w:rsidR="007E6C11" w:rsidRDefault="007E6C11" w:rsidP="00122250">
      <w:pPr>
        <w:pStyle w:val="ListParagraph"/>
        <w:spacing w:after="0" w:line="360" w:lineRule="auto"/>
        <w:ind w:left="0"/>
        <w:jc w:val="both"/>
        <w:rPr>
          <w:rFonts w:ascii="Times New Roman" w:hAnsi="Times New Roman" w:cs="Times New Roman"/>
          <w:sz w:val="24"/>
          <w:szCs w:val="24"/>
        </w:rPr>
      </w:pPr>
    </w:p>
    <w:p w:rsidR="00714CA7" w:rsidRDefault="00580656"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start with the RBA.  Although the index is a cost of debt, it can be decomposed into a base rate (CGS or swap rate) and a DRP relative to the base rate, and doing so allows different extension techniques to be applied to the two components.  </w:t>
      </w:r>
      <w:r w:rsidR="007E6C11">
        <w:rPr>
          <w:rFonts w:ascii="Times New Roman" w:hAnsi="Times New Roman" w:cs="Times New Roman"/>
          <w:sz w:val="24"/>
          <w:szCs w:val="24"/>
        </w:rPr>
        <w:t xml:space="preserve">In respect of the </w:t>
      </w:r>
      <w:r>
        <w:rPr>
          <w:rFonts w:ascii="Times New Roman" w:hAnsi="Times New Roman" w:cs="Times New Roman"/>
          <w:sz w:val="24"/>
          <w:szCs w:val="24"/>
        </w:rPr>
        <w:t>DRP</w:t>
      </w:r>
      <w:r w:rsidR="007E6C11">
        <w:rPr>
          <w:rFonts w:ascii="Times New Roman" w:hAnsi="Times New Roman" w:cs="Times New Roman"/>
          <w:sz w:val="24"/>
          <w:szCs w:val="24"/>
        </w:rPr>
        <w:t xml:space="preserve">, the </w:t>
      </w:r>
      <w:r w:rsidR="008A0F83">
        <w:rPr>
          <w:rFonts w:ascii="Times New Roman" w:hAnsi="Times New Roman" w:cs="Times New Roman"/>
          <w:sz w:val="24"/>
          <w:szCs w:val="24"/>
        </w:rPr>
        <w:t xml:space="preserve">required </w:t>
      </w:r>
      <w:r w:rsidR="00B17F4C">
        <w:rPr>
          <w:rFonts w:ascii="Times New Roman" w:hAnsi="Times New Roman" w:cs="Times New Roman"/>
          <w:sz w:val="24"/>
          <w:szCs w:val="24"/>
        </w:rPr>
        <w:t xml:space="preserve">extension </w:t>
      </w:r>
      <w:r w:rsidR="008A0F83">
        <w:rPr>
          <w:rFonts w:ascii="Times New Roman" w:hAnsi="Times New Roman" w:cs="Times New Roman"/>
          <w:sz w:val="24"/>
          <w:szCs w:val="24"/>
        </w:rPr>
        <w:t xml:space="preserve">term is </w:t>
      </w:r>
      <w:r w:rsidR="007E6C11">
        <w:rPr>
          <w:rFonts w:ascii="Times New Roman" w:hAnsi="Times New Roman" w:cs="Times New Roman"/>
          <w:sz w:val="24"/>
          <w:szCs w:val="24"/>
        </w:rPr>
        <w:t xml:space="preserve">only 1.3 years (on average), and this favours a simple </w:t>
      </w:r>
      <w:r w:rsidR="00B17F4C">
        <w:rPr>
          <w:rFonts w:ascii="Times New Roman" w:hAnsi="Times New Roman" w:cs="Times New Roman"/>
          <w:sz w:val="24"/>
          <w:szCs w:val="24"/>
        </w:rPr>
        <w:t xml:space="preserve">extension </w:t>
      </w:r>
      <w:r w:rsidR="007E6C11">
        <w:rPr>
          <w:rFonts w:ascii="Times New Roman" w:hAnsi="Times New Roman" w:cs="Times New Roman"/>
          <w:sz w:val="24"/>
          <w:szCs w:val="24"/>
        </w:rPr>
        <w:t xml:space="preserve">technique (because the downside to simplicity, which is error, is likely to be small).  The </w:t>
      </w:r>
      <w:r w:rsidR="008A0F83">
        <w:rPr>
          <w:rFonts w:ascii="Times New Roman" w:hAnsi="Times New Roman" w:cs="Times New Roman"/>
          <w:sz w:val="24"/>
          <w:szCs w:val="24"/>
        </w:rPr>
        <w:t xml:space="preserve">natural candidate is </w:t>
      </w:r>
      <w:r w:rsidR="007E6C11">
        <w:rPr>
          <w:rFonts w:ascii="Times New Roman" w:hAnsi="Times New Roman" w:cs="Times New Roman"/>
          <w:sz w:val="24"/>
          <w:szCs w:val="24"/>
        </w:rPr>
        <w:t xml:space="preserve">therefore </w:t>
      </w:r>
      <w:r w:rsidR="008A0F83">
        <w:rPr>
          <w:rFonts w:ascii="Times New Roman" w:hAnsi="Times New Roman" w:cs="Times New Roman"/>
          <w:sz w:val="24"/>
          <w:szCs w:val="24"/>
        </w:rPr>
        <w:t xml:space="preserve">linear extrapolation using the </w:t>
      </w:r>
      <w:r w:rsidR="00401367">
        <w:rPr>
          <w:rFonts w:ascii="Times New Roman" w:hAnsi="Times New Roman" w:cs="Times New Roman"/>
          <w:sz w:val="24"/>
          <w:szCs w:val="24"/>
        </w:rPr>
        <w:t xml:space="preserve">effective tenors for both the ‘seven’ and ‘ten’ year values.  </w:t>
      </w:r>
      <w:r w:rsidR="007E6C11">
        <w:rPr>
          <w:rFonts w:ascii="Times New Roman" w:hAnsi="Times New Roman" w:cs="Times New Roman"/>
          <w:sz w:val="24"/>
          <w:szCs w:val="24"/>
        </w:rPr>
        <w:t xml:space="preserve">Letting </w:t>
      </w:r>
      <w:r w:rsidR="00F36C82" w:rsidRPr="00F36C82">
        <w:rPr>
          <w:rFonts w:ascii="Times New Roman" w:hAnsi="Times New Roman" w:cs="Times New Roman"/>
          <w:sz w:val="24"/>
          <w:szCs w:val="24"/>
        </w:rPr>
        <w:t>10</w:t>
      </w:r>
      <w:r w:rsidR="007E6C11" w:rsidRPr="004F5FCD">
        <w:rPr>
          <w:rFonts w:ascii="Times New Roman" w:hAnsi="Times New Roman" w:cs="Times New Roman"/>
          <w:i/>
          <w:sz w:val="24"/>
          <w:szCs w:val="24"/>
        </w:rPr>
        <w:t>e</w:t>
      </w:r>
      <w:r w:rsidR="007E6C11">
        <w:rPr>
          <w:rFonts w:ascii="Times New Roman" w:hAnsi="Times New Roman" w:cs="Times New Roman"/>
          <w:sz w:val="24"/>
          <w:szCs w:val="24"/>
        </w:rPr>
        <w:t xml:space="preserve"> denote the effective tenor corresponding to </w:t>
      </w:r>
      <w:r w:rsidR="00F36C82">
        <w:rPr>
          <w:rFonts w:ascii="Times New Roman" w:hAnsi="Times New Roman" w:cs="Times New Roman"/>
          <w:sz w:val="24"/>
          <w:szCs w:val="24"/>
        </w:rPr>
        <w:t>10</w:t>
      </w:r>
      <w:r w:rsidR="007E6C11">
        <w:rPr>
          <w:rFonts w:ascii="Times New Roman" w:hAnsi="Times New Roman" w:cs="Times New Roman"/>
          <w:sz w:val="24"/>
          <w:szCs w:val="24"/>
        </w:rPr>
        <w:t xml:space="preserve"> years, the estimate for the </w:t>
      </w:r>
      <w:r w:rsidR="006B4F31">
        <w:rPr>
          <w:rFonts w:ascii="Times New Roman" w:hAnsi="Times New Roman" w:cs="Times New Roman"/>
          <w:sz w:val="24"/>
          <w:szCs w:val="24"/>
        </w:rPr>
        <w:t xml:space="preserve">RBA </w:t>
      </w:r>
      <w:r w:rsidR="007E6C11">
        <w:rPr>
          <w:rFonts w:ascii="Times New Roman" w:hAnsi="Times New Roman" w:cs="Times New Roman"/>
          <w:sz w:val="24"/>
          <w:szCs w:val="24"/>
        </w:rPr>
        <w:t xml:space="preserve">ten year cost </w:t>
      </w:r>
      <w:r w:rsidR="006B4F31">
        <w:rPr>
          <w:rFonts w:ascii="Times New Roman" w:hAnsi="Times New Roman" w:cs="Times New Roman"/>
          <w:sz w:val="24"/>
          <w:szCs w:val="24"/>
        </w:rPr>
        <w:t xml:space="preserve">of debt </w:t>
      </w:r>
      <w:r w:rsidR="007E6C11">
        <w:rPr>
          <w:rFonts w:ascii="Times New Roman" w:hAnsi="Times New Roman" w:cs="Times New Roman"/>
          <w:sz w:val="24"/>
          <w:szCs w:val="24"/>
        </w:rPr>
        <w:t xml:space="preserve">is </w:t>
      </w:r>
      <w:r w:rsidR="008204D8">
        <w:rPr>
          <w:rFonts w:ascii="Times New Roman" w:hAnsi="Times New Roman" w:cs="Times New Roman"/>
          <w:sz w:val="24"/>
          <w:szCs w:val="24"/>
        </w:rPr>
        <w:t xml:space="preserve">that for </w:t>
      </w:r>
      <w:r w:rsidR="00F36C82">
        <w:rPr>
          <w:rFonts w:ascii="Times New Roman" w:hAnsi="Times New Roman" w:cs="Times New Roman"/>
          <w:sz w:val="24"/>
          <w:szCs w:val="24"/>
        </w:rPr>
        <w:t>10</w:t>
      </w:r>
      <w:r w:rsidR="008204D8" w:rsidRPr="008204D8">
        <w:rPr>
          <w:rFonts w:ascii="Times New Roman" w:hAnsi="Times New Roman" w:cs="Times New Roman"/>
          <w:i/>
          <w:sz w:val="24"/>
          <w:szCs w:val="24"/>
        </w:rPr>
        <w:t>e</w:t>
      </w:r>
      <w:r w:rsidR="008204D8">
        <w:rPr>
          <w:rFonts w:ascii="Times New Roman" w:hAnsi="Times New Roman" w:cs="Times New Roman"/>
          <w:sz w:val="24"/>
          <w:szCs w:val="24"/>
        </w:rPr>
        <w:t xml:space="preserve"> years plus the base rate margin from </w:t>
      </w:r>
      <w:r w:rsidR="00F36C82">
        <w:rPr>
          <w:rFonts w:ascii="Times New Roman" w:hAnsi="Times New Roman" w:cs="Times New Roman"/>
          <w:sz w:val="24"/>
          <w:szCs w:val="24"/>
        </w:rPr>
        <w:t>10</w:t>
      </w:r>
      <w:r w:rsidR="008204D8" w:rsidRPr="008204D8">
        <w:rPr>
          <w:rFonts w:ascii="Times New Roman" w:hAnsi="Times New Roman" w:cs="Times New Roman"/>
          <w:i/>
          <w:sz w:val="24"/>
          <w:szCs w:val="24"/>
        </w:rPr>
        <w:t>e</w:t>
      </w:r>
      <w:r w:rsidR="008204D8">
        <w:rPr>
          <w:rFonts w:ascii="Times New Roman" w:hAnsi="Times New Roman" w:cs="Times New Roman"/>
          <w:sz w:val="24"/>
          <w:szCs w:val="24"/>
        </w:rPr>
        <w:t xml:space="preserve"> to </w:t>
      </w:r>
      <w:r w:rsidR="00F36C82">
        <w:rPr>
          <w:rFonts w:ascii="Times New Roman" w:hAnsi="Times New Roman" w:cs="Times New Roman"/>
          <w:sz w:val="24"/>
          <w:szCs w:val="24"/>
        </w:rPr>
        <w:t>10</w:t>
      </w:r>
      <w:r w:rsidR="008204D8">
        <w:rPr>
          <w:rFonts w:ascii="Times New Roman" w:hAnsi="Times New Roman" w:cs="Times New Roman"/>
          <w:sz w:val="24"/>
          <w:szCs w:val="24"/>
        </w:rPr>
        <w:t xml:space="preserve"> years plus the DRP margin from </w:t>
      </w:r>
      <w:r w:rsidR="00F36C82">
        <w:rPr>
          <w:rFonts w:ascii="Times New Roman" w:hAnsi="Times New Roman" w:cs="Times New Roman"/>
          <w:sz w:val="24"/>
          <w:szCs w:val="24"/>
        </w:rPr>
        <w:t>10</w:t>
      </w:r>
      <w:r w:rsidR="008204D8" w:rsidRPr="008204D8">
        <w:rPr>
          <w:rFonts w:ascii="Times New Roman" w:hAnsi="Times New Roman" w:cs="Times New Roman"/>
          <w:i/>
          <w:sz w:val="24"/>
          <w:szCs w:val="24"/>
        </w:rPr>
        <w:t>e</w:t>
      </w:r>
      <w:r w:rsidR="008204D8">
        <w:rPr>
          <w:rFonts w:ascii="Times New Roman" w:hAnsi="Times New Roman" w:cs="Times New Roman"/>
          <w:sz w:val="24"/>
          <w:szCs w:val="24"/>
        </w:rPr>
        <w:t xml:space="preserve"> to </w:t>
      </w:r>
      <w:r w:rsidR="00F36C82">
        <w:rPr>
          <w:rFonts w:ascii="Times New Roman" w:hAnsi="Times New Roman" w:cs="Times New Roman"/>
          <w:sz w:val="24"/>
          <w:szCs w:val="24"/>
        </w:rPr>
        <w:t>10</w:t>
      </w:r>
      <w:r w:rsidR="008204D8">
        <w:rPr>
          <w:rFonts w:ascii="Times New Roman" w:hAnsi="Times New Roman" w:cs="Times New Roman"/>
          <w:sz w:val="24"/>
          <w:szCs w:val="24"/>
        </w:rPr>
        <w:t xml:space="preserve"> years </w:t>
      </w:r>
      <w:r w:rsidR="007E6C11">
        <w:rPr>
          <w:rFonts w:ascii="Times New Roman" w:hAnsi="Times New Roman" w:cs="Times New Roman"/>
          <w:sz w:val="24"/>
          <w:szCs w:val="24"/>
        </w:rPr>
        <w:t>as follows:</w:t>
      </w:r>
      <w:r w:rsidR="00A54784">
        <w:rPr>
          <w:rStyle w:val="FootnoteReference"/>
          <w:rFonts w:ascii="Times New Roman" w:hAnsi="Times New Roman" w:cs="Times New Roman"/>
          <w:sz w:val="24"/>
          <w:szCs w:val="24"/>
        </w:rPr>
        <w:footnoteReference w:id="21"/>
      </w:r>
      <w:r w:rsidR="00F4784A">
        <w:rPr>
          <w:rStyle w:val="FootnoteReference"/>
          <w:rFonts w:ascii="Times New Roman" w:hAnsi="Times New Roman" w:cs="Times New Roman"/>
          <w:sz w:val="24"/>
          <w:szCs w:val="24"/>
        </w:rPr>
        <w:footnoteReference w:id="22"/>
      </w:r>
    </w:p>
    <w:p w:rsidR="0019231E" w:rsidRDefault="0019231E" w:rsidP="0019231E">
      <w:pPr>
        <w:pStyle w:val="ListParagraph"/>
        <w:spacing w:after="0" w:line="360" w:lineRule="auto"/>
        <w:ind w:left="0"/>
        <w:rPr>
          <w:rFonts w:ascii="Times New Roman" w:hAnsi="Times New Roman" w:cs="Times New Roman"/>
          <w:sz w:val="24"/>
          <w:szCs w:val="24"/>
        </w:rPr>
      </w:pPr>
    </w:p>
    <w:p w:rsidR="00714CA7" w:rsidRDefault="0019231E" w:rsidP="0019231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B7792">
        <w:rPr>
          <w:rFonts w:ascii="Times New Roman" w:hAnsi="Times New Roman" w:cs="Times New Roman"/>
          <w:b/>
          <w:bCs/>
          <w:position w:val="-28"/>
          <w:sz w:val="24"/>
          <w:szCs w:val="24"/>
        </w:rPr>
        <w:object w:dxaOrig="7860" w:dyaOrig="680">
          <v:shape id="_x0000_i1048" type="#_x0000_t75" style="width:393.5pt;height:33.5pt" o:ole="">
            <v:imagedata r:id="rId55" o:title=""/>
          </v:shape>
          <o:OLEObject Type="Embed" ProgID="Equation.3" ShapeID="_x0000_i1048" DrawAspect="Content" ObjectID="_1478385635" r:id="rId56"/>
        </w:object>
      </w:r>
      <w:r>
        <w:rPr>
          <w:rFonts w:ascii="Times New Roman" w:hAnsi="Times New Roman" w:cs="Times New Roman"/>
          <w:b/>
          <w:bCs/>
          <w:sz w:val="24"/>
          <w:szCs w:val="24"/>
        </w:rPr>
        <w:t xml:space="preserve">   </w:t>
      </w:r>
      <w:r w:rsidR="00C03538">
        <w:rPr>
          <w:rFonts w:ascii="Times New Roman" w:hAnsi="Times New Roman" w:cs="Times New Roman"/>
          <w:bCs/>
          <w:sz w:val="24"/>
          <w:szCs w:val="24"/>
        </w:rPr>
        <w:t>(4</w:t>
      </w:r>
      <w:r w:rsidRPr="0019231E">
        <w:rPr>
          <w:rFonts w:ascii="Times New Roman" w:hAnsi="Times New Roman" w:cs="Times New Roman"/>
          <w:bCs/>
          <w:sz w:val="24"/>
          <w:szCs w:val="24"/>
        </w:rPr>
        <w:t>)</w:t>
      </w:r>
    </w:p>
    <w:p w:rsidR="00460380" w:rsidRDefault="00460380" w:rsidP="0019231E">
      <w:pPr>
        <w:pStyle w:val="ListParagraph"/>
        <w:spacing w:after="0" w:line="360" w:lineRule="auto"/>
        <w:ind w:left="0"/>
        <w:jc w:val="center"/>
        <w:rPr>
          <w:rFonts w:ascii="Times New Roman" w:hAnsi="Times New Roman" w:cs="Times New Roman"/>
          <w:sz w:val="24"/>
          <w:szCs w:val="24"/>
        </w:rPr>
      </w:pPr>
    </w:p>
    <w:p w:rsidR="00903199" w:rsidRDefault="00714CA7"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respect of the base </w:t>
      </w:r>
      <w:r w:rsidR="00585A28">
        <w:rPr>
          <w:rFonts w:ascii="Times New Roman" w:hAnsi="Times New Roman" w:cs="Times New Roman"/>
          <w:sz w:val="24"/>
          <w:szCs w:val="24"/>
        </w:rPr>
        <w:t xml:space="preserve">rate, which could be the swap rate or the CGS rate, </w:t>
      </w:r>
      <w:r>
        <w:rPr>
          <w:rFonts w:ascii="Times New Roman" w:hAnsi="Times New Roman" w:cs="Times New Roman"/>
          <w:sz w:val="24"/>
          <w:szCs w:val="24"/>
        </w:rPr>
        <w:t xml:space="preserve">the swap rate is </w:t>
      </w:r>
      <w:r w:rsidR="0019231E">
        <w:rPr>
          <w:rFonts w:ascii="Times New Roman" w:hAnsi="Times New Roman" w:cs="Times New Roman"/>
          <w:sz w:val="24"/>
          <w:szCs w:val="24"/>
        </w:rPr>
        <w:t xml:space="preserve">only available for a limited number of terms (including five, seven and ten years), </w:t>
      </w:r>
      <w:r w:rsidR="00460380">
        <w:rPr>
          <w:rFonts w:ascii="Times New Roman" w:hAnsi="Times New Roman" w:cs="Times New Roman"/>
          <w:sz w:val="24"/>
          <w:szCs w:val="24"/>
        </w:rPr>
        <w:t xml:space="preserve">and </w:t>
      </w:r>
      <w:r w:rsidR="00F36C82">
        <w:rPr>
          <w:rFonts w:ascii="Times New Roman" w:hAnsi="Times New Roman" w:cs="Times New Roman"/>
          <w:sz w:val="24"/>
          <w:szCs w:val="24"/>
        </w:rPr>
        <w:t xml:space="preserve">the average tenors for the seven and ten year bonds (as reported in Table F3) is 6.7 and 8.7 years respectively.  Consequently, </w:t>
      </w:r>
      <w:r w:rsidR="004960E7">
        <w:rPr>
          <w:rFonts w:ascii="Times New Roman" w:hAnsi="Times New Roman" w:cs="Times New Roman"/>
          <w:sz w:val="24"/>
          <w:szCs w:val="24"/>
        </w:rPr>
        <w:t xml:space="preserve">when using the swap rates, </w:t>
      </w:r>
      <w:r w:rsidR="00E67273">
        <w:rPr>
          <w:rFonts w:ascii="Times New Roman" w:hAnsi="Times New Roman" w:cs="Times New Roman"/>
          <w:sz w:val="24"/>
          <w:szCs w:val="24"/>
        </w:rPr>
        <w:t xml:space="preserve">interpolation </w:t>
      </w:r>
      <w:r w:rsidR="00DD67A8">
        <w:rPr>
          <w:rFonts w:ascii="Times New Roman" w:hAnsi="Times New Roman" w:cs="Times New Roman"/>
          <w:sz w:val="24"/>
          <w:szCs w:val="24"/>
        </w:rPr>
        <w:t>(over 1.3 yrs, being 10 yrs less 8.7 yrs</w:t>
      </w:r>
      <w:r w:rsidR="00F36C82">
        <w:rPr>
          <w:rFonts w:ascii="Times New Roman" w:hAnsi="Times New Roman" w:cs="Times New Roman"/>
          <w:sz w:val="24"/>
          <w:szCs w:val="24"/>
        </w:rPr>
        <w:t xml:space="preserve">) is required to obtain the swap rate for </w:t>
      </w:r>
      <w:r w:rsidR="00E67273" w:rsidRPr="00E67273">
        <w:rPr>
          <w:rFonts w:ascii="Times New Roman" w:hAnsi="Times New Roman" w:cs="Times New Roman"/>
          <w:i/>
          <w:sz w:val="24"/>
          <w:szCs w:val="24"/>
        </w:rPr>
        <w:t>Base</w:t>
      </w:r>
      <w:r w:rsidR="00E67273">
        <w:rPr>
          <w:rFonts w:ascii="Times New Roman" w:hAnsi="Times New Roman" w:cs="Times New Roman"/>
          <w:sz w:val="24"/>
          <w:szCs w:val="24"/>
        </w:rPr>
        <w:t xml:space="preserve">(10e), </w:t>
      </w:r>
      <w:r w:rsidR="00F36C82">
        <w:rPr>
          <w:rFonts w:ascii="Times New Roman" w:hAnsi="Times New Roman" w:cs="Times New Roman"/>
          <w:sz w:val="24"/>
          <w:szCs w:val="24"/>
        </w:rPr>
        <w:t>which is both the thir</w:t>
      </w:r>
      <w:r w:rsidR="00C03538">
        <w:rPr>
          <w:rFonts w:ascii="Times New Roman" w:hAnsi="Times New Roman" w:cs="Times New Roman"/>
          <w:sz w:val="24"/>
          <w:szCs w:val="24"/>
        </w:rPr>
        <w:t>d term on the RHS of equation (4</w:t>
      </w:r>
      <w:r w:rsidR="00F36C82">
        <w:rPr>
          <w:rFonts w:ascii="Times New Roman" w:hAnsi="Times New Roman" w:cs="Times New Roman"/>
          <w:sz w:val="24"/>
          <w:szCs w:val="24"/>
        </w:rPr>
        <w:t xml:space="preserve">) and is implicit in </w:t>
      </w:r>
      <w:r w:rsidR="00E67273" w:rsidRPr="00E67273">
        <w:rPr>
          <w:rFonts w:ascii="Times New Roman" w:hAnsi="Times New Roman" w:cs="Times New Roman"/>
          <w:i/>
          <w:sz w:val="24"/>
          <w:szCs w:val="24"/>
        </w:rPr>
        <w:t>DRP</w:t>
      </w:r>
      <w:r w:rsidR="00F36C82">
        <w:rPr>
          <w:rFonts w:ascii="Times New Roman" w:hAnsi="Times New Roman" w:cs="Times New Roman"/>
          <w:sz w:val="24"/>
          <w:szCs w:val="24"/>
        </w:rPr>
        <w:t>(10e)</w:t>
      </w:r>
      <w:r w:rsidR="006763C2">
        <w:rPr>
          <w:rFonts w:ascii="Times New Roman" w:hAnsi="Times New Roman" w:cs="Times New Roman"/>
          <w:sz w:val="24"/>
          <w:szCs w:val="24"/>
        </w:rPr>
        <w:t>.</w:t>
      </w:r>
      <w:r w:rsidR="00E67273">
        <w:rPr>
          <w:rStyle w:val="FootnoteReference"/>
          <w:rFonts w:ascii="Times New Roman" w:hAnsi="Times New Roman" w:cs="Times New Roman"/>
          <w:sz w:val="24"/>
          <w:szCs w:val="24"/>
        </w:rPr>
        <w:footnoteReference w:id="23"/>
      </w:r>
      <w:r w:rsidR="006763C2">
        <w:rPr>
          <w:rFonts w:ascii="Times New Roman" w:hAnsi="Times New Roman" w:cs="Times New Roman"/>
          <w:sz w:val="24"/>
          <w:szCs w:val="24"/>
        </w:rPr>
        <w:t xml:space="preserve">  By </w:t>
      </w:r>
      <w:r w:rsidR="00460380">
        <w:rPr>
          <w:rFonts w:ascii="Times New Roman" w:hAnsi="Times New Roman" w:cs="Times New Roman"/>
          <w:sz w:val="24"/>
          <w:szCs w:val="24"/>
        </w:rPr>
        <w:t xml:space="preserve">contrast, </w:t>
      </w:r>
      <w:r w:rsidR="00CC49D5">
        <w:rPr>
          <w:rFonts w:ascii="Times New Roman" w:hAnsi="Times New Roman" w:cs="Times New Roman"/>
          <w:sz w:val="24"/>
          <w:szCs w:val="24"/>
        </w:rPr>
        <w:t xml:space="preserve">in the relevant </w:t>
      </w:r>
      <w:r w:rsidR="00DD67A8">
        <w:rPr>
          <w:rFonts w:ascii="Times New Roman" w:hAnsi="Times New Roman" w:cs="Times New Roman"/>
          <w:sz w:val="24"/>
          <w:szCs w:val="24"/>
        </w:rPr>
        <w:t xml:space="preserve">future </w:t>
      </w:r>
      <w:r w:rsidR="00CC49D5">
        <w:rPr>
          <w:rFonts w:ascii="Times New Roman" w:hAnsi="Times New Roman" w:cs="Times New Roman"/>
          <w:sz w:val="24"/>
          <w:szCs w:val="24"/>
        </w:rPr>
        <w:t xml:space="preserve">period of six to ten years, </w:t>
      </w:r>
      <w:r w:rsidR="00460380">
        <w:rPr>
          <w:rFonts w:ascii="Times New Roman" w:hAnsi="Times New Roman" w:cs="Times New Roman"/>
          <w:sz w:val="24"/>
          <w:szCs w:val="24"/>
        </w:rPr>
        <w:t xml:space="preserve">the CGS </w:t>
      </w:r>
      <w:r w:rsidR="00CC49D5">
        <w:rPr>
          <w:rFonts w:ascii="Times New Roman" w:hAnsi="Times New Roman" w:cs="Times New Roman"/>
          <w:sz w:val="24"/>
          <w:szCs w:val="24"/>
        </w:rPr>
        <w:t>maturity dates are only one year apart</w:t>
      </w:r>
      <w:r w:rsidR="00E67273">
        <w:rPr>
          <w:rFonts w:ascii="Times New Roman" w:hAnsi="Times New Roman" w:cs="Times New Roman"/>
          <w:sz w:val="24"/>
          <w:szCs w:val="24"/>
        </w:rPr>
        <w:t>, and therefore</w:t>
      </w:r>
      <w:r w:rsidR="00460380">
        <w:rPr>
          <w:rFonts w:ascii="Times New Roman" w:hAnsi="Times New Roman" w:cs="Times New Roman"/>
          <w:sz w:val="24"/>
          <w:szCs w:val="24"/>
        </w:rPr>
        <w:t xml:space="preserve"> </w:t>
      </w:r>
      <w:r w:rsidR="00DD67A8">
        <w:rPr>
          <w:rFonts w:ascii="Times New Roman" w:hAnsi="Times New Roman" w:cs="Times New Roman"/>
          <w:sz w:val="24"/>
          <w:szCs w:val="24"/>
        </w:rPr>
        <w:t xml:space="preserve">the desired maturity date on a bond would only differ from the nearest available one by three months on average.  So, the </w:t>
      </w:r>
      <w:r w:rsidR="00E67273">
        <w:rPr>
          <w:rFonts w:ascii="Times New Roman" w:hAnsi="Times New Roman" w:cs="Times New Roman"/>
          <w:sz w:val="24"/>
          <w:szCs w:val="24"/>
        </w:rPr>
        <w:t>problem is less severe</w:t>
      </w:r>
      <w:r w:rsidR="00DD67A8">
        <w:rPr>
          <w:rFonts w:ascii="Times New Roman" w:hAnsi="Times New Roman" w:cs="Times New Roman"/>
          <w:sz w:val="24"/>
          <w:szCs w:val="24"/>
        </w:rPr>
        <w:t xml:space="preserve"> when using the CGS as the base rate, and I therefore favour it</w:t>
      </w:r>
      <w:r w:rsidR="00024E99">
        <w:rPr>
          <w:rFonts w:ascii="Times New Roman" w:hAnsi="Times New Roman" w:cs="Times New Roman"/>
          <w:sz w:val="24"/>
          <w:szCs w:val="24"/>
        </w:rPr>
        <w:t xml:space="preserve">.  </w:t>
      </w:r>
      <w:r w:rsidR="00024E99" w:rsidRPr="007F0B13">
        <w:rPr>
          <w:rFonts w:ascii="Times New Roman" w:hAnsi="Times New Roman" w:cs="Times New Roman"/>
          <w:sz w:val="24"/>
          <w:szCs w:val="24"/>
        </w:rPr>
        <w:t xml:space="preserve">However, the difference </w:t>
      </w:r>
      <w:r w:rsidR="004960E7" w:rsidRPr="007F0B13">
        <w:rPr>
          <w:rFonts w:ascii="Times New Roman" w:hAnsi="Times New Roman" w:cs="Times New Roman"/>
          <w:sz w:val="24"/>
          <w:szCs w:val="24"/>
        </w:rPr>
        <w:t xml:space="preserve">in outcomes </w:t>
      </w:r>
      <w:r w:rsidR="00024E99" w:rsidRPr="007F0B13">
        <w:rPr>
          <w:rFonts w:ascii="Times New Roman" w:hAnsi="Times New Roman" w:cs="Times New Roman"/>
          <w:sz w:val="24"/>
          <w:szCs w:val="24"/>
        </w:rPr>
        <w:t xml:space="preserve">is </w:t>
      </w:r>
      <w:r w:rsidR="004960E7" w:rsidRPr="007F0B13">
        <w:rPr>
          <w:rFonts w:ascii="Times New Roman" w:hAnsi="Times New Roman" w:cs="Times New Roman"/>
          <w:sz w:val="24"/>
          <w:szCs w:val="24"/>
        </w:rPr>
        <w:t>trivial.</w:t>
      </w:r>
    </w:p>
    <w:p w:rsidR="004960E7" w:rsidRDefault="004960E7" w:rsidP="00122250">
      <w:pPr>
        <w:pStyle w:val="ListParagraph"/>
        <w:spacing w:after="0" w:line="360" w:lineRule="auto"/>
        <w:ind w:left="0"/>
        <w:jc w:val="both"/>
        <w:rPr>
          <w:rFonts w:ascii="Times New Roman" w:hAnsi="Times New Roman" w:cs="Times New Roman"/>
          <w:sz w:val="24"/>
          <w:szCs w:val="24"/>
        </w:rPr>
      </w:pPr>
    </w:p>
    <w:p w:rsidR="00A90FD9" w:rsidRPr="0061437D" w:rsidRDefault="007E6C11" w:rsidP="00122250">
      <w:pPr>
        <w:pStyle w:val="ListParagraph"/>
        <w:spacing w:after="0" w:line="360" w:lineRule="auto"/>
        <w:ind w:left="0"/>
        <w:jc w:val="both"/>
        <w:rPr>
          <w:rFonts w:ascii="Times New Roman" w:hAnsi="Times New Roman" w:cs="Times New Roman"/>
          <w:sz w:val="24"/>
          <w:szCs w:val="24"/>
        </w:rPr>
      </w:pPr>
      <w:r w:rsidRPr="0061437D">
        <w:rPr>
          <w:rFonts w:ascii="Times New Roman" w:hAnsi="Times New Roman" w:cs="Times New Roman"/>
          <w:sz w:val="24"/>
          <w:szCs w:val="24"/>
        </w:rPr>
        <w:t xml:space="preserve">For </w:t>
      </w:r>
      <w:r w:rsidR="00024E99" w:rsidRPr="0061437D">
        <w:rPr>
          <w:rFonts w:ascii="Times New Roman" w:hAnsi="Times New Roman" w:cs="Times New Roman"/>
          <w:sz w:val="24"/>
          <w:szCs w:val="24"/>
        </w:rPr>
        <w:t xml:space="preserve">example, for </w:t>
      </w:r>
      <w:r w:rsidR="00D65CE3" w:rsidRPr="0061437D">
        <w:rPr>
          <w:rFonts w:ascii="Times New Roman" w:hAnsi="Times New Roman" w:cs="Times New Roman"/>
          <w:sz w:val="24"/>
          <w:szCs w:val="24"/>
        </w:rPr>
        <w:t xml:space="preserve">31 July 2014, </w:t>
      </w:r>
      <w:r w:rsidR="00250F99" w:rsidRPr="0061437D">
        <w:rPr>
          <w:rFonts w:ascii="Times New Roman" w:hAnsi="Times New Roman" w:cs="Times New Roman"/>
          <w:sz w:val="24"/>
          <w:szCs w:val="24"/>
        </w:rPr>
        <w:t xml:space="preserve">the RBA’s Table F3 gives </w:t>
      </w:r>
      <w:r w:rsidR="00155F27" w:rsidRPr="0061437D">
        <w:rPr>
          <w:rFonts w:ascii="Times New Roman" w:hAnsi="Times New Roman" w:cs="Times New Roman"/>
          <w:sz w:val="24"/>
          <w:szCs w:val="24"/>
        </w:rPr>
        <w:t xml:space="preserve">7e = 6.84 years, </w:t>
      </w:r>
      <w:r w:rsidRPr="0061437D">
        <w:rPr>
          <w:rFonts w:ascii="Times New Roman" w:hAnsi="Times New Roman" w:cs="Times New Roman"/>
          <w:sz w:val="24"/>
          <w:szCs w:val="24"/>
        </w:rPr>
        <w:t xml:space="preserve">10e = </w:t>
      </w:r>
      <w:r w:rsidR="006F65E5" w:rsidRPr="0061437D">
        <w:rPr>
          <w:rFonts w:ascii="Times New Roman" w:hAnsi="Times New Roman" w:cs="Times New Roman"/>
          <w:sz w:val="24"/>
          <w:szCs w:val="24"/>
        </w:rPr>
        <w:t xml:space="preserve">8.64 </w:t>
      </w:r>
      <w:r w:rsidR="00155F27" w:rsidRPr="0061437D">
        <w:rPr>
          <w:rFonts w:ascii="Times New Roman" w:hAnsi="Times New Roman" w:cs="Times New Roman"/>
          <w:sz w:val="24"/>
          <w:szCs w:val="24"/>
        </w:rPr>
        <w:t>years</w:t>
      </w:r>
      <w:r w:rsidR="006F65E5" w:rsidRPr="0061437D">
        <w:rPr>
          <w:rFonts w:ascii="Times New Roman" w:hAnsi="Times New Roman" w:cs="Times New Roman"/>
          <w:sz w:val="24"/>
          <w:szCs w:val="24"/>
        </w:rPr>
        <w:t xml:space="preserve">, </w:t>
      </w:r>
      <w:r w:rsidR="00A90FD9" w:rsidRPr="0061437D">
        <w:rPr>
          <w:rFonts w:ascii="Times New Roman" w:hAnsi="Times New Roman" w:cs="Times New Roman"/>
          <w:sz w:val="24"/>
          <w:szCs w:val="24"/>
        </w:rPr>
        <w:t xml:space="preserve">and </w:t>
      </w:r>
      <w:r w:rsidR="00F91DE0" w:rsidRPr="0061437D">
        <w:rPr>
          <w:rFonts w:ascii="Times New Roman" w:hAnsi="Times New Roman" w:cs="Times New Roman"/>
          <w:sz w:val="24"/>
          <w:szCs w:val="24"/>
        </w:rPr>
        <w:t xml:space="preserve">costs of debt on </w:t>
      </w:r>
      <w:r w:rsidR="00A90FD9" w:rsidRPr="0061437D">
        <w:rPr>
          <w:rFonts w:ascii="Times New Roman" w:hAnsi="Times New Roman" w:cs="Times New Roman"/>
          <w:sz w:val="24"/>
          <w:szCs w:val="24"/>
        </w:rPr>
        <w:t xml:space="preserve">the seven and ten year bonds of 5.13% and 5.51% respectively.  </w:t>
      </w:r>
      <w:r w:rsidR="00E876BD" w:rsidRPr="0061437D">
        <w:rPr>
          <w:rFonts w:ascii="Times New Roman" w:hAnsi="Times New Roman" w:cs="Times New Roman"/>
          <w:sz w:val="24"/>
          <w:szCs w:val="24"/>
        </w:rPr>
        <w:t xml:space="preserve">In addition, the five, seven, and ten year swap rates from Bloomberg on the same date are 3.28%, 3.569%, and 3.878% respectively, and interpolation gives rates for 6.84 </w:t>
      </w:r>
      <w:r w:rsidR="00F91DE0" w:rsidRPr="0061437D">
        <w:rPr>
          <w:rFonts w:ascii="Times New Roman" w:hAnsi="Times New Roman" w:cs="Times New Roman"/>
          <w:sz w:val="24"/>
          <w:szCs w:val="24"/>
        </w:rPr>
        <w:t xml:space="preserve">years </w:t>
      </w:r>
      <w:r w:rsidR="00E876BD" w:rsidRPr="0061437D">
        <w:rPr>
          <w:rFonts w:ascii="Times New Roman" w:hAnsi="Times New Roman" w:cs="Times New Roman"/>
          <w:sz w:val="24"/>
          <w:szCs w:val="24"/>
        </w:rPr>
        <w:t xml:space="preserve">and 8.64 years of 3.546% and 3.738% respectively.  </w:t>
      </w:r>
      <w:r w:rsidR="00A90FD9" w:rsidRPr="0061437D">
        <w:rPr>
          <w:rFonts w:ascii="Times New Roman" w:hAnsi="Times New Roman" w:cs="Times New Roman"/>
          <w:sz w:val="24"/>
          <w:szCs w:val="24"/>
        </w:rPr>
        <w:t>This implies that</w:t>
      </w:r>
    </w:p>
    <w:p w:rsidR="00A90FD9" w:rsidRDefault="00A90FD9" w:rsidP="00122250">
      <w:pPr>
        <w:pStyle w:val="ListParagraph"/>
        <w:spacing w:after="0" w:line="360" w:lineRule="auto"/>
        <w:ind w:left="0"/>
        <w:jc w:val="both"/>
        <w:rPr>
          <w:rFonts w:ascii="Times New Roman" w:hAnsi="Times New Roman" w:cs="Times New Roman"/>
          <w:sz w:val="24"/>
          <w:szCs w:val="24"/>
        </w:rPr>
      </w:pPr>
    </w:p>
    <w:p w:rsidR="00A90FD9" w:rsidRDefault="00E876BD" w:rsidP="00A90FD9">
      <w:pPr>
        <w:pStyle w:val="ListParagraph"/>
        <w:spacing w:after="0" w:line="360" w:lineRule="auto"/>
        <w:ind w:left="0"/>
        <w:jc w:val="center"/>
        <w:rPr>
          <w:rFonts w:ascii="Times New Roman" w:hAnsi="Times New Roman" w:cs="Times New Roman"/>
          <w:sz w:val="24"/>
          <w:szCs w:val="24"/>
        </w:rPr>
      </w:pPr>
      <w:r w:rsidRPr="00E876BD">
        <w:rPr>
          <w:rFonts w:ascii="Times New Roman" w:hAnsi="Times New Roman" w:cs="Times New Roman"/>
          <w:b/>
          <w:bCs/>
          <w:position w:val="-10"/>
          <w:sz w:val="24"/>
          <w:szCs w:val="24"/>
        </w:rPr>
        <w:object w:dxaOrig="7820" w:dyaOrig="320">
          <v:shape id="_x0000_i1049" type="#_x0000_t75" style="width:391pt;height:15.9pt" o:ole="">
            <v:imagedata r:id="rId57" o:title=""/>
          </v:shape>
          <o:OLEObject Type="Embed" ProgID="Equation.3" ShapeID="_x0000_i1049" DrawAspect="Content" ObjectID="_1478385636" r:id="rId58"/>
        </w:object>
      </w:r>
    </w:p>
    <w:p w:rsidR="00A90FD9" w:rsidRDefault="00E876BD" w:rsidP="00E876BD">
      <w:pPr>
        <w:pStyle w:val="ListParagraph"/>
        <w:spacing w:after="0" w:line="360" w:lineRule="auto"/>
        <w:ind w:left="0"/>
        <w:jc w:val="center"/>
        <w:rPr>
          <w:rFonts w:ascii="Times New Roman" w:hAnsi="Times New Roman" w:cs="Times New Roman"/>
          <w:sz w:val="24"/>
          <w:szCs w:val="24"/>
        </w:rPr>
      </w:pPr>
      <w:r w:rsidRPr="00E876BD">
        <w:rPr>
          <w:rFonts w:ascii="Times New Roman" w:hAnsi="Times New Roman" w:cs="Times New Roman"/>
          <w:b/>
          <w:bCs/>
          <w:position w:val="-10"/>
          <w:sz w:val="24"/>
          <w:szCs w:val="24"/>
        </w:rPr>
        <w:object w:dxaOrig="8000" w:dyaOrig="320">
          <v:shape id="_x0000_i1050" type="#_x0000_t75" style="width:401pt;height:15.9pt" o:ole="">
            <v:imagedata r:id="rId59" o:title=""/>
          </v:shape>
          <o:OLEObject Type="Embed" ProgID="Equation.3" ShapeID="_x0000_i1050" DrawAspect="Content" ObjectID="_1478385637" r:id="rId60"/>
        </w:object>
      </w:r>
    </w:p>
    <w:p w:rsidR="00A90FD9" w:rsidRDefault="00A90FD9" w:rsidP="00122250">
      <w:pPr>
        <w:pStyle w:val="ListParagraph"/>
        <w:spacing w:after="0" w:line="360" w:lineRule="auto"/>
        <w:ind w:left="0"/>
        <w:jc w:val="both"/>
        <w:rPr>
          <w:rFonts w:ascii="Times New Roman" w:hAnsi="Times New Roman" w:cs="Times New Roman"/>
          <w:sz w:val="24"/>
          <w:szCs w:val="24"/>
        </w:rPr>
      </w:pPr>
    </w:p>
    <w:p w:rsidR="00BE4E42" w:rsidRPr="0061437D" w:rsidRDefault="00250F99" w:rsidP="00122250">
      <w:pPr>
        <w:pStyle w:val="ListParagraph"/>
        <w:spacing w:after="0" w:line="360" w:lineRule="auto"/>
        <w:ind w:left="0"/>
        <w:jc w:val="both"/>
        <w:rPr>
          <w:rFonts w:ascii="Times New Roman" w:hAnsi="Times New Roman" w:cs="Times New Roman"/>
          <w:sz w:val="24"/>
          <w:szCs w:val="24"/>
        </w:rPr>
      </w:pPr>
      <w:r w:rsidRPr="0061437D">
        <w:rPr>
          <w:rFonts w:ascii="Times New Roman" w:hAnsi="Times New Roman" w:cs="Times New Roman"/>
          <w:sz w:val="24"/>
          <w:szCs w:val="24"/>
        </w:rPr>
        <w:t xml:space="preserve">In addition, interpolating using the RBA’s Table </w:t>
      </w:r>
      <w:r w:rsidR="00000463" w:rsidRPr="0061437D">
        <w:rPr>
          <w:rFonts w:ascii="Times New Roman" w:hAnsi="Times New Roman" w:cs="Times New Roman"/>
          <w:sz w:val="24"/>
          <w:szCs w:val="24"/>
        </w:rPr>
        <w:t xml:space="preserve">F16 </w:t>
      </w:r>
      <w:r w:rsidRPr="0061437D">
        <w:rPr>
          <w:rFonts w:ascii="Times New Roman" w:hAnsi="Times New Roman" w:cs="Times New Roman"/>
          <w:sz w:val="24"/>
          <w:szCs w:val="24"/>
        </w:rPr>
        <w:t xml:space="preserve">gives </w:t>
      </w:r>
      <w:r w:rsidR="00091AFA" w:rsidRPr="0061437D">
        <w:rPr>
          <w:rFonts w:ascii="Times New Roman" w:hAnsi="Times New Roman" w:cs="Times New Roman"/>
          <w:i/>
          <w:sz w:val="24"/>
          <w:szCs w:val="24"/>
        </w:rPr>
        <w:t>CGS</w:t>
      </w:r>
      <w:r w:rsidR="00091AFA" w:rsidRPr="0061437D">
        <w:rPr>
          <w:rFonts w:ascii="Times New Roman" w:hAnsi="Times New Roman" w:cs="Times New Roman"/>
          <w:sz w:val="24"/>
          <w:szCs w:val="24"/>
        </w:rPr>
        <w:t xml:space="preserve">(7e) = 3.23%, </w:t>
      </w:r>
      <w:r w:rsidR="009638D6" w:rsidRPr="0061437D">
        <w:rPr>
          <w:rFonts w:ascii="Times New Roman" w:hAnsi="Times New Roman" w:cs="Times New Roman"/>
          <w:i/>
          <w:sz w:val="24"/>
          <w:szCs w:val="24"/>
        </w:rPr>
        <w:t>CGS</w:t>
      </w:r>
      <w:r w:rsidR="009638D6" w:rsidRPr="0061437D">
        <w:rPr>
          <w:rFonts w:ascii="Times New Roman" w:hAnsi="Times New Roman" w:cs="Times New Roman"/>
          <w:sz w:val="24"/>
          <w:szCs w:val="24"/>
        </w:rPr>
        <w:t>(10</w:t>
      </w:r>
      <w:r w:rsidR="00091AFA" w:rsidRPr="0061437D">
        <w:rPr>
          <w:rFonts w:ascii="Times New Roman" w:hAnsi="Times New Roman" w:cs="Times New Roman"/>
          <w:sz w:val="24"/>
          <w:szCs w:val="24"/>
        </w:rPr>
        <w:t>e</w:t>
      </w:r>
      <w:r w:rsidR="009638D6" w:rsidRPr="0061437D">
        <w:rPr>
          <w:rFonts w:ascii="Times New Roman" w:hAnsi="Times New Roman" w:cs="Times New Roman"/>
          <w:sz w:val="24"/>
          <w:szCs w:val="24"/>
        </w:rPr>
        <w:t xml:space="preserve">) = </w:t>
      </w:r>
      <w:r w:rsidR="00091AFA" w:rsidRPr="0061437D">
        <w:rPr>
          <w:rFonts w:ascii="Times New Roman" w:hAnsi="Times New Roman" w:cs="Times New Roman"/>
          <w:sz w:val="24"/>
          <w:szCs w:val="24"/>
        </w:rPr>
        <w:t>3.41</w:t>
      </w:r>
      <w:r w:rsidR="004F2559" w:rsidRPr="0061437D">
        <w:rPr>
          <w:rFonts w:ascii="Times New Roman" w:hAnsi="Times New Roman" w:cs="Times New Roman"/>
          <w:sz w:val="24"/>
          <w:szCs w:val="24"/>
        </w:rPr>
        <w:t>%</w:t>
      </w:r>
      <w:r w:rsidR="009638D6" w:rsidRPr="0061437D">
        <w:rPr>
          <w:rFonts w:ascii="Times New Roman" w:hAnsi="Times New Roman" w:cs="Times New Roman"/>
          <w:sz w:val="24"/>
          <w:szCs w:val="24"/>
        </w:rPr>
        <w:t xml:space="preserve">, </w:t>
      </w:r>
      <w:r w:rsidR="00091AFA" w:rsidRPr="0061437D">
        <w:rPr>
          <w:rFonts w:ascii="Times New Roman" w:hAnsi="Times New Roman" w:cs="Times New Roman"/>
          <w:sz w:val="24"/>
          <w:szCs w:val="24"/>
        </w:rPr>
        <w:t xml:space="preserve">and </w:t>
      </w:r>
      <w:r w:rsidR="009638D6" w:rsidRPr="0061437D">
        <w:rPr>
          <w:rFonts w:ascii="Times New Roman" w:hAnsi="Times New Roman" w:cs="Times New Roman"/>
          <w:i/>
          <w:sz w:val="24"/>
          <w:szCs w:val="24"/>
        </w:rPr>
        <w:t>CGS</w:t>
      </w:r>
      <w:r w:rsidR="00091AFA" w:rsidRPr="0061437D">
        <w:rPr>
          <w:rFonts w:ascii="Times New Roman" w:hAnsi="Times New Roman" w:cs="Times New Roman"/>
          <w:sz w:val="24"/>
          <w:szCs w:val="24"/>
        </w:rPr>
        <w:t>(10</w:t>
      </w:r>
      <w:r w:rsidR="009638D6" w:rsidRPr="0061437D">
        <w:rPr>
          <w:rFonts w:ascii="Times New Roman" w:hAnsi="Times New Roman" w:cs="Times New Roman"/>
          <w:sz w:val="24"/>
          <w:szCs w:val="24"/>
        </w:rPr>
        <w:t xml:space="preserve">) = </w:t>
      </w:r>
      <w:r w:rsidR="00091AFA" w:rsidRPr="0061437D">
        <w:rPr>
          <w:rFonts w:ascii="Times New Roman" w:hAnsi="Times New Roman" w:cs="Times New Roman"/>
          <w:sz w:val="24"/>
          <w:szCs w:val="24"/>
        </w:rPr>
        <w:t>3.53</w:t>
      </w:r>
      <w:r w:rsidR="004F2559" w:rsidRPr="0061437D">
        <w:rPr>
          <w:rFonts w:ascii="Times New Roman" w:hAnsi="Times New Roman" w:cs="Times New Roman"/>
          <w:sz w:val="24"/>
          <w:szCs w:val="24"/>
        </w:rPr>
        <w:t>%</w:t>
      </w:r>
      <w:r w:rsidR="00091AFA" w:rsidRPr="0061437D">
        <w:rPr>
          <w:rFonts w:ascii="Times New Roman" w:hAnsi="Times New Roman" w:cs="Times New Roman"/>
          <w:sz w:val="24"/>
          <w:szCs w:val="24"/>
        </w:rPr>
        <w:t>.</w:t>
      </w:r>
      <w:r w:rsidRPr="0061437D">
        <w:rPr>
          <w:rStyle w:val="FootnoteReference"/>
          <w:rFonts w:ascii="Times New Roman" w:hAnsi="Times New Roman" w:cs="Times New Roman"/>
          <w:sz w:val="24"/>
          <w:szCs w:val="24"/>
        </w:rPr>
        <w:footnoteReference w:id="24"/>
      </w:r>
      <w:r w:rsidR="009638D6" w:rsidRPr="0061437D">
        <w:rPr>
          <w:rFonts w:ascii="Times New Roman" w:hAnsi="Times New Roman" w:cs="Times New Roman"/>
          <w:sz w:val="24"/>
          <w:szCs w:val="24"/>
        </w:rPr>
        <w:t xml:space="preserve"> </w:t>
      </w:r>
      <w:r w:rsidRPr="0061437D">
        <w:rPr>
          <w:rFonts w:ascii="Times New Roman" w:hAnsi="Times New Roman" w:cs="Times New Roman"/>
          <w:sz w:val="24"/>
          <w:szCs w:val="24"/>
        </w:rPr>
        <w:t xml:space="preserve"> Therefore, </w:t>
      </w:r>
      <w:r w:rsidR="003351CD" w:rsidRPr="0061437D">
        <w:rPr>
          <w:rFonts w:ascii="Times New Roman" w:hAnsi="Times New Roman" w:cs="Times New Roman"/>
          <w:i/>
          <w:sz w:val="24"/>
          <w:szCs w:val="24"/>
        </w:rPr>
        <w:t>DRP</w:t>
      </w:r>
      <w:r w:rsidR="00091AFA" w:rsidRPr="0061437D">
        <w:rPr>
          <w:rFonts w:ascii="Times New Roman" w:hAnsi="Times New Roman" w:cs="Times New Roman"/>
          <w:sz w:val="24"/>
          <w:szCs w:val="24"/>
        </w:rPr>
        <w:t>(7</w:t>
      </w:r>
      <w:r w:rsidR="009638D6" w:rsidRPr="0061437D">
        <w:rPr>
          <w:rFonts w:ascii="Times New Roman" w:hAnsi="Times New Roman" w:cs="Times New Roman"/>
          <w:sz w:val="24"/>
          <w:szCs w:val="24"/>
        </w:rPr>
        <w:t xml:space="preserve">e) = </w:t>
      </w:r>
      <w:r w:rsidR="0039644D" w:rsidRPr="0061437D">
        <w:rPr>
          <w:rFonts w:ascii="Times New Roman" w:hAnsi="Times New Roman" w:cs="Times New Roman"/>
          <w:sz w:val="24"/>
          <w:szCs w:val="24"/>
        </w:rPr>
        <w:t>1.88</w:t>
      </w:r>
      <w:r w:rsidR="00091AFA" w:rsidRPr="0061437D">
        <w:rPr>
          <w:rFonts w:ascii="Times New Roman" w:hAnsi="Times New Roman" w:cs="Times New Roman"/>
          <w:sz w:val="24"/>
          <w:szCs w:val="24"/>
        </w:rPr>
        <w:t xml:space="preserve">% </w:t>
      </w:r>
      <w:r w:rsidRPr="0061437D">
        <w:rPr>
          <w:rFonts w:ascii="Times New Roman" w:hAnsi="Times New Roman" w:cs="Times New Roman"/>
          <w:sz w:val="24"/>
          <w:szCs w:val="24"/>
        </w:rPr>
        <w:t>and</w:t>
      </w:r>
      <w:r w:rsidR="003351CD" w:rsidRPr="0061437D">
        <w:rPr>
          <w:rFonts w:ascii="Times New Roman" w:hAnsi="Times New Roman" w:cs="Times New Roman"/>
          <w:sz w:val="24"/>
          <w:szCs w:val="24"/>
        </w:rPr>
        <w:t xml:space="preserve"> </w:t>
      </w:r>
      <w:r w:rsidR="003351CD" w:rsidRPr="0061437D">
        <w:rPr>
          <w:rFonts w:ascii="Times New Roman" w:hAnsi="Times New Roman" w:cs="Times New Roman"/>
          <w:i/>
          <w:sz w:val="24"/>
          <w:szCs w:val="24"/>
        </w:rPr>
        <w:t>DRP</w:t>
      </w:r>
      <w:r w:rsidR="00091AFA" w:rsidRPr="0061437D">
        <w:rPr>
          <w:rFonts w:ascii="Times New Roman" w:hAnsi="Times New Roman" w:cs="Times New Roman"/>
          <w:sz w:val="24"/>
          <w:szCs w:val="24"/>
        </w:rPr>
        <w:t>(10</w:t>
      </w:r>
      <w:r w:rsidR="003351CD" w:rsidRPr="0061437D">
        <w:rPr>
          <w:rFonts w:ascii="Times New Roman" w:hAnsi="Times New Roman" w:cs="Times New Roman"/>
          <w:sz w:val="24"/>
          <w:szCs w:val="24"/>
        </w:rPr>
        <w:t xml:space="preserve">e) = </w:t>
      </w:r>
      <w:r w:rsidR="0039644D" w:rsidRPr="0061437D">
        <w:rPr>
          <w:rFonts w:ascii="Times New Roman" w:hAnsi="Times New Roman" w:cs="Times New Roman"/>
          <w:sz w:val="24"/>
          <w:szCs w:val="24"/>
        </w:rPr>
        <w:t xml:space="preserve">1.96%.  </w:t>
      </w:r>
      <w:r w:rsidR="009638D6" w:rsidRPr="0061437D">
        <w:rPr>
          <w:rFonts w:ascii="Times New Roman" w:hAnsi="Times New Roman" w:cs="Times New Roman"/>
          <w:sz w:val="24"/>
          <w:szCs w:val="24"/>
        </w:rPr>
        <w:t xml:space="preserve">Substitution into </w:t>
      </w:r>
      <w:r w:rsidRPr="0061437D">
        <w:rPr>
          <w:rFonts w:ascii="Times New Roman" w:hAnsi="Times New Roman" w:cs="Times New Roman"/>
          <w:sz w:val="24"/>
          <w:szCs w:val="24"/>
        </w:rPr>
        <w:t xml:space="preserve">equation </w:t>
      </w:r>
      <w:r w:rsidR="00C03538" w:rsidRPr="0061437D">
        <w:rPr>
          <w:rFonts w:ascii="Times New Roman" w:hAnsi="Times New Roman" w:cs="Times New Roman"/>
          <w:sz w:val="24"/>
          <w:szCs w:val="24"/>
        </w:rPr>
        <w:t>(4</w:t>
      </w:r>
      <w:r w:rsidR="009638D6" w:rsidRPr="0061437D">
        <w:rPr>
          <w:rFonts w:ascii="Times New Roman" w:hAnsi="Times New Roman" w:cs="Times New Roman"/>
          <w:sz w:val="24"/>
          <w:szCs w:val="24"/>
        </w:rPr>
        <w:t>) then yields:</w:t>
      </w:r>
    </w:p>
    <w:p w:rsidR="004F5FCD" w:rsidRDefault="004F5FCD" w:rsidP="00122250">
      <w:pPr>
        <w:pStyle w:val="ListParagraph"/>
        <w:spacing w:after="0" w:line="360" w:lineRule="auto"/>
        <w:ind w:left="0"/>
        <w:jc w:val="both"/>
        <w:rPr>
          <w:rFonts w:ascii="Times New Roman" w:hAnsi="Times New Roman" w:cs="Times New Roman"/>
          <w:sz w:val="24"/>
          <w:szCs w:val="24"/>
        </w:rPr>
      </w:pPr>
    </w:p>
    <w:p w:rsidR="007B7792" w:rsidRDefault="00F91DE0" w:rsidP="007B7792">
      <w:pPr>
        <w:pStyle w:val="ListParagraph"/>
        <w:spacing w:after="0" w:line="360" w:lineRule="auto"/>
        <w:ind w:left="0"/>
        <w:jc w:val="center"/>
        <w:rPr>
          <w:rFonts w:ascii="Times New Roman" w:hAnsi="Times New Roman" w:cs="Times New Roman"/>
          <w:sz w:val="24"/>
          <w:szCs w:val="24"/>
        </w:rPr>
      </w:pPr>
      <w:r w:rsidRPr="007B7792">
        <w:rPr>
          <w:rFonts w:ascii="Times New Roman" w:hAnsi="Times New Roman" w:cs="Times New Roman"/>
          <w:b/>
          <w:bCs/>
          <w:position w:val="-28"/>
          <w:sz w:val="24"/>
          <w:szCs w:val="24"/>
        </w:rPr>
        <w:object w:dxaOrig="7220" w:dyaOrig="680">
          <v:shape id="_x0000_i1051" type="#_x0000_t75" style="width:361.65pt;height:33.5pt" o:ole="">
            <v:imagedata r:id="rId61" o:title=""/>
          </v:shape>
          <o:OLEObject Type="Embed" ProgID="Equation.3" ShapeID="_x0000_i1051" DrawAspect="Content" ObjectID="_1478385638" r:id="rId62"/>
        </w:object>
      </w:r>
    </w:p>
    <w:p w:rsidR="007B7792" w:rsidRDefault="007B7792" w:rsidP="00122250">
      <w:pPr>
        <w:pStyle w:val="ListParagraph"/>
        <w:spacing w:after="0" w:line="360" w:lineRule="auto"/>
        <w:ind w:left="0"/>
        <w:jc w:val="both"/>
        <w:rPr>
          <w:rFonts w:ascii="Times New Roman" w:hAnsi="Times New Roman" w:cs="Times New Roman"/>
          <w:sz w:val="24"/>
          <w:szCs w:val="24"/>
        </w:rPr>
      </w:pPr>
    </w:p>
    <w:p w:rsidR="00250F99" w:rsidRPr="0061437D" w:rsidRDefault="00F91DE0" w:rsidP="00122250">
      <w:pPr>
        <w:pStyle w:val="ListParagraph"/>
        <w:spacing w:after="0" w:line="360" w:lineRule="auto"/>
        <w:ind w:left="0"/>
        <w:jc w:val="both"/>
        <w:rPr>
          <w:rFonts w:ascii="Times New Roman" w:hAnsi="Times New Roman" w:cs="Times New Roman"/>
          <w:sz w:val="24"/>
          <w:szCs w:val="24"/>
        </w:rPr>
      </w:pPr>
      <w:r w:rsidRPr="0061437D">
        <w:rPr>
          <w:rFonts w:ascii="Times New Roman" w:hAnsi="Times New Roman" w:cs="Times New Roman"/>
          <w:sz w:val="24"/>
          <w:szCs w:val="24"/>
        </w:rPr>
        <w:t xml:space="preserve">So, starting with 5.37% for the cost of debt </w:t>
      </w:r>
      <w:r w:rsidR="00250F99" w:rsidRPr="0061437D">
        <w:rPr>
          <w:rFonts w:ascii="Times New Roman" w:hAnsi="Times New Roman" w:cs="Times New Roman"/>
          <w:sz w:val="24"/>
          <w:szCs w:val="24"/>
        </w:rPr>
        <w:t>for an effective tenor of 8.64 yrs, the CGS margin for 10 over 8.64 year bonds adds 0.12%, and the DRP margin for 10 over 8.6</w:t>
      </w:r>
      <w:r w:rsidRPr="0061437D">
        <w:rPr>
          <w:rFonts w:ascii="Times New Roman" w:hAnsi="Times New Roman" w:cs="Times New Roman"/>
          <w:sz w:val="24"/>
          <w:szCs w:val="24"/>
        </w:rPr>
        <w:t>4 year bonds adds a further 0.06</w:t>
      </w:r>
      <w:r w:rsidR="00250F99" w:rsidRPr="0061437D">
        <w:rPr>
          <w:rFonts w:ascii="Times New Roman" w:hAnsi="Times New Roman" w:cs="Times New Roman"/>
          <w:sz w:val="24"/>
          <w:szCs w:val="24"/>
        </w:rPr>
        <w:t xml:space="preserve">% with the DRP margin requiring extrapolation </w:t>
      </w:r>
      <w:r w:rsidR="00467381" w:rsidRPr="0061437D">
        <w:rPr>
          <w:rFonts w:ascii="Times New Roman" w:hAnsi="Times New Roman" w:cs="Times New Roman"/>
          <w:sz w:val="24"/>
          <w:szCs w:val="24"/>
        </w:rPr>
        <w:t xml:space="preserve">over 1.36 years </w:t>
      </w:r>
      <w:r w:rsidR="00250F99" w:rsidRPr="0061437D">
        <w:rPr>
          <w:rFonts w:ascii="Times New Roman" w:hAnsi="Times New Roman" w:cs="Times New Roman"/>
          <w:sz w:val="24"/>
          <w:szCs w:val="24"/>
        </w:rPr>
        <w:t>whilst the CGS margin involve</w:t>
      </w:r>
      <w:r w:rsidR="00831892" w:rsidRPr="0061437D">
        <w:rPr>
          <w:rFonts w:ascii="Times New Roman" w:hAnsi="Times New Roman" w:cs="Times New Roman"/>
          <w:sz w:val="24"/>
          <w:szCs w:val="24"/>
        </w:rPr>
        <w:t>s (more accurate) interpolation</w:t>
      </w:r>
      <w:r w:rsidR="00467381" w:rsidRPr="0061437D">
        <w:rPr>
          <w:rFonts w:ascii="Times New Roman" w:hAnsi="Times New Roman" w:cs="Times New Roman"/>
          <w:sz w:val="24"/>
          <w:szCs w:val="24"/>
        </w:rPr>
        <w:t xml:space="preserve"> over no more than </w:t>
      </w:r>
      <w:r w:rsidRPr="0061437D">
        <w:rPr>
          <w:rFonts w:ascii="Times New Roman" w:hAnsi="Times New Roman" w:cs="Times New Roman"/>
          <w:sz w:val="24"/>
          <w:szCs w:val="24"/>
        </w:rPr>
        <w:t>three months</w:t>
      </w:r>
      <w:r w:rsidR="00BF17EE" w:rsidRPr="0061437D">
        <w:rPr>
          <w:rFonts w:ascii="Times New Roman" w:hAnsi="Times New Roman" w:cs="Times New Roman"/>
          <w:sz w:val="24"/>
          <w:szCs w:val="24"/>
        </w:rPr>
        <w:t xml:space="preserve"> (because observed yields exist closer to the </w:t>
      </w:r>
      <w:r w:rsidR="00281AD4" w:rsidRPr="0061437D">
        <w:rPr>
          <w:rFonts w:ascii="Times New Roman" w:hAnsi="Times New Roman" w:cs="Times New Roman"/>
          <w:sz w:val="24"/>
          <w:szCs w:val="24"/>
        </w:rPr>
        <w:t>target dates)</w:t>
      </w:r>
      <w:r w:rsidR="00831892" w:rsidRPr="0061437D">
        <w:rPr>
          <w:rFonts w:ascii="Times New Roman" w:hAnsi="Times New Roman" w:cs="Times New Roman"/>
          <w:sz w:val="24"/>
          <w:szCs w:val="24"/>
        </w:rPr>
        <w:t xml:space="preserve">.  By contrast, CEG (2014, section 3.5) extrapolates the entire cost of debt from 8.64 to 10 years and therefore fails to take account of the ability to estimate the </w:t>
      </w:r>
      <w:r w:rsidR="0089492E" w:rsidRPr="0061437D">
        <w:rPr>
          <w:rFonts w:ascii="Times New Roman" w:hAnsi="Times New Roman" w:cs="Times New Roman"/>
          <w:sz w:val="24"/>
          <w:szCs w:val="24"/>
        </w:rPr>
        <w:t xml:space="preserve">base </w:t>
      </w:r>
      <w:r w:rsidR="00831892" w:rsidRPr="0061437D">
        <w:rPr>
          <w:rFonts w:ascii="Times New Roman" w:hAnsi="Times New Roman" w:cs="Times New Roman"/>
          <w:sz w:val="24"/>
          <w:szCs w:val="24"/>
        </w:rPr>
        <w:t>component more accurately</w:t>
      </w:r>
      <w:r w:rsidR="00467381" w:rsidRPr="0061437D">
        <w:rPr>
          <w:rFonts w:ascii="Times New Roman" w:hAnsi="Times New Roman" w:cs="Times New Roman"/>
          <w:sz w:val="24"/>
          <w:szCs w:val="24"/>
        </w:rPr>
        <w:t xml:space="preserve"> through interpolation</w:t>
      </w:r>
      <w:r w:rsidRPr="0061437D">
        <w:rPr>
          <w:rFonts w:ascii="Times New Roman" w:hAnsi="Times New Roman" w:cs="Times New Roman"/>
          <w:sz w:val="24"/>
          <w:szCs w:val="24"/>
        </w:rPr>
        <w:t>.</w:t>
      </w:r>
    </w:p>
    <w:p w:rsidR="00F91DE0" w:rsidRPr="0061437D" w:rsidRDefault="00F91DE0" w:rsidP="00122250">
      <w:pPr>
        <w:pStyle w:val="ListParagraph"/>
        <w:spacing w:after="0" w:line="360" w:lineRule="auto"/>
        <w:ind w:left="0"/>
        <w:jc w:val="both"/>
        <w:rPr>
          <w:rFonts w:ascii="Times New Roman" w:hAnsi="Times New Roman" w:cs="Times New Roman"/>
          <w:sz w:val="24"/>
          <w:szCs w:val="24"/>
        </w:rPr>
      </w:pPr>
    </w:p>
    <w:p w:rsidR="00F91DE0" w:rsidRPr="00611152" w:rsidRDefault="00F91DE0" w:rsidP="00122250">
      <w:pPr>
        <w:pStyle w:val="ListParagraph"/>
        <w:spacing w:after="0" w:line="360" w:lineRule="auto"/>
        <w:ind w:left="0"/>
        <w:jc w:val="both"/>
        <w:rPr>
          <w:rFonts w:ascii="Times New Roman" w:hAnsi="Times New Roman" w:cs="Times New Roman"/>
          <w:sz w:val="24"/>
          <w:szCs w:val="24"/>
          <w:u w:val="single"/>
        </w:rPr>
      </w:pPr>
      <w:r w:rsidRPr="0061437D">
        <w:rPr>
          <w:rFonts w:ascii="Times New Roman" w:hAnsi="Times New Roman" w:cs="Times New Roman"/>
          <w:sz w:val="24"/>
          <w:szCs w:val="24"/>
        </w:rPr>
        <w:t>Alternatively, using the swap rate as the base rate, the RBA’s reported yield on ten year debt in Table F3 of 5.51% constitutes the first three</w:t>
      </w:r>
      <w:r w:rsidR="00C03538" w:rsidRPr="0061437D">
        <w:rPr>
          <w:rFonts w:ascii="Times New Roman" w:hAnsi="Times New Roman" w:cs="Times New Roman"/>
          <w:sz w:val="24"/>
          <w:szCs w:val="24"/>
        </w:rPr>
        <w:t xml:space="preserve"> terms on the RHS of equation (4</w:t>
      </w:r>
      <w:r w:rsidRPr="0061437D">
        <w:rPr>
          <w:rFonts w:ascii="Times New Roman" w:hAnsi="Times New Roman" w:cs="Times New Roman"/>
          <w:sz w:val="24"/>
          <w:szCs w:val="24"/>
        </w:rPr>
        <w:t xml:space="preserve">), whilst Table F3 also provides </w:t>
      </w:r>
      <w:r w:rsidRPr="0061437D">
        <w:rPr>
          <w:rFonts w:ascii="Times New Roman" w:hAnsi="Times New Roman" w:cs="Times New Roman"/>
          <w:i/>
          <w:sz w:val="24"/>
          <w:szCs w:val="24"/>
        </w:rPr>
        <w:t>DRP</w:t>
      </w:r>
      <w:r w:rsidRPr="0061437D">
        <w:rPr>
          <w:rFonts w:ascii="Times New Roman" w:hAnsi="Times New Roman" w:cs="Times New Roman"/>
          <w:sz w:val="24"/>
          <w:szCs w:val="24"/>
        </w:rPr>
        <w:t xml:space="preserve">(7e) = 1.56% and </w:t>
      </w:r>
      <w:r w:rsidRPr="0061437D">
        <w:rPr>
          <w:rFonts w:ascii="Times New Roman" w:hAnsi="Times New Roman" w:cs="Times New Roman"/>
          <w:i/>
          <w:sz w:val="24"/>
          <w:szCs w:val="24"/>
        </w:rPr>
        <w:t>DRP</w:t>
      </w:r>
      <w:r w:rsidRPr="0061437D">
        <w:rPr>
          <w:rFonts w:ascii="Times New Roman" w:hAnsi="Times New Roman" w:cs="Times New Roman"/>
          <w:sz w:val="24"/>
          <w:szCs w:val="24"/>
        </w:rPr>
        <w:t xml:space="preserve">(10e) = 1.64%.  Substitution </w:t>
      </w:r>
      <w:r w:rsidR="00FC5211" w:rsidRPr="0061437D">
        <w:rPr>
          <w:rFonts w:ascii="Times New Roman" w:hAnsi="Times New Roman" w:cs="Times New Roman"/>
          <w:sz w:val="24"/>
          <w:szCs w:val="24"/>
        </w:rPr>
        <w:t xml:space="preserve">of these values </w:t>
      </w:r>
      <w:r w:rsidRPr="0061437D">
        <w:rPr>
          <w:rFonts w:ascii="Times New Roman" w:hAnsi="Times New Roman" w:cs="Times New Roman"/>
          <w:sz w:val="24"/>
          <w:szCs w:val="24"/>
        </w:rPr>
        <w:t>into equation (3)</w:t>
      </w:r>
      <w:r w:rsidR="00FC5211" w:rsidRPr="0061437D">
        <w:rPr>
          <w:rFonts w:ascii="Times New Roman" w:hAnsi="Times New Roman" w:cs="Times New Roman"/>
          <w:sz w:val="24"/>
          <w:szCs w:val="24"/>
        </w:rPr>
        <w:t xml:space="preserve"> then generates an estimate for the ten-year cost of debt of 5.57%, and this differs from the result above of 5.58% from using the CGS as the base rate by only 0.01%.</w:t>
      </w:r>
      <w:r w:rsidR="00FC5211" w:rsidRPr="00611152">
        <w:rPr>
          <w:rFonts w:ascii="Times New Roman" w:hAnsi="Times New Roman" w:cs="Times New Roman"/>
          <w:sz w:val="24"/>
          <w:szCs w:val="24"/>
          <w:u w:val="single"/>
        </w:rPr>
        <w:t xml:space="preserve"> </w:t>
      </w:r>
      <w:r w:rsidRPr="00611152">
        <w:rPr>
          <w:rFonts w:ascii="Times New Roman" w:hAnsi="Times New Roman" w:cs="Times New Roman"/>
          <w:sz w:val="24"/>
          <w:szCs w:val="24"/>
          <w:u w:val="single"/>
        </w:rPr>
        <w:t xml:space="preserve"> </w:t>
      </w:r>
    </w:p>
    <w:p w:rsidR="00250F99" w:rsidRDefault="00250F99" w:rsidP="00122250">
      <w:pPr>
        <w:pStyle w:val="ListParagraph"/>
        <w:spacing w:after="0" w:line="360" w:lineRule="auto"/>
        <w:ind w:left="0"/>
        <w:jc w:val="both"/>
        <w:rPr>
          <w:rFonts w:ascii="Times New Roman" w:hAnsi="Times New Roman" w:cs="Times New Roman"/>
          <w:sz w:val="24"/>
          <w:szCs w:val="24"/>
        </w:rPr>
      </w:pPr>
    </w:p>
    <w:p w:rsidR="009E4718" w:rsidRPr="00B2746E" w:rsidRDefault="004F5FCD" w:rsidP="00122250">
      <w:pPr>
        <w:pStyle w:val="ListParagraph"/>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rPr>
        <w:t xml:space="preserve">In respect of the BVAL, </w:t>
      </w:r>
      <w:r w:rsidR="00173CD1">
        <w:rPr>
          <w:rFonts w:ascii="Times New Roman" w:hAnsi="Times New Roman" w:cs="Times New Roman"/>
          <w:sz w:val="24"/>
          <w:szCs w:val="24"/>
        </w:rPr>
        <w:t xml:space="preserve">the base rate can be dealt with using </w:t>
      </w:r>
      <w:r w:rsidR="00532A76">
        <w:rPr>
          <w:rFonts w:ascii="Times New Roman" w:hAnsi="Times New Roman" w:cs="Times New Roman"/>
          <w:sz w:val="24"/>
          <w:szCs w:val="24"/>
        </w:rPr>
        <w:t>observed rates or interpolation as before</w:t>
      </w:r>
      <w:r w:rsidR="005E4CBE">
        <w:rPr>
          <w:rFonts w:ascii="Times New Roman" w:hAnsi="Times New Roman" w:cs="Times New Roman"/>
          <w:sz w:val="24"/>
          <w:szCs w:val="24"/>
        </w:rPr>
        <w:t xml:space="preserve">.  </w:t>
      </w:r>
      <w:r w:rsidR="00173CD1">
        <w:rPr>
          <w:rFonts w:ascii="Times New Roman" w:hAnsi="Times New Roman" w:cs="Times New Roman"/>
          <w:sz w:val="24"/>
          <w:szCs w:val="24"/>
        </w:rPr>
        <w:t xml:space="preserve">In respect of the DRP, </w:t>
      </w:r>
      <w:r>
        <w:rPr>
          <w:rFonts w:ascii="Times New Roman" w:hAnsi="Times New Roman" w:cs="Times New Roman"/>
          <w:sz w:val="24"/>
          <w:szCs w:val="24"/>
        </w:rPr>
        <w:t xml:space="preserve">linear extrapolation is no longer clearly favoured because the </w:t>
      </w:r>
      <w:r w:rsidR="00B17F4C">
        <w:rPr>
          <w:rFonts w:ascii="Times New Roman" w:hAnsi="Times New Roman" w:cs="Times New Roman"/>
          <w:sz w:val="24"/>
          <w:szCs w:val="24"/>
        </w:rPr>
        <w:t xml:space="preserve">extension </w:t>
      </w:r>
      <w:r>
        <w:rPr>
          <w:rFonts w:ascii="Times New Roman" w:hAnsi="Times New Roman" w:cs="Times New Roman"/>
          <w:sz w:val="24"/>
          <w:szCs w:val="24"/>
        </w:rPr>
        <w:t xml:space="preserve">period is now </w:t>
      </w:r>
      <w:r w:rsidR="008C0FB9">
        <w:rPr>
          <w:rFonts w:ascii="Times New Roman" w:hAnsi="Times New Roman" w:cs="Times New Roman"/>
          <w:sz w:val="24"/>
          <w:szCs w:val="24"/>
        </w:rPr>
        <w:t xml:space="preserve">three </w:t>
      </w:r>
      <w:r>
        <w:rPr>
          <w:rFonts w:ascii="Times New Roman" w:hAnsi="Times New Roman" w:cs="Times New Roman"/>
          <w:sz w:val="24"/>
          <w:szCs w:val="24"/>
        </w:rPr>
        <w:t>years</w:t>
      </w:r>
      <w:r w:rsidR="000B28D9">
        <w:rPr>
          <w:rFonts w:ascii="Times New Roman" w:hAnsi="Times New Roman" w:cs="Times New Roman"/>
          <w:sz w:val="24"/>
          <w:szCs w:val="24"/>
        </w:rPr>
        <w:t xml:space="preserve"> (from </w:t>
      </w:r>
      <w:r w:rsidR="008C0FB9">
        <w:rPr>
          <w:rFonts w:ascii="Times New Roman" w:hAnsi="Times New Roman" w:cs="Times New Roman"/>
          <w:sz w:val="24"/>
          <w:szCs w:val="24"/>
        </w:rPr>
        <w:t xml:space="preserve">seven </w:t>
      </w:r>
      <w:r w:rsidR="000B28D9">
        <w:rPr>
          <w:rFonts w:ascii="Times New Roman" w:hAnsi="Times New Roman" w:cs="Times New Roman"/>
          <w:sz w:val="24"/>
          <w:szCs w:val="24"/>
        </w:rPr>
        <w:t>to ten years)</w:t>
      </w:r>
      <w:r w:rsidR="00517ED9">
        <w:rPr>
          <w:rFonts w:ascii="Times New Roman" w:hAnsi="Times New Roman" w:cs="Times New Roman"/>
          <w:sz w:val="24"/>
          <w:szCs w:val="24"/>
        </w:rPr>
        <w:t xml:space="preserve"> rather than only 1.3 years</w:t>
      </w:r>
      <w:r>
        <w:rPr>
          <w:rFonts w:ascii="Times New Roman" w:hAnsi="Times New Roman" w:cs="Times New Roman"/>
          <w:sz w:val="24"/>
          <w:szCs w:val="24"/>
        </w:rPr>
        <w:t xml:space="preserve">.  It is therefore necessary to consider </w:t>
      </w:r>
      <w:r w:rsidR="00517ED9">
        <w:rPr>
          <w:rFonts w:ascii="Times New Roman" w:hAnsi="Times New Roman" w:cs="Times New Roman"/>
          <w:sz w:val="24"/>
          <w:szCs w:val="24"/>
        </w:rPr>
        <w:t xml:space="preserve">the merits of various </w:t>
      </w:r>
      <w:r w:rsidR="00B17F4C">
        <w:rPr>
          <w:rFonts w:ascii="Times New Roman" w:hAnsi="Times New Roman" w:cs="Times New Roman"/>
          <w:sz w:val="24"/>
          <w:szCs w:val="24"/>
        </w:rPr>
        <w:t xml:space="preserve">extension </w:t>
      </w:r>
      <w:r>
        <w:rPr>
          <w:rFonts w:ascii="Times New Roman" w:hAnsi="Times New Roman" w:cs="Times New Roman"/>
          <w:sz w:val="24"/>
          <w:szCs w:val="24"/>
        </w:rPr>
        <w:t xml:space="preserve">techniques.  Incenta (2014) has considered various techniques for </w:t>
      </w:r>
      <w:r w:rsidR="000B28D9">
        <w:rPr>
          <w:rFonts w:ascii="Times New Roman" w:hAnsi="Times New Roman" w:cs="Times New Roman"/>
          <w:sz w:val="24"/>
          <w:szCs w:val="24"/>
        </w:rPr>
        <w:t xml:space="preserve">estimating the increment in the DRP from seven to ten years, </w:t>
      </w:r>
      <w:r>
        <w:rPr>
          <w:rFonts w:ascii="Times New Roman" w:hAnsi="Times New Roman" w:cs="Times New Roman"/>
          <w:sz w:val="24"/>
          <w:szCs w:val="24"/>
        </w:rPr>
        <w:t>and concludes that the best technique involves use of the QTC quarterly survey data</w:t>
      </w:r>
      <w:r w:rsidR="00FE76FD">
        <w:rPr>
          <w:rFonts w:ascii="Times New Roman" w:hAnsi="Times New Roman" w:cs="Times New Roman"/>
          <w:sz w:val="24"/>
          <w:szCs w:val="24"/>
        </w:rPr>
        <w:t xml:space="preserve"> (ibid, section 1.1.2)</w:t>
      </w:r>
      <w:r>
        <w:rPr>
          <w:rFonts w:ascii="Times New Roman" w:hAnsi="Times New Roman" w:cs="Times New Roman"/>
          <w:sz w:val="24"/>
          <w:szCs w:val="24"/>
        </w:rPr>
        <w:t xml:space="preserve">. </w:t>
      </w:r>
      <w:r w:rsidR="00180F90">
        <w:rPr>
          <w:rFonts w:ascii="Times New Roman" w:hAnsi="Times New Roman" w:cs="Times New Roman"/>
          <w:sz w:val="24"/>
          <w:szCs w:val="24"/>
        </w:rPr>
        <w:t xml:space="preserve"> </w:t>
      </w:r>
      <w:r w:rsidR="000B28D9">
        <w:rPr>
          <w:rFonts w:ascii="Times New Roman" w:hAnsi="Times New Roman" w:cs="Times New Roman"/>
          <w:sz w:val="24"/>
          <w:szCs w:val="24"/>
        </w:rPr>
        <w:t xml:space="preserve">The principal </w:t>
      </w:r>
      <w:r w:rsidR="00D65BAC">
        <w:rPr>
          <w:rFonts w:ascii="Times New Roman" w:hAnsi="Times New Roman" w:cs="Times New Roman"/>
          <w:sz w:val="24"/>
          <w:szCs w:val="24"/>
        </w:rPr>
        <w:t>basis for this conclusion is that the best estimate of the true DRP inc</w:t>
      </w:r>
      <w:r w:rsidR="00517ED9">
        <w:rPr>
          <w:rFonts w:ascii="Times New Roman" w:hAnsi="Times New Roman" w:cs="Times New Roman"/>
          <w:sz w:val="24"/>
          <w:szCs w:val="24"/>
        </w:rPr>
        <w:t>rement is that arising from the AER’s ‘</w:t>
      </w:r>
      <w:r w:rsidR="00D65BAC">
        <w:rPr>
          <w:rFonts w:ascii="Times New Roman" w:hAnsi="Times New Roman" w:cs="Times New Roman"/>
          <w:sz w:val="24"/>
          <w:szCs w:val="24"/>
        </w:rPr>
        <w:t>Paired Bonds</w:t>
      </w:r>
      <w:r w:rsidR="00517ED9">
        <w:rPr>
          <w:rFonts w:ascii="Times New Roman" w:hAnsi="Times New Roman" w:cs="Times New Roman"/>
          <w:sz w:val="24"/>
          <w:szCs w:val="24"/>
        </w:rPr>
        <w:t>’</w:t>
      </w:r>
      <w:r w:rsidR="00D65BAC">
        <w:rPr>
          <w:rFonts w:ascii="Times New Roman" w:hAnsi="Times New Roman" w:cs="Times New Roman"/>
          <w:sz w:val="24"/>
          <w:szCs w:val="24"/>
        </w:rPr>
        <w:t xml:space="preserve"> approach, and the estimates generated using the QTC data produce a lower </w:t>
      </w:r>
      <w:r w:rsidR="00FE76FD">
        <w:rPr>
          <w:rFonts w:ascii="Times New Roman" w:hAnsi="Times New Roman" w:cs="Times New Roman"/>
          <w:sz w:val="24"/>
          <w:szCs w:val="24"/>
        </w:rPr>
        <w:t xml:space="preserve">RMSE </w:t>
      </w:r>
      <w:r w:rsidR="00D65BAC">
        <w:rPr>
          <w:rFonts w:ascii="Times New Roman" w:hAnsi="Times New Roman" w:cs="Times New Roman"/>
          <w:sz w:val="24"/>
          <w:szCs w:val="24"/>
        </w:rPr>
        <w:t xml:space="preserve">than any other estimation technique examined (comprising linear extrapolation applied to the BFV, use of the RBA index, and the use of two Bloomberg US indexes).  However, since the </w:t>
      </w:r>
      <w:r w:rsidR="004701EC">
        <w:rPr>
          <w:rFonts w:ascii="Times New Roman" w:hAnsi="Times New Roman" w:cs="Times New Roman"/>
          <w:sz w:val="24"/>
          <w:szCs w:val="24"/>
        </w:rPr>
        <w:t>root mean squared error (</w:t>
      </w:r>
      <w:r w:rsidR="00517ED9">
        <w:rPr>
          <w:rFonts w:ascii="Times New Roman" w:hAnsi="Times New Roman" w:cs="Times New Roman"/>
          <w:sz w:val="24"/>
          <w:szCs w:val="24"/>
        </w:rPr>
        <w:t>RMSE</w:t>
      </w:r>
      <w:r w:rsidR="004701EC">
        <w:rPr>
          <w:rFonts w:ascii="Times New Roman" w:hAnsi="Times New Roman" w:cs="Times New Roman"/>
          <w:sz w:val="24"/>
          <w:szCs w:val="24"/>
        </w:rPr>
        <w:t>)</w:t>
      </w:r>
      <w:r w:rsidR="00517ED9">
        <w:rPr>
          <w:rFonts w:ascii="Times New Roman" w:hAnsi="Times New Roman" w:cs="Times New Roman"/>
          <w:sz w:val="24"/>
          <w:szCs w:val="24"/>
        </w:rPr>
        <w:t xml:space="preserve"> </w:t>
      </w:r>
      <w:r w:rsidR="00D65BAC">
        <w:rPr>
          <w:rFonts w:ascii="Times New Roman" w:hAnsi="Times New Roman" w:cs="Times New Roman"/>
          <w:sz w:val="24"/>
          <w:szCs w:val="24"/>
        </w:rPr>
        <w:t xml:space="preserve">results are dependent upon the particular input data used and the true increment in the DRP is </w:t>
      </w:r>
      <w:r w:rsidR="00517ED9">
        <w:rPr>
          <w:rFonts w:ascii="Times New Roman" w:hAnsi="Times New Roman" w:cs="Times New Roman"/>
          <w:sz w:val="24"/>
          <w:szCs w:val="24"/>
        </w:rPr>
        <w:t xml:space="preserve">not </w:t>
      </w:r>
      <w:r w:rsidR="00D65BAC">
        <w:rPr>
          <w:rFonts w:ascii="Times New Roman" w:hAnsi="Times New Roman" w:cs="Times New Roman"/>
          <w:sz w:val="24"/>
          <w:szCs w:val="24"/>
        </w:rPr>
        <w:t>observable (</w:t>
      </w:r>
      <w:r w:rsidR="00517ED9">
        <w:rPr>
          <w:rFonts w:ascii="Times New Roman" w:hAnsi="Times New Roman" w:cs="Times New Roman"/>
          <w:sz w:val="24"/>
          <w:szCs w:val="24"/>
        </w:rPr>
        <w:t xml:space="preserve">it is </w:t>
      </w:r>
      <w:r w:rsidR="00D65BAC">
        <w:rPr>
          <w:rFonts w:ascii="Times New Roman" w:hAnsi="Times New Roman" w:cs="Times New Roman"/>
          <w:sz w:val="24"/>
          <w:szCs w:val="24"/>
        </w:rPr>
        <w:t xml:space="preserve">merely proxied by the </w:t>
      </w:r>
      <w:r w:rsidR="00517ED9">
        <w:rPr>
          <w:rFonts w:ascii="Times New Roman" w:hAnsi="Times New Roman" w:cs="Times New Roman"/>
          <w:sz w:val="24"/>
          <w:szCs w:val="24"/>
        </w:rPr>
        <w:t xml:space="preserve">AER’s ‘Paired Bonds’ </w:t>
      </w:r>
      <w:r w:rsidR="00D65BAC">
        <w:rPr>
          <w:rFonts w:ascii="Times New Roman" w:hAnsi="Times New Roman" w:cs="Times New Roman"/>
          <w:sz w:val="24"/>
          <w:szCs w:val="24"/>
        </w:rPr>
        <w:t xml:space="preserve">technique), </w:t>
      </w:r>
      <w:r w:rsidR="00D9040A">
        <w:rPr>
          <w:rFonts w:ascii="Times New Roman" w:hAnsi="Times New Roman" w:cs="Times New Roman"/>
          <w:sz w:val="24"/>
          <w:szCs w:val="24"/>
        </w:rPr>
        <w:t xml:space="preserve">there is little to choose between the </w:t>
      </w:r>
      <w:r w:rsidR="00427949">
        <w:rPr>
          <w:rFonts w:ascii="Times New Roman" w:hAnsi="Times New Roman" w:cs="Times New Roman"/>
          <w:sz w:val="24"/>
          <w:szCs w:val="24"/>
        </w:rPr>
        <w:t xml:space="preserve">use of the </w:t>
      </w:r>
      <w:r w:rsidR="00D9040A">
        <w:rPr>
          <w:rFonts w:ascii="Times New Roman" w:hAnsi="Times New Roman" w:cs="Times New Roman"/>
          <w:sz w:val="24"/>
          <w:szCs w:val="24"/>
        </w:rPr>
        <w:t>QTC appr</w:t>
      </w:r>
      <w:r w:rsidR="00FE76FD">
        <w:rPr>
          <w:rFonts w:ascii="Times New Roman" w:hAnsi="Times New Roman" w:cs="Times New Roman"/>
          <w:sz w:val="24"/>
          <w:szCs w:val="24"/>
        </w:rPr>
        <w:t xml:space="preserve">oach </w:t>
      </w:r>
      <w:r w:rsidR="00D9040A">
        <w:rPr>
          <w:rFonts w:ascii="Times New Roman" w:hAnsi="Times New Roman" w:cs="Times New Roman"/>
          <w:sz w:val="24"/>
          <w:szCs w:val="24"/>
        </w:rPr>
        <w:t>w</w:t>
      </w:r>
      <w:r w:rsidR="00FE76FD">
        <w:rPr>
          <w:rFonts w:ascii="Times New Roman" w:hAnsi="Times New Roman" w:cs="Times New Roman"/>
          <w:sz w:val="24"/>
          <w:szCs w:val="24"/>
        </w:rPr>
        <w:t xml:space="preserve">ith an RMSE of 7.7 basis points and the </w:t>
      </w:r>
      <w:r w:rsidR="00427949">
        <w:rPr>
          <w:rFonts w:ascii="Times New Roman" w:hAnsi="Times New Roman" w:cs="Times New Roman"/>
          <w:sz w:val="24"/>
          <w:szCs w:val="24"/>
        </w:rPr>
        <w:t xml:space="preserve">use of the </w:t>
      </w:r>
      <w:r w:rsidR="00FE76FD">
        <w:rPr>
          <w:rFonts w:ascii="Times New Roman" w:hAnsi="Times New Roman" w:cs="Times New Roman"/>
          <w:sz w:val="24"/>
          <w:szCs w:val="24"/>
        </w:rPr>
        <w:t xml:space="preserve">RBA index </w:t>
      </w:r>
      <w:r w:rsidR="00D9040A">
        <w:rPr>
          <w:rFonts w:ascii="Times New Roman" w:hAnsi="Times New Roman" w:cs="Times New Roman"/>
          <w:sz w:val="24"/>
          <w:szCs w:val="24"/>
        </w:rPr>
        <w:t>w</w:t>
      </w:r>
      <w:r w:rsidR="00FE76FD">
        <w:rPr>
          <w:rFonts w:ascii="Times New Roman" w:hAnsi="Times New Roman" w:cs="Times New Roman"/>
          <w:sz w:val="24"/>
          <w:szCs w:val="24"/>
        </w:rPr>
        <w:t>ith a RMSE of 11.7 basis points (ibid, Table 1)</w:t>
      </w:r>
      <w:r w:rsidR="00D9040A">
        <w:rPr>
          <w:rFonts w:ascii="Times New Roman" w:hAnsi="Times New Roman" w:cs="Times New Roman"/>
          <w:sz w:val="24"/>
          <w:szCs w:val="24"/>
        </w:rPr>
        <w:t xml:space="preserve">.  Furthermore, the RBA approach is much simpler to implement, requiring only observations </w:t>
      </w:r>
      <w:r w:rsidR="00D9040A">
        <w:rPr>
          <w:rFonts w:ascii="Times New Roman" w:hAnsi="Times New Roman" w:cs="Times New Roman"/>
          <w:sz w:val="24"/>
          <w:szCs w:val="24"/>
        </w:rPr>
        <w:lastRenderedPageBreak/>
        <w:t xml:space="preserve">on the RBA index (which are publicly available) whilst the QTC approach would require periodic rerunning of a regression model to utilize the additional </w:t>
      </w:r>
      <w:r w:rsidR="0077784C">
        <w:rPr>
          <w:rFonts w:ascii="Times New Roman" w:hAnsi="Times New Roman" w:cs="Times New Roman"/>
          <w:sz w:val="24"/>
          <w:szCs w:val="24"/>
        </w:rPr>
        <w:t xml:space="preserve">QTC survey </w:t>
      </w:r>
      <w:r w:rsidR="00D9040A">
        <w:rPr>
          <w:rFonts w:ascii="Times New Roman" w:hAnsi="Times New Roman" w:cs="Times New Roman"/>
          <w:sz w:val="24"/>
          <w:szCs w:val="24"/>
        </w:rPr>
        <w:t xml:space="preserve">data that becomes available as </w:t>
      </w:r>
      <w:r w:rsidR="00FE76FD">
        <w:rPr>
          <w:rFonts w:ascii="Times New Roman" w:hAnsi="Times New Roman" w:cs="Times New Roman"/>
          <w:sz w:val="24"/>
          <w:szCs w:val="24"/>
        </w:rPr>
        <w:t xml:space="preserve">time passes.  </w:t>
      </w:r>
      <w:r w:rsidR="00D9040A">
        <w:rPr>
          <w:rFonts w:ascii="Times New Roman" w:hAnsi="Times New Roman" w:cs="Times New Roman"/>
          <w:sz w:val="24"/>
          <w:szCs w:val="24"/>
        </w:rPr>
        <w:t xml:space="preserve">Furthermore, any regression model requires judgement over whether to delete some outliers and therefore does not in this respect satisfy the AER’s requirement for </w:t>
      </w:r>
      <w:r w:rsidR="00FE76FD">
        <w:rPr>
          <w:rFonts w:ascii="Times New Roman" w:hAnsi="Times New Roman" w:cs="Times New Roman"/>
          <w:sz w:val="24"/>
          <w:szCs w:val="24"/>
        </w:rPr>
        <w:t xml:space="preserve">the extrapolation process to involve the “automatic application of a formula” (see </w:t>
      </w:r>
      <w:r w:rsidR="00517ED9">
        <w:rPr>
          <w:rFonts w:ascii="Times New Roman" w:hAnsi="Times New Roman" w:cs="Times New Roman"/>
          <w:sz w:val="24"/>
          <w:szCs w:val="24"/>
        </w:rPr>
        <w:t xml:space="preserve">Terms of Reference, </w:t>
      </w:r>
      <w:r w:rsidR="00FE76FD">
        <w:rPr>
          <w:rFonts w:ascii="Times New Roman" w:hAnsi="Times New Roman" w:cs="Times New Roman"/>
          <w:sz w:val="24"/>
          <w:szCs w:val="24"/>
        </w:rPr>
        <w:t xml:space="preserve">point 6).  </w:t>
      </w:r>
      <w:r w:rsidR="002C5C88">
        <w:rPr>
          <w:rFonts w:ascii="Times New Roman" w:hAnsi="Times New Roman" w:cs="Times New Roman"/>
          <w:sz w:val="24"/>
          <w:szCs w:val="24"/>
        </w:rPr>
        <w:t xml:space="preserve">Furthermore, the tests are biased against the RBA because Incenta </w:t>
      </w:r>
      <w:r w:rsidR="00560068" w:rsidRPr="00843DC5">
        <w:rPr>
          <w:rFonts w:ascii="Times New Roman" w:hAnsi="Times New Roman" w:cs="Times New Roman"/>
          <w:sz w:val="24"/>
          <w:szCs w:val="24"/>
        </w:rPr>
        <w:t xml:space="preserve">assumes that </w:t>
      </w:r>
      <w:r w:rsidR="002C5C88" w:rsidRPr="00843DC5">
        <w:rPr>
          <w:rFonts w:ascii="Times New Roman" w:hAnsi="Times New Roman" w:cs="Times New Roman"/>
          <w:sz w:val="24"/>
          <w:szCs w:val="24"/>
        </w:rPr>
        <w:t xml:space="preserve">the seven and ten-year DRPs reported by the RBA are in fact for those periods and this is not the case as discussed above; had the reported </w:t>
      </w:r>
      <w:r w:rsidR="00B17F4C" w:rsidRPr="00843DC5">
        <w:rPr>
          <w:rFonts w:ascii="Times New Roman" w:hAnsi="Times New Roman" w:cs="Times New Roman"/>
          <w:sz w:val="24"/>
          <w:szCs w:val="24"/>
        </w:rPr>
        <w:t xml:space="preserve">RBA </w:t>
      </w:r>
      <w:r w:rsidR="002C5C88" w:rsidRPr="00843DC5">
        <w:rPr>
          <w:rFonts w:ascii="Times New Roman" w:hAnsi="Times New Roman" w:cs="Times New Roman"/>
          <w:sz w:val="24"/>
          <w:szCs w:val="24"/>
        </w:rPr>
        <w:t xml:space="preserve">values been adjusted as described above, the performance of the RBA index </w:t>
      </w:r>
      <w:r w:rsidR="00B2746E" w:rsidRPr="00843DC5">
        <w:rPr>
          <w:rFonts w:ascii="Times New Roman" w:hAnsi="Times New Roman" w:cs="Times New Roman"/>
          <w:sz w:val="24"/>
          <w:szCs w:val="24"/>
        </w:rPr>
        <w:t>may</w:t>
      </w:r>
      <w:r w:rsidR="002C5C88" w:rsidRPr="00843DC5">
        <w:rPr>
          <w:rFonts w:ascii="Times New Roman" w:hAnsi="Times New Roman" w:cs="Times New Roman"/>
          <w:sz w:val="24"/>
          <w:szCs w:val="24"/>
        </w:rPr>
        <w:t xml:space="preserve"> have been superior.</w:t>
      </w:r>
      <w:r w:rsidR="00560068" w:rsidRPr="00843DC5">
        <w:rPr>
          <w:rStyle w:val="FootnoteReference"/>
          <w:rFonts w:ascii="Times New Roman" w:hAnsi="Times New Roman" w:cs="Times New Roman"/>
          <w:sz w:val="24"/>
          <w:szCs w:val="24"/>
        </w:rPr>
        <w:footnoteReference w:id="25"/>
      </w:r>
      <w:r w:rsidR="00B2746E" w:rsidRPr="00843DC5">
        <w:rPr>
          <w:rFonts w:ascii="Times New Roman" w:hAnsi="Times New Roman" w:cs="Times New Roman"/>
          <w:sz w:val="24"/>
          <w:szCs w:val="24"/>
        </w:rPr>
        <w:t xml:space="preserve">  The tests are further biased against the RBA index because the proxy for the true increment in the DRP is the paired bonds technique and these are only local currency bonds whilst the RBA includes foreign-currency bonds.</w:t>
      </w:r>
    </w:p>
    <w:p w:rsidR="009E4718" w:rsidRDefault="009E4718" w:rsidP="00122250">
      <w:pPr>
        <w:pStyle w:val="ListParagraph"/>
        <w:spacing w:after="0" w:line="360" w:lineRule="auto"/>
        <w:ind w:left="0"/>
        <w:jc w:val="both"/>
        <w:rPr>
          <w:rFonts w:ascii="Times New Roman" w:hAnsi="Times New Roman" w:cs="Times New Roman"/>
          <w:sz w:val="24"/>
          <w:szCs w:val="24"/>
        </w:rPr>
      </w:pPr>
    </w:p>
    <w:p w:rsidR="004F5FCD" w:rsidRDefault="00FE76FD"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Finally, the </w:t>
      </w:r>
      <w:r w:rsidR="00F63D45">
        <w:rPr>
          <w:rFonts w:ascii="Times New Roman" w:hAnsi="Times New Roman" w:cs="Times New Roman"/>
          <w:sz w:val="24"/>
          <w:szCs w:val="24"/>
        </w:rPr>
        <w:t xml:space="preserve">alleged </w:t>
      </w:r>
      <w:r>
        <w:rPr>
          <w:rFonts w:ascii="Times New Roman" w:hAnsi="Times New Roman" w:cs="Times New Roman"/>
          <w:sz w:val="24"/>
          <w:szCs w:val="24"/>
        </w:rPr>
        <w:t xml:space="preserve">superiority of the QTC </w:t>
      </w:r>
      <w:r w:rsidR="00877243">
        <w:rPr>
          <w:rFonts w:ascii="Times New Roman" w:hAnsi="Times New Roman" w:cs="Times New Roman"/>
          <w:sz w:val="24"/>
          <w:szCs w:val="24"/>
        </w:rPr>
        <w:t xml:space="preserve">approach </w:t>
      </w:r>
      <w:r>
        <w:rPr>
          <w:rFonts w:ascii="Times New Roman" w:hAnsi="Times New Roman" w:cs="Times New Roman"/>
          <w:sz w:val="24"/>
          <w:szCs w:val="24"/>
        </w:rPr>
        <w:t xml:space="preserve">over the RBA approach (in RMSE terms) lies in the lower standard deviation outweighing the higher bias (Incenta, 2014, Table 1).  However, this analysis presumes that the exercise in question involves a single estimate of the DRP differential (for seven to ten years) and this is </w:t>
      </w:r>
      <w:r w:rsidR="00326CF2" w:rsidRPr="00843DC5">
        <w:rPr>
          <w:rFonts w:ascii="Times New Roman" w:hAnsi="Times New Roman" w:cs="Times New Roman"/>
          <w:sz w:val="24"/>
          <w:szCs w:val="24"/>
        </w:rPr>
        <w:t>only the case if the estimate is being made for the first year and only one RBA observation per year is used</w:t>
      </w:r>
      <w:r w:rsidR="00B2746E" w:rsidRPr="00843DC5">
        <w:rPr>
          <w:rFonts w:ascii="Times New Roman" w:hAnsi="Times New Roman" w:cs="Times New Roman"/>
          <w:sz w:val="24"/>
          <w:szCs w:val="24"/>
        </w:rPr>
        <w:t xml:space="preserve">.  </w:t>
      </w:r>
      <w:r w:rsidR="00326CF2" w:rsidRPr="00843DC5">
        <w:rPr>
          <w:rFonts w:ascii="Times New Roman" w:hAnsi="Times New Roman" w:cs="Times New Roman"/>
          <w:sz w:val="24"/>
          <w:szCs w:val="24"/>
        </w:rPr>
        <w:t>Otherwise, multiple RBA estimates are used and, once the transitional period of ten years has passed, there will be at least one RBA observation per year used to form a ten-year trailing average</w:t>
      </w:r>
      <w:r w:rsidRPr="00843DC5">
        <w:rPr>
          <w:rFonts w:ascii="Times New Roman" w:hAnsi="Times New Roman" w:cs="Times New Roman"/>
          <w:sz w:val="24"/>
          <w:szCs w:val="24"/>
        </w:rPr>
        <w:t xml:space="preserve">.  </w:t>
      </w:r>
      <w:r w:rsidR="009E4718" w:rsidRPr="00843DC5">
        <w:rPr>
          <w:rFonts w:ascii="Times New Roman" w:hAnsi="Times New Roman" w:cs="Times New Roman"/>
          <w:sz w:val="24"/>
          <w:szCs w:val="24"/>
        </w:rPr>
        <w:t xml:space="preserve">So, the </w:t>
      </w:r>
      <w:r w:rsidR="00326CF2" w:rsidRPr="00843DC5">
        <w:rPr>
          <w:rFonts w:ascii="Times New Roman" w:hAnsi="Times New Roman" w:cs="Times New Roman"/>
          <w:sz w:val="24"/>
          <w:szCs w:val="24"/>
        </w:rPr>
        <w:t>better</w:t>
      </w:r>
      <w:r w:rsidR="009E4718">
        <w:rPr>
          <w:rFonts w:ascii="Times New Roman" w:hAnsi="Times New Roman" w:cs="Times New Roman"/>
          <w:sz w:val="24"/>
          <w:szCs w:val="24"/>
        </w:rPr>
        <w:t xml:space="preserve"> test is not the RMSE from one estimate but the RMSE from the trailing average estimate.  The greater number of individual estimates will not affect the bias in the estimate, but it will reduce the standard deviation and this will favour the </w:t>
      </w:r>
      <w:r>
        <w:rPr>
          <w:rFonts w:ascii="Times New Roman" w:hAnsi="Times New Roman" w:cs="Times New Roman"/>
          <w:sz w:val="24"/>
          <w:szCs w:val="24"/>
        </w:rPr>
        <w:t xml:space="preserve">RBA </w:t>
      </w:r>
      <w:r w:rsidR="009E4718">
        <w:rPr>
          <w:rFonts w:ascii="Times New Roman" w:hAnsi="Times New Roman" w:cs="Times New Roman"/>
          <w:sz w:val="24"/>
          <w:szCs w:val="24"/>
        </w:rPr>
        <w:t xml:space="preserve">approach </w:t>
      </w:r>
      <w:r>
        <w:rPr>
          <w:rFonts w:ascii="Times New Roman" w:hAnsi="Times New Roman" w:cs="Times New Roman"/>
          <w:sz w:val="24"/>
          <w:szCs w:val="24"/>
        </w:rPr>
        <w:t xml:space="preserve">over </w:t>
      </w:r>
      <w:r w:rsidR="009E4718">
        <w:rPr>
          <w:rFonts w:ascii="Times New Roman" w:hAnsi="Times New Roman" w:cs="Times New Roman"/>
          <w:sz w:val="24"/>
          <w:szCs w:val="24"/>
        </w:rPr>
        <w:t xml:space="preserve">the QTC approach.  For example, suppose the trailing average requires ten (equally-weighted) DRP estimates and these are </w:t>
      </w:r>
      <w:r w:rsidR="00F63D45">
        <w:rPr>
          <w:rFonts w:ascii="Times New Roman" w:hAnsi="Times New Roman" w:cs="Times New Roman"/>
          <w:sz w:val="24"/>
          <w:szCs w:val="24"/>
        </w:rPr>
        <w:t xml:space="preserve">statistically </w:t>
      </w:r>
      <w:r w:rsidR="009E4718">
        <w:rPr>
          <w:rFonts w:ascii="Times New Roman" w:hAnsi="Times New Roman" w:cs="Times New Roman"/>
          <w:sz w:val="24"/>
          <w:szCs w:val="24"/>
        </w:rPr>
        <w:t xml:space="preserve">independent.  Letting </w:t>
      </w:r>
      <w:r w:rsidR="009E4718" w:rsidRPr="008A6207">
        <w:rPr>
          <w:rFonts w:ascii="Times New Roman" w:hAnsi="Times New Roman" w:cs="Times New Roman"/>
          <w:i/>
          <w:sz w:val="24"/>
          <w:szCs w:val="24"/>
        </w:rPr>
        <w:t>SD</w:t>
      </w:r>
      <w:r w:rsidR="009E4718">
        <w:rPr>
          <w:rFonts w:ascii="Times New Roman" w:hAnsi="Times New Roman" w:cs="Times New Roman"/>
          <w:sz w:val="24"/>
          <w:szCs w:val="24"/>
        </w:rPr>
        <w:t xml:space="preserve"> denote the standard deviation </w:t>
      </w:r>
      <w:r w:rsidR="00F63D45">
        <w:rPr>
          <w:rFonts w:ascii="Times New Roman" w:hAnsi="Times New Roman" w:cs="Times New Roman"/>
          <w:sz w:val="24"/>
          <w:szCs w:val="24"/>
        </w:rPr>
        <w:t xml:space="preserve">associated with one </w:t>
      </w:r>
      <w:r w:rsidR="009E4718">
        <w:rPr>
          <w:rFonts w:ascii="Times New Roman" w:hAnsi="Times New Roman" w:cs="Times New Roman"/>
          <w:sz w:val="24"/>
          <w:szCs w:val="24"/>
        </w:rPr>
        <w:t>estimate, the standard deviation of the trailing-average estimator will then be</w:t>
      </w:r>
    </w:p>
    <w:p w:rsidR="00BE4E42" w:rsidRDefault="00D35C83" w:rsidP="009E4718">
      <w:pPr>
        <w:pStyle w:val="ListParagraph"/>
        <w:spacing w:after="0" w:line="360" w:lineRule="auto"/>
        <w:ind w:left="0"/>
        <w:jc w:val="center"/>
        <w:rPr>
          <w:rFonts w:ascii="Times New Roman" w:hAnsi="Times New Roman" w:cs="Times New Roman"/>
          <w:b/>
          <w:bCs/>
          <w:sz w:val="24"/>
          <w:szCs w:val="24"/>
        </w:rPr>
      </w:pPr>
      <w:r w:rsidRPr="009E4718">
        <w:rPr>
          <w:rFonts w:ascii="Times New Roman" w:hAnsi="Times New Roman" w:cs="Times New Roman"/>
          <w:b/>
          <w:bCs/>
          <w:position w:val="-28"/>
          <w:sz w:val="24"/>
          <w:szCs w:val="24"/>
        </w:rPr>
        <w:object w:dxaOrig="1500" w:dyaOrig="660">
          <v:shape id="_x0000_i1052" type="#_x0000_t75" style="width:75.35pt;height:32.65pt" o:ole="">
            <v:imagedata r:id="rId63" o:title=""/>
          </v:shape>
          <o:OLEObject Type="Embed" ProgID="Equation.3" ShapeID="_x0000_i1052" DrawAspect="Content" ObjectID="_1478385639" r:id="rId64"/>
        </w:object>
      </w:r>
    </w:p>
    <w:p w:rsidR="009E4718" w:rsidRDefault="009E4718" w:rsidP="009E4718">
      <w:pPr>
        <w:pStyle w:val="ListParagraph"/>
        <w:spacing w:after="0" w:line="360" w:lineRule="auto"/>
        <w:ind w:left="0"/>
        <w:jc w:val="both"/>
        <w:rPr>
          <w:rFonts w:ascii="Times New Roman" w:hAnsi="Times New Roman" w:cs="Times New Roman"/>
          <w:b/>
          <w:bCs/>
          <w:sz w:val="24"/>
          <w:szCs w:val="24"/>
        </w:rPr>
      </w:pPr>
    </w:p>
    <w:p w:rsidR="009E4718" w:rsidRDefault="00D35C83" w:rsidP="009E4718">
      <w:pPr>
        <w:pStyle w:val="ListParagraph"/>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Using the </w:t>
      </w:r>
      <w:r w:rsidRPr="008A6207">
        <w:rPr>
          <w:rFonts w:ascii="Times New Roman" w:hAnsi="Times New Roman" w:cs="Times New Roman"/>
          <w:bCs/>
          <w:i/>
          <w:sz w:val="24"/>
          <w:szCs w:val="24"/>
        </w:rPr>
        <w:t>SD</w:t>
      </w:r>
      <w:r>
        <w:rPr>
          <w:rFonts w:ascii="Times New Roman" w:hAnsi="Times New Roman" w:cs="Times New Roman"/>
          <w:bCs/>
          <w:sz w:val="24"/>
          <w:szCs w:val="24"/>
        </w:rPr>
        <w:t xml:space="preserve"> and bias results shown in Incenta (2014, Table 1) for their preferred 2012-2013 analysis, the RMSE results for the RBA and QTC approaches are now as follows:</w:t>
      </w:r>
    </w:p>
    <w:p w:rsidR="00D35C83" w:rsidRDefault="00D35C83" w:rsidP="009E4718">
      <w:pPr>
        <w:pStyle w:val="ListParagraph"/>
        <w:spacing w:after="0" w:line="360" w:lineRule="auto"/>
        <w:ind w:left="0"/>
        <w:jc w:val="both"/>
        <w:rPr>
          <w:rFonts w:ascii="Times New Roman" w:hAnsi="Times New Roman" w:cs="Times New Roman"/>
          <w:bCs/>
          <w:sz w:val="24"/>
          <w:szCs w:val="24"/>
        </w:rPr>
      </w:pPr>
    </w:p>
    <w:p w:rsidR="00D35C83" w:rsidRDefault="006B4F31" w:rsidP="006B4F31">
      <w:pPr>
        <w:pStyle w:val="ListParagraph"/>
        <w:spacing w:after="0" w:line="360" w:lineRule="auto"/>
        <w:ind w:left="0"/>
        <w:jc w:val="center"/>
        <w:rPr>
          <w:rFonts w:ascii="Times New Roman" w:hAnsi="Times New Roman" w:cs="Times New Roman"/>
          <w:bCs/>
          <w:sz w:val="24"/>
          <w:szCs w:val="24"/>
        </w:rPr>
      </w:pPr>
      <w:r w:rsidRPr="006B4F31">
        <w:rPr>
          <w:rFonts w:ascii="Times New Roman" w:hAnsi="Times New Roman" w:cs="Times New Roman"/>
          <w:b/>
          <w:bCs/>
          <w:position w:val="-26"/>
          <w:sz w:val="24"/>
          <w:szCs w:val="24"/>
        </w:rPr>
        <w:object w:dxaOrig="3800" w:dyaOrig="720">
          <v:shape id="_x0000_i1053" type="#_x0000_t75" style="width:190.9pt;height:35.15pt" o:ole="">
            <v:imagedata r:id="rId65" o:title=""/>
          </v:shape>
          <o:OLEObject Type="Embed" ProgID="Equation.3" ShapeID="_x0000_i1053" DrawAspect="Content" ObjectID="_1478385640" r:id="rId66"/>
        </w:object>
      </w:r>
    </w:p>
    <w:p w:rsidR="00D35C83" w:rsidRDefault="006B4F31" w:rsidP="006B4F31">
      <w:pPr>
        <w:pStyle w:val="ListParagraph"/>
        <w:spacing w:after="0" w:line="360" w:lineRule="auto"/>
        <w:ind w:left="0"/>
        <w:jc w:val="center"/>
        <w:rPr>
          <w:rFonts w:ascii="Times New Roman" w:hAnsi="Times New Roman" w:cs="Times New Roman"/>
          <w:bCs/>
          <w:sz w:val="24"/>
          <w:szCs w:val="24"/>
        </w:rPr>
      </w:pPr>
      <w:r w:rsidRPr="006B4F31">
        <w:rPr>
          <w:rFonts w:ascii="Times New Roman" w:hAnsi="Times New Roman" w:cs="Times New Roman"/>
          <w:b/>
          <w:bCs/>
          <w:position w:val="-26"/>
          <w:sz w:val="24"/>
          <w:szCs w:val="24"/>
        </w:rPr>
        <w:object w:dxaOrig="3739" w:dyaOrig="720">
          <v:shape id="_x0000_i1054" type="#_x0000_t75" style="width:187.55pt;height:35.15pt" o:ole="">
            <v:imagedata r:id="rId67" o:title=""/>
          </v:shape>
          <o:OLEObject Type="Embed" ProgID="Equation.3" ShapeID="_x0000_i1054" DrawAspect="Content" ObjectID="_1478385641" r:id="rId68"/>
        </w:object>
      </w:r>
    </w:p>
    <w:p w:rsidR="006B4F31" w:rsidRDefault="006B4F31" w:rsidP="009E4718">
      <w:pPr>
        <w:pStyle w:val="ListParagraph"/>
        <w:spacing w:after="0" w:line="360" w:lineRule="auto"/>
        <w:ind w:left="0"/>
        <w:jc w:val="both"/>
        <w:rPr>
          <w:rFonts w:ascii="Times New Roman" w:hAnsi="Times New Roman" w:cs="Times New Roman"/>
          <w:bCs/>
          <w:sz w:val="24"/>
          <w:szCs w:val="24"/>
        </w:rPr>
      </w:pPr>
    </w:p>
    <w:p w:rsidR="003826A7" w:rsidRDefault="006B4F31" w:rsidP="009E4718">
      <w:pPr>
        <w:pStyle w:val="ListParagraph"/>
        <w:spacing w:after="0" w:line="360" w:lineRule="auto"/>
        <w:ind w:left="0"/>
        <w:jc w:val="both"/>
        <w:rPr>
          <w:rFonts w:ascii="Times New Roman" w:hAnsi="Times New Roman" w:cs="Times New Roman"/>
          <w:bCs/>
          <w:sz w:val="24"/>
          <w:szCs w:val="24"/>
          <w:u w:val="single"/>
        </w:rPr>
      </w:pPr>
      <w:r>
        <w:rPr>
          <w:rFonts w:ascii="Times New Roman" w:hAnsi="Times New Roman" w:cs="Times New Roman"/>
          <w:bCs/>
          <w:sz w:val="24"/>
          <w:szCs w:val="24"/>
        </w:rPr>
        <w:t xml:space="preserve">So, in RMSE terms, the RBA approach </w:t>
      </w:r>
      <w:r w:rsidR="00F63D45">
        <w:rPr>
          <w:rFonts w:ascii="Times New Roman" w:hAnsi="Times New Roman" w:cs="Times New Roman"/>
          <w:bCs/>
          <w:sz w:val="24"/>
          <w:szCs w:val="24"/>
        </w:rPr>
        <w:t xml:space="preserve">now has the lower RMSE and is therefore </w:t>
      </w:r>
      <w:r>
        <w:rPr>
          <w:rFonts w:ascii="Times New Roman" w:hAnsi="Times New Roman" w:cs="Times New Roman"/>
          <w:bCs/>
          <w:sz w:val="24"/>
          <w:szCs w:val="24"/>
        </w:rPr>
        <w:t xml:space="preserve">superior.  </w:t>
      </w:r>
      <w:r w:rsidR="003826A7" w:rsidRPr="00CA2C3F">
        <w:rPr>
          <w:rFonts w:ascii="Times New Roman" w:hAnsi="Times New Roman" w:cs="Times New Roman"/>
          <w:bCs/>
          <w:sz w:val="24"/>
          <w:szCs w:val="24"/>
        </w:rPr>
        <w:t xml:space="preserve">These calculations assume that the estimates are statistically independent whereas positive correlation is likely, and therefore the benefit from the multiple observations </w:t>
      </w:r>
      <w:r w:rsidR="00CA2C3F">
        <w:rPr>
          <w:rFonts w:ascii="Times New Roman" w:hAnsi="Times New Roman" w:cs="Times New Roman"/>
          <w:bCs/>
          <w:sz w:val="24"/>
          <w:szCs w:val="24"/>
        </w:rPr>
        <w:t xml:space="preserve">shown above </w:t>
      </w:r>
      <w:r w:rsidR="003826A7" w:rsidRPr="00CA2C3F">
        <w:rPr>
          <w:rFonts w:ascii="Times New Roman" w:hAnsi="Times New Roman" w:cs="Times New Roman"/>
          <w:bCs/>
          <w:sz w:val="24"/>
          <w:szCs w:val="24"/>
        </w:rPr>
        <w:t>is reduced.  However, at the very least, this analysis undercuts Incenta’s claim that the QTC approach has the lower RMSE.</w:t>
      </w:r>
    </w:p>
    <w:p w:rsidR="003826A7" w:rsidRDefault="003826A7" w:rsidP="009E4718">
      <w:pPr>
        <w:pStyle w:val="ListParagraph"/>
        <w:spacing w:after="0" w:line="360" w:lineRule="auto"/>
        <w:ind w:left="0"/>
        <w:jc w:val="both"/>
        <w:rPr>
          <w:rFonts w:ascii="Times New Roman" w:hAnsi="Times New Roman" w:cs="Times New Roman"/>
          <w:bCs/>
          <w:sz w:val="24"/>
          <w:szCs w:val="24"/>
          <w:u w:val="single"/>
        </w:rPr>
      </w:pPr>
    </w:p>
    <w:p w:rsidR="006B4F31" w:rsidRDefault="006B4F31" w:rsidP="009E4718">
      <w:pPr>
        <w:pStyle w:val="ListParagraph"/>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In view of these points, the RBA approach is favoured for estimating the DRP increment </w:t>
      </w:r>
      <w:r w:rsidR="00A1252C">
        <w:rPr>
          <w:rFonts w:ascii="Times New Roman" w:hAnsi="Times New Roman" w:cs="Times New Roman"/>
          <w:bCs/>
          <w:sz w:val="24"/>
          <w:szCs w:val="24"/>
        </w:rPr>
        <w:t xml:space="preserve">for the BVAL </w:t>
      </w:r>
      <w:r>
        <w:rPr>
          <w:rFonts w:ascii="Times New Roman" w:hAnsi="Times New Roman" w:cs="Times New Roman"/>
          <w:bCs/>
          <w:sz w:val="24"/>
          <w:szCs w:val="24"/>
        </w:rPr>
        <w:t xml:space="preserve">from </w:t>
      </w:r>
      <w:r w:rsidR="008C0FB9">
        <w:rPr>
          <w:rFonts w:ascii="Times New Roman" w:hAnsi="Times New Roman" w:cs="Times New Roman"/>
          <w:bCs/>
          <w:sz w:val="24"/>
          <w:szCs w:val="24"/>
        </w:rPr>
        <w:t xml:space="preserve">seven </w:t>
      </w:r>
      <w:r>
        <w:rPr>
          <w:rFonts w:ascii="Times New Roman" w:hAnsi="Times New Roman" w:cs="Times New Roman"/>
          <w:bCs/>
          <w:sz w:val="24"/>
          <w:szCs w:val="24"/>
        </w:rPr>
        <w:t xml:space="preserve">to </w:t>
      </w:r>
      <w:r w:rsidR="00300815">
        <w:rPr>
          <w:rFonts w:ascii="Times New Roman" w:hAnsi="Times New Roman" w:cs="Times New Roman"/>
          <w:bCs/>
          <w:sz w:val="24"/>
          <w:szCs w:val="24"/>
        </w:rPr>
        <w:t>ten years. Following equation (4</w:t>
      </w:r>
      <w:r>
        <w:rPr>
          <w:rFonts w:ascii="Times New Roman" w:hAnsi="Times New Roman" w:cs="Times New Roman"/>
          <w:bCs/>
          <w:sz w:val="24"/>
          <w:szCs w:val="24"/>
        </w:rPr>
        <w:t xml:space="preserve">), </w:t>
      </w:r>
      <w:r w:rsidR="00B31A1F">
        <w:rPr>
          <w:rFonts w:ascii="Times New Roman" w:hAnsi="Times New Roman" w:cs="Times New Roman"/>
          <w:bCs/>
          <w:sz w:val="24"/>
          <w:szCs w:val="24"/>
        </w:rPr>
        <w:t xml:space="preserve">the </w:t>
      </w:r>
      <w:r w:rsidR="00527640">
        <w:rPr>
          <w:rFonts w:ascii="Times New Roman" w:hAnsi="Times New Roman" w:cs="Times New Roman"/>
          <w:bCs/>
          <w:sz w:val="24"/>
          <w:szCs w:val="24"/>
        </w:rPr>
        <w:t>estimate for the BVAL ten-year cost of debt is as follows:</w:t>
      </w:r>
    </w:p>
    <w:p w:rsidR="00527640" w:rsidRDefault="00527640" w:rsidP="009E4718">
      <w:pPr>
        <w:pStyle w:val="ListParagraph"/>
        <w:spacing w:after="0" w:line="360" w:lineRule="auto"/>
        <w:ind w:left="0"/>
        <w:jc w:val="both"/>
        <w:rPr>
          <w:rFonts w:ascii="Times New Roman" w:hAnsi="Times New Roman" w:cs="Times New Roman"/>
          <w:bCs/>
          <w:sz w:val="24"/>
          <w:szCs w:val="24"/>
        </w:rPr>
      </w:pPr>
    </w:p>
    <w:p w:rsidR="00527640" w:rsidRDefault="006630AB" w:rsidP="006630AB">
      <w:pPr>
        <w:pStyle w:val="ListParagraph"/>
        <w:spacing w:after="0" w:line="360" w:lineRule="auto"/>
        <w:ind w:left="0"/>
        <w:rPr>
          <w:rFonts w:ascii="Times New Roman" w:hAnsi="Times New Roman" w:cs="Times New Roman"/>
          <w:bCs/>
          <w:sz w:val="24"/>
          <w:szCs w:val="24"/>
        </w:rPr>
      </w:pPr>
      <w:r>
        <w:rPr>
          <w:rFonts w:ascii="Times New Roman" w:hAnsi="Times New Roman" w:cs="Times New Roman"/>
          <w:b/>
          <w:bCs/>
          <w:sz w:val="24"/>
          <w:szCs w:val="24"/>
        </w:rPr>
        <w:t xml:space="preserve">             </w:t>
      </w:r>
      <w:r w:rsidR="008C0FB9" w:rsidRPr="007B7792">
        <w:rPr>
          <w:rFonts w:ascii="Times New Roman" w:hAnsi="Times New Roman" w:cs="Times New Roman"/>
          <w:b/>
          <w:bCs/>
          <w:position w:val="-28"/>
          <w:sz w:val="24"/>
          <w:szCs w:val="24"/>
        </w:rPr>
        <w:object w:dxaOrig="7520" w:dyaOrig="680">
          <v:shape id="_x0000_i1055" type="#_x0000_t75" style="width:376.75pt;height:33.5pt" o:ole="">
            <v:imagedata r:id="rId69" o:title=""/>
          </v:shape>
          <o:OLEObject Type="Embed" ProgID="Equation.3" ShapeID="_x0000_i1055" DrawAspect="Content" ObjectID="_1478385642" r:id="rId70"/>
        </w:object>
      </w:r>
      <w:r>
        <w:rPr>
          <w:rFonts w:ascii="Times New Roman" w:hAnsi="Times New Roman" w:cs="Times New Roman"/>
          <w:b/>
          <w:bCs/>
          <w:sz w:val="24"/>
          <w:szCs w:val="24"/>
        </w:rPr>
        <w:t xml:space="preserve">     </w:t>
      </w:r>
      <w:r w:rsidR="00C03538">
        <w:rPr>
          <w:rFonts w:ascii="Times New Roman" w:hAnsi="Times New Roman" w:cs="Times New Roman"/>
          <w:bCs/>
          <w:sz w:val="24"/>
          <w:szCs w:val="24"/>
        </w:rPr>
        <w:t>(5</w:t>
      </w:r>
      <w:r w:rsidRPr="006630AB">
        <w:rPr>
          <w:rFonts w:ascii="Times New Roman" w:hAnsi="Times New Roman" w:cs="Times New Roman"/>
          <w:bCs/>
          <w:sz w:val="24"/>
          <w:szCs w:val="24"/>
        </w:rPr>
        <w:t>)</w:t>
      </w:r>
    </w:p>
    <w:p w:rsidR="00527640" w:rsidRDefault="00527640" w:rsidP="006630AB">
      <w:pPr>
        <w:pStyle w:val="ListParagraph"/>
        <w:spacing w:after="0" w:line="360" w:lineRule="auto"/>
        <w:ind w:left="0"/>
        <w:jc w:val="center"/>
        <w:rPr>
          <w:rFonts w:ascii="Times New Roman" w:hAnsi="Times New Roman" w:cs="Times New Roman"/>
          <w:bCs/>
          <w:sz w:val="24"/>
          <w:szCs w:val="24"/>
        </w:rPr>
      </w:pPr>
    </w:p>
    <w:p w:rsidR="008B5232" w:rsidRPr="001348AA" w:rsidRDefault="00300815" w:rsidP="008B523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Cs/>
          <w:sz w:val="24"/>
          <w:szCs w:val="24"/>
        </w:rPr>
        <w:t>As with equation (4</w:t>
      </w:r>
      <w:r w:rsidR="00A1252C">
        <w:rPr>
          <w:rFonts w:ascii="Times New Roman" w:hAnsi="Times New Roman" w:cs="Times New Roman"/>
          <w:bCs/>
          <w:sz w:val="24"/>
          <w:szCs w:val="24"/>
        </w:rPr>
        <w:t>), the preferred base rate is the CGS</w:t>
      </w:r>
      <w:r w:rsidR="00F16838">
        <w:rPr>
          <w:rFonts w:ascii="Times New Roman" w:hAnsi="Times New Roman" w:cs="Times New Roman"/>
          <w:bCs/>
          <w:sz w:val="24"/>
          <w:szCs w:val="24"/>
        </w:rPr>
        <w:t xml:space="preserve"> rate</w:t>
      </w:r>
      <w:r w:rsidR="004C1FA0">
        <w:rPr>
          <w:rFonts w:ascii="Times New Roman" w:hAnsi="Times New Roman" w:cs="Times New Roman"/>
          <w:bCs/>
          <w:sz w:val="24"/>
          <w:szCs w:val="24"/>
        </w:rPr>
        <w:t xml:space="preserve"> but again the difference in outcomes is minor.</w:t>
      </w:r>
      <w:r w:rsidR="00A1252C">
        <w:rPr>
          <w:rFonts w:ascii="Times New Roman" w:hAnsi="Times New Roman" w:cs="Times New Roman"/>
          <w:bCs/>
          <w:sz w:val="24"/>
          <w:szCs w:val="24"/>
        </w:rPr>
        <w:t xml:space="preserve">  </w:t>
      </w:r>
      <w:r w:rsidR="006F65E5" w:rsidRPr="001348AA">
        <w:rPr>
          <w:rFonts w:ascii="Times New Roman" w:hAnsi="Times New Roman" w:cs="Times New Roman"/>
          <w:bCs/>
          <w:sz w:val="24"/>
          <w:szCs w:val="24"/>
        </w:rPr>
        <w:t xml:space="preserve">For example, consider 31 July </w:t>
      </w:r>
      <w:r w:rsidR="005E1FE4" w:rsidRPr="001348AA">
        <w:rPr>
          <w:rFonts w:ascii="Times New Roman" w:hAnsi="Times New Roman" w:cs="Times New Roman"/>
          <w:bCs/>
          <w:sz w:val="24"/>
          <w:szCs w:val="24"/>
        </w:rPr>
        <w:t xml:space="preserve">2014 on which </w:t>
      </w:r>
      <w:r w:rsidR="005E1FE4" w:rsidRPr="001348AA">
        <w:rPr>
          <w:rFonts w:ascii="Times New Roman" w:hAnsi="Times New Roman" w:cs="Times New Roman"/>
          <w:bCs/>
          <w:i/>
          <w:sz w:val="24"/>
          <w:szCs w:val="24"/>
        </w:rPr>
        <w:t>BVAL</w:t>
      </w:r>
      <w:r w:rsidR="005E1FE4" w:rsidRPr="001348AA">
        <w:rPr>
          <w:rFonts w:ascii="Times New Roman" w:hAnsi="Times New Roman" w:cs="Times New Roman"/>
          <w:bCs/>
          <w:sz w:val="24"/>
          <w:szCs w:val="24"/>
        </w:rPr>
        <w:t xml:space="preserve">(7) = </w:t>
      </w:r>
      <w:r w:rsidR="006F65E5" w:rsidRPr="001348AA">
        <w:rPr>
          <w:rFonts w:ascii="Times New Roman" w:hAnsi="Times New Roman" w:cs="Times New Roman"/>
          <w:bCs/>
          <w:sz w:val="24"/>
          <w:szCs w:val="24"/>
        </w:rPr>
        <w:t>4.86%</w:t>
      </w:r>
      <w:r w:rsidR="00091AFA" w:rsidRPr="001348AA">
        <w:rPr>
          <w:rFonts w:ascii="Times New Roman" w:hAnsi="Times New Roman" w:cs="Times New Roman"/>
          <w:bCs/>
          <w:sz w:val="24"/>
          <w:szCs w:val="24"/>
        </w:rPr>
        <w:t>.</w:t>
      </w:r>
      <w:r w:rsidR="00EC73BE" w:rsidRPr="001348AA">
        <w:rPr>
          <w:rStyle w:val="FootnoteReference"/>
          <w:rFonts w:ascii="Times New Roman" w:hAnsi="Times New Roman" w:cs="Times New Roman"/>
          <w:bCs/>
          <w:sz w:val="24"/>
          <w:szCs w:val="24"/>
        </w:rPr>
        <w:footnoteReference w:id="26"/>
      </w:r>
      <w:r w:rsidR="00091AFA" w:rsidRPr="001348AA">
        <w:rPr>
          <w:rFonts w:ascii="Times New Roman" w:hAnsi="Times New Roman" w:cs="Times New Roman"/>
          <w:bCs/>
          <w:sz w:val="24"/>
          <w:szCs w:val="24"/>
        </w:rPr>
        <w:t xml:space="preserve">  In addition, the RBA’s Table F3 gives </w:t>
      </w:r>
      <w:r w:rsidR="008B5232" w:rsidRPr="001348AA">
        <w:rPr>
          <w:rFonts w:ascii="Times New Roman" w:hAnsi="Times New Roman" w:cs="Times New Roman"/>
          <w:sz w:val="24"/>
          <w:szCs w:val="24"/>
        </w:rPr>
        <w:t>10e = 8.64 yrs</w:t>
      </w:r>
      <w:r w:rsidR="00091AFA" w:rsidRPr="001348AA">
        <w:rPr>
          <w:rFonts w:ascii="Times New Roman" w:hAnsi="Times New Roman" w:cs="Times New Roman"/>
          <w:sz w:val="24"/>
          <w:szCs w:val="24"/>
        </w:rPr>
        <w:t xml:space="preserve"> and </w:t>
      </w:r>
      <w:r w:rsidR="008B5232" w:rsidRPr="001348AA">
        <w:rPr>
          <w:rFonts w:ascii="Times New Roman" w:hAnsi="Times New Roman" w:cs="Times New Roman"/>
          <w:sz w:val="24"/>
          <w:szCs w:val="24"/>
        </w:rPr>
        <w:t>7e = 6.84 yrs</w:t>
      </w:r>
      <w:r w:rsidR="00091AFA" w:rsidRPr="001348AA">
        <w:rPr>
          <w:rFonts w:ascii="Times New Roman" w:hAnsi="Times New Roman" w:cs="Times New Roman"/>
          <w:sz w:val="24"/>
          <w:szCs w:val="24"/>
        </w:rPr>
        <w:t xml:space="preserve">.  In addition, interpolating using the RBA’s Table </w:t>
      </w:r>
      <w:r w:rsidR="00A1252C" w:rsidRPr="001348AA">
        <w:rPr>
          <w:rFonts w:ascii="Times New Roman" w:hAnsi="Times New Roman" w:cs="Times New Roman"/>
          <w:sz w:val="24"/>
          <w:szCs w:val="24"/>
        </w:rPr>
        <w:t xml:space="preserve">F16 </w:t>
      </w:r>
      <w:r w:rsidR="00091AFA" w:rsidRPr="001348AA">
        <w:rPr>
          <w:rFonts w:ascii="Times New Roman" w:hAnsi="Times New Roman" w:cs="Times New Roman"/>
          <w:sz w:val="24"/>
          <w:szCs w:val="24"/>
        </w:rPr>
        <w:t xml:space="preserve">gives </w:t>
      </w:r>
      <w:r w:rsidR="00091AFA" w:rsidRPr="001348AA">
        <w:rPr>
          <w:rFonts w:ascii="Times New Roman" w:hAnsi="Times New Roman" w:cs="Times New Roman"/>
          <w:i/>
          <w:sz w:val="24"/>
          <w:szCs w:val="24"/>
        </w:rPr>
        <w:t>CGS</w:t>
      </w:r>
      <w:r w:rsidR="00091AFA" w:rsidRPr="001348AA">
        <w:rPr>
          <w:rFonts w:ascii="Times New Roman" w:hAnsi="Times New Roman" w:cs="Times New Roman"/>
          <w:sz w:val="24"/>
          <w:szCs w:val="24"/>
        </w:rPr>
        <w:t>(7</w:t>
      </w:r>
      <w:r w:rsidR="009638D6" w:rsidRPr="001348AA">
        <w:rPr>
          <w:rFonts w:ascii="Times New Roman" w:hAnsi="Times New Roman" w:cs="Times New Roman"/>
          <w:sz w:val="24"/>
          <w:szCs w:val="24"/>
        </w:rPr>
        <w:t xml:space="preserve">) = </w:t>
      </w:r>
      <w:r w:rsidR="00091AFA" w:rsidRPr="001348AA">
        <w:rPr>
          <w:rFonts w:ascii="Times New Roman" w:hAnsi="Times New Roman" w:cs="Times New Roman"/>
          <w:sz w:val="24"/>
          <w:szCs w:val="24"/>
        </w:rPr>
        <w:t>3.25%</w:t>
      </w:r>
      <w:r w:rsidR="004C1FA0" w:rsidRPr="001348AA">
        <w:rPr>
          <w:rFonts w:ascii="Times New Roman" w:hAnsi="Times New Roman" w:cs="Times New Roman"/>
          <w:sz w:val="24"/>
          <w:szCs w:val="24"/>
        </w:rPr>
        <w:t xml:space="preserve"> and </w:t>
      </w:r>
      <w:r w:rsidR="00091AFA" w:rsidRPr="001348AA">
        <w:rPr>
          <w:rFonts w:ascii="Times New Roman" w:hAnsi="Times New Roman" w:cs="Times New Roman"/>
          <w:i/>
          <w:sz w:val="24"/>
          <w:szCs w:val="24"/>
        </w:rPr>
        <w:t>CGS</w:t>
      </w:r>
      <w:r w:rsidR="00091AFA" w:rsidRPr="001348AA">
        <w:rPr>
          <w:rFonts w:ascii="Times New Roman" w:hAnsi="Times New Roman" w:cs="Times New Roman"/>
          <w:sz w:val="24"/>
          <w:szCs w:val="24"/>
        </w:rPr>
        <w:t>(10</w:t>
      </w:r>
      <w:r w:rsidR="009638D6" w:rsidRPr="001348AA">
        <w:rPr>
          <w:rFonts w:ascii="Times New Roman" w:hAnsi="Times New Roman" w:cs="Times New Roman"/>
          <w:sz w:val="24"/>
          <w:szCs w:val="24"/>
        </w:rPr>
        <w:t xml:space="preserve">) = </w:t>
      </w:r>
      <w:r w:rsidR="00091AFA" w:rsidRPr="001348AA">
        <w:rPr>
          <w:rFonts w:ascii="Times New Roman" w:hAnsi="Times New Roman" w:cs="Times New Roman"/>
          <w:sz w:val="24"/>
          <w:szCs w:val="24"/>
        </w:rPr>
        <w:t xml:space="preserve">3.53%.  </w:t>
      </w:r>
      <w:r w:rsidR="004C1FA0" w:rsidRPr="001348AA">
        <w:rPr>
          <w:rFonts w:ascii="Times New Roman" w:hAnsi="Times New Roman" w:cs="Times New Roman"/>
          <w:sz w:val="24"/>
          <w:szCs w:val="24"/>
        </w:rPr>
        <w:t xml:space="preserve">In addition, </w:t>
      </w:r>
      <w:r w:rsidR="00091AFA" w:rsidRPr="001348AA">
        <w:rPr>
          <w:rFonts w:ascii="Times New Roman" w:hAnsi="Times New Roman" w:cs="Times New Roman"/>
          <w:i/>
          <w:sz w:val="24"/>
          <w:szCs w:val="24"/>
        </w:rPr>
        <w:t>DRP</w:t>
      </w:r>
      <w:r w:rsidR="00091AFA" w:rsidRPr="001348AA">
        <w:rPr>
          <w:rFonts w:ascii="Times New Roman" w:hAnsi="Times New Roman" w:cs="Times New Roman"/>
          <w:sz w:val="24"/>
          <w:szCs w:val="24"/>
        </w:rPr>
        <w:t>(7e</w:t>
      </w:r>
      <w:r w:rsidR="009638D6" w:rsidRPr="001348AA">
        <w:rPr>
          <w:rFonts w:ascii="Times New Roman" w:hAnsi="Times New Roman" w:cs="Times New Roman"/>
          <w:sz w:val="24"/>
          <w:szCs w:val="24"/>
        </w:rPr>
        <w:t xml:space="preserve">) = </w:t>
      </w:r>
      <w:r w:rsidR="004C1FA0" w:rsidRPr="001348AA">
        <w:rPr>
          <w:rFonts w:ascii="Times New Roman" w:hAnsi="Times New Roman" w:cs="Times New Roman"/>
          <w:sz w:val="24"/>
          <w:szCs w:val="24"/>
        </w:rPr>
        <w:t>1.88</w:t>
      </w:r>
      <w:r w:rsidR="00BF00FD" w:rsidRPr="001348AA">
        <w:rPr>
          <w:rFonts w:ascii="Times New Roman" w:hAnsi="Times New Roman" w:cs="Times New Roman"/>
          <w:sz w:val="24"/>
          <w:szCs w:val="24"/>
        </w:rPr>
        <w:t>%</w:t>
      </w:r>
      <w:r w:rsidR="00091AFA" w:rsidRPr="001348AA">
        <w:rPr>
          <w:rFonts w:ascii="Times New Roman" w:hAnsi="Times New Roman" w:cs="Times New Roman"/>
          <w:sz w:val="24"/>
          <w:szCs w:val="24"/>
        </w:rPr>
        <w:t xml:space="preserve"> and </w:t>
      </w:r>
      <w:r w:rsidR="00091AFA" w:rsidRPr="001348AA">
        <w:rPr>
          <w:rFonts w:ascii="Times New Roman" w:hAnsi="Times New Roman" w:cs="Times New Roman"/>
          <w:i/>
          <w:sz w:val="24"/>
          <w:szCs w:val="24"/>
        </w:rPr>
        <w:t>DRP</w:t>
      </w:r>
      <w:r w:rsidR="00091AFA" w:rsidRPr="001348AA">
        <w:rPr>
          <w:rFonts w:ascii="Times New Roman" w:hAnsi="Times New Roman" w:cs="Times New Roman"/>
          <w:sz w:val="24"/>
          <w:szCs w:val="24"/>
        </w:rPr>
        <w:t>(10e</w:t>
      </w:r>
      <w:r w:rsidR="009638D6" w:rsidRPr="001348AA">
        <w:rPr>
          <w:rFonts w:ascii="Times New Roman" w:hAnsi="Times New Roman" w:cs="Times New Roman"/>
          <w:sz w:val="24"/>
          <w:szCs w:val="24"/>
        </w:rPr>
        <w:t xml:space="preserve">) = </w:t>
      </w:r>
      <w:r w:rsidR="004C1FA0" w:rsidRPr="001348AA">
        <w:rPr>
          <w:rFonts w:ascii="Times New Roman" w:hAnsi="Times New Roman" w:cs="Times New Roman"/>
          <w:sz w:val="24"/>
          <w:szCs w:val="24"/>
        </w:rPr>
        <w:t>1.96% as shown above</w:t>
      </w:r>
      <w:r w:rsidR="009638D6" w:rsidRPr="001348AA">
        <w:rPr>
          <w:rFonts w:ascii="Times New Roman" w:hAnsi="Times New Roman" w:cs="Times New Roman"/>
          <w:sz w:val="24"/>
          <w:szCs w:val="24"/>
        </w:rPr>
        <w:t xml:space="preserve">.  Substitution into </w:t>
      </w:r>
      <w:r w:rsidR="00BF00FD" w:rsidRPr="001348AA">
        <w:rPr>
          <w:rFonts w:ascii="Times New Roman" w:hAnsi="Times New Roman" w:cs="Times New Roman"/>
          <w:sz w:val="24"/>
          <w:szCs w:val="24"/>
        </w:rPr>
        <w:t xml:space="preserve">equation </w:t>
      </w:r>
      <w:r w:rsidRPr="001348AA">
        <w:rPr>
          <w:rFonts w:ascii="Times New Roman" w:hAnsi="Times New Roman" w:cs="Times New Roman"/>
          <w:sz w:val="24"/>
          <w:szCs w:val="24"/>
        </w:rPr>
        <w:t>(5</w:t>
      </w:r>
      <w:r w:rsidR="009638D6" w:rsidRPr="001348AA">
        <w:rPr>
          <w:rFonts w:ascii="Times New Roman" w:hAnsi="Times New Roman" w:cs="Times New Roman"/>
          <w:sz w:val="24"/>
          <w:szCs w:val="24"/>
        </w:rPr>
        <w:t>) then yields:</w:t>
      </w:r>
    </w:p>
    <w:p w:rsidR="008B5232" w:rsidRDefault="008B5232" w:rsidP="008B5232">
      <w:pPr>
        <w:pStyle w:val="ListParagraph"/>
        <w:spacing w:after="0" w:line="360" w:lineRule="auto"/>
        <w:ind w:left="0"/>
        <w:jc w:val="both"/>
        <w:rPr>
          <w:rFonts w:ascii="Times New Roman" w:hAnsi="Times New Roman" w:cs="Times New Roman"/>
          <w:sz w:val="24"/>
          <w:szCs w:val="24"/>
        </w:rPr>
      </w:pPr>
    </w:p>
    <w:p w:rsidR="005E1FE4" w:rsidRPr="00D35C83" w:rsidRDefault="004C1FA0" w:rsidP="008B5232">
      <w:pPr>
        <w:pStyle w:val="ListParagraph"/>
        <w:spacing w:after="0" w:line="360" w:lineRule="auto"/>
        <w:ind w:left="0"/>
        <w:jc w:val="center"/>
        <w:rPr>
          <w:rFonts w:ascii="Times New Roman" w:hAnsi="Times New Roman" w:cs="Times New Roman"/>
          <w:bCs/>
          <w:sz w:val="24"/>
          <w:szCs w:val="24"/>
        </w:rPr>
      </w:pPr>
      <w:r w:rsidRPr="007B7792">
        <w:rPr>
          <w:rFonts w:ascii="Times New Roman" w:hAnsi="Times New Roman" w:cs="Times New Roman"/>
          <w:b/>
          <w:bCs/>
          <w:position w:val="-28"/>
          <w:sz w:val="24"/>
          <w:szCs w:val="24"/>
        </w:rPr>
        <w:object w:dxaOrig="7080" w:dyaOrig="680">
          <v:shape id="_x0000_i1056" type="#_x0000_t75" style="width:355.8pt;height:33.5pt" o:ole="">
            <v:imagedata r:id="rId71" o:title=""/>
          </v:shape>
          <o:OLEObject Type="Embed" ProgID="Equation.3" ShapeID="_x0000_i1056" DrawAspect="Content" ObjectID="_1478385643" r:id="rId72"/>
        </w:object>
      </w:r>
    </w:p>
    <w:p w:rsidR="009E4718" w:rsidRDefault="009E4718" w:rsidP="009E4718">
      <w:pPr>
        <w:pStyle w:val="ListParagraph"/>
        <w:spacing w:after="0" w:line="360" w:lineRule="auto"/>
        <w:ind w:left="0"/>
        <w:jc w:val="both"/>
        <w:rPr>
          <w:rFonts w:ascii="Times New Roman" w:hAnsi="Times New Roman" w:cs="Times New Roman"/>
          <w:sz w:val="24"/>
          <w:szCs w:val="24"/>
        </w:rPr>
      </w:pPr>
    </w:p>
    <w:p w:rsidR="003137DD" w:rsidRPr="001348AA" w:rsidRDefault="003137DD" w:rsidP="003137DD">
      <w:pPr>
        <w:pStyle w:val="ListParagraph"/>
        <w:spacing w:after="0" w:line="360" w:lineRule="auto"/>
        <w:ind w:left="0"/>
        <w:jc w:val="both"/>
        <w:rPr>
          <w:rFonts w:ascii="Times New Roman" w:hAnsi="Times New Roman" w:cs="Times New Roman"/>
          <w:sz w:val="24"/>
          <w:szCs w:val="24"/>
        </w:rPr>
      </w:pPr>
      <w:r w:rsidRPr="001348AA">
        <w:rPr>
          <w:rFonts w:ascii="Times New Roman" w:hAnsi="Times New Roman" w:cs="Times New Roman"/>
          <w:sz w:val="24"/>
          <w:szCs w:val="24"/>
        </w:rPr>
        <w:lastRenderedPageBreak/>
        <w:t>So, starting with 4.86% for the BVAL index for a seven-year term, the CGS margin for ten over seven year bonds adds 0.28%, and the DRP margin for ten over seve</w:t>
      </w:r>
      <w:r w:rsidR="004C1FA0" w:rsidRPr="001348AA">
        <w:rPr>
          <w:rFonts w:ascii="Times New Roman" w:hAnsi="Times New Roman" w:cs="Times New Roman"/>
          <w:sz w:val="24"/>
          <w:szCs w:val="24"/>
        </w:rPr>
        <w:t>n year bonds adds a further 0.13</w:t>
      </w:r>
      <w:r w:rsidRPr="001348AA">
        <w:rPr>
          <w:rFonts w:ascii="Times New Roman" w:hAnsi="Times New Roman" w:cs="Times New Roman"/>
          <w:sz w:val="24"/>
          <w:szCs w:val="24"/>
        </w:rPr>
        <w:t>%</w:t>
      </w:r>
      <w:r w:rsidR="00A1252C" w:rsidRPr="001348AA">
        <w:rPr>
          <w:rFonts w:ascii="Times New Roman" w:hAnsi="Times New Roman" w:cs="Times New Roman"/>
          <w:sz w:val="24"/>
          <w:szCs w:val="24"/>
        </w:rPr>
        <w:t>,</w:t>
      </w:r>
      <w:r w:rsidRPr="001348AA">
        <w:rPr>
          <w:rFonts w:ascii="Times New Roman" w:hAnsi="Times New Roman" w:cs="Times New Roman"/>
          <w:sz w:val="24"/>
          <w:szCs w:val="24"/>
        </w:rPr>
        <w:t xml:space="preserve"> with the DRP margin requiring ext</w:t>
      </w:r>
      <w:r w:rsidR="00F16838" w:rsidRPr="001348AA">
        <w:rPr>
          <w:rFonts w:ascii="Times New Roman" w:hAnsi="Times New Roman" w:cs="Times New Roman"/>
          <w:sz w:val="24"/>
          <w:szCs w:val="24"/>
        </w:rPr>
        <w:t xml:space="preserve">rapolation </w:t>
      </w:r>
      <w:r w:rsidRPr="001348AA">
        <w:rPr>
          <w:rFonts w:ascii="Times New Roman" w:hAnsi="Times New Roman" w:cs="Times New Roman"/>
          <w:sz w:val="24"/>
          <w:szCs w:val="24"/>
        </w:rPr>
        <w:t>whilst the CGS margin involves</w:t>
      </w:r>
      <w:r w:rsidR="00B31A1F" w:rsidRPr="001348AA">
        <w:rPr>
          <w:rFonts w:ascii="Times New Roman" w:hAnsi="Times New Roman" w:cs="Times New Roman"/>
          <w:sz w:val="24"/>
          <w:szCs w:val="24"/>
        </w:rPr>
        <w:t xml:space="preserve"> (more accurate) interpolation.</w:t>
      </w:r>
    </w:p>
    <w:p w:rsidR="00B31A1F" w:rsidRPr="001348AA" w:rsidRDefault="00B31A1F" w:rsidP="003137DD">
      <w:pPr>
        <w:pStyle w:val="ListParagraph"/>
        <w:spacing w:after="0" w:line="360" w:lineRule="auto"/>
        <w:ind w:left="0"/>
        <w:jc w:val="both"/>
        <w:rPr>
          <w:rFonts w:ascii="Times New Roman" w:hAnsi="Times New Roman" w:cs="Times New Roman"/>
          <w:sz w:val="24"/>
          <w:szCs w:val="24"/>
        </w:rPr>
      </w:pPr>
    </w:p>
    <w:p w:rsidR="00B31A1F" w:rsidRPr="001348AA" w:rsidRDefault="00B31A1F" w:rsidP="003137DD">
      <w:pPr>
        <w:pStyle w:val="ListParagraph"/>
        <w:spacing w:after="0" w:line="360" w:lineRule="auto"/>
        <w:ind w:left="0"/>
        <w:jc w:val="both"/>
        <w:rPr>
          <w:rFonts w:ascii="Times New Roman" w:hAnsi="Times New Roman" w:cs="Times New Roman"/>
          <w:sz w:val="24"/>
          <w:szCs w:val="24"/>
        </w:rPr>
      </w:pPr>
      <w:r w:rsidRPr="001348AA">
        <w:rPr>
          <w:rFonts w:ascii="Times New Roman" w:hAnsi="Times New Roman" w:cs="Times New Roman"/>
          <w:sz w:val="24"/>
          <w:szCs w:val="24"/>
        </w:rPr>
        <w:t xml:space="preserve">Alternatively, using the swap rate as the base rate, the Bloomberg rates for seven and ten years </w:t>
      </w:r>
      <w:r w:rsidR="0059320B" w:rsidRPr="001348AA">
        <w:rPr>
          <w:rFonts w:ascii="Times New Roman" w:hAnsi="Times New Roman" w:cs="Times New Roman"/>
          <w:sz w:val="24"/>
          <w:szCs w:val="24"/>
        </w:rPr>
        <w:t xml:space="preserve">on 31 July 2014 </w:t>
      </w:r>
      <w:r w:rsidRPr="001348AA">
        <w:rPr>
          <w:rFonts w:ascii="Times New Roman" w:hAnsi="Times New Roman" w:cs="Times New Roman"/>
          <w:sz w:val="24"/>
          <w:szCs w:val="24"/>
        </w:rPr>
        <w:t xml:space="preserve">are 3.57% and 3.88% respectively whilst the RBA’s Table F3 provides </w:t>
      </w:r>
      <w:r w:rsidRPr="001348AA">
        <w:rPr>
          <w:rFonts w:ascii="Times New Roman" w:hAnsi="Times New Roman" w:cs="Times New Roman"/>
          <w:i/>
          <w:sz w:val="24"/>
          <w:szCs w:val="24"/>
        </w:rPr>
        <w:t>DRP</w:t>
      </w:r>
      <w:r w:rsidRPr="001348AA">
        <w:rPr>
          <w:rFonts w:ascii="Times New Roman" w:hAnsi="Times New Roman" w:cs="Times New Roman"/>
          <w:sz w:val="24"/>
          <w:szCs w:val="24"/>
        </w:rPr>
        <w:t xml:space="preserve">(7e) = 1.56% and </w:t>
      </w:r>
      <w:r w:rsidRPr="001348AA">
        <w:rPr>
          <w:rFonts w:ascii="Times New Roman" w:hAnsi="Times New Roman" w:cs="Times New Roman"/>
          <w:i/>
          <w:sz w:val="24"/>
          <w:szCs w:val="24"/>
        </w:rPr>
        <w:t>DRP</w:t>
      </w:r>
      <w:r w:rsidRPr="001348AA">
        <w:rPr>
          <w:rFonts w:ascii="Times New Roman" w:hAnsi="Times New Roman" w:cs="Times New Roman"/>
          <w:sz w:val="24"/>
          <w:szCs w:val="24"/>
        </w:rPr>
        <w:t>(10e) = 1.64%.  Substitution of th</w:t>
      </w:r>
      <w:r w:rsidR="00095F16" w:rsidRPr="001348AA">
        <w:rPr>
          <w:rFonts w:ascii="Times New Roman" w:hAnsi="Times New Roman" w:cs="Times New Roman"/>
          <w:sz w:val="24"/>
          <w:szCs w:val="24"/>
        </w:rPr>
        <w:t>ese values into equation (5</w:t>
      </w:r>
      <w:r w:rsidRPr="001348AA">
        <w:rPr>
          <w:rFonts w:ascii="Times New Roman" w:hAnsi="Times New Roman" w:cs="Times New Roman"/>
          <w:sz w:val="24"/>
          <w:szCs w:val="24"/>
        </w:rPr>
        <w:t xml:space="preserve">) then generates an estimate for the ten-year cost of debt of 5.30%, and this differs from the result above of 5.27% from using the CGS as the base rate by only 0.03%.  </w:t>
      </w:r>
    </w:p>
    <w:p w:rsidR="003137DD" w:rsidRDefault="003137DD" w:rsidP="009E4718">
      <w:pPr>
        <w:pStyle w:val="ListParagraph"/>
        <w:spacing w:after="0" w:line="360" w:lineRule="auto"/>
        <w:ind w:left="0"/>
        <w:jc w:val="both"/>
        <w:rPr>
          <w:rFonts w:ascii="Times New Roman" w:hAnsi="Times New Roman" w:cs="Times New Roman"/>
          <w:sz w:val="24"/>
          <w:szCs w:val="24"/>
        </w:rPr>
      </w:pPr>
    </w:p>
    <w:p w:rsidR="006630AB" w:rsidRDefault="006630AB" w:rsidP="009E471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These extrapolated results for the RBA and BVAL, as determ</w:t>
      </w:r>
      <w:r w:rsidR="00095F16">
        <w:rPr>
          <w:rFonts w:ascii="Times New Roman" w:hAnsi="Times New Roman" w:cs="Times New Roman"/>
          <w:sz w:val="24"/>
          <w:szCs w:val="24"/>
        </w:rPr>
        <w:t>ined by equations (4) and (5</w:t>
      </w:r>
      <w:r>
        <w:rPr>
          <w:rFonts w:ascii="Times New Roman" w:hAnsi="Times New Roman" w:cs="Times New Roman"/>
          <w:sz w:val="24"/>
          <w:szCs w:val="24"/>
        </w:rPr>
        <w:t xml:space="preserve">), </w:t>
      </w:r>
      <w:r w:rsidR="00F16838">
        <w:rPr>
          <w:rFonts w:ascii="Times New Roman" w:hAnsi="Times New Roman" w:cs="Times New Roman"/>
          <w:sz w:val="24"/>
          <w:szCs w:val="24"/>
        </w:rPr>
        <w:t xml:space="preserve">should then be </w:t>
      </w:r>
      <w:r>
        <w:rPr>
          <w:rFonts w:ascii="Times New Roman" w:hAnsi="Times New Roman" w:cs="Times New Roman"/>
          <w:sz w:val="24"/>
          <w:szCs w:val="24"/>
        </w:rPr>
        <w:t>averag</w:t>
      </w:r>
      <w:r w:rsidR="00F16838">
        <w:rPr>
          <w:rFonts w:ascii="Times New Roman" w:hAnsi="Times New Roman" w:cs="Times New Roman"/>
          <w:sz w:val="24"/>
          <w:szCs w:val="24"/>
        </w:rPr>
        <w:t>ed in accordance with section 2.2</w:t>
      </w:r>
      <w:r w:rsidR="003137DD">
        <w:rPr>
          <w:rFonts w:ascii="Times New Roman" w:hAnsi="Times New Roman" w:cs="Times New Roman"/>
          <w:sz w:val="24"/>
          <w:szCs w:val="24"/>
        </w:rPr>
        <w:t xml:space="preserve">.  </w:t>
      </w:r>
      <w:r w:rsidR="002C5C88">
        <w:rPr>
          <w:rFonts w:ascii="Times New Roman" w:hAnsi="Times New Roman" w:cs="Times New Roman"/>
          <w:sz w:val="24"/>
          <w:szCs w:val="24"/>
        </w:rPr>
        <w:t xml:space="preserve">In respect of 31 July 2014, averaging </w:t>
      </w:r>
      <w:r w:rsidR="004E3D88">
        <w:rPr>
          <w:rFonts w:ascii="Times New Roman" w:hAnsi="Times New Roman" w:cs="Times New Roman"/>
          <w:sz w:val="24"/>
          <w:szCs w:val="24"/>
        </w:rPr>
        <w:t>over 5.58</w:t>
      </w:r>
      <w:r w:rsidR="003137DD">
        <w:rPr>
          <w:rFonts w:ascii="Times New Roman" w:hAnsi="Times New Roman" w:cs="Times New Roman"/>
          <w:sz w:val="24"/>
          <w:szCs w:val="24"/>
        </w:rPr>
        <w:t>% for the extrapolated RBA and</w:t>
      </w:r>
      <w:r w:rsidR="004E3D88">
        <w:rPr>
          <w:rFonts w:ascii="Times New Roman" w:hAnsi="Times New Roman" w:cs="Times New Roman"/>
          <w:sz w:val="24"/>
          <w:szCs w:val="24"/>
        </w:rPr>
        <w:t xml:space="preserve"> 5.27</w:t>
      </w:r>
      <w:r w:rsidR="003137DD">
        <w:rPr>
          <w:rFonts w:ascii="Times New Roman" w:hAnsi="Times New Roman" w:cs="Times New Roman"/>
          <w:sz w:val="24"/>
          <w:szCs w:val="24"/>
        </w:rPr>
        <w:t>% for the</w:t>
      </w:r>
      <w:r w:rsidR="004E3D88">
        <w:rPr>
          <w:rFonts w:ascii="Times New Roman" w:hAnsi="Times New Roman" w:cs="Times New Roman"/>
          <w:sz w:val="24"/>
          <w:szCs w:val="24"/>
        </w:rPr>
        <w:t xml:space="preserve"> extrapolated BVAL yields 5.42</w:t>
      </w:r>
      <w:r w:rsidR="000F62E8">
        <w:rPr>
          <w:rFonts w:ascii="Times New Roman" w:hAnsi="Times New Roman" w:cs="Times New Roman"/>
          <w:sz w:val="24"/>
          <w:szCs w:val="24"/>
        </w:rPr>
        <w:t>%.</w:t>
      </w:r>
      <w:r w:rsidR="00EC73BE">
        <w:rPr>
          <w:rStyle w:val="FootnoteReference"/>
          <w:rFonts w:ascii="Times New Roman" w:hAnsi="Times New Roman" w:cs="Times New Roman"/>
          <w:sz w:val="24"/>
          <w:szCs w:val="24"/>
        </w:rPr>
        <w:footnoteReference w:id="27"/>
      </w:r>
    </w:p>
    <w:p w:rsidR="000F62E8" w:rsidRDefault="000F62E8" w:rsidP="009E4718">
      <w:pPr>
        <w:pStyle w:val="ListParagraph"/>
        <w:spacing w:after="0" w:line="360" w:lineRule="auto"/>
        <w:ind w:left="0"/>
        <w:jc w:val="both"/>
        <w:rPr>
          <w:rFonts w:ascii="Times New Roman" w:hAnsi="Times New Roman" w:cs="Times New Roman"/>
          <w:sz w:val="24"/>
          <w:szCs w:val="24"/>
        </w:rPr>
      </w:pPr>
    </w:p>
    <w:p w:rsidR="006630AB" w:rsidRPr="008A7DF6" w:rsidRDefault="000F62E8" w:rsidP="009E471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both the RBA and BVAL indexes require </w:t>
      </w:r>
      <w:r w:rsidR="0053720C">
        <w:rPr>
          <w:rFonts w:ascii="Times New Roman" w:hAnsi="Times New Roman" w:cs="Times New Roman"/>
          <w:sz w:val="24"/>
          <w:szCs w:val="24"/>
        </w:rPr>
        <w:t xml:space="preserve">extension </w:t>
      </w:r>
      <w:r>
        <w:rPr>
          <w:rFonts w:ascii="Times New Roman" w:hAnsi="Times New Roman" w:cs="Times New Roman"/>
          <w:sz w:val="24"/>
          <w:szCs w:val="24"/>
        </w:rPr>
        <w:t xml:space="preserve">out to ten years, the latter because the longest tenor is seven years and the former because the effective tenor </w:t>
      </w:r>
      <w:r w:rsidR="00AF2010">
        <w:rPr>
          <w:rFonts w:ascii="Times New Roman" w:hAnsi="Times New Roman" w:cs="Times New Roman"/>
          <w:sz w:val="24"/>
          <w:szCs w:val="24"/>
        </w:rPr>
        <w:t xml:space="preserve">of the bonds used for the </w:t>
      </w:r>
      <w:r>
        <w:rPr>
          <w:rFonts w:ascii="Times New Roman" w:hAnsi="Times New Roman" w:cs="Times New Roman"/>
          <w:sz w:val="24"/>
          <w:szCs w:val="24"/>
        </w:rPr>
        <w:t xml:space="preserve">ten-year term is generally less </w:t>
      </w:r>
      <w:r w:rsidR="00F16838">
        <w:rPr>
          <w:rFonts w:ascii="Times New Roman" w:hAnsi="Times New Roman" w:cs="Times New Roman"/>
          <w:sz w:val="24"/>
          <w:szCs w:val="24"/>
        </w:rPr>
        <w:t xml:space="preserve">than ten years </w:t>
      </w:r>
      <w:r>
        <w:rPr>
          <w:rFonts w:ascii="Times New Roman" w:hAnsi="Times New Roman" w:cs="Times New Roman"/>
          <w:sz w:val="24"/>
          <w:szCs w:val="24"/>
        </w:rPr>
        <w:t>(and has averaged 8.7</w:t>
      </w:r>
      <w:r w:rsidR="0053720C">
        <w:rPr>
          <w:rFonts w:ascii="Times New Roman" w:hAnsi="Times New Roman" w:cs="Times New Roman"/>
          <w:sz w:val="24"/>
          <w:szCs w:val="24"/>
        </w:rPr>
        <w:t xml:space="preserve"> years since its inception).  The components requiring extension are the </w:t>
      </w:r>
      <w:r w:rsidR="00A57716">
        <w:rPr>
          <w:rFonts w:ascii="Times New Roman" w:hAnsi="Times New Roman" w:cs="Times New Roman"/>
          <w:sz w:val="24"/>
          <w:szCs w:val="24"/>
        </w:rPr>
        <w:t xml:space="preserve">base rate </w:t>
      </w:r>
      <w:r w:rsidR="0053720C">
        <w:rPr>
          <w:rFonts w:ascii="Times New Roman" w:hAnsi="Times New Roman" w:cs="Times New Roman"/>
          <w:sz w:val="24"/>
          <w:szCs w:val="24"/>
        </w:rPr>
        <w:t>and the DRP</w:t>
      </w:r>
      <w:r w:rsidR="00A57716">
        <w:rPr>
          <w:rFonts w:ascii="Times New Roman" w:hAnsi="Times New Roman" w:cs="Times New Roman"/>
          <w:sz w:val="24"/>
          <w:szCs w:val="24"/>
        </w:rPr>
        <w:t>,</w:t>
      </w:r>
      <w:r w:rsidR="00AF2010">
        <w:rPr>
          <w:rFonts w:ascii="Times New Roman" w:hAnsi="Times New Roman" w:cs="Times New Roman"/>
          <w:sz w:val="24"/>
          <w:szCs w:val="24"/>
        </w:rPr>
        <w:t xml:space="preserve"> </w:t>
      </w:r>
      <w:r w:rsidR="00AF2010" w:rsidRPr="00CA2C3F">
        <w:rPr>
          <w:rFonts w:ascii="Times New Roman" w:hAnsi="Times New Roman" w:cs="Times New Roman"/>
          <w:sz w:val="24"/>
          <w:szCs w:val="24"/>
        </w:rPr>
        <w:t>although the RBA performs the base rate extension itself.</w:t>
      </w:r>
      <w:r w:rsidR="00AF2010" w:rsidRPr="00AF2010">
        <w:rPr>
          <w:rFonts w:ascii="Times New Roman" w:hAnsi="Times New Roman" w:cs="Times New Roman"/>
          <w:sz w:val="24"/>
          <w:szCs w:val="24"/>
        </w:rPr>
        <w:t xml:space="preserve">  The </w:t>
      </w:r>
      <w:r w:rsidR="00A57716" w:rsidRPr="008A7DF6">
        <w:rPr>
          <w:rFonts w:ascii="Times New Roman" w:hAnsi="Times New Roman" w:cs="Times New Roman"/>
          <w:sz w:val="24"/>
          <w:szCs w:val="24"/>
        </w:rPr>
        <w:t>CGS is marginally preferred over the swap rate as the base rate</w:t>
      </w:r>
      <w:r w:rsidR="00C032F5" w:rsidRPr="008A7DF6">
        <w:rPr>
          <w:rFonts w:ascii="Times New Roman" w:hAnsi="Times New Roman" w:cs="Times New Roman"/>
          <w:sz w:val="24"/>
          <w:szCs w:val="24"/>
        </w:rPr>
        <w:t xml:space="preserve"> although the results are almost identical in either approach</w:t>
      </w:r>
      <w:r w:rsidR="0053720C" w:rsidRPr="008A7DF6">
        <w:rPr>
          <w:rFonts w:ascii="Times New Roman" w:hAnsi="Times New Roman" w:cs="Times New Roman"/>
          <w:sz w:val="24"/>
          <w:szCs w:val="24"/>
        </w:rPr>
        <w:t xml:space="preserve">.  The CGS can be extended using RBA data on bonds with maturity dates shortly before and after the relevant points in time.  In respect of the DRP, the required extension term for the RBA index is only 1.3 years </w:t>
      </w:r>
      <w:r w:rsidR="002F2FB4" w:rsidRPr="008A7DF6">
        <w:rPr>
          <w:rFonts w:ascii="Times New Roman" w:hAnsi="Times New Roman" w:cs="Times New Roman"/>
          <w:sz w:val="24"/>
          <w:szCs w:val="24"/>
        </w:rPr>
        <w:t>on average (from 8.7 to 10 years)</w:t>
      </w:r>
      <w:r w:rsidR="0053720C" w:rsidRPr="008A7DF6">
        <w:rPr>
          <w:rFonts w:ascii="Times New Roman" w:hAnsi="Times New Roman" w:cs="Times New Roman"/>
          <w:sz w:val="24"/>
          <w:szCs w:val="24"/>
        </w:rPr>
        <w:t xml:space="preserve">, and this favours the simplest technique, which is linear extrapolation using the DRP data for the effective tenors for both the ‘seven’ and ‘ten’ year values.  In respect of the BVAL, linear extrapolation is no longer clearly favoured because the </w:t>
      </w:r>
      <w:r w:rsidR="00705185" w:rsidRPr="008A7DF6">
        <w:rPr>
          <w:rFonts w:ascii="Times New Roman" w:hAnsi="Times New Roman" w:cs="Times New Roman"/>
          <w:sz w:val="24"/>
          <w:szCs w:val="24"/>
        </w:rPr>
        <w:t xml:space="preserve">extension </w:t>
      </w:r>
      <w:r w:rsidR="0053720C" w:rsidRPr="008A7DF6">
        <w:rPr>
          <w:rFonts w:ascii="Times New Roman" w:hAnsi="Times New Roman" w:cs="Times New Roman"/>
          <w:sz w:val="24"/>
          <w:szCs w:val="24"/>
        </w:rPr>
        <w:t>period is now three years (from seven to ten years) rather than only 1.3 years</w:t>
      </w:r>
      <w:r w:rsidR="00705185" w:rsidRPr="008A7DF6">
        <w:rPr>
          <w:rFonts w:ascii="Times New Roman" w:hAnsi="Times New Roman" w:cs="Times New Roman"/>
          <w:sz w:val="24"/>
          <w:szCs w:val="24"/>
        </w:rPr>
        <w:t xml:space="preserve">.  The available evidence suggests that the best method is use of the RBA </w:t>
      </w:r>
      <w:r w:rsidR="004960E7" w:rsidRPr="008A7DF6">
        <w:rPr>
          <w:rFonts w:ascii="Times New Roman" w:hAnsi="Times New Roman" w:cs="Times New Roman"/>
          <w:sz w:val="24"/>
          <w:szCs w:val="24"/>
        </w:rPr>
        <w:t xml:space="preserve">data </w:t>
      </w:r>
      <w:r w:rsidR="00705185" w:rsidRPr="008A7DF6">
        <w:rPr>
          <w:rFonts w:ascii="Times New Roman" w:hAnsi="Times New Roman" w:cs="Times New Roman"/>
          <w:sz w:val="24"/>
          <w:szCs w:val="24"/>
        </w:rPr>
        <w:t>for the effective tenors for both th</w:t>
      </w:r>
      <w:r w:rsidR="00627FAA" w:rsidRPr="008A7DF6">
        <w:rPr>
          <w:rFonts w:ascii="Times New Roman" w:hAnsi="Times New Roman" w:cs="Times New Roman"/>
          <w:sz w:val="24"/>
          <w:szCs w:val="24"/>
        </w:rPr>
        <w:t xml:space="preserve">e ‘seven’ and ‘ten’ year values.  Since these extension procedures are feasible, and would likely lead to different margins over the course </w:t>
      </w:r>
      <w:r w:rsidR="00627FAA" w:rsidRPr="008A7DF6">
        <w:rPr>
          <w:rFonts w:ascii="Times New Roman" w:hAnsi="Times New Roman" w:cs="Times New Roman"/>
          <w:sz w:val="24"/>
          <w:szCs w:val="24"/>
        </w:rPr>
        <w:lastRenderedPageBreak/>
        <w:t xml:space="preserve">of a five-year regulatory period, there is no case for adopting a fixed margin for the five-year </w:t>
      </w:r>
      <w:r w:rsidR="00AF2010">
        <w:rPr>
          <w:rFonts w:ascii="Times New Roman" w:hAnsi="Times New Roman" w:cs="Times New Roman"/>
          <w:sz w:val="24"/>
          <w:szCs w:val="24"/>
        </w:rPr>
        <w:t xml:space="preserve">regulatory </w:t>
      </w:r>
      <w:r w:rsidR="00627FAA" w:rsidRPr="008A7DF6">
        <w:rPr>
          <w:rFonts w:ascii="Times New Roman" w:hAnsi="Times New Roman" w:cs="Times New Roman"/>
          <w:sz w:val="24"/>
          <w:szCs w:val="24"/>
        </w:rPr>
        <w:t>period.</w:t>
      </w:r>
    </w:p>
    <w:p w:rsidR="0053720C" w:rsidRDefault="0053720C" w:rsidP="009E4718">
      <w:pPr>
        <w:pStyle w:val="ListParagraph"/>
        <w:spacing w:after="0" w:line="360" w:lineRule="auto"/>
        <w:ind w:left="0"/>
        <w:jc w:val="both"/>
        <w:rPr>
          <w:rFonts w:ascii="Times New Roman" w:hAnsi="Times New Roman" w:cs="Times New Roman"/>
          <w:sz w:val="24"/>
          <w:szCs w:val="24"/>
        </w:rPr>
      </w:pPr>
    </w:p>
    <w:p w:rsidR="00122250" w:rsidRPr="00FC5A11" w:rsidRDefault="00122250" w:rsidP="00571ECE">
      <w:pPr>
        <w:pStyle w:val="ListParagraph"/>
        <w:numPr>
          <w:ilvl w:val="0"/>
          <w:numId w:val="1"/>
        </w:numPr>
        <w:spacing w:after="0" w:line="360" w:lineRule="auto"/>
        <w:ind w:left="360" w:hanging="336"/>
        <w:jc w:val="both"/>
        <w:rPr>
          <w:rFonts w:ascii="Times New Roman" w:hAnsi="Times New Roman" w:cs="Times New Roman"/>
          <w:b/>
          <w:sz w:val="24"/>
          <w:szCs w:val="24"/>
        </w:rPr>
      </w:pPr>
      <w:r>
        <w:rPr>
          <w:rFonts w:ascii="Times New Roman" w:hAnsi="Times New Roman" w:cs="Times New Roman"/>
          <w:b/>
          <w:sz w:val="24"/>
          <w:szCs w:val="24"/>
        </w:rPr>
        <w:t>Conclusions</w:t>
      </w:r>
    </w:p>
    <w:p w:rsidR="00DE6DB6" w:rsidRDefault="00DE6DB6" w:rsidP="00122250">
      <w:pPr>
        <w:pStyle w:val="ListParagraph"/>
        <w:spacing w:after="0" w:line="360" w:lineRule="auto"/>
        <w:ind w:left="0"/>
        <w:jc w:val="both"/>
        <w:rPr>
          <w:rFonts w:ascii="Times New Roman" w:hAnsi="Times New Roman" w:cs="Times New Roman"/>
          <w:sz w:val="24"/>
          <w:szCs w:val="24"/>
        </w:rPr>
      </w:pPr>
    </w:p>
    <w:p w:rsidR="004D49E9" w:rsidRDefault="00DE6DB6" w:rsidP="004D49E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response to the questions posed by the AER, my </w:t>
      </w:r>
      <w:r w:rsidR="00122250">
        <w:rPr>
          <w:rFonts w:ascii="Times New Roman" w:hAnsi="Times New Roman" w:cs="Times New Roman"/>
          <w:sz w:val="24"/>
          <w:szCs w:val="24"/>
        </w:rPr>
        <w:t xml:space="preserve">conclusions are as follows.  </w:t>
      </w:r>
      <w:r>
        <w:rPr>
          <w:rFonts w:ascii="Times New Roman" w:hAnsi="Times New Roman" w:cs="Times New Roman"/>
          <w:sz w:val="24"/>
          <w:szCs w:val="24"/>
        </w:rPr>
        <w:t xml:space="preserve">Firstly, </w:t>
      </w:r>
      <w:r w:rsidR="00B17F4C">
        <w:rPr>
          <w:rFonts w:ascii="Times New Roman" w:hAnsi="Times New Roman" w:cs="Times New Roman"/>
          <w:sz w:val="24"/>
          <w:szCs w:val="24"/>
        </w:rPr>
        <w:t xml:space="preserve">on the question of which independent third-party data service provider should be used to estimate the cost of debt, eleven points of distinction </w:t>
      </w:r>
      <w:r w:rsidR="00275EDD">
        <w:rPr>
          <w:rFonts w:ascii="Times New Roman" w:hAnsi="Times New Roman" w:cs="Times New Roman"/>
          <w:sz w:val="24"/>
          <w:szCs w:val="24"/>
        </w:rPr>
        <w:t xml:space="preserve">exist </w:t>
      </w:r>
      <w:r w:rsidR="00B17F4C">
        <w:rPr>
          <w:rFonts w:ascii="Times New Roman" w:hAnsi="Times New Roman" w:cs="Times New Roman"/>
          <w:sz w:val="24"/>
          <w:szCs w:val="24"/>
        </w:rPr>
        <w:t>between the BVAL and RBA indexes and examination of these reveals that neither index is clearly superior to the other</w:t>
      </w:r>
      <w:r w:rsidR="00B93A12">
        <w:rPr>
          <w:rFonts w:ascii="Times New Roman" w:hAnsi="Times New Roman" w:cs="Times New Roman"/>
          <w:sz w:val="24"/>
          <w:szCs w:val="24"/>
        </w:rPr>
        <w:t xml:space="preserve">.  I therefore recommend that a combined estimator be used.  Since the standard deviations of </w:t>
      </w:r>
      <w:r w:rsidR="00F95F44" w:rsidRPr="00C91905">
        <w:rPr>
          <w:rFonts w:ascii="Times New Roman" w:hAnsi="Times New Roman" w:cs="Times New Roman"/>
          <w:sz w:val="24"/>
          <w:szCs w:val="24"/>
        </w:rPr>
        <w:t>these estimators</w:t>
      </w:r>
      <w:r w:rsidR="00F95F44" w:rsidRPr="00F95F44">
        <w:rPr>
          <w:rFonts w:ascii="Times New Roman" w:hAnsi="Times New Roman" w:cs="Times New Roman"/>
          <w:sz w:val="24"/>
          <w:szCs w:val="24"/>
        </w:rPr>
        <w:t xml:space="preserve"> </w:t>
      </w:r>
      <w:r w:rsidR="00B93A12">
        <w:rPr>
          <w:rFonts w:ascii="Times New Roman" w:hAnsi="Times New Roman" w:cs="Times New Roman"/>
          <w:sz w:val="24"/>
          <w:szCs w:val="24"/>
        </w:rPr>
        <w:t xml:space="preserve">are similar and it is not possible to quantify </w:t>
      </w:r>
      <w:r w:rsidR="00275EDD">
        <w:rPr>
          <w:rFonts w:ascii="Times New Roman" w:hAnsi="Times New Roman" w:cs="Times New Roman"/>
          <w:sz w:val="24"/>
          <w:szCs w:val="24"/>
        </w:rPr>
        <w:t xml:space="preserve">any </w:t>
      </w:r>
      <w:r w:rsidR="00B93A12">
        <w:rPr>
          <w:rFonts w:ascii="Times New Roman" w:hAnsi="Times New Roman" w:cs="Times New Roman"/>
          <w:sz w:val="24"/>
          <w:szCs w:val="24"/>
        </w:rPr>
        <w:t>biases</w:t>
      </w:r>
      <w:r w:rsidR="00275EDD">
        <w:rPr>
          <w:rFonts w:ascii="Times New Roman" w:hAnsi="Times New Roman" w:cs="Times New Roman"/>
          <w:sz w:val="24"/>
          <w:szCs w:val="24"/>
        </w:rPr>
        <w:t xml:space="preserve"> in these two indexes</w:t>
      </w:r>
      <w:r w:rsidR="00B93A12">
        <w:rPr>
          <w:rFonts w:ascii="Times New Roman" w:hAnsi="Times New Roman" w:cs="Times New Roman"/>
          <w:sz w:val="24"/>
          <w:szCs w:val="24"/>
        </w:rPr>
        <w:t>, I recommend that the two indexes be equally weighted.  This will lower the MSE of the estimator relative t</w:t>
      </w:r>
      <w:r w:rsidR="004D49E9">
        <w:rPr>
          <w:rFonts w:ascii="Times New Roman" w:hAnsi="Times New Roman" w:cs="Times New Roman"/>
          <w:sz w:val="24"/>
          <w:szCs w:val="24"/>
        </w:rPr>
        <w:t>o using only one of the indexes</w:t>
      </w:r>
      <w:r w:rsidR="006017E3">
        <w:rPr>
          <w:rFonts w:ascii="Times New Roman" w:hAnsi="Times New Roman" w:cs="Times New Roman"/>
          <w:sz w:val="24"/>
          <w:szCs w:val="24"/>
        </w:rPr>
        <w:t xml:space="preserve">, and significantly so if the correlation between the </w:t>
      </w:r>
      <w:r w:rsidR="007D687B">
        <w:rPr>
          <w:rFonts w:ascii="Times New Roman" w:hAnsi="Times New Roman" w:cs="Times New Roman"/>
          <w:sz w:val="24"/>
          <w:szCs w:val="24"/>
        </w:rPr>
        <w:t xml:space="preserve">indexes </w:t>
      </w:r>
      <w:r w:rsidR="006017E3">
        <w:rPr>
          <w:rFonts w:ascii="Times New Roman" w:hAnsi="Times New Roman" w:cs="Times New Roman"/>
          <w:sz w:val="24"/>
          <w:szCs w:val="24"/>
        </w:rPr>
        <w:t xml:space="preserve">is low.  </w:t>
      </w:r>
      <w:r w:rsidR="004D49E9">
        <w:rPr>
          <w:rFonts w:ascii="Times New Roman" w:hAnsi="Times New Roman" w:cs="Times New Roman"/>
          <w:sz w:val="24"/>
          <w:szCs w:val="24"/>
        </w:rPr>
        <w:t xml:space="preserve">The contrary arguments presented by </w:t>
      </w:r>
      <w:r w:rsidR="003C150A">
        <w:rPr>
          <w:rFonts w:ascii="Times New Roman" w:hAnsi="Times New Roman" w:cs="Times New Roman"/>
          <w:sz w:val="24"/>
          <w:szCs w:val="24"/>
        </w:rPr>
        <w:t>NERA</w:t>
      </w:r>
      <w:r w:rsidR="004D49E9">
        <w:rPr>
          <w:rFonts w:ascii="Times New Roman" w:hAnsi="Times New Roman" w:cs="Times New Roman"/>
          <w:sz w:val="24"/>
          <w:szCs w:val="24"/>
        </w:rPr>
        <w:t>, CEG, ActewAGL, and Directlink in support of sole use of the RBA index do not support their preference, and the approach proposed by Jemena (involving use of the RBA index on some occasions and the BVAL on others) sacrifices the MSE gains from a combined estimator.</w:t>
      </w:r>
    </w:p>
    <w:p w:rsidR="004D49E9" w:rsidRDefault="004D49E9" w:rsidP="004D49E9">
      <w:pPr>
        <w:pStyle w:val="ListParagraph"/>
        <w:spacing w:after="0" w:line="360" w:lineRule="auto"/>
        <w:ind w:left="0"/>
        <w:jc w:val="both"/>
        <w:rPr>
          <w:rFonts w:ascii="Times New Roman" w:hAnsi="Times New Roman" w:cs="Times New Roman"/>
          <w:sz w:val="24"/>
          <w:szCs w:val="24"/>
        </w:rPr>
      </w:pPr>
    </w:p>
    <w:p w:rsidR="00557D51" w:rsidRDefault="004D49E9" w:rsidP="004D49E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Secondly, in respect of the efficient financing mix for </w:t>
      </w:r>
      <w:r w:rsidR="00557D51">
        <w:rPr>
          <w:rFonts w:ascii="Times New Roman" w:hAnsi="Times New Roman" w:cs="Times New Roman"/>
          <w:sz w:val="24"/>
          <w:szCs w:val="24"/>
        </w:rPr>
        <w:t xml:space="preserve">the benchmark entity, this involves bank debt, Australian currency bonds and foreign currency bonds so as to mitigate refinancing risk and </w:t>
      </w:r>
      <w:r w:rsidR="00275EDD">
        <w:rPr>
          <w:rFonts w:ascii="Times New Roman" w:hAnsi="Times New Roman" w:cs="Times New Roman"/>
          <w:sz w:val="24"/>
          <w:szCs w:val="24"/>
        </w:rPr>
        <w:t xml:space="preserve">to </w:t>
      </w:r>
      <w:r w:rsidR="00557D51">
        <w:rPr>
          <w:rFonts w:ascii="Times New Roman" w:hAnsi="Times New Roman" w:cs="Times New Roman"/>
          <w:sz w:val="24"/>
          <w:szCs w:val="24"/>
        </w:rPr>
        <w:t xml:space="preserve">benefit from the flexibility of bank debt.  The optimal weights will vary over time, in inverse relation to their costs.  </w:t>
      </w:r>
    </w:p>
    <w:p w:rsidR="00557D51" w:rsidRDefault="00557D51" w:rsidP="004D49E9">
      <w:pPr>
        <w:pStyle w:val="ListParagraph"/>
        <w:spacing w:after="0" w:line="360" w:lineRule="auto"/>
        <w:ind w:left="0"/>
        <w:jc w:val="both"/>
        <w:rPr>
          <w:rFonts w:ascii="Times New Roman" w:hAnsi="Times New Roman" w:cs="Times New Roman"/>
          <w:sz w:val="24"/>
          <w:szCs w:val="24"/>
        </w:rPr>
      </w:pPr>
    </w:p>
    <w:p w:rsidR="00557D51" w:rsidRPr="008A7DF6" w:rsidRDefault="00557D51" w:rsidP="004D49E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Thirdly, in using a cost of debt index that is based upon bonds, as the RBA and BVAL indexes are, bank debt is excluded and this raises the question of whether bias in the allowed cost of debt might arise.  However the very reason for excluding bank debt in the assessment of the allowed cost of debt (the lack of secondary market data) also precludes a formal assessment of this potential concern.  </w:t>
      </w:r>
      <w:r w:rsidR="003C150A" w:rsidRPr="008A7DF6">
        <w:rPr>
          <w:rFonts w:ascii="Times New Roman" w:hAnsi="Times New Roman" w:cs="Times New Roman"/>
          <w:sz w:val="24"/>
          <w:szCs w:val="24"/>
        </w:rPr>
        <w:t xml:space="preserve">Furthermore, since bank debt constitutes only about 25% of the debt of regulated firms, this low weighting mitigates any bias arising from its omission from the RBA and BVAL indexes. </w:t>
      </w:r>
    </w:p>
    <w:p w:rsidR="003C150A" w:rsidRPr="008A7DF6" w:rsidRDefault="003C150A" w:rsidP="004D49E9">
      <w:pPr>
        <w:pStyle w:val="ListParagraph"/>
        <w:spacing w:after="0" w:line="360" w:lineRule="auto"/>
        <w:ind w:left="0"/>
        <w:jc w:val="both"/>
        <w:rPr>
          <w:rFonts w:ascii="Times New Roman" w:hAnsi="Times New Roman" w:cs="Times New Roman"/>
          <w:sz w:val="24"/>
          <w:szCs w:val="24"/>
        </w:rPr>
      </w:pPr>
    </w:p>
    <w:p w:rsidR="00961C9E" w:rsidRPr="008A7DF6" w:rsidRDefault="00557D51" w:rsidP="00961C9E">
      <w:pPr>
        <w:pStyle w:val="ListParagraph"/>
        <w:spacing w:after="0" w:line="360" w:lineRule="auto"/>
        <w:ind w:left="0"/>
        <w:jc w:val="both"/>
        <w:rPr>
          <w:rFonts w:ascii="Times New Roman" w:hAnsi="Times New Roman" w:cs="Times New Roman"/>
          <w:sz w:val="24"/>
          <w:szCs w:val="24"/>
        </w:rPr>
      </w:pPr>
      <w:r w:rsidRPr="008A7DF6">
        <w:rPr>
          <w:rFonts w:ascii="Times New Roman" w:hAnsi="Times New Roman" w:cs="Times New Roman"/>
          <w:sz w:val="24"/>
          <w:szCs w:val="24"/>
        </w:rPr>
        <w:t xml:space="preserve">Fourthly, if the AER were to use the BVAL index only or average over the RBA and BVAL indexes, the fact that the BVAL index does not include foreign bonds implies that foreign bonds will be underweighted and this raises the question of whether bias in the allowed cost </w:t>
      </w:r>
      <w:r w:rsidRPr="008A7DF6">
        <w:rPr>
          <w:rFonts w:ascii="Times New Roman" w:hAnsi="Times New Roman" w:cs="Times New Roman"/>
          <w:sz w:val="24"/>
          <w:szCs w:val="24"/>
        </w:rPr>
        <w:lastRenderedPageBreak/>
        <w:t xml:space="preserve">of debt might arise.  However, whilst there are good grounds to believe that the cost of local currency bonds does </w:t>
      </w:r>
      <w:r w:rsidR="003E245D" w:rsidRPr="008A7DF6">
        <w:rPr>
          <w:rFonts w:ascii="Times New Roman" w:hAnsi="Times New Roman" w:cs="Times New Roman"/>
          <w:sz w:val="24"/>
          <w:szCs w:val="24"/>
        </w:rPr>
        <w:t xml:space="preserve">fluctuate relative to that of </w:t>
      </w:r>
      <w:r w:rsidRPr="008A7DF6">
        <w:rPr>
          <w:rFonts w:ascii="Times New Roman" w:hAnsi="Times New Roman" w:cs="Times New Roman"/>
          <w:sz w:val="24"/>
          <w:szCs w:val="24"/>
        </w:rPr>
        <w:t>otherwise identical foreign currency bonds,</w:t>
      </w:r>
      <w:r w:rsidR="00D71724" w:rsidRPr="008A7DF6">
        <w:rPr>
          <w:rFonts w:ascii="Times New Roman" w:hAnsi="Times New Roman" w:cs="Times New Roman"/>
          <w:sz w:val="24"/>
          <w:szCs w:val="24"/>
        </w:rPr>
        <w:t xml:space="preserve"> after the currency swap required to convert foreign-currency bonds to AUD,</w:t>
      </w:r>
      <w:r w:rsidRPr="008A7DF6">
        <w:rPr>
          <w:rFonts w:ascii="Times New Roman" w:hAnsi="Times New Roman" w:cs="Times New Roman"/>
          <w:sz w:val="24"/>
          <w:szCs w:val="24"/>
        </w:rPr>
        <w:t xml:space="preserve"> there are no grounds to believe that there is a systematically higher rate on one or the other.  Thus, the omission of foreign currency bonds from the BVAL index should not lead to systematically over or understating the cost of debt </w:t>
      </w:r>
      <w:r w:rsidR="003E245D" w:rsidRPr="008A7DF6">
        <w:rPr>
          <w:rFonts w:ascii="Times New Roman" w:hAnsi="Times New Roman" w:cs="Times New Roman"/>
          <w:sz w:val="24"/>
          <w:szCs w:val="24"/>
        </w:rPr>
        <w:t>for regulated energy network businesses</w:t>
      </w:r>
      <w:r w:rsidR="00961C9E" w:rsidRPr="008A7DF6">
        <w:rPr>
          <w:rFonts w:ascii="Times New Roman" w:hAnsi="Times New Roman" w:cs="Times New Roman"/>
          <w:sz w:val="24"/>
          <w:szCs w:val="24"/>
        </w:rPr>
        <w:t xml:space="preserve">.  In addition, even if the AER used only the RBA index, the weights on local and foreign currency bonds within that index may be significantly different </w:t>
      </w:r>
      <w:r w:rsidR="006A5490" w:rsidRPr="008A7DF6">
        <w:rPr>
          <w:rFonts w:ascii="Times New Roman" w:hAnsi="Times New Roman" w:cs="Times New Roman"/>
          <w:sz w:val="24"/>
          <w:szCs w:val="24"/>
        </w:rPr>
        <w:t>to that of bonds in general and these in turn to the currently optimal weights,</w:t>
      </w:r>
      <w:r w:rsidR="00961C9E" w:rsidRPr="008A7DF6">
        <w:rPr>
          <w:rFonts w:ascii="Times New Roman" w:hAnsi="Times New Roman" w:cs="Times New Roman"/>
          <w:sz w:val="24"/>
          <w:szCs w:val="24"/>
        </w:rPr>
        <w:t xml:space="preserve"> and this too would introduce bias but again the effect would not be systematic over time.</w:t>
      </w:r>
    </w:p>
    <w:p w:rsidR="003E245D" w:rsidRDefault="003E245D" w:rsidP="004D49E9">
      <w:pPr>
        <w:pStyle w:val="ListParagraph"/>
        <w:spacing w:after="0" w:line="360" w:lineRule="auto"/>
        <w:ind w:left="0"/>
        <w:jc w:val="both"/>
        <w:rPr>
          <w:rFonts w:ascii="Times New Roman" w:hAnsi="Times New Roman" w:cs="Times New Roman"/>
          <w:sz w:val="24"/>
          <w:szCs w:val="24"/>
        </w:rPr>
      </w:pPr>
    </w:p>
    <w:p w:rsidR="00704C76" w:rsidRPr="008A7DF6" w:rsidRDefault="001A776A" w:rsidP="00704C7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sidRPr="008A7DF6">
        <w:rPr>
          <w:rFonts w:ascii="Times New Roman" w:hAnsi="Times New Roman" w:cs="Times New Roman"/>
          <w:sz w:val="24"/>
          <w:szCs w:val="24"/>
        </w:rPr>
        <w:t xml:space="preserve">Fifthly, in relation to the appropriate credit rating </w:t>
      </w:r>
      <w:r w:rsidR="00704C76" w:rsidRPr="008A7DF6">
        <w:rPr>
          <w:rFonts w:ascii="Times New Roman" w:hAnsi="Times New Roman" w:cs="Times New Roman"/>
          <w:sz w:val="24"/>
          <w:szCs w:val="24"/>
        </w:rPr>
        <w:t xml:space="preserve">for regulated energy network businesses, </w:t>
      </w:r>
      <w:r w:rsidR="00DC2DFF" w:rsidRPr="008A7DF6">
        <w:rPr>
          <w:rFonts w:ascii="Times New Roman" w:hAnsi="Times New Roman" w:cs="Times New Roman"/>
          <w:sz w:val="24"/>
          <w:szCs w:val="24"/>
        </w:rPr>
        <w:t xml:space="preserve">I do not think that one can differentiate between the gas and electricity businesses at the present time and I therefore favour a credit rating for the entire sector of BBB to BBB+ both at the present time and as an estimate over the next five years.  </w:t>
      </w:r>
    </w:p>
    <w:p w:rsidR="00DC2DFF" w:rsidRPr="008A7DF6" w:rsidRDefault="00DC2DFF" w:rsidP="00704C7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732DFD" w:rsidRPr="008A7DF6" w:rsidRDefault="00704C76" w:rsidP="00704C7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r w:rsidRPr="008A7DF6">
        <w:rPr>
          <w:rFonts w:ascii="Times New Roman" w:hAnsi="Times New Roman" w:cs="Times New Roman"/>
          <w:sz w:val="24"/>
          <w:szCs w:val="24"/>
        </w:rPr>
        <w:t xml:space="preserve">Sixthly, in respect of whether credit ratings </w:t>
      </w:r>
      <w:r w:rsidR="00AD52EC" w:rsidRPr="008A7DF6">
        <w:rPr>
          <w:rFonts w:ascii="Times New Roman" w:hAnsi="Times New Roman" w:cs="Times New Roman"/>
          <w:sz w:val="24"/>
          <w:szCs w:val="24"/>
        </w:rPr>
        <w:t xml:space="preserve">fully reflect the cost of debt, </w:t>
      </w:r>
      <w:r w:rsidR="00F41A8E" w:rsidRPr="008A7DF6">
        <w:rPr>
          <w:rFonts w:ascii="Times New Roman" w:hAnsi="Times New Roman" w:cs="Times New Roman"/>
          <w:sz w:val="24"/>
          <w:szCs w:val="24"/>
        </w:rPr>
        <w:t>they do not do so because</w:t>
      </w:r>
      <w:r w:rsidR="006409A9" w:rsidRPr="008A7DF6">
        <w:rPr>
          <w:rFonts w:ascii="Times New Roman" w:hAnsi="Times New Roman" w:cs="Times New Roman"/>
          <w:sz w:val="24"/>
          <w:szCs w:val="24"/>
        </w:rPr>
        <w:t xml:space="preserve"> (S&amp;P)</w:t>
      </w:r>
      <w:r w:rsidR="00F41A8E" w:rsidRPr="008A7DF6">
        <w:rPr>
          <w:rFonts w:ascii="Times New Roman" w:hAnsi="Times New Roman" w:cs="Times New Roman"/>
          <w:sz w:val="24"/>
          <w:szCs w:val="24"/>
        </w:rPr>
        <w:t xml:space="preserve"> </w:t>
      </w:r>
      <w:r w:rsidR="00C349F8" w:rsidRPr="008A7DF6">
        <w:rPr>
          <w:rFonts w:ascii="Times New Roman" w:hAnsi="Times New Roman" w:cs="Times New Roman"/>
          <w:sz w:val="24"/>
          <w:szCs w:val="24"/>
        </w:rPr>
        <w:t xml:space="preserve">credit ratings only reflect the probability of default whilst the cost of debt also reflects </w:t>
      </w:r>
      <w:r w:rsidR="00AD52EC" w:rsidRPr="008A7DF6">
        <w:rPr>
          <w:rFonts w:ascii="Times New Roman" w:hAnsi="Times New Roman" w:cs="Times New Roman"/>
          <w:sz w:val="24"/>
          <w:szCs w:val="24"/>
        </w:rPr>
        <w:t xml:space="preserve">the liquidity, </w:t>
      </w:r>
      <w:r w:rsidR="00C349F8" w:rsidRPr="008A7DF6">
        <w:rPr>
          <w:rFonts w:ascii="Times New Roman" w:hAnsi="Times New Roman" w:cs="Times New Roman"/>
          <w:sz w:val="24"/>
          <w:szCs w:val="24"/>
        </w:rPr>
        <w:t xml:space="preserve">presence of </w:t>
      </w:r>
      <w:r w:rsidR="00AD52EC" w:rsidRPr="008A7DF6">
        <w:rPr>
          <w:rFonts w:ascii="Times New Roman" w:hAnsi="Times New Roman" w:cs="Times New Roman"/>
          <w:sz w:val="24"/>
          <w:szCs w:val="24"/>
        </w:rPr>
        <w:t xml:space="preserve">call options, </w:t>
      </w:r>
      <w:r w:rsidR="00C349F8" w:rsidRPr="008A7DF6">
        <w:rPr>
          <w:rFonts w:ascii="Times New Roman" w:hAnsi="Times New Roman" w:cs="Times New Roman"/>
          <w:sz w:val="24"/>
          <w:szCs w:val="24"/>
        </w:rPr>
        <w:t xml:space="preserve">presence of </w:t>
      </w:r>
      <w:r w:rsidR="00AD52EC" w:rsidRPr="008A7DF6">
        <w:rPr>
          <w:rFonts w:ascii="Times New Roman" w:hAnsi="Times New Roman" w:cs="Times New Roman"/>
          <w:sz w:val="24"/>
          <w:szCs w:val="24"/>
        </w:rPr>
        <w:t xml:space="preserve">conversion options, </w:t>
      </w:r>
      <w:r w:rsidR="00C349F8" w:rsidRPr="008A7DF6">
        <w:rPr>
          <w:rFonts w:ascii="Times New Roman" w:hAnsi="Times New Roman" w:cs="Times New Roman"/>
          <w:sz w:val="24"/>
          <w:szCs w:val="24"/>
        </w:rPr>
        <w:t xml:space="preserve">and the </w:t>
      </w:r>
      <w:r w:rsidR="00AD52EC" w:rsidRPr="008A7DF6">
        <w:rPr>
          <w:rFonts w:ascii="Times New Roman" w:hAnsi="Times New Roman" w:cs="Times New Roman"/>
          <w:sz w:val="24"/>
          <w:szCs w:val="24"/>
        </w:rPr>
        <w:t xml:space="preserve">expected loss </w:t>
      </w:r>
      <w:r w:rsidR="00C349F8" w:rsidRPr="008A7DF6">
        <w:rPr>
          <w:rFonts w:ascii="Times New Roman" w:hAnsi="Times New Roman" w:cs="Times New Roman"/>
          <w:sz w:val="24"/>
          <w:szCs w:val="24"/>
        </w:rPr>
        <w:t>rate for the bond in the event of default</w:t>
      </w:r>
      <w:r w:rsidR="00AD52EC" w:rsidRPr="008A7DF6">
        <w:rPr>
          <w:rFonts w:ascii="Times New Roman" w:hAnsi="Times New Roman" w:cs="Times New Roman"/>
          <w:sz w:val="24"/>
          <w:szCs w:val="24"/>
        </w:rPr>
        <w:t xml:space="preserve">.  </w:t>
      </w:r>
      <w:r w:rsidR="00732DFD" w:rsidRPr="008A7DF6">
        <w:rPr>
          <w:rFonts w:ascii="Times New Roman" w:hAnsi="Times New Roman" w:cs="Times New Roman"/>
          <w:sz w:val="24"/>
          <w:szCs w:val="24"/>
        </w:rPr>
        <w:t>Furthermore the bonds of regulated energy network businesses would have lower average liquidity than the bonds in the BVAL and RBA sets, and are also likely to have lower than normal expected loss rates for bondholders in the event of default.  The first point would lead to the BVAL or RBA indexes underestimating the cost of debt for regulated energy network businesses with the same credit ratings whilst the second point would lead to an overestimate.  The net effect of these two points is not known.  However, because the appropriate credit rating for regulated energy network businesses is BBB to BBB+ rather than BBB, the use of the BVAL or RBA indexes for the broad BBB group will overestimate the cost of debt for regulated energy network businesses.</w:t>
      </w:r>
    </w:p>
    <w:p w:rsidR="00732DFD" w:rsidRDefault="00732DFD" w:rsidP="00704C7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D47DD0" w:rsidRPr="008A7DF6" w:rsidRDefault="00591B25" w:rsidP="00D47DD0">
      <w:pPr>
        <w:pStyle w:val="ListParagraph"/>
        <w:spacing w:after="0" w:line="360" w:lineRule="auto"/>
        <w:ind w:left="0"/>
        <w:jc w:val="both"/>
        <w:rPr>
          <w:rFonts w:ascii="Times New Roman" w:hAnsi="Times New Roman" w:cs="Times New Roman"/>
          <w:sz w:val="24"/>
          <w:szCs w:val="24"/>
        </w:rPr>
      </w:pPr>
      <w:r w:rsidRPr="008A7DF6">
        <w:rPr>
          <w:rFonts w:ascii="Times New Roman" w:hAnsi="Times New Roman" w:cs="Times New Roman"/>
          <w:sz w:val="24"/>
          <w:szCs w:val="24"/>
        </w:rPr>
        <w:t xml:space="preserve">Seventhly, </w:t>
      </w:r>
      <w:r w:rsidR="00D3355D" w:rsidRPr="008A7DF6">
        <w:rPr>
          <w:rFonts w:ascii="Times New Roman" w:hAnsi="Times New Roman" w:cs="Times New Roman"/>
          <w:sz w:val="24"/>
          <w:szCs w:val="24"/>
        </w:rPr>
        <w:t xml:space="preserve">on the </w:t>
      </w:r>
      <w:r w:rsidR="009E7928" w:rsidRPr="008A7DF6">
        <w:rPr>
          <w:rFonts w:ascii="Times New Roman" w:hAnsi="Times New Roman" w:cs="Times New Roman"/>
          <w:sz w:val="24"/>
          <w:szCs w:val="24"/>
        </w:rPr>
        <w:t>question of whether differences in bond selection criteria for the BVAL and RBA indexes could have a material and systemat</w:t>
      </w:r>
      <w:r w:rsidR="004E129C" w:rsidRPr="008A7DF6">
        <w:rPr>
          <w:rFonts w:ascii="Times New Roman" w:hAnsi="Times New Roman" w:cs="Times New Roman"/>
          <w:sz w:val="24"/>
          <w:szCs w:val="24"/>
        </w:rPr>
        <w:t>ic effect</w:t>
      </w:r>
      <w:r w:rsidR="000B48D3" w:rsidRPr="008A7DF6">
        <w:rPr>
          <w:rFonts w:ascii="Times New Roman" w:hAnsi="Times New Roman" w:cs="Times New Roman"/>
          <w:sz w:val="24"/>
          <w:szCs w:val="24"/>
        </w:rPr>
        <w:t xml:space="preserve"> on the index results</w:t>
      </w:r>
      <w:r w:rsidR="004E129C" w:rsidRPr="008A7DF6">
        <w:rPr>
          <w:rFonts w:ascii="Times New Roman" w:hAnsi="Times New Roman" w:cs="Times New Roman"/>
          <w:sz w:val="24"/>
          <w:szCs w:val="24"/>
        </w:rPr>
        <w:t xml:space="preserve">, none of the effects arising from </w:t>
      </w:r>
      <w:r w:rsidR="000B48D3" w:rsidRPr="008A7DF6">
        <w:rPr>
          <w:rFonts w:ascii="Times New Roman" w:hAnsi="Times New Roman" w:cs="Times New Roman"/>
          <w:sz w:val="24"/>
          <w:szCs w:val="24"/>
        </w:rPr>
        <w:t xml:space="preserve">the </w:t>
      </w:r>
      <w:r w:rsidR="004E129C" w:rsidRPr="008A7DF6">
        <w:rPr>
          <w:rFonts w:ascii="Times New Roman" w:hAnsi="Times New Roman" w:cs="Times New Roman"/>
          <w:sz w:val="24"/>
          <w:szCs w:val="24"/>
        </w:rPr>
        <w:t>points of difference are clearly bo</w:t>
      </w:r>
      <w:r w:rsidR="00D47DD0" w:rsidRPr="008A7DF6">
        <w:rPr>
          <w:rFonts w:ascii="Times New Roman" w:hAnsi="Times New Roman" w:cs="Times New Roman"/>
          <w:sz w:val="24"/>
          <w:szCs w:val="24"/>
        </w:rPr>
        <w:t xml:space="preserve">th significant and systematic.  It is likely that the bonds in the RBA index have on average inferior liquidity than those in the </w:t>
      </w:r>
      <w:r w:rsidR="00D47DD0" w:rsidRPr="008A7DF6">
        <w:rPr>
          <w:rFonts w:ascii="Times New Roman" w:hAnsi="Times New Roman" w:cs="Times New Roman"/>
          <w:sz w:val="24"/>
          <w:szCs w:val="24"/>
        </w:rPr>
        <w:lastRenderedPageBreak/>
        <w:t xml:space="preserve">BVAL index, and this will exert a systematic upward effect on the RBA index, but it is not possible to determine whether this is significant.  In addition, the presence of foreign currency bonds in the RBA index may have exerted a significant impact at some points in the past.  Finally, on the question of which index better reflects the cost of debt for the efficient benchmark entity, there is no clear winner.  The inclusion of secured bonds in the RBA index will generate results that better reflect the benchmark entity (whether it has secured bonds or not).  However, by excluding bonds with embedded options, the BVAL index better reflects the benchmark entity (which should be defined as not having any such options because the regulatory process cannot allow for them).  </w:t>
      </w:r>
    </w:p>
    <w:p w:rsidR="00D47DD0" w:rsidRDefault="00D47DD0" w:rsidP="004E129C">
      <w:pPr>
        <w:pStyle w:val="ListParagraph"/>
        <w:spacing w:after="0" w:line="360" w:lineRule="auto"/>
        <w:ind w:left="0"/>
        <w:jc w:val="both"/>
        <w:rPr>
          <w:rFonts w:ascii="Times New Roman" w:hAnsi="Times New Roman" w:cs="Times New Roman"/>
          <w:sz w:val="24"/>
          <w:szCs w:val="24"/>
        </w:rPr>
      </w:pPr>
    </w:p>
    <w:p w:rsidR="004E129C" w:rsidRDefault="004E129C" w:rsidP="004E129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Eighthly, </w:t>
      </w:r>
      <w:r w:rsidR="00417038">
        <w:rPr>
          <w:rFonts w:ascii="Times New Roman" w:hAnsi="Times New Roman" w:cs="Times New Roman"/>
          <w:sz w:val="24"/>
          <w:szCs w:val="24"/>
        </w:rPr>
        <w:t>on the question of whether differenc</w:t>
      </w:r>
      <w:r w:rsidR="009555EB">
        <w:rPr>
          <w:rFonts w:ascii="Times New Roman" w:hAnsi="Times New Roman" w:cs="Times New Roman"/>
          <w:sz w:val="24"/>
          <w:szCs w:val="24"/>
        </w:rPr>
        <w:t xml:space="preserve">es in curve fitting methodology between the BVAL and RBA indexes </w:t>
      </w:r>
      <w:r w:rsidR="00417038">
        <w:rPr>
          <w:rFonts w:ascii="Times New Roman" w:hAnsi="Times New Roman" w:cs="Times New Roman"/>
          <w:sz w:val="24"/>
          <w:szCs w:val="24"/>
        </w:rPr>
        <w:t xml:space="preserve">could have a </w:t>
      </w:r>
      <w:r w:rsidR="009555EB">
        <w:rPr>
          <w:rFonts w:ascii="Times New Roman" w:hAnsi="Times New Roman" w:cs="Times New Roman"/>
          <w:sz w:val="24"/>
          <w:szCs w:val="24"/>
        </w:rPr>
        <w:t xml:space="preserve">material and systematic effect, the only clear point of distinction between the </w:t>
      </w:r>
      <w:r w:rsidR="000B48D3">
        <w:rPr>
          <w:rFonts w:ascii="Times New Roman" w:hAnsi="Times New Roman" w:cs="Times New Roman"/>
          <w:sz w:val="24"/>
          <w:szCs w:val="24"/>
        </w:rPr>
        <w:t xml:space="preserve">two indexes in this area </w:t>
      </w:r>
      <w:r w:rsidR="009555EB">
        <w:rPr>
          <w:rFonts w:ascii="Times New Roman" w:hAnsi="Times New Roman" w:cs="Times New Roman"/>
          <w:sz w:val="24"/>
          <w:szCs w:val="24"/>
        </w:rPr>
        <w:t xml:space="preserve">is that the BVAL yields are par yields whilst the RBA yields are not.  Par yields are more appropriate for the AER’s purposes but the differences </w:t>
      </w:r>
      <w:r w:rsidR="000B48D3">
        <w:rPr>
          <w:rFonts w:ascii="Times New Roman" w:hAnsi="Times New Roman" w:cs="Times New Roman"/>
          <w:sz w:val="24"/>
          <w:szCs w:val="24"/>
        </w:rPr>
        <w:t xml:space="preserve">here </w:t>
      </w:r>
      <w:r w:rsidR="009555EB">
        <w:rPr>
          <w:rFonts w:ascii="Times New Roman" w:hAnsi="Times New Roman" w:cs="Times New Roman"/>
          <w:sz w:val="24"/>
          <w:szCs w:val="24"/>
        </w:rPr>
        <w:t>are neither</w:t>
      </w:r>
      <w:r w:rsidR="00B33561">
        <w:rPr>
          <w:rFonts w:ascii="Times New Roman" w:hAnsi="Times New Roman" w:cs="Times New Roman"/>
          <w:sz w:val="24"/>
          <w:szCs w:val="24"/>
        </w:rPr>
        <w:t xml:space="preserve"> material nor systematic.</w:t>
      </w:r>
    </w:p>
    <w:p w:rsidR="00B33561" w:rsidRDefault="00B33561" w:rsidP="004E129C">
      <w:pPr>
        <w:pStyle w:val="ListParagraph"/>
        <w:spacing w:after="0" w:line="360" w:lineRule="auto"/>
        <w:ind w:left="0"/>
        <w:jc w:val="both"/>
        <w:rPr>
          <w:rFonts w:ascii="Times New Roman" w:hAnsi="Times New Roman" w:cs="Times New Roman"/>
          <w:sz w:val="24"/>
          <w:szCs w:val="24"/>
        </w:rPr>
      </w:pPr>
    </w:p>
    <w:p w:rsidR="00AF2010" w:rsidRPr="008A7DF6" w:rsidRDefault="00B33561" w:rsidP="00AF201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Finally, </w:t>
      </w:r>
      <w:r w:rsidR="00CF44E1">
        <w:rPr>
          <w:rFonts w:ascii="Times New Roman" w:hAnsi="Times New Roman" w:cs="Times New Roman"/>
          <w:sz w:val="24"/>
          <w:szCs w:val="24"/>
        </w:rPr>
        <w:t xml:space="preserve">on the question of </w:t>
      </w:r>
      <w:r w:rsidR="00B80C18">
        <w:rPr>
          <w:rFonts w:ascii="Times New Roman" w:hAnsi="Times New Roman" w:cs="Times New Roman"/>
          <w:sz w:val="24"/>
          <w:szCs w:val="24"/>
        </w:rPr>
        <w:t xml:space="preserve">how to extend the </w:t>
      </w:r>
      <w:r>
        <w:rPr>
          <w:rFonts w:ascii="Times New Roman" w:hAnsi="Times New Roman" w:cs="Times New Roman"/>
          <w:sz w:val="24"/>
          <w:szCs w:val="24"/>
        </w:rPr>
        <w:t xml:space="preserve">BVAL and RBA indexes out to </w:t>
      </w:r>
      <w:r w:rsidR="00AE050A">
        <w:rPr>
          <w:rFonts w:ascii="Times New Roman" w:hAnsi="Times New Roman" w:cs="Times New Roman"/>
          <w:sz w:val="24"/>
          <w:szCs w:val="24"/>
        </w:rPr>
        <w:t xml:space="preserve">ten years, both indexes require extension </w:t>
      </w:r>
      <w:r w:rsidR="00CF44E1">
        <w:rPr>
          <w:rFonts w:ascii="Times New Roman" w:hAnsi="Times New Roman" w:cs="Times New Roman"/>
          <w:sz w:val="24"/>
          <w:szCs w:val="24"/>
        </w:rPr>
        <w:t xml:space="preserve">out to ten years, the BVAL </w:t>
      </w:r>
      <w:r w:rsidR="00AE050A">
        <w:rPr>
          <w:rFonts w:ascii="Times New Roman" w:hAnsi="Times New Roman" w:cs="Times New Roman"/>
          <w:sz w:val="24"/>
          <w:szCs w:val="24"/>
        </w:rPr>
        <w:t xml:space="preserve">because the longest tenor is seven years and the </w:t>
      </w:r>
      <w:r w:rsidR="00CF44E1">
        <w:rPr>
          <w:rFonts w:ascii="Times New Roman" w:hAnsi="Times New Roman" w:cs="Times New Roman"/>
          <w:sz w:val="24"/>
          <w:szCs w:val="24"/>
        </w:rPr>
        <w:t xml:space="preserve">RBA </w:t>
      </w:r>
      <w:r w:rsidR="00AE050A">
        <w:rPr>
          <w:rFonts w:ascii="Times New Roman" w:hAnsi="Times New Roman" w:cs="Times New Roman"/>
          <w:sz w:val="24"/>
          <w:szCs w:val="24"/>
        </w:rPr>
        <w:t xml:space="preserve">because the </w:t>
      </w:r>
      <w:r w:rsidR="00AF2010">
        <w:rPr>
          <w:rFonts w:ascii="Times New Roman" w:hAnsi="Times New Roman" w:cs="Times New Roman"/>
          <w:sz w:val="24"/>
          <w:szCs w:val="24"/>
        </w:rPr>
        <w:t xml:space="preserve">effective tenor of the bonds used for the ten-year term is generally less than ten years (and has averaged 8.7 years since its inception).  The components requiring extension are the base rate and the DRP, </w:t>
      </w:r>
      <w:r w:rsidR="00AF2010" w:rsidRPr="005248C9">
        <w:rPr>
          <w:rFonts w:ascii="Times New Roman" w:hAnsi="Times New Roman" w:cs="Times New Roman"/>
          <w:sz w:val="24"/>
          <w:szCs w:val="24"/>
        </w:rPr>
        <w:t>although the RBA performs the base rate extension itself.</w:t>
      </w:r>
      <w:r w:rsidR="00AF2010" w:rsidRPr="00AF2010">
        <w:rPr>
          <w:rFonts w:ascii="Times New Roman" w:hAnsi="Times New Roman" w:cs="Times New Roman"/>
          <w:sz w:val="24"/>
          <w:szCs w:val="24"/>
        </w:rPr>
        <w:t xml:space="preserve">  The </w:t>
      </w:r>
      <w:r w:rsidR="00AF2010" w:rsidRPr="008A7DF6">
        <w:rPr>
          <w:rFonts w:ascii="Times New Roman" w:hAnsi="Times New Roman" w:cs="Times New Roman"/>
          <w:sz w:val="24"/>
          <w:szCs w:val="24"/>
        </w:rPr>
        <w:t xml:space="preserve">CGS is marginally preferred over the swap rate as the base rate although the results are almost identical in either approach.  The CGS can be extended using RBA data on bonds with maturity dates shortly before and after the relevant points in time.  In respect of the DRP, the required extension term for the RBA index is only 1.3 years on average (from 8.7 to 10 years), and this favours the simplest technique, which is linear extrapolation using the DRP data for the effective tenors for both the ‘seven’ and ‘ten’ year values.  In respect of the BVAL, linear extrapolation is no longer clearly favoured because the extension period is now three years (from seven to ten years) rather than only 1.3 years.  The available evidence suggests that the best method is use of the RBA data for the effective tenors for both the ‘seven’ and ‘ten’ year values.  Since these extension procedures are feasible, and would likely lead to different margins over the course of a five-year regulatory period, there is no case for adopting a fixed margin for the five-year </w:t>
      </w:r>
      <w:r w:rsidR="00AF2010">
        <w:rPr>
          <w:rFonts w:ascii="Times New Roman" w:hAnsi="Times New Roman" w:cs="Times New Roman"/>
          <w:sz w:val="24"/>
          <w:szCs w:val="24"/>
        </w:rPr>
        <w:t xml:space="preserve">regulatory </w:t>
      </w:r>
      <w:r w:rsidR="00AF2010" w:rsidRPr="008A7DF6">
        <w:rPr>
          <w:rFonts w:ascii="Times New Roman" w:hAnsi="Times New Roman" w:cs="Times New Roman"/>
          <w:sz w:val="24"/>
          <w:szCs w:val="24"/>
        </w:rPr>
        <w:t>period.</w:t>
      </w:r>
    </w:p>
    <w:p w:rsidR="00704C76" w:rsidRPr="00C01D64" w:rsidRDefault="00704C76" w:rsidP="00704C76">
      <w:pPr>
        <w:pStyle w:val="ListParagraph"/>
        <w:tabs>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360" w:lineRule="auto"/>
        <w:ind w:left="0"/>
        <w:jc w:val="both"/>
        <w:rPr>
          <w:rFonts w:ascii="Times New Roman" w:hAnsi="Times New Roman" w:cs="Times New Roman"/>
          <w:sz w:val="24"/>
          <w:szCs w:val="24"/>
        </w:rPr>
      </w:pPr>
    </w:p>
    <w:p w:rsidR="002B46E9" w:rsidRDefault="002B46E9" w:rsidP="009A603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APPENDIX</w:t>
      </w:r>
      <w:r w:rsidR="00F42DFA">
        <w:rPr>
          <w:rFonts w:ascii="Times New Roman" w:hAnsi="Times New Roman" w:cs="Times New Roman"/>
          <w:b/>
          <w:sz w:val="24"/>
          <w:szCs w:val="24"/>
        </w:rPr>
        <w:t>: Terms of Reference</w:t>
      </w:r>
    </w:p>
    <w:p w:rsidR="00826FBD" w:rsidRDefault="00826FBD" w:rsidP="00826FBD">
      <w:pPr>
        <w:spacing w:before="100" w:beforeAutospacing="1" w:after="120"/>
        <w:rPr>
          <w:rFonts w:ascii="Times New Roman" w:hAnsi="Times New Roman"/>
          <w:snapToGrid w:val="0"/>
          <w:color w:val="000000"/>
          <w:szCs w:val="24"/>
          <w:lang w:val="en-AU"/>
        </w:rPr>
      </w:pPr>
      <w:r>
        <w:rPr>
          <w:rFonts w:ascii="Times New Roman" w:hAnsi="Times New Roman"/>
          <w:snapToGrid w:val="0"/>
          <w:color w:val="000000"/>
          <w:szCs w:val="24"/>
          <w:lang w:val="en-AU"/>
        </w:rPr>
        <w:t>Your advice should refer to the relevant sections of the key documents, as well as any other relevant material. In the context of the AER’s rate of return framework, advice is sought on the following matters:</w:t>
      </w:r>
    </w:p>
    <w:p w:rsidR="00826FBD" w:rsidRDefault="00826FBD" w:rsidP="00826FBD">
      <w:pPr>
        <w:spacing w:before="100" w:beforeAutospacing="1" w:after="120"/>
        <w:rPr>
          <w:rFonts w:ascii="Times New Roman" w:hAnsi="Times New Roman"/>
          <w:i/>
          <w:snapToGrid w:val="0"/>
          <w:color w:val="000000"/>
          <w:szCs w:val="24"/>
          <w:lang w:val="en-GB"/>
        </w:rPr>
      </w:pPr>
      <w:r>
        <w:rPr>
          <w:rFonts w:ascii="Times New Roman" w:hAnsi="Times New Roman"/>
          <w:i/>
          <w:snapToGrid w:val="0"/>
          <w:color w:val="000000"/>
          <w:szCs w:val="24"/>
        </w:rPr>
        <w:t>Choice of third party data service provider</w:t>
      </w:r>
    </w:p>
    <w:p w:rsidR="00826FBD" w:rsidRDefault="00826FBD" w:rsidP="00826FBD">
      <w:pPr>
        <w:numPr>
          <w:ilvl w:val="0"/>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Recommend a debt data series published by an independent third party data service provider, for the AER’s purposes, between the following options: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Adopting the Bloomberg Valuation Service (BVAL) BBB-rated corporate debt yield curve (the Bloomberg data series)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Adopting the RBA BBB-rated Australian non-financial corporation debt yield curve (the RBA data series)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Adopting a simple average of the Bloomberg and RBA data series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Adopting a complex average of the Bloomberg and RBA data series, or</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Adopting an alternative debt data series published by an independent third party data service provider, or combination of series, the consultant considers relevant.</w:t>
      </w:r>
    </w:p>
    <w:p w:rsidR="00826FBD" w:rsidRDefault="00826FBD" w:rsidP="00826FBD">
      <w:pPr>
        <w:spacing w:before="100" w:beforeAutospacing="1" w:after="120"/>
        <w:ind w:left="709"/>
        <w:rPr>
          <w:rFonts w:ascii="Times New Roman" w:hAnsi="Times New Roman"/>
          <w:snapToGrid w:val="0"/>
          <w:color w:val="000000"/>
          <w:szCs w:val="24"/>
          <w:lang w:val="en-AU"/>
        </w:rPr>
      </w:pPr>
      <w:r>
        <w:rPr>
          <w:rFonts w:ascii="Times New Roman" w:hAnsi="Times New Roman"/>
          <w:snapToGrid w:val="0"/>
          <w:color w:val="000000"/>
          <w:szCs w:val="24"/>
          <w:lang w:val="en-AU"/>
        </w:rPr>
        <w:t>If:</w:t>
      </w:r>
    </w:p>
    <w:p w:rsidR="00826FBD" w:rsidRDefault="00826FBD" w:rsidP="00826FBD">
      <w:pPr>
        <w:numPr>
          <w:ilvl w:val="1"/>
          <w:numId w:val="22"/>
        </w:numPr>
        <w:spacing w:before="100" w:beforeAutospacing="1" w:after="120" w:line="240" w:lineRule="auto"/>
        <w:rPr>
          <w:rFonts w:ascii="Times New Roman" w:hAnsi="Times New Roman"/>
          <w:snapToGrid w:val="0"/>
          <w:color w:val="000000"/>
          <w:szCs w:val="24"/>
          <w:lang w:val="en-GB"/>
        </w:rPr>
      </w:pPr>
      <w:r>
        <w:rPr>
          <w:rFonts w:ascii="Times New Roman" w:hAnsi="Times New Roman"/>
          <w:snapToGrid w:val="0"/>
          <w:color w:val="000000"/>
          <w:szCs w:val="24"/>
          <w:lang w:val="en-AU"/>
        </w:rPr>
        <w:t>Recommending sole use of either data series, explain why this is preferable to a simple or complex average of both series</w:t>
      </w:r>
    </w:p>
    <w:p w:rsidR="00826FBD" w:rsidRDefault="00826FBD" w:rsidP="00826FBD">
      <w:pPr>
        <w:numPr>
          <w:ilvl w:val="1"/>
          <w:numId w:val="22"/>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Recommending a simple average of both data series, explain why this is preferable to either adopting the sole use of either series or a complex average</w:t>
      </w:r>
    </w:p>
    <w:p w:rsidR="00826FBD" w:rsidRDefault="00826FBD" w:rsidP="00826FBD">
      <w:pPr>
        <w:numPr>
          <w:ilvl w:val="1"/>
          <w:numId w:val="22"/>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lang w:val="en-AU"/>
        </w:rPr>
        <w:t xml:space="preserve">Recommending a complex average, explain how the weights for each data series would be determined, determine those weights, and explain why this complex average is preferable to either adopting the sole use of either series, a simple average, or other potential complex averages. </w:t>
      </w:r>
    </w:p>
    <w:p w:rsidR="00826FBD" w:rsidRDefault="00826FBD" w:rsidP="00826FBD">
      <w:pPr>
        <w:spacing w:before="100" w:beforeAutospacing="1" w:after="120"/>
        <w:ind w:left="709"/>
        <w:rPr>
          <w:rFonts w:ascii="Times New Roman" w:hAnsi="Times New Roman"/>
          <w:snapToGrid w:val="0"/>
          <w:color w:val="000000"/>
          <w:szCs w:val="24"/>
          <w:lang w:val="en-AU"/>
        </w:rPr>
      </w:pPr>
      <w:r>
        <w:rPr>
          <w:rFonts w:ascii="Times New Roman" w:hAnsi="Times New Roman"/>
          <w:snapToGrid w:val="0"/>
          <w:color w:val="000000"/>
          <w:szCs w:val="24"/>
          <w:lang w:val="en-AU"/>
        </w:rPr>
        <w:t>In answering the above question, take into account your answers to the following questions and any other considerations the consultant considers relevant.</w:t>
      </w:r>
    </w:p>
    <w:p w:rsidR="00826FBD" w:rsidRDefault="00826FBD" w:rsidP="00826FBD">
      <w:pPr>
        <w:spacing w:before="100" w:beforeAutospacing="1" w:after="120"/>
        <w:rPr>
          <w:rFonts w:ascii="Times New Roman" w:hAnsi="Times New Roman"/>
          <w:i/>
          <w:snapToGrid w:val="0"/>
          <w:color w:val="000000"/>
          <w:szCs w:val="24"/>
          <w:lang w:val="en-GB"/>
        </w:rPr>
      </w:pPr>
      <w:r>
        <w:rPr>
          <w:rFonts w:ascii="Times New Roman" w:hAnsi="Times New Roman"/>
          <w:i/>
          <w:snapToGrid w:val="0"/>
          <w:color w:val="000000"/>
          <w:szCs w:val="24"/>
        </w:rPr>
        <w:t>Use of bond data</w:t>
      </w:r>
    </w:p>
    <w:p w:rsidR="00826FBD" w:rsidRDefault="00826FBD" w:rsidP="00826FBD">
      <w:pPr>
        <w:numPr>
          <w:ilvl w:val="0"/>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In relation to the use of bond yield data (only) for determining the return on debt of a benchmark efficient entity:</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Advise on the efficient financing instrument or mix of financing instruments that would be used by a benchmark efficient entity which is a regulated energy network business operating within Australia (e.g. between bank debt, Australian issued bonds, foreign issued bonds, variants of these instruments and other potential financial instruments)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Would the efficient choice of this instrument or efficient mix of instruments change over time? If so, what factors influence this choice?</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 xml:space="preserve">In considering the options in question (1) which are restricted to bond yield data series, based on your answer to questions (2a) and (2b), would a return on debt that is based only on a bond data series be likely to systematically undercompensate, </w:t>
      </w:r>
      <w:r>
        <w:rPr>
          <w:rFonts w:ascii="Times New Roman" w:hAnsi="Times New Roman"/>
          <w:snapToGrid w:val="0"/>
          <w:color w:val="000000"/>
          <w:szCs w:val="24"/>
        </w:rPr>
        <w:lastRenderedPageBreak/>
        <w:t>overcompensate or fairly compensate the efficient financing costs of a benchmark efficient entity?</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Does your answer to (2c) differ depending on whether the Bloomberg data series, RBA data series, or some average of the two, is adopted?</w:t>
      </w:r>
    </w:p>
    <w:p w:rsidR="00826FBD" w:rsidRDefault="00826FBD" w:rsidP="00826FBD">
      <w:pPr>
        <w:keepNext/>
        <w:spacing w:before="100" w:beforeAutospacing="1" w:after="120"/>
        <w:rPr>
          <w:rFonts w:ascii="Times New Roman" w:hAnsi="Times New Roman"/>
          <w:i/>
          <w:snapToGrid w:val="0"/>
          <w:color w:val="000000"/>
          <w:szCs w:val="24"/>
        </w:rPr>
      </w:pPr>
      <w:r>
        <w:rPr>
          <w:rFonts w:ascii="Times New Roman" w:hAnsi="Times New Roman"/>
          <w:i/>
          <w:snapToGrid w:val="0"/>
          <w:color w:val="000000"/>
          <w:szCs w:val="24"/>
        </w:rPr>
        <w:t>Credit ratings</w:t>
      </w:r>
    </w:p>
    <w:p w:rsidR="00826FBD" w:rsidRDefault="00826FBD" w:rsidP="00826FBD">
      <w:pPr>
        <w:numPr>
          <w:ilvl w:val="0"/>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In relation to the use of credit ratings (and tenors) for determining the return on debt:</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Advise on whether a BBB+ credit rating is an appropriate benchmark for the benchmark efficient entity, including whether this rating is appropriate for both regulated electricity networks and regulated gas pipelines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What risks are priced into the return on debt and how well do credit ratings (and tenors) fully reflect this risk of debt for the benchmark efficient entity?</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In considering the options in question (1) which are restricted to debt data series that are principally defined based on credit rating and term, based on your answer to questions (3a) and (3b), would a return on debt that is based on a debt data series principally defined based on a broad BBB rated credit rating (and long debt tenor) be likely to systematically undercompensate, overcompensate or fairly compensate the efficient financing costs of a benchmark efficient entity?</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Does your answer to (3c) differ depending on whether the Bloomberg data series, RBA data series, or some average of the two, is adopted?</w:t>
      </w:r>
    </w:p>
    <w:p w:rsidR="00826FBD" w:rsidRDefault="00826FBD" w:rsidP="00826FBD">
      <w:pPr>
        <w:spacing w:before="100" w:beforeAutospacing="1" w:after="120"/>
        <w:rPr>
          <w:rFonts w:ascii="Times New Roman" w:hAnsi="Times New Roman"/>
          <w:i/>
          <w:snapToGrid w:val="0"/>
          <w:color w:val="000000"/>
          <w:szCs w:val="24"/>
        </w:rPr>
      </w:pPr>
      <w:r>
        <w:rPr>
          <w:rFonts w:ascii="Times New Roman" w:hAnsi="Times New Roman"/>
          <w:i/>
          <w:snapToGrid w:val="0"/>
          <w:color w:val="000000"/>
          <w:szCs w:val="24"/>
        </w:rPr>
        <w:t>Bond selection criteria and data filtering</w:t>
      </w:r>
    </w:p>
    <w:p w:rsidR="00826FBD" w:rsidRDefault="00826FBD" w:rsidP="00826FBD">
      <w:pPr>
        <w:numPr>
          <w:ilvl w:val="0"/>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Bloomberg and the RBA adopt bond selection criteria and data filtering processes which have similarities and differences. In relation to these similarities and differences: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Advise on whether the different criteria and processes are likely to lead to a materially and systematically different outcome?</w:t>
      </w:r>
    </w:p>
    <w:p w:rsidR="00826FBD" w:rsidRDefault="00826FBD" w:rsidP="00826FBD">
      <w:pPr>
        <w:numPr>
          <w:ilvl w:val="1"/>
          <w:numId w:val="21"/>
        </w:numPr>
        <w:spacing w:before="100" w:beforeAutospacing="1" w:after="120" w:line="240" w:lineRule="auto"/>
        <w:ind w:left="1434" w:hanging="357"/>
        <w:rPr>
          <w:rFonts w:ascii="Times New Roman" w:hAnsi="Times New Roman"/>
          <w:snapToGrid w:val="0"/>
          <w:color w:val="000000"/>
          <w:szCs w:val="24"/>
        </w:rPr>
      </w:pPr>
      <w:r>
        <w:rPr>
          <w:rFonts w:ascii="Times New Roman" w:hAnsi="Times New Roman"/>
          <w:snapToGrid w:val="0"/>
          <w:color w:val="000000"/>
          <w:szCs w:val="24"/>
        </w:rPr>
        <w:t>If your answer to question (4a) is yes:</w:t>
      </w:r>
    </w:p>
    <w:p w:rsidR="00826FBD" w:rsidRDefault="00826FBD" w:rsidP="00826FBD">
      <w:pPr>
        <w:numPr>
          <w:ilvl w:val="2"/>
          <w:numId w:val="21"/>
        </w:numPr>
        <w:spacing w:before="100" w:beforeAutospacing="1" w:after="120" w:line="240" w:lineRule="auto"/>
        <w:ind w:hanging="181"/>
        <w:rPr>
          <w:rFonts w:ascii="Times New Roman" w:hAnsi="Times New Roman"/>
          <w:snapToGrid w:val="0"/>
          <w:color w:val="000000"/>
          <w:szCs w:val="24"/>
        </w:rPr>
      </w:pPr>
      <w:r>
        <w:rPr>
          <w:rFonts w:ascii="Times New Roman" w:hAnsi="Times New Roman"/>
          <w:snapToGrid w:val="0"/>
          <w:color w:val="000000"/>
          <w:szCs w:val="24"/>
        </w:rPr>
        <w:t>Do these differences explain the different observed outcomes of the Bloomberg and RBA data series</w:t>
      </w:r>
    </w:p>
    <w:p w:rsidR="00826FBD" w:rsidRDefault="00826FBD" w:rsidP="00826FBD">
      <w:pPr>
        <w:numPr>
          <w:ilvl w:val="2"/>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Which better reflect the return on debt of the benchmark efficient entity?</w:t>
      </w:r>
    </w:p>
    <w:p w:rsidR="00826FBD" w:rsidRDefault="00826FBD" w:rsidP="00826FBD">
      <w:pPr>
        <w:spacing w:before="100" w:beforeAutospacing="1" w:after="120"/>
        <w:ind w:left="709"/>
        <w:rPr>
          <w:rFonts w:ascii="Times New Roman" w:hAnsi="Times New Roman"/>
          <w:snapToGrid w:val="0"/>
          <w:color w:val="000000"/>
          <w:szCs w:val="24"/>
        </w:rPr>
      </w:pPr>
      <w:r>
        <w:rPr>
          <w:rFonts w:ascii="Times New Roman" w:hAnsi="Times New Roman"/>
          <w:snapToGrid w:val="0"/>
          <w:color w:val="000000"/>
          <w:szCs w:val="24"/>
        </w:rPr>
        <w:t>In answering question (4), the consultant is to review, among other elements:</w:t>
      </w:r>
    </w:p>
    <w:p w:rsidR="00826FBD" w:rsidRDefault="00826FBD" w:rsidP="00826FBD">
      <w:pPr>
        <w:numPr>
          <w:ilvl w:val="0"/>
          <w:numId w:val="23"/>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The differences in the risk characteristics of bonds issued by financial corporations vs. non-financial corporations</w:t>
      </w:r>
    </w:p>
    <w:p w:rsidR="00826FBD" w:rsidRDefault="00826FBD" w:rsidP="00826FBD">
      <w:pPr>
        <w:numPr>
          <w:ilvl w:val="0"/>
          <w:numId w:val="23"/>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The differences in the risk characteristics of Australian issued bonds vs. foreign issued bonds</w:t>
      </w:r>
    </w:p>
    <w:p w:rsidR="00826FBD" w:rsidRDefault="00826FBD" w:rsidP="00826FBD">
      <w:pPr>
        <w:numPr>
          <w:ilvl w:val="0"/>
          <w:numId w:val="23"/>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The differences in the risk characteristics of secured vs. unsecured bonds</w:t>
      </w:r>
    </w:p>
    <w:p w:rsidR="00826FBD" w:rsidRDefault="00826FBD" w:rsidP="00826FBD">
      <w:pPr>
        <w:numPr>
          <w:ilvl w:val="0"/>
          <w:numId w:val="23"/>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The differences in the risk characteristics of subordinated vs. senior bonds</w:t>
      </w:r>
    </w:p>
    <w:p w:rsidR="00826FBD" w:rsidRDefault="00826FBD" w:rsidP="00826FBD">
      <w:pPr>
        <w:numPr>
          <w:ilvl w:val="0"/>
          <w:numId w:val="23"/>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The differences in the risk characteristics of bonds with embedded options vs. bonds with no non-standard features</w:t>
      </w:r>
    </w:p>
    <w:p w:rsidR="00826FBD" w:rsidRDefault="00826FBD" w:rsidP="00826FBD">
      <w:pPr>
        <w:spacing w:before="100" w:beforeAutospacing="1" w:after="120"/>
        <w:rPr>
          <w:rFonts w:ascii="Times New Roman" w:hAnsi="Times New Roman"/>
          <w:i/>
          <w:snapToGrid w:val="0"/>
          <w:color w:val="000000"/>
          <w:szCs w:val="24"/>
        </w:rPr>
      </w:pPr>
      <w:r>
        <w:rPr>
          <w:rFonts w:ascii="Times New Roman" w:hAnsi="Times New Roman"/>
          <w:i/>
          <w:snapToGrid w:val="0"/>
          <w:color w:val="000000"/>
          <w:szCs w:val="24"/>
        </w:rPr>
        <w:t>Curve fitting methodology</w:t>
      </w:r>
    </w:p>
    <w:p w:rsidR="00826FBD" w:rsidRDefault="00826FBD" w:rsidP="00826FBD">
      <w:pPr>
        <w:numPr>
          <w:ilvl w:val="0"/>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lastRenderedPageBreak/>
        <w:t>Bloomberg and the RBA adopt different curve fitting methodologies. In relation to these similarities and differences:</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Advise on whether the different methodologies are likely to lead to a materially and systematically different outcome?</w:t>
      </w:r>
    </w:p>
    <w:p w:rsidR="00826FBD" w:rsidRDefault="00826FBD" w:rsidP="00826FBD">
      <w:pPr>
        <w:numPr>
          <w:ilvl w:val="1"/>
          <w:numId w:val="21"/>
        </w:numPr>
        <w:spacing w:before="100" w:beforeAutospacing="1" w:after="120" w:line="240" w:lineRule="auto"/>
        <w:ind w:left="1434" w:hanging="357"/>
        <w:rPr>
          <w:rFonts w:ascii="Times New Roman" w:hAnsi="Times New Roman"/>
          <w:snapToGrid w:val="0"/>
          <w:color w:val="000000"/>
          <w:szCs w:val="24"/>
        </w:rPr>
      </w:pPr>
      <w:r>
        <w:rPr>
          <w:rFonts w:ascii="Times New Roman" w:hAnsi="Times New Roman"/>
          <w:snapToGrid w:val="0"/>
          <w:color w:val="000000"/>
          <w:szCs w:val="24"/>
        </w:rPr>
        <w:t>If your answer to question (5a) is yes:</w:t>
      </w:r>
    </w:p>
    <w:p w:rsidR="00826FBD" w:rsidRDefault="00826FBD" w:rsidP="00826FBD">
      <w:pPr>
        <w:numPr>
          <w:ilvl w:val="2"/>
          <w:numId w:val="21"/>
        </w:numPr>
        <w:spacing w:before="100" w:beforeAutospacing="1" w:after="120" w:line="240" w:lineRule="auto"/>
        <w:ind w:hanging="181"/>
        <w:rPr>
          <w:rFonts w:ascii="Times New Roman" w:hAnsi="Times New Roman"/>
          <w:snapToGrid w:val="0"/>
          <w:color w:val="000000"/>
          <w:szCs w:val="24"/>
        </w:rPr>
      </w:pPr>
      <w:r>
        <w:rPr>
          <w:rFonts w:ascii="Times New Roman" w:hAnsi="Times New Roman"/>
          <w:snapToGrid w:val="0"/>
          <w:color w:val="000000"/>
          <w:szCs w:val="24"/>
        </w:rPr>
        <w:t>Does this difference explain the different observed outcomes of the Bloomberg and RBA data series</w:t>
      </w:r>
    </w:p>
    <w:p w:rsidR="00826FBD" w:rsidRDefault="00826FBD" w:rsidP="00826FBD">
      <w:pPr>
        <w:numPr>
          <w:ilvl w:val="2"/>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Which better reflect the return on debt of the benchmark efficient entity?</w:t>
      </w:r>
    </w:p>
    <w:p w:rsidR="00826FBD" w:rsidRDefault="00826FBD" w:rsidP="00826FBD">
      <w:pPr>
        <w:spacing w:before="100" w:beforeAutospacing="1" w:after="120"/>
        <w:ind w:left="709"/>
        <w:rPr>
          <w:rFonts w:ascii="Times New Roman" w:hAnsi="Times New Roman"/>
          <w:snapToGrid w:val="0"/>
          <w:color w:val="000000"/>
          <w:szCs w:val="24"/>
        </w:rPr>
      </w:pPr>
      <w:r>
        <w:rPr>
          <w:rFonts w:ascii="Times New Roman" w:hAnsi="Times New Roman"/>
          <w:snapToGrid w:val="0"/>
          <w:color w:val="000000"/>
          <w:szCs w:val="24"/>
        </w:rPr>
        <w:t>In answering question (5), the consultant is to review, among other elements:</w:t>
      </w:r>
    </w:p>
    <w:p w:rsidR="00826FBD" w:rsidRDefault="00826FBD" w:rsidP="00826FBD">
      <w:pPr>
        <w:numPr>
          <w:ilvl w:val="0"/>
          <w:numId w:val="23"/>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The difference in the properties of a par yield curve vs. a curve resulting from the averaging of credit spreads</w:t>
      </w:r>
    </w:p>
    <w:p w:rsidR="00826FBD" w:rsidRDefault="00826FBD" w:rsidP="00826FBD">
      <w:pPr>
        <w:spacing w:before="100" w:beforeAutospacing="1" w:after="120"/>
        <w:rPr>
          <w:rFonts w:ascii="Times New Roman" w:hAnsi="Times New Roman"/>
          <w:i/>
          <w:snapToGrid w:val="0"/>
          <w:color w:val="000000"/>
          <w:szCs w:val="24"/>
        </w:rPr>
      </w:pPr>
      <w:r>
        <w:rPr>
          <w:rFonts w:ascii="Times New Roman" w:hAnsi="Times New Roman"/>
          <w:i/>
          <w:snapToGrid w:val="0"/>
          <w:color w:val="000000"/>
          <w:szCs w:val="24"/>
        </w:rPr>
        <w:t>Curve extrapolation</w:t>
      </w:r>
    </w:p>
    <w:p w:rsidR="00826FBD" w:rsidRDefault="00826FBD" w:rsidP="00826FBD">
      <w:pPr>
        <w:numPr>
          <w:ilvl w:val="0"/>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In the guideline, the AER proposed a benchmark debt term of 10 years. However, the Bloomberg data series is currently available only up until the 7 year mark. Further, CEG, Esquant and REU have identified problems with the RBA data series at the 10 year mark due to the choice of averaging methodology and the asymmetric distribution of long dated bonds.</w:t>
      </w:r>
    </w:p>
    <w:p w:rsidR="00826FBD" w:rsidRDefault="00826FBD" w:rsidP="00826FBD">
      <w:pPr>
        <w:spacing w:before="100" w:beforeAutospacing="1" w:after="120"/>
        <w:ind w:left="709"/>
        <w:rPr>
          <w:rFonts w:ascii="Times New Roman" w:hAnsi="Times New Roman"/>
          <w:snapToGrid w:val="0"/>
          <w:color w:val="000000"/>
          <w:szCs w:val="24"/>
        </w:rPr>
      </w:pPr>
      <w:r>
        <w:rPr>
          <w:rFonts w:ascii="Times New Roman" w:hAnsi="Times New Roman"/>
          <w:snapToGrid w:val="0"/>
          <w:color w:val="000000"/>
          <w:szCs w:val="24"/>
        </w:rPr>
        <w:t>Further, under the rules, the annual updating of the return on debt must occur through an ‘automatic application of a formula’ that is specified in the regulatory determination.</w:t>
      </w:r>
    </w:p>
    <w:p w:rsidR="00826FBD" w:rsidRDefault="00826FBD" w:rsidP="00826FBD">
      <w:pPr>
        <w:spacing w:before="100" w:beforeAutospacing="1" w:after="120"/>
        <w:ind w:left="709"/>
        <w:rPr>
          <w:rFonts w:ascii="Times New Roman" w:hAnsi="Times New Roman"/>
          <w:snapToGrid w:val="0"/>
          <w:color w:val="000000"/>
          <w:szCs w:val="24"/>
        </w:rPr>
      </w:pPr>
      <w:r>
        <w:rPr>
          <w:rFonts w:ascii="Times New Roman" w:hAnsi="Times New Roman"/>
          <w:snapToGrid w:val="0"/>
          <w:color w:val="000000"/>
          <w:szCs w:val="24"/>
        </w:rPr>
        <w:t>In this context</w:t>
      </w:r>
    </w:p>
    <w:p w:rsidR="00826FBD" w:rsidRDefault="00826FBD" w:rsidP="00826FBD">
      <w:pPr>
        <w:numPr>
          <w:ilvl w:val="1"/>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Is it reasonable to adopt the RBA 7 year data series and/or Bloomberg 7 year data series and add a ‘fixed margin’ to extrapolate either/both series out to 10 years, where the margin would be fixed for the five years of the regulatory period?</w:t>
      </w:r>
    </w:p>
    <w:p w:rsidR="00826FBD" w:rsidRDefault="00826FBD" w:rsidP="00826FBD">
      <w:pPr>
        <w:numPr>
          <w:ilvl w:val="1"/>
          <w:numId w:val="21"/>
        </w:numPr>
        <w:spacing w:before="100" w:beforeAutospacing="1" w:after="120" w:line="240" w:lineRule="auto"/>
        <w:ind w:left="1434" w:hanging="357"/>
        <w:rPr>
          <w:rFonts w:ascii="Times New Roman" w:hAnsi="Times New Roman"/>
          <w:snapToGrid w:val="0"/>
          <w:color w:val="000000"/>
          <w:szCs w:val="24"/>
        </w:rPr>
      </w:pPr>
      <w:r>
        <w:rPr>
          <w:rFonts w:ascii="Times New Roman" w:hAnsi="Times New Roman"/>
          <w:snapToGrid w:val="0"/>
          <w:color w:val="000000"/>
          <w:szCs w:val="24"/>
        </w:rPr>
        <w:t>If yes:</w:t>
      </w:r>
    </w:p>
    <w:p w:rsidR="00826FBD" w:rsidRDefault="00826FBD" w:rsidP="00826FBD">
      <w:pPr>
        <w:numPr>
          <w:ilvl w:val="2"/>
          <w:numId w:val="21"/>
        </w:numPr>
        <w:spacing w:before="100" w:beforeAutospacing="1" w:after="120" w:line="240" w:lineRule="auto"/>
        <w:ind w:hanging="181"/>
        <w:rPr>
          <w:rFonts w:ascii="Times New Roman" w:hAnsi="Times New Roman"/>
          <w:snapToGrid w:val="0"/>
          <w:color w:val="000000"/>
          <w:szCs w:val="24"/>
        </w:rPr>
      </w:pPr>
      <w:r>
        <w:rPr>
          <w:rFonts w:ascii="Times New Roman" w:hAnsi="Times New Roman"/>
          <w:snapToGrid w:val="0"/>
          <w:color w:val="000000"/>
          <w:szCs w:val="24"/>
        </w:rPr>
        <w:t>Advise on a methodology to determine that fixed margin, and</w:t>
      </w:r>
    </w:p>
    <w:p w:rsidR="00826FBD" w:rsidRDefault="00826FBD" w:rsidP="00826FBD">
      <w:pPr>
        <w:numPr>
          <w:ilvl w:val="2"/>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Estimate that fixed margin</w:t>
      </w:r>
    </w:p>
    <w:p w:rsidR="00826FBD" w:rsidRDefault="00826FBD" w:rsidP="00826FBD">
      <w:pPr>
        <w:numPr>
          <w:ilvl w:val="1"/>
          <w:numId w:val="21"/>
        </w:numPr>
        <w:spacing w:before="100" w:beforeAutospacing="1" w:after="120" w:line="240" w:lineRule="auto"/>
        <w:ind w:left="1434" w:hanging="357"/>
        <w:rPr>
          <w:rFonts w:ascii="Times New Roman" w:hAnsi="Times New Roman"/>
          <w:snapToGrid w:val="0"/>
          <w:color w:val="000000"/>
          <w:szCs w:val="24"/>
        </w:rPr>
      </w:pPr>
      <w:r>
        <w:rPr>
          <w:rFonts w:ascii="Times New Roman" w:hAnsi="Times New Roman"/>
          <w:snapToGrid w:val="0"/>
          <w:color w:val="000000"/>
          <w:szCs w:val="24"/>
        </w:rPr>
        <w:t>If no:</w:t>
      </w:r>
    </w:p>
    <w:p w:rsidR="00826FBD" w:rsidRDefault="00826FBD" w:rsidP="00826FBD">
      <w:pPr>
        <w:numPr>
          <w:ilvl w:val="2"/>
          <w:numId w:val="21"/>
        </w:numPr>
        <w:spacing w:before="100" w:beforeAutospacing="1" w:after="120" w:line="240" w:lineRule="auto"/>
        <w:rPr>
          <w:rFonts w:ascii="Times New Roman" w:hAnsi="Times New Roman"/>
          <w:snapToGrid w:val="0"/>
          <w:color w:val="000000"/>
          <w:szCs w:val="24"/>
        </w:rPr>
      </w:pPr>
      <w:r>
        <w:rPr>
          <w:rFonts w:ascii="Times New Roman" w:hAnsi="Times New Roman"/>
          <w:snapToGrid w:val="0"/>
          <w:color w:val="000000"/>
          <w:szCs w:val="24"/>
        </w:rPr>
        <w:t>Advise on an alternative methodology to extrapolate the Bloomberg and/or RBA data series in order to estimate a 10 year return on debt</w:t>
      </w:r>
    </w:p>
    <w:p w:rsidR="002B46E9" w:rsidRPr="002B46E9" w:rsidRDefault="002B46E9" w:rsidP="009A6030">
      <w:pPr>
        <w:pStyle w:val="ListParagraph"/>
        <w:spacing w:after="0" w:line="360" w:lineRule="auto"/>
        <w:ind w:left="0"/>
        <w:jc w:val="both"/>
        <w:rPr>
          <w:rFonts w:ascii="Times New Roman" w:hAnsi="Times New Roman" w:cs="Times New Roman"/>
          <w:b/>
          <w:sz w:val="24"/>
          <w:szCs w:val="24"/>
        </w:rPr>
      </w:pPr>
    </w:p>
    <w:p w:rsidR="00924B45" w:rsidRDefault="00924B45" w:rsidP="009A6030">
      <w:pPr>
        <w:pStyle w:val="ListParagraph"/>
        <w:spacing w:after="0" w:line="360" w:lineRule="auto"/>
        <w:ind w:left="0"/>
        <w:jc w:val="both"/>
        <w:rPr>
          <w:rFonts w:ascii="Times New Roman" w:hAnsi="Times New Roman" w:cs="Times New Roman"/>
          <w:sz w:val="24"/>
          <w:szCs w:val="24"/>
        </w:rPr>
      </w:pPr>
    </w:p>
    <w:p w:rsidR="00924B45" w:rsidRDefault="00924B45">
      <w:pPr>
        <w:rPr>
          <w:rFonts w:ascii="Times New Roman" w:hAnsi="Times New Roman" w:cs="Times New Roman"/>
          <w:sz w:val="24"/>
          <w:szCs w:val="24"/>
        </w:rPr>
      </w:pPr>
      <w:r>
        <w:rPr>
          <w:rFonts w:ascii="Times New Roman" w:hAnsi="Times New Roman" w:cs="Times New Roman"/>
          <w:sz w:val="24"/>
          <w:szCs w:val="24"/>
        </w:rPr>
        <w:br w:type="page"/>
      </w:r>
    </w:p>
    <w:p w:rsidR="00122250" w:rsidRPr="00242DD0" w:rsidRDefault="00122250" w:rsidP="00122250">
      <w:pPr>
        <w:spacing w:after="0" w:line="240" w:lineRule="auto"/>
        <w:jc w:val="both"/>
        <w:rPr>
          <w:rFonts w:ascii="Times New Roman" w:hAnsi="Times New Roman" w:cs="Times New Roman"/>
          <w:sz w:val="24"/>
          <w:szCs w:val="24"/>
        </w:rPr>
      </w:pPr>
      <w:r w:rsidRPr="00242DD0">
        <w:rPr>
          <w:rFonts w:ascii="Times New Roman" w:hAnsi="Times New Roman" w:cs="Times New Roman"/>
          <w:b/>
          <w:sz w:val="24"/>
          <w:szCs w:val="24"/>
        </w:rPr>
        <w:lastRenderedPageBreak/>
        <w:t>REFERENCES</w:t>
      </w:r>
    </w:p>
    <w:p w:rsidR="00122250" w:rsidRDefault="00122250" w:rsidP="00122250">
      <w:pPr>
        <w:pStyle w:val="BodyText"/>
        <w:spacing w:line="240" w:lineRule="auto"/>
      </w:pPr>
    </w:p>
    <w:p w:rsidR="00DA284A" w:rsidRPr="00E56058" w:rsidRDefault="00DA284A" w:rsidP="00DA284A">
      <w:pPr>
        <w:pStyle w:val="BodyText"/>
        <w:spacing w:line="240" w:lineRule="auto"/>
      </w:pPr>
      <w:r>
        <w:t xml:space="preserve">ActewAGL, 2014. </w:t>
      </w:r>
      <w:r>
        <w:rPr>
          <w:i/>
        </w:rPr>
        <w:t>Regulatory Proposal</w:t>
      </w:r>
      <w:r>
        <w:t>, submission to the AER (</w:t>
      </w:r>
      <w:hyperlink r:id="rId73" w:history="1">
        <w:r w:rsidRPr="00A51851">
          <w:rPr>
            <w:rStyle w:val="Hyperlink"/>
          </w:rPr>
          <w:t>www.aer.gov.au</w:t>
        </w:r>
      </w:hyperlink>
      <w:r>
        <w:t>).</w:t>
      </w:r>
    </w:p>
    <w:p w:rsidR="00DA284A" w:rsidRPr="00242DD0" w:rsidRDefault="00DA284A" w:rsidP="00122250">
      <w:pPr>
        <w:pStyle w:val="BodyText"/>
        <w:spacing w:line="240" w:lineRule="auto"/>
      </w:pPr>
    </w:p>
    <w:p w:rsidR="006279AB" w:rsidRDefault="0030038D" w:rsidP="006279AB">
      <w:pPr>
        <w:pStyle w:val="BodyText"/>
        <w:spacing w:line="240" w:lineRule="auto"/>
      </w:pPr>
      <w:r>
        <w:t xml:space="preserve">AER, </w:t>
      </w:r>
      <w:r w:rsidR="00FA38BF" w:rsidRPr="00242DD0">
        <w:t>2013</w:t>
      </w:r>
      <w:r w:rsidR="0003084C">
        <w:t>a</w:t>
      </w:r>
      <w:r w:rsidR="00FA38BF" w:rsidRPr="00242DD0">
        <w:t xml:space="preserve">. </w:t>
      </w:r>
      <w:r w:rsidR="006279AB" w:rsidRPr="00242DD0">
        <w:rPr>
          <w:i/>
        </w:rPr>
        <w:t>Better Regulation</w:t>
      </w:r>
      <w:r w:rsidR="006279AB" w:rsidRPr="00242DD0">
        <w:t xml:space="preserve">: </w:t>
      </w:r>
      <w:r w:rsidR="006279AB" w:rsidRPr="00242DD0">
        <w:rPr>
          <w:i/>
        </w:rPr>
        <w:t>Explanatory Statement Rate of Return Guideline</w:t>
      </w:r>
      <w:r w:rsidR="006279AB" w:rsidRPr="00242DD0">
        <w:t xml:space="preserve"> (</w:t>
      </w:r>
      <w:hyperlink r:id="rId74" w:history="1">
        <w:r w:rsidR="006279AB" w:rsidRPr="00242DD0">
          <w:rPr>
            <w:rStyle w:val="Hyperlink"/>
          </w:rPr>
          <w:t>www.aer.gov.au</w:t>
        </w:r>
      </w:hyperlink>
      <w:r w:rsidR="006279AB" w:rsidRPr="00242DD0">
        <w:t>).</w:t>
      </w:r>
    </w:p>
    <w:p w:rsidR="00EF2397" w:rsidRDefault="00EF2397" w:rsidP="00EF2397">
      <w:pPr>
        <w:pStyle w:val="BodyText"/>
        <w:spacing w:line="240" w:lineRule="auto"/>
      </w:pPr>
    </w:p>
    <w:p w:rsidR="00EF2397" w:rsidRPr="00534D91" w:rsidRDefault="00EF2397" w:rsidP="00EF2397">
      <w:pPr>
        <w:pStyle w:val="BodyText"/>
        <w:spacing w:line="240" w:lineRule="auto"/>
        <w:rPr>
          <w:i/>
        </w:rPr>
      </w:pPr>
      <w:r>
        <w:t xml:space="preserve">____ 2013b. </w:t>
      </w:r>
      <w:r w:rsidRPr="00242DD0">
        <w:rPr>
          <w:i/>
        </w:rPr>
        <w:t>Better Regulation</w:t>
      </w:r>
      <w:r w:rsidRPr="00242DD0">
        <w:t xml:space="preserve">: </w:t>
      </w:r>
      <w:r w:rsidRPr="00242DD0">
        <w:rPr>
          <w:i/>
        </w:rPr>
        <w:t>Rate of Return Guideline</w:t>
      </w:r>
      <w:r w:rsidRPr="00242DD0">
        <w:t xml:space="preserve"> (</w:t>
      </w:r>
      <w:hyperlink r:id="rId75" w:history="1">
        <w:r w:rsidRPr="00242DD0">
          <w:rPr>
            <w:rStyle w:val="Hyperlink"/>
          </w:rPr>
          <w:t>www.aer.gov.au</w:t>
        </w:r>
      </w:hyperlink>
      <w:r w:rsidR="0030038D">
        <w:t>).</w:t>
      </w:r>
    </w:p>
    <w:p w:rsidR="000317EF" w:rsidRDefault="000317EF" w:rsidP="000317EF">
      <w:pPr>
        <w:spacing w:after="0" w:line="240" w:lineRule="auto"/>
        <w:jc w:val="both"/>
        <w:rPr>
          <w:rFonts w:ascii="Times New Roman" w:hAnsi="Times New Roman" w:cs="Times New Roman"/>
          <w:sz w:val="24"/>
          <w:szCs w:val="24"/>
        </w:rPr>
      </w:pPr>
    </w:p>
    <w:p w:rsidR="000317EF" w:rsidRPr="00AA311A" w:rsidRDefault="000317EF" w:rsidP="00031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Arsov, I., Brooks, M., and Kosev, M., 2013. “New Measures of Australian Corporate Credit Spreads”, </w:t>
      </w:r>
      <w:r>
        <w:rPr>
          <w:rFonts w:ascii="Times New Roman" w:hAnsi="Times New Roman" w:cs="Times New Roman"/>
          <w:i/>
          <w:sz w:val="24"/>
          <w:szCs w:val="24"/>
        </w:rPr>
        <w:t>Reserve Bank Bulletin</w:t>
      </w:r>
      <w:r>
        <w:rPr>
          <w:rFonts w:ascii="Times New Roman" w:hAnsi="Times New Roman" w:cs="Times New Roman"/>
          <w:sz w:val="24"/>
          <w:szCs w:val="24"/>
        </w:rPr>
        <w:t>, December.</w:t>
      </w:r>
    </w:p>
    <w:p w:rsidR="000317EF" w:rsidRDefault="000317EF" w:rsidP="000E6B65">
      <w:pPr>
        <w:spacing w:after="0" w:line="240" w:lineRule="auto"/>
        <w:jc w:val="both"/>
        <w:rPr>
          <w:rFonts w:ascii="Times New Roman" w:hAnsi="Times New Roman" w:cs="Times New Roman"/>
          <w:sz w:val="24"/>
          <w:szCs w:val="24"/>
        </w:rPr>
      </w:pPr>
    </w:p>
    <w:p w:rsidR="000E6B65" w:rsidRDefault="000E6B65" w:rsidP="000E6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CEG, 2012, </w:t>
      </w:r>
      <w:r>
        <w:rPr>
          <w:rFonts w:ascii="Times New Roman" w:hAnsi="Times New Roman" w:cs="Times New Roman"/>
          <w:i/>
          <w:sz w:val="24"/>
          <w:szCs w:val="24"/>
        </w:rPr>
        <w:t>Estimating the Regulatory Debt Risk Premium for Victorian Gas Businesses</w:t>
      </w:r>
      <w:r>
        <w:rPr>
          <w:rFonts w:ascii="Times New Roman" w:hAnsi="Times New Roman" w:cs="Times New Roman"/>
          <w:sz w:val="24"/>
          <w:szCs w:val="24"/>
        </w:rPr>
        <w:t>, report for the Victorian Gas Businesses (</w:t>
      </w:r>
      <w:hyperlink r:id="rId76" w:history="1">
        <w:r w:rsidRPr="00031CED">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9C0273" w:rsidRDefault="009C0273" w:rsidP="009C0273">
      <w:pPr>
        <w:spacing w:after="0" w:line="240" w:lineRule="auto"/>
        <w:jc w:val="both"/>
        <w:rPr>
          <w:rFonts w:ascii="Times New Roman" w:hAnsi="Times New Roman" w:cs="Times New Roman"/>
          <w:sz w:val="24"/>
          <w:szCs w:val="24"/>
        </w:rPr>
      </w:pPr>
    </w:p>
    <w:p w:rsidR="006D332D" w:rsidRPr="006D332D" w:rsidRDefault="006D332D" w:rsidP="009C0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2014. </w:t>
      </w:r>
      <w:r>
        <w:rPr>
          <w:rFonts w:ascii="Times New Roman" w:hAnsi="Times New Roman" w:cs="Times New Roman"/>
          <w:i/>
          <w:sz w:val="24"/>
          <w:szCs w:val="24"/>
        </w:rPr>
        <w:t>WACC Estimates</w:t>
      </w:r>
      <w:r>
        <w:rPr>
          <w:rFonts w:ascii="Times New Roman" w:hAnsi="Times New Roman" w:cs="Times New Roman"/>
          <w:sz w:val="24"/>
          <w:szCs w:val="24"/>
        </w:rPr>
        <w:t>, report prepared for NSW DNSPs (</w:t>
      </w:r>
      <w:hyperlink r:id="rId77" w:history="1">
        <w:r w:rsidRPr="00E43BCC">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6D332D" w:rsidRDefault="006D332D" w:rsidP="009C0273">
      <w:pPr>
        <w:spacing w:after="0" w:line="240" w:lineRule="auto"/>
        <w:jc w:val="both"/>
        <w:rPr>
          <w:rFonts w:ascii="Times New Roman" w:hAnsi="Times New Roman" w:cs="Times New Roman"/>
          <w:sz w:val="24"/>
          <w:szCs w:val="24"/>
        </w:rPr>
      </w:pPr>
    </w:p>
    <w:p w:rsidR="009C0273" w:rsidRPr="004E119E" w:rsidRDefault="009C0273" w:rsidP="009C0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Chairmont Consulting, 2012, </w:t>
      </w:r>
      <w:r>
        <w:rPr>
          <w:rFonts w:ascii="Times New Roman" w:hAnsi="Times New Roman" w:cs="Times New Roman"/>
          <w:i/>
          <w:sz w:val="24"/>
          <w:szCs w:val="24"/>
        </w:rPr>
        <w:t>Debt Risk Premium Expert Report</w:t>
      </w:r>
      <w:r>
        <w:rPr>
          <w:rFonts w:ascii="Times New Roman" w:hAnsi="Times New Roman" w:cs="Times New Roman"/>
          <w:sz w:val="24"/>
          <w:szCs w:val="24"/>
        </w:rPr>
        <w:t>, report prepared for the AER.</w:t>
      </w:r>
    </w:p>
    <w:p w:rsidR="008C2CB7" w:rsidRDefault="008C2CB7" w:rsidP="008C2CB7">
      <w:pPr>
        <w:spacing w:after="0" w:line="240" w:lineRule="auto"/>
        <w:jc w:val="both"/>
        <w:rPr>
          <w:rFonts w:ascii="Times New Roman" w:hAnsi="Times New Roman" w:cs="Times New Roman"/>
          <w:sz w:val="24"/>
          <w:szCs w:val="24"/>
        </w:rPr>
      </w:pPr>
    </w:p>
    <w:p w:rsidR="008C2CB7" w:rsidRPr="00EA0242" w:rsidRDefault="008C2CB7" w:rsidP="008C2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Dick-Nielsen, J., Feldhutter, P., and Lando, D., 2012, ‘Corporate Bond Liquidity before and after the Onset of the Subprime Crisis’, </w:t>
      </w:r>
      <w:r>
        <w:rPr>
          <w:rFonts w:ascii="Times New Roman" w:hAnsi="Times New Roman" w:cs="Times New Roman"/>
          <w:i/>
          <w:sz w:val="24"/>
          <w:szCs w:val="24"/>
        </w:rPr>
        <w:t>Journal of Financial Economics</w:t>
      </w:r>
      <w:r>
        <w:rPr>
          <w:rFonts w:ascii="Times New Roman" w:hAnsi="Times New Roman" w:cs="Times New Roman"/>
          <w:sz w:val="24"/>
          <w:szCs w:val="24"/>
        </w:rPr>
        <w:t>, 103, pp. 471-492.</w:t>
      </w:r>
    </w:p>
    <w:p w:rsidR="00385A96" w:rsidRDefault="00385A96" w:rsidP="00385A96">
      <w:pPr>
        <w:spacing w:after="0" w:line="240" w:lineRule="auto"/>
        <w:jc w:val="both"/>
        <w:rPr>
          <w:rFonts w:ascii="Times New Roman" w:hAnsi="Times New Roman" w:cs="Times New Roman"/>
          <w:sz w:val="24"/>
          <w:szCs w:val="24"/>
        </w:rPr>
      </w:pPr>
    </w:p>
    <w:p w:rsidR="00385A96" w:rsidRPr="00BD5B70" w:rsidRDefault="00385A96" w:rsidP="00385A9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Directlink, 2014. </w:t>
      </w:r>
      <w:r>
        <w:rPr>
          <w:rFonts w:ascii="Times New Roman" w:hAnsi="Times New Roman" w:cs="Times New Roman"/>
          <w:i/>
          <w:sz w:val="24"/>
          <w:szCs w:val="24"/>
        </w:rPr>
        <w:t>Directlink Revenue Proposal</w:t>
      </w:r>
      <w:r>
        <w:rPr>
          <w:rFonts w:ascii="Times New Roman" w:hAnsi="Times New Roman" w:cs="Times New Roman"/>
          <w:sz w:val="24"/>
          <w:szCs w:val="24"/>
        </w:rPr>
        <w:t xml:space="preserve">: </w:t>
      </w:r>
      <w:r>
        <w:rPr>
          <w:rFonts w:ascii="Times New Roman" w:hAnsi="Times New Roman" w:cs="Times New Roman"/>
          <w:i/>
          <w:sz w:val="24"/>
          <w:szCs w:val="24"/>
        </w:rPr>
        <w:t>Transitional Approach to Estimating the Cost of Debt</w:t>
      </w:r>
      <w:r>
        <w:rPr>
          <w:rFonts w:ascii="Times New Roman" w:hAnsi="Times New Roman" w:cs="Times New Roman"/>
          <w:sz w:val="24"/>
          <w:szCs w:val="24"/>
        </w:rPr>
        <w:t>, submission to the AER (</w:t>
      </w:r>
      <w:hyperlink r:id="rId78" w:history="1">
        <w:r w:rsidRPr="00AB1082">
          <w:rPr>
            <w:rStyle w:val="Hyperlink"/>
            <w:rFonts w:ascii="Times New Roman" w:hAnsi="Times New Roman" w:cs="Times New Roman"/>
            <w:sz w:val="24"/>
            <w:szCs w:val="24"/>
          </w:rPr>
          <w:t>www.aer.gov.au</w:t>
        </w:r>
      </w:hyperlink>
      <w:r>
        <w:rPr>
          <w:rFonts w:ascii="Times New Roman" w:hAnsi="Times New Roman" w:cs="Times New Roman"/>
          <w:sz w:val="24"/>
          <w:szCs w:val="24"/>
        </w:rPr>
        <w:t xml:space="preserve">). </w:t>
      </w:r>
    </w:p>
    <w:p w:rsidR="00385A96" w:rsidRDefault="00385A96" w:rsidP="008C2CB7">
      <w:pPr>
        <w:spacing w:after="0" w:line="240" w:lineRule="auto"/>
        <w:jc w:val="both"/>
        <w:rPr>
          <w:rFonts w:ascii="Times New Roman" w:hAnsi="Times New Roman" w:cs="Times New Roman"/>
          <w:sz w:val="24"/>
          <w:szCs w:val="24"/>
        </w:rPr>
      </w:pPr>
    </w:p>
    <w:p w:rsidR="008C2CB7" w:rsidRPr="00C03AD5" w:rsidRDefault="008C2CB7" w:rsidP="008C2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Elton, E., Gruber, M., Agrawal, D., and Mann, C., 2001, ‘Explaining the Rate Spread on Corporate Bonds’, </w:t>
      </w:r>
      <w:r>
        <w:rPr>
          <w:rFonts w:ascii="Times New Roman" w:hAnsi="Times New Roman" w:cs="Times New Roman"/>
          <w:i/>
          <w:sz w:val="24"/>
          <w:szCs w:val="24"/>
        </w:rPr>
        <w:t>The Journal of Finance</w:t>
      </w:r>
      <w:r>
        <w:rPr>
          <w:rFonts w:ascii="Times New Roman" w:hAnsi="Times New Roman" w:cs="Times New Roman"/>
          <w:sz w:val="24"/>
          <w:szCs w:val="24"/>
        </w:rPr>
        <w:t>, 56, pp. 247-277.</w:t>
      </w:r>
    </w:p>
    <w:p w:rsidR="008C2CB7" w:rsidRDefault="008C2CB7" w:rsidP="008F0830">
      <w:pPr>
        <w:pStyle w:val="BodyText"/>
        <w:spacing w:line="240" w:lineRule="auto"/>
      </w:pPr>
    </w:p>
    <w:p w:rsidR="008F0830" w:rsidRPr="005E136A" w:rsidRDefault="008F0830" w:rsidP="008F0830">
      <w:pPr>
        <w:pStyle w:val="BodyText"/>
        <w:spacing w:line="240" w:lineRule="auto"/>
        <w:rPr>
          <w:b/>
        </w:rPr>
      </w:pPr>
      <w:r w:rsidRPr="005E136A">
        <w:t xml:space="preserve">Ferguson, T., 1967, </w:t>
      </w:r>
      <w:r w:rsidRPr="005E136A">
        <w:rPr>
          <w:i/>
        </w:rPr>
        <w:t>Mathematical Statistics</w:t>
      </w:r>
      <w:r w:rsidRPr="005E136A">
        <w:t xml:space="preserve">: </w:t>
      </w:r>
      <w:r w:rsidRPr="005E136A">
        <w:rPr>
          <w:i/>
        </w:rPr>
        <w:t>A Decision Theoretic Approach</w:t>
      </w:r>
      <w:r w:rsidRPr="005E136A">
        <w:t>, Academic Press, Orlando.</w:t>
      </w:r>
    </w:p>
    <w:p w:rsidR="00D45E44" w:rsidRDefault="004F5FCD" w:rsidP="00D45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FCD" w:rsidRPr="004F5FCD" w:rsidRDefault="004F5FCD" w:rsidP="00D45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Incenta, 2014. </w:t>
      </w:r>
      <w:r>
        <w:rPr>
          <w:rFonts w:ascii="Times New Roman" w:hAnsi="Times New Roman" w:cs="Times New Roman"/>
          <w:i/>
          <w:sz w:val="24"/>
          <w:szCs w:val="24"/>
        </w:rPr>
        <w:t>Methodology for Extrapolating the Debt Risk Premium</w:t>
      </w:r>
      <w:r>
        <w:rPr>
          <w:rFonts w:ascii="Times New Roman" w:hAnsi="Times New Roman" w:cs="Times New Roman"/>
          <w:sz w:val="24"/>
          <w:szCs w:val="24"/>
        </w:rPr>
        <w:t>, report prepared for Jemena Gas Networks and SA Power Networks (</w:t>
      </w:r>
      <w:hyperlink r:id="rId79" w:history="1">
        <w:r w:rsidRPr="00EA7EB3">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4F5FCD" w:rsidRDefault="004F5FCD" w:rsidP="00D45E44">
      <w:pPr>
        <w:spacing w:after="0" w:line="240" w:lineRule="auto"/>
        <w:jc w:val="both"/>
        <w:rPr>
          <w:rFonts w:ascii="Times New Roman" w:hAnsi="Times New Roman" w:cs="Times New Roman"/>
          <w:sz w:val="24"/>
          <w:szCs w:val="24"/>
        </w:rPr>
      </w:pPr>
    </w:p>
    <w:p w:rsidR="008C4973" w:rsidRPr="008C4973" w:rsidRDefault="008C4973" w:rsidP="00D45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Jemena, 2014. </w:t>
      </w:r>
      <w:r>
        <w:rPr>
          <w:rFonts w:ascii="Times New Roman" w:hAnsi="Times New Roman" w:cs="Times New Roman"/>
          <w:i/>
          <w:sz w:val="24"/>
          <w:szCs w:val="24"/>
        </w:rPr>
        <w:t>2015-20 Access Arrangement Information</w:t>
      </w:r>
      <w:r>
        <w:rPr>
          <w:rFonts w:ascii="Times New Roman" w:hAnsi="Times New Roman" w:cs="Times New Roman"/>
          <w:sz w:val="24"/>
          <w:szCs w:val="24"/>
        </w:rPr>
        <w:t xml:space="preserve"> (</w:t>
      </w:r>
      <w:hyperlink r:id="rId80" w:history="1">
        <w:r w:rsidRPr="0098637E">
          <w:rPr>
            <w:rStyle w:val="Hyperlink"/>
            <w:rFonts w:ascii="Times New Roman" w:hAnsi="Times New Roman" w:cs="Times New Roman"/>
            <w:sz w:val="24"/>
            <w:szCs w:val="24"/>
          </w:rPr>
          <w:t>www.jemena.com.au</w:t>
        </w:r>
      </w:hyperlink>
      <w:r>
        <w:rPr>
          <w:rFonts w:ascii="Times New Roman" w:hAnsi="Times New Roman" w:cs="Times New Roman"/>
          <w:sz w:val="24"/>
          <w:szCs w:val="24"/>
        </w:rPr>
        <w:t>).</w:t>
      </w:r>
    </w:p>
    <w:p w:rsidR="008C4973" w:rsidRDefault="008C4973" w:rsidP="00D45E44">
      <w:pPr>
        <w:spacing w:after="0" w:line="240" w:lineRule="auto"/>
        <w:jc w:val="both"/>
        <w:rPr>
          <w:rFonts w:ascii="Times New Roman" w:hAnsi="Times New Roman" w:cs="Times New Roman"/>
          <w:sz w:val="24"/>
          <w:szCs w:val="24"/>
        </w:rPr>
      </w:pPr>
    </w:p>
    <w:p w:rsidR="005C0541" w:rsidRPr="005C0541" w:rsidRDefault="005C0541" w:rsidP="00D45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Kanangra, 2013. </w:t>
      </w:r>
      <w:r>
        <w:rPr>
          <w:rFonts w:ascii="Times New Roman" w:hAnsi="Times New Roman" w:cs="Times New Roman"/>
          <w:i/>
          <w:sz w:val="24"/>
          <w:szCs w:val="24"/>
        </w:rPr>
        <w:t>Credit Ratings for Regulated Energy Network Services Businesses</w:t>
      </w:r>
      <w:r>
        <w:rPr>
          <w:rFonts w:ascii="Times New Roman" w:hAnsi="Times New Roman" w:cs="Times New Roman"/>
          <w:sz w:val="24"/>
          <w:szCs w:val="24"/>
        </w:rPr>
        <w:t>, report prepared for Ausgrid (</w:t>
      </w:r>
      <w:hyperlink r:id="rId81" w:history="1">
        <w:r w:rsidRPr="00802007">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ED3646" w:rsidRDefault="00ED3646" w:rsidP="00ED3646">
      <w:pPr>
        <w:pStyle w:val="BodyText"/>
        <w:spacing w:line="240" w:lineRule="auto"/>
      </w:pPr>
    </w:p>
    <w:p w:rsidR="00133F40" w:rsidRPr="00133F40" w:rsidRDefault="00133F40" w:rsidP="00ED3646">
      <w:pPr>
        <w:pStyle w:val="BodyText"/>
        <w:spacing w:line="240" w:lineRule="auto"/>
      </w:pPr>
      <w:r>
        <w:t xml:space="preserve">Moody’s Investors Service, 2014.  </w:t>
      </w:r>
      <w:r>
        <w:rPr>
          <w:i/>
        </w:rPr>
        <w:t>Ratings Symbols and Definitions</w:t>
      </w:r>
      <w:r>
        <w:t xml:space="preserve"> (</w:t>
      </w:r>
      <w:hyperlink r:id="rId82" w:history="1">
        <w:r w:rsidRPr="006E2120">
          <w:rPr>
            <w:rStyle w:val="Hyperlink"/>
          </w:rPr>
          <w:t>https://www.moodys.com/researchdocumentcontentpage.aspx?docid=PBC_79004</w:t>
        </w:r>
      </w:hyperlink>
      <w:r>
        <w:t>).</w:t>
      </w:r>
    </w:p>
    <w:p w:rsidR="00133F40" w:rsidRDefault="00133F40" w:rsidP="00ED3646">
      <w:pPr>
        <w:pStyle w:val="BodyText"/>
        <w:spacing w:line="240" w:lineRule="auto"/>
      </w:pPr>
    </w:p>
    <w:p w:rsidR="00ED3646" w:rsidRPr="00FC0374" w:rsidRDefault="00ED3646" w:rsidP="00ED3646">
      <w:pPr>
        <w:pStyle w:val="BodyText"/>
        <w:spacing w:line="240" w:lineRule="auto"/>
      </w:pPr>
      <w:r>
        <w:t xml:space="preserve">Moore, Y., 2014. </w:t>
      </w:r>
      <w:r>
        <w:rPr>
          <w:i/>
        </w:rPr>
        <w:t>Return on Debt Estimation</w:t>
      </w:r>
      <w:r>
        <w:t xml:space="preserve">: </w:t>
      </w:r>
      <w:r>
        <w:rPr>
          <w:i/>
        </w:rPr>
        <w:t>A Review of the Alternative Third Party Data Series</w:t>
      </w:r>
      <w:r>
        <w:t>, report prepared for the AER.</w:t>
      </w:r>
    </w:p>
    <w:p w:rsidR="005C0541" w:rsidRDefault="005C0541" w:rsidP="00D45E44">
      <w:pPr>
        <w:spacing w:after="0" w:line="240" w:lineRule="auto"/>
        <w:jc w:val="both"/>
        <w:rPr>
          <w:rFonts w:ascii="Times New Roman" w:hAnsi="Times New Roman" w:cs="Times New Roman"/>
          <w:sz w:val="24"/>
          <w:szCs w:val="24"/>
        </w:rPr>
      </w:pPr>
    </w:p>
    <w:p w:rsidR="00D45E44" w:rsidRPr="00144E99" w:rsidRDefault="00D45E44" w:rsidP="00D45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NERA, 2014. </w:t>
      </w:r>
      <w:r>
        <w:rPr>
          <w:rFonts w:ascii="Times New Roman" w:hAnsi="Times New Roman" w:cs="Times New Roman"/>
          <w:i/>
          <w:sz w:val="24"/>
          <w:szCs w:val="24"/>
        </w:rPr>
        <w:t>Return on Capital of a Regulated Electricity Network</w:t>
      </w:r>
      <w:r>
        <w:rPr>
          <w:rFonts w:ascii="Times New Roman" w:hAnsi="Times New Roman" w:cs="Times New Roman"/>
          <w:sz w:val="24"/>
          <w:szCs w:val="24"/>
        </w:rPr>
        <w:t>, report prepared for TransGrid (</w:t>
      </w:r>
      <w:hyperlink r:id="rId83" w:history="1">
        <w:r w:rsidRPr="003C3882">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D45E44" w:rsidRDefault="00D45E44" w:rsidP="007665F7">
      <w:pPr>
        <w:spacing w:after="0" w:line="240" w:lineRule="auto"/>
        <w:jc w:val="both"/>
        <w:rPr>
          <w:rFonts w:ascii="Times New Roman" w:hAnsi="Times New Roman" w:cs="Times New Roman"/>
          <w:sz w:val="24"/>
          <w:szCs w:val="24"/>
        </w:rPr>
      </w:pPr>
    </w:p>
    <w:p w:rsidR="007665F7" w:rsidRPr="002821F4" w:rsidRDefault="007665F7" w:rsidP="00766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Oakvale Capital, 2011, </w:t>
      </w:r>
      <w:r>
        <w:rPr>
          <w:rFonts w:ascii="Times New Roman" w:hAnsi="Times New Roman" w:cs="Times New Roman"/>
          <w:i/>
          <w:sz w:val="24"/>
          <w:szCs w:val="24"/>
        </w:rPr>
        <w:t>Report on the Cost of Debt During the Averaging Period</w:t>
      </w:r>
      <w:r>
        <w:rPr>
          <w:rFonts w:ascii="Times New Roman" w:hAnsi="Times New Roman" w:cs="Times New Roman"/>
          <w:sz w:val="24"/>
          <w:szCs w:val="24"/>
        </w:rPr>
        <w:t xml:space="preserve">: </w:t>
      </w:r>
      <w:r>
        <w:rPr>
          <w:rFonts w:ascii="Times New Roman" w:hAnsi="Times New Roman" w:cs="Times New Roman"/>
          <w:i/>
          <w:sz w:val="24"/>
          <w:szCs w:val="24"/>
        </w:rPr>
        <w:t>The Impact of Callable Bonds</w:t>
      </w:r>
      <w:r>
        <w:rPr>
          <w:rFonts w:ascii="Times New Roman" w:hAnsi="Times New Roman" w:cs="Times New Roman"/>
          <w:sz w:val="24"/>
          <w:szCs w:val="24"/>
        </w:rPr>
        <w:t>, report prepared for the AER (</w:t>
      </w:r>
      <w:hyperlink r:id="rId84" w:history="1">
        <w:r w:rsidRPr="00841B1D">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7665F7" w:rsidRDefault="007665F7" w:rsidP="0030038D">
      <w:pPr>
        <w:spacing w:after="0" w:line="240" w:lineRule="auto"/>
        <w:jc w:val="both"/>
        <w:rPr>
          <w:rFonts w:ascii="Times New Roman" w:hAnsi="Times New Roman" w:cs="Times New Roman"/>
          <w:sz w:val="24"/>
          <w:szCs w:val="24"/>
        </w:rPr>
      </w:pPr>
    </w:p>
    <w:p w:rsidR="005F11B9" w:rsidRPr="005F11B9" w:rsidRDefault="005F11B9" w:rsidP="0030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PwC, 2013. </w:t>
      </w:r>
      <w:r>
        <w:rPr>
          <w:rFonts w:ascii="Times New Roman" w:hAnsi="Times New Roman" w:cs="Times New Roman"/>
          <w:i/>
          <w:sz w:val="24"/>
          <w:szCs w:val="24"/>
        </w:rPr>
        <w:t>A Cost of Debt Estimation Methodology for Businesses Regulated by the QCA</w:t>
      </w:r>
      <w:r>
        <w:rPr>
          <w:rFonts w:ascii="Times New Roman" w:hAnsi="Times New Roman" w:cs="Times New Roman"/>
          <w:sz w:val="24"/>
          <w:szCs w:val="24"/>
        </w:rPr>
        <w:t>, report prepared for the QCA (</w:t>
      </w:r>
      <w:hyperlink r:id="rId85" w:history="1">
        <w:r w:rsidRPr="007E6235">
          <w:rPr>
            <w:rStyle w:val="Hyperlink"/>
            <w:rFonts w:ascii="Times New Roman" w:hAnsi="Times New Roman" w:cs="Times New Roman"/>
            <w:sz w:val="24"/>
            <w:szCs w:val="24"/>
          </w:rPr>
          <w:t>www.qca.org.au</w:t>
        </w:r>
      </w:hyperlink>
      <w:r>
        <w:rPr>
          <w:rFonts w:ascii="Times New Roman" w:hAnsi="Times New Roman" w:cs="Times New Roman"/>
          <w:sz w:val="24"/>
          <w:szCs w:val="24"/>
        </w:rPr>
        <w:t>).</w:t>
      </w:r>
    </w:p>
    <w:p w:rsidR="005F11B9" w:rsidRDefault="005F11B9" w:rsidP="0030038D">
      <w:pPr>
        <w:spacing w:after="0" w:line="240" w:lineRule="auto"/>
        <w:jc w:val="both"/>
        <w:rPr>
          <w:rFonts w:ascii="Times New Roman" w:hAnsi="Times New Roman" w:cs="Times New Roman"/>
          <w:sz w:val="24"/>
          <w:szCs w:val="24"/>
        </w:rPr>
      </w:pPr>
    </w:p>
    <w:p w:rsidR="004425A5" w:rsidRDefault="0030038D" w:rsidP="0030038D">
      <w:pPr>
        <w:spacing w:after="0" w:line="240" w:lineRule="auto"/>
        <w:jc w:val="both"/>
        <w:rPr>
          <w:rFonts w:ascii="Times New Roman" w:hAnsi="Times New Roman" w:cs="Times New Roman"/>
          <w:sz w:val="24"/>
          <w:szCs w:val="24"/>
        </w:rPr>
      </w:pPr>
      <w:r w:rsidRPr="00AB203F">
        <w:rPr>
          <w:rFonts w:ascii="Times New Roman" w:hAnsi="Times New Roman" w:cs="Times New Roman"/>
          <w:sz w:val="24"/>
          <w:szCs w:val="24"/>
        </w:rPr>
        <w:t xml:space="preserve">QTC, 2012, </w:t>
      </w:r>
      <w:r w:rsidRPr="00AB203F">
        <w:rPr>
          <w:rFonts w:ascii="Times New Roman" w:hAnsi="Times New Roman" w:cs="Times New Roman"/>
          <w:i/>
          <w:sz w:val="24"/>
          <w:szCs w:val="24"/>
        </w:rPr>
        <w:t>Submission to the AEMC</w:t>
      </w:r>
      <w:r w:rsidRPr="00AB203F">
        <w:rPr>
          <w:rFonts w:ascii="Times New Roman" w:hAnsi="Times New Roman" w:cs="Times New Roman"/>
          <w:sz w:val="24"/>
          <w:szCs w:val="24"/>
        </w:rPr>
        <w:t xml:space="preserve"> (</w:t>
      </w:r>
      <w:hyperlink r:id="rId86" w:history="1">
        <w:r w:rsidRPr="00AB203F">
          <w:rPr>
            <w:rStyle w:val="Hyperlink"/>
            <w:rFonts w:ascii="Times New Roman" w:hAnsi="Times New Roman" w:cs="Times New Roman"/>
            <w:sz w:val="24"/>
            <w:szCs w:val="24"/>
          </w:rPr>
          <w:t>www.aemc.gov.au</w:t>
        </w:r>
      </w:hyperlink>
      <w:r w:rsidR="00AA311A">
        <w:rPr>
          <w:rFonts w:ascii="Times New Roman" w:hAnsi="Times New Roman" w:cs="Times New Roman"/>
          <w:sz w:val="24"/>
          <w:szCs w:val="24"/>
        </w:rPr>
        <w:t>).</w:t>
      </w:r>
    </w:p>
    <w:p w:rsidR="002525B5" w:rsidRDefault="002525B5" w:rsidP="002525B5">
      <w:pPr>
        <w:pStyle w:val="BodyText"/>
        <w:spacing w:line="240" w:lineRule="auto"/>
      </w:pPr>
    </w:p>
    <w:p w:rsidR="002525B5" w:rsidRPr="00FC0374" w:rsidRDefault="002525B5" w:rsidP="002525B5">
      <w:pPr>
        <w:pStyle w:val="BodyText"/>
        <w:spacing w:line="240" w:lineRule="auto"/>
      </w:pPr>
      <w:r>
        <w:t xml:space="preserve">Regulatory Economic Unit, 2014. </w:t>
      </w:r>
      <w:r>
        <w:rPr>
          <w:i/>
        </w:rPr>
        <w:t>Return on Debt Estimation</w:t>
      </w:r>
      <w:r>
        <w:t xml:space="preserve">: </w:t>
      </w:r>
      <w:r>
        <w:rPr>
          <w:i/>
        </w:rPr>
        <w:t>A Review of the Alternative Third Party Data Series</w:t>
      </w:r>
      <w:r>
        <w:t>, report prepared for the AER (</w:t>
      </w:r>
      <w:hyperlink r:id="rId87" w:history="1">
        <w:r w:rsidRPr="00C40C8B">
          <w:rPr>
            <w:rStyle w:val="Hyperlink"/>
          </w:rPr>
          <w:t>www.aer.gov.au</w:t>
        </w:r>
      </w:hyperlink>
      <w:r>
        <w:t>).</w:t>
      </w:r>
    </w:p>
    <w:p w:rsidR="006630AB" w:rsidRDefault="006630AB">
      <w:pPr>
        <w:spacing w:after="0" w:line="240" w:lineRule="auto"/>
        <w:jc w:val="both"/>
        <w:rPr>
          <w:rFonts w:ascii="Times New Roman" w:hAnsi="Times New Roman" w:cs="Times New Roman"/>
          <w:sz w:val="24"/>
          <w:szCs w:val="24"/>
        </w:rPr>
      </w:pPr>
    </w:p>
    <w:sectPr w:rsidR="006630AB" w:rsidSect="004425A5">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CD" w:rsidRDefault="004652CD" w:rsidP="00122250">
      <w:pPr>
        <w:spacing w:after="0" w:line="240" w:lineRule="auto"/>
      </w:pPr>
      <w:r>
        <w:separator/>
      </w:r>
    </w:p>
  </w:endnote>
  <w:endnote w:type="continuationSeparator" w:id="0">
    <w:p w:rsidR="004652CD" w:rsidRDefault="004652CD" w:rsidP="0012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C9" w:rsidRDefault="00524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603332"/>
      <w:docPartObj>
        <w:docPartGallery w:val="Page Numbers (Bottom of Page)"/>
        <w:docPartUnique/>
      </w:docPartObj>
    </w:sdtPr>
    <w:sdtEndPr/>
    <w:sdtContent>
      <w:p w:rsidR="005248C9" w:rsidRDefault="005248C9">
        <w:pPr>
          <w:pStyle w:val="Footer"/>
          <w:jc w:val="center"/>
        </w:pPr>
        <w:r>
          <w:fldChar w:fldCharType="begin"/>
        </w:r>
        <w:r>
          <w:instrText xml:space="preserve"> PAGE   \* MERGEFORMAT </w:instrText>
        </w:r>
        <w:r>
          <w:fldChar w:fldCharType="separate"/>
        </w:r>
        <w:r w:rsidR="005C7FAB">
          <w:rPr>
            <w:noProof/>
          </w:rPr>
          <w:t>1</w:t>
        </w:r>
        <w:r>
          <w:rPr>
            <w:noProof/>
          </w:rPr>
          <w:fldChar w:fldCharType="end"/>
        </w:r>
      </w:p>
    </w:sdtContent>
  </w:sdt>
  <w:p w:rsidR="005248C9" w:rsidRDefault="00524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C9" w:rsidRDefault="00524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CD" w:rsidRDefault="004652CD" w:rsidP="00122250">
      <w:pPr>
        <w:spacing w:after="0" w:line="240" w:lineRule="auto"/>
      </w:pPr>
      <w:r>
        <w:separator/>
      </w:r>
    </w:p>
  </w:footnote>
  <w:footnote w:type="continuationSeparator" w:id="0">
    <w:p w:rsidR="004652CD" w:rsidRDefault="004652CD" w:rsidP="00122250">
      <w:pPr>
        <w:spacing w:after="0" w:line="240" w:lineRule="auto"/>
      </w:pPr>
      <w:r>
        <w:continuationSeparator/>
      </w:r>
    </w:p>
  </w:footnote>
  <w:footnote w:id="1">
    <w:p w:rsidR="005248C9" w:rsidRPr="003760D8" w:rsidRDefault="005248C9">
      <w:pPr>
        <w:pStyle w:val="FootnoteText"/>
        <w:rPr>
          <w:rFonts w:ascii="Times New Roman" w:hAnsi="Times New Roman" w:cs="Times New Roman"/>
        </w:rPr>
      </w:pPr>
      <w:r w:rsidRPr="003760D8">
        <w:rPr>
          <w:rStyle w:val="FootnoteReference"/>
          <w:rFonts w:ascii="Times New Roman" w:hAnsi="Times New Roman" w:cs="Times New Roman"/>
        </w:rPr>
        <w:footnoteRef/>
      </w:r>
      <w:r w:rsidRPr="003760D8">
        <w:rPr>
          <w:rFonts w:ascii="Times New Roman" w:hAnsi="Times New Roman" w:cs="Times New Roman"/>
        </w:rPr>
        <w:t xml:space="preserve"> This</w:t>
      </w:r>
      <w:r>
        <w:rPr>
          <w:rFonts w:ascii="Times New Roman" w:hAnsi="Times New Roman" w:cs="Times New Roman"/>
        </w:rPr>
        <w:t xml:space="preserve"> data is from column AK of Table F3 on the RBA’s website.</w:t>
      </w:r>
    </w:p>
  </w:footnote>
  <w:footnote w:id="2">
    <w:p w:rsidR="005248C9" w:rsidRPr="009B01B7" w:rsidRDefault="005248C9" w:rsidP="00EB3E5F">
      <w:pPr>
        <w:pStyle w:val="FootnoteText"/>
        <w:jc w:val="both"/>
        <w:rPr>
          <w:rFonts w:ascii="Times New Roman" w:hAnsi="Times New Roman" w:cs="Times New Roman"/>
        </w:rPr>
      </w:pPr>
      <w:r w:rsidRPr="009B01B7">
        <w:rPr>
          <w:rStyle w:val="FootnoteReference"/>
          <w:rFonts w:ascii="Times New Roman" w:hAnsi="Times New Roman" w:cs="Times New Roman"/>
        </w:rPr>
        <w:footnoteRef/>
      </w:r>
      <w:r w:rsidRPr="009B01B7">
        <w:rPr>
          <w:rFonts w:ascii="Times New Roman" w:hAnsi="Times New Roman" w:cs="Times New Roman"/>
        </w:rPr>
        <w:t xml:space="preserve"> The same issue arises with senior and subordinated debt, because the BVAL is limited to senior bonds whilst the RBA imposes no restriction.  However, at the present time, I understand that only one bond in the RBA set is not senior (SGSP Australia Pty Ltd).  So, again, the issue is currently minor but this might change over time.</w:t>
      </w:r>
    </w:p>
  </w:footnote>
  <w:footnote w:id="3">
    <w:p w:rsidR="005248C9" w:rsidRDefault="005248C9" w:rsidP="007028DF">
      <w:pPr>
        <w:pStyle w:val="FootnoteText"/>
        <w:jc w:val="both"/>
        <w:rPr>
          <w:rFonts w:ascii="Times New Roman" w:hAnsi="Times New Roman" w:cs="Times New Roman"/>
        </w:rPr>
      </w:pPr>
      <w:r w:rsidRPr="007028DF">
        <w:rPr>
          <w:rStyle w:val="FootnoteReference"/>
          <w:rFonts w:ascii="Times New Roman" w:hAnsi="Times New Roman" w:cs="Times New Roman"/>
        </w:rPr>
        <w:footnoteRef/>
      </w:r>
      <w:r w:rsidRPr="007028DF">
        <w:rPr>
          <w:rFonts w:ascii="Times New Roman" w:hAnsi="Times New Roman" w:cs="Times New Roman"/>
        </w:rPr>
        <w:t xml:space="preserve"> </w:t>
      </w:r>
      <w:r>
        <w:rPr>
          <w:rFonts w:ascii="Times New Roman" w:hAnsi="Times New Roman" w:cs="Times New Roman"/>
        </w:rPr>
        <w:t>Amongst non-financial corporations, the majority of currently outstanding BBB bonds are in USD whilst the proportion is even higher for residual terms to maturity in excess of seven years (Arsov et al, 2013, page 3).</w:t>
      </w:r>
    </w:p>
    <w:p w:rsidR="005248C9" w:rsidRPr="007028DF" w:rsidRDefault="005248C9">
      <w:pPr>
        <w:pStyle w:val="FootnoteText"/>
        <w:rPr>
          <w:rFonts w:ascii="Times New Roman" w:hAnsi="Times New Roman" w:cs="Times New Roman"/>
        </w:rPr>
      </w:pPr>
      <w:r>
        <w:rPr>
          <w:rFonts w:ascii="Times New Roman" w:hAnsi="Times New Roman" w:cs="Times New Roman"/>
        </w:rPr>
        <w:t xml:space="preserve"> </w:t>
      </w:r>
    </w:p>
  </w:footnote>
  <w:footnote w:id="4">
    <w:p w:rsidR="005248C9" w:rsidRDefault="005248C9" w:rsidP="000C7E37">
      <w:pPr>
        <w:pStyle w:val="FootnoteText"/>
        <w:rPr>
          <w:rFonts w:ascii="Times New Roman" w:hAnsi="Times New Roman" w:cs="Times New Roman"/>
        </w:rPr>
      </w:pPr>
      <w:r w:rsidRPr="0015459A">
        <w:rPr>
          <w:rStyle w:val="FootnoteReference"/>
          <w:rFonts w:ascii="Times New Roman" w:hAnsi="Times New Roman" w:cs="Times New Roman"/>
        </w:rPr>
        <w:footnoteRef/>
      </w:r>
      <w:r w:rsidRPr="0015459A">
        <w:rPr>
          <w:rFonts w:ascii="Times New Roman" w:hAnsi="Times New Roman" w:cs="Times New Roman"/>
        </w:rPr>
        <w:t xml:space="preserve"> </w:t>
      </w:r>
      <w:r>
        <w:rPr>
          <w:rFonts w:ascii="Times New Roman" w:hAnsi="Times New Roman" w:cs="Times New Roman"/>
        </w:rPr>
        <w:t>The data is from Table F3 on the RBA’s website.</w:t>
      </w:r>
    </w:p>
    <w:p w:rsidR="005248C9" w:rsidRPr="0015459A" w:rsidRDefault="005248C9" w:rsidP="000C7E37">
      <w:pPr>
        <w:pStyle w:val="FootnoteText"/>
        <w:rPr>
          <w:rFonts w:ascii="Times New Roman" w:hAnsi="Times New Roman" w:cs="Times New Roman"/>
        </w:rPr>
      </w:pPr>
    </w:p>
  </w:footnote>
  <w:footnote w:id="5">
    <w:p w:rsidR="005248C9" w:rsidRPr="00E145D5" w:rsidRDefault="005248C9" w:rsidP="001A3F44">
      <w:pPr>
        <w:pStyle w:val="FootnoteText"/>
        <w:jc w:val="both"/>
        <w:rPr>
          <w:rFonts w:ascii="Times New Roman" w:hAnsi="Times New Roman" w:cs="Times New Roman"/>
        </w:rPr>
      </w:pPr>
      <w:r w:rsidRPr="00E145D5">
        <w:rPr>
          <w:rStyle w:val="FootnoteReference"/>
          <w:rFonts w:ascii="Times New Roman" w:hAnsi="Times New Roman" w:cs="Times New Roman"/>
        </w:rPr>
        <w:footnoteRef/>
      </w:r>
      <w:r w:rsidRPr="00E145D5">
        <w:rPr>
          <w:rFonts w:ascii="Times New Roman" w:hAnsi="Times New Roman" w:cs="Times New Roman"/>
        </w:rPr>
        <w:t xml:space="preserve"> This is apparent from examining the ownership composition of some of these foreign currency denominated bonds, as provided by Bloomberg.</w:t>
      </w:r>
    </w:p>
    <w:p w:rsidR="005248C9" w:rsidRPr="00265AF5" w:rsidRDefault="005248C9" w:rsidP="001A3F44">
      <w:pPr>
        <w:pStyle w:val="FootnoteText"/>
      </w:pPr>
    </w:p>
  </w:footnote>
  <w:footnote w:id="6">
    <w:p w:rsidR="005248C9" w:rsidRDefault="005248C9" w:rsidP="00B77682">
      <w:pPr>
        <w:pStyle w:val="FootnoteText"/>
        <w:jc w:val="both"/>
        <w:rPr>
          <w:rFonts w:ascii="Times New Roman" w:hAnsi="Times New Roman" w:cs="Times New Roman"/>
        </w:rPr>
      </w:pPr>
      <w:r w:rsidRPr="00B77682">
        <w:rPr>
          <w:rStyle w:val="FootnoteReference"/>
          <w:rFonts w:ascii="Times New Roman" w:hAnsi="Times New Roman" w:cs="Times New Roman"/>
        </w:rPr>
        <w:footnoteRef/>
      </w:r>
      <w:r w:rsidRPr="00B77682">
        <w:rPr>
          <w:rFonts w:ascii="Times New Roman" w:hAnsi="Times New Roman" w:cs="Times New Roman"/>
        </w:rPr>
        <w:t xml:space="preserve"> </w:t>
      </w:r>
      <w:r>
        <w:rPr>
          <w:rFonts w:ascii="Times New Roman" w:hAnsi="Times New Roman" w:cs="Times New Roman"/>
        </w:rPr>
        <w:t>An exception to this is “make-whole” call options, which require the firm in the event of exercising the call to make compensatory payments to the bond holders.  The interest rate on these bonds should not be affected by the presence of such calls, and therefore no adjustment would be required.</w:t>
      </w:r>
    </w:p>
    <w:p w:rsidR="005248C9" w:rsidRPr="00B77682" w:rsidRDefault="005248C9" w:rsidP="00B77682">
      <w:pPr>
        <w:pStyle w:val="FootnoteText"/>
        <w:jc w:val="both"/>
        <w:rPr>
          <w:rFonts w:ascii="Times New Roman" w:hAnsi="Times New Roman" w:cs="Times New Roman"/>
        </w:rPr>
      </w:pPr>
    </w:p>
  </w:footnote>
  <w:footnote w:id="7">
    <w:p w:rsidR="005248C9" w:rsidRPr="002768DD" w:rsidRDefault="005248C9" w:rsidP="00806961">
      <w:pPr>
        <w:pStyle w:val="FootnoteText"/>
        <w:jc w:val="both"/>
        <w:rPr>
          <w:rFonts w:ascii="Times New Roman" w:hAnsi="Times New Roman" w:cs="Times New Roman"/>
          <w:u w:val="single"/>
        </w:rPr>
      </w:pPr>
      <w:r w:rsidRPr="00806961">
        <w:rPr>
          <w:rStyle w:val="FootnoteReference"/>
          <w:rFonts w:ascii="Times New Roman" w:hAnsi="Times New Roman" w:cs="Times New Roman"/>
        </w:rPr>
        <w:footnoteRef/>
      </w:r>
      <w:r w:rsidRPr="00806961">
        <w:rPr>
          <w:rFonts w:ascii="Times New Roman" w:hAnsi="Times New Roman" w:cs="Times New Roman"/>
        </w:rPr>
        <w:t xml:space="preserve"> </w:t>
      </w:r>
      <w:r>
        <w:rPr>
          <w:rFonts w:ascii="Times New Roman" w:hAnsi="Times New Roman" w:cs="Times New Roman"/>
        </w:rPr>
        <w:t xml:space="preserve">These spot rates are intended to reflect a typical situation as follows.  Across the entire period for which the RBA results are available (since January 2005), the average ten-year YTM on BBB bonds was 7.7% and the average differential between the ten and three year rates was 1%.  So, the ten-year spot rate was set at 7.7%, the three-year rate at 6.7% and the remaining rates follow a linear function through these two points.  </w:t>
      </w:r>
      <w:r w:rsidRPr="00E455CB">
        <w:rPr>
          <w:rFonts w:ascii="Times New Roman" w:hAnsi="Times New Roman" w:cs="Times New Roman"/>
        </w:rPr>
        <w:t xml:space="preserve">Naturally, yields on ten year bonds are not the same as the ten-year spot rates but they are close and the precise </w:t>
      </w:r>
      <w:r w:rsidR="00254E37">
        <w:rPr>
          <w:rFonts w:ascii="Times New Roman" w:hAnsi="Times New Roman" w:cs="Times New Roman"/>
        </w:rPr>
        <w:t xml:space="preserve">choice </w:t>
      </w:r>
      <w:r w:rsidRPr="00E455CB">
        <w:rPr>
          <w:rFonts w:ascii="Times New Roman" w:hAnsi="Times New Roman" w:cs="Times New Roman"/>
        </w:rPr>
        <w:t>of these spot rates is not crucial to the analysis.</w:t>
      </w:r>
    </w:p>
    <w:p w:rsidR="005248C9" w:rsidRPr="00806961" w:rsidRDefault="005248C9" w:rsidP="00806961">
      <w:pPr>
        <w:pStyle w:val="FootnoteText"/>
        <w:jc w:val="both"/>
        <w:rPr>
          <w:rFonts w:ascii="Times New Roman" w:hAnsi="Times New Roman" w:cs="Times New Roman"/>
        </w:rPr>
      </w:pPr>
    </w:p>
  </w:footnote>
  <w:footnote w:id="8">
    <w:p w:rsidR="005248C9" w:rsidRPr="00960B98" w:rsidRDefault="005248C9" w:rsidP="00847EFE">
      <w:pPr>
        <w:pStyle w:val="FootnoteText"/>
        <w:rPr>
          <w:rFonts w:ascii="Times New Roman" w:hAnsi="Times New Roman" w:cs="Times New Roman"/>
        </w:rPr>
      </w:pPr>
      <w:r>
        <w:rPr>
          <w:rStyle w:val="FootnoteReference"/>
        </w:rPr>
        <w:footnoteRef/>
      </w:r>
      <w:r>
        <w:t xml:space="preserve"> </w:t>
      </w:r>
      <w:r w:rsidRPr="00121611">
        <w:rPr>
          <w:rFonts w:ascii="Times New Roman" w:hAnsi="Times New Roman" w:cs="Times New Roman"/>
        </w:rPr>
        <w:t xml:space="preserve">The MSE is the average over the squared differences between </w:t>
      </w:r>
      <w:r>
        <w:rPr>
          <w:rFonts w:ascii="Times New Roman" w:hAnsi="Times New Roman" w:cs="Times New Roman"/>
        </w:rPr>
        <w:t xml:space="preserve">the </w:t>
      </w:r>
      <w:r w:rsidRPr="00121611">
        <w:rPr>
          <w:rFonts w:ascii="Times New Roman" w:hAnsi="Times New Roman" w:cs="Times New Roman"/>
        </w:rPr>
        <w:t>estimated value and the true value.</w:t>
      </w:r>
    </w:p>
  </w:footnote>
  <w:footnote w:id="9">
    <w:p w:rsidR="005248C9" w:rsidRDefault="005248C9">
      <w:pPr>
        <w:pStyle w:val="FootnoteText"/>
        <w:rPr>
          <w:rFonts w:ascii="Times New Roman" w:hAnsi="Times New Roman" w:cs="Times New Roman"/>
        </w:rPr>
      </w:pPr>
      <w:r w:rsidRPr="00EE1258">
        <w:rPr>
          <w:rStyle w:val="FootnoteReference"/>
          <w:rFonts w:ascii="Times New Roman" w:hAnsi="Times New Roman" w:cs="Times New Roman"/>
        </w:rPr>
        <w:footnoteRef/>
      </w:r>
      <w:r w:rsidRPr="00EE1258">
        <w:rPr>
          <w:rFonts w:ascii="Times New Roman" w:hAnsi="Times New Roman" w:cs="Times New Roman"/>
        </w:rPr>
        <w:t xml:space="preserve"> </w:t>
      </w:r>
      <w:r>
        <w:rPr>
          <w:rFonts w:ascii="Times New Roman" w:hAnsi="Times New Roman" w:cs="Times New Roman"/>
        </w:rPr>
        <w:t>This data is from column AK of Table F3 on the RBA’s website.</w:t>
      </w:r>
    </w:p>
    <w:p w:rsidR="005248C9" w:rsidRPr="00EE1258" w:rsidRDefault="005248C9">
      <w:pPr>
        <w:pStyle w:val="FootnoteText"/>
        <w:rPr>
          <w:rFonts w:ascii="Times New Roman" w:hAnsi="Times New Roman" w:cs="Times New Roman"/>
        </w:rPr>
      </w:pPr>
    </w:p>
  </w:footnote>
  <w:footnote w:id="10">
    <w:p w:rsidR="005248C9" w:rsidRPr="00DA3FBD" w:rsidRDefault="005248C9" w:rsidP="00DA3FBD">
      <w:pPr>
        <w:pStyle w:val="FootnoteText"/>
        <w:jc w:val="both"/>
        <w:rPr>
          <w:rFonts w:ascii="Times New Roman" w:hAnsi="Times New Roman" w:cs="Times New Roman"/>
        </w:rPr>
      </w:pPr>
      <w:r w:rsidRPr="00DA3FBD">
        <w:rPr>
          <w:rStyle w:val="FootnoteReference"/>
          <w:rFonts w:ascii="Times New Roman" w:hAnsi="Times New Roman" w:cs="Times New Roman"/>
        </w:rPr>
        <w:footnoteRef/>
      </w:r>
      <w:r w:rsidRPr="00DA3FBD">
        <w:rPr>
          <w:rFonts w:ascii="Times New Roman" w:hAnsi="Times New Roman" w:cs="Times New Roman"/>
        </w:rPr>
        <w:t xml:space="preserve"> CEG</w:t>
      </w:r>
      <w:r>
        <w:rPr>
          <w:rFonts w:ascii="Times New Roman" w:hAnsi="Times New Roman" w:cs="Times New Roman"/>
        </w:rPr>
        <w:t xml:space="preserve"> extrapolate the seven-year BVAL out to ten years and therefore any deficiencies in the resulting ten-year series might be due to CEG’s extrapolation rather than the BVAL series.</w:t>
      </w:r>
    </w:p>
  </w:footnote>
  <w:footnote w:id="11">
    <w:p w:rsidR="005248C9" w:rsidRDefault="005248C9" w:rsidP="00E724CE">
      <w:pPr>
        <w:pStyle w:val="FootnoteText"/>
        <w:jc w:val="both"/>
        <w:rPr>
          <w:rFonts w:ascii="Times New Roman" w:hAnsi="Times New Roman" w:cs="Times New Roman"/>
        </w:rPr>
      </w:pPr>
      <w:r w:rsidRPr="00E724CE">
        <w:rPr>
          <w:rStyle w:val="FootnoteReference"/>
          <w:rFonts w:ascii="Times New Roman" w:hAnsi="Times New Roman" w:cs="Times New Roman"/>
        </w:rPr>
        <w:footnoteRef/>
      </w:r>
      <w:r w:rsidRPr="00E724CE">
        <w:rPr>
          <w:rFonts w:ascii="Times New Roman" w:hAnsi="Times New Roman" w:cs="Times New Roman"/>
        </w:rPr>
        <w:t xml:space="preserve"> Directlink</w:t>
      </w:r>
      <w:r>
        <w:rPr>
          <w:rFonts w:ascii="Times New Roman" w:hAnsi="Times New Roman" w:cs="Times New Roman"/>
        </w:rPr>
        <w:t xml:space="preserve"> refers to some of these additional points but only in the course of citing the AER and Arsov et al (2013).  They express no view on these points.</w:t>
      </w:r>
    </w:p>
    <w:p w:rsidR="005248C9" w:rsidRPr="00E724CE" w:rsidRDefault="005248C9" w:rsidP="00E724CE">
      <w:pPr>
        <w:pStyle w:val="FootnoteText"/>
        <w:jc w:val="both"/>
        <w:rPr>
          <w:rFonts w:ascii="Times New Roman" w:hAnsi="Times New Roman" w:cs="Times New Roman"/>
        </w:rPr>
      </w:pPr>
    </w:p>
  </w:footnote>
  <w:footnote w:id="12">
    <w:p w:rsidR="005248C9" w:rsidRPr="00F5634D" w:rsidRDefault="005248C9" w:rsidP="00F5634D">
      <w:pPr>
        <w:pStyle w:val="FootnoteText"/>
        <w:jc w:val="both"/>
        <w:rPr>
          <w:rFonts w:ascii="Times New Roman" w:hAnsi="Times New Roman" w:cs="Times New Roman"/>
        </w:rPr>
      </w:pPr>
      <w:r w:rsidRPr="00F5634D">
        <w:rPr>
          <w:rStyle w:val="FootnoteReference"/>
          <w:rFonts w:ascii="Times New Roman" w:hAnsi="Times New Roman" w:cs="Times New Roman"/>
        </w:rPr>
        <w:footnoteRef/>
      </w:r>
      <w:r w:rsidRPr="00F5634D">
        <w:rPr>
          <w:rFonts w:ascii="Times New Roman" w:hAnsi="Times New Roman" w:cs="Times New Roman"/>
        </w:rPr>
        <w:t xml:space="preserve"> PwC</w:t>
      </w:r>
      <w:r>
        <w:rPr>
          <w:rFonts w:ascii="Times New Roman" w:hAnsi="Times New Roman" w:cs="Times New Roman"/>
        </w:rPr>
        <w:t xml:space="preserve"> (2013, pp. 17-18) estimates that the </w:t>
      </w:r>
      <w:r w:rsidRPr="00493A80">
        <w:rPr>
          <w:rFonts w:ascii="Times New Roman" w:hAnsi="Times New Roman" w:cs="Times New Roman"/>
        </w:rPr>
        <w:t>Australian market provides bonds with maturities up to 15 years whilst the US market does so up to 30 years</w:t>
      </w:r>
      <w:r>
        <w:rPr>
          <w:rFonts w:ascii="Times New Roman" w:hAnsi="Times New Roman" w:cs="Times New Roman"/>
        </w:rPr>
        <w:t xml:space="preserve">. </w:t>
      </w:r>
    </w:p>
  </w:footnote>
  <w:footnote w:id="13">
    <w:p w:rsidR="005248C9" w:rsidRPr="00DC67CA" w:rsidRDefault="005248C9" w:rsidP="004A1D61">
      <w:pPr>
        <w:pStyle w:val="FootnoteText"/>
        <w:jc w:val="both"/>
        <w:rPr>
          <w:rFonts w:ascii="Times New Roman" w:hAnsi="Times New Roman" w:cs="Times New Roman"/>
        </w:rPr>
      </w:pPr>
      <w:r w:rsidRPr="00DC67CA">
        <w:rPr>
          <w:rStyle w:val="FootnoteReference"/>
          <w:rFonts w:ascii="Times New Roman" w:hAnsi="Times New Roman" w:cs="Times New Roman"/>
        </w:rPr>
        <w:footnoteRef/>
      </w:r>
      <w:r w:rsidRPr="00DC67CA">
        <w:rPr>
          <w:rFonts w:ascii="Times New Roman" w:hAnsi="Times New Roman" w:cs="Times New Roman"/>
        </w:rPr>
        <w:t xml:space="preserve"> Elton et al (2001) conclude that most of the DRP is compensation for systematic risk whilst Dick-Nielsen et al (2012, Table 5) conclude that about 25% of the DRP on A to BBB bonds was due to illiquidity in the period 2007-2009.</w:t>
      </w:r>
    </w:p>
    <w:p w:rsidR="005248C9" w:rsidRPr="00DC67CA" w:rsidRDefault="005248C9" w:rsidP="004A1D61">
      <w:pPr>
        <w:pStyle w:val="FootnoteText"/>
        <w:rPr>
          <w:rFonts w:ascii="Times New Roman" w:hAnsi="Times New Roman" w:cs="Times New Roman"/>
        </w:rPr>
      </w:pPr>
    </w:p>
  </w:footnote>
  <w:footnote w:id="14">
    <w:p w:rsidR="005248C9" w:rsidRPr="009C5109" w:rsidRDefault="005248C9" w:rsidP="004A1D61">
      <w:pPr>
        <w:pStyle w:val="FootnoteText"/>
        <w:jc w:val="both"/>
        <w:rPr>
          <w:rFonts w:ascii="Times New Roman" w:hAnsi="Times New Roman" w:cs="Times New Roman"/>
          <w:lang w:val="en-NZ"/>
        </w:rPr>
      </w:pPr>
      <w:r w:rsidRPr="00DC67CA">
        <w:rPr>
          <w:rStyle w:val="FootnoteReference"/>
          <w:rFonts w:ascii="Times New Roman" w:hAnsi="Times New Roman" w:cs="Times New Roman"/>
        </w:rPr>
        <w:footnoteRef/>
      </w:r>
      <w:r w:rsidRPr="00DC67CA">
        <w:rPr>
          <w:rFonts w:ascii="Times New Roman" w:hAnsi="Times New Roman" w:cs="Times New Roman"/>
        </w:rPr>
        <w:t xml:space="preserve"> In respect of systematic risk, financial </w:t>
      </w:r>
      <w:r w:rsidRPr="00DC67CA">
        <w:rPr>
          <w:rFonts w:ascii="Times New Roman" w:hAnsi="Times New Roman" w:cs="Times New Roman"/>
          <w:lang w:val="en-NZ"/>
        </w:rPr>
        <w:t>institutions in (say) the US who lend to Australian rather than US companies are akin to US investors who buy Australian rather than US equities.  In both cases, with imperfect integration of markets, the imperfect correlation between the Australian and US markets implies that the Australian investments exert a lower impact than further US investments upon the risk of the assets currently held by these US investors.</w:t>
      </w:r>
      <w:r>
        <w:rPr>
          <w:rFonts w:ascii="Times New Roman" w:hAnsi="Times New Roman" w:cs="Times New Roman"/>
          <w:lang w:val="en-NZ"/>
        </w:rPr>
        <w:t xml:space="preserve">  </w:t>
      </w:r>
      <w:r w:rsidRPr="00CB48F7">
        <w:rPr>
          <w:rFonts w:ascii="Times New Roman" w:hAnsi="Times New Roman" w:cs="Times New Roman"/>
          <w:lang w:val="en-NZ"/>
        </w:rPr>
        <w:t>For example, if the correlation is zero, the systematic risk incurred by a US lender to an Australian company will be zero whereas that incurred by the same lender to a US company will be positive.</w:t>
      </w:r>
      <w:r w:rsidRPr="00DC67CA">
        <w:rPr>
          <w:rFonts w:ascii="Times New Roman" w:hAnsi="Times New Roman" w:cs="Times New Roman"/>
          <w:lang w:val="en-NZ"/>
        </w:rPr>
        <w:t xml:space="preserve">  Furthermore, in respect of lending, one would expect the benefits to be shared with the borrowers in the form of a lower DRP than they would pay on local borrowing so as to encourage borrowers to seek foreign loans.  These effects may or may not persist after the issue date because the interest rate data is then from the secondary market and secondary market buyers may or may not be from the same market.</w:t>
      </w:r>
    </w:p>
  </w:footnote>
  <w:footnote w:id="15">
    <w:p w:rsidR="005248C9" w:rsidRPr="008A7CFD" w:rsidRDefault="005248C9" w:rsidP="000A40C6">
      <w:pPr>
        <w:pStyle w:val="FootnoteText"/>
        <w:jc w:val="both"/>
        <w:rPr>
          <w:rFonts w:ascii="Times New Roman" w:hAnsi="Times New Roman" w:cs="Times New Roman"/>
        </w:rPr>
      </w:pPr>
      <w:r w:rsidRPr="008A7CFD">
        <w:rPr>
          <w:rStyle w:val="FootnoteReference"/>
          <w:rFonts w:ascii="Times New Roman" w:hAnsi="Times New Roman" w:cs="Times New Roman"/>
        </w:rPr>
        <w:footnoteRef/>
      </w:r>
      <w:r w:rsidRPr="008A7CFD">
        <w:rPr>
          <w:rFonts w:ascii="Times New Roman" w:hAnsi="Times New Roman" w:cs="Times New Roman"/>
        </w:rPr>
        <w:t xml:space="preserve"> It is possible that rating agencies delay changing ratings until the case for doing so is very strong, and therefore the stability in ratings over time is a spurious indicator of accuracy in estimation.  How</w:t>
      </w:r>
      <w:r>
        <w:rPr>
          <w:rFonts w:ascii="Times New Roman" w:hAnsi="Times New Roman" w:cs="Times New Roman"/>
        </w:rPr>
        <w:t>ever the ratings changes in 2007 and 2008</w:t>
      </w:r>
      <w:r w:rsidRPr="008A7CFD">
        <w:rPr>
          <w:rFonts w:ascii="Times New Roman" w:hAnsi="Times New Roman" w:cs="Times New Roman"/>
        </w:rPr>
        <w:t xml:space="preserve"> shown in CEG (2014, Table 14) were presumably in response to the GFC and this suggests that rating agencies do not de</w:t>
      </w:r>
      <w:r>
        <w:rPr>
          <w:rFonts w:ascii="Times New Roman" w:hAnsi="Times New Roman" w:cs="Times New Roman"/>
        </w:rPr>
        <w:t>lay changes for several years.</w:t>
      </w:r>
    </w:p>
  </w:footnote>
  <w:footnote w:id="16">
    <w:p w:rsidR="005248C9" w:rsidRPr="00835559" w:rsidRDefault="005248C9" w:rsidP="00C16897">
      <w:pPr>
        <w:pStyle w:val="FootnoteText"/>
        <w:rPr>
          <w:rFonts w:ascii="Times New Roman" w:hAnsi="Times New Roman" w:cs="Times New Roman"/>
        </w:rPr>
      </w:pPr>
      <w:r w:rsidRPr="00835559">
        <w:rPr>
          <w:rStyle w:val="FootnoteReference"/>
          <w:rFonts w:ascii="Times New Roman" w:hAnsi="Times New Roman" w:cs="Times New Roman"/>
        </w:rPr>
        <w:footnoteRef/>
      </w:r>
      <w:r w:rsidRPr="00835559">
        <w:rPr>
          <w:rFonts w:ascii="Times New Roman" w:hAnsi="Times New Roman" w:cs="Times New Roman"/>
        </w:rPr>
        <w:t xml:space="preserve"> The results for the two gas firms are shown only from 2011, because there was only data for one firm prior to that point.</w:t>
      </w:r>
    </w:p>
    <w:p w:rsidR="005248C9" w:rsidRPr="009F3859" w:rsidRDefault="005248C9" w:rsidP="00C16897">
      <w:pPr>
        <w:pStyle w:val="FootnoteText"/>
        <w:rPr>
          <w:rFonts w:ascii="Times New Roman" w:hAnsi="Times New Roman" w:cs="Times New Roman"/>
          <w:u w:val="single"/>
        </w:rPr>
      </w:pPr>
    </w:p>
  </w:footnote>
  <w:footnote w:id="17">
    <w:p w:rsidR="005248C9" w:rsidRDefault="005248C9" w:rsidP="001B4B21">
      <w:pPr>
        <w:pStyle w:val="FootnoteText"/>
        <w:jc w:val="both"/>
        <w:rPr>
          <w:rFonts w:ascii="Times New Roman" w:hAnsi="Times New Roman" w:cs="Times New Roman"/>
        </w:rPr>
      </w:pPr>
      <w:r w:rsidRPr="001B4B21">
        <w:rPr>
          <w:rStyle w:val="FootnoteReference"/>
          <w:rFonts w:ascii="Times New Roman" w:hAnsi="Times New Roman" w:cs="Times New Roman"/>
        </w:rPr>
        <w:footnoteRef/>
      </w:r>
      <w:r w:rsidRPr="001B4B21">
        <w:rPr>
          <w:rFonts w:ascii="Times New Roman" w:hAnsi="Times New Roman" w:cs="Times New Roman"/>
        </w:rPr>
        <w:t xml:space="preserve"> The terms to maturity of these bonds range from 5.5 to 7.5 years with the DRP monotonically decreasing whilst the BFVC is upward sloping.  Consequently, if the terms to maturity had matched more closely, the DRP ran</w:t>
      </w:r>
      <w:r>
        <w:rPr>
          <w:rFonts w:ascii="Times New Roman" w:hAnsi="Times New Roman" w:cs="Times New Roman"/>
        </w:rPr>
        <w:t>ge would have been even greater.</w:t>
      </w:r>
    </w:p>
    <w:p w:rsidR="005248C9" w:rsidRPr="001B4B21" w:rsidRDefault="005248C9" w:rsidP="001B4B21">
      <w:pPr>
        <w:pStyle w:val="FootnoteText"/>
        <w:jc w:val="both"/>
        <w:rPr>
          <w:rFonts w:ascii="Times New Roman" w:hAnsi="Times New Roman" w:cs="Times New Roman"/>
        </w:rPr>
      </w:pPr>
    </w:p>
  </w:footnote>
  <w:footnote w:id="18">
    <w:p w:rsidR="005248C9" w:rsidRPr="00963341" w:rsidRDefault="005248C9" w:rsidP="00133F40">
      <w:pPr>
        <w:pStyle w:val="FootnoteText"/>
        <w:jc w:val="both"/>
        <w:rPr>
          <w:rFonts w:ascii="Times New Roman" w:hAnsi="Times New Roman" w:cs="Times New Roman"/>
        </w:rPr>
      </w:pPr>
      <w:r w:rsidRPr="00963341">
        <w:rPr>
          <w:rStyle w:val="FootnoteReference"/>
          <w:rFonts w:ascii="Times New Roman" w:hAnsi="Times New Roman" w:cs="Times New Roman"/>
        </w:rPr>
        <w:footnoteRef/>
      </w:r>
      <w:r w:rsidRPr="00963341">
        <w:rPr>
          <w:rFonts w:ascii="Times New Roman" w:hAnsi="Times New Roman" w:cs="Times New Roman"/>
        </w:rPr>
        <w:t xml:space="preserve"> S&amp;P credit ratings are measures of default risk and do not also take account of the expected loss to bondholders in the event of default except for bonds below BBB (</w:t>
      </w:r>
      <w:r>
        <w:rPr>
          <w:rFonts w:ascii="Times New Roman" w:hAnsi="Times New Roman" w:cs="Times New Roman"/>
        </w:rPr>
        <w:t xml:space="preserve">REU, </w:t>
      </w:r>
      <w:r w:rsidRPr="00963341">
        <w:rPr>
          <w:rFonts w:ascii="Times New Roman" w:hAnsi="Times New Roman" w:cs="Times New Roman"/>
        </w:rPr>
        <w:t>2014, page 23).  By contrast, Moody’s allow for both considerations in their credit ratings (Moody’s, 2014, page 4).  Since the RBA uses only S&amp;P ratings, and BVAL uses an average over the ratings of any two of S&amp;P/Moody’s/Fitch, or S&amp;P, or Moody’s, most of the credit ratings used here will be those of S&amp;P.  So, the analysis here is premised on this.</w:t>
      </w:r>
    </w:p>
  </w:footnote>
  <w:footnote w:id="19">
    <w:p w:rsidR="005248C9" w:rsidRPr="00074F9D" w:rsidRDefault="005248C9" w:rsidP="00726F05">
      <w:pPr>
        <w:pStyle w:val="FootnoteText"/>
        <w:jc w:val="both"/>
        <w:rPr>
          <w:rFonts w:ascii="Times New Roman" w:hAnsi="Times New Roman" w:cs="Times New Roman"/>
        </w:rPr>
      </w:pPr>
      <w:r w:rsidRPr="00074F9D">
        <w:rPr>
          <w:rStyle w:val="FootnoteReference"/>
          <w:rFonts w:ascii="Times New Roman" w:hAnsi="Times New Roman" w:cs="Times New Roman"/>
        </w:rPr>
        <w:footnoteRef/>
      </w:r>
      <w:r w:rsidRPr="00074F9D">
        <w:rPr>
          <w:rFonts w:ascii="Times New Roman" w:hAnsi="Times New Roman" w:cs="Times New Roman"/>
        </w:rPr>
        <w:t xml:space="preserve"> These calculations presume that the RBA and BVAL </w:t>
      </w:r>
      <w:r>
        <w:rPr>
          <w:rFonts w:ascii="Times New Roman" w:hAnsi="Times New Roman" w:cs="Times New Roman"/>
        </w:rPr>
        <w:t xml:space="preserve">rates </w:t>
      </w:r>
      <w:r w:rsidRPr="00074F9D">
        <w:rPr>
          <w:rFonts w:ascii="Times New Roman" w:hAnsi="Times New Roman" w:cs="Times New Roman"/>
        </w:rPr>
        <w:t xml:space="preserve">have been consistently annualized in the presence of semi-annual or quarterly coupons.  If there is an inconsistency, and it is not clear to me whether this is the case, it would affect the results but not materially.  For example, if the BVAL </w:t>
      </w:r>
      <w:r>
        <w:rPr>
          <w:rFonts w:ascii="Times New Roman" w:hAnsi="Times New Roman" w:cs="Times New Roman"/>
        </w:rPr>
        <w:t xml:space="preserve">rates </w:t>
      </w:r>
      <w:r w:rsidRPr="00074F9D">
        <w:rPr>
          <w:rFonts w:ascii="Times New Roman" w:hAnsi="Times New Roman" w:cs="Times New Roman"/>
        </w:rPr>
        <w:t xml:space="preserve">have been corrected in this way but the RBA </w:t>
      </w:r>
      <w:r>
        <w:rPr>
          <w:rFonts w:ascii="Times New Roman" w:hAnsi="Times New Roman" w:cs="Times New Roman"/>
        </w:rPr>
        <w:t xml:space="preserve">rates </w:t>
      </w:r>
      <w:r w:rsidRPr="00074F9D">
        <w:rPr>
          <w:rFonts w:ascii="Times New Roman" w:hAnsi="Times New Roman" w:cs="Times New Roman"/>
        </w:rPr>
        <w:t xml:space="preserve">have not been, then the RBA </w:t>
      </w:r>
      <w:r>
        <w:rPr>
          <w:rFonts w:ascii="Times New Roman" w:hAnsi="Times New Roman" w:cs="Times New Roman"/>
        </w:rPr>
        <w:t xml:space="preserve">rates </w:t>
      </w:r>
      <w:r w:rsidRPr="00074F9D">
        <w:rPr>
          <w:rFonts w:ascii="Times New Roman" w:hAnsi="Times New Roman" w:cs="Times New Roman"/>
        </w:rPr>
        <w:t>should be raised by about 0.10% (3% semi-annually converts to 6% annually using simple interest and 6.09% using compounding) and therefore the average difference would fall from 0.50% to 0.40%.</w:t>
      </w:r>
    </w:p>
  </w:footnote>
  <w:footnote w:id="20">
    <w:p w:rsidR="005248C9" w:rsidRPr="00C91905" w:rsidRDefault="005248C9" w:rsidP="009A7B3A">
      <w:pPr>
        <w:pStyle w:val="FootnoteText"/>
        <w:jc w:val="both"/>
        <w:rPr>
          <w:rFonts w:ascii="Times New Roman" w:hAnsi="Times New Roman" w:cs="Times New Roman"/>
        </w:rPr>
      </w:pPr>
      <w:r w:rsidRPr="00C91905">
        <w:rPr>
          <w:rStyle w:val="FootnoteReference"/>
          <w:rFonts w:ascii="Times New Roman" w:hAnsi="Times New Roman" w:cs="Times New Roman"/>
        </w:rPr>
        <w:footnoteRef/>
      </w:r>
      <w:r w:rsidRPr="00C91905">
        <w:rPr>
          <w:rFonts w:ascii="Times New Roman" w:hAnsi="Times New Roman" w:cs="Times New Roman"/>
        </w:rPr>
        <w:t xml:space="preserve"> The BVAL was available for terms up to seven years at the time the new regime came into effect (mid 2014).  Since then, the seven year term has been terminated due to lack of data and the longest term is currently five years.  However, the principles involved in extending the BVAL out to ten years are the same in both cases.</w:t>
      </w:r>
    </w:p>
    <w:p w:rsidR="005248C9" w:rsidRDefault="005248C9">
      <w:pPr>
        <w:pStyle w:val="FootnoteText"/>
      </w:pPr>
    </w:p>
  </w:footnote>
  <w:footnote w:id="21">
    <w:p w:rsidR="005248C9" w:rsidRPr="007F0B13" w:rsidRDefault="005248C9" w:rsidP="00A54784">
      <w:pPr>
        <w:pStyle w:val="FootnoteText"/>
        <w:jc w:val="both"/>
        <w:rPr>
          <w:rFonts w:ascii="Times New Roman" w:hAnsi="Times New Roman" w:cs="Times New Roman"/>
        </w:rPr>
      </w:pPr>
      <w:r w:rsidRPr="007F0B13">
        <w:rPr>
          <w:rStyle w:val="FootnoteReference"/>
          <w:rFonts w:ascii="Times New Roman" w:hAnsi="Times New Roman" w:cs="Times New Roman"/>
        </w:rPr>
        <w:footnoteRef/>
      </w:r>
      <w:r w:rsidRPr="007F0B13">
        <w:rPr>
          <w:rFonts w:ascii="Times New Roman" w:hAnsi="Times New Roman" w:cs="Times New Roman"/>
        </w:rPr>
        <w:t xml:space="preserve"> The cost of debt reported in Table F3 for ten years is in fact the base rate (swap rate) for ten years plus the DRP estimate for bonds around ten years, and the DRP on each bond used in this estimate is its yield net of the (interpolated or extrapolated) swap rate for the same term.  Thus, effectively, the cost of debt reported in Table F3 is the estimated yield for 10</w:t>
      </w:r>
      <w:r w:rsidRPr="007F0B13">
        <w:rPr>
          <w:rFonts w:ascii="Times New Roman" w:hAnsi="Times New Roman" w:cs="Times New Roman"/>
          <w:i/>
        </w:rPr>
        <w:t>e</w:t>
      </w:r>
      <w:r w:rsidRPr="007F0B13">
        <w:rPr>
          <w:rFonts w:ascii="Times New Roman" w:hAnsi="Times New Roman" w:cs="Times New Roman"/>
        </w:rPr>
        <w:t xml:space="preserve"> years net of the estimated swap rate for 10</w:t>
      </w:r>
      <w:r w:rsidRPr="007F0B13">
        <w:rPr>
          <w:rFonts w:ascii="Times New Roman" w:hAnsi="Times New Roman" w:cs="Times New Roman"/>
          <w:i/>
        </w:rPr>
        <w:t>e</w:t>
      </w:r>
      <w:r w:rsidRPr="007F0B13">
        <w:rPr>
          <w:rFonts w:ascii="Times New Roman" w:hAnsi="Times New Roman" w:cs="Times New Roman"/>
        </w:rPr>
        <w:t xml:space="preserve"> years, plus the swap rate for 10 years, and therefore encompasses the first three terms on the RHS of equation (4).  The yield for 10</w:t>
      </w:r>
      <w:r w:rsidRPr="007F0B13">
        <w:rPr>
          <w:rFonts w:ascii="Times New Roman" w:hAnsi="Times New Roman" w:cs="Times New Roman"/>
          <w:i/>
        </w:rPr>
        <w:t>e</w:t>
      </w:r>
      <w:r w:rsidRPr="007F0B13">
        <w:rPr>
          <w:rFonts w:ascii="Times New Roman" w:hAnsi="Times New Roman" w:cs="Times New Roman"/>
        </w:rPr>
        <w:t xml:space="preserve"> years can be deduced from the rate reported in Table F3 and the contemporaneous swap rates for 10</w:t>
      </w:r>
      <w:r w:rsidRPr="007F0B13">
        <w:rPr>
          <w:rFonts w:ascii="Times New Roman" w:hAnsi="Times New Roman" w:cs="Times New Roman"/>
          <w:i/>
        </w:rPr>
        <w:t>e</w:t>
      </w:r>
      <w:r w:rsidRPr="007F0B13">
        <w:rPr>
          <w:rFonts w:ascii="Times New Roman" w:hAnsi="Times New Roman" w:cs="Times New Roman"/>
        </w:rPr>
        <w:t xml:space="preserve"> and 10 years.</w:t>
      </w:r>
    </w:p>
    <w:p w:rsidR="005248C9" w:rsidRDefault="005248C9">
      <w:pPr>
        <w:pStyle w:val="FootnoteText"/>
      </w:pPr>
    </w:p>
  </w:footnote>
  <w:footnote w:id="22">
    <w:p w:rsidR="005248C9" w:rsidRPr="007F0B13" w:rsidRDefault="005248C9" w:rsidP="00FD6F7C">
      <w:pPr>
        <w:pStyle w:val="FootnoteText"/>
        <w:jc w:val="both"/>
        <w:rPr>
          <w:rFonts w:ascii="Times New Roman" w:hAnsi="Times New Roman" w:cs="Times New Roman"/>
        </w:rPr>
      </w:pPr>
      <w:r w:rsidRPr="007F0B13">
        <w:rPr>
          <w:rStyle w:val="FootnoteReference"/>
          <w:rFonts w:ascii="Times New Roman" w:hAnsi="Times New Roman" w:cs="Times New Roman"/>
        </w:rPr>
        <w:footnoteRef/>
      </w:r>
      <w:r w:rsidRPr="007F0B13">
        <w:rPr>
          <w:rFonts w:ascii="Times New Roman" w:hAnsi="Times New Roman" w:cs="Times New Roman"/>
        </w:rPr>
        <w:t xml:space="preserve"> To illustrate the possibility that extrapolation errors can grow dramatically with the extrapolation term, suppose that the DRP as a function of term to maturity is D = -0.0139T^2 + 0.333T, which implies DRPs at 5, 7, 8.7, and 10 years of 1.32%, 1.65%, 1.85%, and 1.94% respectively.  Using the observed DRPs at 7 and 8.7 years, of 1.65% and 1.85% respectively, the estimated increment in the DRP from 8.7 to 10 years in accordance with equation (4) is 0.15% whilst the true increment is 0.09%.  So, the extrapolation overestimates the DRP at ten years by 0.06%.  By contrast, if the observed DRPs at 5 and 7 seven years had been used to estimate the DRP from 7 to 10 years, the extrapolation would overestimate the DRP at ten years by 0.20%.  So, the error would be magnified three times by extrapolating over three years rather than only 1.3 years. </w:t>
      </w:r>
    </w:p>
    <w:p w:rsidR="005248C9" w:rsidRDefault="005248C9">
      <w:pPr>
        <w:pStyle w:val="FootnoteText"/>
      </w:pPr>
    </w:p>
  </w:footnote>
  <w:footnote w:id="23">
    <w:p w:rsidR="005248C9" w:rsidRPr="0061437D" w:rsidRDefault="005248C9" w:rsidP="005F3A8F">
      <w:pPr>
        <w:pStyle w:val="FootnoteText"/>
        <w:jc w:val="both"/>
        <w:rPr>
          <w:rFonts w:ascii="Times New Roman" w:hAnsi="Times New Roman" w:cs="Times New Roman"/>
        </w:rPr>
      </w:pPr>
      <w:r w:rsidRPr="0061437D">
        <w:rPr>
          <w:rStyle w:val="FootnoteReference"/>
          <w:rFonts w:ascii="Times New Roman" w:hAnsi="Times New Roman" w:cs="Times New Roman"/>
        </w:rPr>
        <w:footnoteRef/>
      </w:r>
      <w:r w:rsidRPr="0061437D">
        <w:rPr>
          <w:rFonts w:ascii="Times New Roman" w:hAnsi="Times New Roman" w:cs="Times New Roman"/>
        </w:rPr>
        <w:t xml:space="preserve"> Both interpolations have already been performed by Bloomberg, and are reflected in the reported cost of debt and the reported DRP relative to the swap rate respectively, as shown in the RBA’s Table F3.  </w:t>
      </w:r>
    </w:p>
    <w:p w:rsidR="005248C9" w:rsidRPr="00E67273" w:rsidRDefault="005248C9" w:rsidP="005F3A8F">
      <w:pPr>
        <w:pStyle w:val="FootnoteText"/>
        <w:jc w:val="both"/>
        <w:rPr>
          <w:rFonts w:ascii="Times New Roman" w:hAnsi="Times New Roman" w:cs="Times New Roman"/>
        </w:rPr>
      </w:pPr>
    </w:p>
  </w:footnote>
  <w:footnote w:id="24">
    <w:p w:rsidR="005248C9" w:rsidRPr="00BF17EE" w:rsidRDefault="005248C9" w:rsidP="00250F99">
      <w:pPr>
        <w:pStyle w:val="FootnoteText"/>
        <w:jc w:val="both"/>
        <w:rPr>
          <w:rFonts w:ascii="Times New Roman" w:hAnsi="Times New Roman" w:cs="Times New Roman"/>
          <w:u w:val="single"/>
        </w:rPr>
      </w:pPr>
      <w:r w:rsidRPr="00250F99">
        <w:rPr>
          <w:rStyle w:val="FootnoteReference"/>
          <w:rFonts w:ascii="Times New Roman" w:hAnsi="Times New Roman" w:cs="Times New Roman"/>
        </w:rPr>
        <w:footnoteRef/>
      </w:r>
      <w:r w:rsidRPr="00250F99">
        <w:rPr>
          <w:rFonts w:ascii="Times New Roman" w:hAnsi="Times New Roman" w:cs="Times New Roman"/>
        </w:rPr>
        <w:t xml:space="preserve"> The</w:t>
      </w:r>
      <w:r>
        <w:rPr>
          <w:rFonts w:ascii="Times New Roman" w:hAnsi="Times New Roman" w:cs="Times New Roman"/>
        </w:rPr>
        <w:t xml:space="preserve"> interpolation involves the bond with a greatest residual term to maturity below the target term and the bond with the lowest residual term to maturity above the target term.  For example, a ten-year term to maturity from 31 July 2014 is 31 July 2024, and the bonds used in the interpolation have maturity dates of 21 April 2024 and 21 April 2025.  </w:t>
      </w:r>
      <w:r w:rsidRPr="0061437D">
        <w:rPr>
          <w:rFonts w:ascii="Times New Roman" w:hAnsi="Times New Roman" w:cs="Times New Roman"/>
        </w:rPr>
        <w:t>So, the interpolation here is only over three months (from April 2024 to July 2024).</w:t>
      </w:r>
    </w:p>
  </w:footnote>
  <w:footnote w:id="25">
    <w:p w:rsidR="005248C9" w:rsidRPr="001348AA" w:rsidRDefault="005248C9" w:rsidP="00560068">
      <w:pPr>
        <w:pStyle w:val="FootnoteText"/>
        <w:jc w:val="both"/>
        <w:rPr>
          <w:rFonts w:ascii="Times New Roman" w:hAnsi="Times New Roman" w:cs="Times New Roman"/>
        </w:rPr>
      </w:pPr>
      <w:r w:rsidRPr="001348AA">
        <w:rPr>
          <w:rStyle w:val="FootnoteReference"/>
          <w:rFonts w:ascii="Times New Roman" w:hAnsi="Times New Roman" w:cs="Times New Roman"/>
        </w:rPr>
        <w:footnoteRef/>
      </w:r>
      <w:r w:rsidRPr="001348AA">
        <w:rPr>
          <w:rFonts w:ascii="Times New Roman" w:hAnsi="Times New Roman" w:cs="Times New Roman"/>
        </w:rPr>
        <w:t xml:space="preserve"> Incenta uses RBA values for 6.8 and 8.7 years (on average) to estimate the DRP increment from 7 to 10 years.  This may lead to bias in the RBA estimates, and therefore adversely reflect on Incenta’s assessment of the RBA index.  However, if Incenta had corrected the RBA estimates to generate estimates for 7 and 10 years, this potential bias would have been eliminated and therefore the performance of the RBA index may have been better.</w:t>
      </w:r>
    </w:p>
  </w:footnote>
  <w:footnote w:id="26">
    <w:p w:rsidR="005248C9" w:rsidRPr="008A7DF6" w:rsidRDefault="005248C9" w:rsidP="00EC73BE">
      <w:pPr>
        <w:pStyle w:val="FootnoteText"/>
        <w:jc w:val="both"/>
        <w:rPr>
          <w:rFonts w:ascii="Times New Roman" w:hAnsi="Times New Roman" w:cs="Times New Roman"/>
        </w:rPr>
      </w:pPr>
      <w:r w:rsidRPr="008A7DF6">
        <w:rPr>
          <w:rStyle w:val="FootnoteReference"/>
          <w:rFonts w:ascii="Times New Roman" w:hAnsi="Times New Roman" w:cs="Times New Roman"/>
        </w:rPr>
        <w:footnoteRef/>
      </w:r>
      <w:r w:rsidRPr="008A7DF6">
        <w:rPr>
          <w:rFonts w:ascii="Times New Roman" w:hAnsi="Times New Roman" w:cs="Times New Roman"/>
        </w:rPr>
        <w:t xml:space="preserve"> This figure may be for an effective term of less than seven years, as with the RBA value for seven years.  However, in the absence of any information from Bloomberg on this matter, I assume the figure is also for an effective term of seven years.  The average discrepancy in the RBA data averages only 0.3 years and therefore, if the same is true for the Bloomberg data, the issue is minor.</w:t>
      </w:r>
    </w:p>
  </w:footnote>
  <w:footnote w:id="27">
    <w:p w:rsidR="005248C9" w:rsidRPr="00CA2C3F" w:rsidRDefault="005248C9" w:rsidP="0060428B">
      <w:pPr>
        <w:pStyle w:val="FootnoteText"/>
        <w:jc w:val="both"/>
        <w:rPr>
          <w:rFonts w:ascii="Times New Roman" w:hAnsi="Times New Roman" w:cs="Times New Roman"/>
        </w:rPr>
      </w:pPr>
      <w:r w:rsidRPr="00CA2C3F">
        <w:rPr>
          <w:rStyle w:val="FootnoteReference"/>
          <w:rFonts w:ascii="Times New Roman" w:hAnsi="Times New Roman" w:cs="Times New Roman"/>
        </w:rPr>
        <w:footnoteRef/>
      </w:r>
      <w:r w:rsidRPr="00CA2C3F">
        <w:rPr>
          <w:rFonts w:ascii="Times New Roman" w:hAnsi="Times New Roman" w:cs="Times New Roman"/>
        </w:rPr>
        <w:t xml:space="preserve"> All of these calculations presume that the RBA and BVAL rates have been properly annualized in the presence of semi-annual or quarterly coupons.  If this is not the case, it should be done first.  For example, with semi-annual coupons and a semi-annual rate of 3%, the annual equivalent of this is 6.09%.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C9" w:rsidRDefault="00524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C9" w:rsidRDefault="00524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C9" w:rsidRDefault="00524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124"/>
    <w:multiLevelType w:val="hybridMultilevel"/>
    <w:tmpl w:val="31923744"/>
    <w:lvl w:ilvl="0" w:tplc="EB90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719E0"/>
    <w:multiLevelType w:val="hybridMultilevel"/>
    <w:tmpl w:val="EA9AAA8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A4389B34">
      <w:numFmt w:val="bullet"/>
      <w:lvlText w:val=""/>
      <w:lvlJc w:val="left"/>
      <w:pPr>
        <w:tabs>
          <w:tab w:val="num" w:pos="2880"/>
        </w:tabs>
        <w:ind w:left="2880" w:hanging="360"/>
      </w:pPr>
      <w:rPr>
        <w:rFonts w:ascii="Symbol" w:eastAsia="Times New Roman" w:hAnsi="Symbol"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E3A5088"/>
    <w:multiLevelType w:val="hybridMultilevel"/>
    <w:tmpl w:val="F71C7B9C"/>
    <w:lvl w:ilvl="0" w:tplc="9C5AA3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B7A1A49"/>
    <w:multiLevelType w:val="hybridMultilevel"/>
    <w:tmpl w:val="8A9610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2C57382C"/>
    <w:multiLevelType w:val="multilevel"/>
    <w:tmpl w:val="BBC61C06"/>
    <w:lvl w:ilvl="0">
      <w:start w:val="1"/>
      <w:numFmt w:val="decimal"/>
      <w:pStyle w:val="AERheading1"/>
      <w:lvlText w:val="%1"/>
      <w:lvlJc w:val="left"/>
      <w:pPr>
        <w:tabs>
          <w:tab w:val="num" w:pos="720"/>
        </w:tabs>
        <w:ind w:left="720" w:hanging="720"/>
      </w:pPr>
      <w:rPr>
        <w:rFonts w:hint="default"/>
      </w:rPr>
    </w:lvl>
    <w:lvl w:ilvl="1">
      <w:start w:val="1"/>
      <w:numFmt w:val="decimal"/>
      <w:pStyle w:val="AERheading2"/>
      <w:lvlText w:val="%1.%2"/>
      <w:lvlJc w:val="left"/>
      <w:pPr>
        <w:tabs>
          <w:tab w:val="num" w:pos="720"/>
        </w:tabs>
        <w:ind w:left="720" w:hanging="720"/>
      </w:pPr>
      <w:rPr>
        <w:rFonts w:hint="default"/>
      </w:rPr>
    </w:lvl>
    <w:lvl w:ilvl="2">
      <w:start w:val="1"/>
      <w:numFmt w:val="decimal"/>
      <w:pStyle w:val="AERheading3"/>
      <w:lvlText w:val="%1.%2.%3"/>
      <w:lvlJc w:val="left"/>
      <w:pPr>
        <w:tabs>
          <w:tab w:val="num" w:pos="1080"/>
        </w:tabs>
        <w:ind w:left="1080" w:hanging="720"/>
      </w:pPr>
      <w:rPr>
        <w:rFonts w:hint="default"/>
      </w:rPr>
    </w:lvl>
    <w:lvl w:ilvl="3">
      <w:start w:val="1"/>
      <w:numFmt w:val="decimal"/>
      <w:pStyle w:val="AERheading4"/>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D665A1A"/>
    <w:multiLevelType w:val="hybridMultilevel"/>
    <w:tmpl w:val="100633DA"/>
    <w:lvl w:ilvl="0" w:tplc="482C266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9A9478C"/>
    <w:multiLevelType w:val="hybridMultilevel"/>
    <w:tmpl w:val="086EA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2606BF"/>
    <w:multiLevelType w:val="hybridMultilevel"/>
    <w:tmpl w:val="F5381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3056111"/>
    <w:multiLevelType w:val="hybridMultilevel"/>
    <w:tmpl w:val="0BF8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A721CD"/>
    <w:multiLevelType w:val="hybridMultilevel"/>
    <w:tmpl w:val="E0EA003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nsid w:val="4C145D07"/>
    <w:multiLevelType w:val="hybridMultilevel"/>
    <w:tmpl w:val="F71C7B9C"/>
    <w:lvl w:ilvl="0" w:tplc="9C5AA3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C947C5B"/>
    <w:multiLevelType w:val="hybridMultilevel"/>
    <w:tmpl w:val="365602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9E5A1F"/>
    <w:multiLevelType w:val="multilevel"/>
    <w:tmpl w:val="350C647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nsid w:val="529847DD"/>
    <w:multiLevelType w:val="hybridMultilevel"/>
    <w:tmpl w:val="537875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3EC59D3"/>
    <w:multiLevelType w:val="hybridMultilevel"/>
    <w:tmpl w:val="5778FA3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5C5F7514"/>
    <w:multiLevelType w:val="hybridMultilevel"/>
    <w:tmpl w:val="C5B09498"/>
    <w:lvl w:ilvl="0" w:tplc="5CCA2F88">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600D1902"/>
    <w:multiLevelType w:val="hybridMultilevel"/>
    <w:tmpl w:val="269A2F5E"/>
    <w:lvl w:ilvl="0" w:tplc="A09285FA">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nsid w:val="6C2A5BD0"/>
    <w:multiLevelType w:val="hybridMultilevel"/>
    <w:tmpl w:val="057A726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C2B6A3D"/>
    <w:multiLevelType w:val="hybridMultilevel"/>
    <w:tmpl w:val="A992C13C"/>
    <w:lvl w:ilvl="0" w:tplc="4A16B8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0344154"/>
    <w:multiLevelType w:val="hybridMultilevel"/>
    <w:tmpl w:val="EC007954"/>
    <w:lvl w:ilvl="0" w:tplc="06900E9C">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0">
    <w:nsid w:val="70EB3262"/>
    <w:multiLevelType w:val="hybridMultilevel"/>
    <w:tmpl w:val="0A2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BC790B"/>
    <w:multiLevelType w:val="hybridMultilevel"/>
    <w:tmpl w:val="CEFC39CE"/>
    <w:lvl w:ilvl="0" w:tplc="5CCA2F8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74203C2C"/>
    <w:multiLevelType w:val="hybridMultilevel"/>
    <w:tmpl w:val="3170EF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4F0766E"/>
    <w:multiLevelType w:val="hybridMultilevel"/>
    <w:tmpl w:val="31923744"/>
    <w:lvl w:ilvl="0" w:tplc="EB90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92195"/>
    <w:multiLevelType w:val="hybridMultilevel"/>
    <w:tmpl w:val="3394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5"/>
  </w:num>
  <w:num w:numId="5">
    <w:abstractNumId w:val="10"/>
  </w:num>
  <w:num w:numId="6">
    <w:abstractNumId w:val="2"/>
  </w:num>
  <w:num w:numId="7">
    <w:abstractNumId w:val="1"/>
  </w:num>
  <w:num w:numId="8">
    <w:abstractNumId w:val="4"/>
  </w:num>
  <w:num w:numId="9">
    <w:abstractNumId w:val="11"/>
  </w:num>
  <w:num w:numId="10">
    <w:abstractNumId w:val="17"/>
  </w:num>
  <w:num w:numId="11">
    <w:abstractNumId w:val="24"/>
  </w:num>
  <w:num w:numId="12">
    <w:abstractNumId w:val="13"/>
  </w:num>
  <w:num w:numId="13">
    <w:abstractNumId w:val="8"/>
  </w:num>
  <w:num w:numId="14">
    <w:abstractNumId w:val="20"/>
  </w:num>
  <w:num w:numId="15">
    <w:abstractNumId w:val="6"/>
  </w:num>
  <w:num w:numId="16">
    <w:abstractNumId w:val="22"/>
  </w:num>
  <w:num w:numId="17">
    <w:abstractNumId w:val="14"/>
  </w:num>
  <w:num w:numId="18">
    <w:abstractNumId w:val="9"/>
  </w:num>
  <w:num w:numId="19">
    <w:abstractNumId w:val="19"/>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sand\Local Settings\Temporary Internet Files\Content.Outlook\5GEU4832\AER-2014-Implementation Issues for kd.docx"/>
  </w:docVars>
  <w:rsids>
    <w:rsidRoot w:val="00122250"/>
    <w:rsid w:val="00000463"/>
    <w:rsid w:val="00000790"/>
    <w:rsid w:val="000008E5"/>
    <w:rsid w:val="00001900"/>
    <w:rsid w:val="00001998"/>
    <w:rsid w:val="00001E50"/>
    <w:rsid w:val="00002E99"/>
    <w:rsid w:val="00002F21"/>
    <w:rsid w:val="000038AE"/>
    <w:rsid w:val="00004B5E"/>
    <w:rsid w:val="000064C9"/>
    <w:rsid w:val="00006D6B"/>
    <w:rsid w:val="0001013E"/>
    <w:rsid w:val="000102D0"/>
    <w:rsid w:val="00010E5D"/>
    <w:rsid w:val="00011CDA"/>
    <w:rsid w:val="00012ABA"/>
    <w:rsid w:val="000135C8"/>
    <w:rsid w:val="00013C4F"/>
    <w:rsid w:val="00014014"/>
    <w:rsid w:val="00014A1F"/>
    <w:rsid w:val="00014B27"/>
    <w:rsid w:val="0001777C"/>
    <w:rsid w:val="000212D8"/>
    <w:rsid w:val="00021403"/>
    <w:rsid w:val="000215C0"/>
    <w:rsid w:val="00021DD6"/>
    <w:rsid w:val="00022F39"/>
    <w:rsid w:val="0002318B"/>
    <w:rsid w:val="00023BF7"/>
    <w:rsid w:val="00024155"/>
    <w:rsid w:val="00024968"/>
    <w:rsid w:val="00024E99"/>
    <w:rsid w:val="00024F47"/>
    <w:rsid w:val="00025140"/>
    <w:rsid w:val="000264C0"/>
    <w:rsid w:val="00026D1F"/>
    <w:rsid w:val="0002747A"/>
    <w:rsid w:val="0003084C"/>
    <w:rsid w:val="00030B22"/>
    <w:rsid w:val="000317EF"/>
    <w:rsid w:val="00032465"/>
    <w:rsid w:val="0003375A"/>
    <w:rsid w:val="00033FD9"/>
    <w:rsid w:val="00034B78"/>
    <w:rsid w:val="00035451"/>
    <w:rsid w:val="00036651"/>
    <w:rsid w:val="00036B1E"/>
    <w:rsid w:val="00036CCE"/>
    <w:rsid w:val="0003720D"/>
    <w:rsid w:val="0003746E"/>
    <w:rsid w:val="00040746"/>
    <w:rsid w:val="00040B3E"/>
    <w:rsid w:val="00040FD8"/>
    <w:rsid w:val="00041292"/>
    <w:rsid w:val="000414CF"/>
    <w:rsid w:val="000423F3"/>
    <w:rsid w:val="0004247D"/>
    <w:rsid w:val="000427A8"/>
    <w:rsid w:val="00043381"/>
    <w:rsid w:val="00043BF0"/>
    <w:rsid w:val="00044361"/>
    <w:rsid w:val="00044995"/>
    <w:rsid w:val="00047497"/>
    <w:rsid w:val="000502E5"/>
    <w:rsid w:val="00050E2C"/>
    <w:rsid w:val="000519F7"/>
    <w:rsid w:val="000554BA"/>
    <w:rsid w:val="00056D67"/>
    <w:rsid w:val="00062005"/>
    <w:rsid w:val="00063276"/>
    <w:rsid w:val="0006497D"/>
    <w:rsid w:val="00064C0D"/>
    <w:rsid w:val="000650F9"/>
    <w:rsid w:val="00065C55"/>
    <w:rsid w:val="0006687D"/>
    <w:rsid w:val="000668E4"/>
    <w:rsid w:val="00066D34"/>
    <w:rsid w:val="0006748F"/>
    <w:rsid w:val="000719A3"/>
    <w:rsid w:val="000719E4"/>
    <w:rsid w:val="00071A66"/>
    <w:rsid w:val="00071E6B"/>
    <w:rsid w:val="00074D68"/>
    <w:rsid w:val="00074F9D"/>
    <w:rsid w:val="00075C4E"/>
    <w:rsid w:val="00075FFD"/>
    <w:rsid w:val="000767D1"/>
    <w:rsid w:val="000774E6"/>
    <w:rsid w:val="0007754D"/>
    <w:rsid w:val="00077684"/>
    <w:rsid w:val="00080645"/>
    <w:rsid w:val="000835DC"/>
    <w:rsid w:val="0008360D"/>
    <w:rsid w:val="000862A6"/>
    <w:rsid w:val="000879F8"/>
    <w:rsid w:val="00091492"/>
    <w:rsid w:val="00091AFA"/>
    <w:rsid w:val="0009323D"/>
    <w:rsid w:val="0009594A"/>
    <w:rsid w:val="00095F16"/>
    <w:rsid w:val="0009669C"/>
    <w:rsid w:val="0009700E"/>
    <w:rsid w:val="000975E8"/>
    <w:rsid w:val="000976CB"/>
    <w:rsid w:val="000A0B05"/>
    <w:rsid w:val="000A3F1D"/>
    <w:rsid w:val="000A40C6"/>
    <w:rsid w:val="000A499F"/>
    <w:rsid w:val="000A4E0A"/>
    <w:rsid w:val="000A552A"/>
    <w:rsid w:val="000A68B4"/>
    <w:rsid w:val="000A747C"/>
    <w:rsid w:val="000A791B"/>
    <w:rsid w:val="000A7A67"/>
    <w:rsid w:val="000A7CAD"/>
    <w:rsid w:val="000B138F"/>
    <w:rsid w:val="000B24EB"/>
    <w:rsid w:val="000B27A1"/>
    <w:rsid w:val="000B28D9"/>
    <w:rsid w:val="000B2A0D"/>
    <w:rsid w:val="000B2A9A"/>
    <w:rsid w:val="000B48D3"/>
    <w:rsid w:val="000B5CF5"/>
    <w:rsid w:val="000C14E9"/>
    <w:rsid w:val="000C1885"/>
    <w:rsid w:val="000C3446"/>
    <w:rsid w:val="000C7B31"/>
    <w:rsid w:val="000C7E37"/>
    <w:rsid w:val="000D0E81"/>
    <w:rsid w:val="000D11CF"/>
    <w:rsid w:val="000D267B"/>
    <w:rsid w:val="000D27FD"/>
    <w:rsid w:val="000D2B22"/>
    <w:rsid w:val="000D2CC2"/>
    <w:rsid w:val="000D301B"/>
    <w:rsid w:val="000D3097"/>
    <w:rsid w:val="000D3E55"/>
    <w:rsid w:val="000D50A0"/>
    <w:rsid w:val="000D5F3D"/>
    <w:rsid w:val="000D6FAA"/>
    <w:rsid w:val="000E050A"/>
    <w:rsid w:val="000E1937"/>
    <w:rsid w:val="000E1CE7"/>
    <w:rsid w:val="000E244D"/>
    <w:rsid w:val="000E27C5"/>
    <w:rsid w:val="000E2CFF"/>
    <w:rsid w:val="000E3390"/>
    <w:rsid w:val="000E39AD"/>
    <w:rsid w:val="000E537F"/>
    <w:rsid w:val="000E6B65"/>
    <w:rsid w:val="000E75C4"/>
    <w:rsid w:val="000E7B42"/>
    <w:rsid w:val="000F01CC"/>
    <w:rsid w:val="000F09F4"/>
    <w:rsid w:val="000F156A"/>
    <w:rsid w:val="000F18FE"/>
    <w:rsid w:val="000F38BB"/>
    <w:rsid w:val="000F530A"/>
    <w:rsid w:val="000F62E8"/>
    <w:rsid w:val="00100891"/>
    <w:rsid w:val="0010163D"/>
    <w:rsid w:val="001019A2"/>
    <w:rsid w:val="00101D01"/>
    <w:rsid w:val="0010217E"/>
    <w:rsid w:val="00102A2F"/>
    <w:rsid w:val="00102C10"/>
    <w:rsid w:val="00104732"/>
    <w:rsid w:val="00106399"/>
    <w:rsid w:val="00107680"/>
    <w:rsid w:val="001113EF"/>
    <w:rsid w:val="00112DC6"/>
    <w:rsid w:val="001134B6"/>
    <w:rsid w:val="00113F56"/>
    <w:rsid w:val="00114D93"/>
    <w:rsid w:val="00115953"/>
    <w:rsid w:val="00115EF3"/>
    <w:rsid w:val="00116377"/>
    <w:rsid w:val="001173C4"/>
    <w:rsid w:val="00117494"/>
    <w:rsid w:val="00117514"/>
    <w:rsid w:val="00120AC0"/>
    <w:rsid w:val="00121C8E"/>
    <w:rsid w:val="00121CEA"/>
    <w:rsid w:val="00121E1B"/>
    <w:rsid w:val="00122250"/>
    <w:rsid w:val="001250AA"/>
    <w:rsid w:val="001257BD"/>
    <w:rsid w:val="001276A1"/>
    <w:rsid w:val="0013258C"/>
    <w:rsid w:val="0013264C"/>
    <w:rsid w:val="00133647"/>
    <w:rsid w:val="00133F40"/>
    <w:rsid w:val="0013416F"/>
    <w:rsid w:val="001348AA"/>
    <w:rsid w:val="00135777"/>
    <w:rsid w:val="00135C0B"/>
    <w:rsid w:val="00136884"/>
    <w:rsid w:val="00136CA2"/>
    <w:rsid w:val="001371B6"/>
    <w:rsid w:val="001374B6"/>
    <w:rsid w:val="00137A36"/>
    <w:rsid w:val="00137BBC"/>
    <w:rsid w:val="00137D58"/>
    <w:rsid w:val="00137F7A"/>
    <w:rsid w:val="001404F0"/>
    <w:rsid w:val="00141021"/>
    <w:rsid w:val="00141EC0"/>
    <w:rsid w:val="001424E1"/>
    <w:rsid w:val="00144942"/>
    <w:rsid w:val="00144E99"/>
    <w:rsid w:val="00145575"/>
    <w:rsid w:val="001460D3"/>
    <w:rsid w:val="00146960"/>
    <w:rsid w:val="0015027F"/>
    <w:rsid w:val="00150D2D"/>
    <w:rsid w:val="0015150C"/>
    <w:rsid w:val="00151910"/>
    <w:rsid w:val="0015344E"/>
    <w:rsid w:val="00153610"/>
    <w:rsid w:val="00153619"/>
    <w:rsid w:val="00153724"/>
    <w:rsid w:val="00153B5A"/>
    <w:rsid w:val="00153B80"/>
    <w:rsid w:val="0015459A"/>
    <w:rsid w:val="00154608"/>
    <w:rsid w:val="001549B6"/>
    <w:rsid w:val="001559F3"/>
    <w:rsid w:val="00155F27"/>
    <w:rsid w:val="00157AA9"/>
    <w:rsid w:val="0016124C"/>
    <w:rsid w:val="00161BF2"/>
    <w:rsid w:val="001622E8"/>
    <w:rsid w:val="001633A2"/>
    <w:rsid w:val="00163D36"/>
    <w:rsid w:val="001643A3"/>
    <w:rsid w:val="00164DBA"/>
    <w:rsid w:val="00165466"/>
    <w:rsid w:val="0016690C"/>
    <w:rsid w:val="0017042C"/>
    <w:rsid w:val="00171CF9"/>
    <w:rsid w:val="00171D0E"/>
    <w:rsid w:val="001735CA"/>
    <w:rsid w:val="00173CD1"/>
    <w:rsid w:val="0017422F"/>
    <w:rsid w:val="0017502F"/>
    <w:rsid w:val="00176605"/>
    <w:rsid w:val="001770AF"/>
    <w:rsid w:val="0017780B"/>
    <w:rsid w:val="00177D74"/>
    <w:rsid w:val="00180F90"/>
    <w:rsid w:val="0018293F"/>
    <w:rsid w:val="00182E5B"/>
    <w:rsid w:val="00183CB5"/>
    <w:rsid w:val="00184FCB"/>
    <w:rsid w:val="001874A1"/>
    <w:rsid w:val="00187E7D"/>
    <w:rsid w:val="00190143"/>
    <w:rsid w:val="001901A9"/>
    <w:rsid w:val="0019039C"/>
    <w:rsid w:val="00191DE3"/>
    <w:rsid w:val="0019231E"/>
    <w:rsid w:val="00192A69"/>
    <w:rsid w:val="00193253"/>
    <w:rsid w:val="0019387F"/>
    <w:rsid w:val="0019427B"/>
    <w:rsid w:val="00194683"/>
    <w:rsid w:val="00194B23"/>
    <w:rsid w:val="00195CA7"/>
    <w:rsid w:val="00197990"/>
    <w:rsid w:val="00197A71"/>
    <w:rsid w:val="001A06FF"/>
    <w:rsid w:val="001A13F9"/>
    <w:rsid w:val="001A29DF"/>
    <w:rsid w:val="001A325D"/>
    <w:rsid w:val="001A3F0D"/>
    <w:rsid w:val="001A3F44"/>
    <w:rsid w:val="001A44C5"/>
    <w:rsid w:val="001A59FF"/>
    <w:rsid w:val="001A5C95"/>
    <w:rsid w:val="001A776A"/>
    <w:rsid w:val="001B0900"/>
    <w:rsid w:val="001B0BEC"/>
    <w:rsid w:val="001B0F96"/>
    <w:rsid w:val="001B2C89"/>
    <w:rsid w:val="001B2CBC"/>
    <w:rsid w:val="001B3E71"/>
    <w:rsid w:val="001B4B21"/>
    <w:rsid w:val="001B4CAA"/>
    <w:rsid w:val="001B5444"/>
    <w:rsid w:val="001B657B"/>
    <w:rsid w:val="001B6C6A"/>
    <w:rsid w:val="001B753D"/>
    <w:rsid w:val="001C0EAD"/>
    <w:rsid w:val="001C2B91"/>
    <w:rsid w:val="001C2D5E"/>
    <w:rsid w:val="001C4BD6"/>
    <w:rsid w:val="001C5780"/>
    <w:rsid w:val="001C589F"/>
    <w:rsid w:val="001C6053"/>
    <w:rsid w:val="001C71CB"/>
    <w:rsid w:val="001D0825"/>
    <w:rsid w:val="001D0ED4"/>
    <w:rsid w:val="001D2951"/>
    <w:rsid w:val="001D4EB9"/>
    <w:rsid w:val="001D5D84"/>
    <w:rsid w:val="001D6248"/>
    <w:rsid w:val="001D7BF9"/>
    <w:rsid w:val="001D7C3E"/>
    <w:rsid w:val="001E08D3"/>
    <w:rsid w:val="001E1361"/>
    <w:rsid w:val="001E2FBD"/>
    <w:rsid w:val="001E3038"/>
    <w:rsid w:val="001E3C6B"/>
    <w:rsid w:val="001E4ADA"/>
    <w:rsid w:val="001E7396"/>
    <w:rsid w:val="001E77A2"/>
    <w:rsid w:val="001F042D"/>
    <w:rsid w:val="001F1EC0"/>
    <w:rsid w:val="001F2282"/>
    <w:rsid w:val="001F50C2"/>
    <w:rsid w:val="001F50FD"/>
    <w:rsid w:val="001F5364"/>
    <w:rsid w:val="001F5D2F"/>
    <w:rsid w:val="001F7BA9"/>
    <w:rsid w:val="00200383"/>
    <w:rsid w:val="0020154B"/>
    <w:rsid w:val="00201D67"/>
    <w:rsid w:val="00201FFE"/>
    <w:rsid w:val="002026ED"/>
    <w:rsid w:val="0020467B"/>
    <w:rsid w:val="00206E87"/>
    <w:rsid w:val="00207529"/>
    <w:rsid w:val="002079AB"/>
    <w:rsid w:val="00210668"/>
    <w:rsid w:val="00210F7F"/>
    <w:rsid w:val="0021216E"/>
    <w:rsid w:val="00213100"/>
    <w:rsid w:val="0021378E"/>
    <w:rsid w:val="00214866"/>
    <w:rsid w:val="00214B4B"/>
    <w:rsid w:val="00215486"/>
    <w:rsid w:val="00215897"/>
    <w:rsid w:val="0021590E"/>
    <w:rsid w:val="0021617F"/>
    <w:rsid w:val="00216FBA"/>
    <w:rsid w:val="00217681"/>
    <w:rsid w:val="00221CF9"/>
    <w:rsid w:val="00222582"/>
    <w:rsid w:val="00222CC5"/>
    <w:rsid w:val="00223869"/>
    <w:rsid w:val="00223B72"/>
    <w:rsid w:val="00223D97"/>
    <w:rsid w:val="002243C8"/>
    <w:rsid w:val="00224D0C"/>
    <w:rsid w:val="002254BF"/>
    <w:rsid w:val="00226055"/>
    <w:rsid w:val="00230652"/>
    <w:rsid w:val="0023096B"/>
    <w:rsid w:val="00230E3A"/>
    <w:rsid w:val="00232807"/>
    <w:rsid w:val="0023285E"/>
    <w:rsid w:val="00233160"/>
    <w:rsid w:val="0023553C"/>
    <w:rsid w:val="00235B76"/>
    <w:rsid w:val="00236C45"/>
    <w:rsid w:val="00236DF2"/>
    <w:rsid w:val="0023746F"/>
    <w:rsid w:val="002403D2"/>
    <w:rsid w:val="00241404"/>
    <w:rsid w:val="0024158F"/>
    <w:rsid w:val="00241C23"/>
    <w:rsid w:val="00242813"/>
    <w:rsid w:val="00242DD0"/>
    <w:rsid w:val="00243006"/>
    <w:rsid w:val="002437AF"/>
    <w:rsid w:val="002447FB"/>
    <w:rsid w:val="00244B03"/>
    <w:rsid w:val="0024539E"/>
    <w:rsid w:val="00245F65"/>
    <w:rsid w:val="002477F8"/>
    <w:rsid w:val="002503A8"/>
    <w:rsid w:val="00250B3B"/>
    <w:rsid w:val="00250F99"/>
    <w:rsid w:val="0025214F"/>
    <w:rsid w:val="00252463"/>
    <w:rsid w:val="002525B5"/>
    <w:rsid w:val="00252B31"/>
    <w:rsid w:val="00253CA5"/>
    <w:rsid w:val="00254E37"/>
    <w:rsid w:val="002551A9"/>
    <w:rsid w:val="002558A6"/>
    <w:rsid w:val="00255AC7"/>
    <w:rsid w:val="0025747D"/>
    <w:rsid w:val="00263648"/>
    <w:rsid w:val="00264330"/>
    <w:rsid w:val="002654BC"/>
    <w:rsid w:val="002657D6"/>
    <w:rsid w:val="002669AC"/>
    <w:rsid w:val="00267097"/>
    <w:rsid w:val="00267630"/>
    <w:rsid w:val="002678D6"/>
    <w:rsid w:val="002709CF"/>
    <w:rsid w:val="00270D92"/>
    <w:rsid w:val="00271BE8"/>
    <w:rsid w:val="00271F4A"/>
    <w:rsid w:val="002727AC"/>
    <w:rsid w:val="0027281B"/>
    <w:rsid w:val="00273197"/>
    <w:rsid w:val="00275D9F"/>
    <w:rsid w:val="00275EDD"/>
    <w:rsid w:val="002768DD"/>
    <w:rsid w:val="002770A2"/>
    <w:rsid w:val="00281AD4"/>
    <w:rsid w:val="00281F6E"/>
    <w:rsid w:val="00282905"/>
    <w:rsid w:val="00282A33"/>
    <w:rsid w:val="0028310F"/>
    <w:rsid w:val="002834BC"/>
    <w:rsid w:val="00283DDF"/>
    <w:rsid w:val="00283F3E"/>
    <w:rsid w:val="002844AF"/>
    <w:rsid w:val="002844F5"/>
    <w:rsid w:val="002864C4"/>
    <w:rsid w:val="00287FA9"/>
    <w:rsid w:val="0029032D"/>
    <w:rsid w:val="00290ADA"/>
    <w:rsid w:val="00291908"/>
    <w:rsid w:val="00291A47"/>
    <w:rsid w:val="00292EF5"/>
    <w:rsid w:val="00293680"/>
    <w:rsid w:val="00294103"/>
    <w:rsid w:val="00294693"/>
    <w:rsid w:val="00294960"/>
    <w:rsid w:val="00294A10"/>
    <w:rsid w:val="00294C83"/>
    <w:rsid w:val="00294FBA"/>
    <w:rsid w:val="00295903"/>
    <w:rsid w:val="00295B5D"/>
    <w:rsid w:val="002972DB"/>
    <w:rsid w:val="002A05A1"/>
    <w:rsid w:val="002A08C3"/>
    <w:rsid w:val="002A32B4"/>
    <w:rsid w:val="002A369F"/>
    <w:rsid w:val="002A4DD5"/>
    <w:rsid w:val="002A55E0"/>
    <w:rsid w:val="002B1A78"/>
    <w:rsid w:val="002B2F42"/>
    <w:rsid w:val="002B46E9"/>
    <w:rsid w:val="002B4C96"/>
    <w:rsid w:val="002B4F8D"/>
    <w:rsid w:val="002B708C"/>
    <w:rsid w:val="002C1DF9"/>
    <w:rsid w:val="002C3147"/>
    <w:rsid w:val="002C5697"/>
    <w:rsid w:val="002C5C88"/>
    <w:rsid w:val="002D30F3"/>
    <w:rsid w:val="002D3C13"/>
    <w:rsid w:val="002D3DEA"/>
    <w:rsid w:val="002D43B1"/>
    <w:rsid w:val="002D462A"/>
    <w:rsid w:val="002D4806"/>
    <w:rsid w:val="002D577F"/>
    <w:rsid w:val="002D5A62"/>
    <w:rsid w:val="002E0848"/>
    <w:rsid w:val="002E1D77"/>
    <w:rsid w:val="002E2E03"/>
    <w:rsid w:val="002E30F6"/>
    <w:rsid w:val="002E3103"/>
    <w:rsid w:val="002E3F61"/>
    <w:rsid w:val="002E462E"/>
    <w:rsid w:val="002E46B8"/>
    <w:rsid w:val="002E53AA"/>
    <w:rsid w:val="002E5FDF"/>
    <w:rsid w:val="002E6167"/>
    <w:rsid w:val="002E6E03"/>
    <w:rsid w:val="002E728D"/>
    <w:rsid w:val="002E7BBE"/>
    <w:rsid w:val="002F0000"/>
    <w:rsid w:val="002F07C0"/>
    <w:rsid w:val="002F0871"/>
    <w:rsid w:val="002F0E64"/>
    <w:rsid w:val="002F27BE"/>
    <w:rsid w:val="002F2FB4"/>
    <w:rsid w:val="002F3CF4"/>
    <w:rsid w:val="002F4A2D"/>
    <w:rsid w:val="002F6ABB"/>
    <w:rsid w:val="002F6BBB"/>
    <w:rsid w:val="002F7988"/>
    <w:rsid w:val="0030038D"/>
    <w:rsid w:val="00300815"/>
    <w:rsid w:val="003018B1"/>
    <w:rsid w:val="00301D16"/>
    <w:rsid w:val="00302CB1"/>
    <w:rsid w:val="003058C3"/>
    <w:rsid w:val="0030628F"/>
    <w:rsid w:val="00307B4C"/>
    <w:rsid w:val="00307C39"/>
    <w:rsid w:val="00311128"/>
    <w:rsid w:val="00312460"/>
    <w:rsid w:val="00312AB2"/>
    <w:rsid w:val="00312F85"/>
    <w:rsid w:val="003137DD"/>
    <w:rsid w:val="0031471A"/>
    <w:rsid w:val="0031494D"/>
    <w:rsid w:val="0031548A"/>
    <w:rsid w:val="00315BB7"/>
    <w:rsid w:val="00315F09"/>
    <w:rsid w:val="00315FD6"/>
    <w:rsid w:val="00317CA8"/>
    <w:rsid w:val="00320888"/>
    <w:rsid w:val="00320A9A"/>
    <w:rsid w:val="00321346"/>
    <w:rsid w:val="00323E5E"/>
    <w:rsid w:val="003241AB"/>
    <w:rsid w:val="0032466C"/>
    <w:rsid w:val="00325447"/>
    <w:rsid w:val="00326CF2"/>
    <w:rsid w:val="00327406"/>
    <w:rsid w:val="00327C1C"/>
    <w:rsid w:val="003317D5"/>
    <w:rsid w:val="003327F5"/>
    <w:rsid w:val="00332C98"/>
    <w:rsid w:val="0033458D"/>
    <w:rsid w:val="003351CD"/>
    <w:rsid w:val="00335516"/>
    <w:rsid w:val="00335897"/>
    <w:rsid w:val="00336F45"/>
    <w:rsid w:val="00337411"/>
    <w:rsid w:val="0033795B"/>
    <w:rsid w:val="0034067F"/>
    <w:rsid w:val="00340875"/>
    <w:rsid w:val="00340C93"/>
    <w:rsid w:val="00341396"/>
    <w:rsid w:val="00343C26"/>
    <w:rsid w:val="00343D50"/>
    <w:rsid w:val="00346C13"/>
    <w:rsid w:val="00347020"/>
    <w:rsid w:val="003470F1"/>
    <w:rsid w:val="00347DD9"/>
    <w:rsid w:val="00347F45"/>
    <w:rsid w:val="0035024C"/>
    <w:rsid w:val="00354B32"/>
    <w:rsid w:val="003570D6"/>
    <w:rsid w:val="003572A4"/>
    <w:rsid w:val="003577B4"/>
    <w:rsid w:val="00361879"/>
    <w:rsid w:val="00361AC1"/>
    <w:rsid w:val="00362562"/>
    <w:rsid w:val="00362AAE"/>
    <w:rsid w:val="00363FBB"/>
    <w:rsid w:val="003667D8"/>
    <w:rsid w:val="00367B2D"/>
    <w:rsid w:val="00370F92"/>
    <w:rsid w:val="0037123A"/>
    <w:rsid w:val="0037170A"/>
    <w:rsid w:val="00371BAF"/>
    <w:rsid w:val="003720DA"/>
    <w:rsid w:val="003722F0"/>
    <w:rsid w:val="00372FA7"/>
    <w:rsid w:val="0037455B"/>
    <w:rsid w:val="003753DF"/>
    <w:rsid w:val="00375692"/>
    <w:rsid w:val="00375875"/>
    <w:rsid w:val="00375A47"/>
    <w:rsid w:val="00375BBA"/>
    <w:rsid w:val="003760D8"/>
    <w:rsid w:val="00380F3F"/>
    <w:rsid w:val="00381006"/>
    <w:rsid w:val="00382434"/>
    <w:rsid w:val="003826A7"/>
    <w:rsid w:val="0038281F"/>
    <w:rsid w:val="0038293D"/>
    <w:rsid w:val="00384CE3"/>
    <w:rsid w:val="003856C9"/>
    <w:rsid w:val="0038598A"/>
    <w:rsid w:val="00385A96"/>
    <w:rsid w:val="003914AE"/>
    <w:rsid w:val="00393839"/>
    <w:rsid w:val="00393D20"/>
    <w:rsid w:val="0039408A"/>
    <w:rsid w:val="00394D98"/>
    <w:rsid w:val="00395015"/>
    <w:rsid w:val="00395225"/>
    <w:rsid w:val="0039644D"/>
    <w:rsid w:val="003A0F5D"/>
    <w:rsid w:val="003A137C"/>
    <w:rsid w:val="003A196A"/>
    <w:rsid w:val="003A1FC2"/>
    <w:rsid w:val="003A323F"/>
    <w:rsid w:val="003A510B"/>
    <w:rsid w:val="003A55A2"/>
    <w:rsid w:val="003A6652"/>
    <w:rsid w:val="003A6723"/>
    <w:rsid w:val="003A7215"/>
    <w:rsid w:val="003A7C12"/>
    <w:rsid w:val="003A7C7E"/>
    <w:rsid w:val="003B1726"/>
    <w:rsid w:val="003B1C25"/>
    <w:rsid w:val="003B1D38"/>
    <w:rsid w:val="003B3B87"/>
    <w:rsid w:val="003B3CC1"/>
    <w:rsid w:val="003B538C"/>
    <w:rsid w:val="003B5672"/>
    <w:rsid w:val="003C0B84"/>
    <w:rsid w:val="003C150A"/>
    <w:rsid w:val="003C2993"/>
    <w:rsid w:val="003C3749"/>
    <w:rsid w:val="003C3B64"/>
    <w:rsid w:val="003C5E2A"/>
    <w:rsid w:val="003C7092"/>
    <w:rsid w:val="003D0426"/>
    <w:rsid w:val="003D1728"/>
    <w:rsid w:val="003D1A5B"/>
    <w:rsid w:val="003D2162"/>
    <w:rsid w:val="003D3E19"/>
    <w:rsid w:val="003D5490"/>
    <w:rsid w:val="003D5C94"/>
    <w:rsid w:val="003D5D74"/>
    <w:rsid w:val="003D5EC0"/>
    <w:rsid w:val="003E14A2"/>
    <w:rsid w:val="003E20DE"/>
    <w:rsid w:val="003E245D"/>
    <w:rsid w:val="003E2B21"/>
    <w:rsid w:val="003E3727"/>
    <w:rsid w:val="003E37F3"/>
    <w:rsid w:val="003E39C3"/>
    <w:rsid w:val="003E4329"/>
    <w:rsid w:val="003E4359"/>
    <w:rsid w:val="003E4635"/>
    <w:rsid w:val="003E5651"/>
    <w:rsid w:val="003E5700"/>
    <w:rsid w:val="003E5CEC"/>
    <w:rsid w:val="003E6235"/>
    <w:rsid w:val="003E661A"/>
    <w:rsid w:val="003E6A85"/>
    <w:rsid w:val="003F33F0"/>
    <w:rsid w:val="003F4C28"/>
    <w:rsid w:val="003F4D6C"/>
    <w:rsid w:val="003F5486"/>
    <w:rsid w:val="003F5A00"/>
    <w:rsid w:val="003F6A85"/>
    <w:rsid w:val="003F7811"/>
    <w:rsid w:val="00400EA7"/>
    <w:rsid w:val="00400FA6"/>
    <w:rsid w:val="004010C1"/>
    <w:rsid w:val="00401367"/>
    <w:rsid w:val="004017ED"/>
    <w:rsid w:val="00401891"/>
    <w:rsid w:val="00401AB1"/>
    <w:rsid w:val="00402795"/>
    <w:rsid w:val="00402BA3"/>
    <w:rsid w:val="0040406C"/>
    <w:rsid w:val="00404CBB"/>
    <w:rsid w:val="0040504E"/>
    <w:rsid w:val="00405FEB"/>
    <w:rsid w:val="0040746C"/>
    <w:rsid w:val="004076CF"/>
    <w:rsid w:val="00407F27"/>
    <w:rsid w:val="004117D4"/>
    <w:rsid w:val="0041387D"/>
    <w:rsid w:val="00414311"/>
    <w:rsid w:val="00417038"/>
    <w:rsid w:val="004175E5"/>
    <w:rsid w:val="00417C87"/>
    <w:rsid w:val="004203D0"/>
    <w:rsid w:val="00421341"/>
    <w:rsid w:val="004218B7"/>
    <w:rsid w:val="00422727"/>
    <w:rsid w:val="00423170"/>
    <w:rsid w:val="00423561"/>
    <w:rsid w:val="00423750"/>
    <w:rsid w:val="00424044"/>
    <w:rsid w:val="00424287"/>
    <w:rsid w:val="00424A5E"/>
    <w:rsid w:val="0042564E"/>
    <w:rsid w:val="0042627F"/>
    <w:rsid w:val="004272C2"/>
    <w:rsid w:val="0042788D"/>
    <w:rsid w:val="00427949"/>
    <w:rsid w:val="0042797D"/>
    <w:rsid w:val="004309EF"/>
    <w:rsid w:val="00431F39"/>
    <w:rsid w:val="00431F73"/>
    <w:rsid w:val="00432721"/>
    <w:rsid w:val="00434244"/>
    <w:rsid w:val="00434267"/>
    <w:rsid w:val="00435A94"/>
    <w:rsid w:val="00435ADC"/>
    <w:rsid w:val="00435BF9"/>
    <w:rsid w:val="00435FBE"/>
    <w:rsid w:val="004367C5"/>
    <w:rsid w:val="0043794C"/>
    <w:rsid w:val="0044009F"/>
    <w:rsid w:val="00441986"/>
    <w:rsid w:val="00441C3E"/>
    <w:rsid w:val="00441FF4"/>
    <w:rsid w:val="004425A5"/>
    <w:rsid w:val="00442DD2"/>
    <w:rsid w:val="004435F4"/>
    <w:rsid w:val="0044616C"/>
    <w:rsid w:val="004462BD"/>
    <w:rsid w:val="004515C5"/>
    <w:rsid w:val="00454FA7"/>
    <w:rsid w:val="00457EFD"/>
    <w:rsid w:val="00460380"/>
    <w:rsid w:val="004617B2"/>
    <w:rsid w:val="0046246C"/>
    <w:rsid w:val="004624CD"/>
    <w:rsid w:val="004628EF"/>
    <w:rsid w:val="00462AD7"/>
    <w:rsid w:val="004652CD"/>
    <w:rsid w:val="00466146"/>
    <w:rsid w:val="004666ED"/>
    <w:rsid w:val="00466958"/>
    <w:rsid w:val="00467381"/>
    <w:rsid w:val="0046750A"/>
    <w:rsid w:val="00467BF9"/>
    <w:rsid w:val="004701EC"/>
    <w:rsid w:val="00470593"/>
    <w:rsid w:val="00470B8D"/>
    <w:rsid w:val="00470F92"/>
    <w:rsid w:val="00471325"/>
    <w:rsid w:val="00471333"/>
    <w:rsid w:val="00474053"/>
    <w:rsid w:val="00474903"/>
    <w:rsid w:val="00475C67"/>
    <w:rsid w:val="00475D02"/>
    <w:rsid w:val="00477A65"/>
    <w:rsid w:val="00480196"/>
    <w:rsid w:val="00482E39"/>
    <w:rsid w:val="0048363D"/>
    <w:rsid w:val="00483B33"/>
    <w:rsid w:val="00483FFD"/>
    <w:rsid w:val="00484D37"/>
    <w:rsid w:val="0048536F"/>
    <w:rsid w:val="00486794"/>
    <w:rsid w:val="0048694D"/>
    <w:rsid w:val="00487C26"/>
    <w:rsid w:val="0049006A"/>
    <w:rsid w:val="00491DD9"/>
    <w:rsid w:val="0049215D"/>
    <w:rsid w:val="00492306"/>
    <w:rsid w:val="00492ADA"/>
    <w:rsid w:val="00492DAE"/>
    <w:rsid w:val="00493A80"/>
    <w:rsid w:val="0049417C"/>
    <w:rsid w:val="004943DF"/>
    <w:rsid w:val="00494B1F"/>
    <w:rsid w:val="00494D23"/>
    <w:rsid w:val="00494F27"/>
    <w:rsid w:val="004960E7"/>
    <w:rsid w:val="00497577"/>
    <w:rsid w:val="0049784B"/>
    <w:rsid w:val="00497957"/>
    <w:rsid w:val="004A057E"/>
    <w:rsid w:val="004A1372"/>
    <w:rsid w:val="004A1D61"/>
    <w:rsid w:val="004A1F54"/>
    <w:rsid w:val="004A25BC"/>
    <w:rsid w:val="004A2D7E"/>
    <w:rsid w:val="004A34D3"/>
    <w:rsid w:val="004A3F1F"/>
    <w:rsid w:val="004A4448"/>
    <w:rsid w:val="004A4608"/>
    <w:rsid w:val="004A4CDA"/>
    <w:rsid w:val="004A4D29"/>
    <w:rsid w:val="004A58A1"/>
    <w:rsid w:val="004A7872"/>
    <w:rsid w:val="004A7ADA"/>
    <w:rsid w:val="004B03D4"/>
    <w:rsid w:val="004B0E85"/>
    <w:rsid w:val="004B2C4E"/>
    <w:rsid w:val="004B4C18"/>
    <w:rsid w:val="004B54C3"/>
    <w:rsid w:val="004B5B21"/>
    <w:rsid w:val="004B5C25"/>
    <w:rsid w:val="004B7329"/>
    <w:rsid w:val="004C0080"/>
    <w:rsid w:val="004C0EB8"/>
    <w:rsid w:val="004C1003"/>
    <w:rsid w:val="004C11D9"/>
    <w:rsid w:val="004C1FA0"/>
    <w:rsid w:val="004C23A0"/>
    <w:rsid w:val="004C24D9"/>
    <w:rsid w:val="004C29D1"/>
    <w:rsid w:val="004C360B"/>
    <w:rsid w:val="004C3DD9"/>
    <w:rsid w:val="004C4229"/>
    <w:rsid w:val="004C4321"/>
    <w:rsid w:val="004C457B"/>
    <w:rsid w:val="004C4BC3"/>
    <w:rsid w:val="004C5131"/>
    <w:rsid w:val="004C539C"/>
    <w:rsid w:val="004C5465"/>
    <w:rsid w:val="004C54F1"/>
    <w:rsid w:val="004C5515"/>
    <w:rsid w:val="004C5516"/>
    <w:rsid w:val="004C57DC"/>
    <w:rsid w:val="004C5C76"/>
    <w:rsid w:val="004C69B8"/>
    <w:rsid w:val="004C6F90"/>
    <w:rsid w:val="004C7D0E"/>
    <w:rsid w:val="004D0A74"/>
    <w:rsid w:val="004D1137"/>
    <w:rsid w:val="004D14F6"/>
    <w:rsid w:val="004D1A0E"/>
    <w:rsid w:val="004D1E84"/>
    <w:rsid w:val="004D420B"/>
    <w:rsid w:val="004D49E9"/>
    <w:rsid w:val="004D55DE"/>
    <w:rsid w:val="004D62EB"/>
    <w:rsid w:val="004D6591"/>
    <w:rsid w:val="004D6A05"/>
    <w:rsid w:val="004E129C"/>
    <w:rsid w:val="004E23F6"/>
    <w:rsid w:val="004E3D88"/>
    <w:rsid w:val="004E44D3"/>
    <w:rsid w:val="004E4A75"/>
    <w:rsid w:val="004E5E16"/>
    <w:rsid w:val="004E5F68"/>
    <w:rsid w:val="004F0C06"/>
    <w:rsid w:val="004F0C7F"/>
    <w:rsid w:val="004F2559"/>
    <w:rsid w:val="004F3220"/>
    <w:rsid w:val="004F393F"/>
    <w:rsid w:val="004F3E4F"/>
    <w:rsid w:val="004F50C4"/>
    <w:rsid w:val="004F585D"/>
    <w:rsid w:val="004F5FCD"/>
    <w:rsid w:val="004F6480"/>
    <w:rsid w:val="004F6820"/>
    <w:rsid w:val="004F726F"/>
    <w:rsid w:val="00501278"/>
    <w:rsid w:val="00501C32"/>
    <w:rsid w:val="00502FAF"/>
    <w:rsid w:val="00503211"/>
    <w:rsid w:val="0050401B"/>
    <w:rsid w:val="00504638"/>
    <w:rsid w:val="00504E9A"/>
    <w:rsid w:val="005059F2"/>
    <w:rsid w:val="005065E6"/>
    <w:rsid w:val="00507590"/>
    <w:rsid w:val="005077D7"/>
    <w:rsid w:val="0051019D"/>
    <w:rsid w:val="00510334"/>
    <w:rsid w:val="00510E07"/>
    <w:rsid w:val="005117A9"/>
    <w:rsid w:val="00511B4A"/>
    <w:rsid w:val="00513014"/>
    <w:rsid w:val="005140B5"/>
    <w:rsid w:val="00514632"/>
    <w:rsid w:val="005146E2"/>
    <w:rsid w:val="00514769"/>
    <w:rsid w:val="00514A67"/>
    <w:rsid w:val="00515A75"/>
    <w:rsid w:val="005167B5"/>
    <w:rsid w:val="00516BCE"/>
    <w:rsid w:val="005174AA"/>
    <w:rsid w:val="005174F0"/>
    <w:rsid w:val="00517610"/>
    <w:rsid w:val="00517DF4"/>
    <w:rsid w:val="00517ED9"/>
    <w:rsid w:val="00520E2D"/>
    <w:rsid w:val="00521175"/>
    <w:rsid w:val="0052141A"/>
    <w:rsid w:val="00521A39"/>
    <w:rsid w:val="00522145"/>
    <w:rsid w:val="00522442"/>
    <w:rsid w:val="00523F2D"/>
    <w:rsid w:val="005248C9"/>
    <w:rsid w:val="00526A13"/>
    <w:rsid w:val="00527640"/>
    <w:rsid w:val="00532569"/>
    <w:rsid w:val="00532A76"/>
    <w:rsid w:val="00533C54"/>
    <w:rsid w:val="005345EF"/>
    <w:rsid w:val="00534C9D"/>
    <w:rsid w:val="00535A37"/>
    <w:rsid w:val="005365DE"/>
    <w:rsid w:val="0053720C"/>
    <w:rsid w:val="005379FF"/>
    <w:rsid w:val="005416F5"/>
    <w:rsid w:val="0054379F"/>
    <w:rsid w:val="0054389D"/>
    <w:rsid w:val="0054450B"/>
    <w:rsid w:val="0054475F"/>
    <w:rsid w:val="00545312"/>
    <w:rsid w:val="00546584"/>
    <w:rsid w:val="00546B07"/>
    <w:rsid w:val="00546F21"/>
    <w:rsid w:val="0054782A"/>
    <w:rsid w:val="00547956"/>
    <w:rsid w:val="00547E3B"/>
    <w:rsid w:val="005518C9"/>
    <w:rsid w:val="00555C40"/>
    <w:rsid w:val="00557D51"/>
    <w:rsid w:val="00560068"/>
    <w:rsid w:val="005601E3"/>
    <w:rsid w:val="005608BD"/>
    <w:rsid w:val="00560F69"/>
    <w:rsid w:val="00561255"/>
    <w:rsid w:val="00561840"/>
    <w:rsid w:val="00562177"/>
    <w:rsid w:val="00565900"/>
    <w:rsid w:val="00565AF7"/>
    <w:rsid w:val="00565DAD"/>
    <w:rsid w:val="00566771"/>
    <w:rsid w:val="00567A65"/>
    <w:rsid w:val="0057053F"/>
    <w:rsid w:val="00570A07"/>
    <w:rsid w:val="00571ECE"/>
    <w:rsid w:val="005720FF"/>
    <w:rsid w:val="005727BE"/>
    <w:rsid w:val="005729CB"/>
    <w:rsid w:val="00573B8E"/>
    <w:rsid w:val="0057514A"/>
    <w:rsid w:val="00576355"/>
    <w:rsid w:val="005768B7"/>
    <w:rsid w:val="00580656"/>
    <w:rsid w:val="00580FE5"/>
    <w:rsid w:val="00582FF0"/>
    <w:rsid w:val="00583319"/>
    <w:rsid w:val="00584873"/>
    <w:rsid w:val="005852CA"/>
    <w:rsid w:val="0058558B"/>
    <w:rsid w:val="00585A28"/>
    <w:rsid w:val="00585A4C"/>
    <w:rsid w:val="005863DA"/>
    <w:rsid w:val="00586D61"/>
    <w:rsid w:val="00586D66"/>
    <w:rsid w:val="00591198"/>
    <w:rsid w:val="00591B25"/>
    <w:rsid w:val="0059320B"/>
    <w:rsid w:val="005943F9"/>
    <w:rsid w:val="00594CA6"/>
    <w:rsid w:val="0059517B"/>
    <w:rsid w:val="00596014"/>
    <w:rsid w:val="005963C5"/>
    <w:rsid w:val="00597D38"/>
    <w:rsid w:val="005A04B6"/>
    <w:rsid w:val="005A09AE"/>
    <w:rsid w:val="005A0C2D"/>
    <w:rsid w:val="005A0E20"/>
    <w:rsid w:val="005A16F0"/>
    <w:rsid w:val="005A2A03"/>
    <w:rsid w:val="005A39C2"/>
    <w:rsid w:val="005A49C0"/>
    <w:rsid w:val="005A4B58"/>
    <w:rsid w:val="005A4F77"/>
    <w:rsid w:val="005A5357"/>
    <w:rsid w:val="005A599F"/>
    <w:rsid w:val="005A7F8E"/>
    <w:rsid w:val="005B0D4F"/>
    <w:rsid w:val="005B1C90"/>
    <w:rsid w:val="005B2314"/>
    <w:rsid w:val="005B29E0"/>
    <w:rsid w:val="005B5570"/>
    <w:rsid w:val="005C0299"/>
    <w:rsid w:val="005C0541"/>
    <w:rsid w:val="005C0C1F"/>
    <w:rsid w:val="005C0CCA"/>
    <w:rsid w:val="005C1AD6"/>
    <w:rsid w:val="005C1D97"/>
    <w:rsid w:val="005C23C9"/>
    <w:rsid w:val="005C329D"/>
    <w:rsid w:val="005C34A7"/>
    <w:rsid w:val="005C3787"/>
    <w:rsid w:val="005C3A4C"/>
    <w:rsid w:val="005C58EB"/>
    <w:rsid w:val="005C73D0"/>
    <w:rsid w:val="005C7762"/>
    <w:rsid w:val="005C7DE4"/>
    <w:rsid w:val="005C7FAB"/>
    <w:rsid w:val="005D0191"/>
    <w:rsid w:val="005D0A24"/>
    <w:rsid w:val="005D0F38"/>
    <w:rsid w:val="005D15D0"/>
    <w:rsid w:val="005D1B08"/>
    <w:rsid w:val="005D1E1B"/>
    <w:rsid w:val="005D3143"/>
    <w:rsid w:val="005D34DF"/>
    <w:rsid w:val="005D3A00"/>
    <w:rsid w:val="005D4A4B"/>
    <w:rsid w:val="005D4A93"/>
    <w:rsid w:val="005D56CE"/>
    <w:rsid w:val="005D5A3D"/>
    <w:rsid w:val="005D5F6D"/>
    <w:rsid w:val="005D6210"/>
    <w:rsid w:val="005D6334"/>
    <w:rsid w:val="005E1C43"/>
    <w:rsid w:val="005E1C60"/>
    <w:rsid w:val="005E1EDB"/>
    <w:rsid w:val="005E1FE4"/>
    <w:rsid w:val="005E2F9C"/>
    <w:rsid w:val="005E316C"/>
    <w:rsid w:val="005E3CEF"/>
    <w:rsid w:val="005E4CBE"/>
    <w:rsid w:val="005E7182"/>
    <w:rsid w:val="005E7266"/>
    <w:rsid w:val="005E7630"/>
    <w:rsid w:val="005E79DA"/>
    <w:rsid w:val="005F11B9"/>
    <w:rsid w:val="005F1990"/>
    <w:rsid w:val="005F29D7"/>
    <w:rsid w:val="005F2CC2"/>
    <w:rsid w:val="005F2ED0"/>
    <w:rsid w:val="005F2FEF"/>
    <w:rsid w:val="005F36AB"/>
    <w:rsid w:val="005F38B4"/>
    <w:rsid w:val="005F3A8F"/>
    <w:rsid w:val="005F3F0D"/>
    <w:rsid w:val="005F40BF"/>
    <w:rsid w:val="005F5084"/>
    <w:rsid w:val="005F6031"/>
    <w:rsid w:val="005F63D3"/>
    <w:rsid w:val="005F685D"/>
    <w:rsid w:val="005F6998"/>
    <w:rsid w:val="006017E3"/>
    <w:rsid w:val="00602663"/>
    <w:rsid w:val="0060320D"/>
    <w:rsid w:val="00603625"/>
    <w:rsid w:val="00603AB1"/>
    <w:rsid w:val="00603AE6"/>
    <w:rsid w:val="00603EC3"/>
    <w:rsid w:val="0060428B"/>
    <w:rsid w:val="006051B5"/>
    <w:rsid w:val="006053DA"/>
    <w:rsid w:val="00607A42"/>
    <w:rsid w:val="00607DE8"/>
    <w:rsid w:val="006104FE"/>
    <w:rsid w:val="00610C2D"/>
    <w:rsid w:val="00610FF8"/>
    <w:rsid w:val="00611105"/>
    <w:rsid w:val="00611152"/>
    <w:rsid w:val="0061160D"/>
    <w:rsid w:val="006116A5"/>
    <w:rsid w:val="006120A1"/>
    <w:rsid w:val="006123CB"/>
    <w:rsid w:val="006124AF"/>
    <w:rsid w:val="00612CF5"/>
    <w:rsid w:val="0061437D"/>
    <w:rsid w:val="006148F7"/>
    <w:rsid w:val="00620070"/>
    <w:rsid w:val="0062124E"/>
    <w:rsid w:val="00621C0D"/>
    <w:rsid w:val="00623D83"/>
    <w:rsid w:val="00624429"/>
    <w:rsid w:val="00624562"/>
    <w:rsid w:val="00625CA5"/>
    <w:rsid w:val="00626940"/>
    <w:rsid w:val="00627175"/>
    <w:rsid w:val="006279AB"/>
    <w:rsid w:val="00627C78"/>
    <w:rsid w:val="00627D02"/>
    <w:rsid w:val="00627FAA"/>
    <w:rsid w:val="00630B2C"/>
    <w:rsid w:val="00630C61"/>
    <w:rsid w:val="00631BDD"/>
    <w:rsid w:val="0063277E"/>
    <w:rsid w:val="00632D9E"/>
    <w:rsid w:val="0063320E"/>
    <w:rsid w:val="0063476F"/>
    <w:rsid w:val="00636729"/>
    <w:rsid w:val="00636BBB"/>
    <w:rsid w:val="00640369"/>
    <w:rsid w:val="006409A9"/>
    <w:rsid w:val="00641327"/>
    <w:rsid w:val="00641B05"/>
    <w:rsid w:val="00643483"/>
    <w:rsid w:val="00645191"/>
    <w:rsid w:val="00645604"/>
    <w:rsid w:val="0064705E"/>
    <w:rsid w:val="0065253E"/>
    <w:rsid w:val="006530FF"/>
    <w:rsid w:val="00653653"/>
    <w:rsid w:val="0065436F"/>
    <w:rsid w:val="00654701"/>
    <w:rsid w:val="00655A71"/>
    <w:rsid w:val="006567E2"/>
    <w:rsid w:val="00660F07"/>
    <w:rsid w:val="006624DE"/>
    <w:rsid w:val="006630AB"/>
    <w:rsid w:val="00663FB1"/>
    <w:rsid w:val="00663FE6"/>
    <w:rsid w:val="00665111"/>
    <w:rsid w:val="00667DAF"/>
    <w:rsid w:val="00667FE2"/>
    <w:rsid w:val="006729DC"/>
    <w:rsid w:val="006741E1"/>
    <w:rsid w:val="00674F29"/>
    <w:rsid w:val="00675C28"/>
    <w:rsid w:val="006763C2"/>
    <w:rsid w:val="006804EE"/>
    <w:rsid w:val="00680D6F"/>
    <w:rsid w:val="006811A0"/>
    <w:rsid w:val="0068130A"/>
    <w:rsid w:val="00681BED"/>
    <w:rsid w:val="006831BC"/>
    <w:rsid w:val="006860A6"/>
    <w:rsid w:val="006864D6"/>
    <w:rsid w:val="0069089D"/>
    <w:rsid w:val="006918BB"/>
    <w:rsid w:val="00691EF7"/>
    <w:rsid w:val="006922BF"/>
    <w:rsid w:val="00693094"/>
    <w:rsid w:val="006941DF"/>
    <w:rsid w:val="006941F3"/>
    <w:rsid w:val="00694A63"/>
    <w:rsid w:val="00694DBE"/>
    <w:rsid w:val="0069530D"/>
    <w:rsid w:val="00696A51"/>
    <w:rsid w:val="006A1C2A"/>
    <w:rsid w:val="006A36CA"/>
    <w:rsid w:val="006A3A23"/>
    <w:rsid w:val="006A3CAD"/>
    <w:rsid w:val="006A5334"/>
    <w:rsid w:val="006A5490"/>
    <w:rsid w:val="006A57E8"/>
    <w:rsid w:val="006A5847"/>
    <w:rsid w:val="006A7566"/>
    <w:rsid w:val="006B03EF"/>
    <w:rsid w:val="006B116B"/>
    <w:rsid w:val="006B1C1C"/>
    <w:rsid w:val="006B27BA"/>
    <w:rsid w:val="006B3BDF"/>
    <w:rsid w:val="006B452B"/>
    <w:rsid w:val="006B4920"/>
    <w:rsid w:val="006B4F31"/>
    <w:rsid w:val="006B6060"/>
    <w:rsid w:val="006B669B"/>
    <w:rsid w:val="006B677D"/>
    <w:rsid w:val="006B723E"/>
    <w:rsid w:val="006B7966"/>
    <w:rsid w:val="006B7BC7"/>
    <w:rsid w:val="006C0052"/>
    <w:rsid w:val="006C0865"/>
    <w:rsid w:val="006C093F"/>
    <w:rsid w:val="006C1EDB"/>
    <w:rsid w:val="006C234C"/>
    <w:rsid w:val="006C2CD2"/>
    <w:rsid w:val="006C2EBA"/>
    <w:rsid w:val="006C4AD1"/>
    <w:rsid w:val="006C4CDF"/>
    <w:rsid w:val="006C50C7"/>
    <w:rsid w:val="006C5EB5"/>
    <w:rsid w:val="006C61F3"/>
    <w:rsid w:val="006C6325"/>
    <w:rsid w:val="006C661D"/>
    <w:rsid w:val="006C6663"/>
    <w:rsid w:val="006C7C22"/>
    <w:rsid w:val="006D0AAA"/>
    <w:rsid w:val="006D24DA"/>
    <w:rsid w:val="006D2B57"/>
    <w:rsid w:val="006D332D"/>
    <w:rsid w:val="006D3729"/>
    <w:rsid w:val="006D3774"/>
    <w:rsid w:val="006D39CD"/>
    <w:rsid w:val="006D5286"/>
    <w:rsid w:val="006D5A32"/>
    <w:rsid w:val="006D6695"/>
    <w:rsid w:val="006D7E40"/>
    <w:rsid w:val="006E03DA"/>
    <w:rsid w:val="006E0F7F"/>
    <w:rsid w:val="006E1086"/>
    <w:rsid w:val="006E2ED7"/>
    <w:rsid w:val="006E3502"/>
    <w:rsid w:val="006E4472"/>
    <w:rsid w:val="006E4FF1"/>
    <w:rsid w:val="006E50F4"/>
    <w:rsid w:val="006E5571"/>
    <w:rsid w:val="006E6679"/>
    <w:rsid w:val="006E71D1"/>
    <w:rsid w:val="006E72E6"/>
    <w:rsid w:val="006E7D4C"/>
    <w:rsid w:val="006F0B4E"/>
    <w:rsid w:val="006F0F7B"/>
    <w:rsid w:val="006F18C4"/>
    <w:rsid w:val="006F24AB"/>
    <w:rsid w:val="006F4C9F"/>
    <w:rsid w:val="006F4EC0"/>
    <w:rsid w:val="006F54D9"/>
    <w:rsid w:val="006F58EA"/>
    <w:rsid w:val="006F59A4"/>
    <w:rsid w:val="006F65E5"/>
    <w:rsid w:val="006F780D"/>
    <w:rsid w:val="00701354"/>
    <w:rsid w:val="00701B4C"/>
    <w:rsid w:val="00701DCA"/>
    <w:rsid w:val="00701E03"/>
    <w:rsid w:val="0070206E"/>
    <w:rsid w:val="007028DF"/>
    <w:rsid w:val="00704C76"/>
    <w:rsid w:val="00705185"/>
    <w:rsid w:val="00705FB0"/>
    <w:rsid w:val="00706BAF"/>
    <w:rsid w:val="0070708B"/>
    <w:rsid w:val="00707A50"/>
    <w:rsid w:val="00707A51"/>
    <w:rsid w:val="00707EFE"/>
    <w:rsid w:val="00710479"/>
    <w:rsid w:val="007115F2"/>
    <w:rsid w:val="00711635"/>
    <w:rsid w:val="00712B71"/>
    <w:rsid w:val="007143C3"/>
    <w:rsid w:val="0071495C"/>
    <w:rsid w:val="00714CA7"/>
    <w:rsid w:val="007153E9"/>
    <w:rsid w:val="00716AAB"/>
    <w:rsid w:val="00716B3A"/>
    <w:rsid w:val="00716D86"/>
    <w:rsid w:val="00717655"/>
    <w:rsid w:val="00720FF6"/>
    <w:rsid w:val="00722736"/>
    <w:rsid w:val="00722899"/>
    <w:rsid w:val="00722968"/>
    <w:rsid w:val="00726250"/>
    <w:rsid w:val="00726F05"/>
    <w:rsid w:val="00727392"/>
    <w:rsid w:val="00731EB6"/>
    <w:rsid w:val="00732AF4"/>
    <w:rsid w:val="00732DFD"/>
    <w:rsid w:val="00733A4D"/>
    <w:rsid w:val="00733B05"/>
    <w:rsid w:val="007345BC"/>
    <w:rsid w:val="00735B11"/>
    <w:rsid w:val="007402E4"/>
    <w:rsid w:val="00740663"/>
    <w:rsid w:val="00740944"/>
    <w:rsid w:val="007415C5"/>
    <w:rsid w:val="007421F0"/>
    <w:rsid w:val="00744765"/>
    <w:rsid w:val="00744F27"/>
    <w:rsid w:val="00747023"/>
    <w:rsid w:val="00747554"/>
    <w:rsid w:val="007507BA"/>
    <w:rsid w:val="00750A85"/>
    <w:rsid w:val="0075373D"/>
    <w:rsid w:val="00753D52"/>
    <w:rsid w:val="00754378"/>
    <w:rsid w:val="007562D4"/>
    <w:rsid w:val="00756973"/>
    <w:rsid w:val="00756A8F"/>
    <w:rsid w:val="007578E0"/>
    <w:rsid w:val="00757D12"/>
    <w:rsid w:val="0076019B"/>
    <w:rsid w:val="00760F80"/>
    <w:rsid w:val="007626AE"/>
    <w:rsid w:val="0076429F"/>
    <w:rsid w:val="007642A2"/>
    <w:rsid w:val="007665F7"/>
    <w:rsid w:val="00770040"/>
    <w:rsid w:val="00770C78"/>
    <w:rsid w:val="007712BE"/>
    <w:rsid w:val="007712CD"/>
    <w:rsid w:val="007724EF"/>
    <w:rsid w:val="00772691"/>
    <w:rsid w:val="00773678"/>
    <w:rsid w:val="00773C08"/>
    <w:rsid w:val="00773EC1"/>
    <w:rsid w:val="00776110"/>
    <w:rsid w:val="007765CD"/>
    <w:rsid w:val="0077672E"/>
    <w:rsid w:val="007767D5"/>
    <w:rsid w:val="0077784C"/>
    <w:rsid w:val="007778C6"/>
    <w:rsid w:val="00780EE3"/>
    <w:rsid w:val="00783C89"/>
    <w:rsid w:val="00784205"/>
    <w:rsid w:val="00784707"/>
    <w:rsid w:val="007879C3"/>
    <w:rsid w:val="007909DA"/>
    <w:rsid w:val="007920B3"/>
    <w:rsid w:val="0079409D"/>
    <w:rsid w:val="00795DEC"/>
    <w:rsid w:val="00796E2D"/>
    <w:rsid w:val="00797D28"/>
    <w:rsid w:val="007A2651"/>
    <w:rsid w:val="007A27A5"/>
    <w:rsid w:val="007A2CA9"/>
    <w:rsid w:val="007A3A9E"/>
    <w:rsid w:val="007A4743"/>
    <w:rsid w:val="007A55CF"/>
    <w:rsid w:val="007A7C1B"/>
    <w:rsid w:val="007B1126"/>
    <w:rsid w:val="007B12A1"/>
    <w:rsid w:val="007B1351"/>
    <w:rsid w:val="007B25BC"/>
    <w:rsid w:val="007B51B0"/>
    <w:rsid w:val="007B5419"/>
    <w:rsid w:val="007B5F39"/>
    <w:rsid w:val="007B7792"/>
    <w:rsid w:val="007C0D1E"/>
    <w:rsid w:val="007C0E1A"/>
    <w:rsid w:val="007C11EF"/>
    <w:rsid w:val="007C23AD"/>
    <w:rsid w:val="007C2719"/>
    <w:rsid w:val="007C2FF9"/>
    <w:rsid w:val="007C3D82"/>
    <w:rsid w:val="007C4E64"/>
    <w:rsid w:val="007C555D"/>
    <w:rsid w:val="007D00EF"/>
    <w:rsid w:val="007D0F76"/>
    <w:rsid w:val="007D188A"/>
    <w:rsid w:val="007D1AB7"/>
    <w:rsid w:val="007D1C1C"/>
    <w:rsid w:val="007D3426"/>
    <w:rsid w:val="007D39B7"/>
    <w:rsid w:val="007D4946"/>
    <w:rsid w:val="007D4AD7"/>
    <w:rsid w:val="007D4E2D"/>
    <w:rsid w:val="007D4E5E"/>
    <w:rsid w:val="007D687B"/>
    <w:rsid w:val="007D76B1"/>
    <w:rsid w:val="007E0C74"/>
    <w:rsid w:val="007E0EAC"/>
    <w:rsid w:val="007E10F9"/>
    <w:rsid w:val="007E14CE"/>
    <w:rsid w:val="007E244E"/>
    <w:rsid w:val="007E3289"/>
    <w:rsid w:val="007E330B"/>
    <w:rsid w:val="007E65D9"/>
    <w:rsid w:val="007E6C11"/>
    <w:rsid w:val="007E7236"/>
    <w:rsid w:val="007E7527"/>
    <w:rsid w:val="007E7D23"/>
    <w:rsid w:val="007F014B"/>
    <w:rsid w:val="007F0849"/>
    <w:rsid w:val="007F0B13"/>
    <w:rsid w:val="007F1E76"/>
    <w:rsid w:val="007F1F32"/>
    <w:rsid w:val="007F25B3"/>
    <w:rsid w:val="007F2639"/>
    <w:rsid w:val="007F27F8"/>
    <w:rsid w:val="007F2F78"/>
    <w:rsid w:val="007F34F3"/>
    <w:rsid w:val="007F531B"/>
    <w:rsid w:val="007F5608"/>
    <w:rsid w:val="007F58D1"/>
    <w:rsid w:val="007F5ADA"/>
    <w:rsid w:val="007F6405"/>
    <w:rsid w:val="007F67B3"/>
    <w:rsid w:val="007F7490"/>
    <w:rsid w:val="008003E7"/>
    <w:rsid w:val="0080069D"/>
    <w:rsid w:val="0080084E"/>
    <w:rsid w:val="008034EA"/>
    <w:rsid w:val="00803786"/>
    <w:rsid w:val="00803B4A"/>
    <w:rsid w:val="00803D93"/>
    <w:rsid w:val="008041D6"/>
    <w:rsid w:val="0080524E"/>
    <w:rsid w:val="008055FC"/>
    <w:rsid w:val="00806961"/>
    <w:rsid w:val="0081184E"/>
    <w:rsid w:val="008122C9"/>
    <w:rsid w:val="0081321E"/>
    <w:rsid w:val="008153E0"/>
    <w:rsid w:val="0081584F"/>
    <w:rsid w:val="008171C4"/>
    <w:rsid w:val="00817B0B"/>
    <w:rsid w:val="00817BDC"/>
    <w:rsid w:val="00817C67"/>
    <w:rsid w:val="008204D8"/>
    <w:rsid w:val="00821F1F"/>
    <w:rsid w:val="00822E8A"/>
    <w:rsid w:val="00826FBD"/>
    <w:rsid w:val="00827510"/>
    <w:rsid w:val="0082783C"/>
    <w:rsid w:val="00827C1B"/>
    <w:rsid w:val="008311E0"/>
    <w:rsid w:val="00831892"/>
    <w:rsid w:val="008318D5"/>
    <w:rsid w:val="00832220"/>
    <w:rsid w:val="00835559"/>
    <w:rsid w:val="00836FDC"/>
    <w:rsid w:val="00837759"/>
    <w:rsid w:val="008378A6"/>
    <w:rsid w:val="008400D5"/>
    <w:rsid w:val="00841DA0"/>
    <w:rsid w:val="00842732"/>
    <w:rsid w:val="00842E85"/>
    <w:rsid w:val="00842E9F"/>
    <w:rsid w:val="00843485"/>
    <w:rsid w:val="008436B6"/>
    <w:rsid w:val="00843980"/>
    <w:rsid w:val="00843DC5"/>
    <w:rsid w:val="00845215"/>
    <w:rsid w:val="008462E0"/>
    <w:rsid w:val="00846788"/>
    <w:rsid w:val="00847257"/>
    <w:rsid w:val="008474BC"/>
    <w:rsid w:val="00847576"/>
    <w:rsid w:val="008477FA"/>
    <w:rsid w:val="00847A24"/>
    <w:rsid w:val="00847EFE"/>
    <w:rsid w:val="00850E73"/>
    <w:rsid w:val="008517A5"/>
    <w:rsid w:val="008553C4"/>
    <w:rsid w:val="0085674F"/>
    <w:rsid w:val="00857D65"/>
    <w:rsid w:val="008600D7"/>
    <w:rsid w:val="008605DD"/>
    <w:rsid w:val="0086160A"/>
    <w:rsid w:val="00862147"/>
    <w:rsid w:val="008650A5"/>
    <w:rsid w:val="00866D53"/>
    <w:rsid w:val="00867801"/>
    <w:rsid w:val="008709DA"/>
    <w:rsid w:val="00872E47"/>
    <w:rsid w:val="008730DB"/>
    <w:rsid w:val="0087390E"/>
    <w:rsid w:val="00875CD7"/>
    <w:rsid w:val="00877243"/>
    <w:rsid w:val="00877282"/>
    <w:rsid w:val="00877791"/>
    <w:rsid w:val="008800E8"/>
    <w:rsid w:val="0088080F"/>
    <w:rsid w:val="008815F4"/>
    <w:rsid w:val="00881F19"/>
    <w:rsid w:val="008823B0"/>
    <w:rsid w:val="0088278E"/>
    <w:rsid w:val="00882938"/>
    <w:rsid w:val="00882EC2"/>
    <w:rsid w:val="00883118"/>
    <w:rsid w:val="00883744"/>
    <w:rsid w:val="008839B7"/>
    <w:rsid w:val="00884717"/>
    <w:rsid w:val="008847F8"/>
    <w:rsid w:val="008848CB"/>
    <w:rsid w:val="0088498F"/>
    <w:rsid w:val="008849B8"/>
    <w:rsid w:val="00885327"/>
    <w:rsid w:val="00885B81"/>
    <w:rsid w:val="00885FC9"/>
    <w:rsid w:val="008869AE"/>
    <w:rsid w:val="008900CA"/>
    <w:rsid w:val="00890518"/>
    <w:rsid w:val="00890BBC"/>
    <w:rsid w:val="00890BC4"/>
    <w:rsid w:val="008922DF"/>
    <w:rsid w:val="0089492E"/>
    <w:rsid w:val="00894EF5"/>
    <w:rsid w:val="00895E18"/>
    <w:rsid w:val="00897268"/>
    <w:rsid w:val="00897766"/>
    <w:rsid w:val="008A046A"/>
    <w:rsid w:val="008A0B48"/>
    <w:rsid w:val="008A0F83"/>
    <w:rsid w:val="008A1350"/>
    <w:rsid w:val="008A1351"/>
    <w:rsid w:val="008A227A"/>
    <w:rsid w:val="008A27F9"/>
    <w:rsid w:val="008A362B"/>
    <w:rsid w:val="008A6207"/>
    <w:rsid w:val="008A788C"/>
    <w:rsid w:val="008A7CFD"/>
    <w:rsid w:val="008A7DF6"/>
    <w:rsid w:val="008B0C7A"/>
    <w:rsid w:val="008B20E5"/>
    <w:rsid w:val="008B26FE"/>
    <w:rsid w:val="008B3CA3"/>
    <w:rsid w:val="008B3F9B"/>
    <w:rsid w:val="008B46AD"/>
    <w:rsid w:val="008B4E16"/>
    <w:rsid w:val="008B5232"/>
    <w:rsid w:val="008B5C6A"/>
    <w:rsid w:val="008B6276"/>
    <w:rsid w:val="008B66A1"/>
    <w:rsid w:val="008C00B6"/>
    <w:rsid w:val="008C024E"/>
    <w:rsid w:val="008C0A93"/>
    <w:rsid w:val="008C0E89"/>
    <w:rsid w:val="008C0FB9"/>
    <w:rsid w:val="008C1766"/>
    <w:rsid w:val="008C1A1B"/>
    <w:rsid w:val="008C2CB7"/>
    <w:rsid w:val="008C3FA3"/>
    <w:rsid w:val="008C4177"/>
    <w:rsid w:val="008C48F8"/>
    <w:rsid w:val="008C4973"/>
    <w:rsid w:val="008C4B93"/>
    <w:rsid w:val="008C6369"/>
    <w:rsid w:val="008C6631"/>
    <w:rsid w:val="008C6B54"/>
    <w:rsid w:val="008C6C29"/>
    <w:rsid w:val="008C7903"/>
    <w:rsid w:val="008D0C1F"/>
    <w:rsid w:val="008D366F"/>
    <w:rsid w:val="008D3BBC"/>
    <w:rsid w:val="008D7C09"/>
    <w:rsid w:val="008E0144"/>
    <w:rsid w:val="008E0C42"/>
    <w:rsid w:val="008E19CA"/>
    <w:rsid w:val="008E1CAA"/>
    <w:rsid w:val="008E26DC"/>
    <w:rsid w:val="008E3733"/>
    <w:rsid w:val="008E3EE6"/>
    <w:rsid w:val="008E56B5"/>
    <w:rsid w:val="008E56EA"/>
    <w:rsid w:val="008E59CB"/>
    <w:rsid w:val="008E6C98"/>
    <w:rsid w:val="008F055D"/>
    <w:rsid w:val="008F06ED"/>
    <w:rsid w:val="008F0830"/>
    <w:rsid w:val="008F09B2"/>
    <w:rsid w:val="008F143B"/>
    <w:rsid w:val="008F18D9"/>
    <w:rsid w:val="008F1D90"/>
    <w:rsid w:val="008F1F64"/>
    <w:rsid w:val="008F31D0"/>
    <w:rsid w:val="008F41BD"/>
    <w:rsid w:val="008F5226"/>
    <w:rsid w:val="008F5341"/>
    <w:rsid w:val="008F6E16"/>
    <w:rsid w:val="008F73A0"/>
    <w:rsid w:val="0090002C"/>
    <w:rsid w:val="00900CCE"/>
    <w:rsid w:val="009013CD"/>
    <w:rsid w:val="00901FB9"/>
    <w:rsid w:val="009026BC"/>
    <w:rsid w:val="009030B1"/>
    <w:rsid w:val="00903199"/>
    <w:rsid w:val="00903A4A"/>
    <w:rsid w:val="009047F5"/>
    <w:rsid w:val="0090666C"/>
    <w:rsid w:val="009070DC"/>
    <w:rsid w:val="00907126"/>
    <w:rsid w:val="00907334"/>
    <w:rsid w:val="00907A7C"/>
    <w:rsid w:val="00910296"/>
    <w:rsid w:val="00910E78"/>
    <w:rsid w:val="00913927"/>
    <w:rsid w:val="009145B1"/>
    <w:rsid w:val="00915974"/>
    <w:rsid w:val="00915C99"/>
    <w:rsid w:val="00915FD2"/>
    <w:rsid w:val="00917789"/>
    <w:rsid w:val="00917CC9"/>
    <w:rsid w:val="00920817"/>
    <w:rsid w:val="00920AAF"/>
    <w:rsid w:val="00921988"/>
    <w:rsid w:val="00922B4B"/>
    <w:rsid w:val="00922DC1"/>
    <w:rsid w:val="009238B0"/>
    <w:rsid w:val="0092432B"/>
    <w:rsid w:val="0092470E"/>
    <w:rsid w:val="00924B45"/>
    <w:rsid w:val="0092534A"/>
    <w:rsid w:val="009261C4"/>
    <w:rsid w:val="00926384"/>
    <w:rsid w:val="00926850"/>
    <w:rsid w:val="00930B9B"/>
    <w:rsid w:val="00931165"/>
    <w:rsid w:val="0093178F"/>
    <w:rsid w:val="0093403F"/>
    <w:rsid w:val="009341AF"/>
    <w:rsid w:val="009346D7"/>
    <w:rsid w:val="00934B89"/>
    <w:rsid w:val="00934E9A"/>
    <w:rsid w:val="00934ECD"/>
    <w:rsid w:val="00935714"/>
    <w:rsid w:val="0093617A"/>
    <w:rsid w:val="00941AC9"/>
    <w:rsid w:val="00941B39"/>
    <w:rsid w:val="00944582"/>
    <w:rsid w:val="00944D1D"/>
    <w:rsid w:val="009467F5"/>
    <w:rsid w:val="0094762F"/>
    <w:rsid w:val="00947E5E"/>
    <w:rsid w:val="0095135B"/>
    <w:rsid w:val="00951EFD"/>
    <w:rsid w:val="00952227"/>
    <w:rsid w:val="00953B1D"/>
    <w:rsid w:val="00954081"/>
    <w:rsid w:val="00954CF7"/>
    <w:rsid w:val="00955297"/>
    <w:rsid w:val="00955467"/>
    <w:rsid w:val="009555EB"/>
    <w:rsid w:val="00955D33"/>
    <w:rsid w:val="00956314"/>
    <w:rsid w:val="00956AB1"/>
    <w:rsid w:val="0095738B"/>
    <w:rsid w:val="00957792"/>
    <w:rsid w:val="00957994"/>
    <w:rsid w:val="00960441"/>
    <w:rsid w:val="00960714"/>
    <w:rsid w:val="00961B7C"/>
    <w:rsid w:val="00961C9E"/>
    <w:rsid w:val="00962F56"/>
    <w:rsid w:val="00963341"/>
    <w:rsid w:val="009638D6"/>
    <w:rsid w:val="00964619"/>
    <w:rsid w:val="0096499A"/>
    <w:rsid w:val="00965A38"/>
    <w:rsid w:val="00966028"/>
    <w:rsid w:val="009661C4"/>
    <w:rsid w:val="009676F4"/>
    <w:rsid w:val="009714D8"/>
    <w:rsid w:val="00972CE7"/>
    <w:rsid w:val="0097318C"/>
    <w:rsid w:val="00973F12"/>
    <w:rsid w:val="00974748"/>
    <w:rsid w:val="00974F7E"/>
    <w:rsid w:val="0097632F"/>
    <w:rsid w:val="0097662C"/>
    <w:rsid w:val="00976726"/>
    <w:rsid w:val="00977AF3"/>
    <w:rsid w:val="00977D82"/>
    <w:rsid w:val="00980BFF"/>
    <w:rsid w:val="00981ED5"/>
    <w:rsid w:val="00981FA6"/>
    <w:rsid w:val="00983760"/>
    <w:rsid w:val="0098473C"/>
    <w:rsid w:val="00984FE5"/>
    <w:rsid w:val="0098524E"/>
    <w:rsid w:val="00985537"/>
    <w:rsid w:val="00986567"/>
    <w:rsid w:val="00986A55"/>
    <w:rsid w:val="00987012"/>
    <w:rsid w:val="00987F03"/>
    <w:rsid w:val="00990D5F"/>
    <w:rsid w:val="00991261"/>
    <w:rsid w:val="0099126A"/>
    <w:rsid w:val="00991283"/>
    <w:rsid w:val="009920A2"/>
    <w:rsid w:val="00992B36"/>
    <w:rsid w:val="0099514F"/>
    <w:rsid w:val="009951F6"/>
    <w:rsid w:val="009A01F2"/>
    <w:rsid w:val="009A0CF7"/>
    <w:rsid w:val="009A1265"/>
    <w:rsid w:val="009A26B4"/>
    <w:rsid w:val="009A3B6A"/>
    <w:rsid w:val="009A4919"/>
    <w:rsid w:val="009A4AB6"/>
    <w:rsid w:val="009A6030"/>
    <w:rsid w:val="009A70CC"/>
    <w:rsid w:val="009A725B"/>
    <w:rsid w:val="009A7B3A"/>
    <w:rsid w:val="009B01B7"/>
    <w:rsid w:val="009B0EF9"/>
    <w:rsid w:val="009B2759"/>
    <w:rsid w:val="009B3627"/>
    <w:rsid w:val="009B4840"/>
    <w:rsid w:val="009B4E16"/>
    <w:rsid w:val="009B5524"/>
    <w:rsid w:val="009B675D"/>
    <w:rsid w:val="009B6DAD"/>
    <w:rsid w:val="009B7336"/>
    <w:rsid w:val="009C0273"/>
    <w:rsid w:val="009C044E"/>
    <w:rsid w:val="009C05DA"/>
    <w:rsid w:val="009C423C"/>
    <w:rsid w:val="009C4EB2"/>
    <w:rsid w:val="009C5109"/>
    <w:rsid w:val="009C51D4"/>
    <w:rsid w:val="009C5339"/>
    <w:rsid w:val="009C53D6"/>
    <w:rsid w:val="009C6DA7"/>
    <w:rsid w:val="009C7EDD"/>
    <w:rsid w:val="009C7EF1"/>
    <w:rsid w:val="009D2CC5"/>
    <w:rsid w:val="009D2CCD"/>
    <w:rsid w:val="009D3362"/>
    <w:rsid w:val="009D342B"/>
    <w:rsid w:val="009D4F22"/>
    <w:rsid w:val="009D5A35"/>
    <w:rsid w:val="009D60AE"/>
    <w:rsid w:val="009D74A5"/>
    <w:rsid w:val="009D7DF8"/>
    <w:rsid w:val="009E04D3"/>
    <w:rsid w:val="009E131D"/>
    <w:rsid w:val="009E2676"/>
    <w:rsid w:val="009E4718"/>
    <w:rsid w:val="009E5D80"/>
    <w:rsid w:val="009E6276"/>
    <w:rsid w:val="009E6DD9"/>
    <w:rsid w:val="009E7928"/>
    <w:rsid w:val="009E7B5A"/>
    <w:rsid w:val="009F0F9D"/>
    <w:rsid w:val="009F1E3C"/>
    <w:rsid w:val="009F312C"/>
    <w:rsid w:val="009F3859"/>
    <w:rsid w:val="009F4345"/>
    <w:rsid w:val="009F4C29"/>
    <w:rsid w:val="009F5492"/>
    <w:rsid w:val="009F5E58"/>
    <w:rsid w:val="009F6CB9"/>
    <w:rsid w:val="009F73C7"/>
    <w:rsid w:val="00A01DED"/>
    <w:rsid w:val="00A01FCA"/>
    <w:rsid w:val="00A02D32"/>
    <w:rsid w:val="00A05838"/>
    <w:rsid w:val="00A06119"/>
    <w:rsid w:val="00A067FD"/>
    <w:rsid w:val="00A06E42"/>
    <w:rsid w:val="00A1076B"/>
    <w:rsid w:val="00A1252C"/>
    <w:rsid w:val="00A127CD"/>
    <w:rsid w:val="00A136F9"/>
    <w:rsid w:val="00A15A74"/>
    <w:rsid w:val="00A15AEB"/>
    <w:rsid w:val="00A165AA"/>
    <w:rsid w:val="00A16C3F"/>
    <w:rsid w:val="00A177A6"/>
    <w:rsid w:val="00A17CF8"/>
    <w:rsid w:val="00A20B35"/>
    <w:rsid w:val="00A20D4E"/>
    <w:rsid w:val="00A20D6B"/>
    <w:rsid w:val="00A20DC4"/>
    <w:rsid w:val="00A21FFA"/>
    <w:rsid w:val="00A23746"/>
    <w:rsid w:val="00A248BE"/>
    <w:rsid w:val="00A25A78"/>
    <w:rsid w:val="00A26203"/>
    <w:rsid w:val="00A26DF3"/>
    <w:rsid w:val="00A30192"/>
    <w:rsid w:val="00A30471"/>
    <w:rsid w:val="00A328DC"/>
    <w:rsid w:val="00A332F4"/>
    <w:rsid w:val="00A33C81"/>
    <w:rsid w:val="00A34C59"/>
    <w:rsid w:val="00A34FE7"/>
    <w:rsid w:val="00A364C2"/>
    <w:rsid w:val="00A36B43"/>
    <w:rsid w:val="00A373F4"/>
    <w:rsid w:val="00A421D0"/>
    <w:rsid w:val="00A4288F"/>
    <w:rsid w:val="00A42CB0"/>
    <w:rsid w:val="00A45E19"/>
    <w:rsid w:val="00A46384"/>
    <w:rsid w:val="00A47DED"/>
    <w:rsid w:val="00A504DB"/>
    <w:rsid w:val="00A510E6"/>
    <w:rsid w:val="00A51B9D"/>
    <w:rsid w:val="00A51C5A"/>
    <w:rsid w:val="00A535AE"/>
    <w:rsid w:val="00A53859"/>
    <w:rsid w:val="00A54784"/>
    <w:rsid w:val="00A56CBF"/>
    <w:rsid w:val="00A57716"/>
    <w:rsid w:val="00A605E2"/>
    <w:rsid w:val="00A60972"/>
    <w:rsid w:val="00A60AD9"/>
    <w:rsid w:val="00A61F62"/>
    <w:rsid w:val="00A62406"/>
    <w:rsid w:val="00A627C5"/>
    <w:rsid w:val="00A63140"/>
    <w:rsid w:val="00A637C1"/>
    <w:rsid w:val="00A63FD4"/>
    <w:rsid w:val="00A65383"/>
    <w:rsid w:val="00A659A1"/>
    <w:rsid w:val="00A66119"/>
    <w:rsid w:val="00A6649F"/>
    <w:rsid w:val="00A6658E"/>
    <w:rsid w:val="00A72349"/>
    <w:rsid w:val="00A7286F"/>
    <w:rsid w:val="00A72CA2"/>
    <w:rsid w:val="00A73934"/>
    <w:rsid w:val="00A73DDB"/>
    <w:rsid w:val="00A747C9"/>
    <w:rsid w:val="00A749FE"/>
    <w:rsid w:val="00A74BA8"/>
    <w:rsid w:val="00A7599B"/>
    <w:rsid w:val="00A808B2"/>
    <w:rsid w:val="00A8107A"/>
    <w:rsid w:val="00A81A11"/>
    <w:rsid w:val="00A81D74"/>
    <w:rsid w:val="00A83BAD"/>
    <w:rsid w:val="00A855CF"/>
    <w:rsid w:val="00A857D7"/>
    <w:rsid w:val="00A863A8"/>
    <w:rsid w:val="00A86A33"/>
    <w:rsid w:val="00A86C8D"/>
    <w:rsid w:val="00A87DB5"/>
    <w:rsid w:val="00A90FD9"/>
    <w:rsid w:val="00A9308B"/>
    <w:rsid w:val="00A93E3E"/>
    <w:rsid w:val="00A946AD"/>
    <w:rsid w:val="00A94F05"/>
    <w:rsid w:val="00A94F75"/>
    <w:rsid w:val="00A95309"/>
    <w:rsid w:val="00A96CF3"/>
    <w:rsid w:val="00A96DB3"/>
    <w:rsid w:val="00AA06EB"/>
    <w:rsid w:val="00AA2074"/>
    <w:rsid w:val="00AA23C8"/>
    <w:rsid w:val="00AA2D32"/>
    <w:rsid w:val="00AA311A"/>
    <w:rsid w:val="00AA451D"/>
    <w:rsid w:val="00AA4C8B"/>
    <w:rsid w:val="00AA4F11"/>
    <w:rsid w:val="00AA63EB"/>
    <w:rsid w:val="00AA648C"/>
    <w:rsid w:val="00AA68FE"/>
    <w:rsid w:val="00AA7DA8"/>
    <w:rsid w:val="00AB04E1"/>
    <w:rsid w:val="00AB070E"/>
    <w:rsid w:val="00AB167F"/>
    <w:rsid w:val="00AB203F"/>
    <w:rsid w:val="00AB2288"/>
    <w:rsid w:val="00AB26A2"/>
    <w:rsid w:val="00AB2B4C"/>
    <w:rsid w:val="00AB5809"/>
    <w:rsid w:val="00AB5843"/>
    <w:rsid w:val="00AB5C40"/>
    <w:rsid w:val="00AB70B7"/>
    <w:rsid w:val="00AC0C85"/>
    <w:rsid w:val="00AC1431"/>
    <w:rsid w:val="00AC1A5A"/>
    <w:rsid w:val="00AC22D0"/>
    <w:rsid w:val="00AC2E06"/>
    <w:rsid w:val="00AC3EF7"/>
    <w:rsid w:val="00AC494A"/>
    <w:rsid w:val="00AC4AA9"/>
    <w:rsid w:val="00AC61CC"/>
    <w:rsid w:val="00AC7CE3"/>
    <w:rsid w:val="00AD004C"/>
    <w:rsid w:val="00AD0207"/>
    <w:rsid w:val="00AD0283"/>
    <w:rsid w:val="00AD3FF1"/>
    <w:rsid w:val="00AD4E4C"/>
    <w:rsid w:val="00AD52EC"/>
    <w:rsid w:val="00AD6034"/>
    <w:rsid w:val="00AD72BD"/>
    <w:rsid w:val="00AD7748"/>
    <w:rsid w:val="00AE01AD"/>
    <w:rsid w:val="00AE050A"/>
    <w:rsid w:val="00AE0A96"/>
    <w:rsid w:val="00AE0DA7"/>
    <w:rsid w:val="00AE0E35"/>
    <w:rsid w:val="00AE271C"/>
    <w:rsid w:val="00AE3263"/>
    <w:rsid w:val="00AE3874"/>
    <w:rsid w:val="00AE3C7D"/>
    <w:rsid w:val="00AE420D"/>
    <w:rsid w:val="00AE5258"/>
    <w:rsid w:val="00AE551A"/>
    <w:rsid w:val="00AE5662"/>
    <w:rsid w:val="00AE763C"/>
    <w:rsid w:val="00AF083D"/>
    <w:rsid w:val="00AF1A62"/>
    <w:rsid w:val="00AF2010"/>
    <w:rsid w:val="00AF2734"/>
    <w:rsid w:val="00AF27E8"/>
    <w:rsid w:val="00AF28C8"/>
    <w:rsid w:val="00AF2BFB"/>
    <w:rsid w:val="00AF2CAE"/>
    <w:rsid w:val="00AF365E"/>
    <w:rsid w:val="00AF49BB"/>
    <w:rsid w:val="00AF6F10"/>
    <w:rsid w:val="00B026C7"/>
    <w:rsid w:val="00B03E2D"/>
    <w:rsid w:val="00B05266"/>
    <w:rsid w:val="00B055A8"/>
    <w:rsid w:val="00B05EF7"/>
    <w:rsid w:val="00B0733D"/>
    <w:rsid w:val="00B10E99"/>
    <w:rsid w:val="00B12044"/>
    <w:rsid w:val="00B126AF"/>
    <w:rsid w:val="00B128B6"/>
    <w:rsid w:val="00B1388B"/>
    <w:rsid w:val="00B14479"/>
    <w:rsid w:val="00B1521A"/>
    <w:rsid w:val="00B1536A"/>
    <w:rsid w:val="00B174A5"/>
    <w:rsid w:val="00B17F4C"/>
    <w:rsid w:val="00B20DED"/>
    <w:rsid w:val="00B225ED"/>
    <w:rsid w:val="00B238A0"/>
    <w:rsid w:val="00B24C2B"/>
    <w:rsid w:val="00B25239"/>
    <w:rsid w:val="00B25707"/>
    <w:rsid w:val="00B25BDC"/>
    <w:rsid w:val="00B2746E"/>
    <w:rsid w:val="00B27F6E"/>
    <w:rsid w:val="00B3101E"/>
    <w:rsid w:val="00B31A1F"/>
    <w:rsid w:val="00B31C1A"/>
    <w:rsid w:val="00B3234E"/>
    <w:rsid w:val="00B32940"/>
    <w:rsid w:val="00B32A18"/>
    <w:rsid w:val="00B33561"/>
    <w:rsid w:val="00B347C0"/>
    <w:rsid w:val="00B348A6"/>
    <w:rsid w:val="00B356C6"/>
    <w:rsid w:val="00B35723"/>
    <w:rsid w:val="00B35A77"/>
    <w:rsid w:val="00B364D2"/>
    <w:rsid w:val="00B374CE"/>
    <w:rsid w:val="00B37CFF"/>
    <w:rsid w:val="00B37EDC"/>
    <w:rsid w:val="00B4184D"/>
    <w:rsid w:val="00B4350E"/>
    <w:rsid w:val="00B44D76"/>
    <w:rsid w:val="00B4526B"/>
    <w:rsid w:val="00B4696E"/>
    <w:rsid w:val="00B47A90"/>
    <w:rsid w:val="00B47AE7"/>
    <w:rsid w:val="00B47F68"/>
    <w:rsid w:val="00B50D18"/>
    <w:rsid w:val="00B5127F"/>
    <w:rsid w:val="00B51D48"/>
    <w:rsid w:val="00B5200D"/>
    <w:rsid w:val="00B537B1"/>
    <w:rsid w:val="00B5435A"/>
    <w:rsid w:val="00B5474D"/>
    <w:rsid w:val="00B5595C"/>
    <w:rsid w:val="00B562D6"/>
    <w:rsid w:val="00B566A3"/>
    <w:rsid w:val="00B567EC"/>
    <w:rsid w:val="00B57A79"/>
    <w:rsid w:val="00B60173"/>
    <w:rsid w:val="00B61346"/>
    <w:rsid w:val="00B61CBC"/>
    <w:rsid w:val="00B64D06"/>
    <w:rsid w:val="00B65B00"/>
    <w:rsid w:val="00B671B9"/>
    <w:rsid w:val="00B672C5"/>
    <w:rsid w:val="00B6745A"/>
    <w:rsid w:val="00B716E3"/>
    <w:rsid w:val="00B72A38"/>
    <w:rsid w:val="00B72BBC"/>
    <w:rsid w:val="00B72E57"/>
    <w:rsid w:val="00B72FF8"/>
    <w:rsid w:val="00B758D0"/>
    <w:rsid w:val="00B75E18"/>
    <w:rsid w:val="00B76C2E"/>
    <w:rsid w:val="00B77682"/>
    <w:rsid w:val="00B80C18"/>
    <w:rsid w:val="00B81D11"/>
    <w:rsid w:val="00B81FF9"/>
    <w:rsid w:val="00B823D7"/>
    <w:rsid w:val="00B8249B"/>
    <w:rsid w:val="00B84E68"/>
    <w:rsid w:val="00B86911"/>
    <w:rsid w:val="00B9090C"/>
    <w:rsid w:val="00B934E0"/>
    <w:rsid w:val="00B93A0C"/>
    <w:rsid w:val="00B93A12"/>
    <w:rsid w:val="00B9472F"/>
    <w:rsid w:val="00B95041"/>
    <w:rsid w:val="00B952CA"/>
    <w:rsid w:val="00B95551"/>
    <w:rsid w:val="00B95666"/>
    <w:rsid w:val="00B95A76"/>
    <w:rsid w:val="00B95DAE"/>
    <w:rsid w:val="00B9748A"/>
    <w:rsid w:val="00B97F2C"/>
    <w:rsid w:val="00BA01C9"/>
    <w:rsid w:val="00BA18D5"/>
    <w:rsid w:val="00BA306F"/>
    <w:rsid w:val="00BA3DED"/>
    <w:rsid w:val="00BA5BDB"/>
    <w:rsid w:val="00BA603C"/>
    <w:rsid w:val="00BA7A18"/>
    <w:rsid w:val="00BB0334"/>
    <w:rsid w:val="00BB2EA1"/>
    <w:rsid w:val="00BB3618"/>
    <w:rsid w:val="00BB3A5E"/>
    <w:rsid w:val="00BB5413"/>
    <w:rsid w:val="00BB5E4B"/>
    <w:rsid w:val="00BB73D0"/>
    <w:rsid w:val="00BB7413"/>
    <w:rsid w:val="00BC1D8D"/>
    <w:rsid w:val="00BC267E"/>
    <w:rsid w:val="00BC360C"/>
    <w:rsid w:val="00BC3BDD"/>
    <w:rsid w:val="00BC467F"/>
    <w:rsid w:val="00BC559B"/>
    <w:rsid w:val="00BC5F5D"/>
    <w:rsid w:val="00BC68F8"/>
    <w:rsid w:val="00BC6C4B"/>
    <w:rsid w:val="00BC73E0"/>
    <w:rsid w:val="00BD04E2"/>
    <w:rsid w:val="00BD0650"/>
    <w:rsid w:val="00BD0C09"/>
    <w:rsid w:val="00BD1F90"/>
    <w:rsid w:val="00BD3410"/>
    <w:rsid w:val="00BD379F"/>
    <w:rsid w:val="00BD38E0"/>
    <w:rsid w:val="00BD39D6"/>
    <w:rsid w:val="00BD3B42"/>
    <w:rsid w:val="00BD4386"/>
    <w:rsid w:val="00BD4AC7"/>
    <w:rsid w:val="00BD578A"/>
    <w:rsid w:val="00BD5B70"/>
    <w:rsid w:val="00BD6214"/>
    <w:rsid w:val="00BD64C5"/>
    <w:rsid w:val="00BE0794"/>
    <w:rsid w:val="00BE368D"/>
    <w:rsid w:val="00BE3D67"/>
    <w:rsid w:val="00BE4B37"/>
    <w:rsid w:val="00BE4C42"/>
    <w:rsid w:val="00BE4E42"/>
    <w:rsid w:val="00BE53EC"/>
    <w:rsid w:val="00BE5F4B"/>
    <w:rsid w:val="00BE6E52"/>
    <w:rsid w:val="00BE75D1"/>
    <w:rsid w:val="00BF00FD"/>
    <w:rsid w:val="00BF17EE"/>
    <w:rsid w:val="00BF1C80"/>
    <w:rsid w:val="00BF1E56"/>
    <w:rsid w:val="00BF2442"/>
    <w:rsid w:val="00BF29B8"/>
    <w:rsid w:val="00BF31C6"/>
    <w:rsid w:val="00BF338A"/>
    <w:rsid w:val="00BF3E59"/>
    <w:rsid w:val="00BF7832"/>
    <w:rsid w:val="00C001CF"/>
    <w:rsid w:val="00C00739"/>
    <w:rsid w:val="00C0172B"/>
    <w:rsid w:val="00C01D64"/>
    <w:rsid w:val="00C01FD7"/>
    <w:rsid w:val="00C0260B"/>
    <w:rsid w:val="00C032F5"/>
    <w:rsid w:val="00C03538"/>
    <w:rsid w:val="00C04E5F"/>
    <w:rsid w:val="00C05CEF"/>
    <w:rsid w:val="00C05DE8"/>
    <w:rsid w:val="00C0615E"/>
    <w:rsid w:val="00C07D0E"/>
    <w:rsid w:val="00C10474"/>
    <w:rsid w:val="00C11A9F"/>
    <w:rsid w:val="00C11E2F"/>
    <w:rsid w:val="00C120E2"/>
    <w:rsid w:val="00C127E6"/>
    <w:rsid w:val="00C12FD0"/>
    <w:rsid w:val="00C13870"/>
    <w:rsid w:val="00C1418A"/>
    <w:rsid w:val="00C146E9"/>
    <w:rsid w:val="00C16897"/>
    <w:rsid w:val="00C2176A"/>
    <w:rsid w:val="00C21849"/>
    <w:rsid w:val="00C22CC3"/>
    <w:rsid w:val="00C23B1A"/>
    <w:rsid w:val="00C240D1"/>
    <w:rsid w:val="00C256FB"/>
    <w:rsid w:val="00C256FD"/>
    <w:rsid w:val="00C2571E"/>
    <w:rsid w:val="00C26EE9"/>
    <w:rsid w:val="00C271A8"/>
    <w:rsid w:val="00C305B9"/>
    <w:rsid w:val="00C30C58"/>
    <w:rsid w:val="00C31F90"/>
    <w:rsid w:val="00C322B4"/>
    <w:rsid w:val="00C327CA"/>
    <w:rsid w:val="00C33137"/>
    <w:rsid w:val="00C3377F"/>
    <w:rsid w:val="00C349F8"/>
    <w:rsid w:val="00C34A8C"/>
    <w:rsid w:val="00C3534C"/>
    <w:rsid w:val="00C35961"/>
    <w:rsid w:val="00C35A90"/>
    <w:rsid w:val="00C36599"/>
    <w:rsid w:val="00C37BFE"/>
    <w:rsid w:val="00C40C17"/>
    <w:rsid w:val="00C41393"/>
    <w:rsid w:val="00C42F4D"/>
    <w:rsid w:val="00C44308"/>
    <w:rsid w:val="00C44B8C"/>
    <w:rsid w:val="00C45066"/>
    <w:rsid w:val="00C4577C"/>
    <w:rsid w:val="00C45864"/>
    <w:rsid w:val="00C4621E"/>
    <w:rsid w:val="00C463F1"/>
    <w:rsid w:val="00C4771A"/>
    <w:rsid w:val="00C500FE"/>
    <w:rsid w:val="00C50306"/>
    <w:rsid w:val="00C50B35"/>
    <w:rsid w:val="00C50BD4"/>
    <w:rsid w:val="00C510F1"/>
    <w:rsid w:val="00C51898"/>
    <w:rsid w:val="00C53D4D"/>
    <w:rsid w:val="00C54269"/>
    <w:rsid w:val="00C54BB9"/>
    <w:rsid w:val="00C554FF"/>
    <w:rsid w:val="00C55B63"/>
    <w:rsid w:val="00C565C8"/>
    <w:rsid w:val="00C579EA"/>
    <w:rsid w:val="00C61297"/>
    <w:rsid w:val="00C62AA3"/>
    <w:rsid w:val="00C62F72"/>
    <w:rsid w:val="00C632EE"/>
    <w:rsid w:val="00C64BA9"/>
    <w:rsid w:val="00C65153"/>
    <w:rsid w:val="00C6518E"/>
    <w:rsid w:val="00C655F4"/>
    <w:rsid w:val="00C6685F"/>
    <w:rsid w:val="00C6742F"/>
    <w:rsid w:val="00C67FD4"/>
    <w:rsid w:val="00C706BE"/>
    <w:rsid w:val="00C716A4"/>
    <w:rsid w:val="00C73FAB"/>
    <w:rsid w:val="00C7408D"/>
    <w:rsid w:val="00C74515"/>
    <w:rsid w:val="00C762A5"/>
    <w:rsid w:val="00C8052D"/>
    <w:rsid w:val="00C80848"/>
    <w:rsid w:val="00C80FEF"/>
    <w:rsid w:val="00C815AD"/>
    <w:rsid w:val="00C81773"/>
    <w:rsid w:val="00C81F20"/>
    <w:rsid w:val="00C85C5C"/>
    <w:rsid w:val="00C85CCD"/>
    <w:rsid w:val="00C868FE"/>
    <w:rsid w:val="00C879AF"/>
    <w:rsid w:val="00C90E62"/>
    <w:rsid w:val="00C91905"/>
    <w:rsid w:val="00C91942"/>
    <w:rsid w:val="00C919F4"/>
    <w:rsid w:val="00C91C3A"/>
    <w:rsid w:val="00C93E66"/>
    <w:rsid w:val="00C96019"/>
    <w:rsid w:val="00C96536"/>
    <w:rsid w:val="00CA0D96"/>
    <w:rsid w:val="00CA15C6"/>
    <w:rsid w:val="00CA1A8E"/>
    <w:rsid w:val="00CA2C3F"/>
    <w:rsid w:val="00CA2D75"/>
    <w:rsid w:val="00CA349C"/>
    <w:rsid w:val="00CA3BE6"/>
    <w:rsid w:val="00CA53B9"/>
    <w:rsid w:val="00CA5416"/>
    <w:rsid w:val="00CA6697"/>
    <w:rsid w:val="00CA6FEE"/>
    <w:rsid w:val="00CA7C7D"/>
    <w:rsid w:val="00CB1995"/>
    <w:rsid w:val="00CB1A68"/>
    <w:rsid w:val="00CB2D6D"/>
    <w:rsid w:val="00CB3195"/>
    <w:rsid w:val="00CB3AD0"/>
    <w:rsid w:val="00CB4483"/>
    <w:rsid w:val="00CB44F9"/>
    <w:rsid w:val="00CB48F7"/>
    <w:rsid w:val="00CB5899"/>
    <w:rsid w:val="00CB7116"/>
    <w:rsid w:val="00CB79FF"/>
    <w:rsid w:val="00CC0485"/>
    <w:rsid w:val="00CC1947"/>
    <w:rsid w:val="00CC1DAB"/>
    <w:rsid w:val="00CC2633"/>
    <w:rsid w:val="00CC36D6"/>
    <w:rsid w:val="00CC3F44"/>
    <w:rsid w:val="00CC45B6"/>
    <w:rsid w:val="00CC49D5"/>
    <w:rsid w:val="00CC6472"/>
    <w:rsid w:val="00CC6F0F"/>
    <w:rsid w:val="00CC7C28"/>
    <w:rsid w:val="00CD110F"/>
    <w:rsid w:val="00CD2212"/>
    <w:rsid w:val="00CD227A"/>
    <w:rsid w:val="00CD2F5F"/>
    <w:rsid w:val="00CD57B8"/>
    <w:rsid w:val="00CD6069"/>
    <w:rsid w:val="00CD696F"/>
    <w:rsid w:val="00CE1211"/>
    <w:rsid w:val="00CE142D"/>
    <w:rsid w:val="00CE1795"/>
    <w:rsid w:val="00CE2458"/>
    <w:rsid w:val="00CE3B56"/>
    <w:rsid w:val="00CE3C11"/>
    <w:rsid w:val="00CE4B1C"/>
    <w:rsid w:val="00CE528C"/>
    <w:rsid w:val="00CE5B25"/>
    <w:rsid w:val="00CE5DEF"/>
    <w:rsid w:val="00CE5FBE"/>
    <w:rsid w:val="00CE7373"/>
    <w:rsid w:val="00CF00D2"/>
    <w:rsid w:val="00CF1DDB"/>
    <w:rsid w:val="00CF21CE"/>
    <w:rsid w:val="00CF25DA"/>
    <w:rsid w:val="00CF32BD"/>
    <w:rsid w:val="00CF33DF"/>
    <w:rsid w:val="00CF3513"/>
    <w:rsid w:val="00CF3F6C"/>
    <w:rsid w:val="00CF44E1"/>
    <w:rsid w:val="00CF4FFB"/>
    <w:rsid w:val="00CF50B6"/>
    <w:rsid w:val="00CF51BC"/>
    <w:rsid w:val="00CF5D45"/>
    <w:rsid w:val="00CF60DF"/>
    <w:rsid w:val="00CF657B"/>
    <w:rsid w:val="00CF6C27"/>
    <w:rsid w:val="00CF7F78"/>
    <w:rsid w:val="00D005E2"/>
    <w:rsid w:val="00D0089D"/>
    <w:rsid w:val="00D00E5A"/>
    <w:rsid w:val="00D014C8"/>
    <w:rsid w:val="00D015EA"/>
    <w:rsid w:val="00D02799"/>
    <w:rsid w:val="00D02BEE"/>
    <w:rsid w:val="00D0449C"/>
    <w:rsid w:val="00D04BBA"/>
    <w:rsid w:val="00D04F96"/>
    <w:rsid w:val="00D0598E"/>
    <w:rsid w:val="00D0607F"/>
    <w:rsid w:val="00D063A9"/>
    <w:rsid w:val="00D06C02"/>
    <w:rsid w:val="00D102D9"/>
    <w:rsid w:val="00D10AB1"/>
    <w:rsid w:val="00D13B07"/>
    <w:rsid w:val="00D16C01"/>
    <w:rsid w:val="00D2091A"/>
    <w:rsid w:val="00D21346"/>
    <w:rsid w:val="00D21C95"/>
    <w:rsid w:val="00D2278A"/>
    <w:rsid w:val="00D2303F"/>
    <w:rsid w:val="00D23FF6"/>
    <w:rsid w:val="00D2524B"/>
    <w:rsid w:val="00D2559E"/>
    <w:rsid w:val="00D268A1"/>
    <w:rsid w:val="00D2702B"/>
    <w:rsid w:val="00D27350"/>
    <w:rsid w:val="00D27B1A"/>
    <w:rsid w:val="00D30059"/>
    <w:rsid w:val="00D31084"/>
    <w:rsid w:val="00D31DA4"/>
    <w:rsid w:val="00D32C7B"/>
    <w:rsid w:val="00D3355D"/>
    <w:rsid w:val="00D348B3"/>
    <w:rsid w:val="00D34B31"/>
    <w:rsid w:val="00D34FD7"/>
    <w:rsid w:val="00D35C76"/>
    <w:rsid w:val="00D35C83"/>
    <w:rsid w:val="00D371A9"/>
    <w:rsid w:val="00D376E2"/>
    <w:rsid w:val="00D40980"/>
    <w:rsid w:val="00D41E32"/>
    <w:rsid w:val="00D42930"/>
    <w:rsid w:val="00D429DC"/>
    <w:rsid w:val="00D4417A"/>
    <w:rsid w:val="00D44245"/>
    <w:rsid w:val="00D44B62"/>
    <w:rsid w:val="00D451DE"/>
    <w:rsid w:val="00D45E44"/>
    <w:rsid w:val="00D473F7"/>
    <w:rsid w:val="00D47617"/>
    <w:rsid w:val="00D47DD0"/>
    <w:rsid w:val="00D509F6"/>
    <w:rsid w:val="00D517B7"/>
    <w:rsid w:val="00D52A8C"/>
    <w:rsid w:val="00D52DBB"/>
    <w:rsid w:val="00D5356B"/>
    <w:rsid w:val="00D539F4"/>
    <w:rsid w:val="00D547D7"/>
    <w:rsid w:val="00D5496C"/>
    <w:rsid w:val="00D549FE"/>
    <w:rsid w:val="00D56A05"/>
    <w:rsid w:val="00D5709C"/>
    <w:rsid w:val="00D600B4"/>
    <w:rsid w:val="00D6082C"/>
    <w:rsid w:val="00D60A64"/>
    <w:rsid w:val="00D60DCE"/>
    <w:rsid w:val="00D613F0"/>
    <w:rsid w:val="00D6175C"/>
    <w:rsid w:val="00D61D02"/>
    <w:rsid w:val="00D626D8"/>
    <w:rsid w:val="00D63443"/>
    <w:rsid w:val="00D6355F"/>
    <w:rsid w:val="00D63AE5"/>
    <w:rsid w:val="00D6462C"/>
    <w:rsid w:val="00D653E7"/>
    <w:rsid w:val="00D65A4C"/>
    <w:rsid w:val="00D65BAC"/>
    <w:rsid w:val="00D65CE3"/>
    <w:rsid w:val="00D66483"/>
    <w:rsid w:val="00D66813"/>
    <w:rsid w:val="00D67035"/>
    <w:rsid w:val="00D67A8C"/>
    <w:rsid w:val="00D70528"/>
    <w:rsid w:val="00D71724"/>
    <w:rsid w:val="00D722C1"/>
    <w:rsid w:val="00D73750"/>
    <w:rsid w:val="00D749F8"/>
    <w:rsid w:val="00D75A1E"/>
    <w:rsid w:val="00D76255"/>
    <w:rsid w:val="00D7644F"/>
    <w:rsid w:val="00D776D6"/>
    <w:rsid w:val="00D77E14"/>
    <w:rsid w:val="00D8019B"/>
    <w:rsid w:val="00D803CA"/>
    <w:rsid w:val="00D8105D"/>
    <w:rsid w:val="00D81F30"/>
    <w:rsid w:val="00D820C3"/>
    <w:rsid w:val="00D839CE"/>
    <w:rsid w:val="00D86FA3"/>
    <w:rsid w:val="00D9040A"/>
    <w:rsid w:val="00D91F52"/>
    <w:rsid w:val="00D930E5"/>
    <w:rsid w:val="00D94EA2"/>
    <w:rsid w:val="00D953AC"/>
    <w:rsid w:val="00D957FC"/>
    <w:rsid w:val="00DA1773"/>
    <w:rsid w:val="00DA2265"/>
    <w:rsid w:val="00DA284A"/>
    <w:rsid w:val="00DA3FBD"/>
    <w:rsid w:val="00DA479B"/>
    <w:rsid w:val="00DA48C7"/>
    <w:rsid w:val="00DA4ABE"/>
    <w:rsid w:val="00DA51DB"/>
    <w:rsid w:val="00DA6E48"/>
    <w:rsid w:val="00DA7094"/>
    <w:rsid w:val="00DA71FC"/>
    <w:rsid w:val="00DA7493"/>
    <w:rsid w:val="00DA78B6"/>
    <w:rsid w:val="00DA7BEC"/>
    <w:rsid w:val="00DA7F96"/>
    <w:rsid w:val="00DB1BA1"/>
    <w:rsid w:val="00DB1C62"/>
    <w:rsid w:val="00DB1FE9"/>
    <w:rsid w:val="00DB2A1C"/>
    <w:rsid w:val="00DB3010"/>
    <w:rsid w:val="00DB3B01"/>
    <w:rsid w:val="00DB4107"/>
    <w:rsid w:val="00DB4FCE"/>
    <w:rsid w:val="00DB50A4"/>
    <w:rsid w:val="00DB5CEC"/>
    <w:rsid w:val="00DB670B"/>
    <w:rsid w:val="00DB6950"/>
    <w:rsid w:val="00DB789D"/>
    <w:rsid w:val="00DB7DF9"/>
    <w:rsid w:val="00DB7F11"/>
    <w:rsid w:val="00DC1820"/>
    <w:rsid w:val="00DC2DFF"/>
    <w:rsid w:val="00DC336D"/>
    <w:rsid w:val="00DC394E"/>
    <w:rsid w:val="00DC39B7"/>
    <w:rsid w:val="00DC474E"/>
    <w:rsid w:val="00DC4BE8"/>
    <w:rsid w:val="00DC5266"/>
    <w:rsid w:val="00DC651D"/>
    <w:rsid w:val="00DC67CA"/>
    <w:rsid w:val="00DC6C76"/>
    <w:rsid w:val="00DC7D2D"/>
    <w:rsid w:val="00DC7D99"/>
    <w:rsid w:val="00DC7FB7"/>
    <w:rsid w:val="00DD091C"/>
    <w:rsid w:val="00DD0988"/>
    <w:rsid w:val="00DD0FDD"/>
    <w:rsid w:val="00DD453F"/>
    <w:rsid w:val="00DD460A"/>
    <w:rsid w:val="00DD4A2B"/>
    <w:rsid w:val="00DD5E6A"/>
    <w:rsid w:val="00DD669A"/>
    <w:rsid w:val="00DD67A8"/>
    <w:rsid w:val="00DD6907"/>
    <w:rsid w:val="00DD74F0"/>
    <w:rsid w:val="00DD7557"/>
    <w:rsid w:val="00DD77AB"/>
    <w:rsid w:val="00DE123D"/>
    <w:rsid w:val="00DE14F0"/>
    <w:rsid w:val="00DE1EB2"/>
    <w:rsid w:val="00DE25C2"/>
    <w:rsid w:val="00DE34EC"/>
    <w:rsid w:val="00DE351A"/>
    <w:rsid w:val="00DE3A5F"/>
    <w:rsid w:val="00DE5939"/>
    <w:rsid w:val="00DE5ACE"/>
    <w:rsid w:val="00DE633A"/>
    <w:rsid w:val="00DE6DB6"/>
    <w:rsid w:val="00DE6FA4"/>
    <w:rsid w:val="00DE7393"/>
    <w:rsid w:val="00DE742A"/>
    <w:rsid w:val="00DF13E3"/>
    <w:rsid w:val="00DF16CA"/>
    <w:rsid w:val="00DF2173"/>
    <w:rsid w:val="00DF2E32"/>
    <w:rsid w:val="00DF36BA"/>
    <w:rsid w:val="00DF7FBC"/>
    <w:rsid w:val="00E00735"/>
    <w:rsid w:val="00E00D73"/>
    <w:rsid w:val="00E00E5E"/>
    <w:rsid w:val="00E00F13"/>
    <w:rsid w:val="00E00F6D"/>
    <w:rsid w:val="00E0141E"/>
    <w:rsid w:val="00E01982"/>
    <w:rsid w:val="00E02312"/>
    <w:rsid w:val="00E02D2A"/>
    <w:rsid w:val="00E05E0E"/>
    <w:rsid w:val="00E06178"/>
    <w:rsid w:val="00E0672A"/>
    <w:rsid w:val="00E06A98"/>
    <w:rsid w:val="00E070FC"/>
    <w:rsid w:val="00E07BDC"/>
    <w:rsid w:val="00E10ACB"/>
    <w:rsid w:val="00E11F73"/>
    <w:rsid w:val="00E1201D"/>
    <w:rsid w:val="00E129AD"/>
    <w:rsid w:val="00E12E18"/>
    <w:rsid w:val="00E145D5"/>
    <w:rsid w:val="00E15ABD"/>
    <w:rsid w:val="00E15BCD"/>
    <w:rsid w:val="00E16776"/>
    <w:rsid w:val="00E17260"/>
    <w:rsid w:val="00E2244A"/>
    <w:rsid w:val="00E225B7"/>
    <w:rsid w:val="00E2341A"/>
    <w:rsid w:val="00E23745"/>
    <w:rsid w:val="00E2418B"/>
    <w:rsid w:val="00E25DE2"/>
    <w:rsid w:val="00E25F97"/>
    <w:rsid w:val="00E263A0"/>
    <w:rsid w:val="00E27644"/>
    <w:rsid w:val="00E27F6E"/>
    <w:rsid w:val="00E30D36"/>
    <w:rsid w:val="00E313A3"/>
    <w:rsid w:val="00E32443"/>
    <w:rsid w:val="00E32CBB"/>
    <w:rsid w:val="00E33BDB"/>
    <w:rsid w:val="00E33D96"/>
    <w:rsid w:val="00E347FF"/>
    <w:rsid w:val="00E3481F"/>
    <w:rsid w:val="00E3501C"/>
    <w:rsid w:val="00E35E0C"/>
    <w:rsid w:val="00E35F7C"/>
    <w:rsid w:val="00E36AE7"/>
    <w:rsid w:val="00E37D74"/>
    <w:rsid w:val="00E40B4E"/>
    <w:rsid w:val="00E414D7"/>
    <w:rsid w:val="00E41DB3"/>
    <w:rsid w:val="00E424A9"/>
    <w:rsid w:val="00E42740"/>
    <w:rsid w:val="00E42836"/>
    <w:rsid w:val="00E430E7"/>
    <w:rsid w:val="00E43FA1"/>
    <w:rsid w:val="00E455CB"/>
    <w:rsid w:val="00E45937"/>
    <w:rsid w:val="00E46043"/>
    <w:rsid w:val="00E46B4E"/>
    <w:rsid w:val="00E4711C"/>
    <w:rsid w:val="00E47B16"/>
    <w:rsid w:val="00E504DE"/>
    <w:rsid w:val="00E50790"/>
    <w:rsid w:val="00E52F4E"/>
    <w:rsid w:val="00E54682"/>
    <w:rsid w:val="00E551AA"/>
    <w:rsid w:val="00E555B7"/>
    <w:rsid w:val="00E56058"/>
    <w:rsid w:val="00E576A9"/>
    <w:rsid w:val="00E57917"/>
    <w:rsid w:val="00E61E43"/>
    <w:rsid w:val="00E623E7"/>
    <w:rsid w:val="00E62561"/>
    <w:rsid w:val="00E6322E"/>
    <w:rsid w:val="00E63C07"/>
    <w:rsid w:val="00E646B7"/>
    <w:rsid w:val="00E64AF7"/>
    <w:rsid w:val="00E655DD"/>
    <w:rsid w:val="00E66889"/>
    <w:rsid w:val="00E67273"/>
    <w:rsid w:val="00E7020C"/>
    <w:rsid w:val="00E70CFA"/>
    <w:rsid w:val="00E70ECF"/>
    <w:rsid w:val="00E71AC5"/>
    <w:rsid w:val="00E724CE"/>
    <w:rsid w:val="00E72E70"/>
    <w:rsid w:val="00E730E4"/>
    <w:rsid w:val="00E7313C"/>
    <w:rsid w:val="00E73379"/>
    <w:rsid w:val="00E744A2"/>
    <w:rsid w:val="00E74F4E"/>
    <w:rsid w:val="00E75736"/>
    <w:rsid w:val="00E75ECB"/>
    <w:rsid w:val="00E7639C"/>
    <w:rsid w:val="00E76EA1"/>
    <w:rsid w:val="00E77BD2"/>
    <w:rsid w:val="00E80735"/>
    <w:rsid w:val="00E8195B"/>
    <w:rsid w:val="00E82D6A"/>
    <w:rsid w:val="00E82D8C"/>
    <w:rsid w:val="00E8490C"/>
    <w:rsid w:val="00E86193"/>
    <w:rsid w:val="00E867CD"/>
    <w:rsid w:val="00E876BD"/>
    <w:rsid w:val="00E879CF"/>
    <w:rsid w:val="00E90CD4"/>
    <w:rsid w:val="00E911ED"/>
    <w:rsid w:val="00E92AA9"/>
    <w:rsid w:val="00E943FA"/>
    <w:rsid w:val="00E94A51"/>
    <w:rsid w:val="00E94F63"/>
    <w:rsid w:val="00E956BB"/>
    <w:rsid w:val="00E962F3"/>
    <w:rsid w:val="00E966E3"/>
    <w:rsid w:val="00E96B38"/>
    <w:rsid w:val="00E97446"/>
    <w:rsid w:val="00E9795E"/>
    <w:rsid w:val="00E97FC4"/>
    <w:rsid w:val="00EA14D5"/>
    <w:rsid w:val="00EA1C30"/>
    <w:rsid w:val="00EA2089"/>
    <w:rsid w:val="00EA210B"/>
    <w:rsid w:val="00EA2251"/>
    <w:rsid w:val="00EA33EF"/>
    <w:rsid w:val="00EA48EE"/>
    <w:rsid w:val="00EA4ECB"/>
    <w:rsid w:val="00EA5576"/>
    <w:rsid w:val="00EA7934"/>
    <w:rsid w:val="00EA79FF"/>
    <w:rsid w:val="00EA7F09"/>
    <w:rsid w:val="00EB10CC"/>
    <w:rsid w:val="00EB17F7"/>
    <w:rsid w:val="00EB2746"/>
    <w:rsid w:val="00EB394D"/>
    <w:rsid w:val="00EB3E5F"/>
    <w:rsid w:val="00EB5A79"/>
    <w:rsid w:val="00EB61C7"/>
    <w:rsid w:val="00EC3A94"/>
    <w:rsid w:val="00EC4B60"/>
    <w:rsid w:val="00EC5B54"/>
    <w:rsid w:val="00EC5E42"/>
    <w:rsid w:val="00EC73BE"/>
    <w:rsid w:val="00ED089C"/>
    <w:rsid w:val="00ED0C60"/>
    <w:rsid w:val="00ED0D53"/>
    <w:rsid w:val="00ED0D5C"/>
    <w:rsid w:val="00ED3079"/>
    <w:rsid w:val="00ED3646"/>
    <w:rsid w:val="00ED3E12"/>
    <w:rsid w:val="00ED45FE"/>
    <w:rsid w:val="00ED50F3"/>
    <w:rsid w:val="00ED5485"/>
    <w:rsid w:val="00ED5777"/>
    <w:rsid w:val="00ED5E37"/>
    <w:rsid w:val="00ED65CA"/>
    <w:rsid w:val="00ED7B34"/>
    <w:rsid w:val="00EE038F"/>
    <w:rsid w:val="00EE1258"/>
    <w:rsid w:val="00EE1998"/>
    <w:rsid w:val="00EE20E5"/>
    <w:rsid w:val="00EE274F"/>
    <w:rsid w:val="00EE2857"/>
    <w:rsid w:val="00EE2ECF"/>
    <w:rsid w:val="00EE2F9F"/>
    <w:rsid w:val="00EE4A6A"/>
    <w:rsid w:val="00EE5A45"/>
    <w:rsid w:val="00EE6135"/>
    <w:rsid w:val="00EE6E6C"/>
    <w:rsid w:val="00EE7BA9"/>
    <w:rsid w:val="00EE7E86"/>
    <w:rsid w:val="00EF188A"/>
    <w:rsid w:val="00EF2397"/>
    <w:rsid w:val="00EF2411"/>
    <w:rsid w:val="00EF25F1"/>
    <w:rsid w:val="00EF4B77"/>
    <w:rsid w:val="00EF5155"/>
    <w:rsid w:val="00EF5237"/>
    <w:rsid w:val="00EF55A7"/>
    <w:rsid w:val="00EF5847"/>
    <w:rsid w:val="00EF5A73"/>
    <w:rsid w:val="00EF5F16"/>
    <w:rsid w:val="00EF7D79"/>
    <w:rsid w:val="00F00AE8"/>
    <w:rsid w:val="00F010D4"/>
    <w:rsid w:val="00F04F16"/>
    <w:rsid w:val="00F060CD"/>
    <w:rsid w:val="00F073F2"/>
    <w:rsid w:val="00F107E5"/>
    <w:rsid w:val="00F111A7"/>
    <w:rsid w:val="00F114D3"/>
    <w:rsid w:val="00F115CE"/>
    <w:rsid w:val="00F1292C"/>
    <w:rsid w:val="00F139EE"/>
    <w:rsid w:val="00F13C28"/>
    <w:rsid w:val="00F141BE"/>
    <w:rsid w:val="00F146FA"/>
    <w:rsid w:val="00F159B7"/>
    <w:rsid w:val="00F162BF"/>
    <w:rsid w:val="00F16838"/>
    <w:rsid w:val="00F16A4B"/>
    <w:rsid w:val="00F170CE"/>
    <w:rsid w:val="00F21B1B"/>
    <w:rsid w:val="00F23E48"/>
    <w:rsid w:val="00F255C2"/>
    <w:rsid w:val="00F27437"/>
    <w:rsid w:val="00F2770E"/>
    <w:rsid w:val="00F329CC"/>
    <w:rsid w:val="00F32BEA"/>
    <w:rsid w:val="00F3369D"/>
    <w:rsid w:val="00F33E28"/>
    <w:rsid w:val="00F35194"/>
    <w:rsid w:val="00F351C9"/>
    <w:rsid w:val="00F359F3"/>
    <w:rsid w:val="00F36490"/>
    <w:rsid w:val="00F36C82"/>
    <w:rsid w:val="00F4055F"/>
    <w:rsid w:val="00F40839"/>
    <w:rsid w:val="00F40B53"/>
    <w:rsid w:val="00F40D95"/>
    <w:rsid w:val="00F41150"/>
    <w:rsid w:val="00F41A8E"/>
    <w:rsid w:val="00F42DFA"/>
    <w:rsid w:val="00F438D1"/>
    <w:rsid w:val="00F44EAC"/>
    <w:rsid w:val="00F45392"/>
    <w:rsid w:val="00F45695"/>
    <w:rsid w:val="00F472BD"/>
    <w:rsid w:val="00F4783F"/>
    <w:rsid w:val="00F4784A"/>
    <w:rsid w:val="00F478E8"/>
    <w:rsid w:val="00F50ED6"/>
    <w:rsid w:val="00F54F8E"/>
    <w:rsid w:val="00F55A4C"/>
    <w:rsid w:val="00F55B15"/>
    <w:rsid w:val="00F561B5"/>
    <w:rsid w:val="00F5634D"/>
    <w:rsid w:val="00F56527"/>
    <w:rsid w:val="00F620CB"/>
    <w:rsid w:val="00F623AC"/>
    <w:rsid w:val="00F6322C"/>
    <w:rsid w:val="00F6360A"/>
    <w:rsid w:val="00F63D45"/>
    <w:rsid w:val="00F648C7"/>
    <w:rsid w:val="00F653D3"/>
    <w:rsid w:val="00F65FFE"/>
    <w:rsid w:val="00F6628B"/>
    <w:rsid w:val="00F671BF"/>
    <w:rsid w:val="00F6760A"/>
    <w:rsid w:val="00F67CEE"/>
    <w:rsid w:val="00F67EA2"/>
    <w:rsid w:val="00F70610"/>
    <w:rsid w:val="00F707FD"/>
    <w:rsid w:val="00F70CF7"/>
    <w:rsid w:val="00F716BD"/>
    <w:rsid w:val="00F71AE2"/>
    <w:rsid w:val="00F728FC"/>
    <w:rsid w:val="00F73842"/>
    <w:rsid w:val="00F73F2B"/>
    <w:rsid w:val="00F743CB"/>
    <w:rsid w:val="00F74B3B"/>
    <w:rsid w:val="00F77BAC"/>
    <w:rsid w:val="00F77F02"/>
    <w:rsid w:val="00F803AE"/>
    <w:rsid w:val="00F80F6A"/>
    <w:rsid w:val="00F8108F"/>
    <w:rsid w:val="00F81951"/>
    <w:rsid w:val="00F830E7"/>
    <w:rsid w:val="00F835E3"/>
    <w:rsid w:val="00F85AAC"/>
    <w:rsid w:val="00F85E30"/>
    <w:rsid w:val="00F86DF3"/>
    <w:rsid w:val="00F86FF9"/>
    <w:rsid w:val="00F87BB5"/>
    <w:rsid w:val="00F90223"/>
    <w:rsid w:val="00F91503"/>
    <w:rsid w:val="00F91DE0"/>
    <w:rsid w:val="00F93748"/>
    <w:rsid w:val="00F95011"/>
    <w:rsid w:val="00F958EA"/>
    <w:rsid w:val="00F95F44"/>
    <w:rsid w:val="00F96066"/>
    <w:rsid w:val="00F9684D"/>
    <w:rsid w:val="00F969BD"/>
    <w:rsid w:val="00F972E4"/>
    <w:rsid w:val="00FA021F"/>
    <w:rsid w:val="00FA1914"/>
    <w:rsid w:val="00FA316D"/>
    <w:rsid w:val="00FA364F"/>
    <w:rsid w:val="00FA38BF"/>
    <w:rsid w:val="00FA4438"/>
    <w:rsid w:val="00FA575A"/>
    <w:rsid w:val="00FA68B7"/>
    <w:rsid w:val="00FA705C"/>
    <w:rsid w:val="00FA7DE9"/>
    <w:rsid w:val="00FB0BBE"/>
    <w:rsid w:val="00FB1A4E"/>
    <w:rsid w:val="00FB1CB3"/>
    <w:rsid w:val="00FB2398"/>
    <w:rsid w:val="00FB3AB3"/>
    <w:rsid w:val="00FB4094"/>
    <w:rsid w:val="00FB487C"/>
    <w:rsid w:val="00FB4D04"/>
    <w:rsid w:val="00FB6195"/>
    <w:rsid w:val="00FC0374"/>
    <w:rsid w:val="00FC089E"/>
    <w:rsid w:val="00FC0FF0"/>
    <w:rsid w:val="00FC1EB7"/>
    <w:rsid w:val="00FC241B"/>
    <w:rsid w:val="00FC287B"/>
    <w:rsid w:val="00FC39C5"/>
    <w:rsid w:val="00FC3CAF"/>
    <w:rsid w:val="00FC4C93"/>
    <w:rsid w:val="00FC5211"/>
    <w:rsid w:val="00FC5C7E"/>
    <w:rsid w:val="00FC5CDC"/>
    <w:rsid w:val="00FC6767"/>
    <w:rsid w:val="00FD0C18"/>
    <w:rsid w:val="00FD29B4"/>
    <w:rsid w:val="00FD2CD8"/>
    <w:rsid w:val="00FD3991"/>
    <w:rsid w:val="00FD39D1"/>
    <w:rsid w:val="00FD3D79"/>
    <w:rsid w:val="00FD40CD"/>
    <w:rsid w:val="00FD4A6D"/>
    <w:rsid w:val="00FD6345"/>
    <w:rsid w:val="00FD6854"/>
    <w:rsid w:val="00FD6F7C"/>
    <w:rsid w:val="00FD7752"/>
    <w:rsid w:val="00FE07CE"/>
    <w:rsid w:val="00FE0DD9"/>
    <w:rsid w:val="00FE1AD9"/>
    <w:rsid w:val="00FE224A"/>
    <w:rsid w:val="00FE439A"/>
    <w:rsid w:val="00FE4517"/>
    <w:rsid w:val="00FE52DD"/>
    <w:rsid w:val="00FE66DF"/>
    <w:rsid w:val="00FE6D32"/>
    <w:rsid w:val="00FE6D60"/>
    <w:rsid w:val="00FE76FD"/>
    <w:rsid w:val="00FF15AA"/>
    <w:rsid w:val="00FF31DE"/>
    <w:rsid w:val="00FF352C"/>
    <w:rsid w:val="00FF3ABD"/>
    <w:rsid w:val="00FF4495"/>
    <w:rsid w:val="00FF4645"/>
    <w:rsid w:val="00FF4B55"/>
    <w:rsid w:val="00FF573D"/>
    <w:rsid w:val="00FF7A6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250"/>
    <w:pPr>
      <w:keepNext/>
      <w:spacing w:after="0" w:line="360" w:lineRule="auto"/>
      <w:jc w:val="center"/>
      <w:outlineLvl w:val="0"/>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A15A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250"/>
    <w:rPr>
      <w:rFonts w:ascii="Times New Roman" w:eastAsia="Times New Roman" w:hAnsi="Times New Roman" w:cs="Times New Roman"/>
      <w:b/>
      <w:bCs/>
      <w:sz w:val="24"/>
      <w:szCs w:val="24"/>
      <w:lang w:val="en-GB" w:eastAsia="en-US"/>
    </w:rPr>
  </w:style>
  <w:style w:type="paragraph" w:styleId="Date">
    <w:name w:val="Date"/>
    <w:basedOn w:val="Normal"/>
    <w:next w:val="Normal"/>
    <w:link w:val="DateChar"/>
    <w:uiPriority w:val="99"/>
    <w:semiHidden/>
    <w:unhideWhenUsed/>
    <w:rsid w:val="00122250"/>
  </w:style>
  <w:style w:type="character" w:customStyle="1" w:styleId="DateChar">
    <w:name w:val="Date Char"/>
    <w:basedOn w:val="DefaultParagraphFont"/>
    <w:link w:val="Date"/>
    <w:uiPriority w:val="99"/>
    <w:semiHidden/>
    <w:rsid w:val="00122250"/>
  </w:style>
  <w:style w:type="paragraph" w:styleId="ListParagraph">
    <w:name w:val="List Paragraph"/>
    <w:basedOn w:val="Normal"/>
    <w:uiPriority w:val="34"/>
    <w:qFormat/>
    <w:rsid w:val="00122250"/>
    <w:pPr>
      <w:ind w:left="720"/>
      <w:contextualSpacing/>
    </w:pPr>
  </w:style>
  <w:style w:type="paragraph" w:styleId="BodyText">
    <w:name w:val="Body Text"/>
    <w:basedOn w:val="Normal"/>
    <w:link w:val="BodyTextChar"/>
    <w:rsid w:val="00122250"/>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22250"/>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1222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250"/>
  </w:style>
  <w:style w:type="paragraph" w:styleId="Footer">
    <w:name w:val="footer"/>
    <w:basedOn w:val="Normal"/>
    <w:link w:val="FooterChar"/>
    <w:uiPriority w:val="99"/>
    <w:unhideWhenUsed/>
    <w:rsid w:val="0012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50"/>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22250"/>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22250"/>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122250"/>
    <w:rPr>
      <w:vertAlign w:val="superscript"/>
    </w:rPr>
  </w:style>
  <w:style w:type="character" w:styleId="Hyperlink">
    <w:name w:val="Hyperlink"/>
    <w:basedOn w:val="DefaultParagraphFont"/>
    <w:uiPriority w:val="99"/>
    <w:rsid w:val="00122250"/>
    <w:rPr>
      <w:color w:val="0000FF"/>
      <w:u w:val="single"/>
    </w:rPr>
  </w:style>
  <w:style w:type="paragraph" w:customStyle="1" w:styleId="AERbodytext">
    <w:name w:val="AER body text"/>
    <w:link w:val="AERbodytextChar"/>
    <w:qFormat/>
    <w:rsid w:val="00A15AEB"/>
    <w:pPr>
      <w:spacing w:after="240" w:line="288" w:lineRule="auto"/>
      <w:jc w:val="both"/>
    </w:pPr>
    <w:rPr>
      <w:rFonts w:ascii="Gautami" w:eastAsia="Times New Roman" w:hAnsi="Gautami" w:cs="Times New Roman"/>
      <w:sz w:val="20"/>
      <w:szCs w:val="24"/>
      <w:lang w:val="en-AU"/>
    </w:rPr>
  </w:style>
  <w:style w:type="character" w:customStyle="1" w:styleId="AERbody">
    <w:name w:val="AER body"/>
    <w:basedOn w:val="DefaultParagraphFont"/>
    <w:rsid w:val="00A15AEB"/>
    <w:rPr>
      <w:rFonts w:ascii="Gautami" w:hAnsi="Gautami"/>
      <w:color w:val="auto"/>
      <w:sz w:val="20"/>
    </w:rPr>
  </w:style>
  <w:style w:type="character" w:customStyle="1" w:styleId="AERbodytextChar">
    <w:name w:val="AER body text Char"/>
    <w:basedOn w:val="DefaultParagraphFont"/>
    <w:link w:val="AERbodytext"/>
    <w:rsid w:val="00A15AEB"/>
    <w:rPr>
      <w:rFonts w:ascii="Gautami" w:eastAsia="Times New Roman" w:hAnsi="Gautami" w:cs="Times New Roman"/>
      <w:sz w:val="20"/>
      <w:szCs w:val="24"/>
      <w:lang w:val="en-AU" w:eastAsia="en-US"/>
    </w:rPr>
  </w:style>
  <w:style w:type="paragraph" w:styleId="Title">
    <w:name w:val="Title"/>
    <w:next w:val="Subtitle"/>
    <w:link w:val="TitleChar"/>
    <w:qFormat/>
    <w:rsid w:val="00A15AEB"/>
    <w:pPr>
      <w:spacing w:before="2400" w:after="1920" w:line="240" w:lineRule="auto"/>
      <w:jc w:val="center"/>
    </w:pPr>
    <w:rPr>
      <w:rFonts w:ascii="Arial" w:eastAsia="Times New Roman" w:hAnsi="Arial" w:cs="Arial"/>
      <w:b/>
      <w:bCs/>
      <w:kern w:val="28"/>
      <w:sz w:val="36"/>
      <w:szCs w:val="32"/>
      <w:lang w:val="en-AU"/>
    </w:rPr>
  </w:style>
  <w:style w:type="character" w:customStyle="1" w:styleId="TitleChar">
    <w:name w:val="Title Char"/>
    <w:basedOn w:val="DefaultParagraphFont"/>
    <w:link w:val="Title"/>
    <w:rsid w:val="00A15AEB"/>
    <w:rPr>
      <w:rFonts w:ascii="Arial" w:eastAsia="Times New Roman" w:hAnsi="Arial" w:cs="Arial"/>
      <w:b/>
      <w:bCs/>
      <w:kern w:val="28"/>
      <w:sz w:val="36"/>
      <w:szCs w:val="32"/>
      <w:lang w:val="en-AU" w:eastAsia="en-US"/>
    </w:rPr>
  </w:style>
  <w:style w:type="paragraph" w:customStyle="1" w:styleId="AERheading1">
    <w:name w:val="AER heading 1"/>
    <w:basedOn w:val="Heading1"/>
    <w:next w:val="Normal"/>
    <w:rsid w:val="00A15AEB"/>
    <w:pPr>
      <w:keepNext w:val="0"/>
      <w:pageBreakBefore/>
      <w:widowControl w:val="0"/>
      <w:numPr>
        <w:numId w:val="8"/>
      </w:numPr>
      <w:spacing w:before="240" w:after="120" w:line="240" w:lineRule="auto"/>
      <w:jc w:val="left"/>
    </w:pPr>
    <w:rPr>
      <w:rFonts w:ascii="Arial Bold" w:hAnsi="Arial Bold"/>
      <w:spacing w:val="5"/>
      <w:kern w:val="36"/>
      <w:sz w:val="36"/>
      <w:szCs w:val="27"/>
      <w:lang w:val="en-AU" w:eastAsia="en-AU"/>
    </w:rPr>
  </w:style>
  <w:style w:type="paragraph" w:customStyle="1" w:styleId="AERheading2">
    <w:name w:val="AER heading 2"/>
    <w:basedOn w:val="Normal"/>
    <w:next w:val="Normal"/>
    <w:rsid w:val="00A15AEB"/>
    <w:pPr>
      <w:keepNext/>
      <w:numPr>
        <w:ilvl w:val="1"/>
        <w:numId w:val="8"/>
      </w:numPr>
      <w:spacing w:before="360" w:after="120" w:line="240" w:lineRule="auto"/>
    </w:pPr>
    <w:rPr>
      <w:rFonts w:ascii="Arial Bold" w:eastAsia="Times New Roman" w:hAnsi="Arial Bold" w:cs="Times New Roman"/>
      <w:sz w:val="30"/>
      <w:szCs w:val="20"/>
      <w:lang w:val="en-AU" w:eastAsia="en-AU"/>
    </w:rPr>
  </w:style>
  <w:style w:type="paragraph" w:customStyle="1" w:styleId="AERheading3">
    <w:name w:val="AER heading 3"/>
    <w:basedOn w:val="Normal"/>
    <w:next w:val="Normal"/>
    <w:rsid w:val="00A15AEB"/>
    <w:pPr>
      <w:keepNext/>
      <w:numPr>
        <w:ilvl w:val="2"/>
        <w:numId w:val="8"/>
      </w:numPr>
      <w:spacing w:before="240" w:after="120" w:line="240" w:lineRule="auto"/>
    </w:pPr>
    <w:rPr>
      <w:rFonts w:ascii="Arial Bold" w:eastAsia="Times New Roman" w:hAnsi="Arial Bold" w:cs="Times New Roman"/>
      <w:sz w:val="24"/>
      <w:szCs w:val="20"/>
      <w:lang w:val="en-AU" w:eastAsia="en-AU"/>
    </w:rPr>
  </w:style>
  <w:style w:type="paragraph" w:customStyle="1" w:styleId="AERheading4">
    <w:name w:val="AER heading 4"/>
    <w:basedOn w:val="Heading4"/>
    <w:next w:val="Normal"/>
    <w:rsid w:val="00A15AEB"/>
    <w:pPr>
      <w:keepLines w:val="0"/>
      <w:numPr>
        <w:ilvl w:val="3"/>
        <w:numId w:val="8"/>
      </w:numPr>
      <w:tabs>
        <w:tab w:val="clear" w:pos="1080"/>
        <w:tab w:val="left" w:pos="720"/>
      </w:tabs>
      <w:spacing w:before="240" w:after="120" w:line="240" w:lineRule="auto"/>
    </w:pPr>
    <w:rPr>
      <w:rFonts w:ascii="Times New Roman" w:eastAsia="Times New Roman" w:hAnsi="Times New Roman" w:cs="Times New Roman"/>
      <w:bCs w:val="0"/>
      <w:i w:val="0"/>
      <w:iCs w:val="0"/>
      <w:color w:val="auto"/>
      <w:szCs w:val="24"/>
      <w:lang w:val="en-AU" w:eastAsia="en-AU"/>
    </w:rPr>
  </w:style>
  <w:style w:type="table" w:styleId="TableGrid">
    <w:name w:val="Table Grid"/>
    <w:basedOn w:val="TableNormal"/>
    <w:uiPriority w:val="59"/>
    <w:rsid w:val="00A15AEB"/>
    <w:pPr>
      <w:spacing w:after="0" w:line="240" w:lineRule="auto"/>
    </w:pPr>
    <w:rPr>
      <w:rFonts w:ascii="Calibri" w:eastAsia="Calibri" w:hAnsi="Calibri"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15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AEB"/>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A15AE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1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250"/>
    <w:pPr>
      <w:keepNext/>
      <w:spacing w:after="0" w:line="360" w:lineRule="auto"/>
      <w:jc w:val="center"/>
      <w:outlineLvl w:val="0"/>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A15A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250"/>
    <w:rPr>
      <w:rFonts w:ascii="Times New Roman" w:eastAsia="Times New Roman" w:hAnsi="Times New Roman" w:cs="Times New Roman"/>
      <w:b/>
      <w:bCs/>
      <w:sz w:val="24"/>
      <w:szCs w:val="24"/>
      <w:lang w:val="en-GB" w:eastAsia="en-US"/>
    </w:rPr>
  </w:style>
  <w:style w:type="paragraph" w:styleId="Date">
    <w:name w:val="Date"/>
    <w:basedOn w:val="Normal"/>
    <w:next w:val="Normal"/>
    <w:link w:val="DateChar"/>
    <w:uiPriority w:val="99"/>
    <w:semiHidden/>
    <w:unhideWhenUsed/>
    <w:rsid w:val="00122250"/>
  </w:style>
  <w:style w:type="character" w:customStyle="1" w:styleId="DateChar">
    <w:name w:val="Date Char"/>
    <w:basedOn w:val="DefaultParagraphFont"/>
    <w:link w:val="Date"/>
    <w:uiPriority w:val="99"/>
    <w:semiHidden/>
    <w:rsid w:val="00122250"/>
  </w:style>
  <w:style w:type="paragraph" w:styleId="ListParagraph">
    <w:name w:val="List Paragraph"/>
    <w:basedOn w:val="Normal"/>
    <w:uiPriority w:val="34"/>
    <w:qFormat/>
    <w:rsid w:val="00122250"/>
    <w:pPr>
      <w:ind w:left="720"/>
      <w:contextualSpacing/>
    </w:pPr>
  </w:style>
  <w:style w:type="paragraph" w:styleId="BodyText">
    <w:name w:val="Body Text"/>
    <w:basedOn w:val="Normal"/>
    <w:link w:val="BodyTextChar"/>
    <w:rsid w:val="00122250"/>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22250"/>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1222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250"/>
  </w:style>
  <w:style w:type="paragraph" w:styleId="Footer">
    <w:name w:val="footer"/>
    <w:basedOn w:val="Normal"/>
    <w:link w:val="FooterChar"/>
    <w:uiPriority w:val="99"/>
    <w:unhideWhenUsed/>
    <w:rsid w:val="0012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50"/>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22250"/>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22250"/>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122250"/>
    <w:rPr>
      <w:vertAlign w:val="superscript"/>
    </w:rPr>
  </w:style>
  <w:style w:type="character" w:styleId="Hyperlink">
    <w:name w:val="Hyperlink"/>
    <w:basedOn w:val="DefaultParagraphFont"/>
    <w:uiPriority w:val="99"/>
    <w:rsid w:val="00122250"/>
    <w:rPr>
      <w:color w:val="0000FF"/>
      <w:u w:val="single"/>
    </w:rPr>
  </w:style>
  <w:style w:type="paragraph" w:customStyle="1" w:styleId="AERbodytext">
    <w:name w:val="AER body text"/>
    <w:link w:val="AERbodytextChar"/>
    <w:qFormat/>
    <w:rsid w:val="00A15AEB"/>
    <w:pPr>
      <w:spacing w:after="240" w:line="288" w:lineRule="auto"/>
      <w:jc w:val="both"/>
    </w:pPr>
    <w:rPr>
      <w:rFonts w:ascii="Gautami" w:eastAsia="Times New Roman" w:hAnsi="Gautami" w:cs="Times New Roman"/>
      <w:sz w:val="20"/>
      <w:szCs w:val="24"/>
      <w:lang w:val="en-AU"/>
    </w:rPr>
  </w:style>
  <w:style w:type="character" w:customStyle="1" w:styleId="AERbody">
    <w:name w:val="AER body"/>
    <w:basedOn w:val="DefaultParagraphFont"/>
    <w:rsid w:val="00A15AEB"/>
    <w:rPr>
      <w:rFonts w:ascii="Gautami" w:hAnsi="Gautami"/>
      <w:color w:val="auto"/>
      <w:sz w:val="20"/>
    </w:rPr>
  </w:style>
  <w:style w:type="character" w:customStyle="1" w:styleId="AERbodytextChar">
    <w:name w:val="AER body text Char"/>
    <w:basedOn w:val="DefaultParagraphFont"/>
    <w:link w:val="AERbodytext"/>
    <w:rsid w:val="00A15AEB"/>
    <w:rPr>
      <w:rFonts w:ascii="Gautami" w:eastAsia="Times New Roman" w:hAnsi="Gautami" w:cs="Times New Roman"/>
      <w:sz w:val="20"/>
      <w:szCs w:val="24"/>
      <w:lang w:val="en-AU" w:eastAsia="en-US"/>
    </w:rPr>
  </w:style>
  <w:style w:type="paragraph" w:styleId="Title">
    <w:name w:val="Title"/>
    <w:next w:val="Subtitle"/>
    <w:link w:val="TitleChar"/>
    <w:qFormat/>
    <w:rsid w:val="00A15AEB"/>
    <w:pPr>
      <w:spacing w:before="2400" w:after="1920" w:line="240" w:lineRule="auto"/>
      <w:jc w:val="center"/>
    </w:pPr>
    <w:rPr>
      <w:rFonts w:ascii="Arial" w:eastAsia="Times New Roman" w:hAnsi="Arial" w:cs="Arial"/>
      <w:b/>
      <w:bCs/>
      <w:kern w:val="28"/>
      <w:sz w:val="36"/>
      <w:szCs w:val="32"/>
      <w:lang w:val="en-AU"/>
    </w:rPr>
  </w:style>
  <w:style w:type="character" w:customStyle="1" w:styleId="TitleChar">
    <w:name w:val="Title Char"/>
    <w:basedOn w:val="DefaultParagraphFont"/>
    <w:link w:val="Title"/>
    <w:rsid w:val="00A15AEB"/>
    <w:rPr>
      <w:rFonts w:ascii="Arial" w:eastAsia="Times New Roman" w:hAnsi="Arial" w:cs="Arial"/>
      <w:b/>
      <w:bCs/>
      <w:kern w:val="28"/>
      <w:sz w:val="36"/>
      <w:szCs w:val="32"/>
      <w:lang w:val="en-AU" w:eastAsia="en-US"/>
    </w:rPr>
  </w:style>
  <w:style w:type="paragraph" w:customStyle="1" w:styleId="AERheading1">
    <w:name w:val="AER heading 1"/>
    <w:basedOn w:val="Heading1"/>
    <w:next w:val="Normal"/>
    <w:rsid w:val="00A15AEB"/>
    <w:pPr>
      <w:keepNext w:val="0"/>
      <w:pageBreakBefore/>
      <w:widowControl w:val="0"/>
      <w:numPr>
        <w:numId w:val="8"/>
      </w:numPr>
      <w:spacing w:before="240" w:after="120" w:line="240" w:lineRule="auto"/>
      <w:jc w:val="left"/>
    </w:pPr>
    <w:rPr>
      <w:rFonts w:ascii="Arial Bold" w:hAnsi="Arial Bold"/>
      <w:spacing w:val="5"/>
      <w:kern w:val="36"/>
      <w:sz w:val="36"/>
      <w:szCs w:val="27"/>
      <w:lang w:val="en-AU" w:eastAsia="en-AU"/>
    </w:rPr>
  </w:style>
  <w:style w:type="paragraph" w:customStyle="1" w:styleId="AERheading2">
    <w:name w:val="AER heading 2"/>
    <w:basedOn w:val="Normal"/>
    <w:next w:val="Normal"/>
    <w:rsid w:val="00A15AEB"/>
    <w:pPr>
      <w:keepNext/>
      <w:numPr>
        <w:ilvl w:val="1"/>
        <w:numId w:val="8"/>
      </w:numPr>
      <w:spacing w:before="360" w:after="120" w:line="240" w:lineRule="auto"/>
    </w:pPr>
    <w:rPr>
      <w:rFonts w:ascii="Arial Bold" w:eastAsia="Times New Roman" w:hAnsi="Arial Bold" w:cs="Times New Roman"/>
      <w:sz w:val="30"/>
      <w:szCs w:val="20"/>
      <w:lang w:val="en-AU" w:eastAsia="en-AU"/>
    </w:rPr>
  </w:style>
  <w:style w:type="paragraph" w:customStyle="1" w:styleId="AERheading3">
    <w:name w:val="AER heading 3"/>
    <w:basedOn w:val="Normal"/>
    <w:next w:val="Normal"/>
    <w:rsid w:val="00A15AEB"/>
    <w:pPr>
      <w:keepNext/>
      <w:numPr>
        <w:ilvl w:val="2"/>
        <w:numId w:val="8"/>
      </w:numPr>
      <w:spacing w:before="240" w:after="120" w:line="240" w:lineRule="auto"/>
    </w:pPr>
    <w:rPr>
      <w:rFonts w:ascii="Arial Bold" w:eastAsia="Times New Roman" w:hAnsi="Arial Bold" w:cs="Times New Roman"/>
      <w:sz w:val="24"/>
      <w:szCs w:val="20"/>
      <w:lang w:val="en-AU" w:eastAsia="en-AU"/>
    </w:rPr>
  </w:style>
  <w:style w:type="paragraph" w:customStyle="1" w:styleId="AERheading4">
    <w:name w:val="AER heading 4"/>
    <w:basedOn w:val="Heading4"/>
    <w:next w:val="Normal"/>
    <w:rsid w:val="00A15AEB"/>
    <w:pPr>
      <w:keepLines w:val="0"/>
      <w:numPr>
        <w:ilvl w:val="3"/>
        <w:numId w:val="8"/>
      </w:numPr>
      <w:tabs>
        <w:tab w:val="clear" w:pos="1080"/>
        <w:tab w:val="left" w:pos="720"/>
      </w:tabs>
      <w:spacing w:before="240" w:after="120" w:line="240" w:lineRule="auto"/>
    </w:pPr>
    <w:rPr>
      <w:rFonts w:ascii="Times New Roman" w:eastAsia="Times New Roman" w:hAnsi="Times New Roman" w:cs="Times New Roman"/>
      <w:bCs w:val="0"/>
      <w:i w:val="0"/>
      <w:iCs w:val="0"/>
      <w:color w:val="auto"/>
      <w:szCs w:val="24"/>
      <w:lang w:val="en-AU" w:eastAsia="en-AU"/>
    </w:rPr>
  </w:style>
  <w:style w:type="table" w:styleId="TableGrid">
    <w:name w:val="Table Grid"/>
    <w:basedOn w:val="TableNormal"/>
    <w:uiPriority w:val="59"/>
    <w:rsid w:val="00A15AEB"/>
    <w:pPr>
      <w:spacing w:after="0" w:line="240" w:lineRule="auto"/>
    </w:pPr>
    <w:rPr>
      <w:rFonts w:ascii="Calibri" w:eastAsia="Calibri" w:hAnsi="Calibri"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15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AEB"/>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A15AE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1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663">
      <w:bodyDiv w:val="1"/>
      <w:marLeft w:val="0"/>
      <w:marRight w:val="0"/>
      <w:marTop w:val="0"/>
      <w:marBottom w:val="0"/>
      <w:divBdr>
        <w:top w:val="none" w:sz="0" w:space="0" w:color="auto"/>
        <w:left w:val="none" w:sz="0" w:space="0" w:color="auto"/>
        <w:bottom w:val="none" w:sz="0" w:space="0" w:color="auto"/>
        <w:right w:val="none" w:sz="0" w:space="0" w:color="auto"/>
      </w:divBdr>
    </w:div>
    <w:div w:id="802115494">
      <w:bodyDiv w:val="1"/>
      <w:marLeft w:val="0"/>
      <w:marRight w:val="0"/>
      <w:marTop w:val="0"/>
      <w:marBottom w:val="0"/>
      <w:divBdr>
        <w:top w:val="none" w:sz="0" w:space="0" w:color="auto"/>
        <w:left w:val="none" w:sz="0" w:space="0" w:color="auto"/>
        <w:bottom w:val="none" w:sz="0" w:space="0" w:color="auto"/>
        <w:right w:val="none" w:sz="0" w:space="0" w:color="auto"/>
      </w:divBdr>
    </w:div>
    <w:div w:id="1014042232">
      <w:bodyDiv w:val="1"/>
      <w:marLeft w:val="0"/>
      <w:marRight w:val="0"/>
      <w:marTop w:val="0"/>
      <w:marBottom w:val="0"/>
      <w:divBdr>
        <w:top w:val="none" w:sz="0" w:space="0" w:color="auto"/>
        <w:left w:val="none" w:sz="0" w:space="0" w:color="auto"/>
        <w:bottom w:val="none" w:sz="0" w:space="0" w:color="auto"/>
        <w:right w:val="none" w:sz="0" w:space="0" w:color="auto"/>
      </w:divBdr>
    </w:div>
    <w:div w:id="1133401554">
      <w:bodyDiv w:val="1"/>
      <w:marLeft w:val="0"/>
      <w:marRight w:val="0"/>
      <w:marTop w:val="0"/>
      <w:marBottom w:val="0"/>
      <w:divBdr>
        <w:top w:val="none" w:sz="0" w:space="0" w:color="auto"/>
        <w:left w:val="none" w:sz="0" w:space="0" w:color="auto"/>
        <w:bottom w:val="none" w:sz="0" w:space="0" w:color="auto"/>
        <w:right w:val="none" w:sz="0" w:space="0" w:color="auto"/>
      </w:divBdr>
    </w:div>
    <w:div w:id="1627736353">
      <w:bodyDiv w:val="1"/>
      <w:marLeft w:val="0"/>
      <w:marRight w:val="0"/>
      <w:marTop w:val="0"/>
      <w:marBottom w:val="0"/>
      <w:divBdr>
        <w:top w:val="none" w:sz="0" w:space="0" w:color="auto"/>
        <w:left w:val="none" w:sz="0" w:space="0" w:color="auto"/>
        <w:bottom w:val="none" w:sz="0" w:space="0" w:color="auto"/>
        <w:right w:val="none" w:sz="0" w:space="0" w:color="auto"/>
      </w:divBdr>
    </w:div>
    <w:div w:id="17369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hyperlink" Target="http://www.aer.gov.au" TargetMode="External"/><Relationship Id="rId84" Type="http://schemas.openxmlformats.org/officeDocument/2006/relationships/hyperlink" Target="http://www.aer.gov.au"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yperlink" Target="http://www.aer.gov.au" TargetMode="External"/><Relationship Id="rId79" Type="http://schemas.openxmlformats.org/officeDocument/2006/relationships/hyperlink" Target="http://www.aer.gov.au" TargetMode="External"/><Relationship Id="rId87" Type="http://schemas.openxmlformats.org/officeDocument/2006/relationships/hyperlink" Target="http://www.aer.gov.au" TargetMode="Externa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hyperlink" Target="https://www.moodys.com/researchdocumentcontentpage.aspx?docid=PBC_79004"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hyperlink" Target="http://www.aer.gov.au"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hyperlink" Target="http://www.jemena.com.au" TargetMode="External"/><Relationship Id="rId85" Type="http://schemas.openxmlformats.org/officeDocument/2006/relationships/hyperlink" Target="http://www.qca.org.au"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yperlink" Target="http://www.aer.gov.au" TargetMode="External"/><Relationship Id="rId83" Type="http://schemas.openxmlformats.org/officeDocument/2006/relationships/hyperlink" Target="http://www.aer.gov.au"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hyperlink" Target="http://www.aer.gov.au" TargetMode="External"/><Relationship Id="rId78" Type="http://schemas.openxmlformats.org/officeDocument/2006/relationships/hyperlink" Target="http://www.aer.gov.au" TargetMode="External"/><Relationship Id="rId81" Type="http://schemas.openxmlformats.org/officeDocument/2006/relationships/hyperlink" Target="http://www.aer.gov.au" TargetMode="External"/><Relationship Id="rId86" Type="http://schemas.openxmlformats.org/officeDocument/2006/relationships/hyperlink" Target="http://www.aemc.gov.au"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D76A-027F-4082-AEC3-680AE9B4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FA469BB0.dotm</Template>
  <TotalTime>0</TotalTime>
  <Pages>51</Pages>
  <Words>18894</Words>
  <Characters>92433</Characters>
  <Application>Microsoft Office Word</Application>
  <DocSecurity>4</DocSecurity>
  <Lines>1579</Lines>
  <Paragraphs>280</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Lally</dc:creator>
  <cp:lastModifiedBy>Sandles, Scott</cp:lastModifiedBy>
  <cp:revision>2</cp:revision>
  <cp:lastPrinted>2014-11-19T21:20:00Z</cp:lastPrinted>
  <dcterms:created xsi:type="dcterms:W3CDTF">2014-11-24T14:53:00Z</dcterms:created>
  <dcterms:modified xsi:type="dcterms:W3CDTF">2014-11-24T14:53:00Z</dcterms:modified>
</cp:coreProperties>
</file>