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78" w:rsidRPr="003865E2" w:rsidRDefault="00F12878" w:rsidP="00F12878">
      <w:r w:rsidRPr="00F12878">
        <w:rPr>
          <w:noProof/>
          <w:lang w:eastAsia="en-AU"/>
        </w:rPr>
        <w:drawing>
          <wp:anchor distT="0" distB="0" distL="114300" distR="114300" simplePos="0" relativeHeight="251659264" behindDoc="1" locked="0" layoutInCell="1" allowOverlap="1" wp14:anchorId="77C9DA71" wp14:editId="15CE27C6">
            <wp:simplePos x="0" y="0"/>
            <wp:positionH relativeFrom="page">
              <wp:align>center</wp:align>
            </wp:positionH>
            <wp:positionV relativeFrom="page">
              <wp:align>center</wp:align>
            </wp:positionV>
            <wp:extent cx="7236000" cy="10364400"/>
            <wp:effectExtent l="0" t="0" r="0" b="0"/>
            <wp:wrapNone/>
            <wp:docPr id="1" name="Picture 1"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R-draft-br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6000" cy="1036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B22">
        <w:t xml:space="preserve"> </w:t>
      </w:r>
    </w:p>
    <w:p w:rsidR="00F12878" w:rsidRPr="003865E2" w:rsidRDefault="00F12878" w:rsidP="00F12878"/>
    <w:p w:rsidR="00F12878" w:rsidRPr="003865E2" w:rsidRDefault="00F12878" w:rsidP="00F12878"/>
    <w:p w:rsidR="00F12878" w:rsidRPr="003865E2" w:rsidRDefault="00F12878" w:rsidP="00F12878"/>
    <w:p w:rsidR="00F12878" w:rsidRPr="003865E2" w:rsidRDefault="00F12878" w:rsidP="00F12878"/>
    <w:p w:rsidR="00F12878" w:rsidRPr="00F12878" w:rsidRDefault="00F12878" w:rsidP="00F12878">
      <w:pPr>
        <w:pStyle w:val="AERtitle1"/>
        <w:rPr>
          <w:rFonts w:eastAsia="Calibri"/>
        </w:rPr>
      </w:pPr>
    </w:p>
    <w:p w:rsidR="00F12878" w:rsidRPr="003865E2" w:rsidRDefault="00F12878" w:rsidP="00F12878">
      <w:r w:rsidRPr="003865E2">
        <w:br/>
      </w:r>
    </w:p>
    <w:p w:rsidR="00F12878" w:rsidRDefault="00F12878" w:rsidP="00F12878">
      <w:pPr>
        <w:pStyle w:val="AERtitle1"/>
      </w:pPr>
      <w:r w:rsidRPr="006F44B4">
        <w:t xml:space="preserve">Return on debt: </w:t>
      </w:r>
      <w:r w:rsidR="001B6DC5">
        <w:t>C</w:t>
      </w:r>
      <w:r w:rsidR="003071BE">
        <w:t xml:space="preserve">hoice of </w:t>
      </w:r>
      <w:r w:rsidR="00E34962">
        <w:t xml:space="preserve">third party </w:t>
      </w:r>
      <w:r w:rsidR="003071BE">
        <w:t>data service provider</w:t>
      </w:r>
    </w:p>
    <w:p w:rsidR="00F12878" w:rsidRDefault="00F12878" w:rsidP="00F12878">
      <w:pPr>
        <w:pStyle w:val="AERtitle1"/>
      </w:pPr>
      <w:r>
        <w:t>Issues Paper</w:t>
      </w:r>
    </w:p>
    <w:p w:rsidR="00F12878" w:rsidRDefault="00F12878" w:rsidP="00F12878">
      <w:pPr>
        <w:pStyle w:val="AERtitle1"/>
      </w:pPr>
    </w:p>
    <w:p w:rsidR="00F12878" w:rsidRDefault="00F12878" w:rsidP="00F12878">
      <w:pPr>
        <w:pStyle w:val="AERtitle1"/>
      </w:pPr>
    </w:p>
    <w:p w:rsidR="00F12878" w:rsidRDefault="00F12878" w:rsidP="00F12878">
      <w:pPr>
        <w:pStyle w:val="AERtitle1"/>
      </w:pPr>
    </w:p>
    <w:p w:rsidR="00F12878" w:rsidRPr="00F6235D" w:rsidRDefault="00F12878" w:rsidP="00F12878">
      <w:pPr>
        <w:pStyle w:val="AERtitle1"/>
      </w:pPr>
      <w:bookmarkStart w:id="0" w:name="_GoBack"/>
      <w:bookmarkEnd w:id="0"/>
    </w:p>
    <w:p w:rsidR="00F12878" w:rsidRPr="00C645A1" w:rsidRDefault="00B63E60" w:rsidP="00C645A1">
      <w:pPr>
        <w:pStyle w:val="AERtitle1"/>
        <w:rPr>
          <w:rStyle w:val="AERtexthighlight"/>
          <w:shd w:val="clear" w:color="auto" w:fill="auto"/>
        </w:rPr>
      </w:pPr>
      <w:r w:rsidRPr="00C645A1">
        <w:rPr>
          <w:rStyle w:val="AERtexthighlight"/>
          <w:shd w:val="clear" w:color="auto" w:fill="auto"/>
        </w:rPr>
        <w:t>April</w:t>
      </w:r>
      <w:r w:rsidR="00F12878" w:rsidRPr="00C645A1">
        <w:rPr>
          <w:rStyle w:val="AERtexthighlight"/>
          <w:shd w:val="clear" w:color="auto" w:fill="auto"/>
        </w:rPr>
        <w:t xml:space="preserve"> 2014</w:t>
      </w:r>
    </w:p>
    <w:p w:rsidR="00F12878" w:rsidRDefault="00F12878" w:rsidP="00F12878">
      <w:pPr>
        <w:pStyle w:val="AERbodytextnospace"/>
      </w:pPr>
    </w:p>
    <w:p w:rsidR="00F12878" w:rsidRDefault="00F12878" w:rsidP="00F12878">
      <w:pPr>
        <w:pStyle w:val="AERbodytextnospace"/>
      </w:pPr>
    </w:p>
    <w:p w:rsidR="00F12878" w:rsidRDefault="00F12878" w:rsidP="00F12878">
      <w:pPr>
        <w:pStyle w:val="AERbodytextnospace"/>
        <w:sectPr w:rsidR="00F12878" w:rsidSect="006F642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pPr>
    </w:p>
    <w:p w:rsidR="00E5648E" w:rsidRDefault="00E5648E" w:rsidP="00F12878">
      <w:pPr>
        <w:pStyle w:val="AERbodytext"/>
      </w:pPr>
    </w:p>
    <w:p w:rsidR="00E5648E" w:rsidRDefault="00E5648E" w:rsidP="00F12878">
      <w:pPr>
        <w:pStyle w:val="AERbodytext"/>
      </w:pPr>
    </w:p>
    <w:p w:rsidR="00E5648E" w:rsidRDefault="00E5648E" w:rsidP="00F12878">
      <w:pPr>
        <w:pStyle w:val="AERbodytext"/>
      </w:pPr>
    </w:p>
    <w:p w:rsidR="00E5648E" w:rsidRDefault="00E5648E" w:rsidP="00F12878">
      <w:pPr>
        <w:pStyle w:val="AERbodytext"/>
      </w:pPr>
    </w:p>
    <w:p w:rsidR="00E5648E" w:rsidRDefault="00E5648E" w:rsidP="00F12878">
      <w:pPr>
        <w:pStyle w:val="AERbodytext"/>
      </w:pPr>
    </w:p>
    <w:p w:rsidR="00E5648E" w:rsidRDefault="00E5648E" w:rsidP="00F12878">
      <w:pPr>
        <w:pStyle w:val="AERbodytext"/>
      </w:pPr>
    </w:p>
    <w:p w:rsidR="00F12878" w:rsidRPr="00F12878" w:rsidRDefault="00F12878" w:rsidP="00F12878">
      <w:pPr>
        <w:pStyle w:val="AERbodytext"/>
      </w:pPr>
      <w:r w:rsidRPr="00F6235D">
        <w:lastRenderedPageBreak/>
        <w:t>© Commonwealth of Australia 201</w:t>
      </w:r>
      <w:r w:rsidR="00B44889">
        <w:t>4</w:t>
      </w:r>
      <w:r w:rsidRPr="00F12878">
        <w:t xml:space="preserve"> </w:t>
      </w:r>
    </w:p>
    <w:p w:rsidR="00F12878" w:rsidRPr="00F6235D" w:rsidRDefault="00F12878" w:rsidP="00F12878">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F12878" w:rsidRPr="001D5B42" w:rsidRDefault="00F12878" w:rsidP="00F12878">
      <w:pPr>
        <w:pStyle w:val="UnnumberedHeading"/>
        <w:numPr>
          <w:ilvl w:val="0"/>
          <w:numId w:val="1"/>
        </w:numPr>
      </w:pPr>
      <w:bookmarkStart w:id="1" w:name="_Toc341968859"/>
      <w:bookmarkStart w:id="2" w:name="_Toc383780211"/>
      <w:r w:rsidRPr="001D5B42">
        <w:lastRenderedPageBreak/>
        <w:t>Request for submissions</w:t>
      </w:r>
      <w:bookmarkEnd w:id="1"/>
      <w:bookmarkEnd w:id="2"/>
    </w:p>
    <w:p w:rsidR="00F12878" w:rsidRPr="0019405D" w:rsidRDefault="00F12878" w:rsidP="00F12878">
      <w:pPr>
        <w:pStyle w:val="AERbodytext"/>
        <w:numPr>
          <w:ilvl w:val="0"/>
          <w:numId w:val="6"/>
        </w:numPr>
      </w:pPr>
      <w:r w:rsidRPr="0019405D">
        <w:t xml:space="preserve">Interested parties are invited to make written submissions to the Australian Energy Regulator (AER) regarding this paper by the close of business, </w:t>
      </w:r>
      <w:r w:rsidR="000C212D">
        <w:t>1</w:t>
      </w:r>
      <w:r w:rsidR="00303A00">
        <w:t>9</w:t>
      </w:r>
      <w:r w:rsidR="000C212D">
        <w:t xml:space="preserve"> May</w:t>
      </w:r>
      <w:r w:rsidRPr="0019405D">
        <w:t xml:space="preserve"> 201</w:t>
      </w:r>
      <w:r>
        <w:t>4</w:t>
      </w:r>
      <w:r w:rsidRPr="0019405D">
        <w:t>.</w:t>
      </w:r>
    </w:p>
    <w:p w:rsidR="00F12878" w:rsidRPr="00F35E5A" w:rsidRDefault="00F12878" w:rsidP="00552D1A">
      <w:r w:rsidRPr="00552D1A">
        <w:t xml:space="preserve">Submissions should be sent electronically to: </w:t>
      </w:r>
      <w:hyperlink r:id="rId16" w:history="1">
        <w:r w:rsidRPr="002C4F5C">
          <w:rPr>
            <w:rStyle w:val="Hyperlink"/>
          </w:rPr>
          <w:t>rateofreturn@aer.gov.au</w:t>
        </w:r>
      </w:hyperlink>
      <w:r>
        <w:t>. The AER prefers that all submissions sent in an electronic format are in Microsoft Word or other text readable document form.</w:t>
      </w:r>
    </w:p>
    <w:p w:rsidR="00F12878" w:rsidRPr="00433BD9" w:rsidRDefault="00F12878" w:rsidP="00F12878">
      <w:pPr>
        <w:pStyle w:val="AERbodytext"/>
        <w:numPr>
          <w:ilvl w:val="0"/>
          <w:numId w:val="6"/>
        </w:numPr>
      </w:pPr>
      <w:r w:rsidRPr="00433BD9">
        <w:t>Alternatively, submissions can be sent to:</w:t>
      </w:r>
    </w:p>
    <w:p w:rsidR="00F12878" w:rsidRPr="00433BD9" w:rsidRDefault="00F12878" w:rsidP="00F12878">
      <w:pPr>
        <w:pStyle w:val="AERbodytextindent1"/>
      </w:pPr>
      <w:r w:rsidRPr="00433BD9">
        <w:t>Mr Warwick Anderson</w:t>
      </w:r>
    </w:p>
    <w:p w:rsidR="00F12878" w:rsidRPr="00433BD9" w:rsidRDefault="00F12878" w:rsidP="00F12878">
      <w:pPr>
        <w:pStyle w:val="AERbodytextindent1"/>
      </w:pPr>
      <w:r w:rsidRPr="00433BD9">
        <w:t>General Manager – Network Regulation Branch</w:t>
      </w:r>
    </w:p>
    <w:p w:rsidR="00F12878" w:rsidRPr="00433BD9" w:rsidRDefault="00F12878" w:rsidP="00F12878">
      <w:pPr>
        <w:pStyle w:val="AERbodytextindent1"/>
      </w:pPr>
      <w:r w:rsidRPr="00433BD9">
        <w:t>Australian Energy Regulator</w:t>
      </w:r>
    </w:p>
    <w:p w:rsidR="00F12878" w:rsidRPr="00433BD9" w:rsidRDefault="00F12878" w:rsidP="00F12878">
      <w:pPr>
        <w:pStyle w:val="AERbodytextindent1"/>
      </w:pPr>
      <w:r w:rsidRPr="00433BD9">
        <w:t>GPO Box 3131</w:t>
      </w:r>
    </w:p>
    <w:p w:rsidR="00F12878" w:rsidRPr="00433BD9" w:rsidRDefault="00F12878" w:rsidP="00F12878">
      <w:pPr>
        <w:pStyle w:val="AERbodytextindent1"/>
      </w:pPr>
      <w:r w:rsidRPr="00433BD9">
        <w:t>Canberra ACT 2601</w:t>
      </w:r>
    </w:p>
    <w:p w:rsidR="00F12878" w:rsidRPr="00433BD9" w:rsidRDefault="00F12878" w:rsidP="00F12878">
      <w:pPr>
        <w:pStyle w:val="AERbodytext"/>
        <w:numPr>
          <w:ilvl w:val="0"/>
          <w:numId w:val="6"/>
        </w:numPr>
      </w:pPr>
      <w:r>
        <w:t>We</w:t>
      </w:r>
      <w:r w:rsidRPr="00433BD9">
        <w:t xml:space="preserve"> prefer that all submissions be publicly available to facilitate an informed and transparent consultative process. Submissions will be treated as public documents unless otherwise requested. Parties wishing to submit confidential information are requested to:</w:t>
      </w:r>
    </w:p>
    <w:p w:rsidR="00F12878" w:rsidRPr="00F35E5A" w:rsidRDefault="00F12878" w:rsidP="00F12878">
      <w:pPr>
        <w:pStyle w:val="AERbulletlistfirststyle"/>
      </w:pPr>
      <w:r w:rsidRPr="00F35E5A">
        <w:t>clearly identify the information that is the subject of the confidentiality claim</w:t>
      </w:r>
    </w:p>
    <w:p w:rsidR="00F12878" w:rsidRPr="00F35E5A" w:rsidRDefault="00F12878" w:rsidP="00F12878">
      <w:pPr>
        <w:pStyle w:val="AERbulletlistfirststyle"/>
      </w:pPr>
      <w:r w:rsidRPr="00F35E5A">
        <w:t>provide a non-confidential version of the submission in a form suitable for publication.</w:t>
      </w:r>
    </w:p>
    <w:p w:rsidR="00F12878" w:rsidRPr="00433BD9" w:rsidRDefault="00F12878" w:rsidP="00F12878">
      <w:pPr>
        <w:pStyle w:val="AERbodytext"/>
        <w:numPr>
          <w:ilvl w:val="0"/>
          <w:numId w:val="6"/>
        </w:numPr>
      </w:pPr>
      <w:r w:rsidRPr="00433BD9">
        <w:t xml:space="preserve">All non-confidential submissions will be placed on </w:t>
      </w:r>
      <w:r>
        <w:t>our</w:t>
      </w:r>
      <w:r w:rsidRPr="00433BD9">
        <w:t xml:space="preserve"> website at </w:t>
      </w:r>
      <w:hyperlink r:id="rId17" w:history="1">
        <w:r w:rsidRPr="00433BD9">
          <w:rPr>
            <w:rStyle w:val="Hyperlink"/>
          </w:rPr>
          <w:t>www.aer.gov.au</w:t>
        </w:r>
      </w:hyperlink>
      <w:r w:rsidRPr="00433BD9">
        <w:t xml:space="preserve">. For further information regarding </w:t>
      </w:r>
      <w:r>
        <w:t>our</w:t>
      </w:r>
      <w:r w:rsidRPr="00433BD9">
        <w:t xml:space="preserve"> use and disclosure of information provided to </w:t>
      </w:r>
      <w:r>
        <w:t>us</w:t>
      </w:r>
      <w:r w:rsidRPr="00433BD9">
        <w:t xml:space="preserve">, see the ACCC/AER Information Policy, October 2008 available on </w:t>
      </w:r>
      <w:r>
        <w:t>our</w:t>
      </w:r>
      <w:r w:rsidRPr="00433BD9">
        <w:t xml:space="preserve"> website.</w:t>
      </w:r>
    </w:p>
    <w:p w:rsidR="00F12878" w:rsidRPr="00433BD9" w:rsidRDefault="00F12878" w:rsidP="00552D1A">
      <w:r w:rsidRPr="00433BD9">
        <w:t xml:space="preserve">Enquires about this paper, or about lodging submissions, should be directed to </w:t>
      </w:r>
      <w:r>
        <w:t>our</w:t>
      </w:r>
      <w:r w:rsidRPr="00433BD9">
        <w:t xml:space="preserve"> Network Regulation </w:t>
      </w:r>
      <w:r w:rsidRPr="00552D1A">
        <w:t>branch on (</w:t>
      </w:r>
      <w:r w:rsidR="00991740" w:rsidRPr="00552D1A">
        <w:t>0</w:t>
      </w:r>
      <w:r w:rsidR="00991740">
        <w:t>3</w:t>
      </w:r>
      <w:r w:rsidRPr="00552D1A">
        <w:t xml:space="preserve">) </w:t>
      </w:r>
      <w:r w:rsidR="00991740">
        <w:t>9290</w:t>
      </w:r>
      <w:r w:rsidR="00991740" w:rsidRPr="00552D1A">
        <w:t xml:space="preserve"> 1</w:t>
      </w:r>
      <w:r w:rsidR="00991740">
        <w:t>444</w:t>
      </w:r>
      <w:r w:rsidRPr="00552D1A">
        <w:t>.</w:t>
      </w:r>
    </w:p>
    <w:p w:rsidR="00F12878" w:rsidRDefault="003D13C3" w:rsidP="003D13C3">
      <w:pPr>
        <w:pStyle w:val="HeadingBoldBlue"/>
      </w:pPr>
      <w:r>
        <w:t>Next steps</w:t>
      </w:r>
    </w:p>
    <w:p w:rsidR="003D13C3" w:rsidRPr="003D13C3" w:rsidRDefault="003D13C3" w:rsidP="003D13C3">
      <w:pPr>
        <w:pStyle w:val="AERbodytext"/>
      </w:pPr>
      <w:r>
        <w:t xml:space="preserve">We </w:t>
      </w:r>
      <w:r w:rsidR="00E80A23">
        <w:t xml:space="preserve">will consider and respond to </w:t>
      </w:r>
      <w:r>
        <w:t xml:space="preserve">submissions </w:t>
      </w:r>
      <w:r w:rsidR="00E80A23">
        <w:t xml:space="preserve">on this issues paper in the context of our upcoming </w:t>
      </w:r>
      <w:r>
        <w:t>regulatory determination</w:t>
      </w:r>
      <w:r w:rsidR="00E80A23">
        <w:t>s</w:t>
      </w:r>
      <w:r>
        <w:t>. The first such determinations are those for the NSW and ACT electricity distribution networks, and the NSW</w:t>
      </w:r>
      <w:r w:rsidR="00995EB8">
        <w:t>, ACT</w:t>
      </w:r>
      <w:r>
        <w:t xml:space="preserve"> and Tasmanian electricity transmission networks.</w:t>
      </w:r>
      <w:r w:rsidR="00995EB8">
        <w:t xml:space="preserve"> Our draft decision is expected in November 2014.</w:t>
      </w:r>
    </w:p>
    <w:p w:rsidR="00F12878" w:rsidRDefault="00F12878" w:rsidP="00F12878">
      <w:pPr>
        <w:pStyle w:val="UnnumberedHeading"/>
        <w:numPr>
          <w:ilvl w:val="0"/>
          <w:numId w:val="1"/>
        </w:numPr>
      </w:pPr>
      <w:bookmarkStart w:id="3" w:name="_Toc383780212"/>
      <w:r>
        <w:lastRenderedPageBreak/>
        <w:t>Contents</w:t>
      </w:r>
      <w:bookmarkEnd w:id="3"/>
    </w:p>
    <w:p w:rsidR="00742ACE" w:rsidRDefault="00F12878">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Pr="00F12878">
        <w:instrText xml:space="preserve"> TOC \o "1-2" \h \z \u \t "Heading 7,1,Heading 8,2" </w:instrText>
      </w:r>
      <w:r>
        <w:fldChar w:fldCharType="separate"/>
      </w:r>
      <w:hyperlink w:anchor="_Toc383780211" w:history="1">
        <w:r w:rsidR="00742ACE" w:rsidRPr="004571E4">
          <w:rPr>
            <w:rStyle w:val="Hyperlink"/>
            <w:noProof/>
          </w:rPr>
          <w:t>Request for submissions</w:t>
        </w:r>
        <w:r w:rsidR="00742ACE">
          <w:rPr>
            <w:noProof/>
            <w:webHidden/>
          </w:rPr>
          <w:tab/>
        </w:r>
        <w:r w:rsidR="00742ACE">
          <w:rPr>
            <w:noProof/>
            <w:webHidden/>
          </w:rPr>
          <w:fldChar w:fldCharType="begin"/>
        </w:r>
        <w:r w:rsidR="00742ACE">
          <w:rPr>
            <w:noProof/>
            <w:webHidden/>
          </w:rPr>
          <w:instrText xml:space="preserve"> PAGEREF _Toc383780211 \h </w:instrText>
        </w:r>
        <w:r w:rsidR="00742ACE">
          <w:rPr>
            <w:noProof/>
            <w:webHidden/>
          </w:rPr>
        </w:r>
        <w:r w:rsidR="00742ACE">
          <w:rPr>
            <w:noProof/>
            <w:webHidden/>
          </w:rPr>
          <w:fldChar w:fldCharType="separate"/>
        </w:r>
        <w:r w:rsidR="00DC75B8">
          <w:rPr>
            <w:noProof/>
            <w:webHidden/>
          </w:rPr>
          <w:t>2</w:t>
        </w:r>
        <w:r w:rsidR="00742ACE">
          <w:rPr>
            <w:noProof/>
            <w:webHidden/>
          </w:rPr>
          <w:fldChar w:fldCharType="end"/>
        </w:r>
      </w:hyperlink>
    </w:p>
    <w:p w:rsidR="00742ACE" w:rsidRDefault="00337B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3780212" w:history="1">
        <w:r w:rsidR="00742ACE" w:rsidRPr="004571E4">
          <w:rPr>
            <w:rStyle w:val="Hyperlink"/>
            <w:noProof/>
          </w:rPr>
          <w:t>Contents</w:t>
        </w:r>
        <w:r w:rsidR="00742ACE">
          <w:rPr>
            <w:noProof/>
            <w:webHidden/>
          </w:rPr>
          <w:tab/>
        </w:r>
        <w:r w:rsidR="00742ACE">
          <w:rPr>
            <w:noProof/>
            <w:webHidden/>
          </w:rPr>
          <w:fldChar w:fldCharType="begin"/>
        </w:r>
        <w:r w:rsidR="00742ACE">
          <w:rPr>
            <w:noProof/>
            <w:webHidden/>
          </w:rPr>
          <w:instrText xml:space="preserve"> PAGEREF _Toc383780212 \h </w:instrText>
        </w:r>
        <w:r w:rsidR="00742ACE">
          <w:rPr>
            <w:noProof/>
            <w:webHidden/>
          </w:rPr>
        </w:r>
        <w:r w:rsidR="00742ACE">
          <w:rPr>
            <w:noProof/>
            <w:webHidden/>
          </w:rPr>
          <w:fldChar w:fldCharType="separate"/>
        </w:r>
        <w:r w:rsidR="00DC75B8">
          <w:rPr>
            <w:noProof/>
            <w:webHidden/>
          </w:rPr>
          <w:t>3</w:t>
        </w:r>
        <w:r w:rsidR="00742ACE">
          <w:rPr>
            <w:noProof/>
            <w:webHidden/>
          </w:rPr>
          <w:fldChar w:fldCharType="end"/>
        </w:r>
      </w:hyperlink>
    </w:p>
    <w:p w:rsidR="00742ACE" w:rsidRDefault="00337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780213" w:history="1">
        <w:r w:rsidR="00742ACE" w:rsidRPr="004571E4">
          <w:rPr>
            <w:rStyle w:val="Hyperlink"/>
            <w:noProof/>
          </w:rPr>
          <w:t>1</w:t>
        </w:r>
        <w:r w:rsidR="00742ACE">
          <w:rPr>
            <w:rFonts w:asciiTheme="minorHAnsi" w:eastAsiaTheme="minorEastAsia" w:hAnsiTheme="minorHAnsi" w:cstheme="minorBidi"/>
            <w:b w:val="0"/>
            <w:bCs w:val="0"/>
            <w:noProof/>
            <w:sz w:val="22"/>
            <w:szCs w:val="22"/>
            <w:lang w:eastAsia="en-AU"/>
          </w:rPr>
          <w:tab/>
        </w:r>
        <w:r w:rsidR="00742ACE" w:rsidRPr="004571E4">
          <w:rPr>
            <w:rStyle w:val="Hyperlink"/>
            <w:noProof/>
          </w:rPr>
          <w:t>About this issues paper</w:t>
        </w:r>
        <w:r w:rsidR="00742ACE">
          <w:rPr>
            <w:noProof/>
            <w:webHidden/>
          </w:rPr>
          <w:tab/>
        </w:r>
        <w:r w:rsidR="00742ACE">
          <w:rPr>
            <w:noProof/>
            <w:webHidden/>
          </w:rPr>
          <w:fldChar w:fldCharType="begin"/>
        </w:r>
        <w:r w:rsidR="00742ACE">
          <w:rPr>
            <w:noProof/>
            <w:webHidden/>
          </w:rPr>
          <w:instrText xml:space="preserve"> PAGEREF _Toc383780213 \h </w:instrText>
        </w:r>
        <w:r w:rsidR="00742ACE">
          <w:rPr>
            <w:noProof/>
            <w:webHidden/>
          </w:rPr>
        </w:r>
        <w:r w:rsidR="00742ACE">
          <w:rPr>
            <w:noProof/>
            <w:webHidden/>
          </w:rPr>
          <w:fldChar w:fldCharType="separate"/>
        </w:r>
        <w:r w:rsidR="00DC75B8">
          <w:rPr>
            <w:noProof/>
            <w:webHidden/>
          </w:rPr>
          <w:t>4</w:t>
        </w:r>
        <w:r w:rsidR="00742ACE">
          <w:rPr>
            <w:noProof/>
            <w:webHidden/>
          </w:rPr>
          <w:fldChar w:fldCharType="end"/>
        </w:r>
      </w:hyperlink>
    </w:p>
    <w:p w:rsidR="00742ACE" w:rsidRDefault="00337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780214" w:history="1">
        <w:r w:rsidR="00742ACE" w:rsidRPr="004571E4">
          <w:rPr>
            <w:rStyle w:val="Hyperlink"/>
            <w:noProof/>
          </w:rPr>
          <w:t>2</w:t>
        </w:r>
        <w:r w:rsidR="00742ACE">
          <w:rPr>
            <w:rFonts w:asciiTheme="minorHAnsi" w:eastAsiaTheme="minorEastAsia" w:hAnsiTheme="minorHAnsi" w:cstheme="minorBidi"/>
            <w:b w:val="0"/>
            <w:bCs w:val="0"/>
            <w:noProof/>
            <w:sz w:val="22"/>
            <w:szCs w:val="22"/>
            <w:lang w:eastAsia="en-AU"/>
          </w:rPr>
          <w:tab/>
        </w:r>
        <w:r w:rsidR="00742ACE" w:rsidRPr="004571E4">
          <w:rPr>
            <w:rStyle w:val="Hyperlink"/>
            <w:noProof/>
          </w:rPr>
          <w:t>Questions for stakeholders</w:t>
        </w:r>
        <w:r w:rsidR="00742ACE">
          <w:rPr>
            <w:noProof/>
            <w:webHidden/>
          </w:rPr>
          <w:tab/>
        </w:r>
        <w:r w:rsidR="00742ACE">
          <w:rPr>
            <w:noProof/>
            <w:webHidden/>
          </w:rPr>
          <w:fldChar w:fldCharType="begin"/>
        </w:r>
        <w:r w:rsidR="00742ACE">
          <w:rPr>
            <w:noProof/>
            <w:webHidden/>
          </w:rPr>
          <w:instrText xml:space="preserve"> PAGEREF _Toc383780214 \h </w:instrText>
        </w:r>
        <w:r w:rsidR="00742ACE">
          <w:rPr>
            <w:noProof/>
            <w:webHidden/>
          </w:rPr>
        </w:r>
        <w:r w:rsidR="00742ACE">
          <w:rPr>
            <w:noProof/>
            <w:webHidden/>
          </w:rPr>
          <w:fldChar w:fldCharType="separate"/>
        </w:r>
        <w:r w:rsidR="00DC75B8">
          <w:rPr>
            <w:noProof/>
            <w:webHidden/>
          </w:rPr>
          <w:t>5</w:t>
        </w:r>
        <w:r w:rsidR="00742ACE">
          <w:rPr>
            <w:noProof/>
            <w:webHidden/>
          </w:rPr>
          <w:fldChar w:fldCharType="end"/>
        </w:r>
      </w:hyperlink>
    </w:p>
    <w:p w:rsidR="00742ACE" w:rsidRDefault="00337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780215" w:history="1">
        <w:r w:rsidR="00742ACE" w:rsidRPr="004571E4">
          <w:rPr>
            <w:rStyle w:val="Hyperlink"/>
            <w:noProof/>
          </w:rPr>
          <w:t>3</w:t>
        </w:r>
        <w:r w:rsidR="00742ACE">
          <w:rPr>
            <w:rFonts w:asciiTheme="minorHAnsi" w:eastAsiaTheme="minorEastAsia" w:hAnsiTheme="minorHAnsi" w:cstheme="minorBidi"/>
            <w:b w:val="0"/>
            <w:bCs w:val="0"/>
            <w:noProof/>
            <w:sz w:val="22"/>
            <w:szCs w:val="22"/>
            <w:lang w:eastAsia="en-AU"/>
          </w:rPr>
          <w:tab/>
        </w:r>
        <w:r w:rsidR="00742ACE" w:rsidRPr="004571E4">
          <w:rPr>
            <w:rStyle w:val="Hyperlink"/>
            <w:noProof/>
          </w:rPr>
          <w:t>Summary of proposed approach to estimating the return on debt</w:t>
        </w:r>
        <w:r w:rsidR="00742ACE">
          <w:rPr>
            <w:noProof/>
            <w:webHidden/>
          </w:rPr>
          <w:tab/>
        </w:r>
        <w:r w:rsidR="00742ACE">
          <w:rPr>
            <w:noProof/>
            <w:webHidden/>
          </w:rPr>
          <w:fldChar w:fldCharType="begin"/>
        </w:r>
        <w:r w:rsidR="00742ACE">
          <w:rPr>
            <w:noProof/>
            <w:webHidden/>
          </w:rPr>
          <w:instrText xml:space="preserve"> PAGEREF _Toc383780215 \h </w:instrText>
        </w:r>
        <w:r w:rsidR="00742ACE">
          <w:rPr>
            <w:noProof/>
            <w:webHidden/>
          </w:rPr>
        </w:r>
        <w:r w:rsidR="00742ACE">
          <w:rPr>
            <w:noProof/>
            <w:webHidden/>
          </w:rPr>
          <w:fldChar w:fldCharType="separate"/>
        </w:r>
        <w:r w:rsidR="00DC75B8">
          <w:rPr>
            <w:noProof/>
            <w:webHidden/>
          </w:rPr>
          <w:t>7</w:t>
        </w:r>
        <w:r w:rsidR="00742ACE">
          <w:rPr>
            <w:noProof/>
            <w:webHidden/>
          </w:rPr>
          <w:fldChar w:fldCharType="end"/>
        </w:r>
      </w:hyperlink>
    </w:p>
    <w:p w:rsidR="00742ACE" w:rsidRDefault="00337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780216" w:history="1">
        <w:r w:rsidR="00742ACE" w:rsidRPr="004571E4">
          <w:rPr>
            <w:rStyle w:val="Hyperlink"/>
            <w:noProof/>
          </w:rPr>
          <w:t>3.1</w:t>
        </w:r>
        <w:r w:rsidR="00742ACE">
          <w:rPr>
            <w:rFonts w:asciiTheme="minorHAnsi" w:eastAsiaTheme="minorEastAsia" w:hAnsiTheme="minorHAnsi" w:cstheme="minorBidi"/>
            <w:iCs w:val="0"/>
            <w:noProof/>
            <w:sz w:val="22"/>
            <w:szCs w:val="22"/>
            <w:lang w:eastAsia="en-AU"/>
          </w:rPr>
          <w:tab/>
        </w:r>
        <w:r w:rsidR="00742ACE" w:rsidRPr="004571E4">
          <w:rPr>
            <w:rStyle w:val="Hyperlink"/>
            <w:noProof/>
          </w:rPr>
          <w:t>Characteristics of the benchmark efficient entity</w:t>
        </w:r>
        <w:r w:rsidR="00742ACE">
          <w:rPr>
            <w:noProof/>
            <w:webHidden/>
          </w:rPr>
          <w:tab/>
        </w:r>
        <w:r w:rsidR="00742ACE">
          <w:rPr>
            <w:noProof/>
            <w:webHidden/>
          </w:rPr>
          <w:fldChar w:fldCharType="begin"/>
        </w:r>
        <w:r w:rsidR="00742ACE">
          <w:rPr>
            <w:noProof/>
            <w:webHidden/>
          </w:rPr>
          <w:instrText xml:space="preserve"> PAGEREF _Toc383780216 \h </w:instrText>
        </w:r>
        <w:r w:rsidR="00742ACE">
          <w:rPr>
            <w:noProof/>
            <w:webHidden/>
          </w:rPr>
        </w:r>
        <w:r w:rsidR="00742ACE">
          <w:rPr>
            <w:noProof/>
            <w:webHidden/>
          </w:rPr>
          <w:fldChar w:fldCharType="separate"/>
        </w:r>
        <w:r w:rsidR="00DC75B8">
          <w:rPr>
            <w:noProof/>
            <w:webHidden/>
          </w:rPr>
          <w:t>7</w:t>
        </w:r>
        <w:r w:rsidR="00742ACE">
          <w:rPr>
            <w:noProof/>
            <w:webHidden/>
          </w:rPr>
          <w:fldChar w:fldCharType="end"/>
        </w:r>
      </w:hyperlink>
    </w:p>
    <w:p w:rsidR="00742ACE" w:rsidRDefault="00337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780217" w:history="1">
        <w:r w:rsidR="00742ACE" w:rsidRPr="004571E4">
          <w:rPr>
            <w:rStyle w:val="Hyperlink"/>
            <w:noProof/>
          </w:rPr>
          <w:t>3.2</w:t>
        </w:r>
        <w:r w:rsidR="00742ACE">
          <w:rPr>
            <w:rFonts w:asciiTheme="minorHAnsi" w:eastAsiaTheme="minorEastAsia" w:hAnsiTheme="minorHAnsi" w:cstheme="minorBidi"/>
            <w:iCs w:val="0"/>
            <w:noProof/>
            <w:sz w:val="22"/>
            <w:szCs w:val="22"/>
            <w:lang w:eastAsia="en-AU"/>
          </w:rPr>
          <w:tab/>
        </w:r>
        <w:r w:rsidR="00742ACE" w:rsidRPr="004571E4">
          <w:rPr>
            <w:rStyle w:val="Hyperlink"/>
            <w:noProof/>
          </w:rPr>
          <w:t>The trailing average portfolio approach</w:t>
        </w:r>
        <w:r w:rsidR="00742ACE">
          <w:rPr>
            <w:noProof/>
            <w:webHidden/>
          </w:rPr>
          <w:tab/>
        </w:r>
        <w:r w:rsidR="00742ACE">
          <w:rPr>
            <w:noProof/>
            <w:webHidden/>
          </w:rPr>
          <w:fldChar w:fldCharType="begin"/>
        </w:r>
        <w:r w:rsidR="00742ACE">
          <w:rPr>
            <w:noProof/>
            <w:webHidden/>
          </w:rPr>
          <w:instrText xml:space="preserve"> PAGEREF _Toc383780217 \h </w:instrText>
        </w:r>
        <w:r w:rsidR="00742ACE">
          <w:rPr>
            <w:noProof/>
            <w:webHidden/>
          </w:rPr>
        </w:r>
        <w:r w:rsidR="00742ACE">
          <w:rPr>
            <w:noProof/>
            <w:webHidden/>
          </w:rPr>
          <w:fldChar w:fldCharType="separate"/>
        </w:r>
        <w:r w:rsidR="00DC75B8">
          <w:rPr>
            <w:noProof/>
            <w:webHidden/>
          </w:rPr>
          <w:t>8</w:t>
        </w:r>
        <w:r w:rsidR="00742ACE">
          <w:rPr>
            <w:noProof/>
            <w:webHidden/>
          </w:rPr>
          <w:fldChar w:fldCharType="end"/>
        </w:r>
      </w:hyperlink>
    </w:p>
    <w:p w:rsidR="00742ACE" w:rsidRDefault="00337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780218" w:history="1">
        <w:r w:rsidR="00742ACE" w:rsidRPr="004571E4">
          <w:rPr>
            <w:rStyle w:val="Hyperlink"/>
            <w:noProof/>
          </w:rPr>
          <w:t>3.3</w:t>
        </w:r>
        <w:r w:rsidR="00742ACE">
          <w:rPr>
            <w:rFonts w:asciiTheme="minorHAnsi" w:eastAsiaTheme="minorEastAsia" w:hAnsiTheme="minorHAnsi" w:cstheme="minorBidi"/>
            <w:iCs w:val="0"/>
            <w:noProof/>
            <w:sz w:val="22"/>
            <w:szCs w:val="22"/>
            <w:lang w:eastAsia="en-AU"/>
          </w:rPr>
          <w:tab/>
        </w:r>
        <w:r w:rsidR="00742ACE" w:rsidRPr="004571E4">
          <w:rPr>
            <w:rStyle w:val="Hyperlink"/>
            <w:noProof/>
          </w:rPr>
          <w:t>Annual updating of the return on debt</w:t>
        </w:r>
        <w:r w:rsidR="00742ACE">
          <w:rPr>
            <w:noProof/>
            <w:webHidden/>
          </w:rPr>
          <w:tab/>
        </w:r>
        <w:r w:rsidR="00742ACE">
          <w:rPr>
            <w:noProof/>
            <w:webHidden/>
          </w:rPr>
          <w:fldChar w:fldCharType="begin"/>
        </w:r>
        <w:r w:rsidR="00742ACE">
          <w:rPr>
            <w:noProof/>
            <w:webHidden/>
          </w:rPr>
          <w:instrText xml:space="preserve"> PAGEREF _Toc383780218 \h </w:instrText>
        </w:r>
        <w:r w:rsidR="00742ACE">
          <w:rPr>
            <w:noProof/>
            <w:webHidden/>
          </w:rPr>
        </w:r>
        <w:r w:rsidR="00742ACE">
          <w:rPr>
            <w:noProof/>
            <w:webHidden/>
          </w:rPr>
          <w:fldChar w:fldCharType="separate"/>
        </w:r>
        <w:r w:rsidR="00DC75B8">
          <w:rPr>
            <w:noProof/>
            <w:webHidden/>
          </w:rPr>
          <w:t>9</w:t>
        </w:r>
        <w:r w:rsidR="00742ACE">
          <w:rPr>
            <w:noProof/>
            <w:webHidden/>
          </w:rPr>
          <w:fldChar w:fldCharType="end"/>
        </w:r>
      </w:hyperlink>
    </w:p>
    <w:p w:rsidR="00742ACE" w:rsidRDefault="00337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780219" w:history="1">
        <w:r w:rsidR="00742ACE" w:rsidRPr="004571E4">
          <w:rPr>
            <w:rStyle w:val="Hyperlink"/>
            <w:noProof/>
          </w:rPr>
          <w:t>4</w:t>
        </w:r>
        <w:r w:rsidR="00742ACE">
          <w:rPr>
            <w:rFonts w:asciiTheme="minorHAnsi" w:eastAsiaTheme="minorEastAsia" w:hAnsiTheme="minorHAnsi" w:cstheme="minorBidi"/>
            <w:b w:val="0"/>
            <w:bCs w:val="0"/>
            <w:noProof/>
            <w:sz w:val="22"/>
            <w:szCs w:val="22"/>
            <w:lang w:eastAsia="en-AU"/>
          </w:rPr>
          <w:tab/>
        </w:r>
        <w:r w:rsidR="00742ACE" w:rsidRPr="004571E4">
          <w:rPr>
            <w:rStyle w:val="Hyperlink"/>
            <w:noProof/>
          </w:rPr>
          <w:t>Third party data service provider</w:t>
        </w:r>
        <w:r w:rsidR="00742ACE">
          <w:rPr>
            <w:noProof/>
            <w:webHidden/>
          </w:rPr>
          <w:tab/>
        </w:r>
        <w:r w:rsidR="00742ACE">
          <w:rPr>
            <w:noProof/>
            <w:webHidden/>
          </w:rPr>
          <w:fldChar w:fldCharType="begin"/>
        </w:r>
        <w:r w:rsidR="00742ACE">
          <w:rPr>
            <w:noProof/>
            <w:webHidden/>
          </w:rPr>
          <w:instrText xml:space="preserve"> PAGEREF _Toc383780219 \h </w:instrText>
        </w:r>
        <w:r w:rsidR="00742ACE">
          <w:rPr>
            <w:noProof/>
            <w:webHidden/>
          </w:rPr>
        </w:r>
        <w:r w:rsidR="00742ACE">
          <w:rPr>
            <w:noProof/>
            <w:webHidden/>
          </w:rPr>
          <w:fldChar w:fldCharType="separate"/>
        </w:r>
        <w:r w:rsidR="00DC75B8">
          <w:rPr>
            <w:noProof/>
            <w:webHidden/>
          </w:rPr>
          <w:t>10</w:t>
        </w:r>
        <w:r w:rsidR="00742ACE">
          <w:rPr>
            <w:noProof/>
            <w:webHidden/>
          </w:rPr>
          <w:fldChar w:fldCharType="end"/>
        </w:r>
      </w:hyperlink>
    </w:p>
    <w:p w:rsidR="00742ACE" w:rsidRDefault="00337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780220" w:history="1">
        <w:r w:rsidR="00742ACE" w:rsidRPr="004571E4">
          <w:rPr>
            <w:rStyle w:val="Hyperlink"/>
            <w:noProof/>
          </w:rPr>
          <w:t>4.1</w:t>
        </w:r>
        <w:r w:rsidR="00742ACE">
          <w:rPr>
            <w:rFonts w:asciiTheme="minorHAnsi" w:eastAsiaTheme="minorEastAsia" w:hAnsiTheme="minorHAnsi" w:cstheme="minorBidi"/>
            <w:iCs w:val="0"/>
            <w:noProof/>
            <w:sz w:val="22"/>
            <w:szCs w:val="22"/>
            <w:lang w:eastAsia="en-AU"/>
          </w:rPr>
          <w:tab/>
        </w:r>
        <w:r w:rsidR="00742ACE" w:rsidRPr="004571E4">
          <w:rPr>
            <w:rStyle w:val="Hyperlink"/>
            <w:noProof/>
          </w:rPr>
          <w:t>Assessment criteria</w:t>
        </w:r>
        <w:r w:rsidR="00742ACE">
          <w:rPr>
            <w:noProof/>
            <w:webHidden/>
          </w:rPr>
          <w:tab/>
        </w:r>
        <w:r w:rsidR="00742ACE">
          <w:rPr>
            <w:noProof/>
            <w:webHidden/>
          </w:rPr>
          <w:fldChar w:fldCharType="begin"/>
        </w:r>
        <w:r w:rsidR="00742ACE">
          <w:rPr>
            <w:noProof/>
            <w:webHidden/>
          </w:rPr>
          <w:instrText xml:space="preserve"> PAGEREF _Toc383780220 \h </w:instrText>
        </w:r>
        <w:r w:rsidR="00742ACE">
          <w:rPr>
            <w:noProof/>
            <w:webHidden/>
          </w:rPr>
        </w:r>
        <w:r w:rsidR="00742ACE">
          <w:rPr>
            <w:noProof/>
            <w:webHidden/>
          </w:rPr>
          <w:fldChar w:fldCharType="separate"/>
        </w:r>
        <w:r w:rsidR="00DC75B8">
          <w:rPr>
            <w:noProof/>
            <w:webHidden/>
          </w:rPr>
          <w:t>10</w:t>
        </w:r>
        <w:r w:rsidR="00742ACE">
          <w:rPr>
            <w:noProof/>
            <w:webHidden/>
          </w:rPr>
          <w:fldChar w:fldCharType="end"/>
        </w:r>
      </w:hyperlink>
    </w:p>
    <w:p w:rsidR="00742ACE" w:rsidRDefault="00337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780221" w:history="1">
        <w:r w:rsidR="00742ACE" w:rsidRPr="004571E4">
          <w:rPr>
            <w:rStyle w:val="Hyperlink"/>
            <w:noProof/>
          </w:rPr>
          <w:t>4.2</w:t>
        </w:r>
        <w:r w:rsidR="00742ACE">
          <w:rPr>
            <w:rFonts w:asciiTheme="minorHAnsi" w:eastAsiaTheme="minorEastAsia" w:hAnsiTheme="minorHAnsi" w:cstheme="minorBidi"/>
            <w:iCs w:val="0"/>
            <w:noProof/>
            <w:sz w:val="22"/>
            <w:szCs w:val="22"/>
            <w:lang w:eastAsia="en-AU"/>
          </w:rPr>
          <w:tab/>
        </w:r>
        <w:r w:rsidR="00742ACE" w:rsidRPr="004571E4">
          <w:rPr>
            <w:rStyle w:val="Hyperlink"/>
            <w:noProof/>
          </w:rPr>
          <w:t>Overview of RBA series</w:t>
        </w:r>
        <w:r w:rsidR="00742ACE">
          <w:rPr>
            <w:noProof/>
            <w:webHidden/>
          </w:rPr>
          <w:tab/>
        </w:r>
        <w:r w:rsidR="00742ACE">
          <w:rPr>
            <w:noProof/>
            <w:webHidden/>
          </w:rPr>
          <w:fldChar w:fldCharType="begin"/>
        </w:r>
        <w:r w:rsidR="00742ACE">
          <w:rPr>
            <w:noProof/>
            <w:webHidden/>
          </w:rPr>
          <w:instrText xml:space="preserve"> PAGEREF _Toc383780221 \h </w:instrText>
        </w:r>
        <w:r w:rsidR="00742ACE">
          <w:rPr>
            <w:noProof/>
            <w:webHidden/>
          </w:rPr>
        </w:r>
        <w:r w:rsidR="00742ACE">
          <w:rPr>
            <w:noProof/>
            <w:webHidden/>
          </w:rPr>
          <w:fldChar w:fldCharType="separate"/>
        </w:r>
        <w:r w:rsidR="00DC75B8">
          <w:rPr>
            <w:noProof/>
            <w:webHidden/>
          </w:rPr>
          <w:t>12</w:t>
        </w:r>
        <w:r w:rsidR="00742ACE">
          <w:rPr>
            <w:noProof/>
            <w:webHidden/>
          </w:rPr>
          <w:fldChar w:fldCharType="end"/>
        </w:r>
      </w:hyperlink>
    </w:p>
    <w:p w:rsidR="00742ACE" w:rsidRDefault="00337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780222" w:history="1">
        <w:r w:rsidR="00742ACE" w:rsidRPr="004571E4">
          <w:rPr>
            <w:rStyle w:val="Hyperlink"/>
            <w:noProof/>
          </w:rPr>
          <w:t>4.3</w:t>
        </w:r>
        <w:r w:rsidR="00742ACE">
          <w:rPr>
            <w:rFonts w:asciiTheme="minorHAnsi" w:eastAsiaTheme="minorEastAsia" w:hAnsiTheme="minorHAnsi" w:cstheme="minorBidi"/>
            <w:iCs w:val="0"/>
            <w:noProof/>
            <w:sz w:val="22"/>
            <w:szCs w:val="22"/>
            <w:lang w:eastAsia="en-AU"/>
          </w:rPr>
          <w:tab/>
        </w:r>
        <w:r w:rsidR="00742ACE" w:rsidRPr="004571E4">
          <w:rPr>
            <w:rStyle w:val="Hyperlink"/>
            <w:noProof/>
          </w:rPr>
          <w:t>Overview of Bloomberg series</w:t>
        </w:r>
        <w:r w:rsidR="00742ACE">
          <w:rPr>
            <w:noProof/>
            <w:webHidden/>
          </w:rPr>
          <w:tab/>
        </w:r>
        <w:r w:rsidR="00742ACE">
          <w:rPr>
            <w:noProof/>
            <w:webHidden/>
          </w:rPr>
          <w:fldChar w:fldCharType="begin"/>
        </w:r>
        <w:r w:rsidR="00742ACE">
          <w:rPr>
            <w:noProof/>
            <w:webHidden/>
          </w:rPr>
          <w:instrText xml:space="preserve"> PAGEREF _Toc383780222 \h </w:instrText>
        </w:r>
        <w:r w:rsidR="00742ACE">
          <w:rPr>
            <w:noProof/>
            <w:webHidden/>
          </w:rPr>
        </w:r>
        <w:r w:rsidR="00742ACE">
          <w:rPr>
            <w:noProof/>
            <w:webHidden/>
          </w:rPr>
          <w:fldChar w:fldCharType="separate"/>
        </w:r>
        <w:r w:rsidR="00DC75B8">
          <w:rPr>
            <w:noProof/>
            <w:webHidden/>
          </w:rPr>
          <w:t>12</w:t>
        </w:r>
        <w:r w:rsidR="00742ACE">
          <w:rPr>
            <w:noProof/>
            <w:webHidden/>
          </w:rPr>
          <w:fldChar w:fldCharType="end"/>
        </w:r>
      </w:hyperlink>
    </w:p>
    <w:p w:rsidR="00742ACE" w:rsidRDefault="00337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780223" w:history="1">
        <w:r w:rsidR="00742ACE" w:rsidRPr="004571E4">
          <w:rPr>
            <w:rStyle w:val="Hyperlink"/>
            <w:noProof/>
          </w:rPr>
          <w:t>4.4</w:t>
        </w:r>
        <w:r w:rsidR="00742ACE">
          <w:rPr>
            <w:rFonts w:asciiTheme="minorHAnsi" w:eastAsiaTheme="minorEastAsia" w:hAnsiTheme="minorHAnsi" w:cstheme="minorBidi"/>
            <w:iCs w:val="0"/>
            <w:noProof/>
            <w:sz w:val="22"/>
            <w:szCs w:val="22"/>
            <w:lang w:eastAsia="en-AU"/>
          </w:rPr>
          <w:tab/>
        </w:r>
        <w:r w:rsidR="00742ACE" w:rsidRPr="004571E4">
          <w:rPr>
            <w:rStyle w:val="Hyperlink"/>
            <w:noProof/>
          </w:rPr>
          <w:t>Relative comparison of the alternative series</w:t>
        </w:r>
        <w:r w:rsidR="00742ACE">
          <w:rPr>
            <w:noProof/>
            <w:webHidden/>
          </w:rPr>
          <w:tab/>
        </w:r>
        <w:r w:rsidR="00742ACE">
          <w:rPr>
            <w:noProof/>
            <w:webHidden/>
          </w:rPr>
          <w:fldChar w:fldCharType="begin"/>
        </w:r>
        <w:r w:rsidR="00742ACE">
          <w:rPr>
            <w:noProof/>
            <w:webHidden/>
          </w:rPr>
          <w:instrText xml:space="preserve"> PAGEREF _Toc383780223 \h </w:instrText>
        </w:r>
        <w:r w:rsidR="00742ACE">
          <w:rPr>
            <w:noProof/>
            <w:webHidden/>
          </w:rPr>
        </w:r>
        <w:r w:rsidR="00742ACE">
          <w:rPr>
            <w:noProof/>
            <w:webHidden/>
          </w:rPr>
          <w:fldChar w:fldCharType="separate"/>
        </w:r>
        <w:r w:rsidR="00DC75B8">
          <w:rPr>
            <w:noProof/>
            <w:webHidden/>
          </w:rPr>
          <w:t>13</w:t>
        </w:r>
        <w:r w:rsidR="00742ACE">
          <w:rPr>
            <w:noProof/>
            <w:webHidden/>
          </w:rPr>
          <w:fldChar w:fldCharType="end"/>
        </w:r>
      </w:hyperlink>
    </w:p>
    <w:p w:rsidR="00742ACE" w:rsidRDefault="00337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780224" w:history="1">
        <w:r w:rsidR="00742ACE" w:rsidRPr="004571E4">
          <w:rPr>
            <w:rStyle w:val="Hyperlink"/>
            <w:noProof/>
          </w:rPr>
          <w:t>5</w:t>
        </w:r>
        <w:r w:rsidR="00742ACE">
          <w:rPr>
            <w:rFonts w:asciiTheme="minorHAnsi" w:eastAsiaTheme="minorEastAsia" w:hAnsiTheme="minorHAnsi" w:cstheme="minorBidi"/>
            <w:b w:val="0"/>
            <w:bCs w:val="0"/>
            <w:noProof/>
            <w:sz w:val="22"/>
            <w:szCs w:val="22"/>
            <w:lang w:eastAsia="en-AU"/>
          </w:rPr>
          <w:tab/>
        </w:r>
        <w:r w:rsidR="00742ACE" w:rsidRPr="004571E4">
          <w:rPr>
            <w:rStyle w:val="Hyperlink"/>
            <w:noProof/>
          </w:rPr>
          <w:t>Implementing the RBA series</w:t>
        </w:r>
        <w:r w:rsidR="00742ACE">
          <w:rPr>
            <w:noProof/>
            <w:webHidden/>
          </w:rPr>
          <w:tab/>
        </w:r>
        <w:r w:rsidR="00742ACE">
          <w:rPr>
            <w:noProof/>
            <w:webHidden/>
          </w:rPr>
          <w:fldChar w:fldCharType="begin"/>
        </w:r>
        <w:r w:rsidR="00742ACE">
          <w:rPr>
            <w:noProof/>
            <w:webHidden/>
          </w:rPr>
          <w:instrText xml:space="preserve"> PAGEREF _Toc383780224 \h </w:instrText>
        </w:r>
        <w:r w:rsidR="00742ACE">
          <w:rPr>
            <w:noProof/>
            <w:webHidden/>
          </w:rPr>
        </w:r>
        <w:r w:rsidR="00742ACE">
          <w:rPr>
            <w:noProof/>
            <w:webHidden/>
          </w:rPr>
          <w:fldChar w:fldCharType="separate"/>
        </w:r>
        <w:r w:rsidR="00DC75B8">
          <w:rPr>
            <w:noProof/>
            <w:webHidden/>
          </w:rPr>
          <w:t>19</w:t>
        </w:r>
        <w:r w:rsidR="00742ACE">
          <w:rPr>
            <w:noProof/>
            <w:webHidden/>
          </w:rPr>
          <w:fldChar w:fldCharType="end"/>
        </w:r>
      </w:hyperlink>
    </w:p>
    <w:p w:rsidR="00742ACE" w:rsidRDefault="00337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780225" w:history="1">
        <w:r w:rsidR="00742ACE" w:rsidRPr="004571E4">
          <w:rPr>
            <w:rStyle w:val="Hyperlink"/>
            <w:noProof/>
          </w:rPr>
          <w:t>5.1</w:t>
        </w:r>
        <w:r w:rsidR="00742ACE">
          <w:rPr>
            <w:rFonts w:asciiTheme="minorHAnsi" w:eastAsiaTheme="minorEastAsia" w:hAnsiTheme="minorHAnsi" w:cstheme="minorBidi"/>
            <w:iCs w:val="0"/>
            <w:noProof/>
            <w:sz w:val="22"/>
            <w:szCs w:val="22"/>
            <w:lang w:eastAsia="en-AU"/>
          </w:rPr>
          <w:tab/>
        </w:r>
        <w:r w:rsidR="00742ACE" w:rsidRPr="004571E4">
          <w:rPr>
            <w:rStyle w:val="Hyperlink"/>
            <w:noProof/>
          </w:rPr>
          <w:t>Interpolating monthly estimates</w:t>
        </w:r>
        <w:r w:rsidR="00742ACE">
          <w:rPr>
            <w:noProof/>
            <w:webHidden/>
          </w:rPr>
          <w:tab/>
        </w:r>
        <w:r w:rsidR="00742ACE">
          <w:rPr>
            <w:noProof/>
            <w:webHidden/>
          </w:rPr>
          <w:fldChar w:fldCharType="begin"/>
        </w:r>
        <w:r w:rsidR="00742ACE">
          <w:rPr>
            <w:noProof/>
            <w:webHidden/>
          </w:rPr>
          <w:instrText xml:space="preserve"> PAGEREF _Toc383780225 \h </w:instrText>
        </w:r>
        <w:r w:rsidR="00742ACE">
          <w:rPr>
            <w:noProof/>
            <w:webHidden/>
          </w:rPr>
        </w:r>
        <w:r w:rsidR="00742ACE">
          <w:rPr>
            <w:noProof/>
            <w:webHidden/>
          </w:rPr>
          <w:fldChar w:fldCharType="separate"/>
        </w:r>
        <w:r w:rsidR="00DC75B8">
          <w:rPr>
            <w:noProof/>
            <w:webHidden/>
          </w:rPr>
          <w:t>19</w:t>
        </w:r>
        <w:r w:rsidR="00742ACE">
          <w:rPr>
            <w:noProof/>
            <w:webHidden/>
          </w:rPr>
          <w:fldChar w:fldCharType="end"/>
        </w:r>
      </w:hyperlink>
    </w:p>
    <w:p w:rsidR="00742ACE" w:rsidRDefault="00337B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780226" w:history="1">
        <w:r w:rsidR="00742ACE" w:rsidRPr="004571E4">
          <w:rPr>
            <w:rStyle w:val="Hyperlink"/>
            <w:noProof/>
          </w:rPr>
          <w:t>5.2</w:t>
        </w:r>
        <w:r w:rsidR="00742ACE">
          <w:rPr>
            <w:rFonts w:asciiTheme="minorHAnsi" w:eastAsiaTheme="minorEastAsia" w:hAnsiTheme="minorHAnsi" w:cstheme="minorBidi"/>
            <w:iCs w:val="0"/>
            <w:noProof/>
            <w:sz w:val="22"/>
            <w:szCs w:val="22"/>
            <w:lang w:eastAsia="en-AU"/>
          </w:rPr>
          <w:tab/>
        </w:r>
        <w:r w:rsidR="00742ACE" w:rsidRPr="004571E4">
          <w:rPr>
            <w:rStyle w:val="Hyperlink"/>
            <w:noProof/>
          </w:rPr>
          <w:t>Averaging period requirements</w:t>
        </w:r>
        <w:r w:rsidR="00742ACE">
          <w:rPr>
            <w:noProof/>
            <w:webHidden/>
          </w:rPr>
          <w:tab/>
        </w:r>
        <w:r w:rsidR="00742ACE">
          <w:rPr>
            <w:noProof/>
            <w:webHidden/>
          </w:rPr>
          <w:fldChar w:fldCharType="begin"/>
        </w:r>
        <w:r w:rsidR="00742ACE">
          <w:rPr>
            <w:noProof/>
            <w:webHidden/>
          </w:rPr>
          <w:instrText xml:space="preserve"> PAGEREF _Toc383780226 \h </w:instrText>
        </w:r>
        <w:r w:rsidR="00742ACE">
          <w:rPr>
            <w:noProof/>
            <w:webHidden/>
          </w:rPr>
        </w:r>
        <w:r w:rsidR="00742ACE">
          <w:rPr>
            <w:noProof/>
            <w:webHidden/>
          </w:rPr>
          <w:fldChar w:fldCharType="separate"/>
        </w:r>
        <w:r w:rsidR="00DC75B8">
          <w:rPr>
            <w:noProof/>
            <w:webHidden/>
          </w:rPr>
          <w:t>21</w:t>
        </w:r>
        <w:r w:rsidR="00742ACE">
          <w:rPr>
            <w:noProof/>
            <w:webHidden/>
          </w:rPr>
          <w:fldChar w:fldCharType="end"/>
        </w:r>
      </w:hyperlink>
    </w:p>
    <w:p w:rsidR="00742ACE" w:rsidRDefault="00337B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780227" w:history="1">
        <w:r w:rsidR="00742ACE" w:rsidRPr="004571E4">
          <w:rPr>
            <w:rStyle w:val="Hyperlink"/>
            <w:noProof/>
          </w:rPr>
          <w:t>A</w:t>
        </w:r>
        <w:r w:rsidR="00742ACE">
          <w:rPr>
            <w:rFonts w:asciiTheme="minorHAnsi" w:eastAsiaTheme="minorEastAsia" w:hAnsiTheme="minorHAnsi" w:cstheme="minorBidi"/>
            <w:b w:val="0"/>
            <w:bCs w:val="0"/>
            <w:noProof/>
            <w:sz w:val="22"/>
            <w:szCs w:val="22"/>
            <w:lang w:eastAsia="en-AU"/>
          </w:rPr>
          <w:tab/>
        </w:r>
        <w:r w:rsidR="00742ACE" w:rsidRPr="004571E4">
          <w:rPr>
            <w:rStyle w:val="Hyperlink"/>
            <w:noProof/>
          </w:rPr>
          <w:t>Interpolating daily estimates: an example</w:t>
        </w:r>
        <w:r w:rsidR="00742ACE">
          <w:rPr>
            <w:noProof/>
            <w:webHidden/>
          </w:rPr>
          <w:tab/>
        </w:r>
        <w:r w:rsidR="00742ACE">
          <w:rPr>
            <w:noProof/>
            <w:webHidden/>
          </w:rPr>
          <w:fldChar w:fldCharType="begin"/>
        </w:r>
        <w:r w:rsidR="00742ACE">
          <w:rPr>
            <w:noProof/>
            <w:webHidden/>
          </w:rPr>
          <w:instrText xml:space="preserve"> PAGEREF _Toc383780227 \h </w:instrText>
        </w:r>
        <w:r w:rsidR="00742ACE">
          <w:rPr>
            <w:noProof/>
            <w:webHidden/>
          </w:rPr>
        </w:r>
        <w:r w:rsidR="00742ACE">
          <w:rPr>
            <w:noProof/>
            <w:webHidden/>
          </w:rPr>
          <w:fldChar w:fldCharType="separate"/>
        </w:r>
        <w:r w:rsidR="00DC75B8">
          <w:rPr>
            <w:noProof/>
            <w:webHidden/>
          </w:rPr>
          <w:t>22</w:t>
        </w:r>
        <w:r w:rsidR="00742ACE">
          <w:rPr>
            <w:noProof/>
            <w:webHidden/>
          </w:rPr>
          <w:fldChar w:fldCharType="end"/>
        </w:r>
      </w:hyperlink>
    </w:p>
    <w:p w:rsidR="00F12878" w:rsidRPr="00F12878" w:rsidRDefault="00F12878" w:rsidP="00F12878">
      <w:pPr>
        <w:pStyle w:val="AERbodytext"/>
      </w:pPr>
      <w:r>
        <w:fldChar w:fldCharType="end"/>
      </w:r>
    </w:p>
    <w:p w:rsidR="00F12878" w:rsidRPr="00157AAD" w:rsidRDefault="00543E43" w:rsidP="00157AAD">
      <w:pPr>
        <w:pStyle w:val="Heading1"/>
      </w:pPr>
      <w:bookmarkStart w:id="4" w:name="_Toc383780213"/>
      <w:r w:rsidRPr="00157AAD">
        <w:lastRenderedPageBreak/>
        <w:t>About this issues paper</w:t>
      </w:r>
      <w:bookmarkEnd w:id="4"/>
    </w:p>
    <w:p w:rsidR="00543E43" w:rsidRDefault="00543E43" w:rsidP="00B84A45">
      <w:pPr>
        <w:pStyle w:val="AERbodytext"/>
      </w:pPr>
      <w:r>
        <w:t>We, the Australian Energy Regulator (AER), published</w:t>
      </w:r>
      <w:r w:rsidRPr="00543E43">
        <w:t xml:space="preserve"> our rate of return guidelin</w:t>
      </w:r>
      <w:r>
        <w:t>e in December 2013.</w:t>
      </w:r>
      <w:r w:rsidR="00B44889">
        <w:rPr>
          <w:rStyle w:val="FootnoteReference"/>
        </w:rPr>
        <w:footnoteReference w:id="1"/>
      </w:r>
      <w:r>
        <w:t xml:space="preserve"> The National Electricity Rules (NER)</w:t>
      </w:r>
      <w:r w:rsidR="00CD4558" w:rsidRPr="00CD4558">
        <w:t xml:space="preserve"> </w:t>
      </w:r>
      <w:r w:rsidR="00CD4558">
        <w:t xml:space="preserve">and National Gas Rules (NGR) (the rules) </w:t>
      </w:r>
      <w:r>
        <w:t>require</w:t>
      </w:r>
      <w:r w:rsidR="00B44889">
        <w:t>d</w:t>
      </w:r>
      <w:r>
        <w:t xml:space="preserve"> us to develop th</w:t>
      </w:r>
      <w:r w:rsidR="00816081">
        <w:t>is</w:t>
      </w:r>
      <w:r>
        <w:t xml:space="preserve"> guideline</w:t>
      </w:r>
      <w:r w:rsidR="00CD4558">
        <w:t>,</w:t>
      </w:r>
      <w:r>
        <w:t xml:space="preserve"> and to specify within it:</w:t>
      </w:r>
      <w:r w:rsidR="00401B51">
        <w:rPr>
          <w:rStyle w:val="FootnoteReference"/>
        </w:rPr>
        <w:footnoteReference w:id="2"/>
      </w:r>
    </w:p>
    <w:p w:rsidR="00816081" w:rsidRPr="00816081" w:rsidRDefault="00816081" w:rsidP="00816081">
      <w:pPr>
        <w:pStyle w:val="AERbulletlistfirststyle"/>
      </w:pPr>
      <w:r w:rsidRPr="00816081">
        <w:t xml:space="preserve">the methodologies </w:t>
      </w:r>
      <w:r>
        <w:t>we</w:t>
      </w:r>
      <w:r w:rsidRPr="00816081">
        <w:t xml:space="preserve"> propose to use in estimating the allowed rate of return, including how those methodologies are proposed to result in the determination of a return on equity and a</w:t>
      </w:r>
      <w:r>
        <w:t xml:space="preserve"> </w:t>
      </w:r>
      <w:r w:rsidRPr="00816081">
        <w:t xml:space="preserve">return on debt in a way that is consistent </w:t>
      </w:r>
      <w:r w:rsidR="00CE2323">
        <w:t xml:space="preserve">with </w:t>
      </w:r>
      <w:r w:rsidRPr="00816081">
        <w:t>the allowed rate of return objective</w:t>
      </w:r>
    </w:p>
    <w:p w:rsidR="00816081" w:rsidRDefault="00816081" w:rsidP="00816081">
      <w:pPr>
        <w:pStyle w:val="AERbulletlistfirststyle"/>
      </w:pPr>
      <w:r w:rsidRPr="00816081">
        <w:t xml:space="preserve">the estimation methods, financial models, market data and other evidence </w:t>
      </w:r>
      <w:r w:rsidR="0011601F">
        <w:t>we</w:t>
      </w:r>
      <w:r w:rsidRPr="00816081">
        <w:t xml:space="preserve"> propose to take into account in estimating the return on equity, the return on debt and the value of imputation credits.</w:t>
      </w:r>
    </w:p>
    <w:p w:rsidR="00CD4558" w:rsidRDefault="00CD4558" w:rsidP="00482A43">
      <w:pPr>
        <w:pStyle w:val="AERbodytext"/>
      </w:pPr>
      <w:r>
        <w:t xml:space="preserve">This </w:t>
      </w:r>
      <w:r w:rsidRPr="00482A43">
        <w:t>paper</w:t>
      </w:r>
      <w:r>
        <w:t xml:space="preserve"> considers issues relevant to implementing our proposed </w:t>
      </w:r>
      <w:r w:rsidR="00816081">
        <w:t xml:space="preserve">approach to estimating the </w:t>
      </w:r>
      <w:r>
        <w:t>return on debt that were not explicitly covered in our guideline.</w:t>
      </w:r>
      <w:r w:rsidRPr="00CD4558">
        <w:t xml:space="preserve"> </w:t>
      </w:r>
      <w:r>
        <w:t>In particular, this paper sets out:</w:t>
      </w:r>
    </w:p>
    <w:p w:rsidR="00CA5E1E" w:rsidRDefault="0011601F" w:rsidP="00B84A45">
      <w:pPr>
        <w:pStyle w:val="AERbulletlistfirststyle"/>
      </w:pPr>
      <w:r>
        <w:t xml:space="preserve">the </w:t>
      </w:r>
      <w:r w:rsidR="00816081">
        <w:t>features</w:t>
      </w:r>
      <w:r w:rsidR="00CA5E1E">
        <w:t xml:space="preserve"> of the</w:t>
      </w:r>
      <w:r w:rsidR="00CD4558">
        <w:t xml:space="preserve"> third party data series currently available for estimating the return on debt. This includes data series published by the Reserve Bank of Australia (RBA) and</w:t>
      </w:r>
      <w:r w:rsidR="00CA5E1E">
        <w:t xml:space="preserve"> Bloomberg</w:t>
      </w:r>
      <w:r w:rsidR="00CD4558">
        <w:t>.</w:t>
      </w:r>
    </w:p>
    <w:p w:rsidR="001A611D" w:rsidRDefault="0011601F" w:rsidP="00B84A45">
      <w:pPr>
        <w:pStyle w:val="AERbulletlistfirststyle"/>
      </w:pPr>
      <w:r>
        <w:t xml:space="preserve">the </w:t>
      </w:r>
      <w:r w:rsidR="00B84A45">
        <w:t xml:space="preserve">issues that </w:t>
      </w:r>
      <w:r w:rsidR="00CD4558">
        <w:t xml:space="preserve">may need to </w:t>
      </w:r>
      <w:r w:rsidR="00B84A45">
        <w:t>be addressed if the RBA data series is used</w:t>
      </w:r>
      <w:r w:rsidR="008B3297">
        <w:t xml:space="preserve"> to estimate the return on debt</w:t>
      </w:r>
      <w:r w:rsidR="00CD4558">
        <w:t xml:space="preserve">, including </w:t>
      </w:r>
      <w:r w:rsidR="001A611D">
        <w:t>interpolating monthly estimates and selecting an averaging period</w:t>
      </w:r>
      <w:r w:rsidR="007D0B1B">
        <w:t xml:space="preserve"> for return on debt estimates</w:t>
      </w:r>
      <w:r w:rsidR="001A611D">
        <w:t>.</w:t>
      </w:r>
    </w:p>
    <w:p w:rsidR="001A611D" w:rsidRDefault="001A611D" w:rsidP="001811B6">
      <w:pPr>
        <w:pStyle w:val="AERbodytext"/>
      </w:pPr>
      <w:r>
        <w:t xml:space="preserve">In this paper, however, we do not </w:t>
      </w:r>
      <w:r w:rsidR="001811B6" w:rsidRPr="001811B6">
        <w:t>propose to use a specific</w:t>
      </w:r>
      <w:r w:rsidRPr="001811B6">
        <w:t xml:space="preserve"> data</w:t>
      </w:r>
      <w:r>
        <w:t xml:space="preserve"> series. Instead, such </w:t>
      </w:r>
      <w:r w:rsidR="001811B6">
        <w:t xml:space="preserve">a decision </w:t>
      </w:r>
      <w:r>
        <w:t xml:space="preserve">will be undertaken at the time of a regulatory determination. In this context, the </w:t>
      </w:r>
      <w:r w:rsidR="0031518E">
        <w:t xml:space="preserve">discussion in section 5 </w:t>
      </w:r>
      <w:r>
        <w:t xml:space="preserve">on addressing </w:t>
      </w:r>
      <w:r w:rsidR="001811B6">
        <w:t>issues relevant to</w:t>
      </w:r>
      <w:r>
        <w:t xml:space="preserve"> the use of the RBA series should not be inferred as </w:t>
      </w:r>
      <w:r w:rsidR="00FD5D7F">
        <w:t xml:space="preserve">a </w:t>
      </w:r>
      <w:r>
        <w:t>preference for using the RBA series.</w:t>
      </w:r>
    </w:p>
    <w:p w:rsidR="001811B6" w:rsidRDefault="001811B6" w:rsidP="001A611D">
      <w:r>
        <w:t>Similarly, this paper does not consider the development of an in</w:t>
      </w:r>
      <w:r w:rsidR="000D2A17">
        <w:t>-</w:t>
      </w:r>
      <w:r>
        <w:t xml:space="preserve">house data series to estimate the return on debt. The reasons for using a third party data service provider are outlined in our </w:t>
      </w:r>
      <w:r w:rsidR="007D0B1B">
        <w:t xml:space="preserve">explanatory statement on the </w:t>
      </w:r>
      <w:r>
        <w:t>rate of return guideline.</w:t>
      </w:r>
      <w:r>
        <w:rPr>
          <w:rStyle w:val="FootnoteReference"/>
        </w:rPr>
        <w:footnoteReference w:id="3"/>
      </w:r>
    </w:p>
    <w:p w:rsidR="00A2723D" w:rsidRDefault="00A2723D" w:rsidP="00A2723D">
      <w:pPr>
        <w:pStyle w:val="AERbodytext"/>
        <w:numPr>
          <w:ilvl w:val="0"/>
          <w:numId w:val="6"/>
        </w:numPr>
      </w:pPr>
      <w:r>
        <w:t xml:space="preserve">Where stakeholders comment </w:t>
      </w:r>
      <w:r w:rsidR="00FA5E1C">
        <w:t>on</w:t>
      </w:r>
      <w:r>
        <w:t xml:space="preserve"> the material covered in this issues </w:t>
      </w:r>
      <w:proofErr w:type="spellStart"/>
      <w:r>
        <w:t>paper</w:t>
      </w:r>
      <w:r w:rsidR="00FA5E1C">
        <w:t>they</w:t>
      </w:r>
      <w:proofErr w:type="spellEnd"/>
      <w:r>
        <w:t xml:space="preserve"> should explain why they hold particular views and, if possible, set out how </w:t>
      </w:r>
      <w:r w:rsidR="007D0B1B">
        <w:t>their proposal(s)</w:t>
      </w:r>
      <w:r>
        <w:t xml:space="preserve"> might be implemented.</w:t>
      </w:r>
    </w:p>
    <w:p w:rsidR="00A2723D" w:rsidRDefault="00A2723D" w:rsidP="001A611D"/>
    <w:p w:rsidR="00F50AF7" w:rsidRDefault="00F50AF7" w:rsidP="00F50AF7">
      <w:pPr>
        <w:pStyle w:val="Heading1"/>
      </w:pPr>
      <w:bookmarkStart w:id="5" w:name="_Toc382578806"/>
      <w:bookmarkStart w:id="6" w:name="_Toc383780214"/>
      <w:bookmarkEnd w:id="5"/>
      <w:r w:rsidRPr="00F50AF7">
        <w:lastRenderedPageBreak/>
        <w:t>Questions</w:t>
      </w:r>
      <w:r>
        <w:t xml:space="preserve"> for stakeholders</w:t>
      </w:r>
      <w:bookmarkEnd w:id="6"/>
    </w:p>
    <w:p w:rsidR="00A2723D" w:rsidRDefault="00F50AF7" w:rsidP="00F50AF7">
      <w:pPr>
        <w:pStyle w:val="AERbodytext"/>
        <w:numPr>
          <w:ilvl w:val="0"/>
          <w:numId w:val="6"/>
        </w:numPr>
      </w:pPr>
      <w:r>
        <w:t xml:space="preserve">In this paper, we seek stakeholder views on how to implement </w:t>
      </w:r>
      <w:r w:rsidR="00A10226">
        <w:t>the</w:t>
      </w:r>
      <w:r>
        <w:t xml:space="preserve"> approach for estimating the return on debt</w:t>
      </w:r>
      <w:r w:rsidR="00A10226">
        <w:t xml:space="preserve"> proposed in our rate of return guideline</w:t>
      </w:r>
      <w:r>
        <w:t>. The relevant background material</w:t>
      </w:r>
      <w:r w:rsidR="00A10226">
        <w:t xml:space="preserve"> to these questions is</w:t>
      </w:r>
      <w:r>
        <w:t xml:space="preserve"> provided in sections 4 and 5.</w:t>
      </w:r>
      <w:r w:rsidR="009000E4">
        <w:t xml:space="preserve"> </w:t>
      </w:r>
    </w:p>
    <w:p w:rsidR="00F50AF7" w:rsidRPr="00CF7C49" w:rsidRDefault="00F50AF7" w:rsidP="00F50AF7">
      <w:pPr>
        <w:rPr>
          <w:rStyle w:val="AERtextbold"/>
        </w:rPr>
      </w:pPr>
      <w:r w:rsidRPr="00CF7C49">
        <w:rPr>
          <w:rStyle w:val="AERtextbold"/>
        </w:rPr>
        <w:t xml:space="preserve">Third party </w:t>
      </w:r>
      <w:r w:rsidR="00CC3F00">
        <w:rPr>
          <w:rStyle w:val="AERtextbold"/>
        </w:rPr>
        <w:t xml:space="preserve">data </w:t>
      </w:r>
      <w:r w:rsidRPr="00CF7C49">
        <w:rPr>
          <w:rStyle w:val="AERtextbold"/>
        </w:rPr>
        <w:t>service providers</w:t>
      </w:r>
    </w:p>
    <w:p w:rsidR="009000E4" w:rsidRDefault="00FA5E1C" w:rsidP="00F50AF7">
      <w:pPr>
        <w:pStyle w:val="AERnumberedlistfirststyle"/>
        <w:numPr>
          <w:ilvl w:val="1"/>
          <w:numId w:val="6"/>
        </w:numPr>
      </w:pPr>
      <w:r>
        <w:t>Are there any</w:t>
      </w:r>
      <w:r w:rsidR="00823221">
        <w:t xml:space="preserve"> </w:t>
      </w:r>
      <w:r>
        <w:t>matters</w:t>
      </w:r>
      <w:r w:rsidR="0037320E">
        <w:t xml:space="preserve">, other than </w:t>
      </w:r>
      <w:r>
        <w:t>criteria</w:t>
      </w:r>
      <w:r w:rsidR="0037320E">
        <w:t xml:space="preserve"> set out in section </w:t>
      </w:r>
      <w:r w:rsidR="0037320E">
        <w:fldChar w:fldCharType="begin"/>
      </w:r>
      <w:r w:rsidR="0037320E">
        <w:instrText xml:space="preserve"> REF _Ref380572580 \r \h </w:instrText>
      </w:r>
      <w:r w:rsidR="0037320E">
        <w:fldChar w:fldCharType="separate"/>
      </w:r>
      <w:r w:rsidR="00DC75B8">
        <w:t>4</w:t>
      </w:r>
      <w:r w:rsidR="0037320E">
        <w:fldChar w:fldCharType="end"/>
      </w:r>
      <w:proofErr w:type="gramStart"/>
      <w:r w:rsidR="0037320E">
        <w:t xml:space="preserve">, </w:t>
      </w:r>
      <w:r w:rsidR="00823221">
        <w:t xml:space="preserve"> </w:t>
      </w:r>
      <w:r>
        <w:t>that</w:t>
      </w:r>
      <w:proofErr w:type="gramEnd"/>
      <w:r>
        <w:t xml:space="preserve"> </w:t>
      </w:r>
      <w:r w:rsidR="00823221">
        <w:t xml:space="preserve">we </w:t>
      </w:r>
      <w:r>
        <w:t>should consider</w:t>
      </w:r>
      <w:r w:rsidR="00823221">
        <w:t xml:space="preserve"> </w:t>
      </w:r>
      <w:r w:rsidR="007D5775">
        <w:t xml:space="preserve">when </w:t>
      </w:r>
      <w:r w:rsidR="0037320E">
        <w:t>choosing between</w:t>
      </w:r>
      <w:r w:rsidR="007D5775">
        <w:t xml:space="preserve"> alternative data series to estimate the return on debt</w:t>
      </w:r>
      <w:r w:rsidR="00823221">
        <w:t>?</w:t>
      </w:r>
    </w:p>
    <w:p w:rsidR="007D5775" w:rsidRDefault="000D51A1" w:rsidP="007D5775">
      <w:pPr>
        <w:pStyle w:val="AERnumberedlistfirststyle"/>
        <w:numPr>
          <w:ilvl w:val="1"/>
          <w:numId w:val="6"/>
        </w:numPr>
      </w:pPr>
      <w:r>
        <w:t xml:space="preserve">If we use a particular series in a final decision, should we use </w:t>
      </w:r>
      <w:r w:rsidR="00737C05">
        <w:t>this series for the duration of the</w:t>
      </w:r>
      <w:r w:rsidR="00A94A52">
        <w:t xml:space="preserve"> </w:t>
      </w:r>
      <w:r w:rsidR="00737C05">
        <w:t>regulatory period</w:t>
      </w:r>
      <w:r w:rsidR="009A2D67">
        <w:t xml:space="preserve"> (as discussed in section </w:t>
      </w:r>
      <w:r w:rsidR="009A2D67">
        <w:fldChar w:fldCharType="begin"/>
      </w:r>
      <w:r w:rsidR="009A2D67">
        <w:instrText xml:space="preserve"> REF _Ref382898834 \r \h </w:instrText>
      </w:r>
      <w:r w:rsidR="009A2D67">
        <w:fldChar w:fldCharType="separate"/>
      </w:r>
      <w:r w:rsidR="00DC75B8">
        <w:t>4.4.5</w:t>
      </w:r>
      <w:r w:rsidR="009A2D67">
        <w:fldChar w:fldCharType="end"/>
      </w:r>
      <w:r w:rsidR="009A2D67">
        <w:t>)</w:t>
      </w:r>
      <w:r w:rsidR="00AB5BB8">
        <w:t>?</w:t>
      </w:r>
    </w:p>
    <w:p w:rsidR="0037320E" w:rsidRDefault="007D5775" w:rsidP="007D5775">
      <w:pPr>
        <w:pStyle w:val="AERnumberedlistfirststyle"/>
        <w:numPr>
          <w:ilvl w:val="1"/>
          <w:numId w:val="6"/>
        </w:numPr>
      </w:pPr>
      <w:r>
        <w:t>Which third party data service providers, other than the RBA and Bloomberg, could we consider to estimate the return on debt?</w:t>
      </w:r>
    </w:p>
    <w:p w:rsidR="007D5775" w:rsidRDefault="0037320E" w:rsidP="0037320E">
      <w:pPr>
        <w:pStyle w:val="AERnumberedlistsecondstyle"/>
      </w:pPr>
      <w:r>
        <w:t>If an alternative data service provider is proposed, w</w:t>
      </w:r>
      <w:r w:rsidR="00700CFC">
        <w:t xml:space="preserve">hat are </w:t>
      </w:r>
      <w:r w:rsidR="00B965DE">
        <w:t xml:space="preserve">the </w:t>
      </w:r>
      <w:r w:rsidR="00700CFC">
        <w:t>advantages</w:t>
      </w:r>
      <w:r>
        <w:t xml:space="preserve"> of this provider</w:t>
      </w:r>
      <w:r w:rsidR="00700CFC">
        <w:t xml:space="preserve"> relative</w:t>
      </w:r>
      <w:r>
        <w:t xml:space="preserve"> to the RBA and Bloomberg series outlined in section </w:t>
      </w:r>
      <w:r>
        <w:fldChar w:fldCharType="begin"/>
      </w:r>
      <w:r>
        <w:instrText xml:space="preserve"> REF _Ref380572580 \r \h </w:instrText>
      </w:r>
      <w:r>
        <w:fldChar w:fldCharType="separate"/>
      </w:r>
      <w:r w:rsidR="00DC75B8">
        <w:t>4</w:t>
      </w:r>
      <w:r>
        <w:fldChar w:fldCharType="end"/>
      </w:r>
      <w:r>
        <w:t>?</w:t>
      </w:r>
    </w:p>
    <w:p w:rsidR="00AB5BB8" w:rsidRDefault="007D5775" w:rsidP="00F50AF7">
      <w:pPr>
        <w:pStyle w:val="AERnumberedlistfirststyle"/>
        <w:numPr>
          <w:ilvl w:val="1"/>
          <w:numId w:val="6"/>
        </w:numPr>
      </w:pPr>
      <w:r>
        <w:t>Which series provided by</w:t>
      </w:r>
      <w:r w:rsidR="00B965DE">
        <w:t xml:space="preserve"> the RBA or</w:t>
      </w:r>
      <w:r>
        <w:t xml:space="preserve"> Bloomberg, other than those outlined in section </w:t>
      </w:r>
      <w:r>
        <w:fldChar w:fldCharType="begin"/>
      </w:r>
      <w:r>
        <w:instrText xml:space="preserve"> REF _Ref380572580 \r \h </w:instrText>
      </w:r>
      <w:r>
        <w:fldChar w:fldCharType="separate"/>
      </w:r>
      <w:r w:rsidR="00DC75B8">
        <w:t>4</w:t>
      </w:r>
      <w:r>
        <w:fldChar w:fldCharType="end"/>
      </w:r>
      <w:r>
        <w:t>, could we consider to estimate the return on debt?</w:t>
      </w:r>
    </w:p>
    <w:p w:rsidR="0037320E" w:rsidRDefault="0037320E" w:rsidP="0037320E">
      <w:pPr>
        <w:pStyle w:val="AERnumberedlistsecondstyle"/>
        <w:numPr>
          <w:ilvl w:val="2"/>
          <w:numId w:val="6"/>
        </w:numPr>
      </w:pPr>
      <w:r>
        <w:t xml:space="preserve">If an alternative data series is proposed, what are </w:t>
      </w:r>
      <w:r w:rsidR="00B965DE">
        <w:t xml:space="preserve">the </w:t>
      </w:r>
      <w:r>
        <w:t>advantages of this series relative to the RBA and Bloomberg series outlined in section </w:t>
      </w:r>
      <w:r>
        <w:fldChar w:fldCharType="begin"/>
      </w:r>
      <w:r>
        <w:instrText xml:space="preserve"> REF _Ref380572580 \r \h </w:instrText>
      </w:r>
      <w:r>
        <w:fldChar w:fldCharType="separate"/>
      </w:r>
      <w:r w:rsidR="00DC75B8">
        <w:t>4</w:t>
      </w:r>
      <w:r>
        <w:fldChar w:fldCharType="end"/>
      </w:r>
      <w:r>
        <w:t>?</w:t>
      </w:r>
    </w:p>
    <w:p w:rsidR="00DC38F2" w:rsidRPr="00CF7C49" w:rsidRDefault="00DC38F2" w:rsidP="00F50AF7">
      <w:pPr>
        <w:rPr>
          <w:rStyle w:val="AERtextbold"/>
        </w:rPr>
      </w:pPr>
      <w:r w:rsidRPr="00CF7C49">
        <w:rPr>
          <w:rStyle w:val="AERtextbold"/>
        </w:rPr>
        <w:t>Employing the Bloomberg series</w:t>
      </w:r>
    </w:p>
    <w:p w:rsidR="00CF7C49" w:rsidRDefault="00CF7C49" w:rsidP="00CF7C49">
      <w:pPr>
        <w:pStyle w:val="AERnumberedlistfirststyle"/>
      </w:pPr>
      <w:r>
        <w:t>What are the advantages and disadvantages of the</w:t>
      </w:r>
      <w:r w:rsidR="004D7DED">
        <w:t xml:space="preserve"> BVAL</w:t>
      </w:r>
      <w:r>
        <w:t xml:space="preserve"> series</w:t>
      </w:r>
      <w:r w:rsidR="00A94A52" w:rsidRPr="00A94A52">
        <w:t xml:space="preserve"> </w:t>
      </w:r>
      <w:r w:rsidR="00A94A52">
        <w:t xml:space="preserve">for </w:t>
      </w:r>
      <w:r w:rsidR="008513A7">
        <w:t>estimating the return on debt for our benchmark efficient entity</w:t>
      </w:r>
      <w:r>
        <w:t>?</w:t>
      </w:r>
    </w:p>
    <w:p w:rsidR="00F50AF7" w:rsidRPr="00CF7C49" w:rsidRDefault="00DC38F2" w:rsidP="00F50AF7">
      <w:pPr>
        <w:rPr>
          <w:rStyle w:val="AERtextbold"/>
        </w:rPr>
      </w:pPr>
      <w:r w:rsidRPr="00CF7C49">
        <w:rPr>
          <w:rStyle w:val="AERtextbold"/>
        </w:rPr>
        <w:t>Employing</w:t>
      </w:r>
      <w:r w:rsidR="00F50AF7" w:rsidRPr="00CF7C49">
        <w:rPr>
          <w:rStyle w:val="AERtextbold"/>
        </w:rPr>
        <w:t xml:space="preserve"> the RBA series</w:t>
      </w:r>
    </w:p>
    <w:p w:rsidR="00C52B3D" w:rsidRDefault="00C52B3D" w:rsidP="00C52B3D">
      <w:pPr>
        <w:pStyle w:val="AERnumberedlistfirststyle"/>
        <w:numPr>
          <w:ilvl w:val="1"/>
          <w:numId w:val="6"/>
        </w:numPr>
      </w:pPr>
      <w:r>
        <w:t xml:space="preserve">What are the advantages and disadvantages of the </w:t>
      </w:r>
      <w:r w:rsidR="004D7DED">
        <w:t xml:space="preserve">RBA </w:t>
      </w:r>
      <w:r>
        <w:t>series</w:t>
      </w:r>
      <w:r w:rsidR="00A94A52" w:rsidRPr="00A94A52">
        <w:t xml:space="preserve"> </w:t>
      </w:r>
      <w:r w:rsidR="00A94A52">
        <w:t xml:space="preserve">for </w:t>
      </w:r>
      <w:r w:rsidR="008513A7">
        <w:t>estimating the return on debt for our benchmark efficient entity</w:t>
      </w:r>
      <w:r>
        <w:t>?</w:t>
      </w:r>
    </w:p>
    <w:p w:rsidR="00F50AF7" w:rsidRPr="00661B37" w:rsidRDefault="00EE3AB2" w:rsidP="00F50AF7">
      <w:pPr>
        <w:pStyle w:val="AERnumberedlistfirststyle"/>
        <w:numPr>
          <w:ilvl w:val="1"/>
          <w:numId w:val="6"/>
        </w:numPr>
      </w:pPr>
      <w:r>
        <w:t xml:space="preserve">The RBA series currently only </w:t>
      </w:r>
      <w:r w:rsidR="00D8539C">
        <w:t>publishes data on a monthly frequency.</w:t>
      </w:r>
      <w:r>
        <w:t xml:space="preserve"> </w:t>
      </w:r>
      <w:r w:rsidR="00F50AF7" w:rsidRPr="00661B37">
        <w:t>If the RBA series is used to estimate the return on debt (and daily estimate</w:t>
      </w:r>
      <w:r w:rsidR="00DC38F2">
        <w:t>s</w:t>
      </w:r>
      <w:r w:rsidR="00F50AF7" w:rsidRPr="00661B37">
        <w:t xml:space="preserve"> remain unavailable), </w:t>
      </w:r>
      <w:r w:rsidR="00FD5D7F">
        <w:t>state and explain your view on whether we</w:t>
      </w:r>
      <w:r w:rsidR="00742ACE">
        <w:t xml:space="preserve"> </w:t>
      </w:r>
      <w:r w:rsidR="00F50AF7" w:rsidRPr="00661B37">
        <w:t>should:</w:t>
      </w:r>
    </w:p>
    <w:p w:rsidR="00F50AF7" w:rsidRPr="00661B37" w:rsidRDefault="00B965DE" w:rsidP="0037320E">
      <w:pPr>
        <w:pStyle w:val="AERnumberedlistsecondstyle"/>
      </w:pPr>
      <w:proofErr w:type="gramStart"/>
      <w:r>
        <w:t>i</w:t>
      </w:r>
      <w:r w:rsidRPr="0037320E">
        <w:t>nterpolate</w:t>
      </w:r>
      <w:proofErr w:type="gramEnd"/>
      <w:r w:rsidRPr="00661B37">
        <w:t xml:space="preserve"> </w:t>
      </w:r>
      <w:r w:rsidR="00F50AF7" w:rsidRPr="00661B37">
        <w:t>daily estimates from the RBA's month</w:t>
      </w:r>
      <w:r>
        <w:t>-</w:t>
      </w:r>
      <w:r w:rsidR="00F50AF7" w:rsidRPr="00661B37">
        <w:t>end data</w:t>
      </w:r>
      <w:r w:rsidR="00536F40">
        <w:t xml:space="preserve"> </w:t>
      </w:r>
      <w:r w:rsidR="007F156A">
        <w:t>(</w:t>
      </w:r>
      <w:r w:rsidR="008513A7">
        <w:t xml:space="preserve">as discussed in section </w:t>
      </w:r>
      <w:r w:rsidR="008513A7">
        <w:fldChar w:fldCharType="begin"/>
      </w:r>
      <w:r w:rsidR="008513A7">
        <w:instrText xml:space="preserve"> REF _Ref381106881 \r \h </w:instrText>
      </w:r>
      <w:r w:rsidR="008513A7">
        <w:fldChar w:fldCharType="separate"/>
      </w:r>
      <w:r w:rsidR="00DC75B8">
        <w:t>5.1</w:t>
      </w:r>
      <w:r w:rsidR="008513A7">
        <w:fldChar w:fldCharType="end"/>
      </w:r>
      <w:r w:rsidR="007F156A">
        <w:t>)</w:t>
      </w:r>
      <w:r w:rsidR="00F50AF7">
        <w:t>?</w:t>
      </w:r>
    </w:p>
    <w:p w:rsidR="00F50AF7" w:rsidRPr="00661B37" w:rsidRDefault="00B965DE" w:rsidP="00F50AF7">
      <w:pPr>
        <w:pStyle w:val="AERnumberedlistsecondstyle"/>
        <w:numPr>
          <w:ilvl w:val="2"/>
          <w:numId w:val="6"/>
        </w:numPr>
      </w:pPr>
      <w:proofErr w:type="gramStart"/>
      <w:r>
        <w:t>a</w:t>
      </w:r>
      <w:r w:rsidRPr="00661B37">
        <w:t>dopt</w:t>
      </w:r>
      <w:proofErr w:type="gramEnd"/>
      <w:r w:rsidRPr="00661B37">
        <w:t xml:space="preserve"> </w:t>
      </w:r>
      <w:r w:rsidR="00F50AF7" w:rsidRPr="00661B37">
        <w:t>an alternative approach for utilising the RBA series</w:t>
      </w:r>
      <w:r w:rsidR="00536F40">
        <w:t xml:space="preserve"> </w:t>
      </w:r>
      <w:r w:rsidR="007F156A">
        <w:t>(</w:t>
      </w:r>
      <w:r w:rsidR="008513A7">
        <w:t xml:space="preserve">as discussed in section </w:t>
      </w:r>
      <w:r w:rsidR="008513A7">
        <w:fldChar w:fldCharType="begin"/>
      </w:r>
      <w:r w:rsidR="008513A7">
        <w:instrText xml:space="preserve"> REF _Ref383078199 \r \h </w:instrText>
      </w:r>
      <w:r w:rsidR="008513A7">
        <w:fldChar w:fldCharType="separate"/>
      </w:r>
      <w:r w:rsidR="00DC75B8">
        <w:t>5.2</w:t>
      </w:r>
      <w:r w:rsidR="008513A7">
        <w:fldChar w:fldCharType="end"/>
      </w:r>
      <w:r w:rsidR="007F156A">
        <w:t>)</w:t>
      </w:r>
      <w:r w:rsidR="00F50AF7" w:rsidRPr="00661B37">
        <w:t>?</w:t>
      </w:r>
    </w:p>
    <w:p w:rsidR="00F50AF7" w:rsidRPr="00661B37" w:rsidRDefault="00F50AF7" w:rsidP="00F50AF7">
      <w:pPr>
        <w:pStyle w:val="AERnumberedlistfirststyle"/>
        <w:numPr>
          <w:ilvl w:val="1"/>
          <w:numId w:val="6"/>
        </w:numPr>
      </w:pPr>
      <w:r w:rsidRPr="00661B37">
        <w:t>If we interpolate daily estimates from the RBA's month</w:t>
      </w:r>
      <w:r w:rsidR="00B965DE">
        <w:t>-</w:t>
      </w:r>
      <w:r w:rsidRPr="00661B37">
        <w:t xml:space="preserve">end data, </w:t>
      </w:r>
      <w:r w:rsidR="00FD5D7F">
        <w:t xml:space="preserve">state and explain your view on whether we should </w:t>
      </w:r>
      <w:r w:rsidRPr="00661B37">
        <w:t>interpolate daily estimates:</w:t>
      </w:r>
    </w:p>
    <w:p w:rsidR="00F50AF7" w:rsidRPr="00661B37" w:rsidRDefault="00B965DE" w:rsidP="00F50AF7">
      <w:pPr>
        <w:pStyle w:val="AERnumberedlistsecondstyle"/>
        <w:numPr>
          <w:ilvl w:val="2"/>
          <w:numId w:val="6"/>
        </w:numPr>
      </w:pPr>
      <w:proofErr w:type="gramStart"/>
      <w:r>
        <w:t>u</w:t>
      </w:r>
      <w:r w:rsidRPr="00661B37">
        <w:t>sing</w:t>
      </w:r>
      <w:proofErr w:type="gramEnd"/>
      <w:r w:rsidRPr="00661B37">
        <w:t xml:space="preserve"> </w:t>
      </w:r>
      <w:r w:rsidR="007F156A">
        <w:t xml:space="preserve">the total yield, or the spread </w:t>
      </w:r>
      <w:r w:rsidR="00F50AF7" w:rsidRPr="00661B37">
        <w:t xml:space="preserve">to either </w:t>
      </w:r>
      <w:r w:rsidR="00D8539C">
        <w:t>Commonwealth Government Securities (</w:t>
      </w:r>
      <w:r w:rsidR="00F50AF7" w:rsidRPr="00661B37">
        <w:t>CGS</w:t>
      </w:r>
      <w:r w:rsidR="00D8539C">
        <w:t>)</w:t>
      </w:r>
      <w:r w:rsidR="00F50AF7" w:rsidRPr="00661B37">
        <w:t xml:space="preserve"> or the bank bill swap rate</w:t>
      </w:r>
      <w:r w:rsidR="00536F40">
        <w:t xml:space="preserve"> </w:t>
      </w:r>
      <w:r w:rsidR="007F156A">
        <w:t>(</w:t>
      </w:r>
      <w:r w:rsidR="00536F40">
        <w:t>as discussed in section </w:t>
      </w:r>
      <w:r w:rsidR="00536F40">
        <w:fldChar w:fldCharType="begin"/>
      </w:r>
      <w:r w:rsidR="00536F40">
        <w:instrText xml:space="preserve"> REF _Ref383086084 \r \h </w:instrText>
      </w:r>
      <w:r w:rsidR="00536F40">
        <w:fldChar w:fldCharType="separate"/>
      </w:r>
      <w:r w:rsidR="00DC75B8">
        <w:t>5.1.1</w:t>
      </w:r>
      <w:r w:rsidR="00536F40">
        <w:fldChar w:fldCharType="end"/>
      </w:r>
      <w:r w:rsidR="007F156A">
        <w:t>)</w:t>
      </w:r>
      <w:r w:rsidR="00F50AF7">
        <w:t>?</w:t>
      </w:r>
    </w:p>
    <w:p w:rsidR="00F50AF7" w:rsidRPr="00661B37" w:rsidRDefault="00B965DE" w:rsidP="00F50AF7">
      <w:pPr>
        <w:pStyle w:val="AERnumberedlistsecondstyle"/>
        <w:numPr>
          <w:ilvl w:val="2"/>
          <w:numId w:val="6"/>
        </w:numPr>
      </w:pPr>
      <w:proofErr w:type="gramStart"/>
      <w:r>
        <w:t>u</w:t>
      </w:r>
      <w:r w:rsidRPr="00661B37">
        <w:t>sing</w:t>
      </w:r>
      <w:proofErr w:type="gramEnd"/>
      <w:r w:rsidRPr="00661B37">
        <w:t xml:space="preserve"> </w:t>
      </w:r>
      <w:r w:rsidR="00F50AF7" w:rsidRPr="00661B37">
        <w:t xml:space="preserve">the number of business days or </w:t>
      </w:r>
      <w:r w:rsidR="00FD5D7F">
        <w:t>calendar</w:t>
      </w:r>
      <w:r w:rsidR="00FD5D7F" w:rsidRPr="00661B37">
        <w:t xml:space="preserve"> </w:t>
      </w:r>
      <w:r w:rsidR="00F50AF7" w:rsidRPr="00661B37">
        <w:t>days between corresponding month</w:t>
      </w:r>
      <w:r>
        <w:t>-</w:t>
      </w:r>
      <w:r w:rsidR="00F50AF7" w:rsidRPr="00661B37">
        <w:t>end estimates</w:t>
      </w:r>
      <w:r w:rsidR="007F156A">
        <w:t xml:space="preserve"> (</w:t>
      </w:r>
      <w:r w:rsidR="00536F40">
        <w:t>as discussed in section </w:t>
      </w:r>
      <w:r w:rsidR="00536F40">
        <w:fldChar w:fldCharType="begin"/>
      </w:r>
      <w:r w:rsidR="00536F40">
        <w:instrText xml:space="preserve"> REF _Ref383086098 \r \h </w:instrText>
      </w:r>
      <w:r w:rsidR="00536F40">
        <w:fldChar w:fldCharType="separate"/>
      </w:r>
      <w:r w:rsidR="00DC75B8">
        <w:t>5.1.2</w:t>
      </w:r>
      <w:r w:rsidR="00536F40">
        <w:fldChar w:fldCharType="end"/>
      </w:r>
      <w:r w:rsidR="007F156A">
        <w:t>)</w:t>
      </w:r>
      <w:r w:rsidR="00F50AF7">
        <w:t>?</w:t>
      </w:r>
    </w:p>
    <w:p w:rsidR="00F50AF7" w:rsidRPr="00661B37" w:rsidRDefault="00B965DE" w:rsidP="00F50AF7">
      <w:pPr>
        <w:pStyle w:val="AERnumberedlistsecondstyle"/>
        <w:numPr>
          <w:ilvl w:val="2"/>
          <w:numId w:val="6"/>
        </w:numPr>
      </w:pPr>
      <w:r>
        <w:t>u</w:t>
      </w:r>
      <w:r w:rsidR="00F50AF7" w:rsidRPr="00661B37">
        <w:t>sing some other technique</w:t>
      </w:r>
      <w:r w:rsidR="009A2D67">
        <w:t xml:space="preserve"> (for example, non–linear interpolation)</w:t>
      </w:r>
      <w:r w:rsidR="00F50AF7" w:rsidRPr="00661B37">
        <w:t>?</w:t>
      </w:r>
    </w:p>
    <w:p w:rsidR="000D51A1" w:rsidRDefault="009A2D67" w:rsidP="00F50AF7">
      <w:pPr>
        <w:pStyle w:val="AERnumberedlistfirststyle"/>
        <w:numPr>
          <w:ilvl w:val="1"/>
          <w:numId w:val="6"/>
        </w:numPr>
      </w:pPr>
      <w:r>
        <w:lastRenderedPageBreak/>
        <w:t xml:space="preserve">In our rate of return guideline we proposed to estimate the return on debt </w:t>
      </w:r>
      <w:r w:rsidRPr="00DD282D">
        <w:t>observed over a</w:t>
      </w:r>
      <w:r>
        <w:t>n averaging</w:t>
      </w:r>
      <w:r w:rsidRPr="00DD282D">
        <w:t xml:space="preserve"> period of 10 or more consecutive business days</w:t>
      </w:r>
      <w:r>
        <w:t>.</w:t>
      </w:r>
    </w:p>
    <w:p w:rsidR="00F50AF7" w:rsidRPr="00E45610" w:rsidRDefault="00032546" w:rsidP="000D51A1">
      <w:pPr>
        <w:pStyle w:val="AERnumberedlistfirststyle"/>
        <w:numPr>
          <w:ilvl w:val="0"/>
          <w:numId w:val="0"/>
        </w:numPr>
        <w:ind w:left="357"/>
      </w:pPr>
      <w:r>
        <w:t>As discussed in section </w:t>
      </w:r>
      <w:r>
        <w:fldChar w:fldCharType="begin"/>
      </w:r>
      <w:r>
        <w:instrText xml:space="preserve"> REF _Ref383078199 \r \h </w:instrText>
      </w:r>
      <w:r>
        <w:fldChar w:fldCharType="separate"/>
      </w:r>
      <w:r w:rsidR="00DC75B8">
        <w:t>5.2</w:t>
      </w:r>
      <w:r>
        <w:fldChar w:fldCharType="end"/>
      </w:r>
      <w:r>
        <w:t>, i</w:t>
      </w:r>
      <w:r w:rsidR="00F50AF7" w:rsidRPr="00661B37">
        <w:t>f we accept the use of the RBA's month</w:t>
      </w:r>
      <w:r w:rsidR="00B965DE">
        <w:t>-</w:t>
      </w:r>
      <w:r w:rsidR="00F50AF7" w:rsidRPr="00661B37">
        <w:t xml:space="preserve">end data, </w:t>
      </w:r>
      <w:r w:rsidR="004D7DED">
        <w:t xml:space="preserve">what restrictions (if any) </w:t>
      </w:r>
      <w:r w:rsidR="00F50AF7" w:rsidRPr="00661B37">
        <w:t xml:space="preserve">should we </w:t>
      </w:r>
      <w:r w:rsidR="009332CD">
        <w:t xml:space="preserve">impose </w:t>
      </w:r>
      <w:r w:rsidR="004D7DED">
        <w:t>on the</w:t>
      </w:r>
      <w:r w:rsidR="00F50AF7" w:rsidRPr="00661B37">
        <w:t xml:space="preserve"> number of data points</w:t>
      </w:r>
      <w:r>
        <w:t xml:space="preserve"> used</w:t>
      </w:r>
      <w:r w:rsidR="00F50AF7" w:rsidRPr="00661B37">
        <w:t>?</w:t>
      </w:r>
    </w:p>
    <w:p w:rsidR="00F12878" w:rsidRPr="00157AAD" w:rsidRDefault="00D8539C" w:rsidP="003D00D5">
      <w:pPr>
        <w:pStyle w:val="Heading1"/>
      </w:pPr>
      <w:bookmarkStart w:id="7" w:name="_Toc381191458"/>
      <w:bookmarkStart w:id="8" w:name="_Toc381197453"/>
      <w:bookmarkStart w:id="9" w:name="_Toc381275534"/>
      <w:bookmarkStart w:id="10" w:name="_Toc381275553"/>
      <w:bookmarkStart w:id="11" w:name="_Toc381347545"/>
      <w:bookmarkStart w:id="12" w:name="_Toc381370968"/>
      <w:bookmarkStart w:id="13" w:name="_Toc381370987"/>
      <w:bookmarkStart w:id="14" w:name="_Toc381191459"/>
      <w:bookmarkStart w:id="15" w:name="_Toc381197454"/>
      <w:bookmarkStart w:id="16" w:name="_Toc381275535"/>
      <w:bookmarkStart w:id="17" w:name="_Toc381275554"/>
      <w:bookmarkStart w:id="18" w:name="_Toc381347546"/>
      <w:bookmarkStart w:id="19" w:name="_Toc381370969"/>
      <w:bookmarkStart w:id="20" w:name="_Toc381370988"/>
      <w:bookmarkStart w:id="21" w:name="_Toc381191460"/>
      <w:bookmarkStart w:id="22" w:name="_Toc381197455"/>
      <w:bookmarkStart w:id="23" w:name="_Toc381275536"/>
      <w:bookmarkStart w:id="24" w:name="_Toc381275555"/>
      <w:bookmarkStart w:id="25" w:name="_Toc381347547"/>
      <w:bookmarkStart w:id="26" w:name="_Toc381370970"/>
      <w:bookmarkStart w:id="27" w:name="_Toc381370989"/>
      <w:bookmarkStart w:id="28" w:name="_Toc380587558"/>
      <w:bookmarkStart w:id="29" w:name="_Toc380593447"/>
      <w:bookmarkStart w:id="30" w:name="_Toc380593487"/>
      <w:bookmarkStart w:id="31" w:name="_Toc380587561"/>
      <w:bookmarkStart w:id="32" w:name="_Toc380593450"/>
      <w:bookmarkStart w:id="33" w:name="_Toc380593490"/>
      <w:bookmarkStart w:id="34" w:name="_Toc380587564"/>
      <w:bookmarkStart w:id="35" w:name="_Toc380593453"/>
      <w:bookmarkStart w:id="36" w:name="_Toc380593493"/>
      <w:bookmarkStart w:id="37" w:name="_Toc38378021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lastRenderedPageBreak/>
        <w:t>Summary of p</w:t>
      </w:r>
      <w:r w:rsidR="00665A7F">
        <w:t>roposed a</w:t>
      </w:r>
      <w:r w:rsidR="00F12878" w:rsidRPr="00157AAD">
        <w:t>pproach to estimating the return on debt</w:t>
      </w:r>
      <w:bookmarkEnd w:id="37"/>
    </w:p>
    <w:p w:rsidR="00A764B9" w:rsidRDefault="00A764B9" w:rsidP="00A764B9">
      <w:pPr>
        <w:pStyle w:val="AERbodytext"/>
        <w:numPr>
          <w:ilvl w:val="0"/>
          <w:numId w:val="6"/>
        </w:numPr>
      </w:pPr>
      <w:r>
        <w:t xml:space="preserve">In our rate of return guideline, we proposed to estimate the </w:t>
      </w:r>
      <w:r w:rsidR="009332CD">
        <w:t>allowed return on</w:t>
      </w:r>
      <w:r>
        <w:t xml:space="preserve"> debt </w:t>
      </w:r>
      <w:r w:rsidR="009332CD">
        <w:t xml:space="preserve">using published yields from an independent third party service provider and using the proposed </w:t>
      </w:r>
      <w:r w:rsidR="00DC5365">
        <w:t xml:space="preserve">debt term </w:t>
      </w:r>
      <w:r w:rsidR="009332CD">
        <w:t>and credit rating</w:t>
      </w:r>
      <w:r w:rsidR="000D2A17">
        <w:t xml:space="preserve"> for a benchmark efficient entity</w:t>
      </w:r>
      <w:r>
        <w:t>.</w:t>
      </w:r>
      <w:r w:rsidR="00EA29CC">
        <w:rPr>
          <w:rStyle w:val="FootnoteReference"/>
        </w:rPr>
        <w:footnoteReference w:id="4"/>
      </w:r>
      <w:r>
        <w:t xml:space="preserve"> </w:t>
      </w:r>
      <w:r w:rsidR="007C5B22">
        <w:t>We consider</w:t>
      </w:r>
      <w:r w:rsidR="00A10226">
        <w:t>ed</w:t>
      </w:r>
      <w:r w:rsidR="007C5B22">
        <w:t xml:space="preserve"> </w:t>
      </w:r>
      <w:r w:rsidR="00495872">
        <w:t>that our proposed trailing averag</w:t>
      </w:r>
      <w:r w:rsidR="00EC39D4">
        <w:t>e portfolio approach to estimating</w:t>
      </w:r>
      <w:r w:rsidR="00495872">
        <w:t xml:space="preserve"> the allowed return on debt </w:t>
      </w:r>
      <w:r w:rsidR="00255D56">
        <w:t>would</w:t>
      </w:r>
      <w:r w:rsidR="007C5B22">
        <w:t xml:space="preserve"> contribute to the achievement of the </w:t>
      </w:r>
      <w:r w:rsidR="009332CD">
        <w:t xml:space="preserve">allowed </w:t>
      </w:r>
      <w:r w:rsidR="007C5B22">
        <w:t>rate of return objective</w:t>
      </w:r>
      <w:r w:rsidR="00495872">
        <w:t>.</w:t>
      </w:r>
      <w:r w:rsidR="00495872">
        <w:rPr>
          <w:rStyle w:val="FootnoteReference"/>
        </w:rPr>
        <w:footnoteReference w:id="5"/>
      </w:r>
      <w:r w:rsidR="00495872">
        <w:t xml:space="preserve"> Further, our proposed approach recognises the desirability of minimising </w:t>
      </w:r>
      <w:r w:rsidR="007C5B22">
        <w:t>the difference between the allowed return on debt and the return on debt of a benchmark efficient entity.</w:t>
      </w:r>
      <w:r w:rsidR="007C5B22">
        <w:rPr>
          <w:rStyle w:val="FootnoteReference"/>
        </w:rPr>
        <w:footnoteReference w:id="6"/>
      </w:r>
    </w:p>
    <w:p w:rsidR="009D340C" w:rsidRPr="009D340C" w:rsidRDefault="00870BA7" w:rsidP="009D340C">
      <w:pPr>
        <w:pStyle w:val="AERbodytext"/>
        <w:numPr>
          <w:ilvl w:val="0"/>
          <w:numId w:val="6"/>
        </w:numPr>
      </w:pPr>
      <w:r>
        <w:t>In our guideline</w:t>
      </w:r>
      <w:r w:rsidR="009D340C">
        <w:rPr>
          <w:rStyle w:val="FootnoteReference"/>
        </w:rPr>
        <w:footnoteReference w:id="7"/>
      </w:r>
      <w:r>
        <w:t xml:space="preserve"> we explained that </w:t>
      </w:r>
      <w:r w:rsidRPr="00870BA7">
        <w:t>the allowed rate of return objective</w:t>
      </w:r>
      <w:r w:rsidR="009D340C" w:rsidRPr="009D340C">
        <w:t xml:space="preserve"> requires that the AER set a rate of return which reflects the efficient financing costs of a benchmark efficient entity. The benchmark efficient entity is to be subject to a similar degree of risk in providing regulated services as the service provider which is subject to the determination. </w:t>
      </w:r>
    </w:p>
    <w:p w:rsidR="009D340C" w:rsidRPr="009D340C" w:rsidRDefault="009D340C" w:rsidP="009D340C">
      <w:pPr>
        <w:pStyle w:val="AERbodytext"/>
        <w:numPr>
          <w:ilvl w:val="0"/>
          <w:numId w:val="6"/>
        </w:numPr>
      </w:pPr>
      <w:r w:rsidRPr="009D340C">
        <w:t xml:space="preserve">Together with the other building block components, the estimate of the overall rate of return is to be set such that: </w:t>
      </w:r>
    </w:p>
    <w:p w:rsidR="009D340C" w:rsidRPr="009D340C" w:rsidRDefault="009D340C" w:rsidP="009D340C">
      <w:pPr>
        <w:pStyle w:val="AERbulletlistfirststyle"/>
      </w:pPr>
      <w:r w:rsidRPr="009D340C">
        <w:t>it promotes efficient investment in, and efficient operation and use of, electricity and natural gas services for the long term interests of consumers</w:t>
      </w:r>
      <w:r w:rsidRPr="009D340C">
        <w:rPr>
          <w:rStyle w:val="FootnoteReference"/>
        </w:rPr>
        <w:footnoteReference w:id="8"/>
      </w:r>
    </w:p>
    <w:p w:rsidR="009D340C" w:rsidRPr="009D340C" w:rsidRDefault="009D340C" w:rsidP="009D340C">
      <w:pPr>
        <w:pStyle w:val="AERbulletlistfirststyle"/>
      </w:pPr>
      <w:r w:rsidRPr="009D340C">
        <w:t>a regulated network service provider should be provided with a reasonable opportunity to recover at least the efficient costs the operator incurs in providing regulated services and complying with its regulatory obligations.</w:t>
      </w:r>
      <w:r w:rsidRPr="009D340C">
        <w:rPr>
          <w:rStyle w:val="FootnoteReference"/>
        </w:rPr>
        <w:footnoteReference w:id="9"/>
      </w:r>
    </w:p>
    <w:p w:rsidR="00A764B9" w:rsidRDefault="00A764B9" w:rsidP="00A764B9">
      <w:pPr>
        <w:pStyle w:val="AERbodytext"/>
        <w:numPr>
          <w:ilvl w:val="0"/>
          <w:numId w:val="6"/>
        </w:numPr>
      </w:pPr>
      <w:r>
        <w:t xml:space="preserve">In our guideline, we proposed </w:t>
      </w:r>
      <w:r w:rsidR="00EA29CC">
        <w:t>the following</w:t>
      </w:r>
      <w:r>
        <w:t>:</w:t>
      </w:r>
    </w:p>
    <w:p w:rsidR="00EA29CC" w:rsidRDefault="00A10226" w:rsidP="00EA29CC">
      <w:pPr>
        <w:pStyle w:val="AERbulletlistfirststyle"/>
      </w:pPr>
      <w:r>
        <w:t>A</w:t>
      </w:r>
      <w:r w:rsidR="00EA29CC">
        <w:t xml:space="preserve">pply </w:t>
      </w:r>
      <w:r w:rsidR="00A764B9">
        <w:t>a trailing average portfolio approach to</w:t>
      </w:r>
      <w:r w:rsidR="009332CD">
        <w:t xml:space="preserve"> estimate the allowed return on debt</w:t>
      </w:r>
      <w:r>
        <w:t>.</w:t>
      </w:r>
    </w:p>
    <w:p w:rsidR="00EA29CC" w:rsidRDefault="00A10226" w:rsidP="00EA29CC">
      <w:pPr>
        <w:pStyle w:val="AERbulletlistfirststyle"/>
      </w:pPr>
      <w:r>
        <w:t>U</w:t>
      </w:r>
      <w:r w:rsidR="00A764B9">
        <w:t>pdate the return on debt annually</w:t>
      </w:r>
      <w:r w:rsidR="00EA29CC">
        <w:t>,</w:t>
      </w:r>
      <w:r w:rsidR="00A764B9">
        <w:t xml:space="preserve"> </w:t>
      </w:r>
      <w:r w:rsidR="00EA29CC">
        <w:t>using</w:t>
      </w:r>
      <w:r w:rsidR="00A764B9">
        <w:t xml:space="preserve"> equal weights to each contributing element of the trailing average</w:t>
      </w:r>
      <w:r>
        <w:t>.</w:t>
      </w:r>
    </w:p>
    <w:p w:rsidR="00EA29CC" w:rsidRDefault="00A10226" w:rsidP="00EA29CC">
      <w:pPr>
        <w:pStyle w:val="AERbulletlistfirststyle"/>
      </w:pPr>
      <w:r>
        <w:t>I</w:t>
      </w:r>
      <w:r w:rsidR="00A764B9">
        <w:t xml:space="preserve">mplement transitional arrangements to </w:t>
      </w:r>
      <w:r w:rsidR="009332CD">
        <w:t xml:space="preserve">apply </w:t>
      </w:r>
      <w:r w:rsidR="00A764B9">
        <w:t>the new trail</w:t>
      </w:r>
      <w:r w:rsidR="00EA29CC">
        <w:t>ing average portfolio approach.</w:t>
      </w:r>
    </w:p>
    <w:p w:rsidR="00A764B9" w:rsidRDefault="00A764B9" w:rsidP="00A764B9">
      <w:pPr>
        <w:pStyle w:val="AERbodytext"/>
        <w:numPr>
          <w:ilvl w:val="0"/>
          <w:numId w:val="6"/>
        </w:numPr>
      </w:pPr>
      <w:r>
        <w:t xml:space="preserve">Each of these proposals are </w:t>
      </w:r>
      <w:r w:rsidR="00A10226">
        <w:t>summarised</w:t>
      </w:r>
      <w:r>
        <w:t xml:space="preserve"> below.</w:t>
      </w:r>
    </w:p>
    <w:p w:rsidR="00E50CC9" w:rsidRPr="00E363C3" w:rsidRDefault="00A10226" w:rsidP="00AD57CB">
      <w:pPr>
        <w:pStyle w:val="Heading2"/>
      </w:pPr>
      <w:bookmarkStart w:id="38" w:name="_Toc381883199"/>
      <w:bookmarkStart w:id="39" w:name="_Toc381883237"/>
      <w:bookmarkStart w:id="40" w:name="_Toc381964564"/>
      <w:bookmarkStart w:id="41" w:name="_Toc383780216"/>
      <w:bookmarkEnd w:id="38"/>
      <w:bookmarkEnd w:id="39"/>
      <w:bookmarkEnd w:id="40"/>
      <w:r>
        <w:t>Characteristics of the benchmark efficient entity</w:t>
      </w:r>
      <w:bookmarkEnd w:id="41"/>
    </w:p>
    <w:p w:rsidR="009D340C" w:rsidRPr="009D340C" w:rsidRDefault="009D340C" w:rsidP="009D340C">
      <w:pPr>
        <w:pStyle w:val="AERbodytext"/>
        <w:numPr>
          <w:ilvl w:val="0"/>
          <w:numId w:val="6"/>
        </w:numPr>
      </w:pPr>
      <w:r>
        <w:t xml:space="preserve">The benchmark efficient entity, as we proposed in our guideline, is </w:t>
      </w:r>
      <w:r w:rsidRPr="009D340C">
        <w:t xml:space="preserve">a ‘pure play’, regulated energy network business operating within Australia. We maintain our view that the risks faced by gas and electricity businesses are sufficiently similar to warrant only one benchmark across all businesses. We do not consider that a separate benchmark for electricity or gas businesses is warranted based on the evidence before us. We note that the empirical evidence before us does not show any material difference between the results for gas and electricity businesses. We also consider that the regulatory framework mitigates the risk exposure of the regulated businesses. Furthermore, the similar </w:t>
      </w:r>
      <w:r w:rsidRPr="009D340C">
        <w:lastRenderedPageBreak/>
        <w:t>framework applying between gas and electricity reduces potential divergences between the two sectors.</w:t>
      </w:r>
      <w:r>
        <w:rPr>
          <w:rStyle w:val="FootnoteReference"/>
        </w:rPr>
        <w:footnoteReference w:id="10"/>
      </w:r>
    </w:p>
    <w:p w:rsidR="00E50CC9" w:rsidRDefault="00E50CC9" w:rsidP="00E50CC9">
      <w:pPr>
        <w:pStyle w:val="AERbodytext"/>
        <w:numPr>
          <w:ilvl w:val="0"/>
          <w:numId w:val="6"/>
        </w:numPr>
      </w:pPr>
      <w:r>
        <w:t xml:space="preserve">To calculate the allowed return on debt for the benchmark efficient entity, we </w:t>
      </w:r>
      <w:r w:rsidR="008E7129">
        <w:t xml:space="preserve">proposed in our guideline to </w:t>
      </w:r>
      <w:r>
        <w:t>specify a benchmark debt term. The benchmark debt term:</w:t>
      </w:r>
    </w:p>
    <w:p w:rsidR="00E50CC9" w:rsidRDefault="00E50CC9" w:rsidP="00E50CC9">
      <w:pPr>
        <w:pStyle w:val="AERbulletlistfirststyle"/>
      </w:pPr>
      <w:r>
        <w:t>establishes the period over which the trailing average is calculated</w:t>
      </w:r>
    </w:p>
    <w:p w:rsidR="00E50CC9" w:rsidRDefault="00E50CC9" w:rsidP="00E50CC9">
      <w:pPr>
        <w:pStyle w:val="AERbulletlistfirststyle"/>
      </w:pPr>
      <w:r>
        <w:t xml:space="preserve">determines the period </w:t>
      </w:r>
      <w:r w:rsidR="00CF7C49">
        <w:t>for moving</w:t>
      </w:r>
      <w:r w:rsidR="00503A1B">
        <w:t xml:space="preserve"> </w:t>
      </w:r>
      <w:r w:rsidR="00CF7C49">
        <w:t>to a</w:t>
      </w:r>
      <w:r>
        <w:t xml:space="preserve"> trailing average</w:t>
      </w:r>
    </w:p>
    <w:p w:rsidR="00E50CC9" w:rsidRDefault="00E50CC9" w:rsidP="00E50CC9">
      <w:pPr>
        <w:pStyle w:val="AERbulletlistfirststyle"/>
      </w:pPr>
      <w:r>
        <w:t xml:space="preserve">is an input to obtaining yields to estimate the return on debt. </w:t>
      </w:r>
    </w:p>
    <w:p w:rsidR="00E50CC9" w:rsidRDefault="00E50CC9" w:rsidP="00E50CC9">
      <w:pPr>
        <w:pStyle w:val="AERbodytext"/>
        <w:numPr>
          <w:ilvl w:val="0"/>
          <w:numId w:val="6"/>
        </w:numPr>
      </w:pPr>
      <w:r>
        <w:t xml:space="preserve">We propose to use a 10 year average debt term for the benchmark debt portfolio. </w:t>
      </w:r>
      <w:r w:rsidR="009A2D67">
        <w:t>In developing our rate of return guideline, w</w:t>
      </w:r>
      <w:r>
        <w:t xml:space="preserve">e observed that the weighted average debt portfolio term at issuance for </w:t>
      </w:r>
      <w:r w:rsidR="0036157F">
        <w:t>Australian regulated energy businesses</w:t>
      </w:r>
      <w:r>
        <w:t xml:space="preserve"> was 8.7 years.</w:t>
      </w:r>
      <w:r>
        <w:rPr>
          <w:rStyle w:val="FootnoteReference"/>
        </w:rPr>
        <w:footnoteReference w:id="11"/>
      </w:r>
      <w:r>
        <w:t xml:space="preserve"> </w:t>
      </w:r>
    </w:p>
    <w:p w:rsidR="00A10226" w:rsidRDefault="00A10226" w:rsidP="00A10226">
      <w:pPr>
        <w:pStyle w:val="AERbodytext"/>
        <w:numPr>
          <w:ilvl w:val="0"/>
          <w:numId w:val="6"/>
        </w:numPr>
      </w:pPr>
      <w:r>
        <w:t xml:space="preserve">We also proposed to estimate the return on debt using </w:t>
      </w:r>
      <w:r w:rsidRPr="00A10226">
        <w:t>a credit rating of BBB+ from Standard and Poor's</w:t>
      </w:r>
      <w:r>
        <w:t>,</w:t>
      </w:r>
      <w:r w:rsidRPr="00A10226">
        <w:t xml:space="preserve"> or the equivalent rating from other recognised rating agencies. </w:t>
      </w:r>
      <w:r w:rsidR="00E37CB7">
        <w:t>However, i</w:t>
      </w:r>
      <w:r w:rsidRPr="00A10226">
        <w:t xml:space="preserve">f published yields </w:t>
      </w:r>
      <w:r w:rsidR="005706BE">
        <w:t>that match</w:t>
      </w:r>
      <w:r w:rsidR="005706BE" w:rsidRPr="00A10226">
        <w:t xml:space="preserve"> </w:t>
      </w:r>
      <w:r w:rsidRPr="00A10226">
        <w:t xml:space="preserve">the </w:t>
      </w:r>
      <w:r w:rsidR="005706BE">
        <w:t>benchmark</w:t>
      </w:r>
      <w:r w:rsidR="005706BE" w:rsidRPr="00A10226">
        <w:t xml:space="preserve"> </w:t>
      </w:r>
      <w:r w:rsidRPr="00A10226">
        <w:t>credit rating of BBB+ or the equivalent from rating agencies</w:t>
      </w:r>
      <w:r w:rsidR="005706BE">
        <w:t xml:space="preserve"> are not available</w:t>
      </w:r>
      <w:r w:rsidRPr="00A10226">
        <w:t xml:space="preserve">, </w:t>
      </w:r>
      <w:r w:rsidR="00E37CB7">
        <w:t xml:space="preserve">we proposed to </w:t>
      </w:r>
      <w:r w:rsidRPr="00A10226">
        <w:t>apply the published yields that are the closest approximation of the BBB+ credit rating</w:t>
      </w:r>
      <w:r w:rsidR="00E37CB7">
        <w:t>.</w:t>
      </w:r>
    </w:p>
    <w:p w:rsidR="00E03572" w:rsidRPr="00E363C3" w:rsidRDefault="00E03572" w:rsidP="00AD57CB">
      <w:pPr>
        <w:pStyle w:val="Heading2"/>
      </w:pPr>
      <w:bookmarkStart w:id="42" w:name="_Toc383780217"/>
      <w:r w:rsidRPr="00E363C3">
        <w:t>The trailing average portfolio approach</w:t>
      </w:r>
      <w:bookmarkEnd w:id="42"/>
    </w:p>
    <w:p w:rsidR="00E33942" w:rsidRDefault="008E7129" w:rsidP="008E7129">
      <w:pPr>
        <w:pStyle w:val="AERbodytext"/>
        <w:numPr>
          <w:ilvl w:val="0"/>
          <w:numId w:val="6"/>
        </w:numPr>
      </w:pPr>
      <w:r>
        <w:t>The approach outlined in our guideline for implementing the trailing average estimates the average return that would have been required by debt investors in a benchmark efficient entity if it raised debt over a historical period prior to the commencement of a regulatory year. This</w:t>
      </w:r>
      <w:r w:rsidR="00E33942">
        <w:t xml:space="preserve"> approach calculates the return on debt as a </w:t>
      </w:r>
      <w:r w:rsidR="009332CD">
        <w:t xml:space="preserve">simple </w:t>
      </w:r>
      <w:r w:rsidR="00E33942">
        <w:t>average of the total return on debt over a defined period up to the start of the regulatory control period (or regulatory year).</w:t>
      </w:r>
      <w:r w:rsidR="00E33942">
        <w:rPr>
          <w:rStyle w:val="FootnoteReference"/>
        </w:rPr>
        <w:footnoteReference w:id="12"/>
      </w:r>
      <w:r w:rsidR="00E33942">
        <w:t xml:space="preserve"> </w:t>
      </w:r>
      <w:r w:rsidR="00F96064">
        <w:t>T</w:t>
      </w:r>
      <w:r w:rsidR="00E33942">
        <w:t xml:space="preserve">he relevant period </w:t>
      </w:r>
      <w:r w:rsidR="00F96064">
        <w:t xml:space="preserve">used </w:t>
      </w:r>
      <w:r w:rsidR="00E33942">
        <w:t xml:space="preserve">to calculate the return on debt </w:t>
      </w:r>
      <w:r w:rsidR="00F96064">
        <w:t>is</w:t>
      </w:r>
      <w:r w:rsidR="00E33942">
        <w:t xml:space="preserve"> 10 years.</w:t>
      </w:r>
      <w:r w:rsidR="00E33942">
        <w:rPr>
          <w:rStyle w:val="FootnoteReference"/>
        </w:rPr>
        <w:footnoteReference w:id="13"/>
      </w:r>
      <w:r w:rsidR="006556F3">
        <w:t xml:space="preserve"> We also considered that annual updating of the return on debt would improve the match between the expected return on debt</w:t>
      </w:r>
      <w:r w:rsidR="00241B2D">
        <w:t xml:space="preserve"> </w:t>
      </w:r>
      <w:r w:rsidR="009332CD">
        <w:t>of the benchmark efficient entity</w:t>
      </w:r>
      <w:r w:rsidR="00241B2D">
        <w:t xml:space="preserve"> (that is, its debt payments) </w:t>
      </w:r>
      <w:r w:rsidR="006556F3">
        <w:t xml:space="preserve">and the </w:t>
      </w:r>
      <w:r w:rsidR="008124D3">
        <w:t xml:space="preserve">allowed </w:t>
      </w:r>
      <w:r w:rsidR="006556F3">
        <w:t>return on debt</w:t>
      </w:r>
      <w:r w:rsidR="00241B2D">
        <w:t xml:space="preserve"> (that is, its regulatory return on debt)</w:t>
      </w:r>
      <w:r w:rsidR="008124D3">
        <w:t>.</w:t>
      </w:r>
      <w:r w:rsidR="00B021C2">
        <w:rPr>
          <w:rStyle w:val="FootnoteReference"/>
        </w:rPr>
        <w:footnoteReference w:id="14"/>
      </w:r>
      <w:r w:rsidR="006556F3">
        <w:t xml:space="preserve"> </w:t>
      </w:r>
    </w:p>
    <w:p w:rsidR="00D35D5C" w:rsidRDefault="00037EF1" w:rsidP="00E03572">
      <w:pPr>
        <w:pStyle w:val="AERbodytext"/>
      </w:pPr>
      <w:r>
        <w:t>We consider</w:t>
      </w:r>
      <w:r w:rsidR="006556F3">
        <w:t>ed</w:t>
      </w:r>
      <w:r>
        <w:t xml:space="preserve"> that the trailing average </w:t>
      </w:r>
      <w:r w:rsidR="00F444C7">
        <w:t xml:space="preserve">portfolio approach reflects </w:t>
      </w:r>
      <w:r w:rsidR="00C8212F">
        <w:t>an</w:t>
      </w:r>
      <w:r>
        <w:t xml:space="preserve"> efficient financing practice of </w:t>
      </w:r>
      <w:r w:rsidR="00C8212F">
        <w:t>a</w:t>
      </w:r>
      <w:r>
        <w:t xml:space="preserve"> benchmark efficient entity. This is because </w:t>
      </w:r>
      <w:r w:rsidR="00C8212F">
        <w:t>a</w:t>
      </w:r>
      <w:r>
        <w:t xml:space="preserve"> benchmark efficient entity </w:t>
      </w:r>
      <w:r w:rsidR="00C8212F">
        <w:t>may</w:t>
      </w:r>
      <w:r>
        <w:t xml:space="preserve"> hold a debt portfolio with staggered maturity dates to manage interest rate risk while limiting exposure to refinancing risk.</w:t>
      </w:r>
      <w:r w:rsidR="00F444C7">
        <w:rPr>
          <w:rStyle w:val="FootnoteReference"/>
        </w:rPr>
        <w:footnoteReference w:id="15"/>
      </w:r>
      <w:r>
        <w:t xml:space="preserve"> </w:t>
      </w:r>
      <w:r w:rsidR="006556F3">
        <w:t xml:space="preserve">Given this, the benchmark efficient entity's expected return on debt for a regulatory year </w:t>
      </w:r>
      <w:r w:rsidR="00C8212F">
        <w:t>could</w:t>
      </w:r>
      <w:r w:rsidR="006556F3">
        <w:t xml:space="preserve"> be calculated as the weighted average return on debt for debt issued prior to that regulatory year.</w:t>
      </w:r>
    </w:p>
    <w:p w:rsidR="00E33942" w:rsidRDefault="00D35D5C" w:rsidP="00D35D5C">
      <w:pPr>
        <w:pStyle w:val="AERbodytext"/>
        <w:numPr>
          <w:ilvl w:val="0"/>
          <w:numId w:val="6"/>
        </w:numPr>
      </w:pPr>
      <w:r>
        <w:t xml:space="preserve">We also proposed in our guideline to gradually introduce the trailing average portfolio approach, while phasing out the current 'on the day' approach. </w:t>
      </w:r>
      <w:r w:rsidRPr="00356FE9">
        <w:t xml:space="preserve">Given we </w:t>
      </w:r>
      <w:r>
        <w:t>proposed</w:t>
      </w:r>
      <w:r w:rsidRPr="00356FE9">
        <w:t xml:space="preserve"> a 10 year debt term, we proposed to </w:t>
      </w:r>
      <w:r>
        <w:t>introduce the trailing average over</w:t>
      </w:r>
      <w:r w:rsidRPr="00356FE9">
        <w:t xml:space="preserve"> a 10 year period.</w:t>
      </w:r>
      <w:r>
        <w:rPr>
          <w:rStyle w:val="FootnoteReference"/>
        </w:rPr>
        <w:footnoteReference w:id="16"/>
      </w:r>
      <w:r>
        <w:t xml:space="preserve"> </w:t>
      </w:r>
      <w:r w:rsidRPr="008C2CCE">
        <w:t xml:space="preserve">An example of </w:t>
      </w:r>
      <w:r>
        <w:t>this</w:t>
      </w:r>
      <w:r w:rsidRPr="008C2CCE">
        <w:t xml:space="preserve"> approach is outlined in </w:t>
      </w:r>
      <w:r>
        <w:t>appendix B</w:t>
      </w:r>
      <w:r w:rsidRPr="008C2CCE">
        <w:t xml:space="preserve"> of our rate of return guideline.</w:t>
      </w:r>
    </w:p>
    <w:p w:rsidR="00E03572" w:rsidRPr="00E363C3" w:rsidRDefault="00E03572" w:rsidP="00AD57CB">
      <w:pPr>
        <w:pStyle w:val="Heading2"/>
      </w:pPr>
      <w:bookmarkStart w:id="43" w:name="_Toc383780218"/>
      <w:r w:rsidRPr="00E363C3">
        <w:lastRenderedPageBreak/>
        <w:t>Annual updating of the return on debt</w:t>
      </w:r>
      <w:bookmarkEnd w:id="43"/>
    </w:p>
    <w:p w:rsidR="00E03572" w:rsidRDefault="008124D3" w:rsidP="00E03572">
      <w:pPr>
        <w:pStyle w:val="AERbodytext"/>
      </w:pPr>
      <w:r>
        <w:t xml:space="preserve">We proposed </w:t>
      </w:r>
      <w:r w:rsidR="008E7129">
        <w:t xml:space="preserve">in our guideline </w:t>
      </w:r>
      <w:r>
        <w:t>to update the return on debt estimate annually for the following reasons:</w:t>
      </w:r>
      <w:r>
        <w:rPr>
          <w:rStyle w:val="FootnoteReference"/>
        </w:rPr>
        <w:footnoteReference w:id="17"/>
      </w:r>
    </w:p>
    <w:p w:rsidR="008124D3" w:rsidRDefault="00E34962" w:rsidP="00E34962">
      <w:pPr>
        <w:pStyle w:val="AERbulletlistfirststyle"/>
      </w:pPr>
      <w:r>
        <w:t xml:space="preserve">This approach </w:t>
      </w:r>
      <w:r w:rsidR="008124D3">
        <w:t xml:space="preserve">minimises the potential mismatches between the benchmark efficient entity's </w:t>
      </w:r>
      <w:r w:rsidR="009332CD">
        <w:t xml:space="preserve">(expected) </w:t>
      </w:r>
      <w:r w:rsidR="008E7129">
        <w:t xml:space="preserve">actual </w:t>
      </w:r>
      <w:r w:rsidR="008124D3">
        <w:t xml:space="preserve">return on debt and the </w:t>
      </w:r>
      <w:r w:rsidR="009332CD">
        <w:t xml:space="preserve">allowed </w:t>
      </w:r>
      <w:r w:rsidR="008124D3">
        <w:t>return on debt</w:t>
      </w:r>
      <w:r w:rsidR="009332CD">
        <w:t xml:space="preserve"> during the regulatory period</w:t>
      </w:r>
      <w:r w:rsidR="00D21C8B">
        <w:t>. Reflecting market changes during the regulatory control period</w:t>
      </w:r>
      <w:r w:rsidR="00087578">
        <w:t>,</w:t>
      </w:r>
      <w:r w:rsidR="00D21C8B">
        <w:t xml:space="preserve"> </w:t>
      </w:r>
      <w:r w:rsidR="00990A22">
        <w:t>therefore</w:t>
      </w:r>
      <w:r w:rsidR="00087578">
        <w:t>,</w:t>
      </w:r>
      <w:r w:rsidR="00990A22">
        <w:t xml:space="preserve"> </w:t>
      </w:r>
      <w:r w:rsidR="00D21C8B">
        <w:t>reduces the scope for sub–optimal investment and consumption levels.</w:t>
      </w:r>
      <w:r w:rsidR="00425A90">
        <w:rPr>
          <w:rStyle w:val="FootnoteReference"/>
        </w:rPr>
        <w:footnoteReference w:id="18"/>
      </w:r>
      <w:r w:rsidR="00425A90">
        <w:t xml:space="preserve"> </w:t>
      </w:r>
      <w:r w:rsidR="00D21C8B">
        <w:t xml:space="preserve"> </w:t>
      </w:r>
    </w:p>
    <w:p w:rsidR="008124D3" w:rsidRDefault="00E34962" w:rsidP="00E34962">
      <w:pPr>
        <w:pStyle w:val="AERbulletlistfirststyle"/>
      </w:pPr>
      <w:r>
        <w:t xml:space="preserve">This approach </w:t>
      </w:r>
      <w:r w:rsidR="008124D3">
        <w:t>is feasible and is relatively low cost. We propose to use a third party data provider to estimate the allowed return on debt. This means that the updating process would be less resource intensive than if we were to use an in</w:t>
      </w:r>
      <w:r w:rsidR="006811CF">
        <w:t>-</w:t>
      </w:r>
      <w:r w:rsidR="008124D3">
        <w:t xml:space="preserve">house data set. </w:t>
      </w:r>
    </w:p>
    <w:p w:rsidR="008124D3" w:rsidRDefault="008124D3" w:rsidP="00356FE9">
      <w:pPr>
        <w:pStyle w:val="AERbodytext"/>
      </w:pPr>
      <w:r>
        <w:t xml:space="preserve">On balance, </w:t>
      </w:r>
      <w:r w:rsidR="008E7129">
        <w:t xml:space="preserve">we considered </w:t>
      </w:r>
      <w:r>
        <w:t xml:space="preserve">the advantages of annual updating outweigh the associated additional costs </w:t>
      </w:r>
      <w:r w:rsidR="00EC39D4">
        <w:t xml:space="preserve">(such as resource requirements) </w:t>
      </w:r>
      <w:r>
        <w:t xml:space="preserve">and other disadvantages (such as </w:t>
      </w:r>
      <w:r w:rsidR="00EC39D4">
        <w:t xml:space="preserve">potentially higher volatility of consumer prices </w:t>
      </w:r>
      <w:r>
        <w:t xml:space="preserve">within a regulatory control period). </w:t>
      </w:r>
    </w:p>
    <w:p w:rsidR="008124D3" w:rsidRDefault="00F444C7" w:rsidP="00356FE9">
      <w:pPr>
        <w:pStyle w:val="AERbodytext"/>
      </w:pPr>
      <w:r>
        <w:t xml:space="preserve">The rules </w:t>
      </w:r>
      <w:r w:rsidR="00F96064">
        <w:t xml:space="preserve">also </w:t>
      </w:r>
      <w:r>
        <w:t>require that the return on debt calculation be capable of automatic updating.</w:t>
      </w:r>
      <w:r>
        <w:rPr>
          <w:rStyle w:val="FootnoteReference"/>
        </w:rPr>
        <w:footnoteReference w:id="19"/>
      </w:r>
      <w:r>
        <w:t xml:space="preserve"> We will set out our proposed approach for automatically updating the return on debt </w:t>
      </w:r>
      <w:r w:rsidR="00C8212F">
        <w:t>as part of considering</w:t>
      </w:r>
      <w:r>
        <w:t xml:space="preserve"> a service pro</w:t>
      </w:r>
      <w:r w:rsidR="00232EDE">
        <w:t xml:space="preserve">vider's </w:t>
      </w:r>
      <w:r w:rsidR="00C8212F">
        <w:t>revenue proposal</w:t>
      </w:r>
      <w:r w:rsidR="00232EDE">
        <w:t>.</w:t>
      </w:r>
      <w:r w:rsidR="00B44889">
        <w:rPr>
          <w:rStyle w:val="FootnoteReference"/>
        </w:rPr>
        <w:footnoteReference w:id="20"/>
      </w:r>
      <w:r w:rsidR="00232EDE">
        <w:t xml:space="preserve"> </w:t>
      </w:r>
      <w:r w:rsidR="00807CFF">
        <w:t xml:space="preserve">Stakeholders </w:t>
      </w:r>
      <w:r>
        <w:t xml:space="preserve">will have the opportunity to comment on our proposed method at that time. We also recognise that adjustments to the post tax revenue model (PTRM) may be required. We will consult with stakeholders on any proposed changes in the future. As such, the method of updating the return on debt and any amendments to the PTRM are outside the scope of this issues paper. </w:t>
      </w:r>
    </w:p>
    <w:p w:rsidR="00F12878" w:rsidRPr="00157AAD" w:rsidRDefault="00F12878" w:rsidP="00613BC5">
      <w:pPr>
        <w:pStyle w:val="Heading1"/>
      </w:pPr>
      <w:bookmarkStart w:id="44" w:name="_Toc382821974"/>
      <w:bookmarkStart w:id="45" w:name="_Toc382826303"/>
      <w:bookmarkStart w:id="46" w:name="_Toc382831848"/>
      <w:bookmarkStart w:id="47" w:name="_Toc382913012"/>
      <w:bookmarkStart w:id="48" w:name="_Toc382913037"/>
      <w:bookmarkStart w:id="49" w:name="_Toc382998175"/>
      <w:bookmarkStart w:id="50" w:name="_Toc382998200"/>
      <w:bookmarkStart w:id="51" w:name="_Toc382998225"/>
      <w:bookmarkStart w:id="52" w:name="_Toc382998294"/>
      <w:bookmarkStart w:id="53" w:name="_Toc383008271"/>
      <w:bookmarkStart w:id="54" w:name="_Toc383077258"/>
      <w:bookmarkStart w:id="55" w:name="_Toc383086209"/>
      <w:bookmarkStart w:id="56" w:name="_Toc383093798"/>
      <w:bookmarkStart w:id="57" w:name="_Toc383167780"/>
      <w:bookmarkStart w:id="58" w:name="_Toc383168205"/>
      <w:bookmarkStart w:id="59" w:name="_Toc382821975"/>
      <w:bookmarkStart w:id="60" w:name="_Toc382826304"/>
      <w:bookmarkStart w:id="61" w:name="_Toc382831849"/>
      <w:bookmarkStart w:id="62" w:name="_Toc382913013"/>
      <w:bookmarkStart w:id="63" w:name="_Toc382913038"/>
      <w:bookmarkStart w:id="64" w:name="_Toc382998176"/>
      <w:bookmarkStart w:id="65" w:name="_Toc382998201"/>
      <w:bookmarkStart w:id="66" w:name="_Toc382998226"/>
      <w:bookmarkStart w:id="67" w:name="_Toc382998295"/>
      <w:bookmarkStart w:id="68" w:name="_Toc383008272"/>
      <w:bookmarkStart w:id="69" w:name="_Toc383077259"/>
      <w:bookmarkStart w:id="70" w:name="_Toc383086210"/>
      <w:bookmarkStart w:id="71" w:name="_Toc383093799"/>
      <w:bookmarkStart w:id="72" w:name="_Toc383167781"/>
      <w:bookmarkStart w:id="73" w:name="_Toc383168206"/>
      <w:bookmarkStart w:id="74" w:name="_Toc382821976"/>
      <w:bookmarkStart w:id="75" w:name="_Toc382826305"/>
      <w:bookmarkStart w:id="76" w:name="_Toc382831850"/>
      <w:bookmarkStart w:id="77" w:name="_Toc382913014"/>
      <w:bookmarkStart w:id="78" w:name="_Toc382913039"/>
      <w:bookmarkStart w:id="79" w:name="_Toc382998177"/>
      <w:bookmarkStart w:id="80" w:name="_Toc382998202"/>
      <w:bookmarkStart w:id="81" w:name="_Toc382998227"/>
      <w:bookmarkStart w:id="82" w:name="_Toc382998296"/>
      <w:bookmarkStart w:id="83" w:name="_Toc383008273"/>
      <w:bookmarkStart w:id="84" w:name="_Toc383077260"/>
      <w:bookmarkStart w:id="85" w:name="_Toc383086211"/>
      <w:bookmarkStart w:id="86" w:name="_Toc383093800"/>
      <w:bookmarkStart w:id="87" w:name="_Toc383167782"/>
      <w:bookmarkStart w:id="88" w:name="_Toc383168207"/>
      <w:bookmarkStart w:id="89" w:name="_Toc382821977"/>
      <w:bookmarkStart w:id="90" w:name="_Toc382826306"/>
      <w:bookmarkStart w:id="91" w:name="_Toc382831851"/>
      <w:bookmarkStart w:id="92" w:name="_Toc382821978"/>
      <w:bookmarkStart w:id="93" w:name="_Toc382826307"/>
      <w:bookmarkStart w:id="94" w:name="_Toc382831852"/>
      <w:bookmarkStart w:id="95" w:name="_Toc382913016"/>
      <w:bookmarkStart w:id="96" w:name="_Toc382913041"/>
      <w:bookmarkStart w:id="97" w:name="_Toc382998179"/>
      <w:bookmarkStart w:id="98" w:name="_Toc382998204"/>
      <w:bookmarkStart w:id="99" w:name="_Toc382998229"/>
      <w:bookmarkStart w:id="100" w:name="_Toc382998298"/>
      <w:bookmarkStart w:id="101" w:name="_Toc383008275"/>
      <w:bookmarkStart w:id="102" w:name="_Toc383077262"/>
      <w:bookmarkStart w:id="103" w:name="_Toc383086213"/>
      <w:bookmarkStart w:id="104" w:name="_Toc383093802"/>
      <w:bookmarkStart w:id="105" w:name="_Toc383167784"/>
      <w:bookmarkStart w:id="106" w:name="_Toc383168209"/>
      <w:bookmarkStart w:id="107" w:name="_Toc382821979"/>
      <w:bookmarkStart w:id="108" w:name="_Toc382826308"/>
      <w:bookmarkStart w:id="109" w:name="_Toc382831853"/>
      <w:bookmarkStart w:id="110" w:name="_Toc382821980"/>
      <w:bookmarkStart w:id="111" w:name="_Toc382826309"/>
      <w:bookmarkStart w:id="112" w:name="_Toc382831854"/>
      <w:bookmarkStart w:id="113" w:name="_Toc382913018"/>
      <w:bookmarkStart w:id="114" w:name="_Toc382913043"/>
      <w:bookmarkStart w:id="115" w:name="_Toc382998181"/>
      <w:bookmarkStart w:id="116" w:name="_Toc382998206"/>
      <w:bookmarkStart w:id="117" w:name="_Toc382998231"/>
      <w:bookmarkStart w:id="118" w:name="_Toc382998300"/>
      <w:bookmarkStart w:id="119" w:name="_Toc383008277"/>
      <w:bookmarkStart w:id="120" w:name="_Toc383077264"/>
      <w:bookmarkStart w:id="121" w:name="_Toc383086215"/>
      <w:bookmarkStart w:id="122" w:name="_Toc383093804"/>
      <w:bookmarkStart w:id="123" w:name="_Toc383167786"/>
      <w:bookmarkStart w:id="124" w:name="_Toc383168211"/>
      <w:bookmarkStart w:id="125" w:name="_Toc381191462"/>
      <w:bookmarkStart w:id="126" w:name="_Toc381197457"/>
      <w:bookmarkStart w:id="127" w:name="_Toc381275538"/>
      <w:bookmarkStart w:id="128" w:name="_Toc381275557"/>
      <w:bookmarkStart w:id="129" w:name="_Toc381347549"/>
      <w:bookmarkStart w:id="130" w:name="_Toc381370972"/>
      <w:bookmarkStart w:id="131" w:name="_Toc381370991"/>
      <w:bookmarkStart w:id="132" w:name="_Toc381371623"/>
      <w:bookmarkStart w:id="133" w:name="_Toc381191463"/>
      <w:bookmarkStart w:id="134" w:name="_Toc381197458"/>
      <w:bookmarkStart w:id="135" w:name="_Toc381275539"/>
      <w:bookmarkStart w:id="136" w:name="_Toc381275558"/>
      <w:bookmarkStart w:id="137" w:name="_Toc381347550"/>
      <w:bookmarkStart w:id="138" w:name="_Toc381370973"/>
      <w:bookmarkStart w:id="139" w:name="_Toc381370992"/>
      <w:bookmarkStart w:id="140" w:name="_Toc381371624"/>
      <w:bookmarkStart w:id="141" w:name="_Toc382821981"/>
      <w:bookmarkStart w:id="142" w:name="_Toc382826310"/>
      <w:bookmarkStart w:id="143" w:name="_Toc382831855"/>
      <w:bookmarkStart w:id="144" w:name="_Toc382913019"/>
      <w:bookmarkStart w:id="145" w:name="_Toc382913044"/>
      <w:bookmarkStart w:id="146" w:name="_Toc382998182"/>
      <w:bookmarkStart w:id="147" w:name="_Toc382998207"/>
      <w:bookmarkStart w:id="148" w:name="_Toc382998232"/>
      <w:bookmarkStart w:id="149" w:name="_Toc382998301"/>
      <w:bookmarkStart w:id="150" w:name="_Toc383008278"/>
      <w:bookmarkStart w:id="151" w:name="_Toc383077265"/>
      <w:bookmarkStart w:id="152" w:name="_Toc383086216"/>
      <w:bookmarkStart w:id="153" w:name="_Toc383093805"/>
      <w:bookmarkStart w:id="154" w:name="_Toc383167787"/>
      <w:bookmarkStart w:id="155" w:name="_Toc383168212"/>
      <w:bookmarkStart w:id="156" w:name="_Toc382913020"/>
      <w:bookmarkStart w:id="157" w:name="_Toc382913045"/>
      <w:bookmarkStart w:id="158" w:name="_Toc382998183"/>
      <w:bookmarkStart w:id="159" w:name="_Toc382998208"/>
      <w:bookmarkStart w:id="160" w:name="_Toc382998233"/>
      <w:bookmarkStart w:id="161" w:name="_Toc382998302"/>
      <w:bookmarkStart w:id="162" w:name="_Toc383008279"/>
      <w:bookmarkStart w:id="163" w:name="_Toc383077266"/>
      <w:bookmarkStart w:id="164" w:name="_Toc383086217"/>
      <w:bookmarkStart w:id="165" w:name="_Toc383093806"/>
      <w:bookmarkStart w:id="166" w:name="_Toc383167788"/>
      <w:bookmarkStart w:id="167" w:name="_Toc383168213"/>
      <w:bookmarkStart w:id="168" w:name="_Ref380572580"/>
      <w:bookmarkStart w:id="169" w:name="_Toc38378021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157AAD">
        <w:lastRenderedPageBreak/>
        <w:t>Third party data service provider</w:t>
      </w:r>
      <w:bookmarkEnd w:id="168"/>
      <w:bookmarkEnd w:id="169"/>
    </w:p>
    <w:p w:rsidR="00205C56" w:rsidRPr="00205C56" w:rsidRDefault="00F12878" w:rsidP="00205C56">
      <w:pPr>
        <w:pStyle w:val="AERbodytext"/>
        <w:numPr>
          <w:ilvl w:val="0"/>
          <w:numId w:val="6"/>
        </w:numPr>
      </w:pPr>
      <w:r>
        <w:t xml:space="preserve">In </w:t>
      </w:r>
      <w:r w:rsidR="009C6954">
        <w:t xml:space="preserve">our rate of return guideline, we </w:t>
      </w:r>
      <w:r w:rsidR="00807CFF">
        <w:t>proposed to estimate</w:t>
      </w:r>
      <w:r w:rsidR="009C6954">
        <w:t xml:space="preserve"> the return on debt using </w:t>
      </w:r>
      <w:r w:rsidR="009C6954" w:rsidRPr="009C6954">
        <w:t>an independent third party data service provider.</w:t>
      </w:r>
      <w:r w:rsidR="009C6954">
        <w:rPr>
          <w:rStyle w:val="FootnoteReference"/>
        </w:rPr>
        <w:footnoteReference w:id="21"/>
      </w:r>
      <w:r w:rsidR="009C6954" w:rsidRPr="009C6954">
        <w:t xml:space="preserve"> </w:t>
      </w:r>
      <w:r w:rsidR="00205C56" w:rsidRPr="00205C56">
        <w:t>We considered that using a third party data service provider has the following advantages:</w:t>
      </w:r>
    </w:p>
    <w:p w:rsidR="00205C56" w:rsidRPr="00205C56" w:rsidRDefault="00205C56" w:rsidP="00205C56">
      <w:pPr>
        <w:pStyle w:val="AERbulletlistfirststyle"/>
      </w:pPr>
      <w:r w:rsidRPr="00205C56">
        <w:t>Third party data sources are provided for use by market practitioners and developed independently from the regulatory process.</w:t>
      </w:r>
    </w:p>
    <w:p w:rsidR="00205C56" w:rsidRDefault="00205C56" w:rsidP="00205C56">
      <w:pPr>
        <w:pStyle w:val="AERbulletlistfirststyle"/>
      </w:pPr>
      <w:r w:rsidRPr="00205C56">
        <w:t>Third party data sources are constructed by finance experts with access to a comprehensive financial database, where judgements are made in terms of debt selection and any necessa</w:t>
      </w:r>
      <w:r>
        <w:t>ry adjustments to yields.</w:t>
      </w:r>
    </w:p>
    <w:p w:rsidR="00205C56" w:rsidRPr="00205C56" w:rsidRDefault="00205C56" w:rsidP="00663647">
      <w:pPr>
        <w:pStyle w:val="AERbulletlistfirststyle"/>
      </w:pPr>
      <w:r w:rsidRPr="00205C56">
        <w:t>Using an independent third party reduces the scope for debate on debt instrument selection issues</w:t>
      </w:r>
      <w:r w:rsidR="00507D8C">
        <w:t>,</w:t>
      </w:r>
      <w:r w:rsidRPr="00205C56">
        <w:t xml:space="preserve"> and curve fitting</w:t>
      </w:r>
      <w:r w:rsidR="009E61BD">
        <w:rPr>
          <w:rStyle w:val="FootnoteReference"/>
        </w:rPr>
        <w:footnoteReference w:id="22"/>
      </w:r>
      <w:r w:rsidRPr="00205C56">
        <w:t xml:space="preserve"> or the use of some form of averaging methods to derive the estimate of the return on debt.</w:t>
      </w:r>
      <w:r>
        <w:rPr>
          <w:rStyle w:val="FootnoteReference"/>
        </w:rPr>
        <w:footnoteReference w:id="23"/>
      </w:r>
    </w:p>
    <w:p w:rsidR="00205C56" w:rsidRDefault="00205C56" w:rsidP="00205C56">
      <w:pPr>
        <w:pStyle w:val="AERbulletlistfirststyle"/>
      </w:pPr>
      <w:r w:rsidRPr="00205C56">
        <w:t>A third party data source can be more readily implemented in the context of automatically updating a trailing average of the return on debt as required by the rules.</w:t>
      </w:r>
    </w:p>
    <w:p w:rsidR="00A72A59" w:rsidRDefault="00205C56" w:rsidP="00F45ADF">
      <w:pPr>
        <w:pStyle w:val="AERbodytext"/>
        <w:numPr>
          <w:ilvl w:val="0"/>
          <w:numId w:val="6"/>
        </w:numPr>
      </w:pPr>
      <w:r>
        <w:t xml:space="preserve">In our guideline, however, we did not state which third party data series we propose to use for estimating the return on debt. </w:t>
      </w:r>
      <w:r w:rsidR="009C6954">
        <w:t>This section</w:t>
      </w:r>
      <w:r>
        <w:t>, therefore,</w:t>
      </w:r>
      <w:r w:rsidR="009C6954">
        <w:t xml:space="preserve"> </w:t>
      </w:r>
      <w:r w:rsidR="00BB56CE">
        <w:t>discusses</w:t>
      </w:r>
      <w:r w:rsidR="009C6954" w:rsidRPr="009C6954">
        <w:t xml:space="preserve"> the relative </w:t>
      </w:r>
      <w:r w:rsidR="000F1669">
        <w:t>features</w:t>
      </w:r>
      <w:r w:rsidR="009C6954" w:rsidRPr="009C6954">
        <w:t xml:space="preserve"> of</w:t>
      </w:r>
      <w:r w:rsidR="009C6954">
        <w:t xml:space="preserve"> the </w:t>
      </w:r>
      <w:r>
        <w:t>available data series</w:t>
      </w:r>
      <w:r w:rsidR="009F4AF7">
        <w:t xml:space="preserve"> that reasonably match the characteristics of our benchmark </w:t>
      </w:r>
      <w:r w:rsidR="00F23BFB">
        <w:t>efficient entity</w:t>
      </w:r>
      <w:r w:rsidR="009F4AF7">
        <w:t xml:space="preserve">. These series are </w:t>
      </w:r>
      <w:r>
        <w:t>those</w:t>
      </w:r>
      <w:r w:rsidR="009C6954">
        <w:t xml:space="preserve"> published by the RBA and Bloomberg.</w:t>
      </w:r>
      <w:r w:rsidR="007D3DA9">
        <w:t xml:space="preserve"> In discussing the relative features of the RBA and Bloomberg series, we </w:t>
      </w:r>
      <w:r w:rsidR="00050931">
        <w:t xml:space="preserve">propose to </w:t>
      </w:r>
      <w:r w:rsidR="007D3DA9">
        <w:t>have regard to the assessment criteria outlined in our guideline.</w:t>
      </w:r>
      <w:r w:rsidR="007D3DA9">
        <w:rPr>
          <w:rStyle w:val="FootnoteReference"/>
        </w:rPr>
        <w:footnoteReference w:id="24"/>
      </w:r>
    </w:p>
    <w:p w:rsidR="00054807" w:rsidRDefault="00054807" w:rsidP="00205C56">
      <w:pPr>
        <w:pStyle w:val="AERbodytext"/>
        <w:numPr>
          <w:ilvl w:val="0"/>
          <w:numId w:val="6"/>
        </w:numPr>
      </w:pPr>
      <w:r>
        <w:t>For clarity, this section does not state a preference for either the RBA or Bloomberg series. Instead, such a decision will be made at the time of a regulatory determination.</w:t>
      </w:r>
    </w:p>
    <w:p w:rsidR="00F45ADF" w:rsidRDefault="00F45ADF" w:rsidP="00AD57CB">
      <w:pPr>
        <w:pStyle w:val="Heading2"/>
      </w:pPr>
      <w:bookmarkStart w:id="170" w:name="_Ref382897460"/>
      <w:bookmarkStart w:id="171" w:name="_Toc383780220"/>
      <w:r>
        <w:t>Assessment criteria</w:t>
      </w:r>
      <w:bookmarkEnd w:id="170"/>
      <w:bookmarkEnd w:id="171"/>
    </w:p>
    <w:p w:rsidR="003336FC" w:rsidRDefault="00F45ADF" w:rsidP="003336FC">
      <w:pPr>
        <w:pStyle w:val="AERbodytext"/>
        <w:numPr>
          <w:ilvl w:val="0"/>
          <w:numId w:val="6"/>
        </w:numPr>
      </w:pPr>
      <w:r>
        <w:t>In our rate of rate return guideline, we set out criteria that we proposed to use to assess the merits of various sources of information in setting the allowed rate of return.</w:t>
      </w:r>
      <w:r>
        <w:rPr>
          <w:rStyle w:val="FootnoteReference"/>
        </w:rPr>
        <w:footnoteReference w:id="25"/>
      </w:r>
      <w:r w:rsidR="003336FC">
        <w:t xml:space="preserve"> In </w:t>
      </w:r>
      <w:r w:rsidR="003E776B">
        <w:fldChar w:fldCharType="begin"/>
      </w:r>
      <w:r w:rsidR="003E776B">
        <w:instrText xml:space="preserve"> REF  _Ref382913166 \* Lower \h  \* MERGEFORMAT </w:instrText>
      </w:r>
      <w:r w:rsidR="003E776B">
        <w:fldChar w:fldCharType="separate"/>
      </w:r>
      <w:r w:rsidR="00DC75B8">
        <w:t xml:space="preserve">table </w:t>
      </w:r>
      <w:r w:rsidR="00DC75B8">
        <w:rPr>
          <w:noProof/>
        </w:rPr>
        <w:t>1</w:t>
      </w:r>
      <w:r w:rsidR="003E776B">
        <w:fldChar w:fldCharType="end"/>
      </w:r>
      <w:r w:rsidR="003336FC">
        <w:t xml:space="preserve">, we </w:t>
      </w:r>
      <w:r w:rsidR="00D34897">
        <w:t>outline</w:t>
      </w:r>
      <w:r w:rsidR="003336FC">
        <w:t xml:space="preserve"> how these criteria may be relevant to assessing the relative features of the</w:t>
      </w:r>
      <w:r>
        <w:t xml:space="preserve"> data series </w:t>
      </w:r>
      <w:r w:rsidR="00D34897">
        <w:t>published by the RBA and Bloomberg</w:t>
      </w:r>
      <w:r w:rsidR="003336FC">
        <w:t>.</w:t>
      </w:r>
      <w:r w:rsidR="00206DDD">
        <w:t xml:space="preserve"> The relative features of the alternative data series are discussed in greater detail in section </w:t>
      </w:r>
      <w:r w:rsidR="00206DDD">
        <w:fldChar w:fldCharType="begin"/>
      </w:r>
      <w:r w:rsidR="00206DDD">
        <w:instrText xml:space="preserve"> REF _Ref382912940 \r \h </w:instrText>
      </w:r>
      <w:r w:rsidR="00206DDD">
        <w:fldChar w:fldCharType="separate"/>
      </w:r>
      <w:r w:rsidR="00DC75B8">
        <w:t>4.4</w:t>
      </w:r>
      <w:r w:rsidR="00206DDD">
        <w:fldChar w:fldCharType="end"/>
      </w:r>
      <w:r w:rsidR="00206DDD">
        <w:t>.</w:t>
      </w:r>
    </w:p>
    <w:p w:rsidR="003336FC" w:rsidRDefault="003336FC" w:rsidP="003336FC">
      <w:pPr>
        <w:pStyle w:val="AERbodytext"/>
      </w:pPr>
      <w:r>
        <w:br w:type="page"/>
      </w:r>
    </w:p>
    <w:p w:rsidR="00F45ADF" w:rsidRDefault="00F45ADF" w:rsidP="003336FC">
      <w:pPr>
        <w:pStyle w:val="AERbodytext"/>
        <w:numPr>
          <w:ilvl w:val="0"/>
          <w:numId w:val="6"/>
        </w:numPr>
      </w:pPr>
    </w:p>
    <w:p w:rsidR="003336FC" w:rsidRDefault="003336FC" w:rsidP="003336FC">
      <w:pPr>
        <w:pStyle w:val="Caption"/>
      </w:pPr>
      <w:bookmarkStart w:id="172" w:name="_Ref382913166"/>
      <w:r>
        <w:t xml:space="preserve">Table </w:t>
      </w:r>
      <w:r w:rsidR="00337B5F">
        <w:fldChar w:fldCharType="begin"/>
      </w:r>
      <w:r w:rsidR="00337B5F">
        <w:instrText xml:space="preserve"> SEQ Table \* ARABIC </w:instrText>
      </w:r>
      <w:r w:rsidR="00337B5F">
        <w:fldChar w:fldCharType="separate"/>
      </w:r>
      <w:r w:rsidR="00DC75B8">
        <w:rPr>
          <w:noProof/>
        </w:rPr>
        <w:t>1</w:t>
      </w:r>
      <w:r w:rsidR="00337B5F">
        <w:rPr>
          <w:noProof/>
        </w:rPr>
        <w:fldChar w:fldCharType="end"/>
      </w:r>
      <w:bookmarkEnd w:id="172"/>
      <w:r>
        <w:tab/>
        <w:t xml:space="preserve">Criteria for </w:t>
      </w:r>
      <w:r w:rsidRPr="003336FC">
        <w:t xml:space="preserve">assessing the relative features of </w:t>
      </w:r>
      <w:r w:rsidR="00CA2A91">
        <w:t>a</w:t>
      </w:r>
      <w:r w:rsidRPr="003336FC">
        <w:t xml:space="preserve"> third party data series</w:t>
      </w:r>
    </w:p>
    <w:tbl>
      <w:tblPr>
        <w:tblStyle w:val="AERtable-text"/>
        <w:tblW w:w="0" w:type="auto"/>
        <w:tblLayout w:type="fixed"/>
        <w:tblLook w:val="04A0" w:firstRow="1" w:lastRow="0" w:firstColumn="1" w:lastColumn="0" w:noHBand="0" w:noVBand="1"/>
      </w:tblPr>
      <w:tblGrid>
        <w:gridCol w:w="4621"/>
        <w:gridCol w:w="4621"/>
      </w:tblGrid>
      <w:tr w:rsidR="006F6421" w:rsidRPr="001A241E" w:rsidTr="006F6421">
        <w:trPr>
          <w:cnfStyle w:val="100000000000" w:firstRow="1" w:lastRow="0" w:firstColumn="0" w:lastColumn="0" w:oddVBand="0" w:evenVBand="0" w:oddHBand="0" w:evenHBand="0" w:firstRowFirstColumn="0" w:firstRowLastColumn="0" w:lastRowFirstColumn="0" w:lastRowLastColumn="0"/>
          <w:trHeight w:val="567"/>
        </w:trPr>
        <w:tc>
          <w:tcPr>
            <w:tcW w:w="4621" w:type="dxa"/>
          </w:tcPr>
          <w:p w:rsidR="006F6421" w:rsidRPr="006F6421" w:rsidRDefault="00E8687E" w:rsidP="006F6421">
            <w:pPr>
              <w:pStyle w:val="AERtabletextleft"/>
            </w:pPr>
            <w:r>
              <w:t>Assessment c</w:t>
            </w:r>
            <w:r w:rsidR="006F6421" w:rsidRPr="006F6421">
              <w:t>riteria</w:t>
            </w:r>
          </w:p>
        </w:tc>
        <w:tc>
          <w:tcPr>
            <w:tcW w:w="4621" w:type="dxa"/>
          </w:tcPr>
          <w:p w:rsidR="006F6421" w:rsidRPr="006F6421" w:rsidRDefault="006F6421" w:rsidP="00E8687E">
            <w:pPr>
              <w:pStyle w:val="AERtabletextleft"/>
            </w:pPr>
            <w:r w:rsidRPr="006F6421">
              <w:t>Rel</w:t>
            </w:r>
            <w:r w:rsidR="00E8687E">
              <w:t>ative f</w:t>
            </w:r>
            <w:r w:rsidRPr="006F6421">
              <w:t>eatures</w:t>
            </w:r>
            <w:r w:rsidR="00E8687E">
              <w:t xml:space="preserve"> of a third party data series</w:t>
            </w:r>
          </w:p>
        </w:tc>
      </w:tr>
      <w:tr w:rsidR="006F6421" w:rsidRPr="001A241E" w:rsidTr="006F6421">
        <w:trPr>
          <w:trHeight w:val="1134"/>
        </w:trPr>
        <w:tc>
          <w:tcPr>
            <w:tcW w:w="4621" w:type="dxa"/>
          </w:tcPr>
          <w:p w:rsidR="006F6421" w:rsidRPr="006F6421" w:rsidRDefault="006F6421" w:rsidP="006F6421">
            <w:pPr>
              <w:pStyle w:val="AERtabletextleft"/>
            </w:pPr>
            <w:r w:rsidRPr="006F6421">
              <w:t>Where applicable, reflective of economic and finance principles and market information:</w:t>
            </w:r>
          </w:p>
          <w:p w:rsidR="006F6421" w:rsidRPr="006F6421" w:rsidRDefault="006F6421" w:rsidP="006F6421">
            <w:pPr>
              <w:pStyle w:val="AERbulletlistfirststyle"/>
            </w:pPr>
            <w:r w:rsidRPr="006F6421">
              <w:t>estimation methods and financial models are consistent with well accepted economic and finance principles and informed by sound empirical analysis and robust data.</w:t>
            </w:r>
          </w:p>
        </w:tc>
        <w:tc>
          <w:tcPr>
            <w:tcW w:w="4621" w:type="dxa"/>
          </w:tcPr>
          <w:p w:rsidR="006F6421" w:rsidRPr="00114E93" w:rsidRDefault="008B7C75" w:rsidP="00CA2A91">
            <w:pPr>
              <w:pStyle w:val="AERtabletextleft"/>
            </w:pPr>
            <w:r>
              <w:t>This may be relevant when assessing t</w:t>
            </w:r>
            <w:r w:rsidRPr="008B7C75">
              <w:t xml:space="preserve">he curve fitting method of a </w:t>
            </w:r>
            <w:r w:rsidR="00CA2A91">
              <w:t xml:space="preserve">given </w:t>
            </w:r>
            <w:r w:rsidRPr="008B7C75">
              <w:t>data series</w:t>
            </w:r>
            <w:r>
              <w:t xml:space="preserve">. For example, any assumptions inherent in a series should </w:t>
            </w:r>
            <w:r w:rsidR="005E3D4B">
              <w:t xml:space="preserve">reflect well accepted economic and finance principles. </w:t>
            </w:r>
            <w:r>
              <w:t>The data series</w:t>
            </w:r>
            <w:r w:rsidR="005E3D4B">
              <w:t xml:space="preserve"> should also be </w:t>
            </w:r>
            <w:r>
              <w:t>r</w:t>
            </w:r>
            <w:r w:rsidR="005E3D4B">
              <w:t>obust</w:t>
            </w:r>
            <w:r>
              <w:t xml:space="preserve"> to these assumptions</w:t>
            </w:r>
            <w:r w:rsidR="005E3D4B">
              <w:t>.</w:t>
            </w:r>
          </w:p>
        </w:tc>
      </w:tr>
      <w:tr w:rsidR="006F6421" w:rsidRPr="001A241E" w:rsidTr="006F6421">
        <w:trPr>
          <w:cnfStyle w:val="000000010000" w:firstRow="0" w:lastRow="0" w:firstColumn="0" w:lastColumn="0" w:oddVBand="0" w:evenVBand="0" w:oddHBand="0" w:evenHBand="1" w:firstRowFirstColumn="0" w:firstRowLastColumn="0" w:lastRowFirstColumn="0" w:lastRowLastColumn="0"/>
          <w:trHeight w:val="1400"/>
        </w:trPr>
        <w:tc>
          <w:tcPr>
            <w:tcW w:w="4621" w:type="dxa"/>
          </w:tcPr>
          <w:p w:rsidR="006F6421" w:rsidRPr="006F6421" w:rsidRDefault="006F6421" w:rsidP="006F6421">
            <w:pPr>
              <w:pStyle w:val="AERtabletextleft"/>
            </w:pPr>
            <w:r w:rsidRPr="006F6421">
              <w:t>Fit for purpose:</w:t>
            </w:r>
          </w:p>
          <w:p w:rsidR="006F6421" w:rsidRPr="006F6421" w:rsidRDefault="006F6421" w:rsidP="006F6421">
            <w:pPr>
              <w:pStyle w:val="AERbulletlistfirststyle"/>
            </w:pPr>
            <w:r w:rsidRPr="006F6421">
              <w:t xml:space="preserve">the use of estimation methods, financial models, market data and other evidence should be consistent with the original purpose for which it was compiled and have regard to the limitations of that purpose; </w:t>
            </w:r>
          </w:p>
          <w:p w:rsidR="006F6421" w:rsidRPr="006F6421" w:rsidRDefault="006F6421" w:rsidP="006F6421">
            <w:pPr>
              <w:pStyle w:val="AERbulletlistfirststyle"/>
            </w:pPr>
            <w:r w:rsidRPr="006F6421">
              <w:t>promote simple over complex approaches where appropriate.</w:t>
            </w:r>
          </w:p>
        </w:tc>
        <w:tc>
          <w:tcPr>
            <w:tcW w:w="4621" w:type="dxa"/>
          </w:tcPr>
          <w:p w:rsidR="00B84766" w:rsidRPr="00114E93" w:rsidRDefault="003336FC" w:rsidP="00B84766">
            <w:pPr>
              <w:pStyle w:val="AERtabletextleft"/>
            </w:pPr>
            <w:r w:rsidRPr="003336FC">
              <w:t>This may be re</w:t>
            </w:r>
            <w:r w:rsidR="005945A9">
              <w:t>levant when assessing the construction of the data sample used to estimate a data series.</w:t>
            </w:r>
            <w:r w:rsidR="00B84766">
              <w:t xml:space="preserve"> For example, a data series that closely matches the characteristics of our benchmark efficient entity may be preferable to a series that uses a broader, but less representative, sample.</w:t>
            </w:r>
          </w:p>
          <w:p w:rsidR="006F6421" w:rsidRPr="00114E93" w:rsidRDefault="006F6421" w:rsidP="005E3D4B">
            <w:pPr>
              <w:pStyle w:val="AERtabletextleft"/>
            </w:pPr>
          </w:p>
        </w:tc>
      </w:tr>
      <w:tr w:rsidR="006F6421" w:rsidRPr="001A241E" w:rsidTr="006F6421">
        <w:trPr>
          <w:trHeight w:val="1134"/>
        </w:trPr>
        <w:tc>
          <w:tcPr>
            <w:tcW w:w="4621" w:type="dxa"/>
          </w:tcPr>
          <w:p w:rsidR="006F6421" w:rsidRPr="006F6421" w:rsidRDefault="006F6421" w:rsidP="006F6421">
            <w:pPr>
              <w:pStyle w:val="AERtabletextleft"/>
            </w:pPr>
            <w:r w:rsidRPr="006F6421">
              <w:t>Implemented in accordance with good practice:</w:t>
            </w:r>
          </w:p>
          <w:p w:rsidR="006F6421" w:rsidRPr="006F6421" w:rsidRDefault="006F6421" w:rsidP="006F6421">
            <w:pPr>
              <w:pStyle w:val="AERbulletlistfirststyle"/>
            </w:pPr>
            <w:r w:rsidRPr="006F6421">
              <w:t>supported by robust, transparent and replicable analysis that is derived from available, credible datasets.</w:t>
            </w:r>
          </w:p>
        </w:tc>
        <w:tc>
          <w:tcPr>
            <w:tcW w:w="4621" w:type="dxa"/>
          </w:tcPr>
          <w:p w:rsidR="005E3D4B" w:rsidRDefault="005126A4" w:rsidP="005945A9">
            <w:pPr>
              <w:pStyle w:val="AERtabletextleft"/>
            </w:pPr>
            <w:r>
              <w:t>This may be relevant when assessing t</w:t>
            </w:r>
            <w:r w:rsidR="005E3D4B">
              <w:t>he curve fitting method</w:t>
            </w:r>
            <w:r>
              <w:t xml:space="preserve"> of a third party data series. </w:t>
            </w:r>
            <w:r w:rsidR="003C6F2F">
              <w:t>For example, a more transparent series may better enable the underlying analysis to be assessed.</w:t>
            </w:r>
          </w:p>
          <w:p w:rsidR="00144171" w:rsidRPr="00114E93" w:rsidRDefault="003C6F2F" w:rsidP="003C6F2F">
            <w:pPr>
              <w:pStyle w:val="AERtabletextleft"/>
            </w:pPr>
            <w:r>
              <w:t>The transparency and availability of the underlying data sample</w:t>
            </w:r>
            <w:r w:rsidR="003336FC" w:rsidRPr="003336FC">
              <w:t xml:space="preserve"> </w:t>
            </w:r>
            <w:r>
              <w:t xml:space="preserve">may also facilitate an assessment of </w:t>
            </w:r>
            <w:r w:rsidR="005126A4">
              <w:t xml:space="preserve">how well </w:t>
            </w:r>
            <w:r>
              <w:t>a</w:t>
            </w:r>
            <w:r w:rsidR="003336FC" w:rsidRPr="003336FC">
              <w:t xml:space="preserve"> data series</w:t>
            </w:r>
            <w:r w:rsidR="005945A9">
              <w:t xml:space="preserve"> </w:t>
            </w:r>
            <w:r w:rsidR="005126A4">
              <w:t>fit</w:t>
            </w:r>
            <w:r>
              <w:t>s</w:t>
            </w:r>
            <w:r w:rsidR="005126A4">
              <w:t xml:space="preserve"> </w:t>
            </w:r>
            <w:r w:rsidR="005945A9">
              <w:t xml:space="preserve">a sample that matches the </w:t>
            </w:r>
            <w:r w:rsidR="005945A9" w:rsidRPr="003336FC">
              <w:t>characteristics of our benchmark efficient entity</w:t>
            </w:r>
            <w:r w:rsidR="00144171">
              <w:t>.</w:t>
            </w:r>
          </w:p>
        </w:tc>
      </w:tr>
      <w:tr w:rsidR="006F6421" w:rsidRPr="001A241E" w:rsidTr="006F6421">
        <w:trPr>
          <w:cnfStyle w:val="000000010000" w:firstRow="0" w:lastRow="0" w:firstColumn="0" w:lastColumn="0" w:oddVBand="0" w:evenVBand="0" w:oddHBand="0" w:evenHBand="1" w:firstRowFirstColumn="0" w:firstRowLastColumn="0" w:lastRowFirstColumn="0" w:lastRowLastColumn="0"/>
          <w:trHeight w:val="1400"/>
        </w:trPr>
        <w:tc>
          <w:tcPr>
            <w:tcW w:w="4621" w:type="dxa"/>
          </w:tcPr>
          <w:p w:rsidR="006F6421" w:rsidRPr="006F6421" w:rsidRDefault="006F6421" w:rsidP="006F6421">
            <w:pPr>
              <w:pStyle w:val="AERtabletextleft"/>
            </w:pPr>
            <w:r w:rsidRPr="006F6421">
              <w:t>Where models of the return on equity and debt are used these are:</w:t>
            </w:r>
          </w:p>
          <w:p w:rsidR="006F6421" w:rsidRPr="006F6421" w:rsidRDefault="006F6421" w:rsidP="006F6421">
            <w:pPr>
              <w:pStyle w:val="AERbulletlistfirststyle"/>
            </w:pPr>
            <w:r w:rsidRPr="006F6421">
              <w:t>based on quantitative modelling that is sufficiently robust as to not be unduly sensitive to errors in inputs estimation</w:t>
            </w:r>
          </w:p>
          <w:p w:rsidR="006F6421" w:rsidRPr="006F6421" w:rsidRDefault="006F6421" w:rsidP="00391091">
            <w:pPr>
              <w:pStyle w:val="AERbulletlistfirststyle"/>
            </w:pPr>
            <w:r w:rsidRPr="006F6421">
              <w:t>based on quantitative modelling which avoids arbitrary filtering or adjustment of data which does not have a sound rationale.</w:t>
            </w:r>
          </w:p>
        </w:tc>
        <w:tc>
          <w:tcPr>
            <w:tcW w:w="4621" w:type="dxa"/>
          </w:tcPr>
          <w:p w:rsidR="00E07FB1" w:rsidRDefault="005945A9" w:rsidP="00E07FB1">
            <w:pPr>
              <w:pStyle w:val="AERtabletextleft"/>
            </w:pPr>
            <w:r w:rsidRPr="003336FC">
              <w:t xml:space="preserve">This may be relevant when assessing </w:t>
            </w:r>
            <w:r w:rsidR="005A79BD">
              <w:t>t</w:t>
            </w:r>
            <w:r w:rsidR="005A79BD" w:rsidRPr="005A79BD">
              <w:t>he curve fitting method of a third party data series</w:t>
            </w:r>
            <w:r>
              <w:t>.</w:t>
            </w:r>
            <w:r w:rsidR="00E07FB1">
              <w:t xml:space="preserve"> For example, a series that is robust to its input assumptions may be preferable to a series that is sensitive to errors in its inputs.</w:t>
            </w:r>
          </w:p>
          <w:p w:rsidR="006F6421" w:rsidRPr="00114E93" w:rsidRDefault="00E07FB1" w:rsidP="00487E37">
            <w:pPr>
              <w:pStyle w:val="AERtabletextleft"/>
            </w:pPr>
            <w:r>
              <w:t>Similarly</w:t>
            </w:r>
            <w:r w:rsidR="00B84766">
              <w:t>, using a sample which does not require adjustments</w:t>
            </w:r>
            <w:r w:rsidR="00487E37">
              <w:t xml:space="preserve"> to the underlying data </w:t>
            </w:r>
            <w:r w:rsidR="00B84766">
              <w:t xml:space="preserve">may be preferable to a sample </w:t>
            </w:r>
            <w:r>
              <w:t>that does</w:t>
            </w:r>
            <w:r w:rsidR="00487E37">
              <w:t xml:space="preserve"> (for example, to remove the yield impact of embedded options)</w:t>
            </w:r>
            <w:r>
              <w:t>.</w:t>
            </w:r>
          </w:p>
        </w:tc>
      </w:tr>
      <w:tr w:rsidR="006F6421" w:rsidRPr="001A241E" w:rsidTr="006F6421">
        <w:trPr>
          <w:trHeight w:val="1134"/>
        </w:trPr>
        <w:tc>
          <w:tcPr>
            <w:tcW w:w="4621" w:type="dxa"/>
          </w:tcPr>
          <w:p w:rsidR="006F6421" w:rsidRPr="006F6421" w:rsidRDefault="006F6421" w:rsidP="006F6421">
            <w:pPr>
              <w:pStyle w:val="AERtabletextleft"/>
            </w:pPr>
            <w:r w:rsidRPr="006F6421">
              <w:t>Where market data and other information is used, this information is:</w:t>
            </w:r>
          </w:p>
          <w:p w:rsidR="006F6421" w:rsidRPr="006F6421" w:rsidRDefault="006F6421" w:rsidP="006F6421">
            <w:pPr>
              <w:pStyle w:val="AERbulletlistfirststyle"/>
            </w:pPr>
            <w:r w:rsidRPr="006F6421">
              <w:t>credible and verifiable</w:t>
            </w:r>
          </w:p>
          <w:p w:rsidR="006F6421" w:rsidRPr="006F6421" w:rsidRDefault="006F6421" w:rsidP="006F6421">
            <w:pPr>
              <w:pStyle w:val="AERbulletlistfirststyle"/>
            </w:pPr>
            <w:r w:rsidRPr="006F6421">
              <w:t>comparable and timely</w:t>
            </w:r>
          </w:p>
          <w:p w:rsidR="006F6421" w:rsidRPr="006F6421" w:rsidRDefault="006F6421" w:rsidP="006F6421">
            <w:pPr>
              <w:pStyle w:val="AERbulletlistfirststyle"/>
            </w:pPr>
            <w:r w:rsidRPr="006F6421">
              <w:t>clearly sourced.</w:t>
            </w:r>
          </w:p>
        </w:tc>
        <w:tc>
          <w:tcPr>
            <w:tcW w:w="4621" w:type="dxa"/>
          </w:tcPr>
          <w:p w:rsidR="00CA2A91" w:rsidRDefault="003336FC" w:rsidP="00CA2A91">
            <w:pPr>
              <w:pStyle w:val="AERtabletextleft"/>
            </w:pPr>
            <w:r w:rsidRPr="003336FC">
              <w:t xml:space="preserve">This may be relevant when </w:t>
            </w:r>
            <w:r w:rsidR="00E07FB1">
              <w:t xml:space="preserve">considering the </w:t>
            </w:r>
            <w:r w:rsidRPr="003336FC">
              <w:t xml:space="preserve">frequency of </w:t>
            </w:r>
            <w:r w:rsidR="00E07FB1">
              <w:t xml:space="preserve">alternative </w:t>
            </w:r>
            <w:r w:rsidRPr="003336FC">
              <w:t>data</w:t>
            </w:r>
            <w:r w:rsidR="00E07FB1">
              <w:t xml:space="preserve"> series</w:t>
            </w:r>
            <w:r w:rsidRPr="003336FC">
              <w:t>.</w:t>
            </w:r>
            <w:r w:rsidR="00E07FB1">
              <w:t xml:space="preserve"> For example, daily yields may be more timely than estimates that are available less frequently.</w:t>
            </w:r>
          </w:p>
          <w:p w:rsidR="00CA2A91" w:rsidRPr="00114E93" w:rsidRDefault="00CA2A91" w:rsidP="0034747C">
            <w:pPr>
              <w:pStyle w:val="AERtabletextleft"/>
            </w:pPr>
            <w:r>
              <w:t xml:space="preserve">The extent to which data is clearly sourced may also facilitate a more detailed </w:t>
            </w:r>
            <w:r w:rsidR="0034747C">
              <w:t>assessment of the credibility and robustness of the underlying sample.</w:t>
            </w:r>
          </w:p>
        </w:tc>
      </w:tr>
      <w:tr w:rsidR="006F6421" w:rsidRPr="001A241E" w:rsidTr="006F6421">
        <w:trPr>
          <w:cnfStyle w:val="000000010000" w:firstRow="0" w:lastRow="0" w:firstColumn="0" w:lastColumn="0" w:oddVBand="0" w:evenVBand="0" w:oddHBand="0" w:evenHBand="1" w:firstRowFirstColumn="0" w:firstRowLastColumn="0" w:lastRowFirstColumn="0" w:lastRowLastColumn="0"/>
          <w:trHeight w:val="1134"/>
        </w:trPr>
        <w:tc>
          <w:tcPr>
            <w:tcW w:w="4621" w:type="dxa"/>
          </w:tcPr>
          <w:p w:rsidR="006F6421" w:rsidRPr="006F6421" w:rsidRDefault="006F6421" w:rsidP="006F6421">
            <w:pPr>
              <w:pStyle w:val="AERtabletextleft"/>
            </w:pPr>
            <w:r w:rsidRPr="006F6421">
              <w:t>Sufficiently flexible as to allow changing market conditions and new information to be reflected in regulatory outcomes, as appropriate.</w:t>
            </w:r>
          </w:p>
        </w:tc>
        <w:tc>
          <w:tcPr>
            <w:tcW w:w="4621" w:type="dxa"/>
          </w:tcPr>
          <w:p w:rsidR="006F6421" w:rsidRPr="006F6421" w:rsidRDefault="00CA2A91" w:rsidP="007C02A1">
            <w:pPr>
              <w:pStyle w:val="AERtabletextleft"/>
            </w:pPr>
            <w:r w:rsidRPr="003336FC">
              <w:t xml:space="preserve">This may be </w:t>
            </w:r>
            <w:r w:rsidRPr="00CA2A91">
              <w:t xml:space="preserve">relevant when considering the frequency of alternative data series. For example, daily yields may be more reflective of </w:t>
            </w:r>
            <w:r>
              <w:t xml:space="preserve">new information and changing </w:t>
            </w:r>
            <w:r w:rsidRPr="00CA2A91">
              <w:t>market conditions than estimates that are available less frequently.</w:t>
            </w:r>
          </w:p>
        </w:tc>
      </w:tr>
    </w:tbl>
    <w:p w:rsidR="003336FC" w:rsidRPr="003336FC" w:rsidRDefault="003336FC" w:rsidP="003336FC">
      <w:pPr>
        <w:pStyle w:val="AERtablesource"/>
      </w:pPr>
      <w:r>
        <w:t>Source:</w:t>
      </w:r>
      <w:r>
        <w:tab/>
        <w:t>AER analysis.</w:t>
      </w:r>
    </w:p>
    <w:p w:rsidR="00F12878" w:rsidRPr="004B45A7" w:rsidRDefault="00080C29" w:rsidP="00AD57CB">
      <w:pPr>
        <w:pStyle w:val="Heading2"/>
      </w:pPr>
      <w:bookmarkStart w:id="173" w:name="_Toc381191466"/>
      <w:bookmarkStart w:id="174" w:name="_Toc381197461"/>
      <w:bookmarkStart w:id="175" w:name="_Toc381275542"/>
      <w:bookmarkStart w:id="176" w:name="_Toc381275561"/>
      <w:bookmarkStart w:id="177" w:name="_Ref381360714"/>
      <w:bookmarkStart w:id="178" w:name="_Toc383780221"/>
      <w:bookmarkEnd w:id="173"/>
      <w:bookmarkEnd w:id="174"/>
      <w:bookmarkEnd w:id="175"/>
      <w:bookmarkEnd w:id="176"/>
      <w:r>
        <w:lastRenderedPageBreak/>
        <w:t>Overview of R</w:t>
      </w:r>
      <w:r w:rsidRPr="004B45A7">
        <w:t xml:space="preserve">BA </w:t>
      </w:r>
      <w:r w:rsidR="00F12878" w:rsidRPr="004B45A7">
        <w:t>series</w:t>
      </w:r>
      <w:bookmarkEnd w:id="177"/>
      <w:bookmarkEnd w:id="178"/>
    </w:p>
    <w:p w:rsidR="00F12878" w:rsidRDefault="00581CA1" w:rsidP="00581CA1">
      <w:pPr>
        <w:pStyle w:val="AERbodytext"/>
        <w:rPr>
          <w:rStyle w:val="AERbody"/>
        </w:rPr>
      </w:pPr>
      <w:r>
        <w:rPr>
          <w:rStyle w:val="AERbody"/>
        </w:rPr>
        <w:t xml:space="preserve">The RBA, in its December 2013 Bulletin, published an article titled </w:t>
      </w:r>
      <w:r w:rsidRPr="0029671C">
        <w:rPr>
          <w:rStyle w:val="AERtextitalic"/>
        </w:rPr>
        <w:t>'New measures of Australian corporate credit spreads</w:t>
      </w:r>
      <w:r>
        <w:rPr>
          <w:rStyle w:val="AERbody"/>
        </w:rPr>
        <w:t>'.</w:t>
      </w:r>
      <w:r>
        <w:rPr>
          <w:rStyle w:val="FootnoteReference"/>
        </w:rPr>
        <w:footnoteReference w:id="26"/>
      </w:r>
      <w:r>
        <w:rPr>
          <w:rStyle w:val="AERbody"/>
        </w:rPr>
        <w:t xml:space="preserve"> This article presented a method for estimating the aggregate credit spreads of </w:t>
      </w:r>
      <w:r w:rsidR="002974E4">
        <w:rPr>
          <w:rStyle w:val="AERbody"/>
        </w:rPr>
        <w:t>A</w:t>
      </w:r>
      <w:r w:rsidR="00BB0C94">
        <w:rPr>
          <w:rStyle w:val="AERbody"/>
        </w:rPr>
        <w:t>-rated</w:t>
      </w:r>
      <w:r>
        <w:rPr>
          <w:rStyle w:val="AERbody"/>
        </w:rPr>
        <w:t xml:space="preserve"> and BBB</w:t>
      </w:r>
      <w:r w:rsidR="00BB0C94">
        <w:rPr>
          <w:rStyle w:val="AERbody"/>
        </w:rPr>
        <w:t>-</w:t>
      </w:r>
      <w:r>
        <w:rPr>
          <w:rStyle w:val="AERbody"/>
        </w:rPr>
        <w:t xml:space="preserve">rated </w:t>
      </w:r>
      <w:r w:rsidR="003B0AA3">
        <w:rPr>
          <w:rStyle w:val="AERbody"/>
        </w:rPr>
        <w:t xml:space="preserve">bonds issued by </w:t>
      </w:r>
      <w:r>
        <w:rPr>
          <w:rStyle w:val="AERbody"/>
        </w:rPr>
        <w:t xml:space="preserve">Australian non–financial corporations across </w:t>
      </w:r>
      <w:r w:rsidR="002C1BAA">
        <w:rPr>
          <w:rStyle w:val="AERbody"/>
        </w:rPr>
        <w:t xml:space="preserve">a range of </w:t>
      </w:r>
      <w:r>
        <w:rPr>
          <w:rStyle w:val="AERbody"/>
        </w:rPr>
        <w:t>maturities.</w:t>
      </w:r>
    </w:p>
    <w:p w:rsidR="00701D6E" w:rsidRDefault="00CD2391" w:rsidP="00581CA1">
      <w:pPr>
        <w:pStyle w:val="AERbodytext"/>
        <w:rPr>
          <w:rStyle w:val="AERbody"/>
        </w:rPr>
      </w:pPr>
      <w:r>
        <w:rPr>
          <w:rStyle w:val="AERbody"/>
        </w:rPr>
        <w:t xml:space="preserve">The RBA method estimates credit spreads for given </w:t>
      </w:r>
      <w:r w:rsidR="004A1FBA">
        <w:rPr>
          <w:rStyle w:val="AERbody"/>
        </w:rPr>
        <w:t xml:space="preserve">maturities </w:t>
      </w:r>
      <w:r>
        <w:rPr>
          <w:rStyle w:val="AERbody"/>
        </w:rPr>
        <w:t xml:space="preserve">(three, five, seven and ten years) as </w:t>
      </w:r>
      <w:r w:rsidR="00C46A46">
        <w:rPr>
          <w:rStyle w:val="AERbody"/>
        </w:rPr>
        <w:t>a</w:t>
      </w:r>
      <w:r>
        <w:rPr>
          <w:rStyle w:val="AERbody"/>
        </w:rPr>
        <w:t xml:space="preserve"> weighted average of Australian dollar credit spreads over the swap rate.</w:t>
      </w:r>
      <w:r w:rsidR="00601A87">
        <w:rPr>
          <w:rStyle w:val="FootnoteReference"/>
        </w:rPr>
        <w:footnoteReference w:id="27"/>
      </w:r>
      <w:r>
        <w:rPr>
          <w:rStyle w:val="AERbody"/>
        </w:rPr>
        <w:t xml:space="preserve"> The relative weights</w:t>
      </w:r>
      <w:r w:rsidR="005E144F">
        <w:rPr>
          <w:rStyle w:val="AERbody"/>
        </w:rPr>
        <w:t xml:space="preserve"> of credit spreads are determined by a method that assigns a weight to every observation</w:t>
      </w:r>
      <w:r w:rsidR="007F3AAD">
        <w:rPr>
          <w:rStyle w:val="AERbody"/>
        </w:rPr>
        <w:t xml:space="preserve"> </w:t>
      </w:r>
      <w:r>
        <w:rPr>
          <w:rStyle w:val="AERbody"/>
        </w:rPr>
        <w:t>based on the distance of an observed bond</w:t>
      </w:r>
      <w:r w:rsidR="0056271D">
        <w:rPr>
          <w:rStyle w:val="AERbody"/>
        </w:rPr>
        <w:t>'</w:t>
      </w:r>
      <w:r>
        <w:rPr>
          <w:rStyle w:val="AERbody"/>
        </w:rPr>
        <w:t xml:space="preserve">s </w:t>
      </w:r>
      <w:r w:rsidR="004A1FBA">
        <w:rPr>
          <w:rStyle w:val="AERbody"/>
        </w:rPr>
        <w:t>term to</w:t>
      </w:r>
      <w:r w:rsidR="00601A87">
        <w:rPr>
          <w:rStyle w:val="AERbody"/>
        </w:rPr>
        <w:t xml:space="preserve"> </w:t>
      </w:r>
      <w:r>
        <w:rPr>
          <w:rStyle w:val="AERbody"/>
        </w:rPr>
        <w:t xml:space="preserve">maturity relative to the </w:t>
      </w:r>
      <w:r w:rsidR="005E144F">
        <w:rPr>
          <w:rStyle w:val="AERbody"/>
        </w:rPr>
        <w:t>given (</w:t>
      </w:r>
      <w:r>
        <w:rPr>
          <w:rStyle w:val="AERbody"/>
        </w:rPr>
        <w:t>target</w:t>
      </w:r>
      <w:r w:rsidR="005E144F">
        <w:rPr>
          <w:rStyle w:val="AERbody"/>
        </w:rPr>
        <w:t>)</w:t>
      </w:r>
      <w:r>
        <w:rPr>
          <w:rStyle w:val="AERbody"/>
        </w:rPr>
        <w:t xml:space="preserve"> tenor.</w:t>
      </w:r>
      <w:r w:rsidR="00847B13">
        <w:rPr>
          <w:rStyle w:val="FootnoteReference"/>
        </w:rPr>
        <w:footnoteReference w:id="28"/>
      </w:r>
      <w:r>
        <w:rPr>
          <w:rStyle w:val="AERbody"/>
        </w:rPr>
        <w:t xml:space="preserve"> That is, bonds with </w:t>
      </w:r>
      <w:r w:rsidR="004A1FBA">
        <w:rPr>
          <w:rStyle w:val="AERbody"/>
        </w:rPr>
        <w:t>terms to</w:t>
      </w:r>
      <w:r w:rsidR="00601A87">
        <w:rPr>
          <w:rStyle w:val="AERbody"/>
        </w:rPr>
        <w:t xml:space="preserve"> </w:t>
      </w:r>
      <w:r w:rsidR="005E144F">
        <w:rPr>
          <w:rStyle w:val="AERbody"/>
        </w:rPr>
        <w:t xml:space="preserve">maturity </w:t>
      </w:r>
      <w:r>
        <w:rPr>
          <w:rStyle w:val="AERbody"/>
        </w:rPr>
        <w:t>close to the target tenor are given greater weight than bonds further from the target tenor.</w:t>
      </w:r>
    </w:p>
    <w:p w:rsidR="005E144F" w:rsidRDefault="005E144F" w:rsidP="00581CA1">
      <w:pPr>
        <w:pStyle w:val="AERbodytext"/>
        <w:rPr>
          <w:rStyle w:val="AERbody"/>
        </w:rPr>
      </w:pPr>
      <w:r>
        <w:rPr>
          <w:rStyle w:val="AERbody"/>
        </w:rPr>
        <w:t xml:space="preserve">The RBA will commence publishing </w:t>
      </w:r>
      <w:r w:rsidR="00AE7BD1">
        <w:rPr>
          <w:rStyle w:val="AERbody"/>
        </w:rPr>
        <w:t xml:space="preserve">monthly credit spreads </w:t>
      </w:r>
      <w:r>
        <w:rPr>
          <w:rStyle w:val="AERbody"/>
        </w:rPr>
        <w:t>estimate</w:t>
      </w:r>
      <w:r w:rsidR="00AE7BD1">
        <w:rPr>
          <w:rStyle w:val="AERbody"/>
        </w:rPr>
        <w:t>s</w:t>
      </w:r>
      <w:r>
        <w:rPr>
          <w:rStyle w:val="AERbody"/>
        </w:rPr>
        <w:t xml:space="preserve"> from December 2013.</w:t>
      </w:r>
    </w:p>
    <w:p w:rsidR="00080C29" w:rsidRDefault="00080C29" w:rsidP="00581CA1">
      <w:pPr>
        <w:pStyle w:val="AERbodytext"/>
        <w:rPr>
          <w:rStyle w:val="AERbody"/>
        </w:rPr>
      </w:pPr>
      <w:r>
        <w:rPr>
          <w:rStyle w:val="AERbody"/>
        </w:rPr>
        <w:t>Further detail on the RBA series is provided throughout section </w:t>
      </w:r>
      <w:r>
        <w:rPr>
          <w:rStyle w:val="AERbody"/>
        </w:rPr>
        <w:fldChar w:fldCharType="begin"/>
      </w:r>
      <w:r>
        <w:rPr>
          <w:rStyle w:val="AERbody"/>
        </w:rPr>
        <w:instrText xml:space="preserve"> REF _Ref382897505 \r \h </w:instrText>
      </w:r>
      <w:r>
        <w:rPr>
          <w:rStyle w:val="AERbody"/>
        </w:rPr>
      </w:r>
      <w:r>
        <w:rPr>
          <w:rStyle w:val="AERbody"/>
        </w:rPr>
        <w:fldChar w:fldCharType="separate"/>
      </w:r>
      <w:r w:rsidR="00DC75B8">
        <w:rPr>
          <w:rStyle w:val="AERbody"/>
        </w:rPr>
        <w:t>4.4</w:t>
      </w:r>
      <w:r>
        <w:rPr>
          <w:rStyle w:val="AERbody"/>
        </w:rPr>
        <w:fldChar w:fldCharType="end"/>
      </w:r>
      <w:r>
        <w:rPr>
          <w:rStyle w:val="AERbody"/>
        </w:rPr>
        <w:t>.</w:t>
      </w:r>
    </w:p>
    <w:p w:rsidR="001619D6" w:rsidRPr="004B45A7" w:rsidRDefault="00080C29" w:rsidP="00AD57CB">
      <w:pPr>
        <w:pStyle w:val="Heading2"/>
      </w:pPr>
      <w:bookmarkStart w:id="179" w:name="_Toc383780222"/>
      <w:r>
        <w:t xml:space="preserve">Overview of </w:t>
      </w:r>
      <w:r w:rsidR="001619D6" w:rsidRPr="004B45A7">
        <w:t>Bloomberg series</w:t>
      </w:r>
      <w:bookmarkEnd w:id="179"/>
    </w:p>
    <w:p w:rsidR="00152A65" w:rsidRDefault="001619D6" w:rsidP="00152A65">
      <w:pPr>
        <w:pStyle w:val="AERbodytext"/>
        <w:numPr>
          <w:ilvl w:val="0"/>
          <w:numId w:val="6"/>
        </w:numPr>
      </w:pPr>
      <w:r>
        <w:t xml:space="preserve">Bloomberg currently publishes two alternative data series which </w:t>
      </w:r>
      <w:r w:rsidR="00144171">
        <w:t xml:space="preserve">may </w:t>
      </w:r>
      <w:r>
        <w:t xml:space="preserve">be used to estimate the return on debt for our benchmark </w:t>
      </w:r>
      <w:r w:rsidR="004A1FBA">
        <w:t>efficient entity</w:t>
      </w:r>
      <w:r>
        <w:t xml:space="preserve">. These series are the Bloomberg </w:t>
      </w:r>
      <w:r w:rsidR="0016342E">
        <w:t>valuation service</w:t>
      </w:r>
      <w:r>
        <w:t xml:space="preserve"> (BVAL) </w:t>
      </w:r>
      <w:r w:rsidR="001B7A33">
        <w:t xml:space="preserve">curve </w:t>
      </w:r>
      <w:r>
        <w:t xml:space="preserve">and the Bloomberg fair value </w:t>
      </w:r>
      <w:r w:rsidR="00756A19">
        <w:t xml:space="preserve">(BFV) </w:t>
      </w:r>
      <w:r w:rsidR="00152A65">
        <w:t>curve.</w:t>
      </w:r>
      <w:r w:rsidR="00152A65" w:rsidRPr="00152A65">
        <w:t xml:space="preserve"> </w:t>
      </w:r>
      <w:r w:rsidR="00152A65">
        <w:t>The longest published term</w:t>
      </w:r>
      <w:r w:rsidR="004A1FBA">
        <w:t xml:space="preserve"> to maturity</w:t>
      </w:r>
      <w:r w:rsidR="00152A65">
        <w:t xml:space="preserve"> for these curves is currently seven years.</w:t>
      </w:r>
    </w:p>
    <w:p w:rsidR="00152A65" w:rsidRDefault="00152A65" w:rsidP="00144171">
      <w:pPr>
        <w:pStyle w:val="AERbodytext"/>
      </w:pPr>
      <w:r>
        <w:t xml:space="preserve">We have previously used the BFV curve (subject to extrapolation) to estimate the return on debt, including for all our recent decisions. </w:t>
      </w:r>
      <w:r w:rsidR="00CF7C49">
        <w:t xml:space="preserve">We understand, however, that </w:t>
      </w:r>
      <w:r w:rsidR="00E21AE8">
        <w:t>Bloomberg intend</w:t>
      </w:r>
      <w:r w:rsidR="00817331">
        <w:t>s</w:t>
      </w:r>
      <w:r w:rsidR="00E21AE8">
        <w:t xml:space="preserve"> to cease publishing this curve.</w:t>
      </w:r>
      <w:r w:rsidR="00144171">
        <w:rPr>
          <w:rStyle w:val="FootnoteReference"/>
        </w:rPr>
        <w:t xml:space="preserve"> </w:t>
      </w:r>
      <w:r w:rsidR="00144171">
        <w:t xml:space="preserve">Accordingly, we do not substantively consider the BFV curve in this paper. </w:t>
      </w:r>
      <w:r>
        <w:t xml:space="preserve">The </w:t>
      </w:r>
      <w:r w:rsidR="00F20034">
        <w:t xml:space="preserve">corresponding </w:t>
      </w:r>
      <w:r>
        <w:t xml:space="preserve">BVAL curve was first published </w:t>
      </w:r>
      <w:r w:rsidR="00F20034" w:rsidRPr="00144171">
        <w:t>in November</w:t>
      </w:r>
      <w:r w:rsidRPr="00144171">
        <w:t xml:space="preserve"> 2013 </w:t>
      </w:r>
      <w:r w:rsidR="00144171">
        <w:t xml:space="preserve">and </w:t>
      </w:r>
      <w:r>
        <w:t>has not previously been considered by us or stakeholders in the context of a regulatory determination.</w:t>
      </w:r>
    </w:p>
    <w:p w:rsidR="001619D6" w:rsidRDefault="000D4A35" w:rsidP="00665130">
      <w:pPr>
        <w:pStyle w:val="AERbodytext"/>
      </w:pPr>
      <w:r w:rsidRPr="00665130">
        <w:t xml:space="preserve">Our understanding </w:t>
      </w:r>
      <w:r w:rsidR="00F23BFB" w:rsidRPr="00665130">
        <w:t>of</w:t>
      </w:r>
      <w:r w:rsidRPr="00665130">
        <w:t xml:space="preserve"> the B</w:t>
      </w:r>
      <w:r w:rsidR="00BB56CE" w:rsidRPr="00665130">
        <w:t xml:space="preserve">VAL </w:t>
      </w:r>
      <w:r w:rsidRPr="00665130">
        <w:t xml:space="preserve">curve is </w:t>
      </w:r>
      <w:r w:rsidR="00F23BFB" w:rsidRPr="00665130">
        <w:t xml:space="preserve">that </w:t>
      </w:r>
      <w:r w:rsidR="00C14A28" w:rsidRPr="00665130">
        <w:t xml:space="preserve">it </w:t>
      </w:r>
      <w:r w:rsidR="00F23BFB" w:rsidRPr="00665130">
        <w:t>is</w:t>
      </w:r>
      <w:r w:rsidRPr="00665130">
        <w:t xml:space="preserve"> </w:t>
      </w:r>
      <w:r w:rsidR="00C14A28" w:rsidRPr="00665130">
        <w:t>a</w:t>
      </w:r>
      <w:r w:rsidRPr="00665130">
        <w:t xml:space="preserve"> par yield curve</w:t>
      </w:r>
      <w:r>
        <w:t>.</w:t>
      </w:r>
      <w:r w:rsidR="00BF4FF3">
        <w:rPr>
          <w:rStyle w:val="FootnoteReference"/>
        </w:rPr>
        <w:footnoteReference w:id="29"/>
      </w:r>
      <w:r w:rsidR="00144171">
        <w:t xml:space="preserve"> Moreover, </w:t>
      </w:r>
      <w:r>
        <w:t xml:space="preserve">the BVAL curve </w:t>
      </w:r>
      <w:r w:rsidR="00432BBA">
        <w:t xml:space="preserve">adopts a </w:t>
      </w:r>
      <w:r w:rsidR="00144171">
        <w:t>number</w:t>
      </w:r>
      <w:r w:rsidR="00432BBA">
        <w:t xml:space="preserve"> of constraints for selecting input data</w:t>
      </w:r>
      <w:r>
        <w:t xml:space="preserve">. For example, the BVAL curve </w:t>
      </w:r>
      <w:r w:rsidR="001619D6">
        <w:t xml:space="preserve">is derived from a sample of bonds that have a minimum BVAL score of </w:t>
      </w:r>
      <w:r w:rsidR="009E2175">
        <w:t>six</w:t>
      </w:r>
      <w:r w:rsidR="001619D6">
        <w:t>.</w:t>
      </w:r>
      <w:r w:rsidR="00144171" w:rsidRPr="00144171">
        <w:t xml:space="preserve"> </w:t>
      </w:r>
      <w:r w:rsidR="00144171">
        <w:t xml:space="preserve">BVAL scores are </w:t>
      </w:r>
      <w:r w:rsidR="00EC2D1B" w:rsidRPr="002E75ED">
        <w:t>numerical</w:t>
      </w:r>
      <w:r w:rsidR="00EC2D1B">
        <w:t xml:space="preserve"> </w:t>
      </w:r>
      <w:r w:rsidR="00EC2D1B" w:rsidRPr="002E75ED">
        <w:t>rating</w:t>
      </w:r>
      <w:r w:rsidR="00B965DE">
        <w:t>s</w:t>
      </w:r>
      <w:r w:rsidR="00EC2D1B" w:rsidRPr="002E75ED">
        <w:t xml:space="preserve"> that </w:t>
      </w:r>
      <w:r w:rsidR="00EC2D1B">
        <w:t>provide</w:t>
      </w:r>
      <w:r w:rsidR="00144171">
        <w:t xml:space="preserve"> an indication of</w:t>
      </w:r>
      <w:r w:rsidR="00144171" w:rsidRPr="002E75ED">
        <w:t xml:space="preserve"> the relative strength of the quantity and quality of market inputs used in calculating the BVAL price</w:t>
      </w:r>
      <w:r w:rsidR="00144171">
        <w:t>.</w:t>
      </w:r>
    </w:p>
    <w:p w:rsidR="00080C29" w:rsidRDefault="00080C29" w:rsidP="00080C29">
      <w:pPr>
        <w:pStyle w:val="AERbodytext"/>
        <w:numPr>
          <w:ilvl w:val="0"/>
          <w:numId w:val="6"/>
        </w:numPr>
      </w:pPr>
      <w:r>
        <w:rPr>
          <w:rStyle w:val="AERbody"/>
        </w:rPr>
        <w:t>Further detail on the BVAL series is provided throughout section </w:t>
      </w:r>
      <w:r>
        <w:rPr>
          <w:rStyle w:val="AERbody"/>
        </w:rPr>
        <w:fldChar w:fldCharType="begin"/>
      </w:r>
      <w:r>
        <w:rPr>
          <w:rStyle w:val="AERbody"/>
        </w:rPr>
        <w:instrText xml:space="preserve"> REF _Ref382897505 \r \h </w:instrText>
      </w:r>
      <w:r>
        <w:rPr>
          <w:rStyle w:val="AERbody"/>
        </w:rPr>
      </w:r>
      <w:r>
        <w:rPr>
          <w:rStyle w:val="AERbody"/>
        </w:rPr>
        <w:fldChar w:fldCharType="separate"/>
      </w:r>
      <w:r w:rsidR="00DC75B8">
        <w:rPr>
          <w:rStyle w:val="AERbody"/>
        </w:rPr>
        <w:t>4.4</w:t>
      </w:r>
      <w:r>
        <w:rPr>
          <w:rStyle w:val="AERbody"/>
        </w:rPr>
        <w:fldChar w:fldCharType="end"/>
      </w:r>
      <w:r>
        <w:rPr>
          <w:rStyle w:val="AERbody"/>
        </w:rPr>
        <w:t>.</w:t>
      </w:r>
    </w:p>
    <w:p w:rsidR="001619D6" w:rsidRPr="004B45A7" w:rsidRDefault="001619D6" w:rsidP="00AD57CB">
      <w:pPr>
        <w:pStyle w:val="Heading2"/>
      </w:pPr>
      <w:bookmarkStart w:id="180" w:name="_Ref382897505"/>
      <w:bookmarkStart w:id="181" w:name="_Ref382912940"/>
      <w:bookmarkStart w:id="182" w:name="_Toc383780223"/>
      <w:r w:rsidRPr="004B45A7">
        <w:lastRenderedPageBreak/>
        <w:t xml:space="preserve">Relative </w:t>
      </w:r>
      <w:r w:rsidR="00AB25A0">
        <w:t>comparison</w:t>
      </w:r>
      <w:r w:rsidRPr="004B45A7">
        <w:t xml:space="preserve"> of the alternative series</w:t>
      </w:r>
      <w:bookmarkEnd w:id="180"/>
      <w:bookmarkEnd w:id="181"/>
      <w:bookmarkEnd w:id="182"/>
    </w:p>
    <w:p w:rsidR="001619D6" w:rsidRDefault="001619D6" w:rsidP="001619D6">
      <w:pPr>
        <w:pStyle w:val="AERbodytext"/>
      </w:pPr>
      <w:r>
        <w:t xml:space="preserve">This section provides a relative </w:t>
      </w:r>
      <w:r w:rsidR="00AB25A0">
        <w:t>comparison</w:t>
      </w:r>
      <w:r>
        <w:t xml:space="preserve"> of the </w:t>
      </w:r>
      <w:r w:rsidR="00FB2D18">
        <w:t>features</w:t>
      </w:r>
      <w:r>
        <w:t xml:space="preserve"> of the RBA </w:t>
      </w:r>
      <w:r w:rsidR="00E21AE8">
        <w:t xml:space="preserve">series </w:t>
      </w:r>
      <w:r>
        <w:t xml:space="preserve">and </w:t>
      </w:r>
      <w:r w:rsidR="00E21AE8">
        <w:t xml:space="preserve">the BVAL curve published by </w:t>
      </w:r>
      <w:r>
        <w:t>Bloomberg</w:t>
      </w:r>
      <w:r w:rsidR="00E21452">
        <w:t>.</w:t>
      </w:r>
      <w:r w:rsidR="00E21AE8">
        <w:rPr>
          <w:rStyle w:val="FootnoteReference"/>
        </w:rPr>
        <w:footnoteReference w:id="30"/>
      </w:r>
      <w:r w:rsidR="00E21452">
        <w:t xml:space="preserve"> </w:t>
      </w:r>
      <w:r w:rsidR="00E363C3">
        <w:t xml:space="preserve">In particular, </w:t>
      </w:r>
      <w:r w:rsidR="003B626F">
        <w:t xml:space="preserve">in assessing which series (or combination of these series) we should use to estimate the return on debt, </w:t>
      </w:r>
      <w:r w:rsidR="00E363C3">
        <w:t xml:space="preserve">we </w:t>
      </w:r>
      <w:r w:rsidR="0075622A">
        <w:t xml:space="preserve">may </w:t>
      </w:r>
      <w:r w:rsidR="00E363C3">
        <w:t xml:space="preserve">consider the following </w:t>
      </w:r>
      <w:r w:rsidR="006E62C7">
        <w:t>features</w:t>
      </w:r>
      <w:r>
        <w:t>:</w:t>
      </w:r>
    </w:p>
    <w:p w:rsidR="00E50CC9" w:rsidRDefault="00E50CC9" w:rsidP="00E50CC9">
      <w:pPr>
        <w:pStyle w:val="AERbulletlistfirststyle"/>
      </w:pPr>
      <w:r>
        <w:t xml:space="preserve">characteristics of the benchmark </w:t>
      </w:r>
      <w:r w:rsidR="00F23BFB">
        <w:t>efficient entity</w:t>
      </w:r>
    </w:p>
    <w:p w:rsidR="0075622A" w:rsidRDefault="0075622A" w:rsidP="0075622A">
      <w:pPr>
        <w:pStyle w:val="AERbulletlistfirststyle"/>
      </w:pPr>
      <w:r>
        <w:t>transparency</w:t>
      </w:r>
    </w:p>
    <w:p w:rsidR="002151E4" w:rsidRPr="008B4843" w:rsidRDefault="002151E4" w:rsidP="002151E4">
      <w:pPr>
        <w:pStyle w:val="AERbulletlistfirststyle"/>
      </w:pPr>
      <w:r w:rsidRPr="008B4843">
        <w:t>sample data</w:t>
      </w:r>
      <w:r w:rsidR="0075622A">
        <w:t xml:space="preserve"> construction</w:t>
      </w:r>
    </w:p>
    <w:p w:rsidR="00D8663C" w:rsidRPr="008B4843" w:rsidRDefault="00D8663C" w:rsidP="008B4843">
      <w:pPr>
        <w:pStyle w:val="AERbulletlistfirststyle"/>
      </w:pPr>
      <w:r w:rsidRPr="008B4843">
        <w:t>curve fitting approach</w:t>
      </w:r>
    </w:p>
    <w:p w:rsidR="002151E4" w:rsidRPr="008B4843" w:rsidRDefault="002151E4" w:rsidP="002151E4">
      <w:pPr>
        <w:pStyle w:val="AERbulletlistfirststyle"/>
      </w:pPr>
      <w:r w:rsidRPr="008B4843">
        <w:t xml:space="preserve">empirical </w:t>
      </w:r>
      <w:r w:rsidR="00584878">
        <w:t xml:space="preserve">analysis </w:t>
      </w:r>
      <w:r w:rsidR="0075622A">
        <w:t>relative to our benchmark</w:t>
      </w:r>
    </w:p>
    <w:p w:rsidR="001619D6" w:rsidRDefault="001619D6" w:rsidP="00DA18BC">
      <w:pPr>
        <w:pStyle w:val="AERbulletlistfirststyle"/>
      </w:pPr>
      <w:r>
        <w:t>data frequency</w:t>
      </w:r>
      <w:r w:rsidR="00D8663C">
        <w:t>.</w:t>
      </w:r>
    </w:p>
    <w:p w:rsidR="00E80DA0" w:rsidRDefault="00E80DA0" w:rsidP="00E80DA0">
      <w:r>
        <w:t xml:space="preserve">A comparison of the RBA and </w:t>
      </w:r>
      <w:r w:rsidR="00F753F1">
        <w:t xml:space="preserve">two </w:t>
      </w:r>
      <w:r>
        <w:t xml:space="preserve">Bloomberg series is also shown in </w:t>
      </w:r>
      <w:r w:rsidR="006873ED">
        <w:fldChar w:fldCharType="begin"/>
      </w:r>
      <w:r w:rsidR="006873ED">
        <w:instrText xml:space="preserve"> REF  _Ref381972806 \* Lower \h  \* MERGEFORMAT </w:instrText>
      </w:r>
      <w:r w:rsidR="006873ED">
        <w:fldChar w:fldCharType="separate"/>
      </w:r>
      <w:r w:rsidR="00DC75B8">
        <w:t xml:space="preserve">figure </w:t>
      </w:r>
      <w:r w:rsidR="00DC75B8">
        <w:rPr>
          <w:noProof/>
        </w:rPr>
        <w:t>1</w:t>
      </w:r>
      <w:r w:rsidR="006873ED">
        <w:fldChar w:fldCharType="end"/>
      </w:r>
      <w:r>
        <w:t>.</w:t>
      </w:r>
    </w:p>
    <w:p w:rsidR="00B87433" w:rsidRDefault="006873ED" w:rsidP="006873ED">
      <w:pPr>
        <w:pStyle w:val="Caption"/>
      </w:pPr>
      <w:bookmarkStart w:id="183" w:name="_Ref381972806"/>
      <w:r>
        <w:t xml:space="preserve">Figure </w:t>
      </w:r>
      <w:r w:rsidR="00337B5F">
        <w:fldChar w:fldCharType="begin"/>
      </w:r>
      <w:r w:rsidR="00337B5F">
        <w:instrText xml:space="preserve"> SEQ Figure \* ARABIC </w:instrText>
      </w:r>
      <w:r w:rsidR="00337B5F">
        <w:fldChar w:fldCharType="separate"/>
      </w:r>
      <w:r w:rsidR="00DC75B8">
        <w:rPr>
          <w:noProof/>
        </w:rPr>
        <w:t>1</w:t>
      </w:r>
      <w:r w:rsidR="00337B5F">
        <w:rPr>
          <w:noProof/>
        </w:rPr>
        <w:fldChar w:fldCharType="end"/>
      </w:r>
      <w:bookmarkEnd w:id="183"/>
      <w:r>
        <w:tab/>
        <w:t>Comparison of return on debt estimates</w:t>
      </w:r>
    </w:p>
    <w:p w:rsidR="00B87433" w:rsidRDefault="00B87433" w:rsidP="00B87433">
      <w:pPr>
        <w:pStyle w:val="AERtablesource"/>
      </w:pPr>
      <w:r w:rsidRPr="00B87433">
        <w:rPr>
          <w:noProof/>
          <w:lang w:eastAsia="en-AU"/>
        </w:rPr>
        <w:drawing>
          <wp:inline distT="0" distB="0" distL="0" distR="0" wp14:anchorId="4F5E5E34" wp14:editId="7250C508">
            <wp:extent cx="5641675" cy="36779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46718" cy="3681227"/>
                    </a:xfrm>
                    <a:prstGeom prst="rect">
                      <a:avLst/>
                    </a:prstGeom>
                  </pic:spPr>
                </pic:pic>
              </a:graphicData>
            </a:graphic>
          </wp:inline>
        </w:drawing>
      </w:r>
    </w:p>
    <w:p w:rsidR="006873ED" w:rsidRDefault="006873ED" w:rsidP="00B87433">
      <w:pPr>
        <w:pStyle w:val="AERtablesource"/>
      </w:pPr>
      <w:r>
        <w:t>Source:</w:t>
      </w:r>
      <w:r>
        <w:tab/>
        <w:t>AER analysis.</w:t>
      </w:r>
    </w:p>
    <w:p w:rsidR="00BD0305" w:rsidRPr="00BD0305" w:rsidRDefault="00BD0305" w:rsidP="00B87433">
      <w:pPr>
        <w:pStyle w:val="AERtablesource"/>
      </w:pPr>
      <w:r w:rsidRPr="00BD0305">
        <w:t>Note:</w:t>
      </w:r>
      <w:r w:rsidRPr="00BD0305">
        <w:tab/>
        <w:t>The Bloomberg data has been extrapolated from an underlying seven</w:t>
      </w:r>
      <w:r w:rsidR="00177DC8">
        <w:t>-</w:t>
      </w:r>
      <w:r w:rsidRPr="00BD0305">
        <w:t>year curve to a ten</w:t>
      </w:r>
      <w:r w:rsidR="00177DC8">
        <w:t>-</w:t>
      </w:r>
      <w:r w:rsidRPr="00BD0305">
        <w:t>year term by adding a fixed term spread of 30 basis points. The addition of a fixed spread represents a simplification for illustrative purposes, but the magnitude of this spread reflects that applied in recent AER decisions.</w:t>
      </w:r>
    </w:p>
    <w:p w:rsidR="00E50CC9" w:rsidRPr="0087250E" w:rsidRDefault="00E50CC9" w:rsidP="0087250E">
      <w:pPr>
        <w:pStyle w:val="Heading3"/>
        <w:rPr>
          <w:rStyle w:val="AERbody"/>
          <w:color w:val="E36C0A"/>
          <w:sz w:val="24"/>
        </w:rPr>
      </w:pPr>
      <w:r w:rsidRPr="0087250E">
        <w:rPr>
          <w:rStyle w:val="AERbody"/>
          <w:color w:val="E36C0A"/>
          <w:sz w:val="24"/>
        </w:rPr>
        <w:t xml:space="preserve">Characteristics of the benchmark </w:t>
      </w:r>
      <w:r w:rsidR="00F23BFB">
        <w:rPr>
          <w:rStyle w:val="AERbody"/>
          <w:color w:val="E36C0A"/>
          <w:sz w:val="24"/>
        </w:rPr>
        <w:t>efficient entity</w:t>
      </w:r>
    </w:p>
    <w:p w:rsidR="00E50CC9" w:rsidRDefault="00E50CC9" w:rsidP="00E50CC9">
      <w:pPr>
        <w:pStyle w:val="AERbodytext"/>
        <w:numPr>
          <w:ilvl w:val="0"/>
          <w:numId w:val="6"/>
        </w:numPr>
      </w:pPr>
      <w:r>
        <w:t>In our rate of return guideline, we proposed to estimate the return on debt based on a BBB+ credit rating and term to maturity of 10 years.</w:t>
      </w:r>
      <w:r>
        <w:rPr>
          <w:rStyle w:val="FootnoteReference"/>
        </w:rPr>
        <w:footnoteReference w:id="31"/>
      </w:r>
      <w:r>
        <w:t xml:space="preserve"> We also stated that if published yields do not reflect a BBB+ </w:t>
      </w:r>
      <w:r>
        <w:lastRenderedPageBreak/>
        <w:t>credit rating, we will use the closest approximation available.</w:t>
      </w:r>
      <w:r>
        <w:rPr>
          <w:rStyle w:val="FootnoteReference"/>
        </w:rPr>
        <w:footnoteReference w:id="32"/>
      </w:r>
      <w:r>
        <w:t xml:space="preserve"> In previous decisions, this has included using estimates from a broad BBB rating band.</w:t>
      </w:r>
    </w:p>
    <w:p w:rsidR="00E50CC9" w:rsidRDefault="00E50CC9" w:rsidP="00E50CC9">
      <w:pPr>
        <w:pStyle w:val="AERbodytext"/>
        <w:numPr>
          <w:ilvl w:val="0"/>
          <w:numId w:val="6"/>
        </w:numPr>
      </w:pPr>
      <w:r>
        <w:t>The RBA estimates credit spreads for a range of maturities, including a 10 year term.</w:t>
      </w:r>
      <w:r w:rsidRPr="00C64997">
        <w:t xml:space="preserve"> </w:t>
      </w:r>
      <w:r>
        <w:t>Further, the RBA estimates reflect a broad BBB rating band.  The characteristics of the RBA series, therefore, are reasonably consistent with the term and credit rating for the return on debt proposed in our rate of return guideline.</w:t>
      </w:r>
    </w:p>
    <w:p w:rsidR="00E50CC9" w:rsidRDefault="00E50CC9" w:rsidP="00E50CC9">
      <w:pPr>
        <w:pStyle w:val="AERbodytext"/>
        <w:numPr>
          <w:ilvl w:val="0"/>
          <w:numId w:val="6"/>
        </w:numPr>
      </w:pPr>
      <w:r>
        <w:t xml:space="preserve">Similar to the RBA series, Bloomberg's estimates reflect a broad BBB rating band. The longest published term for </w:t>
      </w:r>
      <w:r w:rsidR="000D001E">
        <w:t>the BVAL curve</w:t>
      </w:r>
      <w:r>
        <w:t xml:space="preserve">, however, is currently seven years. To better match the term of the benchmark </w:t>
      </w:r>
      <w:r w:rsidR="00F23BFB">
        <w:t>efficient entity</w:t>
      </w:r>
      <w:r>
        <w:t xml:space="preserve">, therefore, we </w:t>
      </w:r>
      <w:r w:rsidR="003A71AB">
        <w:t>may need</w:t>
      </w:r>
      <w:r>
        <w:t xml:space="preserve"> to extrapolate the BVAL curve</w:t>
      </w:r>
      <w:r w:rsidR="00675929">
        <w:t xml:space="preserve"> to a 10 year term.</w:t>
      </w:r>
      <w:r>
        <w:t xml:space="preserve"> </w:t>
      </w:r>
      <w:r w:rsidR="00CF7C49">
        <w:t>In</w:t>
      </w:r>
      <w:r w:rsidR="00DF04B1">
        <w:t xml:space="preserve"> contrast,</w:t>
      </w:r>
      <w:r>
        <w:t xml:space="preserve"> the RBA </w:t>
      </w:r>
      <w:r w:rsidR="00833B61">
        <w:t xml:space="preserve">currently </w:t>
      </w:r>
      <w:r w:rsidR="00DF04B1">
        <w:t xml:space="preserve">publishes a </w:t>
      </w:r>
      <w:r>
        <w:t>series</w:t>
      </w:r>
      <w:r w:rsidR="00DF04B1">
        <w:t xml:space="preserve"> with a 10 year term which would not require </w:t>
      </w:r>
      <w:r w:rsidR="00CF7C49">
        <w:t>extrapolation</w:t>
      </w:r>
      <w:r w:rsidR="00DF04B1">
        <w:t>.</w:t>
      </w:r>
      <w:r>
        <w:rPr>
          <w:rStyle w:val="FootnoteReference"/>
        </w:rPr>
        <w:footnoteReference w:id="33"/>
      </w:r>
    </w:p>
    <w:p w:rsidR="0087250E" w:rsidRPr="0087250E" w:rsidRDefault="0087250E" w:rsidP="0087250E">
      <w:pPr>
        <w:pStyle w:val="Heading3"/>
        <w:rPr>
          <w:rStyle w:val="AERbody"/>
          <w:color w:val="E36C0A"/>
          <w:sz w:val="24"/>
        </w:rPr>
      </w:pPr>
      <w:r w:rsidRPr="0087250E">
        <w:rPr>
          <w:rStyle w:val="AERbody"/>
          <w:color w:val="E36C0A"/>
          <w:sz w:val="24"/>
        </w:rPr>
        <w:t>Transparency</w:t>
      </w:r>
    </w:p>
    <w:p w:rsidR="0087250E" w:rsidRDefault="0087250E" w:rsidP="0087250E">
      <w:pPr>
        <w:pStyle w:val="AERbodytext"/>
        <w:numPr>
          <w:ilvl w:val="0"/>
          <w:numId w:val="6"/>
        </w:numPr>
        <w:rPr>
          <w:rStyle w:val="AERbody"/>
        </w:rPr>
      </w:pPr>
      <w:r>
        <w:rPr>
          <w:rStyle w:val="AERbody"/>
        </w:rPr>
        <w:t>The transparency of a given approach is important for providing confidence that the construction of a given series is consistent with well accepted economic and finance principles.</w:t>
      </w:r>
      <w:r>
        <w:rPr>
          <w:rStyle w:val="FootnoteReference"/>
        </w:rPr>
        <w:footnoteReference w:id="34"/>
      </w:r>
      <w:r>
        <w:rPr>
          <w:rStyle w:val="AERbody"/>
        </w:rPr>
        <w:t xml:space="preserve"> In this context, the construction of a given series includes both the composition of the respective samples, as well as any curve fitting methods.</w:t>
      </w:r>
    </w:p>
    <w:p w:rsidR="0087250E" w:rsidRDefault="0087250E" w:rsidP="0087250E">
      <w:pPr>
        <w:pStyle w:val="AERbodytext"/>
        <w:numPr>
          <w:ilvl w:val="0"/>
          <w:numId w:val="6"/>
        </w:numPr>
        <w:rPr>
          <w:rStyle w:val="AERbody"/>
        </w:rPr>
      </w:pPr>
      <w:r>
        <w:rPr>
          <w:rStyle w:val="AERbody"/>
        </w:rPr>
        <w:t>The RBA's method for deriving its estimates of corporate credit spreads was set out in its Bulletin article.</w:t>
      </w:r>
      <w:r w:rsidR="00695587">
        <w:rPr>
          <w:rStyle w:val="FootnoteReference"/>
        </w:rPr>
        <w:footnoteReference w:id="35"/>
      </w:r>
      <w:r>
        <w:rPr>
          <w:rStyle w:val="AERbody"/>
        </w:rPr>
        <w:t xml:space="preserve"> This included an outline of its curve fitting method, as well as an assessment of the performance of the curve over time. The transparency of the RBA series is expected to facilitate a detailed assessment of the assumptions underpinning its curve fitting method. As discussed in section</w:t>
      </w:r>
      <w:r w:rsidR="005368B5">
        <w:rPr>
          <w:rStyle w:val="AERbody"/>
        </w:rPr>
        <w:t> </w:t>
      </w:r>
      <w:r w:rsidR="005368B5">
        <w:rPr>
          <w:rStyle w:val="AERbody"/>
        </w:rPr>
        <w:fldChar w:fldCharType="begin"/>
      </w:r>
      <w:r w:rsidR="005368B5">
        <w:rPr>
          <w:rStyle w:val="AERbody"/>
        </w:rPr>
        <w:instrText xml:space="preserve"> REF _Ref382904873 \r \h </w:instrText>
      </w:r>
      <w:r w:rsidR="005368B5">
        <w:rPr>
          <w:rStyle w:val="AERbody"/>
        </w:rPr>
      </w:r>
      <w:r w:rsidR="005368B5">
        <w:rPr>
          <w:rStyle w:val="AERbody"/>
        </w:rPr>
        <w:fldChar w:fldCharType="separate"/>
      </w:r>
      <w:r w:rsidR="00DC75B8">
        <w:rPr>
          <w:rStyle w:val="AERbody"/>
        </w:rPr>
        <w:t>4.4.3</w:t>
      </w:r>
      <w:r w:rsidR="005368B5">
        <w:rPr>
          <w:rStyle w:val="AERbody"/>
        </w:rPr>
        <w:fldChar w:fldCharType="end"/>
      </w:r>
      <w:r>
        <w:rPr>
          <w:rStyle w:val="AERbody"/>
        </w:rPr>
        <w:t>, however, the composition of the bond sample used in the RBA series is less clear.</w:t>
      </w:r>
    </w:p>
    <w:p w:rsidR="0087250E" w:rsidRDefault="0087250E" w:rsidP="0087250E">
      <w:pPr>
        <w:pStyle w:val="AERbodytext"/>
        <w:numPr>
          <w:ilvl w:val="0"/>
          <w:numId w:val="6"/>
        </w:numPr>
        <w:rPr>
          <w:rStyle w:val="AERbody"/>
        </w:rPr>
      </w:pPr>
      <w:r>
        <w:rPr>
          <w:rStyle w:val="AERbody"/>
        </w:rPr>
        <w:t xml:space="preserve">In contrast, the proprietary nature of Bloomberg's series has previously been criticised. For example, we have previously stated that </w:t>
      </w:r>
      <w:r w:rsidRPr="00EC1B9C">
        <w:rPr>
          <w:rStyle w:val="AERbody"/>
        </w:rPr>
        <w:t>the proprietary nature of Bloomberg’s</w:t>
      </w:r>
      <w:r>
        <w:rPr>
          <w:rStyle w:val="AERbody"/>
        </w:rPr>
        <w:t xml:space="preserve"> modelling limits our</w:t>
      </w:r>
      <w:r w:rsidRPr="00EC1B9C">
        <w:rPr>
          <w:rStyle w:val="AERbody"/>
        </w:rPr>
        <w:t xml:space="preserve"> ability to assess the factors driving </w:t>
      </w:r>
      <w:r>
        <w:rPr>
          <w:rStyle w:val="AERbody"/>
        </w:rPr>
        <w:t>the BFV</w:t>
      </w:r>
      <w:r w:rsidRPr="00EC1B9C">
        <w:rPr>
          <w:rStyle w:val="AERbody"/>
        </w:rPr>
        <w:t xml:space="preserve"> curve</w:t>
      </w:r>
      <w:r>
        <w:rPr>
          <w:rStyle w:val="AERbody"/>
        </w:rPr>
        <w:t>.</w:t>
      </w:r>
      <w:r>
        <w:rPr>
          <w:rStyle w:val="FootnoteReference"/>
        </w:rPr>
        <w:footnoteReference w:id="36"/>
      </w:r>
      <w:r>
        <w:rPr>
          <w:rStyle w:val="AERbody"/>
        </w:rPr>
        <w:t xml:space="preserve"> </w:t>
      </w:r>
      <w:r w:rsidR="00833B61">
        <w:rPr>
          <w:rStyle w:val="AERbody"/>
        </w:rPr>
        <w:t xml:space="preserve">Service providers have </w:t>
      </w:r>
      <w:r>
        <w:rPr>
          <w:rStyle w:val="AERbody"/>
        </w:rPr>
        <w:t>also previously expressed concerns with the limited transparency of Bloomberg's curves.</w:t>
      </w:r>
      <w:r>
        <w:rPr>
          <w:rStyle w:val="FootnoteReference"/>
        </w:rPr>
        <w:footnoteReference w:id="37"/>
      </w:r>
      <w:r>
        <w:rPr>
          <w:rStyle w:val="AERbody"/>
        </w:rPr>
        <w:t xml:space="preserve"> That said, </w:t>
      </w:r>
      <w:r w:rsidR="00476B05">
        <w:rPr>
          <w:rStyle w:val="AERbody"/>
        </w:rPr>
        <w:t xml:space="preserve">on a given day </w:t>
      </w:r>
      <w:r>
        <w:rPr>
          <w:rStyle w:val="AERbody"/>
        </w:rPr>
        <w:t xml:space="preserve">it is possible to view the underlying bond sample and corresponding yield data that </w:t>
      </w:r>
      <w:r w:rsidR="00476B05">
        <w:rPr>
          <w:rStyle w:val="AERbody"/>
        </w:rPr>
        <w:t>informs the BVAL series</w:t>
      </w:r>
      <w:r>
        <w:rPr>
          <w:rStyle w:val="AERbody"/>
        </w:rPr>
        <w:t>.</w:t>
      </w:r>
    </w:p>
    <w:p w:rsidR="00085B47" w:rsidRPr="0087250E" w:rsidRDefault="00085B47" w:rsidP="0087250E">
      <w:pPr>
        <w:pStyle w:val="Heading3"/>
      </w:pPr>
      <w:bookmarkStart w:id="184" w:name="_Ref382904873"/>
      <w:r w:rsidRPr="0087250E">
        <w:t>Sample data construction</w:t>
      </w:r>
      <w:bookmarkEnd w:id="184"/>
    </w:p>
    <w:p w:rsidR="00085B47" w:rsidRDefault="0087250E" w:rsidP="00085B47">
      <w:pPr>
        <w:pStyle w:val="AERbodytext"/>
        <w:numPr>
          <w:ilvl w:val="0"/>
          <w:numId w:val="6"/>
        </w:numPr>
      </w:pPr>
      <w:r>
        <w:t>T</w:t>
      </w:r>
      <w:r w:rsidR="00085B47">
        <w:t>he construction of the sample used to inform the RBA and Bloomberg series var</w:t>
      </w:r>
      <w:r>
        <w:t>ies</w:t>
      </w:r>
      <w:r w:rsidR="00833B61">
        <w:t xml:space="preserve"> (from one another, and over time)</w:t>
      </w:r>
      <w:r w:rsidR="00085B47">
        <w:t>. For example, the RBA sample includes fixed rate bonds issued by non–financial corporations that are incorporated in Australia.</w:t>
      </w:r>
      <w:r w:rsidR="00091FAB">
        <w:rPr>
          <w:rStyle w:val="FootnoteReference"/>
        </w:rPr>
        <w:footnoteReference w:id="38"/>
      </w:r>
      <w:r w:rsidR="00085B47">
        <w:t xml:space="preserve"> This includes bonds issued in both Australian and foreign currencies, and with embedded options</w:t>
      </w:r>
      <w:r w:rsidR="006F5AE8">
        <w:rPr>
          <w:rStyle w:val="FootnoteReference"/>
        </w:rPr>
        <w:footnoteReference w:id="39"/>
      </w:r>
      <w:r w:rsidR="00085B47">
        <w:t xml:space="preserve">. Further, the RBA uses BVAL pricing data </w:t>
      </w:r>
      <w:proofErr w:type="spellStart"/>
      <w:r w:rsidR="00085B47">
        <w:t>where</w:t>
      </w:r>
      <w:proofErr w:type="spellEnd"/>
      <w:r w:rsidR="00085B47">
        <w:t xml:space="preserve"> available, but </w:t>
      </w:r>
      <w:r w:rsidR="00833B61">
        <w:t xml:space="preserve">has supplemented </w:t>
      </w:r>
      <w:r w:rsidR="00085B47">
        <w:t>this with Bloomberg generic prices and UBS data</w:t>
      </w:r>
      <w:r w:rsidR="00833B61">
        <w:t xml:space="preserve"> for the purpose of back–casting its series</w:t>
      </w:r>
      <w:r w:rsidR="00085B47">
        <w:t>.</w:t>
      </w:r>
      <w:r w:rsidR="00091FAB">
        <w:t xml:space="preserve"> The RBA, however, does not provide a list of the specific bonds used in its sample.</w:t>
      </w:r>
    </w:p>
    <w:p w:rsidR="00085B47" w:rsidRPr="00631914" w:rsidRDefault="00085B47" w:rsidP="00085B47">
      <w:pPr>
        <w:pStyle w:val="AERbodytext"/>
        <w:numPr>
          <w:ilvl w:val="0"/>
          <w:numId w:val="6"/>
        </w:numPr>
      </w:pPr>
      <w:r>
        <w:lastRenderedPageBreak/>
        <w:t xml:space="preserve">In contrast, the sample </w:t>
      </w:r>
      <w:r w:rsidR="001A1E10">
        <w:t xml:space="preserve">Bloomberg </w:t>
      </w:r>
      <w:r>
        <w:t>used to derive the BVAL curve</w:t>
      </w:r>
      <w:r w:rsidR="003E0274">
        <w:t xml:space="preserve"> is set out below</w:t>
      </w:r>
      <w:r w:rsidRPr="00631914">
        <w:t>:</w:t>
      </w:r>
    </w:p>
    <w:p w:rsidR="00085B47" w:rsidRDefault="001A1E10" w:rsidP="00085B47">
      <w:pPr>
        <w:pStyle w:val="AERbulletlistfirststyle"/>
      </w:pPr>
      <w:r>
        <w:t>e</w:t>
      </w:r>
      <w:r w:rsidR="00085B47">
        <w:t>xcludes</w:t>
      </w:r>
      <w:r w:rsidR="00085B47" w:rsidRPr="00631914">
        <w:t xml:space="preserve"> bonds that breach certain yield</w:t>
      </w:r>
      <w:r w:rsidR="00B9244A">
        <w:t xml:space="preserve"> </w:t>
      </w:r>
      <w:r w:rsidR="00085B47" w:rsidRPr="00631914">
        <w:t>to</w:t>
      </w:r>
      <w:r w:rsidR="00B9244A">
        <w:t xml:space="preserve"> </w:t>
      </w:r>
      <w:r w:rsidR="00085B47">
        <w:t>maturity thresholds</w:t>
      </w:r>
    </w:p>
    <w:p w:rsidR="00085B47" w:rsidRDefault="001A1E10" w:rsidP="00085B47">
      <w:pPr>
        <w:pStyle w:val="AERbulletlistfirststyle"/>
      </w:pPr>
      <w:r>
        <w:t>o</w:t>
      </w:r>
      <w:r w:rsidR="00085B47">
        <w:t>nly uses</w:t>
      </w:r>
      <w:r w:rsidR="00085B47" w:rsidRPr="00631914">
        <w:t xml:space="preserve"> bonds with a BVAL score of 6 or higher</w:t>
      </w:r>
    </w:p>
    <w:p w:rsidR="00085B47" w:rsidRPr="00631914" w:rsidRDefault="001A1E10" w:rsidP="00085B47">
      <w:pPr>
        <w:pStyle w:val="AERbulletlistfirststyle"/>
      </w:pPr>
      <w:r>
        <w:t>o</w:t>
      </w:r>
      <w:r w:rsidR="00085B47">
        <w:t>nly publishes</w:t>
      </w:r>
      <w:r w:rsidR="00085B47" w:rsidRPr="00631914">
        <w:t xml:space="preserve"> curves </w:t>
      </w:r>
      <w:r w:rsidR="007931D6">
        <w:t xml:space="preserve">(for a given maturity) </w:t>
      </w:r>
      <w:r w:rsidR="00085B47" w:rsidRPr="00631914">
        <w:t>whe</w:t>
      </w:r>
      <w:r w:rsidR="00085B47">
        <w:t>n a</w:t>
      </w:r>
      <w:r w:rsidR="00085B47" w:rsidRPr="00631914">
        <w:t>t least 15 bonds across the term structure</w:t>
      </w:r>
      <w:r w:rsidR="00115A6F">
        <w:rPr>
          <w:rStyle w:val="FootnoteReference"/>
        </w:rPr>
        <w:footnoteReference w:id="40"/>
      </w:r>
      <w:r w:rsidR="00085B47">
        <w:t xml:space="preserve"> are available</w:t>
      </w:r>
    </w:p>
    <w:p w:rsidR="00085B47" w:rsidRPr="00631914" w:rsidRDefault="001A1E10" w:rsidP="00085B47">
      <w:pPr>
        <w:pStyle w:val="AERbulletlistfirststyle"/>
      </w:pPr>
      <w:r>
        <w:t>o</w:t>
      </w:r>
      <w:r w:rsidR="00085B47" w:rsidRPr="00631914">
        <w:t>nly</w:t>
      </w:r>
      <w:r w:rsidR="00085B47">
        <w:t xml:space="preserve"> includes</w:t>
      </w:r>
      <w:r w:rsidR="00085B47" w:rsidRPr="00631914">
        <w:t xml:space="preserve"> bonds with a minimum of </w:t>
      </w:r>
      <w:r>
        <w:t>two</w:t>
      </w:r>
      <w:r w:rsidRPr="00631914">
        <w:t xml:space="preserve"> </w:t>
      </w:r>
      <w:r w:rsidR="00085B47" w:rsidRPr="00631914">
        <w:t>months to maturity</w:t>
      </w:r>
    </w:p>
    <w:p w:rsidR="00085B47" w:rsidRDefault="001A1E10" w:rsidP="00085B47">
      <w:pPr>
        <w:pStyle w:val="AERbulletlistfirststyle"/>
      </w:pPr>
      <w:r>
        <w:t>e</w:t>
      </w:r>
      <w:r w:rsidR="00085B47">
        <w:t>xcludes the following bond structures:</w:t>
      </w:r>
    </w:p>
    <w:p w:rsidR="00085B47" w:rsidRDefault="00085B47" w:rsidP="00085B47">
      <w:pPr>
        <w:pStyle w:val="AERbulletlistsecondstyle"/>
      </w:pPr>
      <w:r>
        <w:t>retail medium term notes—</w:t>
      </w:r>
      <w:r w:rsidRPr="00631914">
        <w:t>bonds with an embedded survivor put option</w:t>
      </w:r>
      <w:r>
        <w:t>s</w:t>
      </w:r>
    </w:p>
    <w:p w:rsidR="00085B47" w:rsidRPr="00631914" w:rsidRDefault="00085B47" w:rsidP="00085B47">
      <w:pPr>
        <w:pStyle w:val="AERbulletlistsecondstyle"/>
      </w:pPr>
      <w:r>
        <w:t>embedded structures—</w:t>
      </w:r>
      <w:r w:rsidRPr="00631914">
        <w:t>bonds with call</w:t>
      </w:r>
      <w:r>
        <w:t xml:space="preserve"> or </w:t>
      </w:r>
      <w:r w:rsidRPr="00631914">
        <w:t>put options</w:t>
      </w:r>
      <w:r w:rsidR="00690DDC">
        <w:rPr>
          <w:rStyle w:val="FootnoteReference"/>
        </w:rPr>
        <w:footnoteReference w:id="41"/>
      </w:r>
      <w:r w:rsidRPr="00631914">
        <w:t xml:space="preserve">, </w:t>
      </w:r>
      <w:r>
        <w:t>c</w:t>
      </w:r>
      <w:r w:rsidRPr="00631914">
        <w:t xml:space="preserve">onvertibles and </w:t>
      </w:r>
      <w:r>
        <w:t>s</w:t>
      </w:r>
      <w:r w:rsidRPr="00631914">
        <w:t xml:space="preserve">inking </w:t>
      </w:r>
      <w:r>
        <w:t>f</w:t>
      </w:r>
      <w:r w:rsidRPr="00631914">
        <w:t>unds</w:t>
      </w:r>
    </w:p>
    <w:p w:rsidR="00085B47" w:rsidRDefault="00085B47" w:rsidP="00085B47">
      <w:pPr>
        <w:pStyle w:val="AERbulletlistsecondstyle"/>
      </w:pPr>
      <w:r>
        <w:t>c</w:t>
      </w:r>
      <w:r w:rsidRPr="00631914">
        <w:t>oupon types</w:t>
      </w:r>
      <w:r>
        <w:t>—i</w:t>
      </w:r>
      <w:r w:rsidRPr="00631914">
        <w:t xml:space="preserve">nflation </w:t>
      </w:r>
      <w:r>
        <w:t>l</w:t>
      </w:r>
      <w:r w:rsidRPr="00631914">
        <w:t xml:space="preserve">inked, </w:t>
      </w:r>
      <w:r>
        <w:t>f</w:t>
      </w:r>
      <w:r w:rsidRPr="00631914">
        <w:t xml:space="preserve">loating </w:t>
      </w:r>
      <w:r>
        <w:t>r</w:t>
      </w:r>
      <w:r w:rsidRPr="00631914">
        <w:t xml:space="preserve">ate and </w:t>
      </w:r>
      <w:r>
        <w:t>s</w:t>
      </w:r>
      <w:r w:rsidRPr="00631914">
        <w:t xml:space="preserve">tructured </w:t>
      </w:r>
      <w:r>
        <w:t>n</w:t>
      </w:r>
      <w:r w:rsidRPr="00631914">
        <w:t>otes.</w:t>
      </w:r>
    </w:p>
    <w:p w:rsidR="00091FAB" w:rsidRDefault="00091FAB" w:rsidP="00085B47">
      <w:pPr>
        <w:pStyle w:val="AERbodytext"/>
        <w:numPr>
          <w:ilvl w:val="0"/>
          <w:numId w:val="6"/>
        </w:numPr>
      </w:pPr>
      <w:r>
        <w:t>In addition, it is possible to view the specific bonds (and their corresponding yields) used in Bloomberg's sample on a given day.</w:t>
      </w:r>
    </w:p>
    <w:p w:rsidR="00085B47" w:rsidRDefault="00085B47" w:rsidP="00085B47">
      <w:pPr>
        <w:pStyle w:val="AERbodytext"/>
        <w:numPr>
          <w:ilvl w:val="0"/>
          <w:numId w:val="6"/>
        </w:numPr>
        <w:rPr>
          <w:rStyle w:val="AERbody"/>
        </w:rPr>
      </w:pPr>
      <w:r>
        <w:t xml:space="preserve">All else equal, a larger sample may lead to more robust statistical outcomes. However, a trade off exists between increasing the sample size with data for firms that represent a lesser match to the characteristics of our benchmark </w:t>
      </w:r>
      <w:r w:rsidR="00F23BFB">
        <w:t>efficient entity</w:t>
      </w:r>
      <w:r>
        <w:t xml:space="preserve">. That is, an unrepresentative sample may lead to </w:t>
      </w:r>
      <w:r w:rsidR="00833B61">
        <w:t>unrepresentative</w:t>
      </w:r>
      <w:r>
        <w:t xml:space="preserve"> results.</w:t>
      </w:r>
    </w:p>
    <w:p w:rsidR="00085B47" w:rsidRDefault="00A32444" w:rsidP="00085B47">
      <w:pPr>
        <w:pStyle w:val="AERbodytext"/>
        <w:numPr>
          <w:ilvl w:val="0"/>
          <w:numId w:val="6"/>
        </w:numPr>
        <w:rPr>
          <w:rStyle w:val="AERbody"/>
        </w:rPr>
      </w:pPr>
      <w:r>
        <w:rPr>
          <w:rStyle w:val="AERbody"/>
        </w:rPr>
        <w:t>Similarly</w:t>
      </w:r>
      <w:r w:rsidR="00085B47">
        <w:rPr>
          <w:rStyle w:val="AERbody"/>
        </w:rPr>
        <w:t xml:space="preserve">, </w:t>
      </w:r>
      <w:r w:rsidR="00085B47" w:rsidRPr="00EA6300">
        <w:rPr>
          <w:rStyle w:val="AERbody"/>
        </w:rPr>
        <w:t>the extent to which yield data may need to be adjusted to facilitate comparisons</w:t>
      </w:r>
      <w:r w:rsidR="00085B47">
        <w:rPr>
          <w:rStyle w:val="AERbody"/>
        </w:rPr>
        <w:t xml:space="preserve"> may be relevant</w:t>
      </w:r>
      <w:r w:rsidR="00085B47" w:rsidRPr="00EA6300">
        <w:rPr>
          <w:rStyle w:val="AERbody"/>
        </w:rPr>
        <w:t xml:space="preserve">. For example, using a sample of </w:t>
      </w:r>
      <w:r w:rsidR="00D05D07" w:rsidRPr="00EA6300">
        <w:rPr>
          <w:rStyle w:val="AERbody"/>
        </w:rPr>
        <w:t xml:space="preserve"> </w:t>
      </w:r>
      <w:r w:rsidR="00085B47" w:rsidRPr="00EA6300">
        <w:rPr>
          <w:rStyle w:val="AERbody"/>
        </w:rPr>
        <w:t xml:space="preserve">bonds </w:t>
      </w:r>
      <w:r w:rsidR="001A1E10">
        <w:rPr>
          <w:rStyle w:val="AERbody"/>
        </w:rPr>
        <w:t xml:space="preserve">that exclude those </w:t>
      </w:r>
      <w:r w:rsidR="00085B47" w:rsidRPr="00EA6300">
        <w:rPr>
          <w:rStyle w:val="AERbody"/>
        </w:rPr>
        <w:t xml:space="preserve">with options </w:t>
      </w:r>
      <w:r w:rsidR="00DE7BD8">
        <w:rPr>
          <w:rStyle w:val="AERbody"/>
        </w:rPr>
        <w:t xml:space="preserve">(the Bloomberg data series) </w:t>
      </w:r>
      <w:r w:rsidR="00085B47" w:rsidRPr="00EA6300">
        <w:rPr>
          <w:rStyle w:val="AERbody"/>
        </w:rPr>
        <w:t xml:space="preserve">may be preferable to </w:t>
      </w:r>
      <w:r w:rsidR="00D05D07">
        <w:rPr>
          <w:rStyle w:val="AERbody"/>
        </w:rPr>
        <w:t xml:space="preserve">using </w:t>
      </w:r>
      <w:r w:rsidR="00085B47" w:rsidRPr="00EA6300">
        <w:rPr>
          <w:rStyle w:val="AERbody"/>
        </w:rPr>
        <w:t xml:space="preserve">a sample of bonds </w:t>
      </w:r>
      <w:r w:rsidR="001A1E10">
        <w:rPr>
          <w:rStyle w:val="AERbody"/>
        </w:rPr>
        <w:t xml:space="preserve">that include those with options </w:t>
      </w:r>
      <w:r w:rsidR="00D05D07">
        <w:rPr>
          <w:rStyle w:val="AERbody"/>
        </w:rPr>
        <w:t xml:space="preserve">and then </w:t>
      </w:r>
      <w:r w:rsidR="001A1E10">
        <w:rPr>
          <w:rStyle w:val="AERbody"/>
        </w:rPr>
        <w:t xml:space="preserve">making adjustments to </w:t>
      </w:r>
      <w:r w:rsidR="00D05D07">
        <w:rPr>
          <w:rStyle w:val="AERbody"/>
        </w:rPr>
        <w:t>remov</w:t>
      </w:r>
      <w:r w:rsidR="001A1E10">
        <w:rPr>
          <w:rStyle w:val="AERbody"/>
        </w:rPr>
        <w:t>e</w:t>
      </w:r>
      <w:r w:rsidR="00D05D07">
        <w:rPr>
          <w:rStyle w:val="AERbody"/>
        </w:rPr>
        <w:t xml:space="preserve"> </w:t>
      </w:r>
      <w:r w:rsidR="00085B47" w:rsidRPr="00EA6300">
        <w:rPr>
          <w:rStyle w:val="AERbody"/>
        </w:rPr>
        <w:t>the</w:t>
      </w:r>
      <w:r w:rsidR="00E10453">
        <w:rPr>
          <w:rStyle w:val="AERbody"/>
        </w:rPr>
        <w:t xml:space="preserve"> </w:t>
      </w:r>
      <w:r w:rsidR="00085B47" w:rsidRPr="00EA6300">
        <w:rPr>
          <w:rStyle w:val="AERbody"/>
        </w:rPr>
        <w:t>impact of the option</w:t>
      </w:r>
      <w:r w:rsidR="00E10453">
        <w:rPr>
          <w:rStyle w:val="AERbody"/>
        </w:rPr>
        <w:t xml:space="preserve"> on yields</w:t>
      </w:r>
      <w:r w:rsidR="00085B47" w:rsidRPr="00EA6300">
        <w:rPr>
          <w:rStyle w:val="AERbody"/>
        </w:rPr>
        <w:t xml:space="preserve">. </w:t>
      </w:r>
      <w:r w:rsidR="00085B47">
        <w:rPr>
          <w:rStyle w:val="AERbody"/>
        </w:rPr>
        <w:t>As previously stated by Professor John Handley, any such adjustments may</w:t>
      </w:r>
      <w:r w:rsidR="00085B47" w:rsidRPr="00B72E5D">
        <w:rPr>
          <w:rStyle w:val="AERbody"/>
        </w:rPr>
        <w:t xml:space="preserve"> introduce ‘a second layer of uncertainty’</w:t>
      </w:r>
      <w:r w:rsidR="00085B47" w:rsidRPr="00EA6300">
        <w:rPr>
          <w:rStyle w:val="AERbody"/>
        </w:rPr>
        <w:t>.</w:t>
      </w:r>
      <w:r w:rsidR="00085B47">
        <w:rPr>
          <w:rStyle w:val="FootnoteReference"/>
        </w:rPr>
        <w:footnoteReference w:id="42"/>
      </w:r>
    </w:p>
    <w:p w:rsidR="00D8663C" w:rsidRPr="0087250E" w:rsidRDefault="00D8663C" w:rsidP="0087250E">
      <w:pPr>
        <w:pStyle w:val="Heading3"/>
        <w:rPr>
          <w:rStyle w:val="AERbody"/>
          <w:color w:val="E36C0A"/>
          <w:sz w:val="24"/>
        </w:rPr>
      </w:pPr>
      <w:r w:rsidRPr="0087250E">
        <w:rPr>
          <w:rStyle w:val="AERbody"/>
          <w:color w:val="E36C0A"/>
          <w:sz w:val="24"/>
        </w:rPr>
        <w:t>Curve fitting approach</w:t>
      </w:r>
    </w:p>
    <w:p w:rsidR="00FB2D18" w:rsidRDefault="00DD7F55" w:rsidP="00D8663C">
      <w:pPr>
        <w:pStyle w:val="AERbodytext"/>
      </w:pPr>
      <w:r>
        <w:t xml:space="preserve">It is possible to estimate </w:t>
      </w:r>
      <w:r w:rsidR="00833B61">
        <w:t xml:space="preserve">yield curves or </w:t>
      </w:r>
      <w:r>
        <w:t>credit spreads using a number of alternative approaches. The alternative approaches adopted by Bloomberg and the RBA, therefore,</w:t>
      </w:r>
      <w:r w:rsidR="00795853">
        <w:t xml:space="preserve"> </w:t>
      </w:r>
      <w:r w:rsidR="00635743">
        <w:t xml:space="preserve">may </w:t>
      </w:r>
      <w:r w:rsidR="00FB2D18">
        <w:t xml:space="preserve">be a factor that we consider when </w:t>
      </w:r>
      <w:r w:rsidR="00E106F1">
        <w:t xml:space="preserve">assessing </w:t>
      </w:r>
      <w:r w:rsidR="00795853">
        <w:t>proposals to use a particular curve</w:t>
      </w:r>
      <w:r w:rsidR="00E106F1">
        <w:t>.</w:t>
      </w:r>
    </w:p>
    <w:p w:rsidR="00DD7F55" w:rsidRDefault="00DD7F55" w:rsidP="00DD7F55">
      <w:pPr>
        <w:pStyle w:val="AERbodytext"/>
      </w:pPr>
      <w:r>
        <w:t>The RBA approach to estimating credit spreads is outlined in their Bulletin article. The RBA explains it</w:t>
      </w:r>
      <w:r w:rsidR="00635743">
        <w:t>s</w:t>
      </w:r>
      <w:r>
        <w:t xml:space="preserve"> approach</w:t>
      </w:r>
      <w:r w:rsidR="00635743">
        <w:t xml:space="preserve"> </w:t>
      </w:r>
      <w:r>
        <w:t>as follows:</w:t>
      </w:r>
      <w:r w:rsidR="00BF5487">
        <w:rPr>
          <w:rStyle w:val="FootnoteReference"/>
        </w:rPr>
        <w:footnoteReference w:id="43"/>
      </w:r>
    </w:p>
    <w:p w:rsidR="00DD7F55" w:rsidRDefault="00DD7F55" w:rsidP="00DD7F55">
      <w:pPr>
        <w:pStyle w:val="AERquote"/>
      </w:pPr>
      <w:r>
        <w:t>[A]</w:t>
      </w:r>
      <w:proofErr w:type="spellStart"/>
      <w:r w:rsidRPr="00DD7F55">
        <w:t>ggregate</w:t>
      </w:r>
      <w:proofErr w:type="spellEnd"/>
      <w:r w:rsidRPr="00DD7F55">
        <w:t xml:space="preserve"> credit spreads of A-rated and BBB-rated Australian NFCs</w:t>
      </w:r>
      <w:r w:rsidR="00085B47">
        <w:t xml:space="preserve"> [non–financial corporations]</w:t>
      </w:r>
      <w:r w:rsidRPr="00DD7F55">
        <w:t xml:space="preserve"> are estimated for a given (target) tenor as the weighted average of the Australian dollar equivalent credit spreads over the swap rate. The method is applied to the cross-section of bonds in the sample that have the desired credit rating. The weights are determined by a Gaussian kernel that assigns a weight to every </w:t>
      </w:r>
      <w:r w:rsidRPr="00DD7F55">
        <w:lastRenderedPageBreak/>
        <w:t>observation in the cross-section depending on the distance of the observation's residual maturity and the target tenor according to a Gaussian (normal) distribut</w:t>
      </w:r>
      <w:r w:rsidR="00635743">
        <w:t>ion centred at the target tenor.</w:t>
      </w:r>
    </w:p>
    <w:p w:rsidR="00A7195C" w:rsidRDefault="00DD7F55" w:rsidP="000C212D">
      <w:pPr>
        <w:pStyle w:val="AERbodytext"/>
      </w:pPr>
      <w:r>
        <w:t xml:space="preserve">The specific </w:t>
      </w:r>
      <w:r w:rsidR="00BF5487">
        <w:t xml:space="preserve">curve fitting </w:t>
      </w:r>
      <w:r>
        <w:t xml:space="preserve">approach adopted by </w:t>
      </w:r>
      <w:r w:rsidR="002F0101">
        <w:t>Bloomberg</w:t>
      </w:r>
      <w:r>
        <w:t xml:space="preserve"> is less clear</w:t>
      </w:r>
      <w:r w:rsidR="00635743">
        <w:t>, due to the proprietary nature of its modelling</w:t>
      </w:r>
      <w:r>
        <w:t xml:space="preserve">. </w:t>
      </w:r>
      <w:r w:rsidR="00A7195C" w:rsidRPr="000C212D">
        <w:t>Our understanding</w:t>
      </w:r>
      <w:r w:rsidR="0091671B" w:rsidRPr="000C212D">
        <w:t>, however,</w:t>
      </w:r>
      <w:r w:rsidR="00A7195C" w:rsidRPr="000C212D">
        <w:t xml:space="preserve"> is</w:t>
      </w:r>
      <w:r w:rsidR="0091671B" w:rsidRPr="000C212D">
        <w:t xml:space="preserve"> that</w:t>
      </w:r>
      <w:r w:rsidR="00A7195C" w:rsidRPr="000C212D">
        <w:t xml:space="preserve"> </w:t>
      </w:r>
      <w:r w:rsidR="0091671B" w:rsidRPr="000C212D">
        <w:t xml:space="preserve">the </w:t>
      </w:r>
      <w:r w:rsidR="00A7195C" w:rsidRPr="000C212D">
        <w:t>BVAL</w:t>
      </w:r>
      <w:r w:rsidR="0091671B" w:rsidRPr="000C212D">
        <w:t xml:space="preserve"> curve</w:t>
      </w:r>
      <w:r w:rsidR="00A7195C" w:rsidRPr="000C212D">
        <w:t xml:space="preserve"> is </w:t>
      </w:r>
      <w:r w:rsidR="003E0274" w:rsidRPr="000C212D">
        <w:t xml:space="preserve">a </w:t>
      </w:r>
      <w:r w:rsidR="00A7195C" w:rsidRPr="000C212D">
        <w:t>par yield curve</w:t>
      </w:r>
      <w:r w:rsidR="0091671B" w:rsidRPr="000C212D">
        <w:t>.</w:t>
      </w:r>
      <w:r w:rsidR="00A7195C" w:rsidRPr="000C212D">
        <w:t xml:space="preserve"> </w:t>
      </w:r>
      <w:r w:rsidR="000C212D" w:rsidRPr="000C212D">
        <w:t>A par yield curve is a way of normalising bond yields to represent the term structure of a sample of bonds.</w:t>
      </w:r>
      <w:r w:rsidR="00AE0E84">
        <w:t xml:space="preserve"> It also represents the yield to maturity that would need to</w:t>
      </w:r>
      <w:r w:rsidR="00552D1A">
        <w:t xml:space="preserve"> be offer</w:t>
      </w:r>
      <w:r w:rsidR="00AE0E84">
        <w:t xml:space="preserve">ed to raise funds equal to the face value of the bond at issuance. </w:t>
      </w:r>
    </w:p>
    <w:p w:rsidR="002151E4" w:rsidRPr="0087250E" w:rsidRDefault="002151E4" w:rsidP="00584878">
      <w:pPr>
        <w:pStyle w:val="Heading3"/>
        <w:rPr>
          <w:rStyle w:val="AERbody"/>
          <w:color w:val="E36C0A"/>
          <w:sz w:val="24"/>
        </w:rPr>
      </w:pPr>
      <w:bookmarkStart w:id="185" w:name="_Ref382898834"/>
      <w:r w:rsidRPr="00584878">
        <w:rPr>
          <w:rStyle w:val="AERbody"/>
          <w:color w:val="E36C0A"/>
          <w:sz w:val="24"/>
        </w:rPr>
        <w:t xml:space="preserve">Empirical </w:t>
      </w:r>
      <w:bookmarkEnd w:id="185"/>
      <w:r w:rsidR="00584878" w:rsidRPr="00584878">
        <w:rPr>
          <w:rStyle w:val="AERbody"/>
          <w:color w:val="E36C0A"/>
          <w:sz w:val="24"/>
        </w:rPr>
        <w:t xml:space="preserve">analysis </w:t>
      </w:r>
      <w:r w:rsidR="00090766" w:rsidRPr="00584878">
        <w:rPr>
          <w:rStyle w:val="AERbody"/>
          <w:color w:val="E36C0A"/>
          <w:sz w:val="24"/>
        </w:rPr>
        <w:t>relative</w:t>
      </w:r>
      <w:r w:rsidR="00090766" w:rsidRPr="00090766">
        <w:rPr>
          <w:rStyle w:val="AERbody"/>
          <w:color w:val="E36C0A"/>
          <w:sz w:val="24"/>
        </w:rPr>
        <w:t xml:space="preserve"> to our benchmark</w:t>
      </w:r>
    </w:p>
    <w:p w:rsidR="002151E4" w:rsidRDefault="002151E4" w:rsidP="002151E4">
      <w:pPr>
        <w:pStyle w:val="AERbodytext"/>
      </w:pPr>
      <w:r>
        <w:t xml:space="preserve">The extent to which the RBA and Bloomberg </w:t>
      </w:r>
      <w:r w:rsidRPr="002151E4">
        <w:t xml:space="preserve">estimates match observed yield data on bonds with characteristics similar to our benchmark </w:t>
      </w:r>
      <w:r w:rsidR="00F23BFB">
        <w:t>efficient entity</w:t>
      </w:r>
      <w:r w:rsidRPr="002151E4">
        <w:t xml:space="preserve"> is a factor we may consider when comparing the alternative series. This is consistent with the assumption underpinning the approach set out in our guideline—that the yield should approximate the efficient cost of debt of the </w:t>
      </w:r>
      <w:r w:rsidR="003A71AB">
        <w:t>benchmark efficient entity</w:t>
      </w:r>
      <w:r w:rsidRPr="002151E4">
        <w:t>.</w:t>
      </w:r>
    </w:p>
    <w:p w:rsidR="002151E4" w:rsidRDefault="002151E4" w:rsidP="002151E4">
      <w:r>
        <w:t>Notably, we have previously compared the performance of the B</w:t>
      </w:r>
      <w:r w:rsidRPr="00ED45A8">
        <w:t>FV curve with a series developed by CBA</w:t>
      </w:r>
      <w:r>
        <w:t xml:space="preserve"> S</w:t>
      </w:r>
      <w:r w:rsidRPr="00ED45A8">
        <w:t>pectrum (which has since ceased publication).</w:t>
      </w:r>
      <w:r w:rsidRPr="00ED45A8">
        <w:rPr>
          <w:rStyle w:val="FootnoteReference"/>
        </w:rPr>
        <w:footnoteReference w:id="44"/>
      </w:r>
      <w:r>
        <w:t xml:space="preserve"> In the case of ActewAGL, and separately for Jemena Gas Networks, our analysis was subject to review by the Australian Competition Tribunal. The Tribunal's decision, therefore, may be informative.</w:t>
      </w:r>
    </w:p>
    <w:p w:rsidR="002151E4" w:rsidRPr="00897098" w:rsidRDefault="002151E4" w:rsidP="002151E4">
      <w:r>
        <w:t>For example, i</w:t>
      </w:r>
      <w:r w:rsidRPr="00897098">
        <w:t>n ActewAGL</w:t>
      </w:r>
      <w:r>
        <w:t>, t</w:t>
      </w:r>
      <w:r w:rsidRPr="00897098">
        <w:t xml:space="preserve">he Tribunal </w:t>
      </w:r>
      <w:r>
        <w:t>stated one approach for distinguishing between competing curves is to</w:t>
      </w:r>
      <w:r w:rsidRPr="00897098">
        <w:t xml:space="preserve"> compare relevant observed yields against the published fair value curves and an average of these curves. </w:t>
      </w:r>
      <w:r>
        <w:t>The Tribunal considered that such analysis should u</w:t>
      </w:r>
      <w:r w:rsidRPr="00897098">
        <w:t>ndertake the following process:</w:t>
      </w:r>
      <w:r>
        <w:rPr>
          <w:rStyle w:val="FootnoteReference"/>
        </w:rPr>
        <w:footnoteReference w:id="45"/>
      </w:r>
    </w:p>
    <w:p w:rsidR="002151E4" w:rsidRPr="00C6016D" w:rsidRDefault="002151E4" w:rsidP="002151E4">
      <w:pPr>
        <w:pStyle w:val="AERbulletlistfirststyle"/>
      </w:pPr>
      <w:r>
        <w:t>A</w:t>
      </w:r>
      <w:r w:rsidRPr="00C6016D">
        <w:t>ssemble a representative population of observed yields of sufficie</w:t>
      </w:r>
      <w:r>
        <w:t>nt number and term to maturity.</w:t>
      </w:r>
    </w:p>
    <w:p w:rsidR="002151E4" w:rsidRPr="00C6016D" w:rsidRDefault="002151E4" w:rsidP="002151E4">
      <w:pPr>
        <w:pStyle w:val="AERbulletlistfirststyle"/>
      </w:pPr>
      <w:r>
        <w:t>O</w:t>
      </w:r>
      <w:r w:rsidRPr="00C6016D">
        <w:t xml:space="preserve">nly exclude bonds where there are sufficient qualitative reasons to consider that they are not correctly classed as being </w:t>
      </w:r>
      <w:r>
        <w:t>part of the relevant population.</w:t>
      </w:r>
    </w:p>
    <w:p w:rsidR="002151E4" w:rsidRPr="00C6016D" w:rsidRDefault="002151E4" w:rsidP="002151E4">
      <w:pPr>
        <w:pStyle w:val="AERbulletlistfirststyle"/>
      </w:pPr>
      <w:r>
        <w:t>O</w:t>
      </w:r>
      <w:r w:rsidRPr="00C6016D">
        <w:t xml:space="preserve">nce a representative set of bonds has been chosen and refined in this way, select the fair value curve that most closely </w:t>
      </w:r>
      <w:r>
        <w:t>corresponds to the relevant set</w:t>
      </w:r>
    </w:p>
    <w:p w:rsidR="002151E4" w:rsidRPr="00C6016D" w:rsidRDefault="002151E4" w:rsidP="002151E4">
      <w:pPr>
        <w:pStyle w:val="AERbulletlistfirststyle"/>
      </w:pPr>
      <w:r>
        <w:t>U</w:t>
      </w:r>
      <w:r w:rsidRPr="00C6016D">
        <w:t>se any other available information, such as observed yields on other rated bonds, to check that the selected fair value curve remains likely to provide the best estimate.</w:t>
      </w:r>
    </w:p>
    <w:p w:rsidR="002151E4" w:rsidRPr="00C6016D" w:rsidRDefault="002151E4" w:rsidP="002151E4">
      <w:pPr>
        <w:pStyle w:val="AERbulletlistfirststyle"/>
      </w:pPr>
      <w:r w:rsidRPr="00C6016D">
        <w:t>If a representative set of bonds sufficient to determine a fair value curve cannot be ascertained, or if later checks throw doubt on the chosen fair value curve, then this method of distinguishing between the curves cannot be used.</w:t>
      </w:r>
    </w:p>
    <w:p w:rsidR="002151E4" w:rsidRDefault="002151E4" w:rsidP="002151E4">
      <w:r>
        <w:t xml:space="preserve">Further, the Tribunal stated that if we cannot find </w:t>
      </w:r>
      <w:r w:rsidRPr="00C6016D">
        <w:t>a basis upon which to distinguish between published curves, it is appropriate to average th</w:t>
      </w:r>
      <w:r>
        <w:t>e yields provided by each curve</w:t>
      </w:r>
      <w:r w:rsidRPr="00C6016D">
        <w:t xml:space="preserve"> </w:t>
      </w:r>
      <w:r>
        <w:t>(</w:t>
      </w:r>
      <w:r w:rsidRPr="00C6016D">
        <w:t>so long as the published curves are widely used and market respected</w:t>
      </w:r>
      <w:r>
        <w:t>)</w:t>
      </w:r>
      <w:r w:rsidRPr="00C6016D">
        <w:t>.</w:t>
      </w:r>
      <w:r>
        <w:rPr>
          <w:rStyle w:val="FootnoteReference"/>
        </w:rPr>
        <w:footnoteReference w:id="46"/>
      </w:r>
    </w:p>
    <w:p w:rsidR="002151E4" w:rsidRDefault="002151E4" w:rsidP="002151E4">
      <w:r>
        <w:lastRenderedPageBreak/>
        <w:t>In the subsequent review for JGN, the Tribunal relied heavily on analysis provided by CEG.</w:t>
      </w:r>
      <w:r>
        <w:rPr>
          <w:rStyle w:val="FootnoteReference"/>
        </w:rPr>
        <w:footnoteReference w:id="47"/>
      </w:r>
      <w:r>
        <w:t xml:space="preserve"> This analysis used absolute and squared error tests to </w:t>
      </w:r>
      <w:r w:rsidR="003A71AB">
        <w:t>suggest</w:t>
      </w:r>
      <w:r>
        <w:t xml:space="preserve"> that the BFV curve was the best fit to the observed yield data.</w:t>
      </w:r>
    </w:p>
    <w:p w:rsidR="008D143F" w:rsidRDefault="008D143F" w:rsidP="008D143F">
      <w:r>
        <w:t xml:space="preserve">For the following reasons, however, </w:t>
      </w:r>
      <w:r w:rsidR="00082BDC" w:rsidRPr="003A066C">
        <w:t xml:space="preserve">it may be preferable to have </w:t>
      </w:r>
      <w:r w:rsidR="00082BDC">
        <w:t xml:space="preserve">greater </w:t>
      </w:r>
      <w:r w:rsidR="00082BDC" w:rsidRPr="003A066C">
        <w:t>regard</w:t>
      </w:r>
      <w:r w:rsidR="00082BDC">
        <w:t xml:space="preserve"> </w:t>
      </w:r>
      <w:r w:rsidR="00082BDC" w:rsidRPr="003A066C">
        <w:t xml:space="preserve">to the </w:t>
      </w:r>
      <w:r w:rsidR="00082BDC">
        <w:t>curve fitting methods and sample</w:t>
      </w:r>
      <w:r w:rsidR="00082BDC" w:rsidRPr="003A066C">
        <w:t xml:space="preserve"> data of the alternative series</w:t>
      </w:r>
      <w:r w:rsidR="00082BDC">
        <w:t xml:space="preserve"> (instead of assessing</w:t>
      </w:r>
      <w:r>
        <w:t xml:space="preserve"> the output of alternative curves</w:t>
      </w:r>
      <w:r w:rsidR="00082BDC">
        <w:t>)</w:t>
      </w:r>
      <w:r>
        <w:t>:</w:t>
      </w:r>
    </w:p>
    <w:p w:rsidR="008D143F" w:rsidRDefault="008D143F" w:rsidP="008D143F">
      <w:pPr>
        <w:pStyle w:val="AERbulletlistfirststyle"/>
      </w:pPr>
      <w:r>
        <w:t xml:space="preserve">A key reason for using a third party data service provider is the relative expertise of the </w:t>
      </w:r>
      <w:r w:rsidR="007C591C">
        <w:t>provider</w:t>
      </w:r>
      <w:r>
        <w:t xml:space="preserve">. That is, these series are </w:t>
      </w:r>
      <w:r w:rsidRPr="00205C56">
        <w:t>constructed by finance experts with access to a comprehensive financial database, where judgements are made in terms of debt selection and any necessa</w:t>
      </w:r>
      <w:r>
        <w:t>ry adjustments to yields. Developing our own sample of bonds, including the consideration of any requisite adjustments to the yields of these bonds, may be contrary to this rationale.</w:t>
      </w:r>
    </w:p>
    <w:p w:rsidR="008D143F" w:rsidRDefault="001D54EB" w:rsidP="008D143F">
      <w:pPr>
        <w:pStyle w:val="AERbulletlistfirststyle"/>
      </w:pPr>
      <w:r>
        <w:t xml:space="preserve">Considerations other </w:t>
      </w:r>
      <w:r w:rsidR="00864B37">
        <w:t xml:space="preserve">than </w:t>
      </w:r>
      <w:r w:rsidR="008912D8">
        <w:t xml:space="preserve">absolute and squared errors </w:t>
      </w:r>
      <w:r w:rsidR="00082BDC">
        <w:t>tests may</w:t>
      </w:r>
      <w:r>
        <w:t xml:space="preserve"> be relevant. For example, as stated by the RBA, there is a trade</w:t>
      </w:r>
      <w:r w:rsidR="00220282">
        <w:t>-</w:t>
      </w:r>
      <w:r>
        <w:t xml:space="preserve">off between the goodness of fit </w:t>
      </w:r>
      <w:r w:rsidR="00864B37">
        <w:t>of a curve (as</w:t>
      </w:r>
      <w:r>
        <w:t xml:space="preserve"> measure</w:t>
      </w:r>
      <w:r w:rsidR="00864B37">
        <w:t>d</w:t>
      </w:r>
      <w:r>
        <w:t xml:space="preserve"> as the sum of squared res</w:t>
      </w:r>
      <w:r w:rsidR="00864B37">
        <w:t xml:space="preserve">iduals </w:t>
      </w:r>
      <w:r>
        <w:t>between observed and estimated spreads) and the smoothness of the resulting credit curve.</w:t>
      </w:r>
      <w:r w:rsidR="00864B37">
        <w:rPr>
          <w:rStyle w:val="FootnoteReference"/>
        </w:rPr>
        <w:footnoteReference w:id="48"/>
      </w:r>
    </w:p>
    <w:p w:rsidR="008D143F" w:rsidRDefault="008D143F" w:rsidP="008D143F">
      <w:pPr>
        <w:pStyle w:val="AERbulletlistfirststyle"/>
      </w:pPr>
      <w:r>
        <w:t>The need</w:t>
      </w:r>
      <w:r w:rsidRPr="003A066C">
        <w:t xml:space="preserve"> to adjust yield data (for example, to remove the impact of embedded options, as discussed in section </w:t>
      </w:r>
      <w:r w:rsidRPr="003A066C">
        <w:fldChar w:fldCharType="begin"/>
      </w:r>
      <w:r w:rsidRPr="003A066C">
        <w:instrText xml:space="preserve"> REF _Ref382904873 \r \h  \* MERGEFORMAT </w:instrText>
      </w:r>
      <w:r w:rsidRPr="003A066C">
        <w:fldChar w:fldCharType="separate"/>
      </w:r>
      <w:r w:rsidR="00DC75B8">
        <w:t>4.4.3</w:t>
      </w:r>
      <w:r w:rsidRPr="003A066C">
        <w:fldChar w:fldCharType="end"/>
      </w:r>
      <w:r w:rsidRPr="003A066C">
        <w:t xml:space="preserve">) may limit the reliability of </w:t>
      </w:r>
      <w:r>
        <w:t>any relative</w:t>
      </w:r>
      <w:r w:rsidRPr="003A066C">
        <w:t xml:space="preserve"> assessments</w:t>
      </w:r>
      <w:r>
        <w:t>. That is, the capacity to make adjustments to the underlying data to ensure the corresponding sample is presented on a consistent basis may be limited.</w:t>
      </w:r>
    </w:p>
    <w:p w:rsidR="008D143F" w:rsidRDefault="008D143F" w:rsidP="00082BDC">
      <w:pPr>
        <w:pStyle w:val="AERbulletlistfirststyle"/>
      </w:pPr>
      <w:r>
        <w:t xml:space="preserve">Whether a particular curve best fits the available data may vary over time. That is, the BVAL curve may better </w:t>
      </w:r>
      <w:r w:rsidR="00FA5611">
        <w:t>'</w:t>
      </w:r>
      <w:r>
        <w:t>fit</w:t>
      </w:r>
      <w:r w:rsidR="00FA5611">
        <w:t>'</w:t>
      </w:r>
      <w:r>
        <w:t xml:space="preserve"> a sample of bonds (which match the characteristics of our benchmark efficient entity) relative to the RBA curve during some years of a regulatory period, but not others (and vice versa). Notwithstanding this, the consideration of alternative curves during a regulatory period may limit the ability for the return on debt to be updated automatically (as required by the rules).</w:t>
      </w:r>
      <w:r>
        <w:rPr>
          <w:rStyle w:val="FootnoteReference"/>
        </w:rPr>
        <w:footnoteReference w:id="49"/>
      </w:r>
      <w:r>
        <w:t xml:space="preserve"> It may be preferable, therefore, to select a particular curve in a final decision, and apply this curve for the duration of the regulatory period. This approach may also provide greater predictability for stakeholders throughout the regulatory period.</w:t>
      </w:r>
    </w:p>
    <w:p w:rsidR="00F12878" w:rsidRPr="0087250E" w:rsidRDefault="00266DC8" w:rsidP="0087250E">
      <w:pPr>
        <w:pStyle w:val="Heading3"/>
        <w:rPr>
          <w:rStyle w:val="AERbody"/>
          <w:color w:val="E36C0A"/>
          <w:sz w:val="24"/>
        </w:rPr>
      </w:pPr>
      <w:bookmarkStart w:id="186" w:name="_Ref382913324"/>
      <w:r w:rsidRPr="0087250E">
        <w:rPr>
          <w:rStyle w:val="AERbody"/>
          <w:color w:val="E36C0A"/>
          <w:sz w:val="24"/>
        </w:rPr>
        <w:t xml:space="preserve">Data </w:t>
      </w:r>
      <w:r w:rsidR="00DF6A1E" w:rsidRPr="0087250E">
        <w:rPr>
          <w:rStyle w:val="AERbody"/>
          <w:color w:val="E36C0A"/>
          <w:sz w:val="24"/>
        </w:rPr>
        <w:t>frequency</w:t>
      </w:r>
      <w:bookmarkEnd w:id="186"/>
    </w:p>
    <w:p w:rsidR="002D3F6A" w:rsidRDefault="002D3F6A" w:rsidP="00157AAD">
      <w:pPr>
        <w:pStyle w:val="AERbodytext"/>
        <w:numPr>
          <w:ilvl w:val="0"/>
          <w:numId w:val="0"/>
        </w:numPr>
      </w:pPr>
      <w:r>
        <w:t xml:space="preserve">Consistent with the requirements outlined in our rate of return guideline for selecting an averaging period, data for estimating the return on debt should be available over </w:t>
      </w:r>
      <w:r w:rsidR="0068386A">
        <w:t xml:space="preserve">a minimum of 10 </w:t>
      </w:r>
      <w:r>
        <w:t xml:space="preserve">consecutive </w:t>
      </w:r>
      <w:r w:rsidR="0068386A">
        <w:t xml:space="preserve">business </w:t>
      </w:r>
      <w:r>
        <w:t>days.</w:t>
      </w:r>
      <w:r w:rsidR="00A32444">
        <w:rPr>
          <w:rStyle w:val="FootnoteReference"/>
        </w:rPr>
        <w:footnoteReference w:id="50"/>
      </w:r>
      <w:r w:rsidR="00001992">
        <w:t xml:space="preserve"> This approach aims to </w:t>
      </w:r>
      <w:r w:rsidR="008B796F">
        <w:t>smooth out short term market fluctuations</w:t>
      </w:r>
      <w:r w:rsidR="0068386A">
        <w:t>.</w:t>
      </w:r>
    </w:p>
    <w:p w:rsidR="003C5DF6" w:rsidRDefault="00663647" w:rsidP="00157AAD">
      <w:pPr>
        <w:pStyle w:val="AERbodytext"/>
        <w:numPr>
          <w:ilvl w:val="0"/>
          <w:numId w:val="0"/>
        </w:numPr>
      </w:pPr>
      <w:r>
        <w:t xml:space="preserve">The RBA </w:t>
      </w:r>
      <w:r w:rsidR="00032BC2">
        <w:t>currently publishes</w:t>
      </w:r>
      <w:r>
        <w:t xml:space="preserve"> estimates of credit spreads for only the last day of a given month.</w:t>
      </w:r>
      <w:r w:rsidR="00341EF1">
        <w:rPr>
          <w:rStyle w:val="FootnoteReference"/>
        </w:rPr>
        <w:footnoteReference w:id="51"/>
      </w:r>
      <w:r w:rsidR="00F60691">
        <w:t xml:space="preserve"> Dependent on the length of the proposed averaging period, therefore, this </w:t>
      </w:r>
      <w:r w:rsidR="002151E4">
        <w:t xml:space="preserve">may </w:t>
      </w:r>
      <w:r w:rsidR="00A32444">
        <w:t>lead to</w:t>
      </w:r>
      <w:r w:rsidR="002151E4">
        <w:t xml:space="preserve"> an estimate</w:t>
      </w:r>
      <w:r w:rsidR="00A32444">
        <w:t xml:space="preserve"> of the return on debt</w:t>
      </w:r>
      <w:r w:rsidR="002151E4">
        <w:t xml:space="preserve"> </w:t>
      </w:r>
      <w:r w:rsidR="00A32444">
        <w:t>that reflects</w:t>
      </w:r>
      <w:r w:rsidR="002151E4">
        <w:t xml:space="preserve"> </w:t>
      </w:r>
      <w:r w:rsidR="003A066C">
        <w:t xml:space="preserve">short term </w:t>
      </w:r>
      <w:r w:rsidR="002151E4">
        <w:t>market fluctuations</w:t>
      </w:r>
      <w:r w:rsidR="00F60691">
        <w:t>.</w:t>
      </w:r>
    </w:p>
    <w:p w:rsidR="00341EF1" w:rsidRDefault="00341EF1" w:rsidP="00157AAD">
      <w:pPr>
        <w:pStyle w:val="AERbodytext"/>
        <w:numPr>
          <w:ilvl w:val="0"/>
          <w:numId w:val="0"/>
        </w:numPr>
      </w:pPr>
      <w:r>
        <w:t>Bloomberg, however, publish</w:t>
      </w:r>
      <w:r w:rsidR="0031518E">
        <w:t>es</w:t>
      </w:r>
      <w:r>
        <w:t xml:space="preserve"> BVAL estimates daily. Accordingly, the availability of frequent data may lead to a preference for the Bloomberg data series o</w:t>
      </w:r>
      <w:r w:rsidR="00416612">
        <w:t>ver</w:t>
      </w:r>
      <w:r>
        <w:t xml:space="preserve"> the RBA's estimates.</w:t>
      </w:r>
    </w:p>
    <w:p w:rsidR="00F12878" w:rsidRPr="00157AAD" w:rsidRDefault="00632054" w:rsidP="00157AAD">
      <w:pPr>
        <w:pStyle w:val="Heading1"/>
      </w:pPr>
      <w:bookmarkStart w:id="187" w:name="_Ref381107472"/>
      <w:bookmarkStart w:id="188" w:name="_Toc383780224"/>
      <w:r>
        <w:lastRenderedPageBreak/>
        <w:t>Implementing the RBA series</w:t>
      </w:r>
      <w:bookmarkEnd w:id="187"/>
      <w:bookmarkEnd w:id="188"/>
    </w:p>
    <w:p w:rsidR="00632054" w:rsidRPr="00DD282D" w:rsidRDefault="00632054" w:rsidP="00632054">
      <w:r>
        <w:t>In our rate of return guideline we proposed</w:t>
      </w:r>
      <w:r w:rsidRPr="00DD282D">
        <w:t xml:space="preserve"> to estimate the prevailing rate of return on debt</w:t>
      </w:r>
      <w:r>
        <w:t>,</w:t>
      </w:r>
      <w:r w:rsidRPr="00DD282D">
        <w:t xml:space="preserve"> </w:t>
      </w:r>
      <w:r>
        <w:t>f</w:t>
      </w:r>
      <w:r w:rsidRPr="00DD282D">
        <w:t xml:space="preserve">or each regulatory year in the regulatory control period, as a simple average of the prevailing rates observed over a period of 10 or more consecutive business days up to a maximum of 12 months. </w:t>
      </w:r>
      <w:r>
        <w:t xml:space="preserve">Moreover, we </w:t>
      </w:r>
      <w:r w:rsidR="001B4BCA">
        <w:t>proposed</w:t>
      </w:r>
      <w:r>
        <w:t xml:space="preserve"> that s</w:t>
      </w:r>
      <w:r w:rsidRPr="00DD282D">
        <w:t>uch an averaging period should satisfy the following conditions:</w:t>
      </w:r>
    </w:p>
    <w:p w:rsidR="00632054" w:rsidRPr="00DD282D" w:rsidRDefault="00632054" w:rsidP="00632054">
      <w:pPr>
        <w:pStyle w:val="AERbulletlistfirststyle"/>
      </w:pPr>
      <w:r w:rsidRPr="00DD282D">
        <w:t>it should be specified prior to the commencement of the regulatory control period</w:t>
      </w:r>
    </w:p>
    <w:p w:rsidR="00632054" w:rsidRPr="00DD282D" w:rsidRDefault="00632054" w:rsidP="00632054">
      <w:pPr>
        <w:pStyle w:val="AERbulletlistfirststyle"/>
      </w:pPr>
      <w:r w:rsidRPr="00DD282D">
        <w:t>at the time it is nominated, all dates in the averaging period must take place in the future</w:t>
      </w:r>
    </w:p>
    <w:p w:rsidR="00632054" w:rsidRDefault="00632054" w:rsidP="00632054">
      <w:pPr>
        <w:pStyle w:val="AERbulletlistfirststyle"/>
      </w:pPr>
      <w:r w:rsidRPr="00DD282D">
        <w:t>it should be as close as practical to the commencement of each regulatory year in a regulatory control period</w:t>
      </w:r>
    </w:p>
    <w:p w:rsidR="00632054" w:rsidRPr="00DD282D" w:rsidRDefault="00632054" w:rsidP="00632054">
      <w:pPr>
        <w:pStyle w:val="AERbulletlistfirststyle"/>
      </w:pPr>
      <w:r w:rsidRPr="00DD282D">
        <w:t>an averaging period needs to be specified for each regulatory year within a regulatory control period</w:t>
      </w:r>
    </w:p>
    <w:p w:rsidR="00632054" w:rsidRPr="00DD282D" w:rsidRDefault="00632054" w:rsidP="00632054">
      <w:pPr>
        <w:pStyle w:val="AERbulletlistfirststyle"/>
      </w:pPr>
      <w:r w:rsidRPr="00DD282D">
        <w:t>the proposed averaging periods for different regulatory years are not required to be identical but should not overlap</w:t>
      </w:r>
    </w:p>
    <w:p w:rsidR="00632054" w:rsidRPr="00DD282D" w:rsidRDefault="00632054" w:rsidP="00632054">
      <w:pPr>
        <w:pStyle w:val="AERbulletlistfirststyle"/>
      </w:pPr>
      <w:r w:rsidRPr="00DD282D">
        <w:t>the nominal return on debt is to be updated annually using the agreed averaging period for the relevant regulatory year</w:t>
      </w:r>
    </w:p>
    <w:p w:rsidR="00632054" w:rsidRDefault="00632054" w:rsidP="00632054">
      <w:pPr>
        <w:pStyle w:val="AERbulletlistfirststyle"/>
      </w:pPr>
      <w:r w:rsidRPr="00DD282D">
        <w:t>each agreed averaging period is to be confidential.</w:t>
      </w:r>
    </w:p>
    <w:p w:rsidR="00632054" w:rsidRDefault="00632054" w:rsidP="00632054">
      <w:r>
        <w:t>As outlined in section</w:t>
      </w:r>
      <w:r w:rsidR="003818E4">
        <w:t> </w:t>
      </w:r>
      <w:r w:rsidR="003818E4">
        <w:fldChar w:fldCharType="begin"/>
      </w:r>
      <w:r w:rsidR="003818E4">
        <w:instrText xml:space="preserve"> REF _Ref382913324 \r \h </w:instrText>
      </w:r>
      <w:r w:rsidR="003818E4">
        <w:fldChar w:fldCharType="separate"/>
      </w:r>
      <w:r w:rsidR="00DC75B8">
        <w:t>4.4.6</w:t>
      </w:r>
      <w:r w:rsidR="003818E4">
        <w:fldChar w:fldCharType="end"/>
      </w:r>
      <w:r>
        <w:t xml:space="preserve">, the RBA series </w:t>
      </w:r>
      <w:r w:rsidRPr="002167AE">
        <w:t>currently</w:t>
      </w:r>
      <w:r w:rsidR="0029671C">
        <w:t xml:space="preserve"> includes yield estimates </w:t>
      </w:r>
      <w:r>
        <w:t xml:space="preserve">for </w:t>
      </w:r>
      <w:r w:rsidRPr="002167AE">
        <w:t>only the last day of a given month</w:t>
      </w:r>
      <w:r>
        <w:t>. Following the averaging period requirements in our rate of return guideline, therefore, may preclude the RBA series from being used to estimate the return on debt.</w:t>
      </w:r>
    </w:p>
    <w:p w:rsidR="00632054" w:rsidRDefault="00632054" w:rsidP="00632054">
      <w:r>
        <w:t xml:space="preserve">In this section, we discuss alternative approaches for interpolating the RBA monthly estimates to </w:t>
      </w:r>
      <w:r w:rsidR="00B04157">
        <w:t>derive</w:t>
      </w:r>
      <w:r>
        <w:t xml:space="preserve"> daily </w:t>
      </w:r>
      <w:r w:rsidR="00B04157">
        <w:t>data</w:t>
      </w:r>
      <w:r>
        <w:t>. Additionally, we discuss whether the averaging period requirements set out in our rate of return guideline should be relaxed to accommodate the potential use of the current RBA series (without interpolation).</w:t>
      </w:r>
    </w:p>
    <w:p w:rsidR="00632054" w:rsidRDefault="00864670" w:rsidP="00632054">
      <w:r>
        <w:t xml:space="preserve">This </w:t>
      </w:r>
      <w:r w:rsidR="00632054">
        <w:t xml:space="preserve">discussion of alternative approaches for using the RBA series to estimate the return on debt, however, should </w:t>
      </w:r>
      <w:r w:rsidR="001811B6">
        <w:t xml:space="preserve">not </w:t>
      </w:r>
      <w:r w:rsidR="00632054">
        <w:t>be inferred as preference for using the RBA series. Instead, a decision on which series will be used to estimate the return on debt will be made at the time of a determination.</w:t>
      </w:r>
    </w:p>
    <w:p w:rsidR="00632054" w:rsidRDefault="00632054" w:rsidP="00632054">
      <w:r>
        <w:t>It is also important to recognise that the approaches outlined below are specific to the current RBA series. That is, they would not apply if a Bloomberg series (with daily estimates) is used. Similarly, they would not apply if the RBA commenced publishing daily estimates.</w:t>
      </w:r>
    </w:p>
    <w:p w:rsidR="00DD282D" w:rsidRPr="004B45A7" w:rsidRDefault="008826A4" w:rsidP="00AD57CB">
      <w:pPr>
        <w:pStyle w:val="Heading2"/>
      </w:pPr>
      <w:bookmarkStart w:id="189" w:name="_Ref381106881"/>
      <w:bookmarkStart w:id="190" w:name="_Toc383780225"/>
      <w:r w:rsidRPr="004B45A7">
        <w:t>Interpolating monthly estimates</w:t>
      </w:r>
      <w:bookmarkEnd w:id="189"/>
      <w:bookmarkEnd w:id="190"/>
    </w:p>
    <w:p w:rsidR="008826A4" w:rsidRDefault="00FB1CEE" w:rsidP="00FB1CEE">
      <w:pPr>
        <w:pStyle w:val="AERbodytext"/>
      </w:pPr>
      <w:r>
        <w:t xml:space="preserve">One possible approach to implementing our proposed method for estimating the return on debt using the RBA series may be to interpolate daily estimates from the RBA's monthly data. Such an approach </w:t>
      </w:r>
      <w:r w:rsidR="00AA208B">
        <w:t xml:space="preserve">is demonstrated in attachment </w:t>
      </w:r>
      <w:r w:rsidR="002116EA">
        <w:t>A</w:t>
      </w:r>
      <w:r w:rsidR="00E77B80">
        <w:t xml:space="preserve">, whereby </w:t>
      </w:r>
      <w:r w:rsidR="00C66696">
        <w:t xml:space="preserve">daily estimates </w:t>
      </w:r>
      <w:r w:rsidR="00F50426">
        <w:t>c</w:t>
      </w:r>
      <w:r w:rsidR="00C66696">
        <w:t>ould be interpolated as follows</w:t>
      </w:r>
      <w:r>
        <w:t>:</w:t>
      </w:r>
    </w:p>
    <w:p w:rsidR="00FB1CEE" w:rsidRDefault="00FB1CEE" w:rsidP="00A65F23">
      <w:pPr>
        <w:pStyle w:val="AERnumberedlistfirststyle"/>
      </w:pPr>
      <w:r>
        <w:t xml:space="preserve">Extract </w:t>
      </w:r>
      <w:r w:rsidR="00C66696">
        <w:t xml:space="preserve">from the RBA's BBB–rated data series </w:t>
      </w:r>
      <w:r>
        <w:t xml:space="preserve">the </w:t>
      </w:r>
      <w:r w:rsidR="00C66696">
        <w:t xml:space="preserve">two </w:t>
      </w:r>
      <w:r>
        <w:t>month</w:t>
      </w:r>
      <w:r w:rsidR="00A833CF">
        <w:t>-</w:t>
      </w:r>
      <w:r>
        <w:t>end estimates of the spread to Commonwealth Government Securities</w:t>
      </w:r>
      <w:r w:rsidR="00671980">
        <w:t xml:space="preserve"> (CGS)</w:t>
      </w:r>
      <w:r>
        <w:t xml:space="preserve"> </w:t>
      </w:r>
      <w:r w:rsidR="00C66696">
        <w:t>that immediately straddle the target date</w:t>
      </w:r>
      <w:r>
        <w:t>.</w:t>
      </w:r>
    </w:p>
    <w:p w:rsidR="00671980" w:rsidRDefault="00C66696" w:rsidP="00A65F23">
      <w:pPr>
        <w:pStyle w:val="AERnumberedlistfirststyle"/>
      </w:pPr>
      <w:r>
        <w:lastRenderedPageBreak/>
        <w:t>Calculate the number of business days between the two corresponding month</w:t>
      </w:r>
      <w:r w:rsidR="00A833CF">
        <w:t>-</w:t>
      </w:r>
      <w:r>
        <w:t>end estimates. Divide the spread between the two month</w:t>
      </w:r>
      <w:r w:rsidR="00A833CF">
        <w:t>-</w:t>
      </w:r>
      <w:r>
        <w:t>end estimates by the number of business days to d</w:t>
      </w:r>
      <w:r w:rsidR="00671980">
        <w:t xml:space="preserve">etermine the daily </w:t>
      </w:r>
      <w:r>
        <w:t xml:space="preserve">spread </w:t>
      </w:r>
      <w:r w:rsidR="00671980">
        <w:t>increment (or decrement).</w:t>
      </w:r>
    </w:p>
    <w:p w:rsidR="00FB1CEE" w:rsidRDefault="00FB1CEE" w:rsidP="00A65F23">
      <w:pPr>
        <w:pStyle w:val="AERnumberedlistfirststyle"/>
      </w:pPr>
      <w:r>
        <w:t xml:space="preserve">Estimate the daily risk free rate for each day within the proposed averaging period, consistent with our approach to estimating risk free rates </w:t>
      </w:r>
      <w:r w:rsidR="004212C6">
        <w:t>adopted in previous decisions</w:t>
      </w:r>
      <w:r>
        <w:t>.</w:t>
      </w:r>
      <w:r w:rsidR="008B796F">
        <w:rPr>
          <w:rStyle w:val="FootnoteReference"/>
        </w:rPr>
        <w:footnoteReference w:id="52"/>
      </w:r>
    </w:p>
    <w:p w:rsidR="00FB1CEE" w:rsidRDefault="00C66696" w:rsidP="00A65F23">
      <w:pPr>
        <w:pStyle w:val="AERnumberedlistfirststyle"/>
      </w:pPr>
      <w:r>
        <w:t>Calculate</w:t>
      </w:r>
      <w:r w:rsidR="00671980">
        <w:t xml:space="preserve"> the daily estimate of the spread to CGS for each day of the averaging period as the sum of the daily risk free rate and the interpolated daily incremental spread determined in steps (2) and (3) respectively.</w:t>
      </w:r>
    </w:p>
    <w:p w:rsidR="00671980" w:rsidRDefault="00C66696" w:rsidP="00A65F23">
      <w:pPr>
        <w:pStyle w:val="AERnumberedlistfirststyle"/>
      </w:pPr>
      <w:r>
        <w:t>Estimate</w:t>
      </w:r>
      <w:r w:rsidR="00671980">
        <w:t xml:space="preserve"> the return on debt as the annualised average of the daily spreads and risk free rates </w:t>
      </w:r>
      <w:r>
        <w:t>calculated</w:t>
      </w:r>
      <w:r w:rsidR="00671980">
        <w:t xml:space="preserve"> in step (4).</w:t>
      </w:r>
    </w:p>
    <w:p w:rsidR="00F540AD" w:rsidRDefault="00F540AD" w:rsidP="00896195">
      <w:r>
        <w:t xml:space="preserve">The following </w:t>
      </w:r>
      <w:r w:rsidR="001022B8">
        <w:t>subsections</w:t>
      </w:r>
      <w:r>
        <w:t xml:space="preserve"> </w:t>
      </w:r>
      <w:r w:rsidR="001022B8">
        <w:t>discuss</w:t>
      </w:r>
      <w:r>
        <w:t xml:space="preserve"> </w:t>
      </w:r>
      <w:r w:rsidR="00A7344C">
        <w:t>variations to</w:t>
      </w:r>
      <w:r>
        <w:t xml:space="preserve"> the above </w:t>
      </w:r>
      <w:r w:rsidR="001022B8">
        <w:t>example</w:t>
      </w:r>
      <w:r>
        <w:t>.</w:t>
      </w:r>
    </w:p>
    <w:p w:rsidR="00CF24C9" w:rsidRPr="0087250E" w:rsidRDefault="00CF24C9" w:rsidP="0087250E">
      <w:pPr>
        <w:pStyle w:val="Heading3"/>
      </w:pPr>
      <w:bookmarkStart w:id="191" w:name="_Ref383086084"/>
      <w:r w:rsidRPr="0087250E">
        <w:t>Interpolate yields or spreads</w:t>
      </w:r>
      <w:bookmarkEnd w:id="191"/>
    </w:p>
    <w:p w:rsidR="00CF24C9" w:rsidRDefault="00CF24C9" w:rsidP="00CF24C9">
      <w:pPr>
        <w:pStyle w:val="AERbodytext"/>
        <w:numPr>
          <w:ilvl w:val="0"/>
          <w:numId w:val="6"/>
        </w:numPr>
      </w:pPr>
      <w:r>
        <w:t>Instead of interpolating the spread to CGS between two corresponding estimates, it may be preferable to simply interpolate between the corresponding month–end yields. That is, use the total yield estimates published by the RBA, as opposed to the spread to CGS estimates published by the RBA.</w:t>
      </w:r>
    </w:p>
    <w:p w:rsidR="004069C7" w:rsidRPr="00B04157" w:rsidRDefault="000C212D" w:rsidP="000C212D">
      <w:pPr>
        <w:pStyle w:val="AERbodytext"/>
      </w:pPr>
      <w:r>
        <w:t>An</w:t>
      </w:r>
      <w:r w:rsidR="00B345B6" w:rsidRPr="000C212D">
        <w:t xml:space="preserve"> advantage of using the spread to CGS is that this may allow</w:t>
      </w:r>
      <w:r w:rsidR="004069C7" w:rsidRPr="000C212D">
        <w:t xml:space="preserve"> service providers to better hedge their exposure to variations in </w:t>
      </w:r>
      <w:r w:rsidR="00430CA1" w:rsidRPr="000C212D">
        <w:t>interest rates</w:t>
      </w:r>
      <w:r w:rsidR="004069C7" w:rsidRPr="000C212D">
        <w:t>. Alternatively</w:t>
      </w:r>
      <w:r w:rsidR="004069C7" w:rsidRPr="00B04157">
        <w:t xml:space="preserve">, using the total spread may be simpler, and better reflect the </w:t>
      </w:r>
      <w:r w:rsidR="00F50AF7">
        <w:t xml:space="preserve">limited precision </w:t>
      </w:r>
      <w:r w:rsidR="000A5043">
        <w:t>that</w:t>
      </w:r>
      <w:r w:rsidR="00F50AF7">
        <w:t xml:space="preserve"> estimates of the return on debt represent.</w:t>
      </w:r>
    </w:p>
    <w:p w:rsidR="00F540AD" w:rsidRPr="0087250E" w:rsidRDefault="00DA6ADA" w:rsidP="0087250E">
      <w:pPr>
        <w:pStyle w:val="Heading3"/>
      </w:pPr>
      <w:bookmarkStart w:id="192" w:name="_Ref383086098"/>
      <w:r w:rsidRPr="0087250E">
        <w:t>Interpolate</w:t>
      </w:r>
      <w:r w:rsidR="00AA208B" w:rsidRPr="0087250E">
        <w:t xml:space="preserve"> using business days or </w:t>
      </w:r>
      <w:r w:rsidR="0085364D">
        <w:t>calendar</w:t>
      </w:r>
      <w:r w:rsidR="0085364D" w:rsidRPr="0087250E">
        <w:t xml:space="preserve"> </w:t>
      </w:r>
      <w:r w:rsidR="00AA208B" w:rsidRPr="0087250E">
        <w:t>days</w:t>
      </w:r>
      <w:bookmarkEnd w:id="192"/>
    </w:p>
    <w:p w:rsidR="00653AF7" w:rsidRDefault="00F540AD" w:rsidP="00F540AD">
      <w:pPr>
        <w:pStyle w:val="AERbodytext"/>
      </w:pPr>
      <w:r>
        <w:t>In the example above, the monthly RBA estimates are interpolated based on the number of business days between two corresponding estimat</w:t>
      </w:r>
      <w:r w:rsidR="00653AF7">
        <w:t>es. This approach</w:t>
      </w:r>
      <w:r w:rsidR="00E90917">
        <w:t xml:space="preserve"> assumes that the </w:t>
      </w:r>
      <w:r w:rsidR="006E4665">
        <w:t>variability in the RBA's month</w:t>
      </w:r>
      <w:r w:rsidR="004C5F9A">
        <w:t>-</w:t>
      </w:r>
      <w:r w:rsidR="006E4665">
        <w:t>end estimates only occur during business days</w:t>
      </w:r>
      <w:r w:rsidR="00E90917">
        <w:t xml:space="preserve">. For example, the increase in daily yields </w:t>
      </w:r>
      <w:r w:rsidR="006E4665">
        <w:t xml:space="preserve">between a Friday and the subsequent Monday is assumed to equal the daily increase </w:t>
      </w:r>
      <w:r w:rsidR="00E90917">
        <w:t xml:space="preserve">from </w:t>
      </w:r>
      <w:r w:rsidR="006E4665">
        <w:t xml:space="preserve">a </w:t>
      </w:r>
      <w:r w:rsidR="00E90917">
        <w:t>Monday to Tuesday.</w:t>
      </w:r>
    </w:p>
    <w:p w:rsidR="00F540AD" w:rsidRDefault="00303BEB" w:rsidP="00F540AD">
      <w:pPr>
        <w:pStyle w:val="AERbodytext"/>
      </w:pPr>
      <w:r>
        <w:t xml:space="preserve">Alternatively, it may be </w:t>
      </w:r>
      <w:r w:rsidR="00653AF7">
        <w:t>preferable</w:t>
      </w:r>
      <w:r>
        <w:t xml:space="preserve"> to use the number of </w:t>
      </w:r>
      <w:r w:rsidR="0085364D">
        <w:t xml:space="preserve">calendar </w:t>
      </w:r>
      <w:r>
        <w:t>days between RBA estimates</w:t>
      </w:r>
      <w:r w:rsidR="00034F8B">
        <w:t xml:space="preserve"> to interpolate daily estimates</w:t>
      </w:r>
      <w:r>
        <w:t>.</w:t>
      </w:r>
      <w:r w:rsidR="00653AF7">
        <w:t xml:space="preserve"> </w:t>
      </w:r>
      <w:r w:rsidR="00B04157">
        <w:t>T</w:t>
      </w:r>
      <w:r w:rsidR="00653AF7">
        <w:t xml:space="preserve">his may better </w:t>
      </w:r>
      <w:r w:rsidR="002D0821">
        <w:t>smooth any</w:t>
      </w:r>
      <w:r w:rsidR="00653AF7">
        <w:t xml:space="preserve"> variability in bond yields (used as inputs to the RBA approach</w:t>
      </w:r>
      <w:r w:rsidR="002D0821">
        <w:t>)</w:t>
      </w:r>
      <w:r w:rsidR="001829CD">
        <w:t>.</w:t>
      </w:r>
    </w:p>
    <w:p w:rsidR="00303BEB" w:rsidRDefault="00303BEB" w:rsidP="00F540AD">
      <w:pPr>
        <w:pStyle w:val="AERbodytext"/>
      </w:pPr>
      <w:r>
        <w:t xml:space="preserve">Increasing the number of days used to interpolate between two monthly estimates would decrease the </w:t>
      </w:r>
      <w:r w:rsidR="007708B1">
        <w:t xml:space="preserve">magnitude of the </w:t>
      </w:r>
      <w:r>
        <w:t xml:space="preserve">daily increment. The impact of </w:t>
      </w:r>
      <w:r w:rsidR="00AA208B">
        <w:t>either</w:t>
      </w:r>
      <w:r>
        <w:t xml:space="preserve"> assumption, however, may diminish as the number of days in the averaging period increases. Notwithstanding this, we seek stakeholder views on whether the number of business days, or </w:t>
      </w:r>
      <w:r w:rsidR="0085364D">
        <w:t xml:space="preserve">calendar </w:t>
      </w:r>
      <w:r>
        <w:t>days between monthly RBA estimates should be used if we interpolate the RBA series to derive daily estimates.</w:t>
      </w:r>
    </w:p>
    <w:p w:rsidR="007931D6" w:rsidRDefault="00021F9D" w:rsidP="007931D6">
      <w:pPr>
        <w:pStyle w:val="Heading3"/>
      </w:pPr>
      <w:r>
        <w:t>Extrapolate a single estimate</w:t>
      </w:r>
    </w:p>
    <w:p w:rsidR="007931D6" w:rsidRDefault="007931D6" w:rsidP="007931D6">
      <w:pPr>
        <w:pStyle w:val="AERbodytext"/>
      </w:pPr>
      <w:r>
        <w:t xml:space="preserve">In some circumstances, however, it may not be possible to interpolate daily estimates. For example, this may occur if an averaging </w:t>
      </w:r>
      <w:r w:rsidR="00021F9D">
        <w:t xml:space="preserve">period </w:t>
      </w:r>
      <w:r>
        <w:t xml:space="preserve">ends in the middle of a given month, but prices are required to be published before the end of that month. </w:t>
      </w:r>
      <w:r w:rsidR="00021F9D">
        <w:t>Therefore, only a single estimate would be available. In these circumstances, it may be preferable to consider the following alternatives:</w:t>
      </w:r>
    </w:p>
    <w:p w:rsidR="00021F9D" w:rsidRDefault="00021F9D" w:rsidP="00021F9D">
      <w:pPr>
        <w:pStyle w:val="AERbulletlistfirststyle"/>
      </w:pPr>
      <w:r>
        <w:lastRenderedPageBreak/>
        <w:t>Add the spread on the most recently available month</w:t>
      </w:r>
      <w:r w:rsidR="004C5F9A">
        <w:t>-</w:t>
      </w:r>
      <w:r>
        <w:t>end estimate to the risk free rates observed during the averaging period.</w:t>
      </w:r>
    </w:p>
    <w:p w:rsidR="00021F9D" w:rsidRDefault="00021F9D" w:rsidP="00021F9D">
      <w:pPr>
        <w:pStyle w:val="AERbulletlistfirststyle"/>
      </w:pPr>
      <w:r>
        <w:t>Adopt the yield on the most recently available month</w:t>
      </w:r>
      <w:r w:rsidR="004C5F9A">
        <w:t>-</w:t>
      </w:r>
      <w:r>
        <w:t>end estimate as the estimate of the allowed return on debt for the benchmark efficient entity.</w:t>
      </w:r>
    </w:p>
    <w:p w:rsidR="007931D6" w:rsidRPr="007931D6" w:rsidRDefault="00021F9D" w:rsidP="007931D6">
      <w:pPr>
        <w:pStyle w:val="AERbodytext"/>
      </w:pPr>
      <w:r>
        <w:t>The consideration of the options outlined above (and/or alternative proposals) should also be considered with</w:t>
      </w:r>
      <w:r w:rsidR="007931D6">
        <w:t xml:space="preserve"> </w:t>
      </w:r>
      <w:r>
        <w:t xml:space="preserve">reference to the issues raised in section </w:t>
      </w:r>
      <w:r>
        <w:fldChar w:fldCharType="begin"/>
      </w:r>
      <w:r>
        <w:instrText xml:space="preserve"> REF _Ref383078199 \r \h </w:instrText>
      </w:r>
      <w:r>
        <w:fldChar w:fldCharType="separate"/>
      </w:r>
      <w:r w:rsidR="00DC75B8">
        <w:t>5.2</w:t>
      </w:r>
      <w:r>
        <w:fldChar w:fldCharType="end"/>
      </w:r>
      <w:r>
        <w:t>.</w:t>
      </w:r>
    </w:p>
    <w:p w:rsidR="00525C10" w:rsidRPr="004B45A7" w:rsidRDefault="00E32E64" w:rsidP="00AD57CB">
      <w:pPr>
        <w:pStyle w:val="Heading2"/>
      </w:pPr>
      <w:bookmarkStart w:id="193" w:name="_Ref381101011"/>
      <w:bookmarkStart w:id="194" w:name="_Ref383078199"/>
      <w:bookmarkStart w:id="195" w:name="_Toc383780226"/>
      <w:r>
        <w:t>A</w:t>
      </w:r>
      <w:r w:rsidR="00525C10" w:rsidRPr="004B45A7">
        <w:t xml:space="preserve">veraging period </w:t>
      </w:r>
      <w:bookmarkEnd w:id="193"/>
      <w:r w:rsidR="00202DF5">
        <w:t>requirements</w:t>
      </w:r>
      <w:bookmarkEnd w:id="194"/>
      <w:bookmarkEnd w:id="195"/>
    </w:p>
    <w:p w:rsidR="00BD6949" w:rsidRDefault="00BD6949" w:rsidP="00525C10">
      <w:pPr>
        <w:pStyle w:val="AERbodytext"/>
      </w:pPr>
      <w:r>
        <w:t xml:space="preserve">An alternative to </w:t>
      </w:r>
      <w:r w:rsidR="00525C10">
        <w:t>interpolating the RBA series to estimate the return on debt</w:t>
      </w:r>
      <w:r>
        <w:t xml:space="preserve"> may be to average only the available yield estimates published by the RBA. That is, the return on debt may be set as a single month</w:t>
      </w:r>
      <w:r w:rsidR="004C5F9A">
        <w:t>-</w:t>
      </w:r>
      <w:r>
        <w:t>end estimate from the RBA, or as a</w:t>
      </w:r>
      <w:r w:rsidR="00443835">
        <w:t xml:space="preserve"> simple</w:t>
      </w:r>
      <w:r>
        <w:t xml:space="preserve"> average</w:t>
      </w:r>
      <w:r w:rsidR="004212C6">
        <w:t xml:space="preserve"> (or weighted average)</w:t>
      </w:r>
      <w:r>
        <w:t xml:space="preserve"> of multiple month</w:t>
      </w:r>
      <w:r w:rsidR="004C5F9A">
        <w:t>-</w:t>
      </w:r>
      <w:r>
        <w:t>end estimates.</w:t>
      </w:r>
    </w:p>
    <w:p w:rsidR="00525C10" w:rsidRDefault="00C224FD" w:rsidP="00525C10">
      <w:pPr>
        <w:pStyle w:val="AERbodytext"/>
      </w:pPr>
      <w:r>
        <w:t xml:space="preserve">Using only the available yield </w:t>
      </w:r>
      <w:r w:rsidR="00194835">
        <w:t>data</w:t>
      </w:r>
      <w:r>
        <w:t xml:space="preserve"> from the RBA</w:t>
      </w:r>
      <w:r w:rsidR="00BD6949">
        <w:t xml:space="preserve">, however, may </w:t>
      </w:r>
      <w:r>
        <w:t>necessitate</w:t>
      </w:r>
      <w:r w:rsidR="00BD6949">
        <w:t xml:space="preserve"> </w:t>
      </w:r>
      <w:r w:rsidR="008B796F">
        <w:t>departing from</w:t>
      </w:r>
      <w:r w:rsidR="00525C10">
        <w:t xml:space="preserve"> the averaging period requirements set out in our rate of return guideline. </w:t>
      </w:r>
      <w:r>
        <w:t xml:space="preserve">For example, </w:t>
      </w:r>
      <w:r w:rsidR="004212C6">
        <w:t>this</w:t>
      </w:r>
      <w:r w:rsidR="00BD6949">
        <w:t xml:space="preserve"> may include</w:t>
      </w:r>
      <w:r w:rsidR="00525C10">
        <w:t>:</w:t>
      </w:r>
    </w:p>
    <w:p w:rsidR="00C465A3" w:rsidRDefault="007B0B88" w:rsidP="00C465A3">
      <w:pPr>
        <w:pStyle w:val="AERbulletlistfirststyle"/>
      </w:pPr>
      <w:r>
        <w:t>removing</w:t>
      </w:r>
      <w:r w:rsidR="00525C10">
        <w:t xml:space="preserve"> the requirement for prevailing rates to </w:t>
      </w:r>
      <w:r w:rsidR="004872FE">
        <w:t>be observed over consecutive business days</w:t>
      </w:r>
    </w:p>
    <w:p w:rsidR="004872FE" w:rsidRPr="00C465A3" w:rsidRDefault="007B0B88" w:rsidP="00C465A3">
      <w:pPr>
        <w:pStyle w:val="AERbulletlistfirststyle"/>
      </w:pPr>
      <w:r>
        <w:t xml:space="preserve">removing </w:t>
      </w:r>
      <w:r w:rsidR="004872FE">
        <w:t>the requirement for prevailing rates to be observed over a minimum of 10 business days.</w:t>
      </w:r>
    </w:p>
    <w:p w:rsidR="00230A4D" w:rsidRDefault="004212C6" w:rsidP="00C465A3">
      <w:r>
        <w:t xml:space="preserve">Departing from </w:t>
      </w:r>
      <w:r w:rsidR="00267892">
        <w:t>either, or both, of the above requirements would allow service providers to propose an average of up to 12 month</w:t>
      </w:r>
      <w:r w:rsidR="004C5F9A">
        <w:t>-</w:t>
      </w:r>
      <w:r w:rsidR="00267892">
        <w:t>end estimates from the RBA series.</w:t>
      </w:r>
      <w:r w:rsidR="00BD6949">
        <w:t xml:space="preserve"> The strength of this approach is that it is relatively simple</w:t>
      </w:r>
      <w:r w:rsidR="00230A4D">
        <w:t xml:space="preserve"> to implement and understand</w:t>
      </w:r>
      <w:r w:rsidR="00267892">
        <w:t>.</w:t>
      </w:r>
      <w:r w:rsidR="00ED28F6">
        <w:t xml:space="preserve"> Moreover, it may represent a pragmatic approach to utilising an alternative data source that </w:t>
      </w:r>
      <w:r>
        <w:t xml:space="preserve">may </w:t>
      </w:r>
      <w:r w:rsidR="00ED28F6">
        <w:t xml:space="preserve">meet the characteristics of the benchmark </w:t>
      </w:r>
      <w:r w:rsidR="00F23BFB">
        <w:t>efficient entity</w:t>
      </w:r>
      <w:r w:rsidR="00ED28F6">
        <w:t>.</w:t>
      </w:r>
    </w:p>
    <w:p w:rsidR="0007609C" w:rsidRDefault="00230A4D" w:rsidP="00874B46">
      <w:r>
        <w:t xml:space="preserve">The limitations of this approach, however, include that </w:t>
      </w:r>
      <w:r w:rsidR="00C224FD">
        <w:t xml:space="preserve">it may lead to </w:t>
      </w:r>
      <w:r w:rsidR="00194835">
        <w:t xml:space="preserve">an estimate that </w:t>
      </w:r>
      <w:r w:rsidR="00AF2035">
        <w:t>misrepresents the return on debt</w:t>
      </w:r>
      <w:r w:rsidR="00194835">
        <w:t xml:space="preserve"> during the relevant </w:t>
      </w:r>
      <w:r w:rsidR="00AF2035">
        <w:t xml:space="preserve">averaging </w:t>
      </w:r>
      <w:r w:rsidR="00194835">
        <w:t xml:space="preserve">period. For example, </w:t>
      </w:r>
      <w:r w:rsidR="004123DA">
        <w:t>using few data points may result in the</w:t>
      </w:r>
      <w:r w:rsidR="00ED28F6">
        <w:t xml:space="preserve"> estimate of the return on debt </w:t>
      </w:r>
      <w:r w:rsidR="004123DA">
        <w:t>being</w:t>
      </w:r>
      <w:r w:rsidR="00ED28F6">
        <w:t xml:space="preserve"> dominated by </w:t>
      </w:r>
      <w:r w:rsidR="004123DA">
        <w:t>any</w:t>
      </w:r>
      <w:r w:rsidR="00ED28F6">
        <w:t xml:space="preserve"> errors in the small data sample.</w:t>
      </w:r>
    </w:p>
    <w:p w:rsidR="00F12EAD" w:rsidRDefault="00F12EAD" w:rsidP="00F12EAD">
      <w:pPr>
        <w:pStyle w:val="Heading7"/>
      </w:pPr>
      <w:bookmarkStart w:id="196" w:name="_Toc383780227"/>
      <w:r>
        <w:lastRenderedPageBreak/>
        <w:t>I</w:t>
      </w:r>
      <w:r w:rsidRPr="00F12EAD">
        <w:t>nterpolat</w:t>
      </w:r>
      <w:r>
        <w:t>ing daily estimates: an example</w:t>
      </w:r>
      <w:bookmarkEnd w:id="196"/>
    </w:p>
    <w:p w:rsidR="00F12EAD" w:rsidRPr="00F12EAD" w:rsidRDefault="00F12EAD" w:rsidP="00F12EAD">
      <w:pPr>
        <w:pStyle w:val="AERbodytext"/>
      </w:pPr>
      <w:r>
        <w:t>See attached spreadsheet.</w:t>
      </w:r>
    </w:p>
    <w:sectPr w:rsidR="00F12EAD" w:rsidRPr="00F12EAD" w:rsidSect="006F6421">
      <w:footerReference w:type="even"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10" w:rsidRPr="00AB4345" w:rsidRDefault="001A1E10" w:rsidP="00AB4345">
      <w:r>
        <w:separator/>
      </w:r>
    </w:p>
  </w:endnote>
  <w:endnote w:type="continuationSeparator" w:id="0">
    <w:p w:rsidR="001A1E10" w:rsidRPr="00AB4345" w:rsidRDefault="001A1E1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8E" w:rsidRDefault="00E56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10" w:rsidRPr="00337B5F" w:rsidRDefault="001A1E10" w:rsidP="00337B5F">
    <w:pPr>
      <w:pStyle w:val="Footer"/>
      <w:rPr>
        <w:rStyle w:val="AERbod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8E" w:rsidRDefault="00E564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E10" w:rsidRPr="00337B5F" w:rsidRDefault="001A1E10" w:rsidP="00337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10" w:rsidRPr="00AB4345" w:rsidRDefault="001A1E10" w:rsidP="00AB4345">
      <w:r>
        <w:separator/>
      </w:r>
    </w:p>
  </w:footnote>
  <w:footnote w:type="continuationSeparator" w:id="0">
    <w:p w:rsidR="001A1E10" w:rsidRPr="00AB4345" w:rsidRDefault="001A1E10" w:rsidP="00AB4345">
      <w:r>
        <w:continuationSeparator/>
      </w:r>
    </w:p>
  </w:footnote>
  <w:footnote w:id="1">
    <w:p w:rsidR="001A1E10" w:rsidRDefault="001A1E10">
      <w:pPr>
        <w:pStyle w:val="FootnoteText"/>
      </w:pPr>
      <w:r>
        <w:rPr>
          <w:rStyle w:val="FootnoteReference"/>
        </w:rPr>
        <w:footnoteRef/>
      </w:r>
      <w:r>
        <w:t xml:space="preserve"> </w:t>
      </w:r>
      <w:r>
        <w:tab/>
        <w:t xml:space="preserve">AER, </w:t>
      </w:r>
      <w:r w:rsidRPr="00044971">
        <w:rPr>
          <w:rStyle w:val="AERtextitalic"/>
        </w:rPr>
        <w:t>Rate of return guideline</w:t>
      </w:r>
      <w:r>
        <w:t>, December 2013.</w:t>
      </w:r>
    </w:p>
  </w:footnote>
  <w:footnote w:id="2">
    <w:p w:rsidR="001A1E10" w:rsidRDefault="001A1E10">
      <w:pPr>
        <w:pStyle w:val="FootnoteText"/>
      </w:pPr>
      <w:r>
        <w:rPr>
          <w:rStyle w:val="FootnoteReference"/>
        </w:rPr>
        <w:footnoteRef/>
      </w:r>
      <w:r>
        <w:t xml:space="preserve"> </w:t>
      </w:r>
      <w:r>
        <w:tab/>
        <w:t>NER, cl. 6.5.2(n</w:t>
      </w:r>
      <w:proofErr w:type="gramStart"/>
      <w:r>
        <w:t>)(</w:t>
      </w:r>
      <w:proofErr w:type="gramEnd"/>
      <w:r>
        <w:t xml:space="preserve">1) and 6A.6.2(n); NGR, r. 87(13). </w:t>
      </w:r>
    </w:p>
  </w:footnote>
  <w:footnote w:id="3">
    <w:p w:rsidR="001A1E10" w:rsidRDefault="001A1E10">
      <w:pPr>
        <w:pStyle w:val="FootnoteText"/>
      </w:pPr>
      <w:r>
        <w:rPr>
          <w:rStyle w:val="FootnoteReference"/>
        </w:rPr>
        <w:footnoteRef/>
      </w:r>
      <w:r>
        <w:t xml:space="preserve"> </w:t>
      </w:r>
      <w:r>
        <w:tab/>
        <w:t xml:space="preserve">AER, </w:t>
      </w:r>
      <w:r>
        <w:rPr>
          <w:rStyle w:val="AERtextitalic"/>
        </w:rPr>
        <w:t>Explanatory statement: R</w:t>
      </w:r>
      <w:r w:rsidRPr="00044971">
        <w:rPr>
          <w:rStyle w:val="AERtextitalic"/>
        </w:rPr>
        <w:t>ate of return guideline</w:t>
      </w:r>
      <w:r>
        <w:t>, December 2013, pp. 126–130.</w:t>
      </w:r>
    </w:p>
  </w:footnote>
  <w:footnote w:id="4">
    <w:p w:rsidR="001A1E10" w:rsidRDefault="001A1E10" w:rsidP="00EA29CC">
      <w:pPr>
        <w:pStyle w:val="FootnoteText"/>
      </w:pPr>
      <w:r>
        <w:rPr>
          <w:rStyle w:val="FootnoteReference"/>
        </w:rPr>
        <w:footnoteRef/>
      </w:r>
      <w:r>
        <w:t xml:space="preserve"> </w:t>
      </w:r>
      <w:r>
        <w:tab/>
        <w:t xml:space="preserve">For our considerations on the benchmark efficient entity, see: AER, </w:t>
      </w:r>
      <w:r w:rsidRPr="00B84A45">
        <w:rPr>
          <w:rStyle w:val="AERtextitalic"/>
        </w:rPr>
        <w:t xml:space="preserve">Explanatory </w:t>
      </w:r>
      <w:r>
        <w:rPr>
          <w:rStyle w:val="AERtextitalic"/>
        </w:rPr>
        <w:t>s</w:t>
      </w:r>
      <w:r w:rsidRPr="00B84A45">
        <w:rPr>
          <w:rStyle w:val="AERtextitalic"/>
        </w:rPr>
        <w:t>tatement: Rate of return guideline</w:t>
      </w:r>
      <w:r>
        <w:t>, December 2013, chapter 3.</w:t>
      </w:r>
    </w:p>
  </w:footnote>
  <w:footnote w:id="5">
    <w:p w:rsidR="001A1E10" w:rsidRDefault="001A1E10">
      <w:pPr>
        <w:pStyle w:val="FootnoteText"/>
      </w:pPr>
      <w:r>
        <w:rPr>
          <w:rStyle w:val="FootnoteReference"/>
        </w:rPr>
        <w:footnoteRef/>
      </w:r>
      <w:r>
        <w:t xml:space="preserve"> </w:t>
      </w:r>
      <w:r>
        <w:tab/>
        <w:t xml:space="preserve">AER, </w:t>
      </w:r>
      <w:r w:rsidRPr="00B84A45">
        <w:rPr>
          <w:rStyle w:val="AERtextitalic"/>
        </w:rPr>
        <w:t xml:space="preserve">Explanatory </w:t>
      </w:r>
      <w:r>
        <w:rPr>
          <w:rStyle w:val="AERtextitalic"/>
        </w:rPr>
        <w:t>s</w:t>
      </w:r>
      <w:r w:rsidRPr="00B84A45">
        <w:rPr>
          <w:rStyle w:val="AERtextitalic"/>
        </w:rPr>
        <w:t>tatement: Rate of return guideline</w:t>
      </w:r>
      <w:r>
        <w:t>, December 2013, chapter 7, p. 109.</w:t>
      </w:r>
    </w:p>
  </w:footnote>
  <w:footnote w:id="6">
    <w:p w:rsidR="001A1E10" w:rsidRDefault="001A1E10" w:rsidP="007C5B22">
      <w:pPr>
        <w:pStyle w:val="FootnoteText"/>
      </w:pPr>
      <w:r>
        <w:rPr>
          <w:rStyle w:val="FootnoteReference"/>
        </w:rPr>
        <w:footnoteRef/>
      </w:r>
      <w:r>
        <w:t xml:space="preserve"> </w:t>
      </w:r>
      <w:r>
        <w:tab/>
        <w:t>NER, cl. 6.5.2(k</w:t>
      </w:r>
      <w:proofErr w:type="gramStart"/>
      <w:r>
        <w:t>)(</w:t>
      </w:r>
      <w:proofErr w:type="gramEnd"/>
      <w:r>
        <w:t xml:space="preserve">1) and 6A.6.2(k)(1); NGR, r. 87(11)(a). </w:t>
      </w:r>
    </w:p>
  </w:footnote>
  <w:footnote w:id="7">
    <w:p w:rsidR="001A1E10" w:rsidRDefault="001A1E10">
      <w:pPr>
        <w:pStyle w:val="FootnoteText"/>
      </w:pPr>
      <w:r>
        <w:rPr>
          <w:rStyle w:val="FootnoteReference"/>
        </w:rPr>
        <w:footnoteRef/>
      </w:r>
      <w:r>
        <w:t xml:space="preserve"> </w:t>
      </w:r>
      <w:r>
        <w:tab/>
      </w:r>
      <w:r w:rsidRPr="009D340C">
        <w:t xml:space="preserve">AER, </w:t>
      </w:r>
      <w:r w:rsidRPr="009D340C">
        <w:rPr>
          <w:rStyle w:val="AERtextitalic"/>
        </w:rPr>
        <w:t>Rate of return guideline</w:t>
      </w:r>
      <w:r w:rsidRPr="009D340C">
        <w:t>, December 2013</w:t>
      </w:r>
      <w:r>
        <w:t>, p. 8.</w:t>
      </w:r>
    </w:p>
  </w:footnote>
  <w:footnote w:id="8">
    <w:p w:rsidR="001A1E10" w:rsidRDefault="001A1E10" w:rsidP="009D340C">
      <w:pPr>
        <w:pStyle w:val="FootnoteText"/>
      </w:pPr>
      <w:r>
        <w:rPr>
          <w:rStyle w:val="FootnoteReference"/>
        </w:rPr>
        <w:footnoteRef/>
      </w:r>
      <w:r>
        <w:t xml:space="preserve"> </w:t>
      </w:r>
      <w:r>
        <w:tab/>
      </w:r>
      <w:proofErr w:type="gramStart"/>
      <w:r>
        <w:t>NEL, s. 7; NGL, s. 23.</w:t>
      </w:r>
      <w:proofErr w:type="gramEnd"/>
    </w:p>
  </w:footnote>
  <w:footnote w:id="9">
    <w:p w:rsidR="001A1E10" w:rsidRDefault="001A1E10" w:rsidP="009D340C">
      <w:pPr>
        <w:pStyle w:val="FootnoteText"/>
      </w:pPr>
      <w:r>
        <w:rPr>
          <w:rStyle w:val="FootnoteReference"/>
        </w:rPr>
        <w:footnoteRef/>
      </w:r>
      <w:r>
        <w:t xml:space="preserve"> </w:t>
      </w:r>
      <w:r>
        <w:tab/>
      </w:r>
      <w:proofErr w:type="gramStart"/>
      <w:r>
        <w:t>NEL, s. 7A; NGL, s. 24.</w:t>
      </w:r>
      <w:proofErr w:type="gramEnd"/>
    </w:p>
  </w:footnote>
  <w:footnote w:id="10">
    <w:p w:rsidR="001A1E10" w:rsidRDefault="001A1E10">
      <w:pPr>
        <w:pStyle w:val="FootnoteText"/>
      </w:pPr>
      <w:r>
        <w:rPr>
          <w:rStyle w:val="FootnoteReference"/>
        </w:rPr>
        <w:footnoteRef/>
      </w:r>
      <w:r>
        <w:t xml:space="preserve"> </w:t>
      </w:r>
      <w:r>
        <w:tab/>
      </w:r>
      <w:r w:rsidRPr="009D340C">
        <w:t xml:space="preserve">For our considerations on the benchmark efficient entity, see: AER, </w:t>
      </w:r>
      <w:r w:rsidRPr="009D340C">
        <w:rPr>
          <w:rStyle w:val="AERtextitalic"/>
        </w:rPr>
        <w:t>Explanatory statement: Rate of return guideline</w:t>
      </w:r>
      <w:r w:rsidRPr="009D340C">
        <w:t>, December 2013, chapter 3.</w:t>
      </w:r>
    </w:p>
  </w:footnote>
  <w:footnote w:id="11">
    <w:p w:rsidR="001A1E10" w:rsidRDefault="001A1E10" w:rsidP="00E50CC9">
      <w:pPr>
        <w:pStyle w:val="FootnoteText"/>
      </w:pPr>
      <w:r>
        <w:rPr>
          <w:rStyle w:val="FootnoteReference"/>
        </w:rPr>
        <w:footnoteRef/>
      </w:r>
      <w:r>
        <w:t xml:space="preserve"> </w:t>
      </w:r>
      <w:r>
        <w:tab/>
        <w:t xml:space="preserve">AER, </w:t>
      </w:r>
      <w:r w:rsidRPr="00B84A45">
        <w:rPr>
          <w:rStyle w:val="AERtextitalic"/>
        </w:rPr>
        <w:t xml:space="preserve">Explanatory </w:t>
      </w:r>
      <w:r>
        <w:rPr>
          <w:rStyle w:val="AERtextitalic"/>
        </w:rPr>
        <w:t>s</w:t>
      </w:r>
      <w:r w:rsidRPr="00B84A45">
        <w:rPr>
          <w:rStyle w:val="AERtextitalic"/>
        </w:rPr>
        <w:t>tatement: Rate of return guideline</w:t>
      </w:r>
      <w:r>
        <w:t xml:space="preserve">, December 2013, p. 136 and pp. 141–6. </w:t>
      </w:r>
    </w:p>
  </w:footnote>
  <w:footnote w:id="12">
    <w:p w:rsidR="001A1E10" w:rsidRDefault="001A1E10">
      <w:pPr>
        <w:pStyle w:val="FootnoteText"/>
      </w:pPr>
      <w:r>
        <w:rPr>
          <w:rStyle w:val="FootnoteReference"/>
        </w:rPr>
        <w:footnoteRef/>
      </w:r>
      <w:r>
        <w:t xml:space="preserve"> </w:t>
      </w:r>
      <w:r>
        <w:tab/>
      </w:r>
      <w:proofErr w:type="gramStart"/>
      <w:r w:rsidR="00171B9D">
        <w:t>were</w:t>
      </w:r>
      <w:proofErr w:type="gramEnd"/>
      <w:r w:rsidR="00171B9D">
        <w:t xml:space="preserve"> </w:t>
      </w:r>
      <w:r>
        <w:t xml:space="preserve">the weighting is determined by the size of the debt issue. </w:t>
      </w:r>
    </w:p>
  </w:footnote>
  <w:footnote w:id="13">
    <w:p w:rsidR="001A1E10" w:rsidRDefault="001A1E10">
      <w:pPr>
        <w:pStyle w:val="FootnoteText"/>
      </w:pPr>
      <w:r>
        <w:rPr>
          <w:rStyle w:val="FootnoteReference"/>
        </w:rPr>
        <w:footnoteRef/>
      </w:r>
      <w:r>
        <w:t xml:space="preserve"> </w:t>
      </w:r>
      <w:r>
        <w:tab/>
        <w:t xml:space="preserve">AER, </w:t>
      </w:r>
      <w:r w:rsidRPr="00B84A45">
        <w:rPr>
          <w:rStyle w:val="AERtextitalic"/>
        </w:rPr>
        <w:t xml:space="preserve">Explanatory </w:t>
      </w:r>
      <w:r>
        <w:rPr>
          <w:rStyle w:val="AERtextitalic"/>
        </w:rPr>
        <w:t>s</w:t>
      </w:r>
      <w:r w:rsidRPr="00B84A45">
        <w:rPr>
          <w:rStyle w:val="AERtextitalic"/>
        </w:rPr>
        <w:t>tatement: Rate of return guideline</w:t>
      </w:r>
      <w:r>
        <w:t>, December 2013, section 8.3.3.</w:t>
      </w:r>
    </w:p>
  </w:footnote>
  <w:footnote w:id="14">
    <w:p w:rsidR="001A1E10" w:rsidRDefault="001A1E10">
      <w:pPr>
        <w:pStyle w:val="FootnoteText"/>
      </w:pPr>
      <w:r>
        <w:rPr>
          <w:rStyle w:val="FootnoteReference"/>
        </w:rPr>
        <w:footnoteRef/>
      </w:r>
      <w:r>
        <w:t xml:space="preserve"> </w:t>
      </w:r>
      <w:r>
        <w:tab/>
        <w:t xml:space="preserve">AER, </w:t>
      </w:r>
      <w:r w:rsidRPr="00B84A45">
        <w:rPr>
          <w:rStyle w:val="AERtextitalic"/>
        </w:rPr>
        <w:t xml:space="preserve">Explanatory </w:t>
      </w:r>
      <w:r>
        <w:rPr>
          <w:rStyle w:val="AERtextitalic"/>
        </w:rPr>
        <w:t>s</w:t>
      </w:r>
      <w:r w:rsidRPr="00B84A45">
        <w:rPr>
          <w:rStyle w:val="AERtextitalic"/>
        </w:rPr>
        <w:t>tatement: Rate of return guideline</w:t>
      </w:r>
      <w:r>
        <w:t>, December 2013, p. 109; NER, cl. 6.5.2(k</w:t>
      </w:r>
      <w:proofErr w:type="gramStart"/>
      <w:r>
        <w:t>)(</w:t>
      </w:r>
      <w:proofErr w:type="gramEnd"/>
      <w:r>
        <w:t>1) and 6A.6.2(k)(1); NGR, r. 87(11)(a).</w:t>
      </w:r>
    </w:p>
  </w:footnote>
  <w:footnote w:id="15">
    <w:p w:rsidR="001A1E10" w:rsidRDefault="001A1E10">
      <w:pPr>
        <w:pStyle w:val="FootnoteText"/>
      </w:pPr>
      <w:r>
        <w:rPr>
          <w:rStyle w:val="FootnoteReference"/>
        </w:rPr>
        <w:footnoteRef/>
      </w:r>
      <w:r>
        <w:t xml:space="preserve"> </w:t>
      </w:r>
      <w:r>
        <w:tab/>
        <w:t xml:space="preserve">AER, </w:t>
      </w:r>
      <w:r w:rsidRPr="00B84A45">
        <w:rPr>
          <w:rStyle w:val="AERtextitalic"/>
        </w:rPr>
        <w:t xml:space="preserve">Explanatory </w:t>
      </w:r>
      <w:r>
        <w:rPr>
          <w:rStyle w:val="AERtextitalic"/>
        </w:rPr>
        <w:t>s</w:t>
      </w:r>
      <w:r w:rsidRPr="00B84A45">
        <w:rPr>
          <w:rStyle w:val="AERtextitalic"/>
        </w:rPr>
        <w:t>tatement: Rate of return guideline</w:t>
      </w:r>
      <w:r>
        <w:t>, December 2013, pp. 108–10.</w:t>
      </w:r>
    </w:p>
  </w:footnote>
  <w:footnote w:id="16">
    <w:p w:rsidR="001A1E10" w:rsidRDefault="001A1E10" w:rsidP="00D35D5C">
      <w:pPr>
        <w:pStyle w:val="FootnoteText"/>
      </w:pPr>
      <w:r>
        <w:rPr>
          <w:rStyle w:val="FootnoteReference"/>
        </w:rPr>
        <w:footnoteRef/>
      </w:r>
      <w:r>
        <w:t xml:space="preserve"> </w:t>
      </w:r>
      <w:r>
        <w:tab/>
        <w:t xml:space="preserve">AER, </w:t>
      </w:r>
      <w:r w:rsidRPr="00B84A45">
        <w:rPr>
          <w:rStyle w:val="AERtextitalic"/>
        </w:rPr>
        <w:t xml:space="preserve">Explanatory </w:t>
      </w:r>
      <w:r>
        <w:rPr>
          <w:rStyle w:val="AERtextitalic"/>
        </w:rPr>
        <w:t>s</w:t>
      </w:r>
      <w:r w:rsidRPr="00B84A45">
        <w:rPr>
          <w:rStyle w:val="AERtextitalic"/>
        </w:rPr>
        <w:t>tatement: Rate of return guideline</w:t>
      </w:r>
      <w:r>
        <w:t xml:space="preserve">, December 2013, pp. 120–5. </w:t>
      </w:r>
    </w:p>
  </w:footnote>
  <w:footnote w:id="17">
    <w:p w:rsidR="001A1E10" w:rsidRDefault="001A1E10">
      <w:pPr>
        <w:pStyle w:val="FootnoteText"/>
      </w:pPr>
      <w:r>
        <w:rPr>
          <w:rStyle w:val="FootnoteReference"/>
        </w:rPr>
        <w:footnoteRef/>
      </w:r>
      <w:r>
        <w:t xml:space="preserve"> </w:t>
      </w:r>
      <w:r>
        <w:tab/>
        <w:t xml:space="preserve">AER, </w:t>
      </w:r>
      <w:r w:rsidRPr="00B84A45">
        <w:rPr>
          <w:rStyle w:val="AERtextitalic"/>
        </w:rPr>
        <w:t xml:space="preserve">Explanatory </w:t>
      </w:r>
      <w:r>
        <w:rPr>
          <w:rStyle w:val="AERtextitalic"/>
        </w:rPr>
        <w:t>st</w:t>
      </w:r>
      <w:r w:rsidRPr="00B84A45">
        <w:rPr>
          <w:rStyle w:val="AERtextitalic"/>
        </w:rPr>
        <w:t>atement: Rate of return guideline</w:t>
      </w:r>
      <w:r>
        <w:t>, December 2013, p. 109 and p. 112.</w:t>
      </w:r>
    </w:p>
  </w:footnote>
  <w:footnote w:id="18">
    <w:p w:rsidR="001A1E10" w:rsidRDefault="001A1E10">
      <w:pPr>
        <w:pStyle w:val="FootnoteText"/>
      </w:pPr>
      <w:r>
        <w:rPr>
          <w:rStyle w:val="FootnoteReference"/>
        </w:rPr>
        <w:footnoteRef/>
      </w:r>
      <w:r>
        <w:t xml:space="preserve"> </w:t>
      </w:r>
      <w:r>
        <w:tab/>
        <w:t xml:space="preserve">If, in any year, the expected return on debt raised is different from the allowed return on debt, this difference may distort investment and consumption decisions across time. If the allowed return on debt is below the expected return on debt, this might result in under-investment. In the opposite case, this would lead to over-compensation for the regulated business and customers paying prices that are above efficient levels. See AER, </w:t>
      </w:r>
      <w:r w:rsidRPr="00B84A45">
        <w:rPr>
          <w:rStyle w:val="AERtextitalic"/>
        </w:rPr>
        <w:t xml:space="preserve">Explanatory </w:t>
      </w:r>
      <w:r>
        <w:rPr>
          <w:rStyle w:val="AERtextitalic"/>
        </w:rPr>
        <w:t>s</w:t>
      </w:r>
      <w:r w:rsidRPr="00B84A45">
        <w:rPr>
          <w:rStyle w:val="AERtextitalic"/>
        </w:rPr>
        <w:t>tatement: Rate of return guideline</w:t>
      </w:r>
      <w:r>
        <w:t>, December 2013, p. 109.</w:t>
      </w:r>
    </w:p>
  </w:footnote>
  <w:footnote w:id="19">
    <w:p w:rsidR="001A1E10" w:rsidRDefault="001A1E10">
      <w:pPr>
        <w:pStyle w:val="FootnoteText"/>
      </w:pPr>
      <w:r>
        <w:rPr>
          <w:rStyle w:val="FootnoteReference"/>
        </w:rPr>
        <w:footnoteRef/>
      </w:r>
      <w:r>
        <w:t xml:space="preserve"> </w:t>
      </w:r>
      <w:r>
        <w:tab/>
        <w:t xml:space="preserve">NER, cl. 6.5.2(l) and </w:t>
      </w:r>
      <w:proofErr w:type="gramStart"/>
      <w:r>
        <w:t>6A.6.2(</w:t>
      </w:r>
      <w:proofErr w:type="gramEnd"/>
      <w:r>
        <w:t xml:space="preserve">l); NGR, r. 87(12). </w:t>
      </w:r>
    </w:p>
  </w:footnote>
  <w:footnote w:id="20">
    <w:p w:rsidR="001A1E10" w:rsidRDefault="001A1E10">
      <w:pPr>
        <w:pStyle w:val="FootnoteText"/>
      </w:pPr>
      <w:r>
        <w:rPr>
          <w:rStyle w:val="FootnoteReference"/>
        </w:rPr>
        <w:footnoteRef/>
      </w:r>
      <w:r>
        <w:t xml:space="preserve"> </w:t>
      </w:r>
      <w:r>
        <w:tab/>
        <w:t>The first decision where our return on debt approach will be determined is for the NSW, ACT and Tasmanian transmission networks, and the NSW and ACT distribution networks. Our draft decision is expected in November 2014.</w:t>
      </w:r>
    </w:p>
  </w:footnote>
  <w:footnote w:id="21">
    <w:p w:rsidR="001A1E10" w:rsidRDefault="001A1E10">
      <w:pPr>
        <w:pStyle w:val="FootnoteText"/>
      </w:pPr>
      <w:r>
        <w:rPr>
          <w:rStyle w:val="FootnoteReference"/>
        </w:rPr>
        <w:footnoteRef/>
      </w:r>
      <w:r>
        <w:t xml:space="preserve"> </w:t>
      </w:r>
      <w:r>
        <w:tab/>
        <w:t xml:space="preserve">AER, </w:t>
      </w:r>
      <w:r w:rsidRPr="00B84A45">
        <w:rPr>
          <w:rStyle w:val="AERtextitalic"/>
        </w:rPr>
        <w:t>Rate of return guideline</w:t>
      </w:r>
      <w:r>
        <w:t>, December 2013, p. 21.</w:t>
      </w:r>
    </w:p>
  </w:footnote>
  <w:footnote w:id="22">
    <w:p w:rsidR="001A1E10" w:rsidRDefault="001A1E10">
      <w:pPr>
        <w:pStyle w:val="FootnoteText"/>
      </w:pPr>
      <w:r>
        <w:rPr>
          <w:rStyle w:val="FootnoteReference"/>
        </w:rPr>
        <w:footnoteRef/>
      </w:r>
      <w:r>
        <w:t xml:space="preserve"> </w:t>
      </w:r>
      <w:r>
        <w:tab/>
      </w:r>
      <w:r w:rsidR="003038F4">
        <w:t>Curve fitting is the process of constructing a curve, or mathematical function</w:t>
      </w:r>
      <w:proofErr w:type="gramStart"/>
      <w:r w:rsidR="003038F4">
        <w:t>,  that</w:t>
      </w:r>
      <w:proofErr w:type="gramEnd"/>
      <w:r w:rsidR="003038F4">
        <w:t xml:space="preserve"> has the best fit to a series of data points, subject to constraints.</w:t>
      </w:r>
    </w:p>
  </w:footnote>
  <w:footnote w:id="23">
    <w:p w:rsidR="001A1E10" w:rsidRDefault="001A1E10" w:rsidP="00205C56">
      <w:pPr>
        <w:pStyle w:val="FootnoteText"/>
      </w:pPr>
      <w:r>
        <w:rPr>
          <w:rStyle w:val="FootnoteReference"/>
        </w:rPr>
        <w:footnoteRef/>
      </w:r>
      <w:r>
        <w:t xml:space="preserve"> </w:t>
      </w:r>
      <w:r>
        <w:tab/>
        <w:t xml:space="preserve">Alternatively, developing an in–house method would likely require </w:t>
      </w:r>
      <w:r w:rsidRPr="00205C56">
        <w:t>detailed criteria for selecting debt instruments with appropriate specification of contingencies to allow automatic updating</w:t>
      </w:r>
      <w:r>
        <w:t xml:space="preserve">, and </w:t>
      </w:r>
      <w:r w:rsidRPr="00205C56">
        <w:t xml:space="preserve">a detailed description of the estimation method (that is, a curve fitting technique or some form of averaging observed yields—for example, Nelson–Siegel, </w:t>
      </w:r>
      <w:proofErr w:type="spellStart"/>
      <w:r w:rsidRPr="00205C56">
        <w:t>Svensson</w:t>
      </w:r>
      <w:proofErr w:type="spellEnd"/>
      <w:r w:rsidRPr="00205C56">
        <w:t xml:space="preserve"> or spline-based approaches).</w:t>
      </w:r>
    </w:p>
  </w:footnote>
  <w:footnote w:id="24">
    <w:p w:rsidR="001A1E10" w:rsidRDefault="001A1E10">
      <w:pPr>
        <w:pStyle w:val="FootnoteText"/>
      </w:pPr>
      <w:r>
        <w:rPr>
          <w:rStyle w:val="FootnoteReference"/>
        </w:rPr>
        <w:footnoteRef/>
      </w:r>
      <w:r>
        <w:t xml:space="preserve"> </w:t>
      </w:r>
      <w:r>
        <w:tab/>
        <w:t xml:space="preserve">AER, </w:t>
      </w:r>
      <w:r w:rsidRPr="00B84A45">
        <w:rPr>
          <w:rStyle w:val="AERtextitalic"/>
        </w:rPr>
        <w:t>Rate of return guideline</w:t>
      </w:r>
      <w:r>
        <w:t>, December 2013, p. 6.</w:t>
      </w:r>
    </w:p>
  </w:footnote>
  <w:footnote w:id="25">
    <w:p w:rsidR="001A1E10" w:rsidRDefault="001A1E10">
      <w:pPr>
        <w:pStyle w:val="FootnoteText"/>
      </w:pPr>
      <w:r>
        <w:rPr>
          <w:rStyle w:val="FootnoteReference"/>
        </w:rPr>
        <w:footnoteRef/>
      </w:r>
      <w:r>
        <w:t xml:space="preserve"> </w:t>
      </w:r>
      <w:r>
        <w:tab/>
        <w:t xml:space="preserve">AER, </w:t>
      </w:r>
      <w:r w:rsidRPr="00B84A45">
        <w:rPr>
          <w:rStyle w:val="AERtextitalic"/>
        </w:rPr>
        <w:t>Rate of return guideline</w:t>
      </w:r>
      <w:r>
        <w:t>, December 2013, p. 6.</w:t>
      </w:r>
    </w:p>
  </w:footnote>
  <w:footnote w:id="26">
    <w:p w:rsidR="001A1E10" w:rsidRDefault="001A1E10">
      <w:pPr>
        <w:pStyle w:val="FootnoteText"/>
      </w:pPr>
      <w:r>
        <w:rPr>
          <w:rStyle w:val="FootnoteReference"/>
        </w:rPr>
        <w:footnoteRef/>
      </w:r>
      <w:r>
        <w:t xml:space="preserve"> </w:t>
      </w:r>
      <w:r>
        <w:tab/>
        <w:t xml:space="preserve">RBA, </w:t>
      </w:r>
      <w:r w:rsidRPr="00CA31A8">
        <w:rPr>
          <w:rStyle w:val="AERtextitalic"/>
        </w:rPr>
        <w:t xml:space="preserve">Bulletin: New </w:t>
      </w:r>
      <w:r>
        <w:rPr>
          <w:rStyle w:val="AERtextitalic"/>
        </w:rPr>
        <w:t>m</w:t>
      </w:r>
      <w:r w:rsidRPr="00CA31A8">
        <w:rPr>
          <w:rStyle w:val="AERtextitalic"/>
        </w:rPr>
        <w:t xml:space="preserve">easures of Australian </w:t>
      </w:r>
      <w:r>
        <w:rPr>
          <w:rStyle w:val="AERtextitalic"/>
        </w:rPr>
        <w:t>c</w:t>
      </w:r>
      <w:r w:rsidRPr="00CA31A8">
        <w:rPr>
          <w:rStyle w:val="AERtextitalic"/>
        </w:rPr>
        <w:t xml:space="preserve">orporate </w:t>
      </w:r>
      <w:r>
        <w:rPr>
          <w:rStyle w:val="AERtextitalic"/>
        </w:rPr>
        <w:t>c</w:t>
      </w:r>
      <w:r w:rsidRPr="00CA31A8">
        <w:rPr>
          <w:rStyle w:val="AERtextitalic"/>
        </w:rPr>
        <w:t xml:space="preserve">redit </w:t>
      </w:r>
      <w:r>
        <w:rPr>
          <w:rStyle w:val="AERtextitalic"/>
        </w:rPr>
        <w:t>s</w:t>
      </w:r>
      <w:r w:rsidRPr="00CA31A8">
        <w:rPr>
          <w:rStyle w:val="AERtextitalic"/>
        </w:rPr>
        <w:t>preads</w:t>
      </w:r>
      <w:r>
        <w:t>, December Quarter 2013.</w:t>
      </w:r>
    </w:p>
  </w:footnote>
  <w:footnote w:id="27">
    <w:p w:rsidR="001A1E10" w:rsidRDefault="001A1E10">
      <w:pPr>
        <w:pStyle w:val="FootnoteText"/>
      </w:pPr>
      <w:r>
        <w:rPr>
          <w:rStyle w:val="FootnoteReference"/>
        </w:rPr>
        <w:footnoteRef/>
      </w:r>
      <w:r>
        <w:t xml:space="preserve"> </w:t>
      </w:r>
      <w:r>
        <w:tab/>
        <w:t>The RBA method also uses credit spreads for foreign currency denominated Australian bonds that are converted into their Australian dollar equivalent.</w:t>
      </w:r>
    </w:p>
  </w:footnote>
  <w:footnote w:id="28">
    <w:p w:rsidR="001A1E10" w:rsidRDefault="001A1E10">
      <w:pPr>
        <w:pStyle w:val="FootnoteText"/>
      </w:pPr>
      <w:r>
        <w:rPr>
          <w:rStyle w:val="FootnoteReference"/>
        </w:rPr>
        <w:footnoteRef/>
      </w:r>
      <w:r>
        <w:t xml:space="preserve"> </w:t>
      </w:r>
      <w:r>
        <w:tab/>
        <w:t xml:space="preserve">RBA, </w:t>
      </w:r>
      <w:r w:rsidRPr="00CA31A8">
        <w:rPr>
          <w:rStyle w:val="AERtextitalic"/>
        </w:rPr>
        <w:t xml:space="preserve">Bulletin: </w:t>
      </w:r>
      <w:proofErr w:type="gramStart"/>
      <w:r w:rsidRPr="00CA31A8">
        <w:rPr>
          <w:rStyle w:val="AERtextitalic"/>
        </w:rPr>
        <w:t xml:space="preserve">New </w:t>
      </w:r>
      <w:r>
        <w:rPr>
          <w:rStyle w:val="AERtextitalic"/>
        </w:rPr>
        <w:t>m</w:t>
      </w:r>
      <w:r w:rsidRPr="00CA31A8">
        <w:rPr>
          <w:rStyle w:val="AERtextitalic"/>
        </w:rPr>
        <w:t xml:space="preserve">easures of Australian </w:t>
      </w:r>
      <w:r>
        <w:rPr>
          <w:rStyle w:val="AERtextitalic"/>
        </w:rPr>
        <w:t>c</w:t>
      </w:r>
      <w:r w:rsidRPr="00CA31A8">
        <w:rPr>
          <w:rStyle w:val="AERtextitalic"/>
        </w:rPr>
        <w:t xml:space="preserve">orporate </w:t>
      </w:r>
      <w:r>
        <w:rPr>
          <w:rStyle w:val="AERtextitalic"/>
        </w:rPr>
        <w:t>c</w:t>
      </w:r>
      <w:r w:rsidRPr="00CA31A8">
        <w:rPr>
          <w:rStyle w:val="AERtextitalic"/>
        </w:rPr>
        <w:t xml:space="preserve">redit </w:t>
      </w:r>
      <w:r>
        <w:rPr>
          <w:rStyle w:val="AERtextitalic"/>
        </w:rPr>
        <w:t>s</w:t>
      </w:r>
      <w:r w:rsidRPr="00CA31A8">
        <w:rPr>
          <w:rStyle w:val="AERtextitalic"/>
        </w:rPr>
        <w:t>preads</w:t>
      </w:r>
      <w:proofErr w:type="gramEnd"/>
      <w:r>
        <w:t>, December 2013, p. 20. Tenor measures the time left until a bond's maturity date.</w:t>
      </w:r>
    </w:p>
  </w:footnote>
  <w:footnote w:id="29">
    <w:p w:rsidR="001A1E10" w:rsidRDefault="001A1E10">
      <w:pPr>
        <w:pStyle w:val="FootnoteText"/>
      </w:pPr>
      <w:r>
        <w:rPr>
          <w:rStyle w:val="FootnoteReference"/>
        </w:rPr>
        <w:footnoteRef/>
      </w:r>
      <w:r>
        <w:t xml:space="preserve"> </w:t>
      </w:r>
      <w:r>
        <w:tab/>
      </w:r>
      <w:r w:rsidRPr="000C212D">
        <w:t xml:space="preserve">A </w:t>
      </w:r>
      <w:r>
        <w:t xml:space="preserve">par yield curve is a </w:t>
      </w:r>
      <w:r w:rsidRPr="000C212D">
        <w:t xml:space="preserve">graph of the yields on hypothetical securities with prices </w:t>
      </w:r>
      <w:r>
        <w:t xml:space="preserve">set </w:t>
      </w:r>
      <w:r w:rsidRPr="000C212D">
        <w:t>at par</w:t>
      </w:r>
      <w:r>
        <w:t xml:space="preserve"> (that is, securities</w:t>
      </w:r>
      <w:r w:rsidRPr="003E0274">
        <w:t xml:space="preserve"> with </w:t>
      </w:r>
      <w:r>
        <w:t xml:space="preserve">a </w:t>
      </w:r>
      <w:r w:rsidRPr="003E0274">
        <w:t>coupon rate set equal to the</w:t>
      </w:r>
      <w:r>
        <w:t>ir</w:t>
      </w:r>
      <w:r w:rsidRPr="003E0274">
        <w:t xml:space="preserve"> </w:t>
      </w:r>
      <w:r w:rsidRPr="00BF4FF3">
        <w:t>yield</w:t>
      </w:r>
      <w:r>
        <w:t xml:space="preserve"> </w:t>
      </w:r>
      <w:r w:rsidRPr="00BF4FF3">
        <w:t>to</w:t>
      </w:r>
      <w:r>
        <w:t xml:space="preserve"> </w:t>
      </w:r>
      <w:r w:rsidRPr="00BF4FF3">
        <w:t>maturity</w:t>
      </w:r>
      <w:r>
        <w:t xml:space="preserve"> (YTM)). YTM is the rate of return anticipated on a bond if held until the end of its lifetime. It is considered a long-term bond yield expressed as an annual rate. It assumes all coupon payments are reinvested at the same rate as the bond's current yield. YTM is an estimate of a bond's return that helps investors compare bonds with different maturities and coupon rates. (See </w:t>
      </w:r>
      <w:r w:rsidRPr="0073277B">
        <w:t>http://www.investopedia.com/terms/y/yieldtomaturity.asp</w:t>
      </w:r>
      <w:r>
        <w:t>)</w:t>
      </w:r>
    </w:p>
  </w:footnote>
  <w:footnote w:id="30">
    <w:p w:rsidR="001A1E10" w:rsidRDefault="001A1E10">
      <w:pPr>
        <w:pStyle w:val="FootnoteText"/>
      </w:pPr>
      <w:r>
        <w:rPr>
          <w:rStyle w:val="FootnoteReference"/>
        </w:rPr>
        <w:footnoteRef/>
      </w:r>
      <w:r>
        <w:t xml:space="preserve"> </w:t>
      </w:r>
      <w:r>
        <w:tab/>
        <w:t>The BFV curve is not considered given Bloomberg's intention to cease publishing this data series.</w:t>
      </w:r>
    </w:p>
  </w:footnote>
  <w:footnote w:id="31">
    <w:p w:rsidR="001A1E10" w:rsidRDefault="001A1E10" w:rsidP="00E50CC9">
      <w:pPr>
        <w:pStyle w:val="FootnoteText"/>
      </w:pPr>
      <w:r>
        <w:rPr>
          <w:rStyle w:val="FootnoteReference"/>
        </w:rPr>
        <w:footnoteRef/>
      </w:r>
      <w:r>
        <w:t xml:space="preserve"> </w:t>
      </w:r>
      <w:r>
        <w:tab/>
        <w:t xml:space="preserve">AER, </w:t>
      </w:r>
      <w:r w:rsidRPr="00B84A45">
        <w:rPr>
          <w:rStyle w:val="AERtextitalic"/>
        </w:rPr>
        <w:t>Rate of return guideline</w:t>
      </w:r>
      <w:r>
        <w:t>, December 2013, p. 21.</w:t>
      </w:r>
    </w:p>
  </w:footnote>
  <w:footnote w:id="32">
    <w:p w:rsidR="001A1E10" w:rsidRDefault="001A1E10" w:rsidP="00E50CC9">
      <w:pPr>
        <w:pStyle w:val="FootnoteText"/>
      </w:pPr>
      <w:r>
        <w:rPr>
          <w:rStyle w:val="FootnoteReference"/>
        </w:rPr>
        <w:footnoteRef/>
      </w:r>
      <w:r>
        <w:t xml:space="preserve"> </w:t>
      </w:r>
      <w:r>
        <w:tab/>
        <w:t xml:space="preserve">AER, </w:t>
      </w:r>
      <w:r w:rsidRPr="00B84A45">
        <w:rPr>
          <w:rStyle w:val="AERtextitalic"/>
        </w:rPr>
        <w:t>Rate of return guideline</w:t>
      </w:r>
      <w:r>
        <w:t>, December 2013, p. 21.</w:t>
      </w:r>
    </w:p>
  </w:footnote>
  <w:footnote w:id="33">
    <w:p w:rsidR="001A1E10" w:rsidRDefault="001A1E10" w:rsidP="00E50CC9">
      <w:pPr>
        <w:pStyle w:val="FootnoteText"/>
      </w:pPr>
      <w:r>
        <w:rPr>
          <w:rStyle w:val="FootnoteReference"/>
        </w:rPr>
        <w:footnoteRef/>
      </w:r>
      <w:r>
        <w:t xml:space="preserve"> </w:t>
      </w:r>
      <w:r>
        <w:tab/>
        <w:t>For clarity, alternative extrapolation approaches are not discussed in this issues paper. Instead, if an extrapolation approach is required to be developed, this will be undertaken at the time of a determination.</w:t>
      </w:r>
    </w:p>
  </w:footnote>
  <w:footnote w:id="34">
    <w:p w:rsidR="001A1E10" w:rsidRDefault="001A1E10" w:rsidP="0087250E">
      <w:pPr>
        <w:pStyle w:val="FootnoteText"/>
      </w:pPr>
      <w:r>
        <w:rPr>
          <w:rStyle w:val="FootnoteReference"/>
        </w:rPr>
        <w:footnoteRef/>
      </w:r>
      <w:r>
        <w:t xml:space="preserve"> </w:t>
      </w:r>
      <w:r>
        <w:tab/>
        <w:t xml:space="preserve">AER, </w:t>
      </w:r>
      <w:r w:rsidRPr="00B84A45">
        <w:rPr>
          <w:rStyle w:val="AERtextitalic"/>
        </w:rPr>
        <w:t>Rate of return guideline</w:t>
      </w:r>
      <w:r>
        <w:t>, December 2013, p. 6.</w:t>
      </w:r>
    </w:p>
  </w:footnote>
  <w:footnote w:id="35">
    <w:p w:rsidR="001A1E10" w:rsidRDefault="001A1E10">
      <w:pPr>
        <w:pStyle w:val="FootnoteText"/>
      </w:pPr>
      <w:r>
        <w:rPr>
          <w:rStyle w:val="FootnoteReference"/>
        </w:rPr>
        <w:footnoteRef/>
      </w:r>
      <w:r>
        <w:t xml:space="preserve"> </w:t>
      </w:r>
      <w:r>
        <w:tab/>
        <w:t xml:space="preserve">RBA, </w:t>
      </w:r>
      <w:r w:rsidRPr="00CA31A8">
        <w:rPr>
          <w:rStyle w:val="AERtextitalic"/>
        </w:rPr>
        <w:t xml:space="preserve">Bulletin: New </w:t>
      </w:r>
      <w:r>
        <w:rPr>
          <w:rStyle w:val="AERtextitalic"/>
        </w:rPr>
        <w:t>m</w:t>
      </w:r>
      <w:r w:rsidRPr="00CA31A8">
        <w:rPr>
          <w:rStyle w:val="AERtextitalic"/>
        </w:rPr>
        <w:t xml:space="preserve">easures of Australian </w:t>
      </w:r>
      <w:r>
        <w:rPr>
          <w:rStyle w:val="AERtextitalic"/>
        </w:rPr>
        <w:t>c</w:t>
      </w:r>
      <w:r w:rsidRPr="00CA31A8">
        <w:rPr>
          <w:rStyle w:val="AERtextitalic"/>
        </w:rPr>
        <w:t xml:space="preserve">orporate </w:t>
      </w:r>
      <w:r>
        <w:rPr>
          <w:rStyle w:val="AERtextitalic"/>
        </w:rPr>
        <w:t>c</w:t>
      </w:r>
      <w:r w:rsidRPr="00CA31A8">
        <w:rPr>
          <w:rStyle w:val="AERtextitalic"/>
        </w:rPr>
        <w:t xml:space="preserve">redit </w:t>
      </w:r>
      <w:r>
        <w:rPr>
          <w:rStyle w:val="AERtextitalic"/>
        </w:rPr>
        <w:t>s</w:t>
      </w:r>
      <w:r w:rsidRPr="00CA31A8">
        <w:rPr>
          <w:rStyle w:val="AERtextitalic"/>
        </w:rPr>
        <w:t>preads</w:t>
      </w:r>
      <w:r>
        <w:t>, December 2013.</w:t>
      </w:r>
    </w:p>
  </w:footnote>
  <w:footnote w:id="36">
    <w:p w:rsidR="001A1E10" w:rsidRDefault="001A1E10" w:rsidP="0087250E">
      <w:pPr>
        <w:pStyle w:val="FootnoteText"/>
      </w:pPr>
      <w:r>
        <w:rPr>
          <w:rStyle w:val="FootnoteReference"/>
        </w:rPr>
        <w:footnoteRef/>
      </w:r>
      <w:r>
        <w:t xml:space="preserve"> </w:t>
      </w:r>
      <w:r>
        <w:tab/>
      </w:r>
      <w:proofErr w:type="gramStart"/>
      <w:r>
        <w:t xml:space="preserve">AER, </w:t>
      </w:r>
      <w:r w:rsidRPr="00EC1B9C">
        <w:rPr>
          <w:rStyle w:val="AERtextitalic"/>
        </w:rPr>
        <w:t xml:space="preserve">Final decision, APT </w:t>
      </w:r>
      <w:proofErr w:type="spellStart"/>
      <w:r w:rsidRPr="00EC1B9C">
        <w:rPr>
          <w:rStyle w:val="AERtextitalic"/>
        </w:rPr>
        <w:t>Allgas</w:t>
      </w:r>
      <w:proofErr w:type="spellEnd"/>
      <w:r w:rsidRPr="00EC1B9C">
        <w:rPr>
          <w:rStyle w:val="AERtextitalic"/>
        </w:rPr>
        <w:t>, Access arrangement proposal for the Qld gas network</w:t>
      </w:r>
      <w:r>
        <w:t>, June 2011.</w:t>
      </w:r>
      <w:proofErr w:type="gramEnd"/>
    </w:p>
  </w:footnote>
  <w:footnote w:id="37">
    <w:p w:rsidR="001A1E10" w:rsidRDefault="001A1E10" w:rsidP="0087250E">
      <w:pPr>
        <w:pStyle w:val="FootnoteText"/>
      </w:pPr>
      <w:r>
        <w:rPr>
          <w:rStyle w:val="FootnoteReference"/>
        </w:rPr>
        <w:footnoteRef/>
      </w:r>
      <w:r>
        <w:t xml:space="preserve"> </w:t>
      </w:r>
      <w:r>
        <w:tab/>
        <w:t xml:space="preserve">See, for example: CEG, </w:t>
      </w:r>
      <w:r w:rsidRPr="00EC1B9C">
        <w:rPr>
          <w:rStyle w:val="AERtextitalic"/>
        </w:rPr>
        <w:t xml:space="preserve">Estimating the cost of 10 year BBB+ debt, </w:t>
      </w:r>
      <w:proofErr w:type="gramStart"/>
      <w:r w:rsidRPr="00EC1B9C">
        <w:rPr>
          <w:rStyle w:val="AERtextitalic"/>
        </w:rPr>
        <w:t>A</w:t>
      </w:r>
      <w:proofErr w:type="gramEnd"/>
      <w:r w:rsidRPr="00EC1B9C">
        <w:rPr>
          <w:rStyle w:val="AERtextitalic"/>
        </w:rPr>
        <w:t xml:space="preserve"> report for Country Energy</w:t>
      </w:r>
      <w:r>
        <w:t>, June 2009.</w:t>
      </w:r>
    </w:p>
  </w:footnote>
  <w:footnote w:id="38">
    <w:p w:rsidR="001A1E10" w:rsidRDefault="001A1E10">
      <w:pPr>
        <w:pStyle w:val="FootnoteText"/>
      </w:pPr>
      <w:r>
        <w:rPr>
          <w:rStyle w:val="FootnoteReference"/>
        </w:rPr>
        <w:footnoteRef/>
      </w:r>
      <w:r>
        <w:t xml:space="preserve"> </w:t>
      </w:r>
      <w:r>
        <w:tab/>
        <w:t xml:space="preserve">RBA, </w:t>
      </w:r>
      <w:r w:rsidRPr="00CA31A8">
        <w:rPr>
          <w:rStyle w:val="AERtextitalic"/>
        </w:rPr>
        <w:t xml:space="preserve">Bulletin: </w:t>
      </w:r>
      <w:proofErr w:type="gramStart"/>
      <w:r w:rsidRPr="00CA31A8">
        <w:rPr>
          <w:rStyle w:val="AERtextitalic"/>
        </w:rPr>
        <w:t xml:space="preserve">New </w:t>
      </w:r>
      <w:r>
        <w:rPr>
          <w:rStyle w:val="AERtextitalic"/>
        </w:rPr>
        <w:t>m</w:t>
      </w:r>
      <w:r w:rsidRPr="00CA31A8">
        <w:rPr>
          <w:rStyle w:val="AERtextitalic"/>
        </w:rPr>
        <w:t xml:space="preserve">easures of Australian </w:t>
      </w:r>
      <w:r>
        <w:rPr>
          <w:rStyle w:val="AERtextitalic"/>
        </w:rPr>
        <w:t>c</w:t>
      </w:r>
      <w:r w:rsidRPr="00CA31A8">
        <w:rPr>
          <w:rStyle w:val="AERtextitalic"/>
        </w:rPr>
        <w:t xml:space="preserve">orporate </w:t>
      </w:r>
      <w:r>
        <w:rPr>
          <w:rStyle w:val="AERtextitalic"/>
        </w:rPr>
        <w:t>c</w:t>
      </w:r>
      <w:r w:rsidRPr="00CA31A8">
        <w:rPr>
          <w:rStyle w:val="AERtextitalic"/>
        </w:rPr>
        <w:t xml:space="preserve">redit </w:t>
      </w:r>
      <w:r>
        <w:rPr>
          <w:rStyle w:val="AERtextitalic"/>
        </w:rPr>
        <w:t>s</w:t>
      </w:r>
      <w:r w:rsidRPr="00CA31A8">
        <w:rPr>
          <w:rStyle w:val="AERtextitalic"/>
        </w:rPr>
        <w:t>preads</w:t>
      </w:r>
      <w:proofErr w:type="gramEnd"/>
      <w:r>
        <w:t>, December 2013, p. 17.</w:t>
      </w:r>
    </w:p>
  </w:footnote>
  <w:footnote w:id="39">
    <w:p w:rsidR="001A1E10" w:rsidRDefault="001A1E10">
      <w:pPr>
        <w:pStyle w:val="FootnoteText"/>
      </w:pPr>
      <w:r>
        <w:rPr>
          <w:rStyle w:val="FootnoteReference"/>
        </w:rPr>
        <w:footnoteRef/>
      </w:r>
      <w:r>
        <w:t xml:space="preserve"> </w:t>
      </w:r>
      <w:r>
        <w:tab/>
        <w:t xml:space="preserve">such as callable bonds (or bonds that can be redeemed by the issuer prior to their maturity), convertible and </w:t>
      </w:r>
      <w:proofErr w:type="spellStart"/>
      <w:r>
        <w:t>puttable</w:t>
      </w:r>
      <w:proofErr w:type="spellEnd"/>
      <w:r>
        <w:t xml:space="preserve"> bonds</w:t>
      </w:r>
    </w:p>
  </w:footnote>
  <w:footnote w:id="40">
    <w:p w:rsidR="001A1E10" w:rsidRDefault="001A1E10">
      <w:pPr>
        <w:pStyle w:val="FootnoteText"/>
      </w:pPr>
      <w:r>
        <w:rPr>
          <w:rStyle w:val="FootnoteReference"/>
        </w:rPr>
        <w:footnoteRef/>
      </w:r>
      <w:r>
        <w:t xml:space="preserve"> </w:t>
      </w:r>
      <w:r>
        <w:tab/>
        <w:t xml:space="preserve">At any given time, the market-determined interest rate on a bond will depend on the features of that bond. Two features that are usually particularly important to market participants are the term of the security and the risk of the borrower defaulting on the promised payments. The connection between term and interest rates is called the </w:t>
      </w:r>
      <w:r w:rsidRPr="001D1433">
        <w:rPr>
          <w:rStyle w:val="AERtextitalic"/>
        </w:rPr>
        <w:t>term structure of interest rates</w:t>
      </w:r>
      <w:r>
        <w:t xml:space="preserve">. See </w:t>
      </w:r>
      <w:r w:rsidR="00171B9D">
        <w:t xml:space="preserve">G. </w:t>
      </w:r>
      <w:proofErr w:type="spellStart"/>
      <w:r>
        <w:t>Peirson</w:t>
      </w:r>
      <w:proofErr w:type="spellEnd"/>
      <w:r>
        <w:t xml:space="preserve">, R. Brown, S. Easton, P. Howard, </w:t>
      </w:r>
      <w:r w:rsidRPr="001D1433">
        <w:rPr>
          <w:rStyle w:val="AERtextitalic"/>
        </w:rPr>
        <w:t>Business Finance</w:t>
      </w:r>
      <w:r>
        <w:t>, McGraw-Hill Australia</w:t>
      </w:r>
      <w:r w:rsidR="00171B9D">
        <w:t>, Eighth Edition,</w:t>
      </w:r>
      <w:r>
        <w:t xml:space="preserve"> 2002, p. 103. </w:t>
      </w:r>
    </w:p>
  </w:footnote>
  <w:footnote w:id="41">
    <w:p w:rsidR="001A1E10" w:rsidRDefault="001A1E10">
      <w:pPr>
        <w:pStyle w:val="FootnoteText"/>
      </w:pPr>
      <w:r>
        <w:rPr>
          <w:rStyle w:val="FootnoteReference"/>
        </w:rPr>
        <w:footnoteRef/>
      </w:r>
      <w:r>
        <w:t xml:space="preserve"> </w:t>
      </w:r>
      <w:r>
        <w:tab/>
        <w:t>Callable bonds give the issuer the right to redeem the bonds prior to their maturity, while put bonds allow the bond holder to force the issuer to repurchase the security before maturity.</w:t>
      </w:r>
    </w:p>
  </w:footnote>
  <w:footnote w:id="42">
    <w:p w:rsidR="001A1E10" w:rsidRDefault="001A1E10" w:rsidP="00085B47">
      <w:pPr>
        <w:pStyle w:val="FootnoteText"/>
      </w:pPr>
      <w:r>
        <w:rPr>
          <w:rStyle w:val="FootnoteReference"/>
        </w:rPr>
        <w:footnoteRef/>
      </w:r>
      <w:r>
        <w:t xml:space="preserve"> </w:t>
      </w:r>
      <w:r>
        <w:tab/>
        <w:t xml:space="preserve">John Handley, </w:t>
      </w:r>
      <w:r w:rsidRPr="009362C0">
        <w:rPr>
          <w:rStyle w:val="AERtextitalic"/>
        </w:rPr>
        <w:t>Comments of the CEG Report: Estimating the 10 year BBB+ cost of debt</w:t>
      </w:r>
      <w:r>
        <w:t>, 10 February 2011, p. 5.</w:t>
      </w:r>
    </w:p>
  </w:footnote>
  <w:footnote w:id="43">
    <w:p w:rsidR="001A1E10" w:rsidRDefault="001A1E10">
      <w:pPr>
        <w:pStyle w:val="FootnoteText"/>
      </w:pPr>
      <w:r>
        <w:rPr>
          <w:rStyle w:val="FootnoteReference"/>
        </w:rPr>
        <w:footnoteRef/>
      </w:r>
      <w:r>
        <w:t xml:space="preserve"> </w:t>
      </w:r>
      <w:r>
        <w:tab/>
        <w:t xml:space="preserve">RBA, </w:t>
      </w:r>
      <w:r w:rsidRPr="00CA31A8">
        <w:rPr>
          <w:rStyle w:val="AERtextitalic"/>
        </w:rPr>
        <w:t xml:space="preserve">Bulletin: </w:t>
      </w:r>
      <w:proofErr w:type="gramStart"/>
      <w:r w:rsidRPr="00CA31A8">
        <w:rPr>
          <w:rStyle w:val="AERtextitalic"/>
        </w:rPr>
        <w:t xml:space="preserve">New </w:t>
      </w:r>
      <w:r>
        <w:rPr>
          <w:rStyle w:val="AERtextitalic"/>
        </w:rPr>
        <w:t>m</w:t>
      </w:r>
      <w:r w:rsidRPr="00CA31A8">
        <w:rPr>
          <w:rStyle w:val="AERtextitalic"/>
        </w:rPr>
        <w:t xml:space="preserve">easures of Australian </w:t>
      </w:r>
      <w:r>
        <w:rPr>
          <w:rStyle w:val="AERtextitalic"/>
        </w:rPr>
        <w:t>c</w:t>
      </w:r>
      <w:r w:rsidRPr="00CA31A8">
        <w:rPr>
          <w:rStyle w:val="AERtextitalic"/>
        </w:rPr>
        <w:t xml:space="preserve">orporate </w:t>
      </w:r>
      <w:r>
        <w:rPr>
          <w:rStyle w:val="AERtextitalic"/>
        </w:rPr>
        <w:t>c</w:t>
      </w:r>
      <w:r w:rsidRPr="00CA31A8">
        <w:rPr>
          <w:rStyle w:val="AERtextitalic"/>
        </w:rPr>
        <w:t xml:space="preserve">redit </w:t>
      </w:r>
      <w:r>
        <w:rPr>
          <w:rStyle w:val="AERtextitalic"/>
        </w:rPr>
        <w:t>s</w:t>
      </w:r>
      <w:r w:rsidRPr="00CA31A8">
        <w:rPr>
          <w:rStyle w:val="AERtextitalic"/>
        </w:rPr>
        <w:t>preads</w:t>
      </w:r>
      <w:proofErr w:type="gramEnd"/>
      <w:r>
        <w:t>, December 2013, p. 20.</w:t>
      </w:r>
    </w:p>
  </w:footnote>
  <w:footnote w:id="44">
    <w:p w:rsidR="001A1E10" w:rsidRDefault="001A1E10" w:rsidP="002151E4">
      <w:pPr>
        <w:pStyle w:val="FootnoteText"/>
      </w:pPr>
      <w:r>
        <w:rPr>
          <w:rStyle w:val="FootnoteReference"/>
        </w:rPr>
        <w:footnoteRef/>
      </w:r>
      <w:r>
        <w:t xml:space="preserve"> </w:t>
      </w:r>
      <w:r>
        <w:tab/>
        <w:t xml:space="preserve">See, for example: AER, </w:t>
      </w:r>
      <w:r w:rsidRPr="00CA31A8">
        <w:rPr>
          <w:rStyle w:val="AERtextitalic"/>
        </w:rPr>
        <w:t>Final decision, Australian Capital Territory distribution determination 2009–10 to 2013–14</w:t>
      </w:r>
      <w:r>
        <w:t>, 28 April 2009.</w:t>
      </w:r>
    </w:p>
  </w:footnote>
  <w:footnote w:id="45">
    <w:p w:rsidR="001A1E10" w:rsidRDefault="001A1E10" w:rsidP="002151E4">
      <w:pPr>
        <w:pStyle w:val="FootnoteText"/>
      </w:pPr>
      <w:r>
        <w:rPr>
          <w:rStyle w:val="FootnoteReference"/>
        </w:rPr>
        <w:footnoteRef/>
      </w:r>
      <w:r>
        <w:t xml:space="preserve"> </w:t>
      </w:r>
      <w:r>
        <w:tab/>
      </w:r>
      <w:r w:rsidRPr="00CA31A8">
        <w:t xml:space="preserve">Australian Competition Tribunal, </w:t>
      </w:r>
      <w:r w:rsidRPr="00485403">
        <w:rPr>
          <w:rStyle w:val="AERtextitalic"/>
        </w:rPr>
        <w:t>Application by ActewAGL Distribution [2010] ACompT 4</w:t>
      </w:r>
      <w:r w:rsidRPr="00CA31A8">
        <w:t>, 1</w:t>
      </w:r>
      <w:r>
        <w:t>7</w:t>
      </w:r>
      <w:r w:rsidRPr="00CA31A8">
        <w:t xml:space="preserve"> September 201</w:t>
      </w:r>
      <w:r>
        <w:t>0</w:t>
      </w:r>
      <w:r w:rsidRPr="00CA31A8">
        <w:t>, paragraph</w:t>
      </w:r>
      <w:r>
        <w:t> 77.</w:t>
      </w:r>
    </w:p>
  </w:footnote>
  <w:footnote w:id="46">
    <w:p w:rsidR="001A1E10" w:rsidRDefault="001A1E10" w:rsidP="002151E4">
      <w:pPr>
        <w:pStyle w:val="FootnoteText"/>
      </w:pPr>
      <w:r>
        <w:rPr>
          <w:rStyle w:val="FootnoteReference"/>
        </w:rPr>
        <w:footnoteRef/>
      </w:r>
      <w:r>
        <w:t xml:space="preserve"> </w:t>
      </w:r>
      <w:r>
        <w:tab/>
      </w:r>
      <w:r w:rsidRPr="00CA31A8">
        <w:t xml:space="preserve">Australian Competition Tribunal, </w:t>
      </w:r>
      <w:r w:rsidRPr="00485403">
        <w:rPr>
          <w:rStyle w:val="AERtextitalic"/>
        </w:rPr>
        <w:t>Application by ActewAGL Distribution [2010] ACompT 4</w:t>
      </w:r>
      <w:r w:rsidRPr="00CA31A8">
        <w:t>, 1</w:t>
      </w:r>
      <w:r>
        <w:t>7</w:t>
      </w:r>
      <w:r w:rsidRPr="00CA31A8">
        <w:t xml:space="preserve"> September 201</w:t>
      </w:r>
      <w:r>
        <w:t>0</w:t>
      </w:r>
      <w:r w:rsidRPr="00CA31A8">
        <w:t>, paragraph</w:t>
      </w:r>
      <w:r>
        <w:t> 78.</w:t>
      </w:r>
    </w:p>
  </w:footnote>
  <w:footnote w:id="47">
    <w:p w:rsidR="001A1E10" w:rsidRDefault="001A1E10" w:rsidP="002151E4">
      <w:pPr>
        <w:pStyle w:val="FootnoteText"/>
      </w:pPr>
      <w:r>
        <w:rPr>
          <w:rStyle w:val="FootnoteReference"/>
        </w:rPr>
        <w:footnoteRef/>
      </w:r>
      <w:r>
        <w:t xml:space="preserve"> </w:t>
      </w:r>
      <w:r>
        <w:tab/>
        <w:t xml:space="preserve">See, for example: </w:t>
      </w:r>
      <w:r w:rsidRPr="00CA31A8">
        <w:t xml:space="preserve">Australian Competition Tribunal, </w:t>
      </w:r>
      <w:r w:rsidRPr="00485403">
        <w:rPr>
          <w:rStyle w:val="AERtextitalic"/>
        </w:rPr>
        <w:t>Application by Jemena Gas Networks (NSW) Ltd (No 5) [2011] ACompT 10</w:t>
      </w:r>
      <w:r w:rsidRPr="00CA31A8">
        <w:t xml:space="preserve">, </w:t>
      </w:r>
      <w:r>
        <w:t>9 June 2011</w:t>
      </w:r>
      <w:r w:rsidRPr="00CA31A8">
        <w:t xml:space="preserve">, </w:t>
      </w:r>
      <w:proofErr w:type="gramStart"/>
      <w:r w:rsidRPr="00CA31A8">
        <w:t>paragraph</w:t>
      </w:r>
      <w:proofErr w:type="gramEnd"/>
      <w:r>
        <w:t> 89.</w:t>
      </w:r>
    </w:p>
  </w:footnote>
  <w:footnote w:id="48">
    <w:p w:rsidR="001A1E10" w:rsidRDefault="001A1E10">
      <w:pPr>
        <w:pStyle w:val="FootnoteText"/>
      </w:pPr>
      <w:r>
        <w:rPr>
          <w:rStyle w:val="FootnoteReference"/>
        </w:rPr>
        <w:footnoteRef/>
      </w:r>
      <w:r>
        <w:t xml:space="preserve"> </w:t>
      </w:r>
      <w:r>
        <w:tab/>
        <w:t xml:space="preserve">For example, see: RBA, </w:t>
      </w:r>
      <w:r w:rsidRPr="00CA31A8">
        <w:rPr>
          <w:rStyle w:val="AERtextitalic"/>
        </w:rPr>
        <w:t xml:space="preserve">Bulletin: </w:t>
      </w:r>
      <w:proofErr w:type="gramStart"/>
      <w:r w:rsidRPr="00CA31A8">
        <w:rPr>
          <w:rStyle w:val="AERtextitalic"/>
        </w:rPr>
        <w:t xml:space="preserve">New </w:t>
      </w:r>
      <w:r>
        <w:rPr>
          <w:rStyle w:val="AERtextitalic"/>
        </w:rPr>
        <w:t>m</w:t>
      </w:r>
      <w:r w:rsidRPr="00CA31A8">
        <w:rPr>
          <w:rStyle w:val="AERtextitalic"/>
        </w:rPr>
        <w:t xml:space="preserve">easures of Australian </w:t>
      </w:r>
      <w:r>
        <w:rPr>
          <w:rStyle w:val="AERtextitalic"/>
        </w:rPr>
        <w:t>c</w:t>
      </w:r>
      <w:r w:rsidRPr="00CA31A8">
        <w:rPr>
          <w:rStyle w:val="AERtextitalic"/>
        </w:rPr>
        <w:t xml:space="preserve">orporate </w:t>
      </w:r>
      <w:r>
        <w:rPr>
          <w:rStyle w:val="AERtextitalic"/>
        </w:rPr>
        <w:t>c</w:t>
      </w:r>
      <w:r w:rsidRPr="00CA31A8">
        <w:rPr>
          <w:rStyle w:val="AERtextitalic"/>
        </w:rPr>
        <w:t xml:space="preserve">redit </w:t>
      </w:r>
      <w:r>
        <w:rPr>
          <w:rStyle w:val="AERtextitalic"/>
        </w:rPr>
        <w:t>s</w:t>
      </w:r>
      <w:r w:rsidRPr="00CA31A8">
        <w:rPr>
          <w:rStyle w:val="AERtextitalic"/>
        </w:rPr>
        <w:t>preads</w:t>
      </w:r>
      <w:proofErr w:type="gramEnd"/>
      <w:r>
        <w:t>, December 2013, p. 21.</w:t>
      </w:r>
    </w:p>
  </w:footnote>
  <w:footnote w:id="49">
    <w:p w:rsidR="001A1E10" w:rsidRDefault="001A1E10" w:rsidP="008D143F">
      <w:pPr>
        <w:pStyle w:val="FootnoteText"/>
      </w:pPr>
      <w:r>
        <w:rPr>
          <w:rStyle w:val="FootnoteReference"/>
        </w:rPr>
        <w:footnoteRef/>
      </w:r>
      <w:r>
        <w:t xml:space="preserve"> </w:t>
      </w:r>
      <w:r>
        <w:tab/>
      </w:r>
      <w:r w:rsidRPr="0029331F">
        <w:t xml:space="preserve">NER, cl. 6.5.2(l), and </w:t>
      </w:r>
      <w:proofErr w:type="gramStart"/>
      <w:r w:rsidRPr="0029331F">
        <w:t>6A.6.2(</w:t>
      </w:r>
      <w:proofErr w:type="gramEnd"/>
      <w:r w:rsidRPr="0029331F">
        <w:t>l); NGR, r. 87(12).</w:t>
      </w:r>
    </w:p>
  </w:footnote>
  <w:footnote w:id="50">
    <w:p w:rsidR="001A1E10" w:rsidRDefault="001A1E10">
      <w:pPr>
        <w:pStyle w:val="FootnoteText"/>
      </w:pPr>
      <w:r>
        <w:rPr>
          <w:rStyle w:val="FootnoteReference"/>
        </w:rPr>
        <w:footnoteRef/>
      </w:r>
      <w:r>
        <w:t xml:space="preserve"> </w:t>
      </w:r>
      <w:r>
        <w:tab/>
        <w:t xml:space="preserve">AER, </w:t>
      </w:r>
      <w:r w:rsidRPr="00B84A45">
        <w:rPr>
          <w:rStyle w:val="AERtextitalic"/>
        </w:rPr>
        <w:t>Rate of return guideline</w:t>
      </w:r>
      <w:r>
        <w:t>, December 2013, p. 21.</w:t>
      </w:r>
    </w:p>
  </w:footnote>
  <w:footnote w:id="51">
    <w:p w:rsidR="001A1E10" w:rsidRDefault="001A1E10">
      <w:pPr>
        <w:pStyle w:val="FootnoteText"/>
      </w:pPr>
      <w:r>
        <w:rPr>
          <w:rStyle w:val="FootnoteReference"/>
        </w:rPr>
        <w:footnoteRef/>
      </w:r>
      <w:r>
        <w:t xml:space="preserve"> </w:t>
      </w:r>
      <w:r>
        <w:tab/>
        <w:t>The RBA have indicated their intention to eventually publish daily estimates. However, the timeframe for when daily estimates may become available is not yet clear.</w:t>
      </w:r>
    </w:p>
  </w:footnote>
  <w:footnote w:id="52">
    <w:p w:rsidR="001A1E10" w:rsidRDefault="001A1E10">
      <w:pPr>
        <w:pStyle w:val="FootnoteText"/>
      </w:pPr>
      <w:r>
        <w:rPr>
          <w:rStyle w:val="FootnoteReference"/>
        </w:rPr>
        <w:footnoteRef/>
      </w:r>
      <w:r>
        <w:t xml:space="preserve"> </w:t>
      </w:r>
      <w:r>
        <w:tab/>
        <w:t xml:space="preserve">See, for example: </w:t>
      </w:r>
      <w:r w:rsidRPr="004212C6">
        <w:t xml:space="preserve">AER, </w:t>
      </w:r>
      <w:r w:rsidRPr="004212C6">
        <w:rPr>
          <w:rStyle w:val="AERtextitalic"/>
        </w:rPr>
        <w:t>Final decision: SPI Networks (Gas) access arrangement</w:t>
      </w:r>
      <w:r w:rsidRPr="004212C6">
        <w:t>, March 2013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8E" w:rsidRDefault="00E56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8E" w:rsidRDefault="00E564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8E" w:rsidRDefault="00E56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721288"/>
    <w:multiLevelType w:val="multilevel"/>
    <w:tmpl w:val="950A1C52"/>
    <w:numStyleLink w:val="AERHeadings"/>
  </w:abstractNum>
  <w:abstractNum w:abstractNumId="7">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6C20E5D"/>
    <w:multiLevelType w:val="hybridMultilevel"/>
    <w:tmpl w:val="494EC59A"/>
    <w:lvl w:ilvl="0" w:tplc="2268455C">
      <w:start w:val="1"/>
      <w:numFmt w:val="decimal"/>
      <w:pStyle w:val="ListBullet5"/>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AAC6DD7"/>
    <w:multiLevelType w:val="multilevel"/>
    <w:tmpl w:val="950A1C52"/>
    <w:numStyleLink w:val="AERHeadings"/>
  </w:abstractNum>
  <w:abstractNum w:abstractNumId="10">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0"/>
  </w:num>
  <w:num w:numId="6">
    <w:abstractNumId w:val="7"/>
  </w:num>
  <w:num w:numId="7">
    <w:abstractNumId w:val="4"/>
  </w:num>
  <w:num w:numId="8">
    <w:abstractNumId w:val="9"/>
  </w:num>
  <w:num w:numId="9">
    <w:abstractNumId w:val="7"/>
  </w:num>
  <w:num w:numId="10">
    <w:abstractNumId w:val="1"/>
  </w:num>
  <w:num w:numId="11">
    <w:abstractNumId w:val="6"/>
    <w:lvlOverride w:ilvl="0">
      <w:lvl w:ilvl="0">
        <w:start w:val="1"/>
        <w:numFmt w:val="none"/>
        <w:pStyle w:val="ListBullet4"/>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oNotTrackFormatting/>
  <w:documentProtection w:formatting="1" w:enforcement="1"/>
  <w:defaultTabStop w:val="720"/>
  <w:drawingGridHorizontalSpacing w:val="100"/>
  <w:displayHorizontalDrawingGridEvery w:val="2"/>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620\D14 16790  3.8.1 - Return on debt  implementing the rate of return guideline - Issues paper.DOCX"/>
  </w:docVars>
  <w:rsids>
    <w:rsidRoot w:val="000C052F"/>
    <w:rsid w:val="00001992"/>
    <w:rsid w:val="00002BD1"/>
    <w:rsid w:val="00003149"/>
    <w:rsid w:val="00003C1A"/>
    <w:rsid w:val="000057AE"/>
    <w:rsid w:val="00006DE5"/>
    <w:rsid w:val="00010ADD"/>
    <w:rsid w:val="00011129"/>
    <w:rsid w:val="00013CCB"/>
    <w:rsid w:val="00013D3C"/>
    <w:rsid w:val="0001585C"/>
    <w:rsid w:val="0001690C"/>
    <w:rsid w:val="00017657"/>
    <w:rsid w:val="0001766F"/>
    <w:rsid w:val="00017FC0"/>
    <w:rsid w:val="00021F9D"/>
    <w:rsid w:val="00022051"/>
    <w:rsid w:val="0002238E"/>
    <w:rsid w:val="00022606"/>
    <w:rsid w:val="000263DB"/>
    <w:rsid w:val="0002689E"/>
    <w:rsid w:val="000270DA"/>
    <w:rsid w:val="000271B2"/>
    <w:rsid w:val="00032546"/>
    <w:rsid w:val="000327EE"/>
    <w:rsid w:val="00032BC2"/>
    <w:rsid w:val="00034F8B"/>
    <w:rsid w:val="0003712E"/>
    <w:rsid w:val="00037354"/>
    <w:rsid w:val="00037EF1"/>
    <w:rsid w:val="00040599"/>
    <w:rsid w:val="00040749"/>
    <w:rsid w:val="00041545"/>
    <w:rsid w:val="00044971"/>
    <w:rsid w:val="000451C2"/>
    <w:rsid w:val="00047BF2"/>
    <w:rsid w:val="00050931"/>
    <w:rsid w:val="00051384"/>
    <w:rsid w:val="00054807"/>
    <w:rsid w:val="00054E80"/>
    <w:rsid w:val="0006003F"/>
    <w:rsid w:val="0006081D"/>
    <w:rsid w:val="00067C06"/>
    <w:rsid w:val="0007124F"/>
    <w:rsid w:val="000717A3"/>
    <w:rsid w:val="000726AF"/>
    <w:rsid w:val="00072F1D"/>
    <w:rsid w:val="00073E92"/>
    <w:rsid w:val="00075721"/>
    <w:rsid w:val="0007609C"/>
    <w:rsid w:val="00080C29"/>
    <w:rsid w:val="000825F5"/>
    <w:rsid w:val="00082BDC"/>
    <w:rsid w:val="0008443B"/>
    <w:rsid w:val="00084A18"/>
    <w:rsid w:val="00084B3C"/>
    <w:rsid w:val="00085B47"/>
    <w:rsid w:val="00086417"/>
    <w:rsid w:val="000869E5"/>
    <w:rsid w:val="00087578"/>
    <w:rsid w:val="00087E01"/>
    <w:rsid w:val="00090766"/>
    <w:rsid w:val="00091FAB"/>
    <w:rsid w:val="00092BDE"/>
    <w:rsid w:val="000939D2"/>
    <w:rsid w:val="00093F1D"/>
    <w:rsid w:val="000A1CC2"/>
    <w:rsid w:val="000A1E66"/>
    <w:rsid w:val="000A1EA8"/>
    <w:rsid w:val="000A4063"/>
    <w:rsid w:val="000A5043"/>
    <w:rsid w:val="000A5342"/>
    <w:rsid w:val="000A7887"/>
    <w:rsid w:val="000A7AD3"/>
    <w:rsid w:val="000A7BC9"/>
    <w:rsid w:val="000B15CA"/>
    <w:rsid w:val="000B49A5"/>
    <w:rsid w:val="000B49B1"/>
    <w:rsid w:val="000B52DC"/>
    <w:rsid w:val="000B733E"/>
    <w:rsid w:val="000C052F"/>
    <w:rsid w:val="000C212D"/>
    <w:rsid w:val="000C22AC"/>
    <w:rsid w:val="000C3430"/>
    <w:rsid w:val="000C6168"/>
    <w:rsid w:val="000C6A07"/>
    <w:rsid w:val="000D001E"/>
    <w:rsid w:val="000D03C2"/>
    <w:rsid w:val="000D04B1"/>
    <w:rsid w:val="000D2A17"/>
    <w:rsid w:val="000D2B7F"/>
    <w:rsid w:val="000D401F"/>
    <w:rsid w:val="000D4A35"/>
    <w:rsid w:val="000D51A1"/>
    <w:rsid w:val="000E0416"/>
    <w:rsid w:val="000E1A25"/>
    <w:rsid w:val="000E420E"/>
    <w:rsid w:val="000E5C67"/>
    <w:rsid w:val="000E6856"/>
    <w:rsid w:val="000F0779"/>
    <w:rsid w:val="000F1669"/>
    <w:rsid w:val="000F2A52"/>
    <w:rsid w:val="000F3133"/>
    <w:rsid w:val="000F36A5"/>
    <w:rsid w:val="000F3A6A"/>
    <w:rsid w:val="000F5395"/>
    <w:rsid w:val="001022B8"/>
    <w:rsid w:val="001033B3"/>
    <w:rsid w:val="00105636"/>
    <w:rsid w:val="001057AC"/>
    <w:rsid w:val="00110B38"/>
    <w:rsid w:val="00114E93"/>
    <w:rsid w:val="00115A6F"/>
    <w:rsid w:val="0011601F"/>
    <w:rsid w:val="00117CB0"/>
    <w:rsid w:val="00120B89"/>
    <w:rsid w:val="001214CA"/>
    <w:rsid w:val="001215B7"/>
    <w:rsid w:val="0012561A"/>
    <w:rsid w:val="00127C58"/>
    <w:rsid w:val="00135D6D"/>
    <w:rsid w:val="00140E44"/>
    <w:rsid w:val="00141A8F"/>
    <w:rsid w:val="001438EE"/>
    <w:rsid w:val="00144171"/>
    <w:rsid w:val="00146792"/>
    <w:rsid w:val="001478B3"/>
    <w:rsid w:val="001521D1"/>
    <w:rsid w:val="00152930"/>
    <w:rsid w:val="00152A65"/>
    <w:rsid w:val="001543D2"/>
    <w:rsid w:val="0015454D"/>
    <w:rsid w:val="0015592B"/>
    <w:rsid w:val="00157AAD"/>
    <w:rsid w:val="001615CF"/>
    <w:rsid w:val="001619D6"/>
    <w:rsid w:val="00162AC3"/>
    <w:rsid w:val="0016342E"/>
    <w:rsid w:val="00163635"/>
    <w:rsid w:val="00164106"/>
    <w:rsid w:val="00164A34"/>
    <w:rsid w:val="001679B1"/>
    <w:rsid w:val="00167A89"/>
    <w:rsid w:val="00171421"/>
    <w:rsid w:val="00171585"/>
    <w:rsid w:val="00171B9D"/>
    <w:rsid w:val="001735C9"/>
    <w:rsid w:val="00174026"/>
    <w:rsid w:val="001754F1"/>
    <w:rsid w:val="00177DC8"/>
    <w:rsid w:val="001811B6"/>
    <w:rsid w:val="001829CD"/>
    <w:rsid w:val="001856EE"/>
    <w:rsid w:val="00192A96"/>
    <w:rsid w:val="00194835"/>
    <w:rsid w:val="00194C3C"/>
    <w:rsid w:val="001A014E"/>
    <w:rsid w:val="001A0C6A"/>
    <w:rsid w:val="001A0C7C"/>
    <w:rsid w:val="001A1DF7"/>
    <w:rsid w:val="001A1E10"/>
    <w:rsid w:val="001A52AB"/>
    <w:rsid w:val="001A611D"/>
    <w:rsid w:val="001A6D68"/>
    <w:rsid w:val="001A6EDB"/>
    <w:rsid w:val="001B4BCA"/>
    <w:rsid w:val="001B6400"/>
    <w:rsid w:val="001B6DC5"/>
    <w:rsid w:val="001B7A33"/>
    <w:rsid w:val="001C0803"/>
    <w:rsid w:val="001C12E5"/>
    <w:rsid w:val="001C208B"/>
    <w:rsid w:val="001D1433"/>
    <w:rsid w:val="001D30F9"/>
    <w:rsid w:val="001D54EB"/>
    <w:rsid w:val="001D7147"/>
    <w:rsid w:val="001D790A"/>
    <w:rsid w:val="001E3AA5"/>
    <w:rsid w:val="001E4F56"/>
    <w:rsid w:val="001E6C5C"/>
    <w:rsid w:val="001E7433"/>
    <w:rsid w:val="001F084B"/>
    <w:rsid w:val="00202DF5"/>
    <w:rsid w:val="00205C56"/>
    <w:rsid w:val="00206DDD"/>
    <w:rsid w:val="0020711E"/>
    <w:rsid w:val="0020717D"/>
    <w:rsid w:val="00210421"/>
    <w:rsid w:val="002104FF"/>
    <w:rsid w:val="00210880"/>
    <w:rsid w:val="002116EA"/>
    <w:rsid w:val="00212C6C"/>
    <w:rsid w:val="002147B4"/>
    <w:rsid w:val="002151E4"/>
    <w:rsid w:val="0021646D"/>
    <w:rsid w:val="002167AE"/>
    <w:rsid w:val="002178F0"/>
    <w:rsid w:val="00220282"/>
    <w:rsid w:val="00220E60"/>
    <w:rsid w:val="00221F33"/>
    <w:rsid w:val="002257B9"/>
    <w:rsid w:val="00226319"/>
    <w:rsid w:val="00230A4D"/>
    <w:rsid w:val="00230CB0"/>
    <w:rsid w:val="0023137D"/>
    <w:rsid w:val="00232EDE"/>
    <w:rsid w:val="00235567"/>
    <w:rsid w:val="0024006B"/>
    <w:rsid w:val="00240637"/>
    <w:rsid w:val="00241B2D"/>
    <w:rsid w:val="002443FE"/>
    <w:rsid w:val="00244988"/>
    <w:rsid w:val="00247EBB"/>
    <w:rsid w:val="0025157A"/>
    <w:rsid w:val="002525D5"/>
    <w:rsid w:val="00252DEE"/>
    <w:rsid w:val="00253C73"/>
    <w:rsid w:val="00255731"/>
    <w:rsid w:val="00255D56"/>
    <w:rsid w:val="002567F0"/>
    <w:rsid w:val="00257E2A"/>
    <w:rsid w:val="0026000E"/>
    <w:rsid w:val="002616C0"/>
    <w:rsid w:val="00261F8F"/>
    <w:rsid w:val="0026350D"/>
    <w:rsid w:val="0026383A"/>
    <w:rsid w:val="00264E2F"/>
    <w:rsid w:val="0026532B"/>
    <w:rsid w:val="00266710"/>
    <w:rsid w:val="00266DC8"/>
    <w:rsid w:val="00267892"/>
    <w:rsid w:val="00270475"/>
    <w:rsid w:val="002754B6"/>
    <w:rsid w:val="002760A2"/>
    <w:rsid w:val="002805B8"/>
    <w:rsid w:val="00282AB1"/>
    <w:rsid w:val="00283B38"/>
    <w:rsid w:val="00291689"/>
    <w:rsid w:val="0029331F"/>
    <w:rsid w:val="002938CE"/>
    <w:rsid w:val="00295C7B"/>
    <w:rsid w:val="00296587"/>
    <w:rsid w:val="0029671C"/>
    <w:rsid w:val="0029703B"/>
    <w:rsid w:val="002974E4"/>
    <w:rsid w:val="00297D6B"/>
    <w:rsid w:val="002A0F8A"/>
    <w:rsid w:val="002A2FAD"/>
    <w:rsid w:val="002B0558"/>
    <w:rsid w:val="002B547D"/>
    <w:rsid w:val="002B6640"/>
    <w:rsid w:val="002C1BAA"/>
    <w:rsid w:val="002C5D24"/>
    <w:rsid w:val="002D0821"/>
    <w:rsid w:val="002D3F6A"/>
    <w:rsid w:val="002D46C3"/>
    <w:rsid w:val="002D48B1"/>
    <w:rsid w:val="002D50B5"/>
    <w:rsid w:val="002D61AC"/>
    <w:rsid w:val="002E1FF4"/>
    <w:rsid w:val="002E3EEF"/>
    <w:rsid w:val="002E4720"/>
    <w:rsid w:val="002E490C"/>
    <w:rsid w:val="002E7284"/>
    <w:rsid w:val="002E75ED"/>
    <w:rsid w:val="002F0101"/>
    <w:rsid w:val="002F2788"/>
    <w:rsid w:val="002F328A"/>
    <w:rsid w:val="002F34C5"/>
    <w:rsid w:val="00303452"/>
    <w:rsid w:val="003038F4"/>
    <w:rsid w:val="00303A00"/>
    <w:rsid w:val="00303BEB"/>
    <w:rsid w:val="003052C4"/>
    <w:rsid w:val="003071BE"/>
    <w:rsid w:val="00307FFA"/>
    <w:rsid w:val="00312467"/>
    <w:rsid w:val="0031518E"/>
    <w:rsid w:val="00315A21"/>
    <w:rsid w:val="003169E1"/>
    <w:rsid w:val="0031729B"/>
    <w:rsid w:val="003228E9"/>
    <w:rsid w:val="0032583E"/>
    <w:rsid w:val="00330718"/>
    <w:rsid w:val="00330F5A"/>
    <w:rsid w:val="003324F7"/>
    <w:rsid w:val="003336FC"/>
    <w:rsid w:val="003343C3"/>
    <w:rsid w:val="00334486"/>
    <w:rsid w:val="00334F88"/>
    <w:rsid w:val="00336C79"/>
    <w:rsid w:val="00337B5F"/>
    <w:rsid w:val="003402A0"/>
    <w:rsid w:val="00341EF1"/>
    <w:rsid w:val="0034353B"/>
    <w:rsid w:val="003443E2"/>
    <w:rsid w:val="0034747C"/>
    <w:rsid w:val="00351B01"/>
    <w:rsid w:val="00352478"/>
    <w:rsid w:val="003541E3"/>
    <w:rsid w:val="00355D67"/>
    <w:rsid w:val="00356586"/>
    <w:rsid w:val="00356C12"/>
    <w:rsid w:val="00356FE9"/>
    <w:rsid w:val="0036012A"/>
    <w:rsid w:val="00360DC8"/>
    <w:rsid w:val="0036113D"/>
    <w:rsid w:val="0036157F"/>
    <w:rsid w:val="00363997"/>
    <w:rsid w:val="003707DB"/>
    <w:rsid w:val="00372894"/>
    <w:rsid w:val="0037320E"/>
    <w:rsid w:val="003741A4"/>
    <w:rsid w:val="00374924"/>
    <w:rsid w:val="00374A13"/>
    <w:rsid w:val="00375740"/>
    <w:rsid w:val="00375AEC"/>
    <w:rsid w:val="00376236"/>
    <w:rsid w:val="0037652C"/>
    <w:rsid w:val="0037702E"/>
    <w:rsid w:val="00377662"/>
    <w:rsid w:val="003800E4"/>
    <w:rsid w:val="00380719"/>
    <w:rsid w:val="00380C75"/>
    <w:rsid w:val="00380FF5"/>
    <w:rsid w:val="003818E4"/>
    <w:rsid w:val="0039011D"/>
    <w:rsid w:val="00391091"/>
    <w:rsid w:val="003912B7"/>
    <w:rsid w:val="00392A9B"/>
    <w:rsid w:val="003954FD"/>
    <w:rsid w:val="00397C7E"/>
    <w:rsid w:val="00397E6B"/>
    <w:rsid w:val="003A066C"/>
    <w:rsid w:val="003A5455"/>
    <w:rsid w:val="003A6174"/>
    <w:rsid w:val="003A71AB"/>
    <w:rsid w:val="003B0AA3"/>
    <w:rsid w:val="003B561A"/>
    <w:rsid w:val="003B626F"/>
    <w:rsid w:val="003B6944"/>
    <w:rsid w:val="003B6FED"/>
    <w:rsid w:val="003B7300"/>
    <w:rsid w:val="003B7CDC"/>
    <w:rsid w:val="003C21E8"/>
    <w:rsid w:val="003C24A3"/>
    <w:rsid w:val="003C2665"/>
    <w:rsid w:val="003C5DF6"/>
    <w:rsid w:val="003C6F2F"/>
    <w:rsid w:val="003C7C3F"/>
    <w:rsid w:val="003D00D5"/>
    <w:rsid w:val="003D06E6"/>
    <w:rsid w:val="003D13C3"/>
    <w:rsid w:val="003D4039"/>
    <w:rsid w:val="003D7B2B"/>
    <w:rsid w:val="003E0274"/>
    <w:rsid w:val="003E1AF1"/>
    <w:rsid w:val="003E2A7C"/>
    <w:rsid w:val="003E4840"/>
    <w:rsid w:val="003E52B5"/>
    <w:rsid w:val="003E5475"/>
    <w:rsid w:val="003E7336"/>
    <w:rsid w:val="003E776B"/>
    <w:rsid w:val="003F33F6"/>
    <w:rsid w:val="003F36F0"/>
    <w:rsid w:val="003F3A56"/>
    <w:rsid w:val="003F404C"/>
    <w:rsid w:val="003F5199"/>
    <w:rsid w:val="00400BB8"/>
    <w:rsid w:val="00401B51"/>
    <w:rsid w:val="004030AB"/>
    <w:rsid w:val="004069C7"/>
    <w:rsid w:val="004109DA"/>
    <w:rsid w:val="00412282"/>
    <w:rsid w:val="004123DA"/>
    <w:rsid w:val="00416612"/>
    <w:rsid w:val="004169C2"/>
    <w:rsid w:val="0042000B"/>
    <w:rsid w:val="0042055B"/>
    <w:rsid w:val="00421243"/>
    <w:rsid w:val="004212C6"/>
    <w:rsid w:val="00421FB6"/>
    <w:rsid w:val="004252D3"/>
    <w:rsid w:val="004256BA"/>
    <w:rsid w:val="00425A90"/>
    <w:rsid w:val="00425AAF"/>
    <w:rsid w:val="00427DFE"/>
    <w:rsid w:val="00430504"/>
    <w:rsid w:val="0043058F"/>
    <w:rsid w:val="004309E0"/>
    <w:rsid w:val="00430A6F"/>
    <w:rsid w:val="00430CA1"/>
    <w:rsid w:val="00431999"/>
    <w:rsid w:val="00432BBA"/>
    <w:rsid w:val="00435682"/>
    <w:rsid w:val="004372CA"/>
    <w:rsid w:val="00440857"/>
    <w:rsid w:val="004417D3"/>
    <w:rsid w:val="004420BC"/>
    <w:rsid w:val="0044288F"/>
    <w:rsid w:val="00443835"/>
    <w:rsid w:val="004473DA"/>
    <w:rsid w:val="0044782E"/>
    <w:rsid w:val="00447AEC"/>
    <w:rsid w:val="00450152"/>
    <w:rsid w:val="00450F6E"/>
    <w:rsid w:val="00451660"/>
    <w:rsid w:val="004517DD"/>
    <w:rsid w:val="00451D45"/>
    <w:rsid w:val="00451FF1"/>
    <w:rsid w:val="00456081"/>
    <w:rsid w:val="0045635D"/>
    <w:rsid w:val="00457214"/>
    <w:rsid w:val="00461F20"/>
    <w:rsid w:val="00464F5D"/>
    <w:rsid w:val="004701EE"/>
    <w:rsid w:val="004730B4"/>
    <w:rsid w:val="00474B1E"/>
    <w:rsid w:val="00474FBD"/>
    <w:rsid w:val="0047633D"/>
    <w:rsid w:val="00476B05"/>
    <w:rsid w:val="004804A3"/>
    <w:rsid w:val="00480C3D"/>
    <w:rsid w:val="00481656"/>
    <w:rsid w:val="00482A43"/>
    <w:rsid w:val="00484B32"/>
    <w:rsid w:val="00485403"/>
    <w:rsid w:val="00487292"/>
    <w:rsid w:val="004872FE"/>
    <w:rsid w:val="00487E37"/>
    <w:rsid w:val="00491D7D"/>
    <w:rsid w:val="00491EAC"/>
    <w:rsid w:val="00493EC4"/>
    <w:rsid w:val="00494045"/>
    <w:rsid w:val="00494982"/>
    <w:rsid w:val="00495872"/>
    <w:rsid w:val="0049760E"/>
    <w:rsid w:val="00497F9E"/>
    <w:rsid w:val="004A1B1C"/>
    <w:rsid w:val="004A1FBA"/>
    <w:rsid w:val="004A5925"/>
    <w:rsid w:val="004A6E56"/>
    <w:rsid w:val="004B45A7"/>
    <w:rsid w:val="004B5BBD"/>
    <w:rsid w:val="004B6837"/>
    <w:rsid w:val="004B6993"/>
    <w:rsid w:val="004C2D9A"/>
    <w:rsid w:val="004C3F45"/>
    <w:rsid w:val="004C5F9A"/>
    <w:rsid w:val="004D2AD2"/>
    <w:rsid w:val="004D7DED"/>
    <w:rsid w:val="004E157D"/>
    <w:rsid w:val="004E1929"/>
    <w:rsid w:val="004E21FD"/>
    <w:rsid w:val="004E2F90"/>
    <w:rsid w:val="004E40EF"/>
    <w:rsid w:val="004E4D2D"/>
    <w:rsid w:val="004E6C32"/>
    <w:rsid w:val="004E73F7"/>
    <w:rsid w:val="004F1EEF"/>
    <w:rsid w:val="004F4057"/>
    <w:rsid w:val="004F4D11"/>
    <w:rsid w:val="004F6CAC"/>
    <w:rsid w:val="004F76A0"/>
    <w:rsid w:val="00500E7F"/>
    <w:rsid w:val="005012BB"/>
    <w:rsid w:val="00503A1B"/>
    <w:rsid w:val="00507D8C"/>
    <w:rsid w:val="005126A4"/>
    <w:rsid w:val="00512819"/>
    <w:rsid w:val="00514CCA"/>
    <w:rsid w:val="005153D7"/>
    <w:rsid w:val="00515B47"/>
    <w:rsid w:val="0051687B"/>
    <w:rsid w:val="0052179D"/>
    <w:rsid w:val="00525C10"/>
    <w:rsid w:val="0052686D"/>
    <w:rsid w:val="00534FF1"/>
    <w:rsid w:val="00535167"/>
    <w:rsid w:val="005352DE"/>
    <w:rsid w:val="00536589"/>
    <w:rsid w:val="005368B5"/>
    <w:rsid w:val="00536F40"/>
    <w:rsid w:val="0054017B"/>
    <w:rsid w:val="00543E43"/>
    <w:rsid w:val="005456A9"/>
    <w:rsid w:val="00546A13"/>
    <w:rsid w:val="00552D1A"/>
    <w:rsid w:val="00554C14"/>
    <w:rsid w:val="00555D52"/>
    <w:rsid w:val="005566D7"/>
    <w:rsid w:val="00561F7F"/>
    <w:rsid w:val="0056271D"/>
    <w:rsid w:val="00563156"/>
    <w:rsid w:val="00566225"/>
    <w:rsid w:val="00566B35"/>
    <w:rsid w:val="005706BE"/>
    <w:rsid w:val="00570E76"/>
    <w:rsid w:val="00572337"/>
    <w:rsid w:val="005732CC"/>
    <w:rsid w:val="00574B39"/>
    <w:rsid w:val="00575422"/>
    <w:rsid w:val="00576A68"/>
    <w:rsid w:val="00581CA1"/>
    <w:rsid w:val="00582A02"/>
    <w:rsid w:val="00583129"/>
    <w:rsid w:val="00584878"/>
    <w:rsid w:val="00585B9C"/>
    <w:rsid w:val="00585F33"/>
    <w:rsid w:val="00586008"/>
    <w:rsid w:val="00587779"/>
    <w:rsid w:val="00592E21"/>
    <w:rsid w:val="005938C6"/>
    <w:rsid w:val="005945A9"/>
    <w:rsid w:val="005A0431"/>
    <w:rsid w:val="005A469B"/>
    <w:rsid w:val="005A4E8C"/>
    <w:rsid w:val="005A5055"/>
    <w:rsid w:val="005A64AB"/>
    <w:rsid w:val="005A79BD"/>
    <w:rsid w:val="005B0CF1"/>
    <w:rsid w:val="005B3752"/>
    <w:rsid w:val="005B4812"/>
    <w:rsid w:val="005B61C2"/>
    <w:rsid w:val="005B7963"/>
    <w:rsid w:val="005C0A70"/>
    <w:rsid w:val="005C258D"/>
    <w:rsid w:val="005C4161"/>
    <w:rsid w:val="005C7E2C"/>
    <w:rsid w:val="005D00F8"/>
    <w:rsid w:val="005D1967"/>
    <w:rsid w:val="005D23A3"/>
    <w:rsid w:val="005D26B7"/>
    <w:rsid w:val="005D4AA1"/>
    <w:rsid w:val="005D5768"/>
    <w:rsid w:val="005D6EEE"/>
    <w:rsid w:val="005E0356"/>
    <w:rsid w:val="005E144F"/>
    <w:rsid w:val="005E1C2C"/>
    <w:rsid w:val="005E2E3D"/>
    <w:rsid w:val="005E3D4B"/>
    <w:rsid w:val="005E488C"/>
    <w:rsid w:val="005E4F15"/>
    <w:rsid w:val="005E7D2C"/>
    <w:rsid w:val="005F6082"/>
    <w:rsid w:val="00600D33"/>
    <w:rsid w:val="0060146C"/>
    <w:rsid w:val="00601A87"/>
    <w:rsid w:val="0060207D"/>
    <w:rsid w:val="006039F2"/>
    <w:rsid w:val="00604B76"/>
    <w:rsid w:val="006061B0"/>
    <w:rsid w:val="0060732E"/>
    <w:rsid w:val="006076A9"/>
    <w:rsid w:val="00607740"/>
    <w:rsid w:val="00611D60"/>
    <w:rsid w:val="00613BC5"/>
    <w:rsid w:val="00613BEE"/>
    <w:rsid w:val="00613C4E"/>
    <w:rsid w:val="00614B3A"/>
    <w:rsid w:val="00616E27"/>
    <w:rsid w:val="006232FC"/>
    <w:rsid w:val="006256E4"/>
    <w:rsid w:val="00631914"/>
    <w:rsid w:val="00632054"/>
    <w:rsid w:val="00632165"/>
    <w:rsid w:val="00634B1B"/>
    <w:rsid w:val="00635743"/>
    <w:rsid w:val="006377B4"/>
    <w:rsid w:val="00643F9F"/>
    <w:rsid w:val="00645BC3"/>
    <w:rsid w:val="00646577"/>
    <w:rsid w:val="006525CE"/>
    <w:rsid w:val="006539B1"/>
    <w:rsid w:val="00653AF7"/>
    <w:rsid w:val="006544EA"/>
    <w:rsid w:val="006554A3"/>
    <w:rsid w:val="006556F3"/>
    <w:rsid w:val="006615B7"/>
    <w:rsid w:val="00661B37"/>
    <w:rsid w:val="00663647"/>
    <w:rsid w:val="00663E6E"/>
    <w:rsid w:val="0066486D"/>
    <w:rsid w:val="00665130"/>
    <w:rsid w:val="0066569F"/>
    <w:rsid w:val="00665A7F"/>
    <w:rsid w:val="0066767E"/>
    <w:rsid w:val="006717F5"/>
    <w:rsid w:val="00671980"/>
    <w:rsid w:val="006725A3"/>
    <w:rsid w:val="00672774"/>
    <w:rsid w:val="00675929"/>
    <w:rsid w:val="006767BD"/>
    <w:rsid w:val="006803EE"/>
    <w:rsid w:val="00681056"/>
    <w:rsid w:val="006811CF"/>
    <w:rsid w:val="0068386A"/>
    <w:rsid w:val="00686E7A"/>
    <w:rsid w:val="006873ED"/>
    <w:rsid w:val="0069004B"/>
    <w:rsid w:val="00690DDC"/>
    <w:rsid w:val="00695187"/>
    <w:rsid w:val="0069525A"/>
    <w:rsid w:val="00695587"/>
    <w:rsid w:val="00697D16"/>
    <w:rsid w:val="006A3006"/>
    <w:rsid w:val="006A3900"/>
    <w:rsid w:val="006A7C14"/>
    <w:rsid w:val="006B08EB"/>
    <w:rsid w:val="006B0ABF"/>
    <w:rsid w:val="006B465D"/>
    <w:rsid w:val="006B481F"/>
    <w:rsid w:val="006B767D"/>
    <w:rsid w:val="006C24D7"/>
    <w:rsid w:val="006C595D"/>
    <w:rsid w:val="006C6DC1"/>
    <w:rsid w:val="006D01D3"/>
    <w:rsid w:val="006D0DB5"/>
    <w:rsid w:val="006D1269"/>
    <w:rsid w:val="006D22D5"/>
    <w:rsid w:val="006D3688"/>
    <w:rsid w:val="006D684B"/>
    <w:rsid w:val="006E34D4"/>
    <w:rsid w:val="006E37BD"/>
    <w:rsid w:val="006E4665"/>
    <w:rsid w:val="006E58E3"/>
    <w:rsid w:val="006E5EFC"/>
    <w:rsid w:val="006E62C7"/>
    <w:rsid w:val="006E77FD"/>
    <w:rsid w:val="006F01D1"/>
    <w:rsid w:val="006F1B32"/>
    <w:rsid w:val="006F5AE8"/>
    <w:rsid w:val="006F5FF9"/>
    <w:rsid w:val="006F638E"/>
    <w:rsid w:val="006F6421"/>
    <w:rsid w:val="006F72EC"/>
    <w:rsid w:val="006F7C01"/>
    <w:rsid w:val="00700CFC"/>
    <w:rsid w:val="00701D6E"/>
    <w:rsid w:val="00703E42"/>
    <w:rsid w:val="0071009D"/>
    <w:rsid w:val="0071289C"/>
    <w:rsid w:val="007231C7"/>
    <w:rsid w:val="00723DE4"/>
    <w:rsid w:val="00731BDE"/>
    <w:rsid w:val="0073249B"/>
    <w:rsid w:val="0073277B"/>
    <w:rsid w:val="0073542C"/>
    <w:rsid w:val="007360A8"/>
    <w:rsid w:val="007368AD"/>
    <w:rsid w:val="00736F48"/>
    <w:rsid w:val="00737C05"/>
    <w:rsid w:val="007412D8"/>
    <w:rsid w:val="00742ACE"/>
    <w:rsid w:val="00742DA7"/>
    <w:rsid w:val="0074445D"/>
    <w:rsid w:val="00744BF0"/>
    <w:rsid w:val="00745166"/>
    <w:rsid w:val="00751D2A"/>
    <w:rsid w:val="00755095"/>
    <w:rsid w:val="00755E0D"/>
    <w:rsid w:val="0075622A"/>
    <w:rsid w:val="00756A19"/>
    <w:rsid w:val="00757173"/>
    <w:rsid w:val="0076336C"/>
    <w:rsid w:val="00764A91"/>
    <w:rsid w:val="007658A4"/>
    <w:rsid w:val="007662A5"/>
    <w:rsid w:val="007708B1"/>
    <w:rsid w:val="00773A6F"/>
    <w:rsid w:val="00783009"/>
    <w:rsid w:val="007910C8"/>
    <w:rsid w:val="007926FA"/>
    <w:rsid w:val="007931D6"/>
    <w:rsid w:val="0079535E"/>
    <w:rsid w:val="00795853"/>
    <w:rsid w:val="00796A07"/>
    <w:rsid w:val="007A1110"/>
    <w:rsid w:val="007A1555"/>
    <w:rsid w:val="007A34D5"/>
    <w:rsid w:val="007A4A34"/>
    <w:rsid w:val="007B0B88"/>
    <w:rsid w:val="007B69AC"/>
    <w:rsid w:val="007B7C33"/>
    <w:rsid w:val="007C026A"/>
    <w:rsid w:val="007C02A1"/>
    <w:rsid w:val="007C15EA"/>
    <w:rsid w:val="007C1B71"/>
    <w:rsid w:val="007C3AF0"/>
    <w:rsid w:val="007C591C"/>
    <w:rsid w:val="007C5B22"/>
    <w:rsid w:val="007C75C5"/>
    <w:rsid w:val="007D0B1B"/>
    <w:rsid w:val="007D1845"/>
    <w:rsid w:val="007D3DA9"/>
    <w:rsid w:val="007D5775"/>
    <w:rsid w:val="007D6B73"/>
    <w:rsid w:val="007D7851"/>
    <w:rsid w:val="007D7C10"/>
    <w:rsid w:val="007E15C9"/>
    <w:rsid w:val="007E2A1B"/>
    <w:rsid w:val="007E4240"/>
    <w:rsid w:val="007E7D5C"/>
    <w:rsid w:val="007F10E3"/>
    <w:rsid w:val="007F156A"/>
    <w:rsid w:val="007F25AE"/>
    <w:rsid w:val="007F2C0E"/>
    <w:rsid w:val="007F3AAD"/>
    <w:rsid w:val="007F6103"/>
    <w:rsid w:val="0080468F"/>
    <w:rsid w:val="00804AEB"/>
    <w:rsid w:val="00807CFF"/>
    <w:rsid w:val="0081237C"/>
    <w:rsid w:val="008124D3"/>
    <w:rsid w:val="00814491"/>
    <w:rsid w:val="00816081"/>
    <w:rsid w:val="00817331"/>
    <w:rsid w:val="00817806"/>
    <w:rsid w:val="00822448"/>
    <w:rsid w:val="00822A0C"/>
    <w:rsid w:val="00823221"/>
    <w:rsid w:val="00823CA0"/>
    <w:rsid w:val="00824CC8"/>
    <w:rsid w:val="00830F04"/>
    <w:rsid w:val="00831C5F"/>
    <w:rsid w:val="00831CD5"/>
    <w:rsid w:val="00833839"/>
    <w:rsid w:val="00833B61"/>
    <w:rsid w:val="00834825"/>
    <w:rsid w:val="008364A2"/>
    <w:rsid w:val="00836D17"/>
    <w:rsid w:val="008406EF"/>
    <w:rsid w:val="00840A55"/>
    <w:rsid w:val="00840B2A"/>
    <w:rsid w:val="00841E25"/>
    <w:rsid w:val="008464CD"/>
    <w:rsid w:val="008466AD"/>
    <w:rsid w:val="00847B13"/>
    <w:rsid w:val="008513A7"/>
    <w:rsid w:val="008515EE"/>
    <w:rsid w:val="00852462"/>
    <w:rsid w:val="0085273A"/>
    <w:rsid w:val="0085364D"/>
    <w:rsid w:val="008567FD"/>
    <w:rsid w:val="00860E31"/>
    <w:rsid w:val="00861C4E"/>
    <w:rsid w:val="00864670"/>
    <w:rsid w:val="00864B37"/>
    <w:rsid w:val="00864B52"/>
    <w:rsid w:val="00865245"/>
    <w:rsid w:val="00866517"/>
    <w:rsid w:val="00866D21"/>
    <w:rsid w:val="008709F1"/>
    <w:rsid w:val="00870B5B"/>
    <w:rsid w:val="00870BA7"/>
    <w:rsid w:val="00870C79"/>
    <w:rsid w:val="0087151E"/>
    <w:rsid w:val="0087250E"/>
    <w:rsid w:val="00872D85"/>
    <w:rsid w:val="008730ED"/>
    <w:rsid w:val="00873E4B"/>
    <w:rsid w:val="0087434B"/>
    <w:rsid w:val="0087442B"/>
    <w:rsid w:val="00874B46"/>
    <w:rsid w:val="0087663E"/>
    <w:rsid w:val="00876D26"/>
    <w:rsid w:val="008826A4"/>
    <w:rsid w:val="00883DDA"/>
    <w:rsid w:val="00885A0E"/>
    <w:rsid w:val="00886D54"/>
    <w:rsid w:val="00890580"/>
    <w:rsid w:val="008912D8"/>
    <w:rsid w:val="008916B8"/>
    <w:rsid w:val="00891936"/>
    <w:rsid w:val="00891FF9"/>
    <w:rsid w:val="00893367"/>
    <w:rsid w:val="0089538F"/>
    <w:rsid w:val="00896195"/>
    <w:rsid w:val="00897098"/>
    <w:rsid w:val="0089759A"/>
    <w:rsid w:val="008A5D6D"/>
    <w:rsid w:val="008B2639"/>
    <w:rsid w:val="008B3297"/>
    <w:rsid w:val="008B3E1C"/>
    <w:rsid w:val="008B4843"/>
    <w:rsid w:val="008B4D1F"/>
    <w:rsid w:val="008B5828"/>
    <w:rsid w:val="008B67AA"/>
    <w:rsid w:val="008B7956"/>
    <w:rsid w:val="008B796F"/>
    <w:rsid w:val="008B7B98"/>
    <w:rsid w:val="008B7C75"/>
    <w:rsid w:val="008C1B22"/>
    <w:rsid w:val="008C2CCE"/>
    <w:rsid w:val="008C2F39"/>
    <w:rsid w:val="008C3B67"/>
    <w:rsid w:val="008C3F48"/>
    <w:rsid w:val="008C4133"/>
    <w:rsid w:val="008C43E4"/>
    <w:rsid w:val="008C5C22"/>
    <w:rsid w:val="008C5C6A"/>
    <w:rsid w:val="008D143F"/>
    <w:rsid w:val="008D49B4"/>
    <w:rsid w:val="008D7498"/>
    <w:rsid w:val="008E0267"/>
    <w:rsid w:val="008E1BC0"/>
    <w:rsid w:val="008E5E2F"/>
    <w:rsid w:val="008E7129"/>
    <w:rsid w:val="008E7F3D"/>
    <w:rsid w:val="008F46D3"/>
    <w:rsid w:val="008F5422"/>
    <w:rsid w:val="008F5A71"/>
    <w:rsid w:val="008F652B"/>
    <w:rsid w:val="008F7328"/>
    <w:rsid w:val="009000E4"/>
    <w:rsid w:val="00902A73"/>
    <w:rsid w:val="0090301B"/>
    <w:rsid w:val="009141E8"/>
    <w:rsid w:val="0091552D"/>
    <w:rsid w:val="0091566C"/>
    <w:rsid w:val="0091671B"/>
    <w:rsid w:val="00917084"/>
    <w:rsid w:val="00917A15"/>
    <w:rsid w:val="00923D4E"/>
    <w:rsid w:val="0092612B"/>
    <w:rsid w:val="009305BA"/>
    <w:rsid w:val="00931F3A"/>
    <w:rsid w:val="00932E96"/>
    <w:rsid w:val="009332CD"/>
    <w:rsid w:val="00934792"/>
    <w:rsid w:val="009362C0"/>
    <w:rsid w:val="009418E6"/>
    <w:rsid w:val="0094235F"/>
    <w:rsid w:val="0094279F"/>
    <w:rsid w:val="00943936"/>
    <w:rsid w:val="00943ABD"/>
    <w:rsid w:val="00943DCE"/>
    <w:rsid w:val="00944F78"/>
    <w:rsid w:val="00946B98"/>
    <w:rsid w:val="00946EA5"/>
    <w:rsid w:val="0095052A"/>
    <w:rsid w:val="009516DC"/>
    <w:rsid w:val="00955E80"/>
    <w:rsid w:val="0096056E"/>
    <w:rsid w:val="00960E0C"/>
    <w:rsid w:val="00963E5D"/>
    <w:rsid w:val="009658F0"/>
    <w:rsid w:val="00965A33"/>
    <w:rsid w:val="0096635C"/>
    <w:rsid w:val="00970CF8"/>
    <w:rsid w:val="00971655"/>
    <w:rsid w:val="00971C63"/>
    <w:rsid w:val="00990A22"/>
    <w:rsid w:val="00991740"/>
    <w:rsid w:val="00991EEB"/>
    <w:rsid w:val="009933E9"/>
    <w:rsid w:val="00995EB8"/>
    <w:rsid w:val="00996F2B"/>
    <w:rsid w:val="009A2D67"/>
    <w:rsid w:val="009A4AE9"/>
    <w:rsid w:val="009B43BD"/>
    <w:rsid w:val="009B56E1"/>
    <w:rsid w:val="009C01D6"/>
    <w:rsid w:val="009C08F1"/>
    <w:rsid w:val="009C1B83"/>
    <w:rsid w:val="009C6954"/>
    <w:rsid w:val="009C71D5"/>
    <w:rsid w:val="009D194A"/>
    <w:rsid w:val="009D340C"/>
    <w:rsid w:val="009D3D11"/>
    <w:rsid w:val="009E0B4A"/>
    <w:rsid w:val="009E0C72"/>
    <w:rsid w:val="009E148E"/>
    <w:rsid w:val="009E2175"/>
    <w:rsid w:val="009E2FE6"/>
    <w:rsid w:val="009E3475"/>
    <w:rsid w:val="009E4DC2"/>
    <w:rsid w:val="009E5F9F"/>
    <w:rsid w:val="009E61BD"/>
    <w:rsid w:val="009E6B79"/>
    <w:rsid w:val="009E7E61"/>
    <w:rsid w:val="009F3D9A"/>
    <w:rsid w:val="009F423E"/>
    <w:rsid w:val="009F45C2"/>
    <w:rsid w:val="009F4AF7"/>
    <w:rsid w:val="009F4E28"/>
    <w:rsid w:val="009F61ED"/>
    <w:rsid w:val="009F6CBF"/>
    <w:rsid w:val="009F7CE4"/>
    <w:rsid w:val="00A10226"/>
    <w:rsid w:val="00A11162"/>
    <w:rsid w:val="00A12386"/>
    <w:rsid w:val="00A16215"/>
    <w:rsid w:val="00A2035E"/>
    <w:rsid w:val="00A20938"/>
    <w:rsid w:val="00A21094"/>
    <w:rsid w:val="00A22C8C"/>
    <w:rsid w:val="00A256F3"/>
    <w:rsid w:val="00A2723D"/>
    <w:rsid w:val="00A278C3"/>
    <w:rsid w:val="00A32444"/>
    <w:rsid w:val="00A33AD7"/>
    <w:rsid w:val="00A406E0"/>
    <w:rsid w:val="00A4138F"/>
    <w:rsid w:val="00A43227"/>
    <w:rsid w:val="00A46CCD"/>
    <w:rsid w:val="00A5306E"/>
    <w:rsid w:val="00A5431F"/>
    <w:rsid w:val="00A55C1F"/>
    <w:rsid w:val="00A57053"/>
    <w:rsid w:val="00A6311E"/>
    <w:rsid w:val="00A65133"/>
    <w:rsid w:val="00A652C5"/>
    <w:rsid w:val="00A65F23"/>
    <w:rsid w:val="00A7195C"/>
    <w:rsid w:val="00A729C1"/>
    <w:rsid w:val="00A72A59"/>
    <w:rsid w:val="00A7344C"/>
    <w:rsid w:val="00A75E7E"/>
    <w:rsid w:val="00A764B9"/>
    <w:rsid w:val="00A77BF0"/>
    <w:rsid w:val="00A833CF"/>
    <w:rsid w:val="00A83B30"/>
    <w:rsid w:val="00A85C5A"/>
    <w:rsid w:val="00A861BB"/>
    <w:rsid w:val="00A864AE"/>
    <w:rsid w:val="00A90434"/>
    <w:rsid w:val="00A915F1"/>
    <w:rsid w:val="00A91A71"/>
    <w:rsid w:val="00A94A52"/>
    <w:rsid w:val="00A96359"/>
    <w:rsid w:val="00A96A08"/>
    <w:rsid w:val="00AA0161"/>
    <w:rsid w:val="00AA208B"/>
    <w:rsid w:val="00AA31B7"/>
    <w:rsid w:val="00AA3C9A"/>
    <w:rsid w:val="00AA6104"/>
    <w:rsid w:val="00AB1D08"/>
    <w:rsid w:val="00AB25A0"/>
    <w:rsid w:val="00AB4345"/>
    <w:rsid w:val="00AB5469"/>
    <w:rsid w:val="00AB5BB8"/>
    <w:rsid w:val="00AB5BD7"/>
    <w:rsid w:val="00AB6086"/>
    <w:rsid w:val="00AC0135"/>
    <w:rsid w:val="00AC070D"/>
    <w:rsid w:val="00AC1B94"/>
    <w:rsid w:val="00AC22DF"/>
    <w:rsid w:val="00AC4CC3"/>
    <w:rsid w:val="00AC5EF8"/>
    <w:rsid w:val="00AC615D"/>
    <w:rsid w:val="00AC61F6"/>
    <w:rsid w:val="00AD0616"/>
    <w:rsid w:val="00AD1FD6"/>
    <w:rsid w:val="00AD3035"/>
    <w:rsid w:val="00AD34FF"/>
    <w:rsid w:val="00AD4DE6"/>
    <w:rsid w:val="00AD57CB"/>
    <w:rsid w:val="00AE0E84"/>
    <w:rsid w:val="00AE598F"/>
    <w:rsid w:val="00AE6DBC"/>
    <w:rsid w:val="00AE7BD1"/>
    <w:rsid w:val="00AF0868"/>
    <w:rsid w:val="00AF12F1"/>
    <w:rsid w:val="00AF2035"/>
    <w:rsid w:val="00AF23BF"/>
    <w:rsid w:val="00AF31E5"/>
    <w:rsid w:val="00AF3E95"/>
    <w:rsid w:val="00AF5688"/>
    <w:rsid w:val="00AF7C67"/>
    <w:rsid w:val="00AF7CA7"/>
    <w:rsid w:val="00B0114F"/>
    <w:rsid w:val="00B015D4"/>
    <w:rsid w:val="00B021C2"/>
    <w:rsid w:val="00B04157"/>
    <w:rsid w:val="00B04A54"/>
    <w:rsid w:val="00B103DD"/>
    <w:rsid w:val="00B108C2"/>
    <w:rsid w:val="00B11EF9"/>
    <w:rsid w:val="00B1536B"/>
    <w:rsid w:val="00B15FE9"/>
    <w:rsid w:val="00B17A9B"/>
    <w:rsid w:val="00B216F3"/>
    <w:rsid w:val="00B345B6"/>
    <w:rsid w:val="00B44889"/>
    <w:rsid w:val="00B4630F"/>
    <w:rsid w:val="00B46507"/>
    <w:rsid w:val="00B47206"/>
    <w:rsid w:val="00B50B67"/>
    <w:rsid w:val="00B51883"/>
    <w:rsid w:val="00B52C0C"/>
    <w:rsid w:val="00B5394F"/>
    <w:rsid w:val="00B554CC"/>
    <w:rsid w:val="00B55DE7"/>
    <w:rsid w:val="00B61FD4"/>
    <w:rsid w:val="00B63310"/>
    <w:rsid w:val="00B63E38"/>
    <w:rsid w:val="00B63E60"/>
    <w:rsid w:val="00B64ED3"/>
    <w:rsid w:val="00B6705F"/>
    <w:rsid w:val="00B674DB"/>
    <w:rsid w:val="00B709EA"/>
    <w:rsid w:val="00B719D8"/>
    <w:rsid w:val="00B72E5D"/>
    <w:rsid w:val="00B76268"/>
    <w:rsid w:val="00B76757"/>
    <w:rsid w:val="00B81024"/>
    <w:rsid w:val="00B811A2"/>
    <w:rsid w:val="00B820E8"/>
    <w:rsid w:val="00B82E8D"/>
    <w:rsid w:val="00B84766"/>
    <w:rsid w:val="00B84A45"/>
    <w:rsid w:val="00B84E8D"/>
    <w:rsid w:val="00B872A7"/>
    <w:rsid w:val="00B87433"/>
    <w:rsid w:val="00B920D2"/>
    <w:rsid w:val="00B92422"/>
    <w:rsid w:val="00B9244A"/>
    <w:rsid w:val="00B9264D"/>
    <w:rsid w:val="00B936EA"/>
    <w:rsid w:val="00B94D99"/>
    <w:rsid w:val="00B965DE"/>
    <w:rsid w:val="00B97592"/>
    <w:rsid w:val="00B978E9"/>
    <w:rsid w:val="00BA0EBC"/>
    <w:rsid w:val="00BA377F"/>
    <w:rsid w:val="00BA73AC"/>
    <w:rsid w:val="00BB0C94"/>
    <w:rsid w:val="00BB3FA1"/>
    <w:rsid w:val="00BB494A"/>
    <w:rsid w:val="00BB4BCB"/>
    <w:rsid w:val="00BB56CE"/>
    <w:rsid w:val="00BB62BB"/>
    <w:rsid w:val="00BB6645"/>
    <w:rsid w:val="00BC05C5"/>
    <w:rsid w:val="00BD0305"/>
    <w:rsid w:val="00BD04BE"/>
    <w:rsid w:val="00BD153B"/>
    <w:rsid w:val="00BD6949"/>
    <w:rsid w:val="00BD6C61"/>
    <w:rsid w:val="00BD790E"/>
    <w:rsid w:val="00BE15BF"/>
    <w:rsid w:val="00BE28E0"/>
    <w:rsid w:val="00BE2A55"/>
    <w:rsid w:val="00BE4575"/>
    <w:rsid w:val="00BE4A21"/>
    <w:rsid w:val="00BE68E2"/>
    <w:rsid w:val="00BE6F28"/>
    <w:rsid w:val="00BF1580"/>
    <w:rsid w:val="00BF29FA"/>
    <w:rsid w:val="00BF2C62"/>
    <w:rsid w:val="00BF4FF3"/>
    <w:rsid w:val="00BF5487"/>
    <w:rsid w:val="00BF75A4"/>
    <w:rsid w:val="00BF7B86"/>
    <w:rsid w:val="00C04D2B"/>
    <w:rsid w:val="00C05473"/>
    <w:rsid w:val="00C14A28"/>
    <w:rsid w:val="00C15A9D"/>
    <w:rsid w:val="00C17A84"/>
    <w:rsid w:val="00C2037A"/>
    <w:rsid w:val="00C224FD"/>
    <w:rsid w:val="00C2327B"/>
    <w:rsid w:val="00C238D4"/>
    <w:rsid w:val="00C24383"/>
    <w:rsid w:val="00C25E7B"/>
    <w:rsid w:val="00C27999"/>
    <w:rsid w:val="00C35F27"/>
    <w:rsid w:val="00C465A3"/>
    <w:rsid w:val="00C46A46"/>
    <w:rsid w:val="00C47F47"/>
    <w:rsid w:val="00C52369"/>
    <w:rsid w:val="00C52B3D"/>
    <w:rsid w:val="00C54199"/>
    <w:rsid w:val="00C56F54"/>
    <w:rsid w:val="00C6016D"/>
    <w:rsid w:val="00C60273"/>
    <w:rsid w:val="00C60750"/>
    <w:rsid w:val="00C609C5"/>
    <w:rsid w:val="00C645A1"/>
    <w:rsid w:val="00C64997"/>
    <w:rsid w:val="00C66696"/>
    <w:rsid w:val="00C71B15"/>
    <w:rsid w:val="00C737C5"/>
    <w:rsid w:val="00C75EF4"/>
    <w:rsid w:val="00C76B6B"/>
    <w:rsid w:val="00C76EFC"/>
    <w:rsid w:val="00C8088F"/>
    <w:rsid w:val="00C80EE6"/>
    <w:rsid w:val="00C8212F"/>
    <w:rsid w:val="00C83F1F"/>
    <w:rsid w:val="00C850D3"/>
    <w:rsid w:val="00C96F31"/>
    <w:rsid w:val="00C97391"/>
    <w:rsid w:val="00C97858"/>
    <w:rsid w:val="00CA2136"/>
    <w:rsid w:val="00CA2A91"/>
    <w:rsid w:val="00CA31A8"/>
    <w:rsid w:val="00CA3540"/>
    <w:rsid w:val="00CA49A3"/>
    <w:rsid w:val="00CA5E1E"/>
    <w:rsid w:val="00CA63DB"/>
    <w:rsid w:val="00CA6DED"/>
    <w:rsid w:val="00CA6DEF"/>
    <w:rsid w:val="00CA7600"/>
    <w:rsid w:val="00CB3F2F"/>
    <w:rsid w:val="00CB740D"/>
    <w:rsid w:val="00CC3F00"/>
    <w:rsid w:val="00CC49D4"/>
    <w:rsid w:val="00CC606B"/>
    <w:rsid w:val="00CD2391"/>
    <w:rsid w:val="00CD3CA1"/>
    <w:rsid w:val="00CD4558"/>
    <w:rsid w:val="00CD4968"/>
    <w:rsid w:val="00CD57ED"/>
    <w:rsid w:val="00CD653E"/>
    <w:rsid w:val="00CE2323"/>
    <w:rsid w:val="00CE2EDC"/>
    <w:rsid w:val="00CE396A"/>
    <w:rsid w:val="00CE6F5A"/>
    <w:rsid w:val="00CF01DD"/>
    <w:rsid w:val="00CF09AF"/>
    <w:rsid w:val="00CF24C9"/>
    <w:rsid w:val="00CF34A7"/>
    <w:rsid w:val="00CF42CF"/>
    <w:rsid w:val="00CF73DB"/>
    <w:rsid w:val="00CF7C49"/>
    <w:rsid w:val="00D04B83"/>
    <w:rsid w:val="00D05D07"/>
    <w:rsid w:val="00D102E9"/>
    <w:rsid w:val="00D126A3"/>
    <w:rsid w:val="00D15540"/>
    <w:rsid w:val="00D16147"/>
    <w:rsid w:val="00D1688F"/>
    <w:rsid w:val="00D16B45"/>
    <w:rsid w:val="00D2117F"/>
    <w:rsid w:val="00D21999"/>
    <w:rsid w:val="00D21C8B"/>
    <w:rsid w:val="00D232AD"/>
    <w:rsid w:val="00D25317"/>
    <w:rsid w:val="00D33198"/>
    <w:rsid w:val="00D333F9"/>
    <w:rsid w:val="00D34897"/>
    <w:rsid w:val="00D35D5C"/>
    <w:rsid w:val="00D36E4B"/>
    <w:rsid w:val="00D36FFD"/>
    <w:rsid w:val="00D4145F"/>
    <w:rsid w:val="00D46108"/>
    <w:rsid w:val="00D46367"/>
    <w:rsid w:val="00D46BE4"/>
    <w:rsid w:val="00D53850"/>
    <w:rsid w:val="00D54815"/>
    <w:rsid w:val="00D55A2E"/>
    <w:rsid w:val="00D60546"/>
    <w:rsid w:val="00D615F6"/>
    <w:rsid w:val="00D61C89"/>
    <w:rsid w:val="00D6350C"/>
    <w:rsid w:val="00D63EBB"/>
    <w:rsid w:val="00D64E9C"/>
    <w:rsid w:val="00D66E8B"/>
    <w:rsid w:val="00D714D4"/>
    <w:rsid w:val="00D8539C"/>
    <w:rsid w:val="00D85715"/>
    <w:rsid w:val="00D8663C"/>
    <w:rsid w:val="00D8706C"/>
    <w:rsid w:val="00D90BD1"/>
    <w:rsid w:val="00D927FB"/>
    <w:rsid w:val="00DA11DE"/>
    <w:rsid w:val="00DA15E2"/>
    <w:rsid w:val="00DA18BC"/>
    <w:rsid w:val="00DA4C62"/>
    <w:rsid w:val="00DA62EE"/>
    <w:rsid w:val="00DA6ADA"/>
    <w:rsid w:val="00DA7AD2"/>
    <w:rsid w:val="00DB1F04"/>
    <w:rsid w:val="00DB2C28"/>
    <w:rsid w:val="00DB6A17"/>
    <w:rsid w:val="00DC0D3C"/>
    <w:rsid w:val="00DC38F2"/>
    <w:rsid w:val="00DC4980"/>
    <w:rsid w:val="00DC535F"/>
    <w:rsid w:val="00DC5365"/>
    <w:rsid w:val="00DC58AE"/>
    <w:rsid w:val="00DC75B8"/>
    <w:rsid w:val="00DD0B7A"/>
    <w:rsid w:val="00DD282D"/>
    <w:rsid w:val="00DD5520"/>
    <w:rsid w:val="00DD7005"/>
    <w:rsid w:val="00DD7032"/>
    <w:rsid w:val="00DD7F55"/>
    <w:rsid w:val="00DE4048"/>
    <w:rsid w:val="00DE61A7"/>
    <w:rsid w:val="00DE7BD8"/>
    <w:rsid w:val="00DF04B1"/>
    <w:rsid w:val="00DF0869"/>
    <w:rsid w:val="00DF117E"/>
    <w:rsid w:val="00DF157F"/>
    <w:rsid w:val="00DF16C2"/>
    <w:rsid w:val="00DF39F7"/>
    <w:rsid w:val="00DF3FEE"/>
    <w:rsid w:val="00DF5A56"/>
    <w:rsid w:val="00DF6A1E"/>
    <w:rsid w:val="00DF77D5"/>
    <w:rsid w:val="00DF7CAD"/>
    <w:rsid w:val="00E00F76"/>
    <w:rsid w:val="00E0153D"/>
    <w:rsid w:val="00E02879"/>
    <w:rsid w:val="00E03572"/>
    <w:rsid w:val="00E04E37"/>
    <w:rsid w:val="00E07FB1"/>
    <w:rsid w:val="00E10453"/>
    <w:rsid w:val="00E106F1"/>
    <w:rsid w:val="00E10C01"/>
    <w:rsid w:val="00E14521"/>
    <w:rsid w:val="00E17311"/>
    <w:rsid w:val="00E20C04"/>
    <w:rsid w:val="00E21452"/>
    <w:rsid w:val="00E21AE8"/>
    <w:rsid w:val="00E21E75"/>
    <w:rsid w:val="00E234BC"/>
    <w:rsid w:val="00E27BD8"/>
    <w:rsid w:val="00E30FE7"/>
    <w:rsid w:val="00E32E64"/>
    <w:rsid w:val="00E33942"/>
    <w:rsid w:val="00E34962"/>
    <w:rsid w:val="00E355B6"/>
    <w:rsid w:val="00E35F10"/>
    <w:rsid w:val="00E363C3"/>
    <w:rsid w:val="00E36CB9"/>
    <w:rsid w:val="00E37CB7"/>
    <w:rsid w:val="00E42C7B"/>
    <w:rsid w:val="00E45610"/>
    <w:rsid w:val="00E46177"/>
    <w:rsid w:val="00E50CC9"/>
    <w:rsid w:val="00E519DC"/>
    <w:rsid w:val="00E55422"/>
    <w:rsid w:val="00E556F1"/>
    <w:rsid w:val="00E5648E"/>
    <w:rsid w:val="00E579B1"/>
    <w:rsid w:val="00E62F0C"/>
    <w:rsid w:val="00E63F51"/>
    <w:rsid w:val="00E67935"/>
    <w:rsid w:val="00E7178A"/>
    <w:rsid w:val="00E71FA3"/>
    <w:rsid w:val="00E72360"/>
    <w:rsid w:val="00E72C43"/>
    <w:rsid w:val="00E73E8C"/>
    <w:rsid w:val="00E740DE"/>
    <w:rsid w:val="00E74722"/>
    <w:rsid w:val="00E76090"/>
    <w:rsid w:val="00E76343"/>
    <w:rsid w:val="00E77B80"/>
    <w:rsid w:val="00E807DA"/>
    <w:rsid w:val="00E80A23"/>
    <w:rsid w:val="00E80DA0"/>
    <w:rsid w:val="00E81252"/>
    <w:rsid w:val="00E8474E"/>
    <w:rsid w:val="00E84E3A"/>
    <w:rsid w:val="00E8687E"/>
    <w:rsid w:val="00E90917"/>
    <w:rsid w:val="00E91404"/>
    <w:rsid w:val="00E9328D"/>
    <w:rsid w:val="00E93C11"/>
    <w:rsid w:val="00E969B2"/>
    <w:rsid w:val="00EA05AF"/>
    <w:rsid w:val="00EA0EFB"/>
    <w:rsid w:val="00EA10CA"/>
    <w:rsid w:val="00EA29CC"/>
    <w:rsid w:val="00EA2EBE"/>
    <w:rsid w:val="00EA32E2"/>
    <w:rsid w:val="00EA52EF"/>
    <w:rsid w:val="00EA5607"/>
    <w:rsid w:val="00EA6300"/>
    <w:rsid w:val="00EB1572"/>
    <w:rsid w:val="00EB3B72"/>
    <w:rsid w:val="00EB4072"/>
    <w:rsid w:val="00EB4191"/>
    <w:rsid w:val="00EB5CBB"/>
    <w:rsid w:val="00EB65C6"/>
    <w:rsid w:val="00EC0D15"/>
    <w:rsid w:val="00EC177A"/>
    <w:rsid w:val="00EC1B9C"/>
    <w:rsid w:val="00EC2D1B"/>
    <w:rsid w:val="00EC39D4"/>
    <w:rsid w:val="00EC3A93"/>
    <w:rsid w:val="00EC43B9"/>
    <w:rsid w:val="00EC536E"/>
    <w:rsid w:val="00EC6815"/>
    <w:rsid w:val="00ED11F9"/>
    <w:rsid w:val="00ED1BFA"/>
    <w:rsid w:val="00ED2143"/>
    <w:rsid w:val="00ED2242"/>
    <w:rsid w:val="00ED28F6"/>
    <w:rsid w:val="00ED45A8"/>
    <w:rsid w:val="00ED4D69"/>
    <w:rsid w:val="00ED7B85"/>
    <w:rsid w:val="00EE0122"/>
    <w:rsid w:val="00EE0230"/>
    <w:rsid w:val="00EE362F"/>
    <w:rsid w:val="00EE3AB2"/>
    <w:rsid w:val="00EE530D"/>
    <w:rsid w:val="00EE6C88"/>
    <w:rsid w:val="00EF0E19"/>
    <w:rsid w:val="00EF1774"/>
    <w:rsid w:val="00EF1966"/>
    <w:rsid w:val="00EF20C5"/>
    <w:rsid w:val="00EF3F5A"/>
    <w:rsid w:val="00F111F2"/>
    <w:rsid w:val="00F114AE"/>
    <w:rsid w:val="00F11F02"/>
    <w:rsid w:val="00F123C8"/>
    <w:rsid w:val="00F12878"/>
    <w:rsid w:val="00F12EAD"/>
    <w:rsid w:val="00F1349A"/>
    <w:rsid w:val="00F20034"/>
    <w:rsid w:val="00F23BFB"/>
    <w:rsid w:val="00F2415F"/>
    <w:rsid w:val="00F24695"/>
    <w:rsid w:val="00F252BC"/>
    <w:rsid w:val="00F33CD5"/>
    <w:rsid w:val="00F372E0"/>
    <w:rsid w:val="00F413D6"/>
    <w:rsid w:val="00F43CA0"/>
    <w:rsid w:val="00F43E80"/>
    <w:rsid w:val="00F444C7"/>
    <w:rsid w:val="00F45ADF"/>
    <w:rsid w:val="00F45B77"/>
    <w:rsid w:val="00F50426"/>
    <w:rsid w:val="00F5092D"/>
    <w:rsid w:val="00F50AF7"/>
    <w:rsid w:val="00F51BB5"/>
    <w:rsid w:val="00F540AD"/>
    <w:rsid w:val="00F55030"/>
    <w:rsid w:val="00F5584F"/>
    <w:rsid w:val="00F5777D"/>
    <w:rsid w:val="00F60691"/>
    <w:rsid w:val="00F60AA2"/>
    <w:rsid w:val="00F62439"/>
    <w:rsid w:val="00F63A97"/>
    <w:rsid w:val="00F6654A"/>
    <w:rsid w:val="00F726D4"/>
    <w:rsid w:val="00F74322"/>
    <w:rsid w:val="00F747E3"/>
    <w:rsid w:val="00F753F1"/>
    <w:rsid w:val="00F7696F"/>
    <w:rsid w:val="00F7712D"/>
    <w:rsid w:val="00F80034"/>
    <w:rsid w:val="00F81AC4"/>
    <w:rsid w:val="00F8209B"/>
    <w:rsid w:val="00F86E37"/>
    <w:rsid w:val="00F96064"/>
    <w:rsid w:val="00F97CD9"/>
    <w:rsid w:val="00FA0576"/>
    <w:rsid w:val="00FA2F7C"/>
    <w:rsid w:val="00FA5611"/>
    <w:rsid w:val="00FA5E1C"/>
    <w:rsid w:val="00FB0B91"/>
    <w:rsid w:val="00FB1CEE"/>
    <w:rsid w:val="00FB2D18"/>
    <w:rsid w:val="00FB34E8"/>
    <w:rsid w:val="00FB50B4"/>
    <w:rsid w:val="00FC0C1B"/>
    <w:rsid w:val="00FC0F84"/>
    <w:rsid w:val="00FC3481"/>
    <w:rsid w:val="00FD2BE9"/>
    <w:rsid w:val="00FD4AE2"/>
    <w:rsid w:val="00FD4B97"/>
    <w:rsid w:val="00FD5587"/>
    <w:rsid w:val="00FD5D7F"/>
    <w:rsid w:val="00FE2A9D"/>
    <w:rsid w:val="00FE2B00"/>
    <w:rsid w:val="00FE4B71"/>
    <w:rsid w:val="00FE5496"/>
    <w:rsid w:val="00FE55EB"/>
    <w:rsid w:val="00FF1FCF"/>
    <w:rsid w:val="00FF308E"/>
    <w:rsid w:val="00FF7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9C1B8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9"/>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CB740D"/>
    <w:pPr>
      <w:numPr>
        <w:ilvl w:val="4"/>
      </w:numPr>
    </w:pPr>
  </w:style>
  <w:style w:type="paragraph" w:customStyle="1" w:styleId="AERnumberedlist2second">
    <w:name w:val="AER numbered list 2 second"/>
    <w:basedOn w:val="AERnumberedlist2first"/>
    <w:qFormat/>
    <w:rsid w:val="00CB740D"/>
    <w:pPr>
      <w:numPr>
        <w:ilvl w:val="5"/>
      </w:numPr>
    </w:pPr>
  </w:style>
  <w:style w:type="paragraph" w:customStyle="1" w:styleId="AERnumberedlist2third">
    <w:name w:val="AER numbered list 2 third"/>
    <w:basedOn w:val="AERnumberedlist2second"/>
    <w:qFormat/>
    <w:rsid w:val="00CB740D"/>
    <w:pPr>
      <w:numPr>
        <w:ilvl w:val="6"/>
      </w:numPr>
    </w:pPr>
  </w:style>
  <w:style w:type="paragraph" w:customStyle="1" w:styleId="HeadingBoldBlue">
    <w:name w:val="Heading Bold Blue"/>
    <w:basedOn w:val="AERbodytext"/>
    <w:next w:val="AERbodytext"/>
    <w:link w:val="HeadingBoldBlueChar"/>
    <w:qFormat/>
    <w:rsid w:val="00CB740D"/>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CB740D"/>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CB740D"/>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CB740D"/>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HeadingOrange">
    <w:name w:val="Heading Orange"/>
    <w:basedOn w:val="HeadingBoldItalic"/>
    <w:qFormat/>
    <w:rsid w:val="00CB740D"/>
    <w:rPr>
      <w:i w:val="0"/>
      <w:sz w:val="20"/>
    </w:rPr>
  </w:style>
  <w:style w:type="paragraph" w:customStyle="1" w:styleId="AERbodytextcentre">
    <w:name w:val="AER body text centre"/>
    <w:basedOn w:val="AERbodytext"/>
    <w:qFormat/>
    <w:rsid w:val="00CB740D"/>
    <w:pPr>
      <w:numPr>
        <w:numId w:val="0"/>
      </w:numPr>
      <w:jc w:val="center"/>
    </w:pPr>
  </w:style>
  <w:style w:type="paragraph" w:customStyle="1" w:styleId="AERbodytextleftalign">
    <w:name w:val="AER body text left align"/>
    <w:basedOn w:val="AERbodytext"/>
    <w:qFormat/>
    <w:rsid w:val="00CB740D"/>
    <w:pPr>
      <w:numPr>
        <w:numId w:val="0"/>
      </w:numPr>
      <w:jc w:val="left"/>
    </w:pPr>
  </w:style>
  <w:style w:type="paragraph" w:customStyle="1" w:styleId="AERbodytextnospacecentre">
    <w:name w:val="AER body text no space centre"/>
    <w:basedOn w:val="AERbodytextnospace"/>
    <w:qFormat/>
    <w:rsid w:val="00CB740D"/>
    <w:pPr>
      <w:numPr>
        <w:numId w:val="0"/>
      </w:numPr>
      <w:jc w:val="center"/>
    </w:pPr>
  </w:style>
  <w:style w:type="paragraph" w:customStyle="1" w:styleId="AERbodytextnospaceleftalign">
    <w:name w:val="AER body text no space left align"/>
    <w:basedOn w:val="AERbodytextnospace"/>
    <w:qFormat/>
    <w:rsid w:val="00CB740D"/>
    <w:pPr>
      <w:numPr>
        <w:numId w:val="0"/>
      </w:numPr>
      <w:tabs>
        <w:tab w:val="num" w:pos="0"/>
      </w:tabs>
      <w:jc w:val="left"/>
    </w:pPr>
  </w:style>
  <w:style w:type="paragraph" w:styleId="ListBullet2">
    <w:name w:val="List Bullet 2"/>
    <w:basedOn w:val="Normal"/>
    <w:uiPriority w:val="99"/>
    <w:semiHidden/>
    <w:unhideWhenUsed/>
    <w:locked/>
    <w:rsid w:val="00D4145F"/>
    <w:pPr>
      <w:tabs>
        <w:tab w:val="num" w:pos="0"/>
      </w:tabs>
      <w:contextualSpacing/>
    </w:pPr>
  </w:style>
  <w:style w:type="paragraph" w:styleId="NormalWeb">
    <w:name w:val="Normal (Web)"/>
    <w:basedOn w:val="Normal"/>
    <w:uiPriority w:val="99"/>
    <w:semiHidden/>
    <w:unhideWhenUsed/>
    <w:locked/>
    <w:rsid w:val="00D4145F"/>
    <w:rPr>
      <w:rFonts w:ascii="Times New Roman" w:hAnsi="Times New Roman"/>
      <w:sz w:val="24"/>
      <w:szCs w:val="24"/>
    </w:rPr>
  </w:style>
  <w:style w:type="paragraph" w:styleId="Revision">
    <w:name w:val="Revision"/>
    <w:hidden/>
    <w:uiPriority w:val="99"/>
    <w:semiHidden/>
    <w:rsid w:val="000B49B1"/>
    <w:rPr>
      <w:lang w:eastAsia="en-US"/>
    </w:rPr>
  </w:style>
  <w:style w:type="character" w:styleId="FollowedHyperlink">
    <w:name w:val="FollowedHyperlink"/>
    <w:basedOn w:val="DefaultParagraphFont"/>
    <w:uiPriority w:val="99"/>
    <w:semiHidden/>
    <w:unhideWhenUsed/>
    <w:rsid w:val="000B49B1"/>
    <w:rPr>
      <w:color w:val="800080" w:themeColor="followedHyperlink"/>
      <w:u w:val="single"/>
    </w:rPr>
  </w:style>
  <w:style w:type="character" w:styleId="PlaceholderText">
    <w:name w:val="Placeholder Text"/>
    <w:basedOn w:val="DefaultParagraphFont"/>
    <w:uiPriority w:val="99"/>
    <w:semiHidden/>
    <w:unhideWhenUsed/>
    <w:rsid w:val="000B49B1"/>
    <w:rPr>
      <w:color w:val="808080"/>
    </w:rPr>
  </w:style>
  <w:style w:type="paragraph" w:styleId="Subtitle">
    <w:name w:val="Subtitle"/>
    <w:basedOn w:val="Normal"/>
    <w:next w:val="Normal"/>
    <w:link w:val="SubtitleChar"/>
    <w:uiPriority w:val="11"/>
    <w:unhideWhenUsed/>
    <w:qFormat/>
    <w:rsid w:val="00E740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740DE"/>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E740DE"/>
    <w:pPr>
      <w:jc w:val="both"/>
    </w:pPr>
    <w:rPr>
      <w:lang w:eastAsia="en-US"/>
    </w:rPr>
  </w:style>
  <w:style w:type="paragraph" w:styleId="ListBullet">
    <w:name w:val="List Bullet"/>
    <w:basedOn w:val="Normal"/>
    <w:uiPriority w:val="99"/>
    <w:semiHidden/>
    <w:unhideWhenUsed/>
    <w:locked/>
    <w:rsid w:val="00E740DE"/>
    <w:pPr>
      <w:tabs>
        <w:tab w:val="num" w:pos="0"/>
      </w:tabs>
      <w:contextualSpacing/>
    </w:pPr>
  </w:style>
  <w:style w:type="paragraph" w:styleId="ListBullet3">
    <w:name w:val="List Bullet 3"/>
    <w:basedOn w:val="Normal"/>
    <w:uiPriority w:val="99"/>
    <w:semiHidden/>
    <w:unhideWhenUsed/>
    <w:locked/>
    <w:rsid w:val="00E740DE"/>
    <w:pPr>
      <w:tabs>
        <w:tab w:val="num" w:pos="0"/>
      </w:tabs>
      <w:contextualSpacing/>
    </w:pPr>
  </w:style>
  <w:style w:type="paragraph" w:styleId="ListBullet4">
    <w:name w:val="List Bullet 4"/>
    <w:basedOn w:val="Normal"/>
    <w:uiPriority w:val="99"/>
    <w:semiHidden/>
    <w:unhideWhenUsed/>
    <w:locked/>
    <w:rsid w:val="00E740DE"/>
    <w:pPr>
      <w:numPr>
        <w:numId w:val="11"/>
      </w:numPr>
      <w:contextualSpacing/>
    </w:pPr>
  </w:style>
  <w:style w:type="paragraph" w:styleId="ListBullet5">
    <w:name w:val="List Bullet 5"/>
    <w:basedOn w:val="Normal"/>
    <w:uiPriority w:val="99"/>
    <w:semiHidden/>
    <w:unhideWhenUsed/>
    <w:locked/>
    <w:rsid w:val="00E740DE"/>
    <w:pPr>
      <w:numPr>
        <w:numId w:val="12"/>
      </w:numPr>
      <w:contextualSpacing/>
    </w:pPr>
  </w:style>
  <w:style w:type="paragraph" w:styleId="BodyText">
    <w:name w:val="Body Text"/>
    <w:basedOn w:val="Normal"/>
    <w:link w:val="BodyTextChar"/>
    <w:uiPriority w:val="99"/>
    <w:semiHidden/>
    <w:unhideWhenUsed/>
    <w:locked/>
    <w:rsid w:val="00736F48"/>
    <w:pPr>
      <w:spacing w:after="120"/>
    </w:pPr>
  </w:style>
  <w:style w:type="character" w:customStyle="1" w:styleId="BodyTextChar">
    <w:name w:val="Body Text Char"/>
    <w:basedOn w:val="DefaultParagraphFont"/>
    <w:link w:val="BodyText"/>
    <w:uiPriority w:val="99"/>
    <w:semiHidden/>
    <w:rsid w:val="00736F48"/>
    <w:rPr>
      <w:lang w:eastAsia="en-US"/>
    </w:rPr>
  </w:style>
  <w:style w:type="character" w:styleId="HTMLCite">
    <w:name w:val="HTML Cite"/>
    <w:basedOn w:val="DefaultParagraphFont"/>
    <w:uiPriority w:val="99"/>
    <w:semiHidden/>
    <w:unhideWhenUsed/>
    <w:rsid w:val="007D6B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80427">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864634035">
      <w:bodyDiv w:val="1"/>
      <w:marLeft w:val="0"/>
      <w:marRight w:val="0"/>
      <w:marTop w:val="0"/>
      <w:marBottom w:val="0"/>
      <w:divBdr>
        <w:top w:val="none" w:sz="0" w:space="0" w:color="auto"/>
        <w:left w:val="none" w:sz="0" w:space="0" w:color="auto"/>
        <w:bottom w:val="none" w:sz="0" w:space="0" w:color="auto"/>
        <w:right w:val="none" w:sz="0" w:space="0" w:color="auto"/>
      </w:divBdr>
      <w:divsChild>
        <w:div w:id="116996660">
          <w:marLeft w:val="0"/>
          <w:marRight w:val="0"/>
          <w:marTop w:val="0"/>
          <w:marBottom w:val="0"/>
          <w:divBdr>
            <w:top w:val="none" w:sz="0" w:space="0" w:color="auto"/>
            <w:left w:val="none" w:sz="0" w:space="0" w:color="auto"/>
            <w:bottom w:val="none" w:sz="0" w:space="0" w:color="auto"/>
            <w:right w:val="none" w:sz="0" w:space="0" w:color="auto"/>
          </w:divBdr>
          <w:divsChild>
            <w:div w:id="1706367975">
              <w:marLeft w:val="0"/>
              <w:marRight w:val="0"/>
              <w:marTop w:val="0"/>
              <w:marBottom w:val="0"/>
              <w:divBdr>
                <w:top w:val="none" w:sz="0" w:space="0" w:color="auto"/>
                <w:left w:val="none" w:sz="0" w:space="0" w:color="auto"/>
                <w:bottom w:val="none" w:sz="0" w:space="0" w:color="auto"/>
                <w:right w:val="none" w:sz="0" w:space="0" w:color="auto"/>
              </w:divBdr>
              <w:divsChild>
                <w:div w:id="2138789376">
                  <w:marLeft w:val="0"/>
                  <w:marRight w:val="0"/>
                  <w:marTop w:val="0"/>
                  <w:marBottom w:val="0"/>
                  <w:divBdr>
                    <w:top w:val="none" w:sz="0" w:space="0" w:color="auto"/>
                    <w:left w:val="none" w:sz="0" w:space="0" w:color="auto"/>
                    <w:bottom w:val="none" w:sz="0" w:space="0" w:color="auto"/>
                    <w:right w:val="none" w:sz="0" w:space="0" w:color="auto"/>
                  </w:divBdr>
                  <w:divsChild>
                    <w:div w:id="312149002">
                      <w:marLeft w:val="0"/>
                      <w:marRight w:val="0"/>
                      <w:marTop w:val="0"/>
                      <w:marBottom w:val="0"/>
                      <w:divBdr>
                        <w:top w:val="none" w:sz="0" w:space="0" w:color="auto"/>
                        <w:left w:val="none" w:sz="0" w:space="0" w:color="auto"/>
                        <w:bottom w:val="none" w:sz="0" w:space="0" w:color="auto"/>
                        <w:right w:val="none" w:sz="0" w:space="0" w:color="auto"/>
                      </w:divBdr>
                      <w:divsChild>
                        <w:div w:id="2002393610">
                          <w:marLeft w:val="0"/>
                          <w:marRight w:val="0"/>
                          <w:marTop w:val="0"/>
                          <w:marBottom w:val="0"/>
                          <w:divBdr>
                            <w:top w:val="none" w:sz="0" w:space="0" w:color="auto"/>
                            <w:left w:val="none" w:sz="0" w:space="0" w:color="auto"/>
                            <w:bottom w:val="none" w:sz="0" w:space="0" w:color="auto"/>
                            <w:right w:val="none" w:sz="0" w:space="0" w:color="auto"/>
                          </w:divBdr>
                          <w:divsChild>
                            <w:div w:id="136533121">
                              <w:marLeft w:val="0"/>
                              <w:marRight w:val="0"/>
                              <w:marTop w:val="0"/>
                              <w:marBottom w:val="0"/>
                              <w:divBdr>
                                <w:top w:val="none" w:sz="0" w:space="0" w:color="auto"/>
                                <w:left w:val="none" w:sz="0" w:space="0" w:color="auto"/>
                                <w:bottom w:val="none" w:sz="0" w:space="0" w:color="auto"/>
                                <w:right w:val="none" w:sz="0" w:space="0" w:color="auto"/>
                              </w:divBdr>
                              <w:divsChild>
                                <w:div w:id="1374114825">
                                  <w:marLeft w:val="0"/>
                                  <w:marRight w:val="0"/>
                                  <w:marTop w:val="0"/>
                                  <w:marBottom w:val="0"/>
                                  <w:divBdr>
                                    <w:top w:val="none" w:sz="0" w:space="0" w:color="auto"/>
                                    <w:left w:val="none" w:sz="0" w:space="0" w:color="auto"/>
                                    <w:bottom w:val="none" w:sz="0" w:space="0" w:color="auto"/>
                                    <w:right w:val="none" w:sz="0" w:space="0" w:color="auto"/>
                                  </w:divBdr>
                                  <w:divsChild>
                                    <w:div w:id="1299072477">
                                      <w:marLeft w:val="240"/>
                                      <w:marRight w:val="240"/>
                                      <w:marTop w:val="240"/>
                                      <w:marBottom w:val="0"/>
                                      <w:divBdr>
                                        <w:top w:val="none" w:sz="0" w:space="0" w:color="auto"/>
                                        <w:left w:val="none" w:sz="0" w:space="0" w:color="auto"/>
                                        <w:bottom w:val="none" w:sz="0" w:space="0" w:color="auto"/>
                                        <w:right w:val="none" w:sz="0" w:space="0" w:color="auto"/>
                                      </w:divBdr>
                                      <w:divsChild>
                                        <w:div w:id="1051804041">
                                          <w:marLeft w:val="0"/>
                                          <w:marRight w:val="0"/>
                                          <w:marTop w:val="0"/>
                                          <w:marBottom w:val="0"/>
                                          <w:divBdr>
                                            <w:top w:val="none" w:sz="0" w:space="0" w:color="auto"/>
                                            <w:left w:val="none" w:sz="0" w:space="0" w:color="auto"/>
                                            <w:bottom w:val="none" w:sz="0" w:space="0" w:color="auto"/>
                                            <w:right w:val="none" w:sz="0" w:space="0" w:color="auto"/>
                                          </w:divBdr>
                                          <w:divsChild>
                                            <w:div w:id="2017225644">
                                              <w:marLeft w:val="0"/>
                                              <w:marRight w:val="0"/>
                                              <w:marTop w:val="0"/>
                                              <w:marBottom w:val="0"/>
                                              <w:divBdr>
                                                <w:top w:val="none" w:sz="0" w:space="0" w:color="auto"/>
                                                <w:left w:val="none" w:sz="0" w:space="0" w:color="auto"/>
                                                <w:bottom w:val="none" w:sz="0" w:space="0" w:color="auto"/>
                                                <w:right w:val="none" w:sz="0" w:space="0" w:color="auto"/>
                                              </w:divBdr>
                                              <w:divsChild>
                                                <w:div w:id="1218126280">
                                                  <w:marLeft w:val="0"/>
                                                  <w:marRight w:val="0"/>
                                                  <w:marTop w:val="0"/>
                                                  <w:marBottom w:val="0"/>
                                                  <w:divBdr>
                                                    <w:top w:val="none" w:sz="0" w:space="0" w:color="auto"/>
                                                    <w:left w:val="none" w:sz="0" w:space="0" w:color="auto"/>
                                                    <w:bottom w:val="none" w:sz="0" w:space="0" w:color="auto"/>
                                                    <w:right w:val="none" w:sz="0" w:space="0" w:color="auto"/>
                                                  </w:divBdr>
                                                  <w:divsChild>
                                                    <w:div w:id="621378334">
                                                      <w:marLeft w:val="0"/>
                                                      <w:marRight w:val="0"/>
                                                      <w:marTop w:val="0"/>
                                                      <w:marBottom w:val="0"/>
                                                      <w:divBdr>
                                                        <w:top w:val="none" w:sz="0" w:space="0" w:color="auto"/>
                                                        <w:left w:val="none" w:sz="0" w:space="0" w:color="auto"/>
                                                        <w:bottom w:val="none" w:sz="0" w:space="0" w:color="auto"/>
                                                        <w:right w:val="none" w:sz="0" w:space="0" w:color="auto"/>
                                                      </w:divBdr>
                                                      <w:divsChild>
                                                        <w:div w:id="2068645529">
                                                          <w:marLeft w:val="0"/>
                                                          <w:marRight w:val="0"/>
                                                          <w:marTop w:val="0"/>
                                                          <w:marBottom w:val="0"/>
                                                          <w:divBdr>
                                                            <w:top w:val="none" w:sz="0" w:space="0" w:color="auto"/>
                                                            <w:left w:val="none" w:sz="0" w:space="0" w:color="auto"/>
                                                            <w:bottom w:val="none" w:sz="0" w:space="0" w:color="auto"/>
                                                            <w:right w:val="none" w:sz="0" w:space="0" w:color="auto"/>
                                                          </w:divBdr>
                                                          <w:divsChild>
                                                            <w:div w:id="436025871">
                                                              <w:marLeft w:val="0"/>
                                                              <w:marRight w:val="0"/>
                                                              <w:marTop w:val="0"/>
                                                              <w:marBottom w:val="0"/>
                                                              <w:divBdr>
                                                                <w:top w:val="none" w:sz="0" w:space="0" w:color="auto"/>
                                                                <w:left w:val="none" w:sz="0" w:space="0" w:color="auto"/>
                                                                <w:bottom w:val="none" w:sz="0" w:space="0" w:color="auto"/>
                                                                <w:right w:val="none" w:sz="0" w:space="0" w:color="auto"/>
                                                              </w:divBdr>
                                                              <w:divsChild>
                                                                <w:div w:id="1649284929">
                                                                  <w:marLeft w:val="0"/>
                                                                  <w:marRight w:val="0"/>
                                                                  <w:marTop w:val="0"/>
                                                                  <w:marBottom w:val="0"/>
                                                                  <w:divBdr>
                                                                    <w:top w:val="none" w:sz="0" w:space="0" w:color="auto"/>
                                                                    <w:left w:val="none" w:sz="0" w:space="0" w:color="auto"/>
                                                                    <w:bottom w:val="none" w:sz="0" w:space="0" w:color="auto"/>
                                                                    <w:right w:val="none" w:sz="0" w:space="0" w:color="auto"/>
                                                                  </w:divBdr>
                                                                  <w:divsChild>
                                                                    <w:div w:id="1513297490">
                                                                      <w:marLeft w:val="0"/>
                                                                      <w:marRight w:val="0"/>
                                                                      <w:marTop w:val="0"/>
                                                                      <w:marBottom w:val="0"/>
                                                                      <w:divBdr>
                                                                        <w:top w:val="none" w:sz="0" w:space="0" w:color="auto"/>
                                                                        <w:left w:val="none" w:sz="0" w:space="0" w:color="auto"/>
                                                                        <w:bottom w:val="none" w:sz="0" w:space="0" w:color="auto"/>
                                                                        <w:right w:val="none" w:sz="0" w:space="0" w:color="auto"/>
                                                                      </w:divBdr>
                                                                      <w:divsChild>
                                                                        <w:div w:id="2006586508">
                                                                          <w:marLeft w:val="0"/>
                                                                          <w:marRight w:val="0"/>
                                                                          <w:marTop w:val="0"/>
                                                                          <w:marBottom w:val="120"/>
                                                                          <w:divBdr>
                                                                            <w:top w:val="none" w:sz="0" w:space="0" w:color="auto"/>
                                                                            <w:left w:val="none" w:sz="0" w:space="0" w:color="auto"/>
                                                                            <w:bottom w:val="none" w:sz="0" w:space="0" w:color="auto"/>
                                                                            <w:right w:val="none" w:sz="0" w:space="0" w:color="auto"/>
                                                                          </w:divBdr>
                                                                          <w:divsChild>
                                                                            <w:div w:id="1122309675">
                                                                              <w:marLeft w:val="0"/>
                                                                              <w:marRight w:val="0"/>
                                                                              <w:marTop w:val="0"/>
                                                                              <w:marBottom w:val="0"/>
                                                                              <w:divBdr>
                                                                                <w:top w:val="none" w:sz="0" w:space="0" w:color="auto"/>
                                                                                <w:left w:val="none" w:sz="0" w:space="0" w:color="auto"/>
                                                                                <w:bottom w:val="none" w:sz="0" w:space="0" w:color="auto"/>
                                                                                <w:right w:val="none" w:sz="0" w:space="0" w:color="auto"/>
                                                                              </w:divBdr>
                                                                              <w:divsChild>
                                                                                <w:div w:id="489172023">
                                                                                  <w:marLeft w:val="0"/>
                                                                                  <w:marRight w:val="0"/>
                                                                                  <w:marTop w:val="0"/>
                                                                                  <w:marBottom w:val="0"/>
                                                                                  <w:divBdr>
                                                                                    <w:top w:val="none" w:sz="0" w:space="0" w:color="auto"/>
                                                                                    <w:left w:val="none" w:sz="0" w:space="0" w:color="auto"/>
                                                                                    <w:bottom w:val="none" w:sz="0" w:space="0" w:color="auto"/>
                                                                                    <w:right w:val="none" w:sz="0" w:space="0" w:color="auto"/>
                                                                                  </w:divBdr>
                                                                                  <w:divsChild>
                                                                                    <w:div w:id="1323653764">
                                                                                      <w:marLeft w:val="0"/>
                                                                                      <w:marRight w:val="0"/>
                                                                                      <w:marTop w:val="0"/>
                                                                                      <w:marBottom w:val="0"/>
                                                                                      <w:divBdr>
                                                                                        <w:top w:val="none" w:sz="0" w:space="0" w:color="auto"/>
                                                                                        <w:left w:val="none" w:sz="0" w:space="0" w:color="auto"/>
                                                                                        <w:bottom w:val="none" w:sz="0" w:space="0" w:color="auto"/>
                                                                                        <w:right w:val="none" w:sz="0" w:space="0" w:color="auto"/>
                                                                                      </w:divBdr>
                                                                                      <w:divsChild>
                                                                                        <w:div w:id="1192690407">
                                                                                          <w:marLeft w:val="0"/>
                                                                                          <w:marRight w:val="0"/>
                                                                                          <w:marTop w:val="0"/>
                                                                                          <w:marBottom w:val="0"/>
                                                                                          <w:divBdr>
                                                                                            <w:top w:val="none" w:sz="0" w:space="0" w:color="auto"/>
                                                                                            <w:left w:val="none" w:sz="0" w:space="0" w:color="auto"/>
                                                                                            <w:bottom w:val="none" w:sz="0" w:space="0" w:color="auto"/>
                                                                                            <w:right w:val="none" w:sz="0" w:space="0" w:color="auto"/>
                                                                                          </w:divBdr>
                                                                                          <w:divsChild>
                                                                                            <w:div w:id="346031540">
                                                                                              <w:marLeft w:val="0"/>
                                                                                              <w:marRight w:val="0"/>
                                                                                              <w:marTop w:val="0"/>
                                                                                              <w:marBottom w:val="0"/>
                                                                                              <w:divBdr>
                                                                                                <w:top w:val="none" w:sz="0" w:space="0" w:color="auto"/>
                                                                                                <w:left w:val="none" w:sz="0" w:space="0" w:color="auto"/>
                                                                                                <w:bottom w:val="none" w:sz="0" w:space="0" w:color="auto"/>
                                                                                                <w:right w:val="none" w:sz="0" w:space="0" w:color="auto"/>
                                                                                              </w:divBdr>
                                                                                              <w:divsChild>
                                                                                                <w:div w:id="680161949">
                                                                                                  <w:marLeft w:val="0"/>
                                                                                                  <w:marRight w:val="0"/>
                                                                                                  <w:marTop w:val="0"/>
                                                                                                  <w:marBottom w:val="0"/>
                                                                                                  <w:divBdr>
                                                                                                    <w:top w:val="none" w:sz="0" w:space="0" w:color="auto"/>
                                                                                                    <w:left w:val="none" w:sz="0" w:space="0" w:color="auto"/>
                                                                                                    <w:bottom w:val="none" w:sz="0" w:space="0" w:color="auto"/>
                                                                                                    <w:right w:val="none" w:sz="0" w:space="0" w:color="auto"/>
                                                                                                  </w:divBdr>
                                                                                                  <w:divsChild>
                                                                                                    <w:div w:id="11767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er.gov.au" TargetMode="External"/><Relationship Id="rId2" Type="http://schemas.openxmlformats.org/officeDocument/2006/relationships/numbering" Target="numbering.xml"/><Relationship Id="rId16" Type="http://schemas.openxmlformats.org/officeDocument/2006/relationships/hyperlink" Target="mailto:rateofreturn@ae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12177-4F98-459B-A900-C79FA798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ABD758D9.dotm</Template>
  <TotalTime>0</TotalTime>
  <Pages>22</Pages>
  <Words>6598</Words>
  <Characters>37612</Characters>
  <Application>Microsoft Office Word</Application>
  <DocSecurity>0</DocSecurity>
  <Lines>313</Lines>
  <Paragraphs>88</Paragraphs>
  <ScaleCrop>false</ScaleCrop>
  <Company/>
  <LinksUpToDate>false</LinksUpToDate>
  <CharactersWithSpaces>44122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2014-04-07T05:22:00Z</dcterms:created>
  <dcterms:modified xsi:type="dcterms:W3CDTF">2014-04-07T05:23:00Z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8163291</vt:lpwstr>
  </property>
</Properties>
</file>