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B8" w:rsidRDefault="000F7B97" w:rsidP="008D0EB8">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ER-final-orange" style="position:absolute;left:0;text-align:left;margin-left:-68.75pt;margin-top:-81.4pt;width:608.1pt;height:859.4pt;z-index:-251658752;visibility:visible;mso-wrap-style:square;mso-wrap-distance-left:9pt;mso-wrap-distance-top:0;mso-wrap-distance-right:9pt;mso-wrap-distance-bottom:0;mso-position-horizontal-relative:text;mso-position-vertical-relative:text">
            <v:imagedata r:id="rId8" o:title="AER-final-orange"/>
          </v:shape>
        </w:pict>
      </w:r>
      <w:bookmarkEnd w:id="0"/>
    </w:p>
    <w:p w:rsidR="008D0EB8" w:rsidRDefault="008D0EB8" w:rsidP="008D0EB8"/>
    <w:p w:rsidR="008D0EB8" w:rsidRPr="00C124B5" w:rsidRDefault="008D0EB8" w:rsidP="008D0EB8">
      <w:bookmarkStart w:id="1" w:name="OLE_LINK1"/>
      <w:bookmarkStart w:id="2" w:name="OLE_LINK2"/>
    </w:p>
    <w:p w:rsidR="008D0EB8" w:rsidRDefault="008D0EB8" w:rsidP="008D0EB8"/>
    <w:p w:rsidR="008D0EB8" w:rsidRDefault="008D0EB8" w:rsidP="008D0EB8"/>
    <w:p w:rsidR="008D0EB8" w:rsidRDefault="008D0EB8" w:rsidP="008D0EB8"/>
    <w:p w:rsidR="008D0EB8" w:rsidRDefault="008D0EB8" w:rsidP="008D0EB8"/>
    <w:p w:rsidR="00F6140B" w:rsidRPr="00993AC5" w:rsidRDefault="007F73E8" w:rsidP="0074081C">
      <w:pPr>
        <w:pStyle w:val="AERtitle1"/>
        <w:rPr>
          <w:kern w:val="32"/>
        </w:rPr>
      </w:pPr>
      <w:r>
        <w:rPr>
          <w:kern w:val="32"/>
        </w:rPr>
        <w:t>Final Decision</w:t>
      </w:r>
    </w:p>
    <w:p w:rsidR="00F45CB5" w:rsidRPr="00F45CB5" w:rsidRDefault="00F45CB5" w:rsidP="008D0EB8">
      <w:pPr>
        <w:keepNext/>
        <w:spacing w:line="240" w:lineRule="auto"/>
        <w:jc w:val="center"/>
        <w:rPr>
          <w:rFonts w:eastAsia="Times New Roman" w:cs="Arial"/>
          <w:b/>
          <w:bCs/>
          <w:kern w:val="32"/>
          <w:sz w:val="40"/>
          <w:szCs w:val="24"/>
        </w:rPr>
      </w:pPr>
    </w:p>
    <w:p w:rsidR="00F6140B" w:rsidRPr="0074081C" w:rsidRDefault="00F6140B" w:rsidP="0074081C">
      <w:pPr>
        <w:pStyle w:val="AERtitle1"/>
        <w:rPr>
          <w:sz w:val="36"/>
        </w:rPr>
      </w:pPr>
      <w:r w:rsidRPr="0074081C">
        <w:rPr>
          <w:sz w:val="36"/>
        </w:rPr>
        <w:t>Electricity transmission network service providers</w:t>
      </w:r>
    </w:p>
    <w:p w:rsidR="00F6140B" w:rsidRPr="0074081C" w:rsidRDefault="00F6140B" w:rsidP="0074081C">
      <w:pPr>
        <w:pStyle w:val="AERtitle1"/>
        <w:rPr>
          <w:sz w:val="36"/>
        </w:rPr>
      </w:pPr>
      <w:r w:rsidRPr="0074081C">
        <w:rPr>
          <w:sz w:val="36"/>
        </w:rPr>
        <w:t>Service Target Performance Incentive Scheme</w:t>
      </w:r>
    </w:p>
    <w:p w:rsidR="008D0EB8" w:rsidRDefault="008D0EB8" w:rsidP="008D0EB8">
      <w:pPr>
        <w:keepNext/>
        <w:spacing w:line="240" w:lineRule="auto"/>
        <w:jc w:val="center"/>
      </w:pPr>
    </w:p>
    <w:p w:rsidR="008D0EB8" w:rsidRDefault="008D0EB8" w:rsidP="008D0EB8"/>
    <w:p w:rsidR="008D0EB8" w:rsidRDefault="008D0EB8" w:rsidP="008D0EB8"/>
    <w:p w:rsidR="008D0EB8" w:rsidRPr="00F6235D" w:rsidRDefault="008D0EB8" w:rsidP="008D0EB8"/>
    <w:bookmarkEnd w:id="1"/>
    <w:bookmarkEnd w:id="2"/>
    <w:p w:rsidR="008D0EB8" w:rsidRPr="00F6235D" w:rsidRDefault="00E105EB" w:rsidP="008D0EB8">
      <w:pPr>
        <w:keepNext/>
        <w:spacing w:before="1680" w:line="240" w:lineRule="auto"/>
        <w:jc w:val="center"/>
      </w:pPr>
      <w:r>
        <w:rPr>
          <w:rFonts w:eastAsia="Times New Roman" w:cs="Arial"/>
          <w:bCs/>
          <w:kern w:val="32"/>
          <w:sz w:val="32"/>
          <w:szCs w:val="24"/>
        </w:rPr>
        <w:t>September</w:t>
      </w:r>
      <w:r w:rsidR="00457852" w:rsidRPr="00B96B61">
        <w:rPr>
          <w:rFonts w:eastAsia="Times New Roman" w:cs="Arial"/>
          <w:bCs/>
          <w:kern w:val="32"/>
          <w:sz w:val="32"/>
          <w:szCs w:val="24"/>
        </w:rPr>
        <w:t xml:space="preserve"> </w:t>
      </w:r>
      <w:r w:rsidR="008D0EB8" w:rsidRPr="00B96B61">
        <w:rPr>
          <w:rFonts w:eastAsia="Times New Roman" w:cs="Arial"/>
          <w:bCs/>
          <w:kern w:val="32"/>
          <w:sz w:val="32"/>
          <w:szCs w:val="24"/>
        </w:rPr>
        <w:t>20</w:t>
      </w:r>
      <w:r w:rsidR="00B96B61">
        <w:rPr>
          <w:rFonts w:eastAsia="Times New Roman" w:cs="Arial"/>
          <w:bCs/>
          <w:kern w:val="32"/>
          <w:sz w:val="32"/>
          <w:szCs w:val="24"/>
        </w:rPr>
        <w:t>1</w:t>
      </w:r>
      <w:r>
        <w:rPr>
          <w:rFonts w:eastAsia="Times New Roman" w:cs="Arial"/>
          <w:bCs/>
          <w:kern w:val="32"/>
          <w:sz w:val="32"/>
          <w:szCs w:val="24"/>
        </w:rPr>
        <w:t>4</w:t>
      </w:r>
    </w:p>
    <w:p w:rsidR="008D0EB8" w:rsidRPr="00F6235D" w:rsidRDefault="008D0EB8" w:rsidP="008D0EB8">
      <w:pPr>
        <w:pStyle w:val="AERbodytext"/>
      </w:pPr>
      <w:r w:rsidRPr="00F6235D">
        <w:t xml:space="preserve"> </w:t>
      </w:r>
    </w:p>
    <w:p w:rsidR="00DD5BB4" w:rsidRDefault="00DD5BB4" w:rsidP="00F778E6">
      <w:pPr>
        <w:pStyle w:val="TOC1"/>
        <w:sectPr w:rsidR="00DD5BB4" w:rsidSect="00DF7BB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pPr>
    </w:p>
    <w:p w:rsidR="008D0EB8" w:rsidRPr="00F6235D" w:rsidRDefault="008D0EB8" w:rsidP="00F778E6">
      <w:pPr>
        <w:pStyle w:val="TOC1"/>
      </w:pPr>
      <w:r w:rsidRPr="00F6235D">
        <w:lastRenderedPageBreak/>
        <w:t>© Commonwealth of Australia 201</w:t>
      </w:r>
      <w:r w:rsidR="00D65120">
        <w:t>4</w:t>
      </w:r>
      <w:r>
        <w:t xml:space="preserve"> </w:t>
      </w:r>
    </w:p>
    <w:p w:rsidR="008D0EB8" w:rsidRPr="00F6235D" w:rsidRDefault="008D0EB8" w:rsidP="008D0EB8">
      <w:pPr>
        <w:pStyle w:val="AERbodytext"/>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w:t>
      </w:r>
      <w:r w:rsidR="00F778E6">
        <w:t>,</w:t>
      </w:r>
      <w:r w:rsidRPr="00F6235D">
        <w:t xml:space="preserve"> Publishing, Australian Competition and Consumer Commission, GPO Box 3131, Canberra ACT 2601.</w:t>
      </w:r>
    </w:p>
    <w:p w:rsidR="008D0EB8" w:rsidRDefault="008D0EB8" w:rsidP="008B290F">
      <w:pPr>
        <w:pStyle w:val="AERbodytext"/>
        <w:spacing w:after="120"/>
      </w:pPr>
      <w:r>
        <w:t>Inquiries about these guidelines should be addressed to:</w:t>
      </w:r>
    </w:p>
    <w:p w:rsidR="008D0EB8" w:rsidRDefault="008D0EB8" w:rsidP="00BE68DE">
      <w:pPr>
        <w:pStyle w:val="AERbodytextindent2"/>
        <w:spacing w:after="20"/>
      </w:pPr>
      <w:r>
        <w:t>Australian Energy Regulator</w:t>
      </w:r>
    </w:p>
    <w:p w:rsidR="008D0EB8" w:rsidRDefault="008D0EB8" w:rsidP="00BE68DE">
      <w:pPr>
        <w:pStyle w:val="AERbodytextindent2"/>
        <w:spacing w:after="20"/>
      </w:pPr>
      <w:r>
        <w:t>GPO Box 520</w:t>
      </w:r>
    </w:p>
    <w:p w:rsidR="008D0EB8" w:rsidRDefault="008D0EB8" w:rsidP="00BE68DE">
      <w:pPr>
        <w:pStyle w:val="AERbodytextindent2"/>
        <w:spacing w:after="20"/>
      </w:pPr>
      <w:proofErr w:type="gramStart"/>
      <w:r>
        <w:t>Melbourne  Vic</w:t>
      </w:r>
      <w:proofErr w:type="gramEnd"/>
      <w:r>
        <w:t xml:space="preserve">  3001</w:t>
      </w:r>
    </w:p>
    <w:p w:rsidR="008D0EB8" w:rsidRDefault="008D0EB8" w:rsidP="00BE68DE">
      <w:pPr>
        <w:pStyle w:val="AERbodytextindent2"/>
        <w:spacing w:after="20"/>
      </w:pPr>
      <w:r>
        <w:t>Tel: (03) 9290 1444</w:t>
      </w:r>
    </w:p>
    <w:p w:rsidR="008B290F" w:rsidRDefault="008D0EB8" w:rsidP="00BE68DE">
      <w:pPr>
        <w:pStyle w:val="AERbodytextindent2"/>
        <w:spacing w:after="20"/>
      </w:pPr>
      <w:r>
        <w:t>Fax: (03) 9290 1457</w:t>
      </w:r>
    </w:p>
    <w:p w:rsidR="008D0EB8" w:rsidRDefault="008D0EB8" w:rsidP="008B290F">
      <w:pPr>
        <w:pStyle w:val="AERbodytext"/>
        <w:spacing w:before="120" w:after="0"/>
      </w:pPr>
      <w:r>
        <w:t xml:space="preserve">Email: </w:t>
      </w:r>
      <w:hyperlink r:id="rId15" w:history="1">
        <w:r w:rsidRPr="003E184A">
          <w:rPr>
            <w:rStyle w:val="Hyperlink"/>
          </w:rPr>
          <w:t>AERInquiry@aer.gov.au</w:t>
        </w:r>
      </w:hyperlink>
    </w:p>
    <w:p w:rsidR="008D0EB8" w:rsidRPr="00993AC5" w:rsidRDefault="008D0EB8" w:rsidP="008D0EB8">
      <w:pPr>
        <w:pStyle w:val="AERbodytext"/>
      </w:pPr>
    </w:p>
    <w:p w:rsidR="008D0EB8" w:rsidRDefault="008D0EB8" w:rsidP="00616493">
      <w:pPr>
        <w:pStyle w:val="AERbodytext"/>
      </w:pPr>
      <w:r>
        <w:t>AER reference</w:t>
      </w:r>
      <w:r w:rsidR="00ED1A50">
        <w:t xml:space="preserve">:  </w:t>
      </w:r>
      <w:r w:rsidR="00D65120">
        <w:t>5</w:t>
      </w:r>
      <w:r w:rsidR="007733D8">
        <w:t>4673</w:t>
      </w:r>
      <w:r w:rsidR="00062EDF">
        <w:t xml:space="preserve"> </w:t>
      </w:r>
      <w:r w:rsidR="00901037">
        <w:t>-</w:t>
      </w:r>
      <w:r w:rsidR="00ED1A50">
        <w:t xml:space="preserve"> </w:t>
      </w:r>
      <w:r w:rsidR="004129C1">
        <w:t>D1</w:t>
      </w:r>
      <w:r w:rsidR="00D65120">
        <w:t>4</w:t>
      </w:r>
      <w:r w:rsidR="004129C1">
        <w:t>/</w:t>
      </w:r>
      <w:r w:rsidR="00D65120">
        <w:t>119803</w:t>
      </w:r>
    </w:p>
    <w:p w:rsidR="00DD5BB4" w:rsidRDefault="00DD5BB4" w:rsidP="008D0EB8">
      <w:pPr>
        <w:pStyle w:val="UnnumberedHeading"/>
        <w:numPr>
          <w:ilvl w:val="0"/>
          <w:numId w:val="1"/>
        </w:numPr>
      </w:pPr>
    </w:p>
    <w:p w:rsidR="00401C62" w:rsidRPr="00401C62" w:rsidRDefault="00401C62" w:rsidP="00401C62">
      <w:pPr>
        <w:pStyle w:val="AERbodytext"/>
        <w:sectPr w:rsidR="00401C62" w:rsidRPr="00401C62" w:rsidSect="00DD5BB4">
          <w:footerReference w:type="default" r:id="rId16"/>
          <w:pgSz w:w="11906" w:h="16838" w:code="9"/>
          <w:pgMar w:top="1440" w:right="1440" w:bottom="1440" w:left="1440" w:header="709" w:footer="709" w:gutter="0"/>
          <w:cols w:space="708"/>
          <w:titlePg/>
          <w:docGrid w:linePitch="360"/>
        </w:sectPr>
      </w:pPr>
    </w:p>
    <w:p w:rsidR="008D0EB8" w:rsidRDefault="008D0EB8" w:rsidP="008D0EB8">
      <w:pPr>
        <w:pStyle w:val="UnnumberedHeading"/>
        <w:numPr>
          <w:ilvl w:val="0"/>
          <w:numId w:val="1"/>
        </w:numPr>
      </w:pPr>
      <w:bookmarkStart w:id="3" w:name="_Toc397943239"/>
      <w:r>
        <w:lastRenderedPageBreak/>
        <w:t>Contents</w:t>
      </w:r>
      <w:bookmarkEnd w:id="3"/>
    </w:p>
    <w:p w:rsidR="00C459E9" w:rsidRDefault="008D0EB8">
      <w:pPr>
        <w:pStyle w:val="TOC1"/>
        <w:rPr>
          <w:rFonts w:asciiTheme="minorHAnsi" w:eastAsiaTheme="minorEastAsia" w:hAnsiTheme="minorHAnsi" w:cstheme="minorBidi"/>
          <w:b w:val="0"/>
          <w:bCs w:val="0"/>
          <w:noProof/>
          <w:sz w:val="22"/>
          <w:szCs w:val="22"/>
          <w:lang w:eastAsia="en-AU"/>
        </w:rPr>
      </w:pPr>
      <w:r>
        <w:fldChar w:fldCharType="begin"/>
      </w:r>
      <w:r>
        <w:instrText xml:space="preserve"> TOC \o "1-2" \h \z \u \t "Heading 7,1,Heading 8,2" </w:instrText>
      </w:r>
      <w:r>
        <w:fldChar w:fldCharType="separate"/>
      </w:r>
      <w:hyperlink w:anchor="_Toc397943239" w:history="1">
        <w:r w:rsidR="00C459E9" w:rsidRPr="00D4704E">
          <w:rPr>
            <w:rStyle w:val="Hyperlink"/>
            <w:noProof/>
          </w:rPr>
          <w:t>Contents</w:t>
        </w:r>
        <w:r w:rsidR="00C459E9">
          <w:rPr>
            <w:noProof/>
            <w:webHidden/>
          </w:rPr>
          <w:tab/>
        </w:r>
        <w:r w:rsidR="00C459E9">
          <w:rPr>
            <w:noProof/>
            <w:webHidden/>
          </w:rPr>
          <w:fldChar w:fldCharType="begin"/>
        </w:r>
        <w:r w:rsidR="00C459E9">
          <w:rPr>
            <w:noProof/>
            <w:webHidden/>
          </w:rPr>
          <w:instrText xml:space="preserve"> PAGEREF _Toc397943239 \h </w:instrText>
        </w:r>
        <w:r w:rsidR="00C459E9">
          <w:rPr>
            <w:noProof/>
            <w:webHidden/>
          </w:rPr>
        </w:r>
        <w:r w:rsidR="00C459E9">
          <w:rPr>
            <w:noProof/>
            <w:webHidden/>
          </w:rPr>
          <w:fldChar w:fldCharType="separate"/>
        </w:r>
        <w:r w:rsidR="000F7B97">
          <w:rPr>
            <w:noProof/>
            <w:webHidden/>
          </w:rPr>
          <w:t>4</w:t>
        </w:r>
        <w:r w:rsidR="00C459E9">
          <w:rPr>
            <w:noProof/>
            <w:webHidden/>
          </w:rPr>
          <w:fldChar w:fldCharType="end"/>
        </w:r>
      </w:hyperlink>
    </w:p>
    <w:p w:rsidR="00C459E9" w:rsidRDefault="000F7B97">
      <w:pPr>
        <w:pStyle w:val="TOC1"/>
        <w:rPr>
          <w:rFonts w:asciiTheme="minorHAnsi" w:eastAsiaTheme="minorEastAsia" w:hAnsiTheme="minorHAnsi" w:cstheme="minorBidi"/>
          <w:b w:val="0"/>
          <w:bCs w:val="0"/>
          <w:noProof/>
          <w:sz w:val="22"/>
          <w:szCs w:val="22"/>
          <w:lang w:eastAsia="en-AU"/>
        </w:rPr>
      </w:pPr>
      <w:hyperlink w:anchor="_Toc397943240" w:history="1">
        <w:r w:rsidR="00C459E9" w:rsidRPr="00D4704E">
          <w:rPr>
            <w:rStyle w:val="Hyperlink"/>
            <w:noProof/>
          </w:rPr>
          <w:t>Shortened forms</w:t>
        </w:r>
        <w:r w:rsidR="00C459E9">
          <w:rPr>
            <w:noProof/>
            <w:webHidden/>
          </w:rPr>
          <w:tab/>
        </w:r>
        <w:r w:rsidR="00C459E9">
          <w:rPr>
            <w:noProof/>
            <w:webHidden/>
          </w:rPr>
          <w:fldChar w:fldCharType="begin"/>
        </w:r>
        <w:r w:rsidR="00C459E9">
          <w:rPr>
            <w:noProof/>
            <w:webHidden/>
          </w:rPr>
          <w:instrText xml:space="preserve"> PAGEREF _Toc397943240 \h </w:instrText>
        </w:r>
        <w:r w:rsidR="00C459E9">
          <w:rPr>
            <w:noProof/>
            <w:webHidden/>
          </w:rPr>
        </w:r>
        <w:r w:rsidR="00C459E9">
          <w:rPr>
            <w:noProof/>
            <w:webHidden/>
          </w:rPr>
          <w:fldChar w:fldCharType="separate"/>
        </w:r>
        <w:r>
          <w:rPr>
            <w:noProof/>
            <w:webHidden/>
          </w:rPr>
          <w:t>5</w:t>
        </w:r>
        <w:r w:rsidR="00C459E9">
          <w:rPr>
            <w:noProof/>
            <w:webHidden/>
          </w:rPr>
          <w:fldChar w:fldCharType="end"/>
        </w:r>
      </w:hyperlink>
    </w:p>
    <w:p w:rsidR="00C459E9" w:rsidRDefault="000F7B97">
      <w:pPr>
        <w:pStyle w:val="TOC1"/>
        <w:rPr>
          <w:rFonts w:asciiTheme="minorHAnsi" w:eastAsiaTheme="minorEastAsia" w:hAnsiTheme="minorHAnsi" w:cstheme="minorBidi"/>
          <w:b w:val="0"/>
          <w:bCs w:val="0"/>
          <w:noProof/>
          <w:sz w:val="22"/>
          <w:szCs w:val="22"/>
          <w:lang w:eastAsia="en-AU"/>
        </w:rPr>
      </w:pPr>
      <w:hyperlink w:anchor="_Toc397943241" w:history="1">
        <w:r w:rsidR="00C459E9" w:rsidRPr="00D4704E">
          <w:rPr>
            <w:rStyle w:val="Hyperlink"/>
            <w:noProof/>
          </w:rPr>
          <w:t>Executive Summary</w:t>
        </w:r>
        <w:r w:rsidR="00C459E9">
          <w:rPr>
            <w:noProof/>
            <w:webHidden/>
          </w:rPr>
          <w:tab/>
        </w:r>
        <w:r w:rsidR="00C459E9">
          <w:rPr>
            <w:noProof/>
            <w:webHidden/>
          </w:rPr>
          <w:fldChar w:fldCharType="begin"/>
        </w:r>
        <w:r w:rsidR="00C459E9">
          <w:rPr>
            <w:noProof/>
            <w:webHidden/>
          </w:rPr>
          <w:instrText xml:space="preserve"> PAGEREF _Toc397943241 \h </w:instrText>
        </w:r>
        <w:r w:rsidR="00C459E9">
          <w:rPr>
            <w:noProof/>
            <w:webHidden/>
          </w:rPr>
        </w:r>
        <w:r w:rsidR="00C459E9">
          <w:rPr>
            <w:noProof/>
            <w:webHidden/>
          </w:rPr>
          <w:fldChar w:fldCharType="separate"/>
        </w:r>
        <w:r>
          <w:rPr>
            <w:noProof/>
            <w:webHidden/>
          </w:rPr>
          <w:t>6</w:t>
        </w:r>
        <w:r w:rsidR="00C459E9">
          <w:rPr>
            <w:noProof/>
            <w:webHidden/>
          </w:rPr>
          <w:fldChar w:fldCharType="end"/>
        </w:r>
      </w:hyperlink>
    </w:p>
    <w:p w:rsidR="00C459E9" w:rsidRDefault="000F7B97">
      <w:pPr>
        <w:pStyle w:val="TOC1"/>
        <w:rPr>
          <w:rFonts w:asciiTheme="minorHAnsi" w:eastAsiaTheme="minorEastAsia" w:hAnsiTheme="minorHAnsi" w:cstheme="minorBidi"/>
          <w:b w:val="0"/>
          <w:bCs w:val="0"/>
          <w:noProof/>
          <w:sz w:val="22"/>
          <w:szCs w:val="22"/>
          <w:lang w:eastAsia="en-AU"/>
        </w:rPr>
      </w:pPr>
      <w:hyperlink w:anchor="_Toc397943242" w:history="1">
        <w:r w:rsidR="00C459E9" w:rsidRPr="00D4704E">
          <w:rPr>
            <w:rStyle w:val="Hyperlink"/>
            <w:noProof/>
          </w:rPr>
          <w:t>1</w:t>
        </w:r>
        <w:r w:rsidR="00C459E9">
          <w:rPr>
            <w:rFonts w:asciiTheme="minorHAnsi" w:eastAsiaTheme="minorEastAsia" w:hAnsiTheme="minorHAnsi" w:cstheme="minorBidi"/>
            <w:b w:val="0"/>
            <w:bCs w:val="0"/>
            <w:noProof/>
            <w:sz w:val="22"/>
            <w:szCs w:val="22"/>
            <w:lang w:eastAsia="en-AU"/>
          </w:rPr>
          <w:tab/>
        </w:r>
        <w:r w:rsidR="00C459E9" w:rsidRPr="00D4704E">
          <w:rPr>
            <w:rStyle w:val="Hyperlink"/>
            <w:noProof/>
          </w:rPr>
          <w:t>Introduction</w:t>
        </w:r>
        <w:r w:rsidR="00C459E9">
          <w:rPr>
            <w:noProof/>
            <w:webHidden/>
          </w:rPr>
          <w:tab/>
        </w:r>
        <w:r w:rsidR="00C459E9">
          <w:rPr>
            <w:noProof/>
            <w:webHidden/>
          </w:rPr>
          <w:fldChar w:fldCharType="begin"/>
        </w:r>
        <w:r w:rsidR="00C459E9">
          <w:rPr>
            <w:noProof/>
            <w:webHidden/>
          </w:rPr>
          <w:instrText xml:space="preserve"> PAGEREF _Toc397943242 \h </w:instrText>
        </w:r>
        <w:r w:rsidR="00C459E9">
          <w:rPr>
            <w:noProof/>
            <w:webHidden/>
          </w:rPr>
        </w:r>
        <w:r w:rsidR="00C459E9">
          <w:rPr>
            <w:noProof/>
            <w:webHidden/>
          </w:rPr>
          <w:fldChar w:fldCharType="separate"/>
        </w:r>
        <w:r>
          <w:rPr>
            <w:noProof/>
            <w:webHidden/>
          </w:rPr>
          <w:t>7</w:t>
        </w:r>
        <w:r w:rsidR="00C459E9">
          <w:rPr>
            <w:noProof/>
            <w:webHidden/>
          </w:rPr>
          <w:fldChar w:fldCharType="end"/>
        </w:r>
      </w:hyperlink>
    </w:p>
    <w:p w:rsidR="00C459E9" w:rsidRDefault="000F7B97">
      <w:pPr>
        <w:pStyle w:val="TOC2"/>
        <w:rPr>
          <w:rFonts w:asciiTheme="minorHAnsi" w:eastAsiaTheme="minorEastAsia" w:hAnsiTheme="minorHAnsi" w:cstheme="minorBidi"/>
          <w:iCs w:val="0"/>
          <w:noProof/>
          <w:sz w:val="22"/>
          <w:szCs w:val="22"/>
          <w:lang w:eastAsia="en-AU"/>
        </w:rPr>
      </w:pPr>
      <w:hyperlink w:anchor="_Toc397943243" w:history="1">
        <w:r w:rsidR="00C459E9" w:rsidRPr="00D4704E">
          <w:rPr>
            <w:rStyle w:val="Hyperlink"/>
            <w:noProof/>
          </w:rPr>
          <w:t>1.1</w:t>
        </w:r>
        <w:r w:rsidR="00C459E9">
          <w:rPr>
            <w:rFonts w:asciiTheme="minorHAnsi" w:eastAsiaTheme="minorEastAsia" w:hAnsiTheme="minorHAnsi" w:cstheme="minorBidi"/>
            <w:iCs w:val="0"/>
            <w:noProof/>
            <w:sz w:val="22"/>
            <w:szCs w:val="22"/>
            <w:lang w:eastAsia="en-AU"/>
          </w:rPr>
          <w:tab/>
        </w:r>
        <w:r w:rsidR="00C459E9" w:rsidRPr="00D4704E">
          <w:rPr>
            <w:rStyle w:val="Hyperlink"/>
            <w:noProof/>
          </w:rPr>
          <w:t>Directlink</w:t>
        </w:r>
        <w:r w:rsidR="00C459E9">
          <w:rPr>
            <w:noProof/>
            <w:webHidden/>
          </w:rPr>
          <w:tab/>
        </w:r>
        <w:r w:rsidR="00C459E9">
          <w:rPr>
            <w:noProof/>
            <w:webHidden/>
          </w:rPr>
          <w:fldChar w:fldCharType="begin"/>
        </w:r>
        <w:r w:rsidR="00C459E9">
          <w:rPr>
            <w:noProof/>
            <w:webHidden/>
          </w:rPr>
          <w:instrText xml:space="preserve"> PAGEREF _Toc397943243 \h </w:instrText>
        </w:r>
        <w:r w:rsidR="00C459E9">
          <w:rPr>
            <w:noProof/>
            <w:webHidden/>
          </w:rPr>
        </w:r>
        <w:r w:rsidR="00C459E9">
          <w:rPr>
            <w:noProof/>
            <w:webHidden/>
          </w:rPr>
          <w:fldChar w:fldCharType="separate"/>
        </w:r>
        <w:r>
          <w:rPr>
            <w:noProof/>
            <w:webHidden/>
          </w:rPr>
          <w:t>7</w:t>
        </w:r>
        <w:r w:rsidR="00C459E9">
          <w:rPr>
            <w:noProof/>
            <w:webHidden/>
          </w:rPr>
          <w:fldChar w:fldCharType="end"/>
        </w:r>
      </w:hyperlink>
    </w:p>
    <w:p w:rsidR="00C459E9" w:rsidRDefault="000F7B97">
      <w:pPr>
        <w:pStyle w:val="TOC2"/>
        <w:rPr>
          <w:rFonts w:asciiTheme="minorHAnsi" w:eastAsiaTheme="minorEastAsia" w:hAnsiTheme="minorHAnsi" w:cstheme="minorBidi"/>
          <w:iCs w:val="0"/>
          <w:noProof/>
          <w:sz w:val="22"/>
          <w:szCs w:val="22"/>
          <w:lang w:eastAsia="en-AU"/>
        </w:rPr>
      </w:pPr>
      <w:hyperlink w:anchor="_Toc397943244" w:history="1">
        <w:r w:rsidR="00C459E9" w:rsidRPr="00D4704E">
          <w:rPr>
            <w:rStyle w:val="Hyperlink"/>
            <w:noProof/>
          </w:rPr>
          <w:t>1.2</w:t>
        </w:r>
        <w:r w:rsidR="00C459E9">
          <w:rPr>
            <w:rFonts w:asciiTheme="minorHAnsi" w:eastAsiaTheme="minorEastAsia" w:hAnsiTheme="minorHAnsi" w:cstheme="minorBidi"/>
            <w:iCs w:val="0"/>
            <w:noProof/>
            <w:sz w:val="22"/>
            <w:szCs w:val="22"/>
            <w:lang w:eastAsia="en-AU"/>
          </w:rPr>
          <w:tab/>
        </w:r>
        <w:r w:rsidR="00C459E9" w:rsidRPr="00D4704E">
          <w:rPr>
            <w:rStyle w:val="Hyperlink"/>
            <w:noProof/>
          </w:rPr>
          <w:t>Review of the scheme</w:t>
        </w:r>
        <w:r w:rsidR="00C459E9">
          <w:rPr>
            <w:noProof/>
            <w:webHidden/>
          </w:rPr>
          <w:tab/>
        </w:r>
        <w:r w:rsidR="00C459E9">
          <w:rPr>
            <w:noProof/>
            <w:webHidden/>
          </w:rPr>
          <w:fldChar w:fldCharType="begin"/>
        </w:r>
        <w:r w:rsidR="00C459E9">
          <w:rPr>
            <w:noProof/>
            <w:webHidden/>
          </w:rPr>
          <w:instrText xml:space="preserve"> PAGEREF _Toc397943244 \h </w:instrText>
        </w:r>
        <w:r w:rsidR="00C459E9">
          <w:rPr>
            <w:noProof/>
            <w:webHidden/>
          </w:rPr>
        </w:r>
        <w:r w:rsidR="00C459E9">
          <w:rPr>
            <w:noProof/>
            <w:webHidden/>
          </w:rPr>
          <w:fldChar w:fldCharType="separate"/>
        </w:r>
        <w:r>
          <w:rPr>
            <w:noProof/>
            <w:webHidden/>
          </w:rPr>
          <w:t>8</w:t>
        </w:r>
        <w:r w:rsidR="00C459E9">
          <w:rPr>
            <w:noProof/>
            <w:webHidden/>
          </w:rPr>
          <w:fldChar w:fldCharType="end"/>
        </w:r>
      </w:hyperlink>
    </w:p>
    <w:p w:rsidR="00C459E9" w:rsidRDefault="000F7B97">
      <w:pPr>
        <w:pStyle w:val="TOC2"/>
        <w:rPr>
          <w:rFonts w:asciiTheme="minorHAnsi" w:eastAsiaTheme="minorEastAsia" w:hAnsiTheme="minorHAnsi" w:cstheme="minorBidi"/>
          <w:iCs w:val="0"/>
          <w:noProof/>
          <w:sz w:val="22"/>
          <w:szCs w:val="22"/>
          <w:lang w:eastAsia="en-AU"/>
        </w:rPr>
      </w:pPr>
      <w:hyperlink w:anchor="_Toc397943245" w:history="1">
        <w:r w:rsidR="00C459E9" w:rsidRPr="00D4704E">
          <w:rPr>
            <w:rStyle w:val="Hyperlink"/>
            <w:noProof/>
          </w:rPr>
          <w:t>1.3</w:t>
        </w:r>
        <w:r w:rsidR="00C459E9">
          <w:rPr>
            <w:rFonts w:asciiTheme="minorHAnsi" w:eastAsiaTheme="minorEastAsia" w:hAnsiTheme="minorHAnsi" w:cstheme="minorBidi"/>
            <w:iCs w:val="0"/>
            <w:noProof/>
            <w:sz w:val="22"/>
            <w:szCs w:val="22"/>
            <w:lang w:eastAsia="en-AU"/>
          </w:rPr>
          <w:tab/>
        </w:r>
        <w:r w:rsidR="00C459E9" w:rsidRPr="00D4704E">
          <w:rPr>
            <w:rStyle w:val="Hyperlink"/>
            <w:noProof/>
          </w:rPr>
          <w:t>Draft scheme and explanatory statement</w:t>
        </w:r>
        <w:r w:rsidR="00C459E9">
          <w:rPr>
            <w:noProof/>
            <w:webHidden/>
          </w:rPr>
          <w:tab/>
        </w:r>
        <w:r w:rsidR="00C459E9">
          <w:rPr>
            <w:noProof/>
            <w:webHidden/>
          </w:rPr>
          <w:fldChar w:fldCharType="begin"/>
        </w:r>
        <w:r w:rsidR="00C459E9">
          <w:rPr>
            <w:noProof/>
            <w:webHidden/>
          </w:rPr>
          <w:instrText xml:space="preserve"> PAGEREF _Toc397943245 \h </w:instrText>
        </w:r>
        <w:r w:rsidR="00C459E9">
          <w:rPr>
            <w:noProof/>
            <w:webHidden/>
          </w:rPr>
        </w:r>
        <w:r w:rsidR="00C459E9">
          <w:rPr>
            <w:noProof/>
            <w:webHidden/>
          </w:rPr>
          <w:fldChar w:fldCharType="separate"/>
        </w:r>
        <w:r>
          <w:rPr>
            <w:noProof/>
            <w:webHidden/>
          </w:rPr>
          <w:t>8</w:t>
        </w:r>
        <w:r w:rsidR="00C459E9">
          <w:rPr>
            <w:noProof/>
            <w:webHidden/>
          </w:rPr>
          <w:fldChar w:fldCharType="end"/>
        </w:r>
      </w:hyperlink>
    </w:p>
    <w:p w:rsidR="00C459E9" w:rsidRDefault="000F7B97">
      <w:pPr>
        <w:pStyle w:val="TOC1"/>
        <w:rPr>
          <w:rFonts w:asciiTheme="minorHAnsi" w:eastAsiaTheme="minorEastAsia" w:hAnsiTheme="minorHAnsi" w:cstheme="minorBidi"/>
          <w:b w:val="0"/>
          <w:bCs w:val="0"/>
          <w:noProof/>
          <w:sz w:val="22"/>
          <w:szCs w:val="22"/>
          <w:lang w:eastAsia="en-AU"/>
        </w:rPr>
      </w:pPr>
      <w:hyperlink w:anchor="_Toc397943246" w:history="1">
        <w:r w:rsidR="00C459E9" w:rsidRPr="00D4704E">
          <w:rPr>
            <w:rStyle w:val="Hyperlink"/>
            <w:noProof/>
          </w:rPr>
          <w:t>2</w:t>
        </w:r>
        <w:r w:rsidR="00C459E9">
          <w:rPr>
            <w:rFonts w:asciiTheme="minorHAnsi" w:eastAsiaTheme="minorEastAsia" w:hAnsiTheme="minorHAnsi" w:cstheme="minorBidi"/>
            <w:b w:val="0"/>
            <w:bCs w:val="0"/>
            <w:noProof/>
            <w:sz w:val="22"/>
            <w:szCs w:val="22"/>
            <w:lang w:eastAsia="en-AU"/>
          </w:rPr>
          <w:tab/>
        </w:r>
        <w:r w:rsidR="00C459E9" w:rsidRPr="00D4704E">
          <w:rPr>
            <w:rStyle w:val="Hyperlink"/>
            <w:noProof/>
          </w:rPr>
          <w:t>Amendments to the scheme</w:t>
        </w:r>
        <w:r w:rsidR="00C459E9">
          <w:rPr>
            <w:noProof/>
            <w:webHidden/>
          </w:rPr>
          <w:tab/>
        </w:r>
        <w:r w:rsidR="00C459E9">
          <w:rPr>
            <w:noProof/>
            <w:webHidden/>
          </w:rPr>
          <w:fldChar w:fldCharType="begin"/>
        </w:r>
        <w:r w:rsidR="00C459E9">
          <w:rPr>
            <w:noProof/>
            <w:webHidden/>
          </w:rPr>
          <w:instrText xml:space="preserve"> PAGEREF _Toc397943246 \h </w:instrText>
        </w:r>
        <w:r w:rsidR="00C459E9">
          <w:rPr>
            <w:noProof/>
            <w:webHidden/>
          </w:rPr>
        </w:r>
        <w:r w:rsidR="00C459E9">
          <w:rPr>
            <w:noProof/>
            <w:webHidden/>
          </w:rPr>
          <w:fldChar w:fldCharType="separate"/>
        </w:r>
        <w:r>
          <w:rPr>
            <w:noProof/>
            <w:webHidden/>
          </w:rPr>
          <w:t>9</w:t>
        </w:r>
        <w:r w:rsidR="00C459E9">
          <w:rPr>
            <w:noProof/>
            <w:webHidden/>
          </w:rPr>
          <w:fldChar w:fldCharType="end"/>
        </w:r>
      </w:hyperlink>
    </w:p>
    <w:p w:rsidR="00C459E9" w:rsidRDefault="000F7B97">
      <w:pPr>
        <w:pStyle w:val="TOC2"/>
        <w:rPr>
          <w:rFonts w:asciiTheme="minorHAnsi" w:eastAsiaTheme="minorEastAsia" w:hAnsiTheme="minorHAnsi" w:cstheme="minorBidi"/>
          <w:iCs w:val="0"/>
          <w:noProof/>
          <w:sz w:val="22"/>
          <w:szCs w:val="22"/>
          <w:lang w:eastAsia="en-AU"/>
        </w:rPr>
      </w:pPr>
      <w:hyperlink w:anchor="_Toc397943247" w:history="1">
        <w:r w:rsidR="00C459E9" w:rsidRPr="00D4704E">
          <w:rPr>
            <w:rStyle w:val="Hyperlink"/>
            <w:noProof/>
          </w:rPr>
          <w:t>2.1</w:t>
        </w:r>
        <w:r w:rsidR="00C459E9">
          <w:rPr>
            <w:rFonts w:asciiTheme="minorHAnsi" w:eastAsiaTheme="minorEastAsia" w:hAnsiTheme="minorHAnsi" w:cstheme="minorBidi"/>
            <w:iCs w:val="0"/>
            <w:noProof/>
            <w:sz w:val="22"/>
            <w:szCs w:val="22"/>
            <w:lang w:eastAsia="en-AU"/>
          </w:rPr>
          <w:tab/>
        </w:r>
        <w:r w:rsidR="00C459E9" w:rsidRPr="00D4704E">
          <w:rPr>
            <w:rStyle w:val="Hyperlink"/>
            <w:noProof/>
          </w:rPr>
          <w:t>Service component</w:t>
        </w:r>
        <w:r w:rsidR="00C459E9">
          <w:rPr>
            <w:noProof/>
            <w:webHidden/>
          </w:rPr>
          <w:tab/>
        </w:r>
        <w:r w:rsidR="00C459E9">
          <w:rPr>
            <w:noProof/>
            <w:webHidden/>
          </w:rPr>
          <w:fldChar w:fldCharType="begin"/>
        </w:r>
        <w:r w:rsidR="00C459E9">
          <w:rPr>
            <w:noProof/>
            <w:webHidden/>
          </w:rPr>
          <w:instrText xml:space="preserve"> PAGEREF _Toc397943247 \h </w:instrText>
        </w:r>
        <w:r w:rsidR="00C459E9">
          <w:rPr>
            <w:noProof/>
            <w:webHidden/>
          </w:rPr>
        </w:r>
        <w:r w:rsidR="00C459E9">
          <w:rPr>
            <w:noProof/>
            <w:webHidden/>
          </w:rPr>
          <w:fldChar w:fldCharType="separate"/>
        </w:r>
        <w:r>
          <w:rPr>
            <w:noProof/>
            <w:webHidden/>
          </w:rPr>
          <w:t>9</w:t>
        </w:r>
        <w:r w:rsidR="00C459E9">
          <w:rPr>
            <w:noProof/>
            <w:webHidden/>
          </w:rPr>
          <w:fldChar w:fldCharType="end"/>
        </w:r>
      </w:hyperlink>
    </w:p>
    <w:p w:rsidR="00C459E9" w:rsidRDefault="000F7B97">
      <w:pPr>
        <w:pStyle w:val="TOC2"/>
        <w:rPr>
          <w:rFonts w:asciiTheme="minorHAnsi" w:eastAsiaTheme="minorEastAsia" w:hAnsiTheme="minorHAnsi" w:cstheme="minorBidi"/>
          <w:iCs w:val="0"/>
          <w:noProof/>
          <w:sz w:val="22"/>
          <w:szCs w:val="22"/>
          <w:lang w:eastAsia="en-AU"/>
        </w:rPr>
      </w:pPr>
      <w:hyperlink w:anchor="_Toc397943248" w:history="1">
        <w:r w:rsidR="00C459E9" w:rsidRPr="00D4704E">
          <w:rPr>
            <w:rStyle w:val="Hyperlink"/>
            <w:noProof/>
          </w:rPr>
          <w:t>2.2</w:t>
        </w:r>
        <w:r w:rsidR="00C459E9">
          <w:rPr>
            <w:rFonts w:asciiTheme="minorHAnsi" w:eastAsiaTheme="minorEastAsia" w:hAnsiTheme="minorHAnsi" w:cstheme="minorBidi"/>
            <w:iCs w:val="0"/>
            <w:noProof/>
            <w:sz w:val="22"/>
            <w:szCs w:val="22"/>
            <w:lang w:eastAsia="en-AU"/>
          </w:rPr>
          <w:tab/>
        </w:r>
        <w:r w:rsidR="00C459E9" w:rsidRPr="00D4704E">
          <w:rPr>
            <w:rStyle w:val="Hyperlink"/>
            <w:noProof/>
          </w:rPr>
          <w:t>Market impact component</w:t>
        </w:r>
        <w:r w:rsidR="00C459E9">
          <w:rPr>
            <w:noProof/>
            <w:webHidden/>
          </w:rPr>
          <w:tab/>
        </w:r>
        <w:r w:rsidR="00C459E9">
          <w:rPr>
            <w:noProof/>
            <w:webHidden/>
          </w:rPr>
          <w:fldChar w:fldCharType="begin"/>
        </w:r>
        <w:r w:rsidR="00C459E9">
          <w:rPr>
            <w:noProof/>
            <w:webHidden/>
          </w:rPr>
          <w:instrText xml:space="preserve"> PAGEREF _Toc397943248 \h </w:instrText>
        </w:r>
        <w:r w:rsidR="00C459E9">
          <w:rPr>
            <w:noProof/>
            <w:webHidden/>
          </w:rPr>
        </w:r>
        <w:r w:rsidR="00C459E9">
          <w:rPr>
            <w:noProof/>
            <w:webHidden/>
          </w:rPr>
          <w:fldChar w:fldCharType="separate"/>
        </w:r>
        <w:r>
          <w:rPr>
            <w:noProof/>
            <w:webHidden/>
          </w:rPr>
          <w:t>9</w:t>
        </w:r>
        <w:r w:rsidR="00C459E9">
          <w:rPr>
            <w:noProof/>
            <w:webHidden/>
          </w:rPr>
          <w:fldChar w:fldCharType="end"/>
        </w:r>
      </w:hyperlink>
    </w:p>
    <w:p w:rsidR="00C459E9" w:rsidRDefault="000F7B97">
      <w:pPr>
        <w:pStyle w:val="TOC2"/>
        <w:rPr>
          <w:rFonts w:asciiTheme="minorHAnsi" w:eastAsiaTheme="minorEastAsia" w:hAnsiTheme="minorHAnsi" w:cstheme="minorBidi"/>
          <w:iCs w:val="0"/>
          <w:noProof/>
          <w:sz w:val="22"/>
          <w:szCs w:val="22"/>
          <w:lang w:eastAsia="en-AU"/>
        </w:rPr>
      </w:pPr>
      <w:hyperlink w:anchor="_Toc397943249" w:history="1">
        <w:r w:rsidR="00C459E9" w:rsidRPr="00D4704E">
          <w:rPr>
            <w:rStyle w:val="Hyperlink"/>
            <w:noProof/>
          </w:rPr>
          <w:t>2.3</w:t>
        </w:r>
        <w:r w:rsidR="00C459E9">
          <w:rPr>
            <w:rFonts w:asciiTheme="minorHAnsi" w:eastAsiaTheme="minorEastAsia" w:hAnsiTheme="minorHAnsi" w:cstheme="minorBidi"/>
            <w:iCs w:val="0"/>
            <w:noProof/>
            <w:sz w:val="22"/>
            <w:szCs w:val="22"/>
            <w:lang w:eastAsia="en-AU"/>
          </w:rPr>
          <w:tab/>
        </w:r>
        <w:r w:rsidR="00C459E9" w:rsidRPr="00D4704E">
          <w:rPr>
            <w:rStyle w:val="Hyperlink"/>
            <w:noProof/>
          </w:rPr>
          <w:t>Network capability component</w:t>
        </w:r>
        <w:r w:rsidR="00C459E9">
          <w:rPr>
            <w:noProof/>
            <w:webHidden/>
          </w:rPr>
          <w:tab/>
        </w:r>
        <w:r w:rsidR="00C459E9">
          <w:rPr>
            <w:noProof/>
            <w:webHidden/>
          </w:rPr>
          <w:fldChar w:fldCharType="begin"/>
        </w:r>
        <w:r w:rsidR="00C459E9">
          <w:rPr>
            <w:noProof/>
            <w:webHidden/>
          </w:rPr>
          <w:instrText xml:space="preserve"> PAGEREF _Toc397943249 \h </w:instrText>
        </w:r>
        <w:r w:rsidR="00C459E9">
          <w:rPr>
            <w:noProof/>
            <w:webHidden/>
          </w:rPr>
        </w:r>
        <w:r w:rsidR="00C459E9">
          <w:rPr>
            <w:noProof/>
            <w:webHidden/>
          </w:rPr>
          <w:fldChar w:fldCharType="separate"/>
        </w:r>
        <w:r>
          <w:rPr>
            <w:noProof/>
            <w:webHidden/>
          </w:rPr>
          <w:t>10</w:t>
        </w:r>
        <w:r w:rsidR="00C459E9">
          <w:rPr>
            <w:noProof/>
            <w:webHidden/>
          </w:rPr>
          <w:fldChar w:fldCharType="end"/>
        </w:r>
      </w:hyperlink>
    </w:p>
    <w:p w:rsidR="00C459E9" w:rsidRDefault="000F7B97">
      <w:pPr>
        <w:pStyle w:val="TOC1"/>
        <w:rPr>
          <w:rFonts w:asciiTheme="minorHAnsi" w:eastAsiaTheme="minorEastAsia" w:hAnsiTheme="minorHAnsi" w:cstheme="minorBidi"/>
          <w:b w:val="0"/>
          <w:bCs w:val="0"/>
          <w:noProof/>
          <w:sz w:val="22"/>
          <w:szCs w:val="22"/>
          <w:lang w:eastAsia="en-AU"/>
        </w:rPr>
      </w:pPr>
      <w:hyperlink w:anchor="_Toc397943250" w:history="1">
        <w:r w:rsidR="00C459E9" w:rsidRPr="00D4704E">
          <w:rPr>
            <w:rStyle w:val="Hyperlink"/>
            <w:noProof/>
          </w:rPr>
          <w:t>Glossary</w:t>
        </w:r>
        <w:r w:rsidR="00C459E9">
          <w:rPr>
            <w:noProof/>
            <w:webHidden/>
          </w:rPr>
          <w:tab/>
        </w:r>
        <w:r w:rsidR="00C459E9">
          <w:rPr>
            <w:noProof/>
            <w:webHidden/>
          </w:rPr>
          <w:fldChar w:fldCharType="begin"/>
        </w:r>
        <w:r w:rsidR="00C459E9">
          <w:rPr>
            <w:noProof/>
            <w:webHidden/>
          </w:rPr>
          <w:instrText xml:space="preserve"> PAGEREF _Toc397943250 \h </w:instrText>
        </w:r>
        <w:r w:rsidR="00C459E9">
          <w:rPr>
            <w:noProof/>
            <w:webHidden/>
          </w:rPr>
        </w:r>
        <w:r w:rsidR="00C459E9">
          <w:rPr>
            <w:noProof/>
            <w:webHidden/>
          </w:rPr>
          <w:fldChar w:fldCharType="separate"/>
        </w:r>
        <w:r>
          <w:rPr>
            <w:noProof/>
            <w:webHidden/>
          </w:rPr>
          <w:t>11</w:t>
        </w:r>
        <w:r w:rsidR="00C459E9">
          <w:rPr>
            <w:noProof/>
            <w:webHidden/>
          </w:rPr>
          <w:fldChar w:fldCharType="end"/>
        </w:r>
      </w:hyperlink>
    </w:p>
    <w:p w:rsidR="008D0EB8" w:rsidRDefault="008D0EB8" w:rsidP="008D0EB8">
      <w:pPr>
        <w:pStyle w:val="AERbodytext"/>
      </w:pPr>
      <w:r>
        <w:fldChar w:fldCharType="end"/>
      </w:r>
    </w:p>
    <w:p w:rsidR="00F66D42" w:rsidRPr="00D65120" w:rsidRDefault="00F66D42" w:rsidP="001D0245">
      <w:pPr>
        <w:pStyle w:val="AERunnumberedheading1"/>
        <w:spacing w:after="240"/>
        <w:rPr>
          <w:lang w:val="en-AU"/>
        </w:rPr>
      </w:pPr>
      <w:bookmarkStart w:id="4" w:name="_Toc326143360"/>
      <w:bookmarkStart w:id="5" w:name="_Toc397943240"/>
      <w:bookmarkStart w:id="6" w:name="_Toc331526927"/>
      <w:r>
        <w:lastRenderedPageBreak/>
        <w:t>Shortened forms</w:t>
      </w:r>
      <w:bookmarkEnd w:id="4"/>
      <w:bookmarkEnd w:id="5"/>
    </w:p>
    <w:tbl>
      <w:tblPr>
        <w:tblW w:w="7905" w:type="dxa"/>
        <w:tblLook w:val="0000" w:firstRow="0" w:lastRow="0" w:firstColumn="0" w:lastColumn="0" w:noHBand="0" w:noVBand="0"/>
      </w:tblPr>
      <w:tblGrid>
        <w:gridCol w:w="2448"/>
        <w:gridCol w:w="5457"/>
      </w:tblGrid>
      <w:tr w:rsidR="00F66D42" w:rsidTr="00167F60">
        <w:trPr>
          <w:trHeight w:val="552"/>
        </w:trPr>
        <w:tc>
          <w:tcPr>
            <w:tcW w:w="2448" w:type="dxa"/>
          </w:tcPr>
          <w:p w:rsidR="00F66D42" w:rsidRPr="0056665A" w:rsidRDefault="00F66D42" w:rsidP="0056665A">
            <w:pPr>
              <w:pStyle w:val="AERtabletextleft"/>
              <w:rPr>
                <w:sz w:val="20"/>
              </w:rPr>
            </w:pPr>
            <w:r w:rsidRPr="0056665A">
              <w:rPr>
                <w:sz w:val="20"/>
              </w:rPr>
              <w:t>ACCC</w:t>
            </w:r>
          </w:p>
        </w:tc>
        <w:tc>
          <w:tcPr>
            <w:tcW w:w="5457" w:type="dxa"/>
          </w:tcPr>
          <w:p w:rsidR="00F66D42" w:rsidRPr="0056665A" w:rsidRDefault="00F66D42" w:rsidP="0056665A">
            <w:pPr>
              <w:pStyle w:val="AERtabletextleft"/>
              <w:rPr>
                <w:sz w:val="20"/>
              </w:rPr>
            </w:pPr>
            <w:r w:rsidRPr="0056665A">
              <w:rPr>
                <w:sz w:val="20"/>
              </w:rPr>
              <w:t>Australian Competition and Consumer Commission</w:t>
            </w:r>
          </w:p>
        </w:tc>
      </w:tr>
      <w:tr w:rsidR="00F66D42" w:rsidTr="00167F60">
        <w:trPr>
          <w:trHeight w:val="552"/>
        </w:trPr>
        <w:tc>
          <w:tcPr>
            <w:tcW w:w="2448" w:type="dxa"/>
          </w:tcPr>
          <w:p w:rsidR="00F66D42" w:rsidRPr="0056665A" w:rsidRDefault="00F66D42" w:rsidP="0056665A">
            <w:pPr>
              <w:pStyle w:val="AERtabletextleft"/>
              <w:rPr>
                <w:sz w:val="20"/>
              </w:rPr>
            </w:pPr>
            <w:r w:rsidRPr="0056665A">
              <w:rPr>
                <w:sz w:val="20"/>
              </w:rPr>
              <w:t>AEMC</w:t>
            </w:r>
          </w:p>
        </w:tc>
        <w:tc>
          <w:tcPr>
            <w:tcW w:w="5457" w:type="dxa"/>
          </w:tcPr>
          <w:p w:rsidR="00F66D42" w:rsidRPr="0056665A" w:rsidRDefault="00F66D42" w:rsidP="0056665A">
            <w:pPr>
              <w:pStyle w:val="AERtabletextleft"/>
              <w:rPr>
                <w:sz w:val="20"/>
              </w:rPr>
            </w:pPr>
            <w:r w:rsidRPr="0056665A">
              <w:rPr>
                <w:sz w:val="20"/>
              </w:rPr>
              <w:t>Australian Energy Market Commission</w:t>
            </w:r>
          </w:p>
        </w:tc>
      </w:tr>
      <w:tr w:rsidR="00F66D42" w:rsidTr="00167F60">
        <w:trPr>
          <w:trHeight w:val="552"/>
        </w:trPr>
        <w:tc>
          <w:tcPr>
            <w:tcW w:w="2448" w:type="dxa"/>
          </w:tcPr>
          <w:p w:rsidR="00F66D42" w:rsidRPr="0056665A" w:rsidRDefault="00F66D42" w:rsidP="0056665A">
            <w:pPr>
              <w:pStyle w:val="AERtabletextleft"/>
              <w:rPr>
                <w:sz w:val="20"/>
              </w:rPr>
            </w:pPr>
            <w:r w:rsidRPr="0056665A">
              <w:rPr>
                <w:sz w:val="20"/>
              </w:rPr>
              <w:t>AEMO</w:t>
            </w:r>
          </w:p>
        </w:tc>
        <w:tc>
          <w:tcPr>
            <w:tcW w:w="5457" w:type="dxa"/>
          </w:tcPr>
          <w:p w:rsidR="00F66D42" w:rsidRPr="0056665A" w:rsidRDefault="00F66D42" w:rsidP="0056665A">
            <w:pPr>
              <w:pStyle w:val="AERtabletextleft"/>
              <w:rPr>
                <w:sz w:val="20"/>
              </w:rPr>
            </w:pPr>
            <w:r w:rsidRPr="0056665A">
              <w:rPr>
                <w:sz w:val="20"/>
              </w:rPr>
              <w:t>Australian Energy Market Operator</w:t>
            </w:r>
          </w:p>
        </w:tc>
      </w:tr>
      <w:tr w:rsidR="00F66D42" w:rsidTr="00167F60">
        <w:trPr>
          <w:trHeight w:val="552"/>
        </w:trPr>
        <w:tc>
          <w:tcPr>
            <w:tcW w:w="2448" w:type="dxa"/>
          </w:tcPr>
          <w:p w:rsidR="00F66D42" w:rsidRPr="0056665A" w:rsidRDefault="00F66D42" w:rsidP="0056665A">
            <w:pPr>
              <w:pStyle w:val="AERtabletextleft"/>
              <w:rPr>
                <w:sz w:val="20"/>
              </w:rPr>
            </w:pPr>
            <w:r w:rsidRPr="0056665A">
              <w:rPr>
                <w:sz w:val="20"/>
              </w:rPr>
              <w:t>AER</w:t>
            </w:r>
          </w:p>
        </w:tc>
        <w:tc>
          <w:tcPr>
            <w:tcW w:w="5457" w:type="dxa"/>
          </w:tcPr>
          <w:p w:rsidR="00F66D42" w:rsidRPr="0056665A" w:rsidRDefault="00F66D42" w:rsidP="0056665A">
            <w:pPr>
              <w:pStyle w:val="AERtabletextleft"/>
              <w:rPr>
                <w:sz w:val="20"/>
              </w:rPr>
            </w:pPr>
            <w:r w:rsidRPr="0056665A">
              <w:rPr>
                <w:sz w:val="20"/>
              </w:rPr>
              <w:t>Australian Energy Regulator</w:t>
            </w:r>
          </w:p>
        </w:tc>
      </w:tr>
      <w:tr w:rsidR="00A5007C" w:rsidTr="00167F60">
        <w:trPr>
          <w:trHeight w:val="552"/>
        </w:trPr>
        <w:tc>
          <w:tcPr>
            <w:tcW w:w="2448" w:type="dxa"/>
          </w:tcPr>
          <w:p w:rsidR="00A5007C" w:rsidRPr="0056665A" w:rsidRDefault="00A5007C" w:rsidP="0056665A">
            <w:pPr>
              <w:pStyle w:val="AERtabletextleft"/>
              <w:rPr>
                <w:sz w:val="20"/>
              </w:rPr>
            </w:pPr>
            <w:r w:rsidRPr="0056665A">
              <w:rPr>
                <w:sz w:val="20"/>
              </w:rPr>
              <w:t>Electricity Law</w:t>
            </w:r>
          </w:p>
        </w:tc>
        <w:tc>
          <w:tcPr>
            <w:tcW w:w="5457" w:type="dxa"/>
          </w:tcPr>
          <w:p w:rsidR="00A5007C" w:rsidRPr="0056665A" w:rsidRDefault="00A5007C" w:rsidP="0056665A">
            <w:pPr>
              <w:pStyle w:val="AERtabletextleft"/>
              <w:rPr>
                <w:sz w:val="20"/>
              </w:rPr>
            </w:pPr>
            <w:r w:rsidRPr="0056665A">
              <w:rPr>
                <w:sz w:val="20"/>
              </w:rPr>
              <w:t>National Electricity Law</w:t>
            </w:r>
          </w:p>
        </w:tc>
      </w:tr>
      <w:tr w:rsidR="00A5007C" w:rsidTr="00167F60">
        <w:trPr>
          <w:trHeight w:val="552"/>
        </w:trPr>
        <w:tc>
          <w:tcPr>
            <w:tcW w:w="2448" w:type="dxa"/>
          </w:tcPr>
          <w:p w:rsidR="00A5007C" w:rsidRPr="0056665A" w:rsidRDefault="00A5007C" w:rsidP="0056665A">
            <w:pPr>
              <w:pStyle w:val="AERtabletextleft"/>
              <w:rPr>
                <w:sz w:val="20"/>
              </w:rPr>
            </w:pPr>
            <w:r w:rsidRPr="0056665A">
              <w:rPr>
                <w:sz w:val="20"/>
              </w:rPr>
              <w:t>Electricity Rules</w:t>
            </w:r>
          </w:p>
        </w:tc>
        <w:tc>
          <w:tcPr>
            <w:tcW w:w="5457" w:type="dxa"/>
          </w:tcPr>
          <w:p w:rsidR="00A5007C" w:rsidRPr="0056665A" w:rsidRDefault="00A5007C" w:rsidP="0056665A">
            <w:pPr>
              <w:pStyle w:val="AERtabletextleft"/>
              <w:rPr>
                <w:sz w:val="20"/>
              </w:rPr>
            </w:pPr>
            <w:r w:rsidRPr="0056665A">
              <w:rPr>
                <w:sz w:val="20"/>
              </w:rPr>
              <w:t>National Electricity Rules</w:t>
            </w:r>
          </w:p>
        </w:tc>
      </w:tr>
      <w:tr w:rsidR="007733D8" w:rsidTr="00167F60">
        <w:trPr>
          <w:trHeight w:val="552"/>
        </w:trPr>
        <w:tc>
          <w:tcPr>
            <w:tcW w:w="2448" w:type="dxa"/>
          </w:tcPr>
          <w:p w:rsidR="007733D8" w:rsidRPr="0056665A" w:rsidRDefault="007733D8" w:rsidP="0056665A">
            <w:pPr>
              <w:pStyle w:val="AERtabletextleft"/>
              <w:rPr>
                <w:sz w:val="20"/>
              </w:rPr>
            </w:pPr>
            <w:r w:rsidRPr="007733D8">
              <w:rPr>
                <w:sz w:val="20"/>
              </w:rPr>
              <w:t>HVDC</w:t>
            </w:r>
          </w:p>
        </w:tc>
        <w:tc>
          <w:tcPr>
            <w:tcW w:w="5457" w:type="dxa"/>
          </w:tcPr>
          <w:p w:rsidR="007733D8" w:rsidRPr="0056665A" w:rsidRDefault="007733D8" w:rsidP="007733D8">
            <w:pPr>
              <w:pStyle w:val="AERtabletextleft"/>
              <w:rPr>
                <w:sz w:val="20"/>
              </w:rPr>
            </w:pPr>
            <w:r w:rsidRPr="007733D8">
              <w:rPr>
                <w:sz w:val="20"/>
              </w:rPr>
              <w:t>High Voltage Direct Current</w:t>
            </w:r>
          </w:p>
        </w:tc>
      </w:tr>
      <w:tr w:rsidR="00A5007C" w:rsidTr="00167F60">
        <w:trPr>
          <w:trHeight w:val="552"/>
        </w:trPr>
        <w:tc>
          <w:tcPr>
            <w:tcW w:w="2448" w:type="dxa"/>
          </w:tcPr>
          <w:p w:rsidR="00A5007C" w:rsidRPr="0056665A" w:rsidRDefault="00A5007C" w:rsidP="0056665A">
            <w:pPr>
              <w:pStyle w:val="AERtabletextleft"/>
              <w:rPr>
                <w:sz w:val="20"/>
              </w:rPr>
            </w:pPr>
            <w:r w:rsidRPr="0056665A">
              <w:rPr>
                <w:sz w:val="20"/>
              </w:rPr>
              <w:t>MAR</w:t>
            </w:r>
          </w:p>
        </w:tc>
        <w:tc>
          <w:tcPr>
            <w:tcW w:w="5457" w:type="dxa"/>
          </w:tcPr>
          <w:p w:rsidR="00A5007C" w:rsidRPr="0056665A" w:rsidRDefault="00725F3F" w:rsidP="0056665A">
            <w:pPr>
              <w:pStyle w:val="AERtabletextleft"/>
              <w:rPr>
                <w:sz w:val="20"/>
              </w:rPr>
            </w:pPr>
            <w:r w:rsidRPr="0056665A">
              <w:rPr>
                <w:sz w:val="20"/>
              </w:rPr>
              <w:t>m</w:t>
            </w:r>
            <w:r w:rsidR="00A5007C" w:rsidRPr="0056665A">
              <w:rPr>
                <w:sz w:val="20"/>
              </w:rPr>
              <w:t>aximum a</w:t>
            </w:r>
            <w:r w:rsidRPr="0056665A">
              <w:rPr>
                <w:sz w:val="20"/>
              </w:rPr>
              <w:t>llowed</w:t>
            </w:r>
            <w:r w:rsidR="00A5007C" w:rsidRPr="0056665A">
              <w:rPr>
                <w:sz w:val="20"/>
              </w:rPr>
              <w:t xml:space="preserve"> revenue</w:t>
            </w:r>
          </w:p>
        </w:tc>
      </w:tr>
      <w:tr w:rsidR="00A5007C" w:rsidTr="00167F60">
        <w:trPr>
          <w:trHeight w:val="552"/>
        </w:trPr>
        <w:tc>
          <w:tcPr>
            <w:tcW w:w="2448" w:type="dxa"/>
          </w:tcPr>
          <w:p w:rsidR="00A5007C" w:rsidRPr="0056665A" w:rsidRDefault="00A5007C" w:rsidP="0056665A">
            <w:pPr>
              <w:pStyle w:val="AERtabletextleft"/>
              <w:rPr>
                <w:sz w:val="20"/>
              </w:rPr>
            </w:pPr>
            <w:r w:rsidRPr="0056665A">
              <w:rPr>
                <w:sz w:val="20"/>
              </w:rPr>
              <w:t>MIC</w:t>
            </w:r>
          </w:p>
        </w:tc>
        <w:tc>
          <w:tcPr>
            <w:tcW w:w="5457" w:type="dxa"/>
          </w:tcPr>
          <w:p w:rsidR="00A5007C" w:rsidRPr="0056665A" w:rsidRDefault="00A5007C" w:rsidP="0056665A">
            <w:pPr>
              <w:pStyle w:val="AERtabletextleft"/>
              <w:rPr>
                <w:sz w:val="20"/>
              </w:rPr>
            </w:pPr>
            <w:r w:rsidRPr="0056665A">
              <w:rPr>
                <w:sz w:val="20"/>
              </w:rPr>
              <w:t>market impact component</w:t>
            </w:r>
          </w:p>
        </w:tc>
      </w:tr>
      <w:tr w:rsidR="001F1209" w:rsidTr="00167F60">
        <w:trPr>
          <w:trHeight w:val="552"/>
        </w:trPr>
        <w:tc>
          <w:tcPr>
            <w:tcW w:w="2448" w:type="dxa"/>
          </w:tcPr>
          <w:p w:rsidR="001F1209" w:rsidRPr="0056665A" w:rsidRDefault="001F1209" w:rsidP="0056665A">
            <w:pPr>
              <w:pStyle w:val="AERtabletextleft"/>
              <w:rPr>
                <w:sz w:val="20"/>
              </w:rPr>
            </w:pPr>
            <w:r>
              <w:rPr>
                <w:sz w:val="20"/>
              </w:rPr>
              <w:t>MW</w:t>
            </w:r>
          </w:p>
        </w:tc>
        <w:tc>
          <w:tcPr>
            <w:tcW w:w="5457" w:type="dxa"/>
          </w:tcPr>
          <w:p w:rsidR="001F1209" w:rsidRPr="0056665A" w:rsidRDefault="001F1209" w:rsidP="004250E0">
            <w:pPr>
              <w:pStyle w:val="AERtabletextleft"/>
              <w:rPr>
                <w:sz w:val="20"/>
              </w:rPr>
            </w:pPr>
            <w:r>
              <w:rPr>
                <w:sz w:val="20"/>
              </w:rPr>
              <w:t>megawatt</w:t>
            </w:r>
          </w:p>
        </w:tc>
      </w:tr>
      <w:tr w:rsidR="00A5007C" w:rsidTr="00167F60">
        <w:trPr>
          <w:trHeight w:val="552"/>
        </w:trPr>
        <w:tc>
          <w:tcPr>
            <w:tcW w:w="2448" w:type="dxa"/>
          </w:tcPr>
          <w:p w:rsidR="00A5007C" w:rsidRPr="0056665A" w:rsidRDefault="00A5007C" w:rsidP="0056665A">
            <w:pPr>
              <w:pStyle w:val="AERtabletextleft"/>
              <w:rPr>
                <w:sz w:val="20"/>
              </w:rPr>
            </w:pPr>
            <w:r w:rsidRPr="0056665A">
              <w:rPr>
                <w:sz w:val="20"/>
              </w:rPr>
              <w:t>NEM</w:t>
            </w:r>
          </w:p>
        </w:tc>
        <w:tc>
          <w:tcPr>
            <w:tcW w:w="5457" w:type="dxa"/>
          </w:tcPr>
          <w:p w:rsidR="00A5007C" w:rsidRPr="0056665A" w:rsidRDefault="00A5007C" w:rsidP="0056665A">
            <w:pPr>
              <w:pStyle w:val="AERtabletextleft"/>
              <w:rPr>
                <w:sz w:val="20"/>
              </w:rPr>
            </w:pPr>
            <w:r w:rsidRPr="0056665A">
              <w:rPr>
                <w:sz w:val="20"/>
              </w:rPr>
              <w:t xml:space="preserve">National Electricity Market </w:t>
            </w:r>
          </w:p>
        </w:tc>
      </w:tr>
      <w:tr w:rsidR="00A5007C" w:rsidTr="00167F60">
        <w:trPr>
          <w:trHeight w:val="552"/>
        </w:trPr>
        <w:tc>
          <w:tcPr>
            <w:tcW w:w="2448" w:type="dxa"/>
          </w:tcPr>
          <w:p w:rsidR="00A5007C" w:rsidRPr="0056665A" w:rsidRDefault="00A5007C" w:rsidP="0056665A">
            <w:pPr>
              <w:pStyle w:val="AERtabletextleft"/>
              <w:rPr>
                <w:sz w:val="20"/>
              </w:rPr>
            </w:pPr>
            <w:r w:rsidRPr="0056665A">
              <w:rPr>
                <w:sz w:val="20"/>
              </w:rPr>
              <w:t>STPIS</w:t>
            </w:r>
          </w:p>
        </w:tc>
        <w:tc>
          <w:tcPr>
            <w:tcW w:w="5457" w:type="dxa"/>
          </w:tcPr>
          <w:p w:rsidR="00A5007C" w:rsidRPr="0056665A" w:rsidRDefault="00A5007C" w:rsidP="0056665A">
            <w:pPr>
              <w:pStyle w:val="AERtabletextleft"/>
              <w:rPr>
                <w:sz w:val="20"/>
              </w:rPr>
            </w:pPr>
            <w:r w:rsidRPr="0056665A">
              <w:rPr>
                <w:sz w:val="20"/>
              </w:rPr>
              <w:t>service target performance incentive scheme for</w:t>
            </w:r>
            <w:r w:rsidR="00C93691" w:rsidRPr="0056665A">
              <w:rPr>
                <w:sz w:val="20"/>
              </w:rPr>
              <w:t xml:space="preserve"> electricity</w:t>
            </w:r>
            <w:r w:rsidRPr="0056665A">
              <w:rPr>
                <w:sz w:val="20"/>
              </w:rPr>
              <w:t xml:space="preserve"> </w:t>
            </w:r>
            <w:r w:rsidR="00C93691" w:rsidRPr="0056665A">
              <w:rPr>
                <w:sz w:val="20"/>
              </w:rPr>
              <w:t>transmission network service providers</w:t>
            </w:r>
          </w:p>
        </w:tc>
      </w:tr>
      <w:tr w:rsidR="00A5007C" w:rsidRPr="008D564F" w:rsidTr="00167F60">
        <w:trPr>
          <w:trHeight w:val="552"/>
        </w:trPr>
        <w:tc>
          <w:tcPr>
            <w:tcW w:w="2448" w:type="dxa"/>
          </w:tcPr>
          <w:p w:rsidR="00A5007C" w:rsidRPr="0056665A" w:rsidRDefault="00A5007C" w:rsidP="0056665A">
            <w:pPr>
              <w:pStyle w:val="AERtabletextleft"/>
              <w:rPr>
                <w:sz w:val="20"/>
              </w:rPr>
            </w:pPr>
            <w:r w:rsidRPr="0056665A">
              <w:rPr>
                <w:sz w:val="20"/>
              </w:rPr>
              <w:t>TNSP</w:t>
            </w:r>
          </w:p>
        </w:tc>
        <w:tc>
          <w:tcPr>
            <w:tcW w:w="5457" w:type="dxa"/>
          </w:tcPr>
          <w:p w:rsidR="00A5007C" w:rsidRPr="0056665A" w:rsidRDefault="00A5007C" w:rsidP="0056665A">
            <w:pPr>
              <w:pStyle w:val="AERtabletextleft"/>
              <w:rPr>
                <w:sz w:val="20"/>
              </w:rPr>
            </w:pPr>
            <w:r w:rsidRPr="0056665A">
              <w:rPr>
                <w:sz w:val="20"/>
              </w:rPr>
              <w:t>transmission network service provider</w:t>
            </w:r>
          </w:p>
        </w:tc>
      </w:tr>
    </w:tbl>
    <w:p w:rsidR="00F66D42" w:rsidRDefault="00F66D42" w:rsidP="00F66D42">
      <w:pPr>
        <w:pStyle w:val="UnnumberedHeading"/>
        <w:numPr>
          <w:ilvl w:val="0"/>
          <w:numId w:val="1"/>
        </w:numPr>
      </w:pPr>
      <w:bookmarkStart w:id="7" w:name="_Toc397943241"/>
      <w:r>
        <w:lastRenderedPageBreak/>
        <w:t>Executive Summary</w:t>
      </w:r>
      <w:bookmarkEnd w:id="7"/>
      <w:r w:rsidR="00D65120">
        <w:t xml:space="preserve"> </w:t>
      </w:r>
    </w:p>
    <w:p w:rsidR="00F47DFC" w:rsidRDefault="00F47DFC" w:rsidP="00912E8C">
      <w:pPr>
        <w:pStyle w:val="AERbodytext"/>
        <w:numPr>
          <w:ilvl w:val="0"/>
          <w:numId w:val="6"/>
        </w:numPr>
      </w:pPr>
      <w:r>
        <w:t>This document outlines the Australian Energy Regulator</w:t>
      </w:r>
      <w:r w:rsidR="00000FA0">
        <w:t xml:space="preserve">’s (AER) </w:t>
      </w:r>
      <w:r w:rsidR="00B114C4">
        <w:t xml:space="preserve">final </w:t>
      </w:r>
      <w:r w:rsidR="00000FA0">
        <w:t xml:space="preserve">decision to amend </w:t>
      </w:r>
      <w:r>
        <w:t>the service target performance incentive scheme (STPIS)</w:t>
      </w:r>
      <w:r w:rsidR="00B54C24">
        <w:t xml:space="preserve"> for transmission network service providers (TNSPs).</w:t>
      </w:r>
    </w:p>
    <w:p w:rsidR="00912E8C" w:rsidRDefault="00446192" w:rsidP="00912E8C">
      <w:pPr>
        <w:pStyle w:val="AERbodytext"/>
        <w:numPr>
          <w:ilvl w:val="0"/>
          <w:numId w:val="6"/>
        </w:numPr>
      </w:pPr>
      <w:r>
        <w:t xml:space="preserve">The AER </w:t>
      </w:r>
      <w:r w:rsidR="00912E8C">
        <w:t xml:space="preserve">creates, </w:t>
      </w:r>
      <w:r w:rsidR="0085349E">
        <w:t>administers</w:t>
      </w:r>
      <w:r w:rsidR="00912E8C">
        <w:t xml:space="preserve"> and maintains</w:t>
      </w:r>
      <w:r w:rsidR="00B54C24">
        <w:t xml:space="preserve"> the </w:t>
      </w:r>
      <w:r>
        <w:t>STPIS</w:t>
      </w:r>
      <w:r w:rsidR="00B54C24">
        <w:t xml:space="preserve"> </w:t>
      </w:r>
      <w:r w:rsidR="00912E8C">
        <w:t>in accordance with the requirements of the National Electricity Rules (Electricity Rules)</w:t>
      </w:r>
      <w:r>
        <w:t>. The purpose of the STPIS is to provide incentives to TNSP</w:t>
      </w:r>
      <w:r w:rsidR="00D439E7">
        <w:t>s</w:t>
      </w:r>
      <w:r>
        <w:t xml:space="preserve"> to improve or maintain a high level of service for the benefit of participants in the National Electricity Market (NEM) and </w:t>
      </w:r>
      <w:r w:rsidR="007D6BCE">
        <w:t xml:space="preserve">end users of electricity. </w:t>
      </w:r>
    </w:p>
    <w:p w:rsidR="00B71FB8" w:rsidRDefault="00B71FB8" w:rsidP="00FC3A11">
      <w:pPr>
        <w:pStyle w:val="AERbulletlistfirststyle"/>
        <w:numPr>
          <w:ilvl w:val="0"/>
          <w:numId w:val="0"/>
        </w:numPr>
      </w:pPr>
      <w:r w:rsidRPr="003E78E3">
        <w:t>From 1 July 2015</w:t>
      </w:r>
      <w:r>
        <w:t xml:space="preserve">, </w:t>
      </w:r>
      <w:proofErr w:type="spellStart"/>
      <w:r>
        <w:t>Directlink</w:t>
      </w:r>
      <w:proofErr w:type="spellEnd"/>
      <w:r>
        <w:t xml:space="preserve"> will be subject to the service and market impact components of </w:t>
      </w:r>
      <w:r w:rsidR="00926C64">
        <w:t xml:space="preserve">the </w:t>
      </w:r>
      <w:r>
        <w:t>STPIS</w:t>
      </w:r>
      <w:r w:rsidRPr="003E78E3">
        <w:t xml:space="preserve">. This is the first time </w:t>
      </w:r>
      <w:proofErr w:type="spellStart"/>
      <w:r w:rsidRPr="003E78E3">
        <w:t>Directlink</w:t>
      </w:r>
      <w:proofErr w:type="spellEnd"/>
      <w:r w:rsidRPr="003E78E3">
        <w:t xml:space="preserve"> will be assessed under the STPIS, as it is currently assessed under the ACCC service standards guidelines for the current regulatory period 2006–2015.</w:t>
      </w:r>
    </w:p>
    <w:p w:rsidR="00FC3A11" w:rsidRDefault="00AF68A3" w:rsidP="00FC3A11">
      <w:pPr>
        <w:pStyle w:val="AERbulletlistfirststyle"/>
        <w:numPr>
          <w:ilvl w:val="0"/>
          <w:numId w:val="0"/>
        </w:numPr>
      </w:pPr>
      <w:r>
        <w:t xml:space="preserve">Subsequent to the release of this scheme the AER has been reviewing the </w:t>
      </w:r>
      <w:r w:rsidR="005D6CEB">
        <w:t xml:space="preserve">applicability </w:t>
      </w:r>
      <w:r w:rsidR="007D5460">
        <w:t xml:space="preserve">of Version 4 </w:t>
      </w:r>
      <w:r w:rsidR="005D6CEB">
        <w:t xml:space="preserve">to </w:t>
      </w:r>
      <w:proofErr w:type="spellStart"/>
      <w:r w:rsidR="005D6CEB">
        <w:t>Directlink</w:t>
      </w:r>
      <w:proofErr w:type="spellEnd"/>
      <w:r w:rsidR="007D5460">
        <w:t xml:space="preserve">, particularly in light of exceptional outages </w:t>
      </w:r>
      <w:r w:rsidR="00BF68AC">
        <w:t>of</w:t>
      </w:r>
      <w:r w:rsidR="007D5460">
        <w:t xml:space="preserve"> its equipment in 2012. </w:t>
      </w:r>
      <w:r w:rsidR="00B71FB8">
        <w:t xml:space="preserve">Consequently the AER recognised that an amendment to the scheme was warranted to specifically address the </w:t>
      </w:r>
      <w:proofErr w:type="spellStart"/>
      <w:r w:rsidR="00B71FB8">
        <w:t>Directlink</w:t>
      </w:r>
      <w:proofErr w:type="spellEnd"/>
      <w:r w:rsidR="00B71FB8">
        <w:t xml:space="preserve"> situation.  </w:t>
      </w:r>
    </w:p>
    <w:p w:rsidR="00B71FB8" w:rsidRDefault="00FC3A11" w:rsidP="00FC3A11">
      <w:pPr>
        <w:pStyle w:val="AERbulletlistfirststyle"/>
        <w:numPr>
          <w:ilvl w:val="0"/>
          <w:numId w:val="0"/>
        </w:numPr>
      </w:pPr>
      <w:r>
        <w:t xml:space="preserve">In 2012, fire </w:t>
      </w:r>
      <w:r w:rsidR="00B71FB8">
        <w:t xml:space="preserve">at the Mullumbimby end of </w:t>
      </w:r>
      <w:proofErr w:type="spellStart"/>
      <w:r w:rsidR="00B71FB8">
        <w:t>Directlink</w:t>
      </w:r>
      <w:proofErr w:type="spellEnd"/>
      <w:r w:rsidR="00B71FB8">
        <w:t xml:space="preserve"> </w:t>
      </w:r>
      <w:r>
        <w:t xml:space="preserve">caused extensive </w:t>
      </w:r>
      <w:r w:rsidR="00B71FB8">
        <w:t xml:space="preserve">equipment </w:t>
      </w:r>
      <w:r>
        <w:t xml:space="preserve">damage resulting in a material long term reduction </w:t>
      </w:r>
      <w:r w:rsidR="005B3A77">
        <w:t xml:space="preserve">in its operational capability. </w:t>
      </w:r>
      <w:r w:rsidR="00DC6AE2">
        <w:t>T</w:t>
      </w:r>
      <w:r>
        <w:t xml:space="preserve">he service component of </w:t>
      </w:r>
      <w:r w:rsidR="00BF68AC">
        <w:t xml:space="preserve">the scheme </w:t>
      </w:r>
      <w:r>
        <w:t>includes clauses that enable the AER to adjust both the period over which performance is calculated and make adjustments for statistical outliers that may occur as a result of circumstances such as these</w:t>
      </w:r>
      <w:r w:rsidR="00BF68AC">
        <w:t xml:space="preserve"> when setting performance targets</w:t>
      </w:r>
      <w:r>
        <w:t xml:space="preserve">.  </w:t>
      </w:r>
    </w:p>
    <w:p w:rsidR="00B71FB8" w:rsidRDefault="00DC6AE2" w:rsidP="00B71FB8">
      <w:pPr>
        <w:pStyle w:val="AERbulletlistfirststyle"/>
        <w:numPr>
          <w:ilvl w:val="0"/>
          <w:numId w:val="0"/>
        </w:numPr>
      </w:pPr>
      <w:r>
        <w:t>However, t</w:t>
      </w:r>
      <w:r w:rsidR="00FC3A11">
        <w:t>he market impact component had no such clauses</w:t>
      </w:r>
      <w:r w:rsidR="00BF68AC">
        <w:t>.</w:t>
      </w:r>
      <w:r w:rsidR="00FC3A11">
        <w:t xml:space="preserve"> </w:t>
      </w:r>
      <w:r w:rsidR="00BF68AC">
        <w:t>T</w:t>
      </w:r>
      <w:r w:rsidR="00FC3A11">
        <w:t xml:space="preserve">o promote </w:t>
      </w:r>
      <w:r w:rsidR="00B71FB8">
        <w:t>consistency</w:t>
      </w:r>
      <w:r w:rsidR="00FC3A11">
        <w:t xml:space="preserve"> and avoid potential </w:t>
      </w:r>
      <w:r w:rsidR="00B71FB8">
        <w:t xml:space="preserve">unintended consequences the AER is amending the STPIS. </w:t>
      </w:r>
      <w:r w:rsidR="00B71FB8" w:rsidRPr="00C26293">
        <w:t xml:space="preserve">Ordinarily, </w:t>
      </w:r>
      <w:r w:rsidR="00B71FB8" w:rsidRPr="003E78E3">
        <w:t xml:space="preserve">the rolling target ensures the benchmark for setting performance targets is relevant to the TNSP's current maintenance and construction activities. </w:t>
      </w:r>
      <w:r w:rsidR="00B71FB8">
        <w:t xml:space="preserve">The amendment will realign the period over which </w:t>
      </w:r>
      <w:proofErr w:type="spellStart"/>
      <w:r w:rsidR="00ED417F">
        <w:t>Directlink’s</w:t>
      </w:r>
      <w:proofErr w:type="spellEnd"/>
      <w:r w:rsidR="00B71FB8">
        <w:t xml:space="preserve"> targets and measures are calculated to avoid distortions from </w:t>
      </w:r>
      <w:proofErr w:type="spellStart"/>
      <w:r w:rsidR="00B71FB8" w:rsidRPr="003E78E3">
        <w:t>Directlink’s</w:t>
      </w:r>
      <w:proofErr w:type="spellEnd"/>
      <w:r w:rsidR="00B71FB8" w:rsidRPr="003E78E3">
        <w:t xml:space="preserve"> recent historical performance </w:t>
      </w:r>
      <w:r w:rsidR="00B71FB8">
        <w:t xml:space="preserve">which </w:t>
      </w:r>
      <w:r w:rsidR="00B71FB8" w:rsidRPr="003E78E3">
        <w:t xml:space="preserve">may distort the quality and reliability incentives for </w:t>
      </w:r>
      <w:proofErr w:type="spellStart"/>
      <w:r w:rsidR="00B71FB8" w:rsidRPr="003E78E3">
        <w:t>Directlink</w:t>
      </w:r>
      <w:proofErr w:type="spellEnd"/>
      <w:r w:rsidR="00B71FB8" w:rsidRPr="003E78E3">
        <w:t xml:space="preserve"> for the next regulatory control period. </w:t>
      </w:r>
      <w:r w:rsidR="005B3A77">
        <w:t xml:space="preserve">Without the amendment, </w:t>
      </w:r>
      <w:proofErr w:type="spellStart"/>
      <w:r w:rsidR="005B3A77">
        <w:t>Directlink</w:t>
      </w:r>
      <w:proofErr w:type="spellEnd"/>
      <w:r w:rsidR="005B3A77">
        <w:t xml:space="preserve"> may have received a reward for ‘improved’ performance even though its performance was merely a return to ‘business as usual’ operation.</w:t>
      </w:r>
    </w:p>
    <w:p w:rsidR="00B71FB8" w:rsidRPr="003E78E3" w:rsidRDefault="00B71FB8" w:rsidP="00B71FB8">
      <w:pPr>
        <w:pStyle w:val="AERbulletlistfirststyle"/>
        <w:numPr>
          <w:ilvl w:val="0"/>
          <w:numId w:val="0"/>
        </w:numPr>
      </w:pPr>
      <w:proofErr w:type="spellStart"/>
      <w:r>
        <w:t>Directlink</w:t>
      </w:r>
      <w:proofErr w:type="spellEnd"/>
      <w:r>
        <w:t xml:space="preserve"> w</w:t>
      </w:r>
      <w:r w:rsidR="00DC6AE2">
        <w:t>as</w:t>
      </w:r>
      <w:r>
        <w:t xml:space="preserve"> the only respondent to the AER’s consultat</w:t>
      </w:r>
      <w:r w:rsidR="005B3A77">
        <w:t xml:space="preserve">ion on the proposed amendment. </w:t>
      </w:r>
      <w:proofErr w:type="spellStart"/>
      <w:r>
        <w:t>Directlink</w:t>
      </w:r>
      <w:proofErr w:type="spellEnd"/>
      <w:r>
        <w:t xml:space="preserve"> w</w:t>
      </w:r>
      <w:r w:rsidR="00DC6AE2">
        <w:t>as</w:t>
      </w:r>
      <w:r>
        <w:t xml:space="preserve"> supportive of the change.</w:t>
      </w:r>
    </w:p>
    <w:p w:rsidR="007D5460" w:rsidRDefault="007D5460" w:rsidP="00F66D42">
      <w:pPr>
        <w:pStyle w:val="AERbodytext"/>
      </w:pPr>
    </w:p>
    <w:p w:rsidR="00AF68A3" w:rsidRPr="00F66D42" w:rsidRDefault="00AF68A3" w:rsidP="00F66D42">
      <w:pPr>
        <w:pStyle w:val="AERbodytext"/>
      </w:pPr>
    </w:p>
    <w:p w:rsidR="002C1FBA" w:rsidRPr="00993AC5" w:rsidRDefault="002C1FBA" w:rsidP="002C1FBA">
      <w:pPr>
        <w:pStyle w:val="Heading1"/>
      </w:pPr>
      <w:bookmarkStart w:id="8" w:name="_Toc397943242"/>
      <w:r>
        <w:lastRenderedPageBreak/>
        <w:t>Introduction</w:t>
      </w:r>
      <w:bookmarkEnd w:id="8"/>
    </w:p>
    <w:p w:rsidR="002C1FBA" w:rsidRDefault="002C1FBA" w:rsidP="002C1FBA">
      <w:pPr>
        <w:pStyle w:val="AERbodytext"/>
      </w:pPr>
      <w:r>
        <w:t>The AER is responsible for regulating the revenues of TNSPs in the NEM in accordance with the Electricity Rules.</w:t>
      </w:r>
    </w:p>
    <w:p w:rsidR="002C1FBA" w:rsidRDefault="002C1FBA" w:rsidP="002C1FBA">
      <w:pPr>
        <w:pStyle w:val="AERbodytext"/>
      </w:pPr>
      <w:r>
        <w:t>Under clause 6A.7.4 of the Electricity Rules, the AER is responsible for establishing a STPIS. This scheme is designed to provide incentives for each TNSP to maintain or improve the reliability of transmission network services.</w:t>
      </w:r>
    </w:p>
    <w:p w:rsidR="00695784" w:rsidRDefault="00695784" w:rsidP="00695784">
      <w:pPr>
        <w:pStyle w:val="AERbodytext"/>
      </w:pPr>
      <w:r>
        <w:t xml:space="preserve">The existing version of the scheme (version 4) has three main components: </w:t>
      </w:r>
    </w:p>
    <w:p w:rsidR="00695784" w:rsidRDefault="00695784" w:rsidP="00695784">
      <w:pPr>
        <w:pStyle w:val="AERbulletlistfirststyle"/>
      </w:pPr>
      <w:proofErr w:type="gramStart"/>
      <w:r>
        <w:t>the</w:t>
      </w:r>
      <w:proofErr w:type="gramEnd"/>
      <w:r>
        <w:t xml:space="preserve"> service component, which has an incentive of +/- 1 per cent of maximum allowed revenue (MAR). It has three main parameters: </w:t>
      </w:r>
      <w:r w:rsidRPr="000A5CD0">
        <w:rPr>
          <w:i/>
        </w:rPr>
        <w:t>loss of supply event frequency</w:t>
      </w:r>
      <w:r>
        <w:t>,</w:t>
      </w:r>
      <w:r w:rsidRPr="007337F3">
        <w:t xml:space="preserve"> </w:t>
      </w:r>
      <w:r>
        <w:t xml:space="preserve">which measures the number of large and small interruption to supply events; </w:t>
      </w:r>
      <w:r w:rsidRPr="000A5CD0">
        <w:rPr>
          <w:i/>
        </w:rPr>
        <w:t>average outage duration</w:t>
      </w:r>
      <w:r>
        <w:rPr>
          <w:b/>
        </w:rPr>
        <w:t>,</w:t>
      </w:r>
      <w:r w:rsidRPr="007337F3">
        <w:t xml:space="preserve"> </w:t>
      </w:r>
      <w:r>
        <w:t xml:space="preserve">which measures the average duration of loss of supply events; and </w:t>
      </w:r>
      <w:r w:rsidRPr="000A5CD0">
        <w:rPr>
          <w:i/>
        </w:rPr>
        <w:t>average circuit outage rate</w:t>
      </w:r>
      <w:r>
        <w:rPr>
          <w:b/>
        </w:rPr>
        <w:t xml:space="preserve">, </w:t>
      </w:r>
      <w:r w:rsidRPr="00646B97">
        <w:t>which</w:t>
      </w:r>
      <w:r>
        <w:rPr>
          <w:b/>
        </w:rPr>
        <w:t xml:space="preserve"> </w:t>
      </w:r>
      <w:r w:rsidRPr="00646B97">
        <w:t>is a new</w:t>
      </w:r>
      <w:r>
        <w:rPr>
          <w:b/>
        </w:rPr>
        <w:t xml:space="preserve"> </w:t>
      </w:r>
      <w:r w:rsidRPr="00646B97">
        <w:t xml:space="preserve">measure </w:t>
      </w:r>
      <w:r>
        <w:t xml:space="preserve">of </w:t>
      </w:r>
      <w:r w:rsidRPr="00646B97">
        <w:t>the number of unplanned</w:t>
      </w:r>
      <w:r>
        <w:rPr>
          <w:b/>
        </w:rPr>
        <w:t xml:space="preserve"> </w:t>
      </w:r>
      <w:r w:rsidRPr="00646B97">
        <w:t>faults on the</w:t>
      </w:r>
      <w:r>
        <w:t xml:space="preserve"> transmission network. The service component also includes a reporting only parameter which measures the number of times that protection and control equipment fails to operate correctly</w:t>
      </w:r>
    </w:p>
    <w:p w:rsidR="00695784" w:rsidRDefault="00695784" w:rsidP="00695784">
      <w:pPr>
        <w:pStyle w:val="AERbulletlistfirststyle"/>
      </w:pPr>
      <w:proofErr w:type="gramStart"/>
      <w:r>
        <w:t>the</w:t>
      </w:r>
      <w:proofErr w:type="gramEnd"/>
      <w:r>
        <w:t xml:space="preserve"> </w:t>
      </w:r>
      <w:r w:rsidR="00C16743">
        <w:t>market impact component (</w:t>
      </w:r>
      <w:r>
        <w:t>MIC</w:t>
      </w:r>
      <w:r w:rsidR="00C16743">
        <w:t>)</w:t>
      </w:r>
      <w:r>
        <w:t>, which has an incentive of 0 to 2 per cent of MAR. This component rewards TNSPs for reducing the market impact of transmission outages by measuring the impact on a rolling two calendar year basis compared to the average impact over the previous three</w:t>
      </w:r>
      <w:r w:rsidRPr="00646B97">
        <w:t xml:space="preserve"> </w:t>
      </w:r>
      <w:r>
        <w:t>calendar years, and</w:t>
      </w:r>
    </w:p>
    <w:p w:rsidR="00695784" w:rsidRDefault="00695784" w:rsidP="00695784">
      <w:pPr>
        <w:pStyle w:val="AERbulletlistfirststyle"/>
      </w:pPr>
      <w:proofErr w:type="gramStart"/>
      <w:r>
        <w:t>the</w:t>
      </w:r>
      <w:proofErr w:type="gramEnd"/>
      <w:r>
        <w:t xml:space="preserve"> network capability component, which provides an incentive of 1.5 per cent of MAR subject to completion of projects that improve the capability of the transmission network at times most needed. The component is designed to influence a TNSP’s operation and management of its network assets to develop one-off projects that can be delivered through low cost operational and capital expenditure (up to a total of 1 per cent of the proposed MAR per year). </w:t>
      </w:r>
      <w:r w:rsidRPr="000A5CD0">
        <w:t>AEMO</w:t>
      </w:r>
      <w:r>
        <w:t xml:space="preserve"> play</w:t>
      </w:r>
      <w:r w:rsidR="009949B2">
        <w:t>s</w:t>
      </w:r>
      <w:r>
        <w:t xml:space="preserve"> a part in</w:t>
      </w:r>
      <w:r w:rsidRPr="000A5CD0">
        <w:t xml:space="preserve"> prioritising the projects </w:t>
      </w:r>
      <w:r>
        <w:t xml:space="preserve">to </w:t>
      </w:r>
      <w:r w:rsidRPr="000A5CD0">
        <w:t>deliver best value for money for consumers.</w:t>
      </w:r>
    </w:p>
    <w:p w:rsidR="00695784" w:rsidRPr="00695784" w:rsidRDefault="00695784" w:rsidP="00695784">
      <w:pPr>
        <w:pStyle w:val="Heading2"/>
      </w:pPr>
      <w:bookmarkStart w:id="9" w:name="_Toc397943243"/>
      <w:proofErr w:type="spellStart"/>
      <w:r>
        <w:t>Directlink</w:t>
      </w:r>
      <w:bookmarkEnd w:id="9"/>
      <w:proofErr w:type="spellEnd"/>
    </w:p>
    <w:p w:rsidR="00695784" w:rsidRPr="00DE48E1" w:rsidRDefault="00695784" w:rsidP="00695784">
      <w:pPr>
        <w:pStyle w:val="AERbodytext"/>
        <w:numPr>
          <w:ilvl w:val="0"/>
          <w:numId w:val="6"/>
        </w:numPr>
      </w:pPr>
      <w:r w:rsidRPr="00415D72">
        <w:t xml:space="preserve">The </w:t>
      </w:r>
      <w:proofErr w:type="spellStart"/>
      <w:r w:rsidRPr="00415D72">
        <w:t>Directlink</w:t>
      </w:r>
      <w:proofErr w:type="spellEnd"/>
      <w:r w:rsidRPr="00415D72">
        <w:t xml:space="preserve"> interconnector </w:t>
      </w:r>
      <w:r>
        <w:t xml:space="preserve">owned by the APA </w:t>
      </w:r>
      <w:r w:rsidR="006609E5">
        <w:t>G</w:t>
      </w:r>
      <w:r>
        <w:t xml:space="preserve">roup is </w:t>
      </w:r>
      <w:r w:rsidR="006609E5">
        <w:t>a 59 kilometre</w:t>
      </w:r>
      <w:r w:rsidRPr="00415D72">
        <w:t xml:space="preserve">, 180 </w:t>
      </w:r>
      <w:r w:rsidR="006609E5">
        <w:t>megawatt (MW)</w:t>
      </w:r>
      <w:r w:rsidRPr="00415D72">
        <w:t xml:space="preserve"> High Voltage Direct Current (HVDC) interconnect connecting the N</w:t>
      </w:r>
      <w:r w:rsidR="006609E5">
        <w:t xml:space="preserve">ew </w:t>
      </w:r>
      <w:r w:rsidRPr="00415D72">
        <w:t>S</w:t>
      </w:r>
      <w:r w:rsidR="006609E5">
        <w:t xml:space="preserve">outh </w:t>
      </w:r>
      <w:r w:rsidRPr="00415D72">
        <w:t>W</w:t>
      </w:r>
      <w:r w:rsidR="006609E5">
        <w:t>ales</w:t>
      </w:r>
      <w:r w:rsidRPr="00415D72">
        <w:t xml:space="preserve"> and Q</w:t>
      </w:r>
      <w:r w:rsidR="006609E5">
        <w:t>ueenslan</w:t>
      </w:r>
      <w:r w:rsidRPr="00415D72">
        <w:t>d markets.</w:t>
      </w:r>
      <w:r>
        <w:t xml:space="preserve"> It</w:t>
      </w:r>
      <w:r w:rsidRPr="00415D72">
        <w:t xml:space="preserve"> comprises six AC/DC convertor stations (three at each end) and the six cables (three pairs) that link them,</w:t>
      </w:r>
      <w:r w:rsidR="001F1209">
        <w:t xml:space="preserve"> making up three circuits of 60 </w:t>
      </w:r>
      <w:r w:rsidRPr="00415D72">
        <w:t>MW each (total of 180</w:t>
      </w:r>
      <w:r w:rsidR="001F1209">
        <w:t> </w:t>
      </w:r>
      <w:r w:rsidRPr="00415D72">
        <w:t>MW). It is made up of both primary equipment (the major components operating at high voltage) and secondary equipment (necessary for the operation of the primary equipment).</w:t>
      </w:r>
    </w:p>
    <w:p w:rsidR="00695784" w:rsidRDefault="00695784" w:rsidP="00695784">
      <w:pPr>
        <w:pStyle w:val="AERbodytext"/>
        <w:numPr>
          <w:ilvl w:val="0"/>
          <w:numId w:val="6"/>
        </w:numPr>
      </w:pPr>
      <w:proofErr w:type="spellStart"/>
      <w:r>
        <w:t>D</w:t>
      </w:r>
      <w:r w:rsidRPr="00802974">
        <w:t>ir</w:t>
      </w:r>
      <w:r w:rsidR="00FA0321">
        <w:t>ectlink</w:t>
      </w:r>
      <w:proofErr w:type="spellEnd"/>
      <w:r w:rsidR="00FA0321">
        <w:t xml:space="preserve"> has been in service for more than </w:t>
      </w:r>
      <w:r>
        <w:t>14</w:t>
      </w:r>
      <w:r w:rsidRPr="00802974">
        <w:t xml:space="preserve"> years</w:t>
      </w:r>
      <w:r>
        <w:t>; it</w:t>
      </w:r>
      <w:r w:rsidRPr="00802974">
        <w:t xml:space="preserve"> first came into operation on 25 July 2000 as an unregulated Market Network Service Provider, earning revenue from the NEM by providing a market network service between the </w:t>
      </w:r>
      <w:r w:rsidR="009739F6" w:rsidRPr="00415D72">
        <w:t>N</w:t>
      </w:r>
      <w:r w:rsidR="009739F6">
        <w:t xml:space="preserve">ew </w:t>
      </w:r>
      <w:r w:rsidR="009739F6" w:rsidRPr="00415D72">
        <w:t>S</w:t>
      </w:r>
      <w:r w:rsidR="009739F6">
        <w:t xml:space="preserve">outh </w:t>
      </w:r>
      <w:r w:rsidR="009739F6" w:rsidRPr="00415D72">
        <w:t>W</w:t>
      </w:r>
      <w:r w:rsidR="009739F6">
        <w:t>ales</w:t>
      </w:r>
      <w:r w:rsidRPr="00802974">
        <w:t xml:space="preserve"> and Queensland power grids. In March 2006, </w:t>
      </w:r>
      <w:proofErr w:type="spellStart"/>
      <w:r w:rsidRPr="00802974">
        <w:t>Directlink</w:t>
      </w:r>
      <w:proofErr w:type="spellEnd"/>
      <w:r w:rsidRPr="00802974">
        <w:t xml:space="preserve"> converted to a regulated interconnec</w:t>
      </w:r>
      <w:r>
        <w:t>tor (i.e. a prescribed service)</w:t>
      </w:r>
      <w:r w:rsidRPr="00802974">
        <w:t xml:space="preserve"> following application for conversion and an AER determination allowing conversion of </w:t>
      </w:r>
      <w:proofErr w:type="spellStart"/>
      <w:r w:rsidRPr="00802974">
        <w:t>Directlink</w:t>
      </w:r>
      <w:proofErr w:type="spellEnd"/>
      <w:r w:rsidRPr="00802974">
        <w:t xml:space="preserve"> to a regulated interconnector.</w:t>
      </w:r>
    </w:p>
    <w:p w:rsidR="00695784" w:rsidRDefault="00695784" w:rsidP="00695784">
      <w:pPr>
        <w:pStyle w:val="AERbulletlistfirststyle"/>
        <w:numPr>
          <w:ilvl w:val="0"/>
          <w:numId w:val="0"/>
        </w:numPr>
      </w:pPr>
      <w:r>
        <w:t xml:space="preserve">Under version 4 of the STPIS (December 2012), </w:t>
      </w:r>
      <w:proofErr w:type="spellStart"/>
      <w:r>
        <w:t>Directlink</w:t>
      </w:r>
      <w:proofErr w:type="spellEnd"/>
      <w:r>
        <w:t xml:space="preserve"> will be subject to the </w:t>
      </w:r>
      <w:r w:rsidR="000130CD">
        <w:t>s</w:t>
      </w:r>
      <w:r>
        <w:t xml:space="preserve">ervice </w:t>
      </w:r>
      <w:r w:rsidR="000130CD">
        <w:t>c</w:t>
      </w:r>
      <w:r w:rsidRPr="003E78E3">
        <w:t xml:space="preserve">omponent and the MIC, from 1 July 2015. This is the first time </w:t>
      </w:r>
      <w:proofErr w:type="spellStart"/>
      <w:r w:rsidRPr="003E78E3">
        <w:t>Directlink</w:t>
      </w:r>
      <w:proofErr w:type="spellEnd"/>
      <w:r w:rsidRPr="003E78E3">
        <w:t xml:space="preserve"> will be assessed under the STPIS, as it is currently assessed under the ACCC service standards guidelines for the current regulatory period 2006–2015.</w:t>
      </w:r>
      <w:r>
        <w:t xml:space="preserve"> </w:t>
      </w:r>
    </w:p>
    <w:p w:rsidR="002C1FBA" w:rsidRPr="00D17416" w:rsidRDefault="00AB2AB8" w:rsidP="002C1FBA">
      <w:pPr>
        <w:pStyle w:val="Heading2"/>
      </w:pPr>
      <w:bookmarkStart w:id="10" w:name="_Toc397943244"/>
      <w:r w:rsidRPr="00D17416">
        <w:lastRenderedPageBreak/>
        <w:t>R</w:t>
      </w:r>
      <w:r w:rsidR="002C1FBA" w:rsidRPr="00D17416">
        <w:t xml:space="preserve">eview of the </w:t>
      </w:r>
      <w:r w:rsidR="00A404AB" w:rsidRPr="00D17416">
        <w:rPr>
          <w:lang w:val="en-AU"/>
        </w:rPr>
        <w:t>scheme</w:t>
      </w:r>
      <w:bookmarkEnd w:id="10"/>
    </w:p>
    <w:p w:rsidR="00F307F2" w:rsidRDefault="00F307F2" w:rsidP="00F307F2">
      <w:pPr>
        <w:pStyle w:val="AERbodytext"/>
        <w:numPr>
          <w:ilvl w:val="0"/>
          <w:numId w:val="6"/>
        </w:numPr>
      </w:pPr>
      <w:r w:rsidRPr="00D17416">
        <w:t>In early 2014,</w:t>
      </w:r>
      <w:r w:rsidR="00695784" w:rsidRPr="00D17416">
        <w:t xml:space="preserve"> </w:t>
      </w:r>
      <w:r w:rsidRPr="00D17416">
        <w:t xml:space="preserve">the AER identified that a severe outage of the </w:t>
      </w:r>
      <w:proofErr w:type="spellStart"/>
      <w:r w:rsidRPr="00D17416">
        <w:t>Directlink</w:t>
      </w:r>
      <w:proofErr w:type="spellEnd"/>
      <w:r w:rsidRPr="00D17416">
        <w:t xml:space="preserve"> interconnector may require </w:t>
      </w:r>
      <w:r w:rsidR="00695784" w:rsidRPr="00D17416">
        <w:t xml:space="preserve">a limited amendment to the STPIS </w:t>
      </w:r>
      <w:r w:rsidRPr="00D17416">
        <w:t xml:space="preserve">to ensure </w:t>
      </w:r>
      <w:r w:rsidR="00FA0321" w:rsidRPr="00D17416">
        <w:t xml:space="preserve">that </w:t>
      </w:r>
      <w:r w:rsidRPr="00D17416">
        <w:t xml:space="preserve">incentives </w:t>
      </w:r>
      <w:r w:rsidR="00FA0321" w:rsidRPr="00D17416">
        <w:t xml:space="preserve">consistent with the intention of the scheme and the normal operation of the assets </w:t>
      </w:r>
      <w:r w:rsidRPr="00D17416">
        <w:t>were maintained</w:t>
      </w:r>
      <w:r w:rsidR="00695784" w:rsidRPr="00D17416">
        <w:t xml:space="preserve">. </w:t>
      </w:r>
      <w:r w:rsidRPr="00D17416">
        <w:t xml:space="preserve">In August 2012, </w:t>
      </w:r>
      <w:proofErr w:type="spellStart"/>
      <w:r w:rsidRPr="00D17416">
        <w:t>Directlink’s</w:t>
      </w:r>
      <w:proofErr w:type="spellEnd"/>
      <w:r w:rsidRPr="00D17416">
        <w:t xml:space="preserve"> equipment associated with one of the three DC systems that comprise the DC interconnector transmission asset was damaged by a fire at its Mullumbimby site. </w:t>
      </w:r>
      <w:proofErr w:type="spellStart"/>
      <w:r w:rsidRPr="00D17416">
        <w:t>Directlink</w:t>
      </w:r>
      <w:proofErr w:type="spellEnd"/>
      <w:r w:rsidRPr="00F77D72">
        <w:t xml:space="preserve"> took the relevant system out of service to repair the damage caused by the fire. Subsequent outages occurred on other systems to minimise the likelihood of further damage. The System 1 outage continue</w:t>
      </w:r>
      <w:r>
        <w:t>s</w:t>
      </w:r>
      <w:r w:rsidRPr="00F77D72">
        <w:t xml:space="preserve"> to</w:t>
      </w:r>
      <w:r>
        <w:t>day and will continue until mid-</w:t>
      </w:r>
      <w:r w:rsidRPr="00F77D72">
        <w:t>2015. As a result the DC interconnector will be operated at substantially lower capacity for around three years in total.</w:t>
      </w:r>
    </w:p>
    <w:p w:rsidR="002C1FBA" w:rsidRDefault="002C1FBA" w:rsidP="002C1FBA">
      <w:pPr>
        <w:pStyle w:val="Heading2"/>
      </w:pPr>
      <w:bookmarkStart w:id="11" w:name="_Toc397943245"/>
      <w:r>
        <w:t>Draft scheme and explanatory statement</w:t>
      </w:r>
      <w:bookmarkEnd w:id="11"/>
    </w:p>
    <w:p w:rsidR="00DC58A5" w:rsidRPr="00DC58A5" w:rsidRDefault="004573F2" w:rsidP="00695784">
      <w:pPr>
        <w:pStyle w:val="AERbodytext"/>
      </w:pPr>
      <w:r w:rsidRPr="004573F2">
        <w:t xml:space="preserve">On </w:t>
      </w:r>
      <w:r w:rsidR="009F15B8">
        <w:t>28</w:t>
      </w:r>
      <w:r w:rsidR="00695784">
        <w:t xml:space="preserve"> May </w:t>
      </w:r>
      <w:r w:rsidRPr="004573F2">
        <w:t>201</w:t>
      </w:r>
      <w:r w:rsidR="00695784">
        <w:t>4</w:t>
      </w:r>
      <w:r w:rsidRPr="004573F2">
        <w:t xml:space="preserve">, the AER issued a draft </w:t>
      </w:r>
      <w:r w:rsidR="00C37915">
        <w:t>scheme</w:t>
      </w:r>
      <w:r>
        <w:t xml:space="preserve"> with an accompanying</w:t>
      </w:r>
      <w:r w:rsidRPr="004573F2">
        <w:t xml:space="preserve"> Explanatory Statement</w:t>
      </w:r>
      <w:r w:rsidR="00DC58A5">
        <w:t xml:space="preserve">. </w:t>
      </w:r>
      <w:r>
        <w:t xml:space="preserve">The AER proposed </w:t>
      </w:r>
      <w:r w:rsidR="00695784">
        <w:t>one amendment to the scheme in relation t</w:t>
      </w:r>
      <w:r w:rsidR="00412848">
        <w:t xml:space="preserve">o the market impact component. </w:t>
      </w:r>
      <w:r w:rsidR="00695784">
        <w:t xml:space="preserve">The change was designed to be specific to </w:t>
      </w:r>
      <w:proofErr w:type="spellStart"/>
      <w:r w:rsidR="00695784">
        <w:t>Directlink</w:t>
      </w:r>
      <w:proofErr w:type="spellEnd"/>
      <w:r w:rsidR="00695784">
        <w:t xml:space="preserve">. </w:t>
      </w:r>
    </w:p>
    <w:p w:rsidR="009D1857" w:rsidRPr="009D1857" w:rsidRDefault="00423A08" w:rsidP="009D1857">
      <w:pPr>
        <w:pStyle w:val="AERbodytext"/>
        <w:rPr>
          <w:b/>
        </w:rPr>
      </w:pPr>
      <w:r w:rsidRPr="00423A08">
        <w:t xml:space="preserve">The period for submissions closed on </w:t>
      </w:r>
      <w:r w:rsidR="009F15B8">
        <w:t>10 July</w:t>
      </w:r>
      <w:r w:rsidR="00695784">
        <w:t xml:space="preserve"> 2014</w:t>
      </w:r>
      <w:r w:rsidRPr="00423A08">
        <w:t xml:space="preserve">, with the AER receiving </w:t>
      </w:r>
      <w:r w:rsidR="00695784">
        <w:t xml:space="preserve">one </w:t>
      </w:r>
      <w:r w:rsidRPr="00423A08">
        <w:t xml:space="preserve">submission from </w:t>
      </w:r>
      <w:proofErr w:type="spellStart"/>
      <w:r w:rsidR="00695784">
        <w:t>Directlink</w:t>
      </w:r>
      <w:proofErr w:type="spellEnd"/>
      <w:r w:rsidRPr="00423A08">
        <w:t>.</w:t>
      </w:r>
      <w:r>
        <w:t xml:space="preserve"> </w:t>
      </w:r>
    </w:p>
    <w:p w:rsidR="003457C1" w:rsidRPr="003457C1" w:rsidRDefault="00695784" w:rsidP="00695784">
      <w:pPr>
        <w:pStyle w:val="Heading1"/>
      </w:pPr>
      <w:bookmarkStart w:id="12" w:name="_Toc397943246"/>
      <w:r>
        <w:lastRenderedPageBreak/>
        <w:t xml:space="preserve">Amendments to the </w:t>
      </w:r>
      <w:r w:rsidR="00615583">
        <w:t>s</w:t>
      </w:r>
      <w:r w:rsidR="003457C1">
        <w:t>cheme</w:t>
      </w:r>
      <w:bookmarkEnd w:id="12"/>
    </w:p>
    <w:p w:rsidR="00955E77" w:rsidRDefault="007D4C59" w:rsidP="00695784">
      <w:pPr>
        <w:pStyle w:val="Heading2"/>
      </w:pPr>
      <w:bookmarkStart w:id="13" w:name="_Toc342305796"/>
      <w:bookmarkStart w:id="14" w:name="_Toc342305865"/>
      <w:bookmarkStart w:id="15" w:name="_Toc342466184"/>
      <w:bookmarkStart w:id="16" w:name="_Toc332324583"/>
      <w:bookmarkStart w:id="17" w:name="_Toc397943247"/>
      <w:bookmarkStart w:id="18" w:name="_Toc331526944"/>
      <w:bookmarkEnd w:id="6"/>
      <w:bookmarkEnd w:id="13"/>
      <w:bookmarkEnd w:id="14"/>
      <w:bookmarkEnd w:id="15"/>
      <w:bookmarkEnd w:id="16"/>
      <w:r>
        <w:t>S</w:t>
      </w:r>
      <w:r w:rsidR="00955E77">
        <w:t>ervice component</w:t>
      </w:r>
      <w:bookmarkEnd w:id="17"/>
      <w:r w:rsidR="00955E77">
        <w:t xml:space="preserve"> </w:t>
      </w:r>
    </w:p>
    <w:p w:rsidR="002236D5" w:rsidRDefault="00254707" w:rsidP="00D60762">
      <w:pPr>
        <w:pStyle w:val="AERbulletlistfirststyle"/>
        <w:numPr>
          <w:ilvl w:val="0"/>
          <w:numId w:val="0"/>
        </w:numPr>
      </w:pPr>
      <w:bookmarkStart w:id="19" w:name="_Toc342305798"/>
      <w:bookmarkStart w:id="20" w:name="_Toc342305867"/>
      <w:bookmarkStart w:id="21" w:name="_Toc342466186"/>
      <w:bookmarkEnd w:id="19"/>
      <w:bookmarkEnd w:id="20"/>
      <w:bookmarkEnd w:id="21"/>
      <w:r>
        <w:t>T</w:t>
      </w:r>
      <w:r w:rsidR="00D60762">
        <w:t xml:space="preserve">he service component </w:t>
      </w:r>
      <w:r w:rsidR="00D60762" w:rsidRPr="003E78E3">
        <w:t>is worth up to +/</w:t>
      </w:r>
      <w:r w:rsidR="00D60762">
        <w:noBreakHyphen/>
      </w:r>
      <w:r w:rsidR="00D60762" w:rsidRPr="003E78E3">
        <w:t xml:space="preserve">1 per cent of MAR. </w:t>
      </w:r>
      <w:r>
        <w:t xml:space="preserve">Under version 4 of the STPIS, the only service component parameter which </w:t>
      </w:r>
      <w:r w:rsidR="002236D5">
        <w:t>will apply</w:t>
      </w:r>
      <w:r>
        <w:t xml:space="preserve"> to </w:t>
      </w:r>
      <w:proofErr w:type="spellStart"/>
      <w:r>
        <w:t>Directlink</w:t>
      </w:r>
      <w:proofErr w:type="spellEnd"/>
      <w:r>
        <w:t xml:space="preserve"> </w:t>
      </w:r>
      <w:r w:rsidR="002236D5">
        <w:t>in</w:t>
      </w:r>
      <w:r w:rsidR="002236D5" w:rsidRPr="003E78E3">
        <w:t xml:space="preserve"> the coming regulatory control period</w:t>
      </w:r>
      <w:r w:rsidR="002236D5">
        <w:t xml:space="preserve"> </w:t>
      </w:r>
      <w:r>
        <w:t xml:space="preserve">is the </w:t>
      </w:r>
      <w:r w:rsidRPr="003E78E3">
        <w:t>‘average circuit outage rate’</w:t>
      </w:r>
      <w:r>
        <w:t xml:space="preserve">. </w:t>
      </w:r>
    </w:p>
    <w:p w:rsidR="002236D5" w:rsidRDefault="002236D5" w:rsidP="005F2EE8">
      <w:pPr>
        <w:pStyle w:val="Heading3"/>
        <w:numPr>
          <w:ilvl w:val="0"/>
          <w:numId w:val="0"/>
        </w:numPr>
      </w:pPr>
      <w:r>
        <w:t>Draft decision</w:t>
      </w:r>
    </w:p>
    <w:p w:rsidR="00D60762" w:rsidRDefault="006546E3" w:rsidP="00D60762">
      <w:pPr>
        <w:pStyle w:val="AERbulletlistfirststyle"/>
        <w:numPr>
          <w:ilvl w:val="0"/>
          <w:numId w:val="0"/>
        </w:numPr>
      </w:pPr>
      <w:r>
        <w:t>The AER assessed whether the Mullumbimby fire would</w:t>
      </w:r>
      <w:r w:rsidR="00036470">
        <w:t xml:space="preserve"> affect the setting</w:t>
      </w:r>
      <w:r>
        <w:t xml:space="preserve"> of </w:t>
      </w:r>
      <w:r w:rsidR="00036470" w:rsidRPr="003E78E3">
        <w:t xml:space="preserve">the performance target </w:t>
      </w:r>
      <w:r w:rsidR="00036470">
        <w:t>for t</w:t>
      </w:r>
      <w:r w:rsidR="00F5530F">
        <w:t>he average circuit outage rate</w:t>
      </w:r>
      <w:r w:rsidR="00036470">
        <w:t xml:space="preserve"> parameter</w:t>
      </w:r>
      <w:r w:rsidR="00D60762" w:rsidRPr="003E78E3">
        <w:t xml:space="preserve">. </w:t>
      </w:r>
      <w:r w:rsidR="00036470">
        <w:t>As t</w:t>
      </w:r>
      <w:r w:rsidR="00D60762" w:rsidRPr="003E78E3">
        <w:t>he measure for average circuit outage rate is the ‘number of events’</w:t>
      </w:r>
      <w:r w:rsidR="00036470">
        <w:t>, we considered</w:t>
      </w:r>
      <w:r w:rsidR="00D60762" w:rsidRPr="003E78E3">
        <w:t xml:space="preserve"> </w:t>
      </w:r>
      <w:r w:rsidR="00036470">
        <w:t>t</w:t>
      </w:r>
      <w:r w:rsidR="00D60762" w:rsidRPr="003E78E3">
        <w:t xml:space="preserve">he fire and the consequential faults would have a lower impact than if it was time based. </w:t>
      </w:r>
      <w:r w:rsidR="002236D5">
        <w:t>Accordingly we</w:t>
      </w:r>
      <w:r w:rsidR="00D60762" w:rsidRPr="003E78E3">
        <w:t xml:space="preserve"> d</w:t>
      </w:r>
      <w:r w:rsidR="002236D5">
        <w:t>id</w:t>
      </w:r>
      <w:r w:rsidR="00D60762" w:rsidRPr="003E78E3">
        <w:t xml:space="preserve"> not propose any changes to STPIS version 4 relating to the service component.</w:t>
      </w:r>
    </w:p>
    <w:p w:rsidR="002236D5" w:rsidRDefault="002236D5" w:rsidP="005F2EE8">
      <w:pPr>
        <w:pStyle w:val="Heading3"/>
        <w:numPr>
          <w:ilvl w:val="0"/>
          <w:numId w:val="0"/>
        </w:numPr>
      </w:pPr>
      <w:r>
        <w:t>Issues raised in submissions</w:t>
      </w:r>
    </w:p>
    <w:p w:rsidR="002236D5" w:rsidRPr="002B3ABC" w:rsidRDefault="002236D5" w:rsidP="002236D5">
      <w:pPr>
        <w:pStyle w:val="AERbodytext"/>
        <w:rPr>
          <w:lang w:eastAsia="x-none"/>
        </w:rPr>
      </w:pPr>
      <w:proofErr w:type="spellStart"/>
      <w:r>
        <w:rPr>
          <w:lang w:eastAsia="x-none"/>
        </w:rPr>
        <w:t>Directlink</w:t>
      </w:r>
      <w:proofErr w:type="spellEnd"/>
      <w:r>
        <w:rPr>
          <w:lang w:eastAsia="x-none"/>
        </w:rPr>
        <w:t xml:space="preserve"> did not raise any concerns with the AER’s proposed approach in the draft decision. </w:t>
      </w:r>
    </w:p>
    <w:p w:rsidR="002236D5" w:rsidRDefault="002236D5" w:rsidP="005F2EE8">
      <w:pPr>
        <w:pStyle w:val="Heading3"/>
        <w:numPr>
          <w:ilvl w:val="0"/>
          <w:numId w:val="0"/>
        </w:numPr>
      </w:pPr>
      <w:r>
        <w:t>AER considerations and final decision</w:t>
      </w:r>
    </w:p>
    <w:p w:rsidR="002236D5" w:rsidRPr="003E78E3" w:rsidRDefault="002236D5" w:rsidP="00D60762">
      <w:pPr>
        <w:pStyle w:val="AERbulletlistfirststyle"/>
        <w:numPr>
          <w:ilvl w:val="0"/>
          <w:numId w:val="0"/>
        </w:numPr>
      </w:pPr>
      <w:r>
        <w:t xml:space="preserve">As set out in the draft decision, the AER will maintain the service component as </w:t>
      </w:r>
      <w:r w:rsidR="00926C64">
        <w:t>per</w:t>
      </w:r>
      <w:r>
        <w:t xml:space="preserve"> version 4 of the scheme.</w:t>
      </w:r>
      <w:r w:rsidR="00C730AE">
        <w:t xml:space="preserve">  We also note that the scheme provides sufficient flexibility (see clauses 3.2(h) and (k)) to require a performance target to be based on a different period</w:t>
      </w:r>
      <w:r w:rsidR="00040F00">
        <w:t>, or alter the performance targets</w:t>
      </w:r>
      <w:r w:rsidR="00BF68AC">
        <w:t>,</w:t>
      </w:r>
      <w:r w:rsidR="00040F00">
        <w:t xml:space="preserve"> </w:t>
      </w:r>
      <w:r w:rsidR="00C730AE">
        <w:t xml:space="preserve">if the AER </w:t>
      </w:r>
      <w:r w:rsidR="00926C64">
        <w:t>is</w:t>
      </w:r>
      <w:r w:rsidR="00C730AE">
        <w:t xml:space="preserve"> satisfied that the use of a different period is consistent with the objectives of the scheme.</w:t>
      </w:r>
    </w:p>
    <w:p w:rsidR="00D60762" w:rsidRPr="003E78E3" w:rsidRDefault="00D60762" w:rsidP="00D60762">
      <w:pPr>
        <w:pStyle w:val="Heading2"/>
      </w:pPr>
      <w:bookmarkStart w:id="22" w:name="_Toc397943248"/>
      <w:r w:rsidRPr="003E78E3">
        <w:t>Market impact component</w:t>
      </w:r>
      <w:bookmarkEnd w:id="22"/>
    </w:p>
    <w:p w:rsidR="00D60762" w:rsidRPr="003E78E3" w:rsidRDefault="00D60762" w:rsidP="00D60762">
      <w:pPr>
        <w:pStyle w:val="AERbulletlistfirststyle"/>
        <w:numPr>
          <w:ilvl w:val="0"/>
          <w:numId w:val="0"/>
        </w:numPr>
      </w:pPr>
      <w:r w:rsidRPr="00C26293">
        <w:t xml:space="preserve">The MIC provides financial rewards to TNSPs for improvements in their performance measured against a performance target. A TNSP may earn an additional revenue increment of up to 2 per cent of its </w:t>
      </w:r>
      <w:r w:rsidR="009158C1">
        <w:t>MAR</w:t>
      </w:r>
      <w:r w:rsidRPr="003E78E3">
        <w:t xml:space="preserve">. Unlike the service component, the MIC has no financial penalty. </w:t>
      </w:r>
    </w:p>
    <w:p w:rsidR="00D60762" w:rsidRPr="003E78E3" w:rsidRDefault="00D60762" w:rsidP="00D60762">
      <w:pPr>
        <w:pStyle w:val="AERbulletlistfirststyle"/>
        <w:numPr>
          <w:ilvl w:val="0"/>
          <w:numId w:val="0"/>
        </w:numPr>
      </w:pPr>
      <w:r w:rsidRPr="00C26293">
        <w:t xml:space="preserve">The MIC provides an incentive to TNSPs to minimise the impact of transmission outages that can affect NEM </w:t>
      </w:r>
      <w:r w:rsidRPr="003E78E3">
        <w:t>wholesale market outcomes. It measures performance against the market impact parameter, which is the number of dispatch intervals where an outage on the TNSP’s network results in a network outage constraint with a marginal value greater than $10/</w:t>
      </w:r>
      <w:proofErr w:type="spellStart"/>
      <w:r w:rsidRPr="003E78E3">
        <w:t>MWh</w:t>
      </w:r>
      <w:proofErr w:type="spellEnd"/>
      <w:r w:rsidRPr="003E78E3">
        <w:t>.</w:t>
      </w:r>
    </w:p>
    <w:p w:rsidR="00D60762" w:rsidRDefault="00D60762" w:rsidP="00D60762">
      <w:pPr>
        <w:pStyle w:val="AERbulletlistfirststyle"/>
        <w:numPr>
          <w:ilvl w:val="0"/>
          <w:numId w:val="0"/>
        </w:numPr>
      </w:pPr>
      <w:r w:rsidRPr="00C26293">
        <w:t xml:space="preserve">In </w:t>
      </w:r>
      <w:r w:rsidRPr="003E78E3">
        <w:t xml:space="preserve">STPIS version 4, the MIC annual performance target </w:t>
      </w:r>
      <w:r w:rsidR="00040F00" w:rsidRPr="003E78E3">
        <w:t xml:space="preserve">is adjusted each year based </w:t>
      </w:r>
      <w:r w:rsidRPr="003E78E3">
        <w:t xml:space="preserve">the rolling average of performance history over the three previous calendar years. The annual performance measure is the rolling average </w:t>
      </w:r>
      <w:r w:rsidR="00040F00">
        <w:t>performance in</w:t>
      </w:r>
      <w:r w:rsidRPr="003E78E3">
        <w:t xml:space="preserve"> the two most recent calendar years. The performance measure is compared to the performance target to determine whether an incentive payment is made</w:t>
      </w:r>
      <w:r w:rsidR="00110FED">
        <w:t>.</w:t>
      </w:r>
    </w:p>
    <w:p w:rsidR="001A455C" w:rsidRDefault="001A455C" w:rsidP="001A455C">
      <w:pPr>
        <w:pStyle w:val="AERbulletlistfirststyle"/>
        <w:numPr>
          <w:ilvl w:val="0"/>
          <w:numId w:val="0"/>
        </w:numPr>
      </w:pPr>
      <w:r w:rsidRPr="009B6307">
        <w:t xml:space="preserve">In our Framework and Approach paper we advised of our intention to apply the </w:t>
      </w:r>
      <w:r>
        <w:t>MIC</w:t>
      </w:r>
      <w:r w:rsidRPr="009B6307">
        <w:t xml:space="preserve"> in version 4 of the STPIS (version 4 of the STPIS was introduced in December 2012). The MIC has not previously applied to </w:t>
      </w:r>
      <w:proofErr w:type="spellStart"/>
      <w:r w:rsidRPr="009B6307">
        <w:t>Directlink</w:t>
      </w:r>
      <w:proofErr w:type="spellEnd"/>
      <w:r w:rsidRPr="009B6307">
        <w:t xml:space="preserve">. </w:t>
      </w:r>
    </w:p>
    <w:p w:rsidR="00110FED" w:rsidRDefault="00110FED" w:rsidP="005F2EE8">
      <w:pPr>
        <w:pStyle w:val="Heading3"/>
        <w:numPr>
          <w:ilvl w:val="0"/>
          <w:numId w:val="0"/>
        </w:numPr>
      </w:pPr>
      <w:r>
        <w:t>Draft decision</w:t>
      </w:r>
    </w:p>
    <w:p w:rsidR="00D60762" w:rsidRPr="003E78E3" w:rsidRDefault="00110FED" w:rsidP="00D60762">
      <w:pPr>
        <w:pStyle w:val="AERbulletlistfirststyle"/>
        <w:numPr>
          <w:ilvl w:val="0"/>
          <w:numId w:val="0"/>
        </w:numPr>
      </w:pPr>
      <w:r>
        <w:t>The AER identified that amendments were require</w:t>
      </w:r>
      <w:r w:rsidR="002B3ABC">
        <w:t>d</w:t>
      </w:r>
      <w:r>
        <w:t xml:space="preserve"> to the method for determining </w:t>
      </w:r>
      <w:r w:rsidR="001A455C">
        <w:t>MIC</w:t>
      </w:r>
      <w:r>
        <w:t xml:space="preserve"> targets for </w:t>
      </w:r>
      <w:proofErr w:type="spellStart"/>
      <w:r>
        <w:t>Directlink</w:t>
      </w:r>
      <w:proofErr w:type="spellEnd"/>
      <w:r>
        <w:t xml:space="preserve"> in light of the Mullumbimby fire. </w:t>
      </w:r>
      <w:r w:rsidR="00D60762" w:rsidRPr="00C26293">
        <w:t xml:space="preserve">Ordinarily, </w:t>
      </w:r>
      <w:r w:rsidR="00D60762" w:rsidRPr="003E78E3">
        <w:t xml:space="preserve">the rolling target ensures the benchmark for setting performance targets is relevant to the TNSP's current maintenance and construction activities. </w:t>
      </w:r>
      <w:r>
        <w:t xml:space="preserve">The AER identified three </w:t>
      </w:r>
      <w:r w:rsidR="001A455C">
        <w:t>reason</w:t>
      </w:r>
      <w:r>
        <w:t xml:space="preserve">s for a specific </w:t>
      </w:r>
      <w:proofErr w:type="spellStart"/>
      <w:r>
        <w:t>Directlink</w:t>
      </w:r>
      <w:proofErr w:type="spellEnd"/>
      <w:r>
        <w:t xml:space="preserve"> amendment</w:t>
      </w:r>
      <w:r w:rsidR="00D60762" w:rsidRPr="003E78E3">
        <w:t>:</w:t>
      </w:r>
    </w:p>
    <w:p w:rsidR="00D60762" w:rsidRPr="003E78E3" w:rsidRDefault="00D60762" w:rsidP="00255A0C">
      <w:pPr>
        <w:pStyle w:val="AERbulletlistfirststyle"/>
      </w:pPr>
      <w:proofErr w:type="spellStart"/>
      <w:r w:rsidRPr="003E78E3">
        <w:lastRenderedPageBreak/>
        <w:t>Directlink’s</w:t>
      </w:r>
      <w:proofErr w:type="spellEnd"/>
      <w:r w:rsidRPr="003E78E3">
        <w:t xml:space="preserve"> current maintenance and construction activities during the period are not </w:t>
      </w:r>
      <w:r w:rsidR="00255A0C">
        <w:t>‘business as usual’ maintenance</w:t>
      </w:r>
      <w:r w:rsidR="008339AD">
        <w:t>;</w:t>
      </w:r>
      <w:r w:rsidR="00110FED">
        <w:t xml:space="preserve"> </w:t>
      </w:r>
    </w:p>
    <w:p w:rsidR="00D60762" w:rsidRPr="003E78E3" w:rsidRDefault="00110FED" w:rsidP="00255A0C">
      <w:pPr>
        <w:pStyle w:val="AERbulletlistfirststyle"/>
      </w:pPr>
      <w:r>
        <w:t xml:space="preserve">Unlike other TNSPs, </w:t>
      </w:r>
      <w:proofErr w:type="spellStart"/>
      <w:r w:rsidR="00D60762" w:rsidRPr="003E78E3">
        <w:t>Directlink</w:t>
      </w:r>
      <w:proofErr w:type="spellEnd"/>
      <w:r w:rsidR="00D60762" w:rsidRPr="003E78E3">
        <w:t xml:space="preserve"> has only one major asset to operate and maintain</w:t>
      </w:r>
      <w:r w:rsidR="008339AD">
        <w:t>; and</w:t>
      </w:r>
      <w:r w:rsidR="00255A0C">
        <w:t>,</w:t>
      </w:r>
    </w:p>
    <w:p w:rsidR="00D60762" w:rsidRPr="003E78E3" w:rsidRDefault="00110FED" w:rsidP="00255A0C">
      <w:pPr>
        <w:pStyle w:val="AERbulletlistfirststyle"/>
      </w:pPr>
      <w:r w:rsidRPr="003E78E3">
        <w:t xml:space="preserve">Performance </w:t>
      </w:r>
      <w:r w:rsidR="00D60762" w:rsidRPr="003E78E3">
        <w:t>target</w:t>
      </w:r>
      <w:r>
        <w:t>s</w:t>
      </w:r>
      <w:r w:rsidR="00D60762" w:rsidRPr="003E78E3">
        <w:t xml:space="preserve"> set for </w:t>
      </w:r>
      <w:r>
        <w:t xml:space="preserve">other TNSPs were based on </w:t>
      </w:r>
      <w:r w:rsidR="00D60762" w:rsidRPr="003E78E3">
        <w:t>the historical performance</w:t>
      </w:r>
      <w:r w:rsidR="00255A0C" w:rsidRPr="00255A0C">
        <w:t xml:space="preserve"> </w:t>
      </w:r>
      <w:r w:rsidR="00255A0C">
        <w:t>which was typical</w:t>
      </w:r>
      <w:r w:rsidR="00D60762" w:rsidRPr="003E78E3">
        <w:t xml:space="preserve">. </w:t>
      </w:r>
    </w:p>
    <w:p w:rsidR="00D60762" w:rsidRPr="003E78E3" w:rsidRDefault="00110FED" w:rsidP="00D60762">
      <w:pPr>
        <w:pStyle w:val="AERbulletlistfirststyle"/>
        <w:numPr>
          <w:ilvl w:val="0"/>
          <w:numId w:val="0"/>
        </w:numPr>
      </w:pPr>
      <w:r>
        <w:t xml:space="preserve">The AER was concerned that using </w:t>
      </w:r>
      <w:r w:rsidR="008339AD">
        <w:t xml:space="preserve">the </w:t>
      </w:r>
      <w:r>
        <w:t xml:space="preserve">methodology set out in the scheme may result in a target that was not reflective of </w:t>
      </w:r>
      <w:proofErr w:type="spellStart"/>
      <w:r>
        <w:t>Directlink’s</w:t>
      </w:r>
      <w:proofErr w:type="spellEnd"/>
      <w:r>
        <w:t xml:space="preserve"> typical performance. </w:t>
      </w:r>
      <w:r w:rsidR="008339AD">
        <w:t>That is w</w:t>
      </w:r>
      <w:r>
        <w:t xml:space="preserve">e were concerned that to </w:t>
      </w:r>
      <w:r w:rsidR="00D60762" w:rsidRPr="00DB6DDC">
        <w:t xml:space="preserve">apply </w:t>
      </w:r>
      <w:r w:rsidR="003540A9">
        <w:t xml:space="preserve">version 4 of the </w:t>
      </w:r>
      <w:r w:rsidR="00D60762" w:rsidRPr="003E78E3">
        <w:t xml:space="preserve">STPIS to </w:t>
      </w:r>
      <w:proofErr w:type="spellStart"/>
      <w:r w:rsidR="00D60762" w:rsidRPr="003E78E3">
        <w:t>Directlink’s</w:t>
      </w:r>
      <w:proofErr w:type="spellEnd"/>
      <w:r w:rsidR="00D60762" w:rsidRPr="003E78E3">
        <w:t xml:space="preserve"> recent historical performance may distort the quality and reliability incentives for </w:t>
      </w:r>
      <w:proofErr w:type="spellStart"/>
      <w:r w:rsidR="00D60762" w:rsidRPr="003E78E3">
        <w:t>Directlink</w:t>
      </w:r>
      <w:proofErr w:type="spellEnd"/>
      <w:r w:rsidR="00D60762" w:rsidRPr="003E78E3">
        <w:t xml:space="preserve"> for the next regulatory control period. </w:t>
      </w:r>
    </w:p>
    <w:p w:rsidR="00D60762" w:rsidRDefault="00255A0C" w:rsidP="00D60762">
      <w:pPr>
        <w:pStyle w:val="AERbulletlistfirststyle"/>
        <w:numPr>
          <w:ilvl w:val="0"/>
          <w:numId w:val="0"/>
        </w:numPr>
      </w:pPr>
      <w:r>
        <w:t>We considered an amendment of the STPIS wa</w:t>
      </w:r>
      <w:r w:rsidR="00D60762" w:rsidRPr="003E78E3">
        <w:t xml:space="preserve">s appropriate before the commencement of the next regulatory control period in order to ensure that the </w:t>
      </w:r>
      <w:r w:rsidR="00926C64">
        <w:t>National Electricity Objective</w:t>
      </w:r>
      <w:r w:rsidR="00D60762" w:rsidRPr="003E78E3">
        <w:t xml:space="preserve"> is promoted by the application of the scheme. The </w:t>
      </w:r>
      <w:r>
        <w:t xml:space="preserve">proposed </w:t>
      </w:r>
      <w:r w:rsidR="00D60762" w:rsidRPr="003E78E3">
        <w:t xml:space="preserve">amendment </w:t>
      </w:r>
      <w:r>
        <w:t>wa</w:t>
      </w:r>
      <w:r w:rsidR="00D60762" w:rsidRPr="003E78E3">
        <w:t xml:space="preserve">s specific to </w:t>
      </w:r>
      <w:proofErr w:type="spellStart"/>
      <w:r w:rsidR="00D60762" w:rsidRPr="003E78E3">
        <w:t>Directlink’s</w:t>
      </w:r>
      <w:proofErr w:type="spellEnd"/>
      <w:r w:rsidR="00D60762" w:rsidRPr="003E78E3">
        <w:t xml:space="preserve"> circumstances. Clause 6A.7.4(c) </w:t>
      </w:r>
      <w:r w:rsidR="00926C64">
        <w:t xml:space="preserve">of the Electricity Rules </w:t>
      </w:r>
      <w:r w:rsidR="00D60762" w:rsidRPr="003E78E3">
        <w:t xml:space="preserve">also provides that the parameters may be different </w:t>
      </w:r>
      <w:r>
        <w:t xml:space="preserve">between TNSPs and over time. </w:t>
      </w:r>
    </w:p>
    <w:p w:rsidR="004620B9" w:rsidRDefault="00255A0C" w:rsidP="004620B9">
      <w:pPr>
        <w:pStyle w:val="AERbodytext"/>
      </w:pPr>
      <w:r>
        <w:t>Relevantly, the AER e</w:t>
      </w:r>
      <w:r w:rsidRPr="00255A0C">
        <w:t xml:space="preserve">xtended the definition of MIC at section 4.2 in </w:t>
      </w:r>
      <w:r>
        <w:t>the scheme</w:t>
      </w:r>
      <w:r w:rsidRPr="00255A0C">
        <w:t xml:space="preserve">, with the </w:t>
      </w:r>
      <w:r>
        <w:t>addition of clauses 4.2 (e)–(</w:t>
      </w:r>
      <w:proofErr w:type="spellStart"/>
      <w:r>
        <w:t>i</w:t>
      </w:r>
      <w:proofErr w:type="spellEnd"/>
      <w:r>
        <w:t>)</w:t>
      </w:r>
      <w:r w:rsidR="004620B9">
        <w:t xml:space="preserve"> which served to:</w:t>
      </w:r>
    </w:p>
    <w:p w:rsidR="004620B9" w:rsidRDefault="005D6CEB" w:rsidP="004620B9">
      <w:pPr>
        <w:pStyle w:val="AERbulletlistfirststyle"/>
      </w:pPr>
      <w:r>
        <w:t>E</w:t>
      </w:r>
      <w:r w:rsidRPr="00250136">
        <w:t xml:space="preserve">xclude </w:t>
      </w:r>
      <w:proofErr w:type="spellStart"/>
      <w:r w:rsidR="004620B9">
        <w:t>Directlink</w:t>
      </w:r>
      <w:r w:rsidR="004620B9" w:rsidRPr="00250136">
        <w:t>’s</w:t>
      </w:r>
      <w:proofErr w:type="spellEnd"/>
      <w:r w:rsidR="004620B9" w:rsidRPr="00250136">
        <w:t xml:space="preserve"> performance against the market impact </w:t>
      </w:r>
      <w:r w:rsidR="004620B9" w:rsidRPr="004620B9">
        <w:t>parameter</w:t>
      </w:r>
      <w:r w:rsidR="004620B9" w:rsidRPr="00250136">
        <w:t xml:space="preserve"> for </w:t>
      </w:r>
      <w:r w:rsidR="004620B9">
        <w:t xml:space="preserve">the period of time from the beginning of the day of </w:t>
      </w:r>
      <w:r w:rsidR="004620B9" w:rsidRPr="00250136">
        <w:t xml:space="preserve">the fire at </w:t>
      </w:r>
      <w:proofErr w:type="spellStart"/>
      <w:r w:rsidR="004620B9">
        <w:t>Directlink</w:t>
      </w:r>
      <w:r w:rsidR="004620B9" w:rsidRPr="00250136">
        <w:t>’s</w:t>
      </w:r>
      <w:proofErr w:type="spellEnd"/>
      <w:r w:rsidR="004620B9" w:rsidRPr="00250136">
        <w:t xml:space="preserve"> Mullumbimby site on 12</w:t>
      </w:r>
      <w:r w:rsidR="004620B9">
        <w:t> </w:t>
      </w:r>
      <w:r w:rsidR="004620B9" w:rsidRPr="00250136">
        <w:t xml:space="preserve">August 2012 </w:t>
      </w:r>
      <w:r w:rsidR="004620B9">
        <w:t xml:space="preserve">to the date when </w:t>
      </w:r>
      <w:proofErr w:type="spellStart"/>
      <w:r w:rsidR="004620B9">
        <w:t>Directlink</w:t>
      </w:r>
      <w:proofErr w:type="spellEnd"/>
      <w:r w:rsidR="004620B9" w:rsidRPr="001D5E47">
        <w:t xml:space="preserve"> </w:t>
      </w:r>
      <w:r w:rsidR="004620B9">
        <w:t>‘</w:t>
      </w:r>
      <w:r w:rsidR="004620B9" w:rsidRPr="001D5E47">
        <w:t>returned to normal service</w:t>
      </w:r>
      <w:r w:rsidR="004620B9">
        <w:t xml:space="preserve">’ (the </w:t>
      </w:r>
      <w:proofErr w:type="spellStart"/>
      <w:r w:rsidR="004620B9" w:rsidRPr="004620B9">
        <w:rPr>
          <w:b/>
        </w:rPr>
        <w:t>Directlink</w:t>
      </w:r>
      <w:proofErr w:type="spellEnd"/>
      <w:r w:rsidR="004620B9" w:rsidRPr="004620B9">
        <w:rPr>
          <w:b/>
        </w:rPr>
        <w:t xml:space="preserve"> fire excluded period</w:t>
      </w:r>
      <w:r w:rsidR="004620B9">
        <w:t>)</w:t>
      </w:r>
      <w:r w:rsidR="004620B9" w:rsidRPr="00250136">
        <w:t>.</w:t>
      </w:r>
      <w:r w:rsidR="004620B9">
        <w:t xml:space="preserve">  </w:t>
      </w:r>
      <w:r w:rsidR="004620B9" w:rsidRPr="004A16F7">
        <w:t xml:space="preserve">The date that </w:t>
      </w:r>
      <w:proofErr w:type="spellStart"/>
      <w:r w:rsidR="004620B9" w:rsidRPr="004A16F7">
        <w:t>Directlink</w:t>
      </w:r>
      <w:proofErr w:type="spellEnd"/>
      <w:r w:rsidR="004620B9" w:rsidRPr="004A16F7">
        <w:t xml:space="preserve"> </w:t>
      </w:r>
      <w:r w:rsidR="004620B9">
        <w:t>‘</w:t>
      </w:r>
      <w:r w:rsidR="004620B9" w:rsidRPr="004A16F7">
        <w:t>return</w:t>
      </w:r>
      <w:r w:rsidR="004620B9">
        <w:t>ed</w:t>
      </w:r>
      <w:r w:rsidR="004620B9" w:rsidRPr="004A16F7">
        <w:t xml:space="preserve"> to normal service</w:t>
      </w:r>
      <w:r w:rsidR="004620B9">
        <w:t>’</w:t>
      </w:r>
      <w:r w:rsidR="004620B9" w:rsidRPr="004A16F7">
        <w:t xml:space="preserve"> is the date that </w:t>
      </w:r>
      <w:r w:rsidR="004620B9">
        <w:t>we</w:t>
      </w:r>
      <w:r w:rsidR="004620B9" w:rsidRPr="004A16F7">
        <w:t xml:space="preserve"> consider </w:t>
      </w:r>
      <w:proofErr w:type="spellStart"/>
      <w:r w:rsidR="004620B9" w:rsidRPr="004A16F7">
        <w:t>Directlink</w:t>
      </w:r>
      <w:proofErr w:type="spellEnd"/>
      <w:r w:rsidR="004620B9" w:rsidRPr="004A16F7">
        <w:t xml:space="preserve"> is reasonably capable of sustaining reliability performance similar to or better than the reliability performance exhibited prior to the fire</w:t>
      </w:r>
      <w:r w:rsidR="004620B9">
        <w:t>. This will be no later than 31 December 2015.</w:t>
      </w:r>
    </w:p>
    <w:p w:rsidR="004620B9" w:rsidRDefault="005D6CEB" w:rsidP="004620B9">
      <w:pPr>
        <w:pStyle w:val="AERbulletlistfirststyle"/>
      </w:pPr>
      <w:r>
        <w:t xml:space="preserve">Specify </w:t>
      </w:r>
      <w:r w:rsidR="004620B9">
        <w:t xml:space="preserve">no financial incentive will apply to </w:t>
      </w:r>
      <w:proofErr w:type="spellStart"/>
      <w:r w:rsidR="004620B9">
        <w:t>Directlink</w:t>
      </w:r>
      <w:proofErr w:type="spellEnd"/>
      <w:r w:rsidR="004620B9">
        <w:t xml:space="preserve"> during the </w:t>
      </w:r>
      <w:proofErr w:type="spellStart"/>
      <w:r w:rsidR="004620B9" w:rsidRPr="004620B9">
        <w:t>Directlink</w:t>
      </w:r>
      <w:proofErr w:type="spellEnd"/>
      <w:r w:rsidR="004620B9" w:rsidRPr="004620B9">
        <w:t xml:space="preserve"> fire excluded period</w:t>
      </w:r>
      <w:r w:rsidR="004620B9">
        <w:t>.</w:t>
      </w:r>
    </w:p>
    <w:p w:rsidR="00255A0C" w:rsidRPr="00255A0C" w:rsidRDefault="00255A0C" w:rsidP="00255A0C">
      <w:pPr>
        <w:pStyle w:val="AERbulletlistfirststyle"/>
        <w:numPr>
          <w:ilvl w:val="0"/>
          <w:numId w:val="0"/>
        </w:numPr>
      </w:pPr>
      <w:r>
        <w:t>We also inserted a worked example of how</w:t>
      </w:r>
      <w:r>
        <w:rPr>
          <w:szCs w:val="20"/>
        </w:rPr>
        <w:t xml:space="preserve"> performance would be calculated for a calendar year in Appendix F.</w:t>
      </w:r>
    </w:p>
    <w:p w:rsidR="002B3ABC" w:rsidRDefault="002B3ABC" w:rsidP="005F2EE8">
      <w:pPr>
        <w:pStyle w:val="Heading3"/>
        <w:numPr>
          <w:ilvl w:val="0"/>
          <w:numId w:val="0"/>
        </w:numPr>
      </w:pPr>
      <w:r>
        <w:t>Issues raised in submissions</w:t>
      </w:r>
    </w:p>
    <w:p w:rsidR="004D0B33" w:rsidRDefault="004D0B33" w:rsidP="004D0B33">
      <w:pPr>
        <w:pStyle w:val="AERbulletlistfirststyle"/>
        <w:numPr>
          <w:ilvl w:val="0"/>
          <w:numId w:val="0"/>
        </w:numPr>
      </w:pPr>
      <w:proofErr w:type="spellStart"/>
      <w:r w:rsidRPr="00A34C89">
        <w:t>Directlink</w:t>
      </w:r>
      <w:proofErr w:type="spellEnd"/>
      <w:r w:rsidRPr="00A34C89">
        <w:t xml:space="preserve"> </w:t>
      </w:r>
      <w:r>
        <w:t>did not raise any objections in its submission, stating</w:t>
      </w:r>
      <w:r w:rsidRPr="00A34C89">
        <w:t xml:space="preserve"> that:</w:t>
      </w:r>
    </w:p>
    <w:p w:rsidR="004D0B33" w:rsidRDefault="004D0B33" w:rsidP="004D0B33">
      <w:pPr>
        <w:pStyle w:val="AERquote"/>
        <w:rPr>
          <w:rStyle w:val="AERtextitalic"/>
        </w:rPr>
      </w:pPr>
      <w:proofErr w:type="spellStart"/>
      <w:r w:rsidRPr="00A34C89">
        <w:rPr>
          <w:rStyle w:val="AERtextitalic"/>
        </w:rPr>
        <w:t>Directlink</w:t>
      </w:r>
      <w:proofErr w:type="spellEnd"/>
      <w:r w:rsidRPr="00A34C89">
        <w:rPr>
          <w:rStyle w:val="AERtextitalic"/>
        </w:rPr>
        <w:t xml:space="preserve"> accepts that these proposed revisions to the STPIS reasonably accommodate the abnormal operating conditions resulting from the Mullumbimby fire.</w:t>
      </w:r>
    </w:p>
    <w:p w:rsidR="00963FC1" w:rsidRPr="00963FC1" w:rsidRDefault="00963FC1" w:rsidP="00963FC1">
      <w:pPr>
        <w:pStyle w:val="AERbodytext"/>
      </w:pPr>
      <w:r>
        <w:t>The AER did not receive any other submissions.</w:t>
      </w:r>
    </w:p>
    <w:p w:rsidR="002B3ABC" w:rsidRDefault="002B3ABC" w:rsidP="005F2EE8">
      <w:pPr>
        <w:pStyle w:val="Heading3"/>
        <w:numPr>
          <w:ilvl w:val="0"/>
          <w:numId w:val="0"/>
        </w:numPr>
      </w:pPr>
      <w:r>
        <w:t>AER considerations and final decision</w:t>
      </w:r>
    </w:p>
    <w:p w:rsidR="00955E77" w:rsidRDefault="00E10D0F" w:rsidP="00955E77">
      <w:pPr>
        <w:pStyle w:val="AERbodytext"/>
      </w:pPr>
      <w:r>
        <w:t>The AER has decided to implement the changes to the MIC definition as outlined in its draft decision.</w:t>
      </w:r>
    </w:p>
    <w:p w:rsidR="00D60762" w:rsidRPr="003E78E3" w:rsidRDefault="00D60762" w:rsidP="00D60762">
      <w:pPr>
        <w:pStyle w:val="Heading2"/>
      </w:pPr>
      <w:bookmarkStart w:id="23" w:name="_Toc397943249"/>
      <w:r>
        <w:rPr>
          <w:lang w:val="en-AU"/>
        </w:rPr>
        <w:t xml:space="preserve">Network capability </w:t>
      </w:r>
      <w:r w:rsidRPr="003E78E3">
        <w:t>component</w:t>
      </w:r>
      <w:bookmarkEnd w:id="23"/>
    </w:p>
    <w:p w:rsidR="00D60762" w:rsidRDefault="00110FED" w:rsidP="00D60762">
      <w:pPr>
        <w:pStyle w:val="AERbodytext"/>
        <w:numPr>
          <w:ilvl w:val="0"/>
          <w:numId w:val="6"/>
        </w:numPr>
      </w:pPr>
      <w:r>
        <w:t xml:space="preserve">The scheme also includes a </w:t>
      </w:r>
      <w:r w:rsidR="00B6062C">
        <w:t xml:space="preserve">network </w:t>
      </w:r>
      <w:r>
        <w:t>capability component (NCC) which i</w:t>
      </w:r>
      <w:r w:rsidR="00D60762">
        <w:t>s designed to encourage TNSPs to take steps to operate, maintain and improve their network in a manner that delivers an appropriate level of network capabil</w:t>
      </w:r>
      <w:r>
        <w:t>ity for least sustainable cost.</w:t>
      </w:r>
    </w:p>
    <w:p w:rsidR="00D60762" w:rsidRDefault="00D60762" w:rsidP="00955E77">
      <w:pPr>
        <w:pStyle w:val="AERbodytext"/>
      </w:pPr>
      <w:proofErr w:type="spellStart"/>
      <w:r>
        <w:t>Directlink</w:t>
      </w:r>
      <w:proofErr w:type="spellEnd"/>
      <w:r>
        <w:t xml:space="preserve"> is not eligible for this </w:t>
      </w:r>
      <w:r w:rsidR="00525D29">
        <w:t>component; a</w:t>
      </w:r>
      <w:r>
        <w:t>ccordingly no ame</w:t>
      </w:r>
      <w:r w:rsidR="00110FED">
        <w:t>ndments were made</w:t>
      </w:r>
      <w:r w:rsidR="00525D29">
        <w:t xml:space="preserve"> to this section of the scheme</w:t>
      </w:r>
      <w:r w:rsidR="00110FED">
        <w:t>.</w:t>
      </w:r>
    </w:p>
    <w:p w:rsidR="008D0EB8" w:rsidRDefault="008D0EB8" w:rsidP="002B3ABC">
      <w:pPr>
        <w:pStyle w:val="Heading1"/>
        <w:numPr>
          <w:ilvl w:val="0"/>
          <w:numId w:val="0"/>
        </w:numPr>
      </w:pPr>
      <w:bookmarkStart w:id="24" w:name="_Toc331526982"/>
      <w:bookmarkStart w:id="25" w:name="_Toc397943250"/>
      <w:bookmarkEnd w:id="18"/>
      <w:r w:rsidRPr="00993AC5">
        <w:lastRenderedPageBreak/>
        <w:t>Glossary</w:t>
      </w:r>
      <w:bookmarkEnd w:id="24"/>
      <w:bookmarkEnd w:id="25"/>
    </w:p>
    <w:tbl>
      <w:tblPr>
        <w:tblW w:w="0" w:type="auto"/>
        <w:tblInd w:w="-34" w:type="dxa"/>
        <w:tblLook w:val="01E0" w:firstRow="1" w:lastRow="1" w:firstColumn="1" w:lastColumn="1" w:noHBand="0" w:noVBand="0"/>
      </w:tblPr>
      <w:tblGrid>
        <w:gridCol w:w="9040"/>
        <w:gridCol w:w="236"/>
      </w:tblGrid>
      <w:tr w:rsidR="008D0EB8" w:rsidTr="00C44035">
        <w:tc>
          <w:tcPr>
            <w:tcW w:w="9040" w:type="dxa"/>
            <w:tcBorders>
              <w:left w:val="nil"/>
              <w:right w:val="nil"/>
              <w:tl2br w:val="nil"/>
              <w:tr2bl w:val="nil"/>
            </w:tcBorders>
            <w:noWrap/>
            <w:tcMar>
              <w:top w:w="0" w:type="dxa"/>
              <w:bottom w:w="0" w:type="dxa"/>
            </w:tcMar>
            <w:vAlign w:val="center"/>
          </w:tcPr>
          <w:p w:rsidR="00FA2674" w:rsidRPr="00EA4008" w:rsidRDefault="00FA2674" w:rsidP="00FA2674">
            <w:pPr>
              <w:pStyle w:val="AERbodytext"/>
            </w:pPr>
            <w:r>
              <w:t xml:space="preserve">This </w:t>
            </w:r>
            <w:r w:rsidR="007B707A" w:rsidRPr="007B707A">
              <w:t>explanatory statement</w:t>
            </w:r>
            <w:r>
              <w:t xml:space="preserve"> uses the following definitions.</w:t>
            </w:r>
          </w:p>
          <w:tbl>
            <w:tblPr>
              <w:tblW w:w="8568" w:type="dxa"/>
              <w:tblLook w:val="01E0" w:firstRow="1" w:lastRow="1" w:firstColumn="1" w:lastColumn="1" w:noHBand="0" w:noVBand="0"/>
            </w:tblPr>
            <w:tblGrid>
              <w:gridCol w:w="2268"/>
              <w:gridCol w:w="6300"/>
            </w:tblGrid>
            <w:tr w:rsidR="00FA2674" w:rsidTr="00FA2674">
              <w:tc>
                <w:tcPr>
                  <w:tcW w:w="2268" w:type="dxa"/>
                </w:tcPr>
                <w:p w:rsidR="00FA2674" w:rsidRDefault="002A0FA5" w:rsidP="007B707A">
                  <w:pPr>
                    <w:pStyle w:val="AERbodytext"/>
                    <w:spacing w:after="100"/>
                    <w:jc w:val="left"/>
                  </w:pPr>
                  <w:r>
                    <w:t>cap</w:t>
                  </w:r>
                </w:p>
              </w:tc>
              <w:tc>
                <w:tcPr>
                  <w:tcW w:w="6300" w:type="dxa"/>
                </w:tcPr>
                <w:p w:rsidR="00FA2674" w:rsidRDefault="00FA2674" w:rsidP="00FA2674">
                  <w:pPr>
                    <w:pStyle w:val="AERbodytext"/>
                    <w:spacing w:after="100"/>
                  </w:pPr>
                  <w:proofErr w:type="gramStart"/>
                  <w:r>
                    <w:t>the</w:t>
                  </w:r>
                  <w:proofErr w:type="gramEnd"/>
                  <w:r>
                    <w:t xml:space="preserve"> level of performance that results in a TNSP receiving the maximum financial reward attributed to a </w:t>
                  </w:r>
                  <w:r w:rsidRPr="00B73909">
                    <w:rPr>
                      <w:i/>
                    </w:rPr>
                    <w:t>parameter</w:t>
                  </w:r>
                  <w:r>
                    <w:t>.</w:t>
                  </w:r>
                </w:p>
              </w:tc>
            </w:tr>
            <w:tr w:rsidR="007B707A" w:rsidTr="00FA2674">
              <w:tc>
                <w:tcPr>
                  <w:tcW w:w="2268" w:type="dxa"/>
                </w:tcPr>
                <w:p w:rsidR="007B707A" w:rsidRDefault="002A0FA5" w:rsidP="007B707A">
                  <w:pPr>
                    <w:jc w:val="left"/>
                  </w:pPr>
                  <w:r>
                    <w:t>collar</w:t>
                  </w:r>
                </w:p>
              </w:tc>
              <w:tc>
                <w:tcPr>
                  <w:tcW w:w="6300" w:type="dxa"/>
                </w:tcPr>
                <w:p w:rsidR="007B707A" w:rsidRDefault="007B707A" w:rsidP="00C14F5B">
                  <w:proofErr w:type="gramStart"/>
                  <w:r>
                    <w:t>the</w:t>
                  </w:r>
                  <w:proofErr w:type="gramEnd"/>
                  <w:r>
                    <w:t xml:space="preserve"> level of performance that results in a TNSP receiving the maximum financial penalty attributed to a </w:t>
                  </w:r>
                  <w:r w:rsidRPr="00DD6529">
                    <w:rPr>
                      <w:i/>
                    </w:rPr>
                    <w:t>parameter</w:t>
                  </w:r>
                  <w:r>
                    <w:t>.</w:t>
                  </w:r>
                </w:p>
              </w:tc>
            </w:tr>
            <w:tr w:rsidR="007B707A" w:rsidTr="00FA2674">
              <w:tc>
                <w:tcPr>
                  <w:tcW w:w="2268" w:type="dxa"/>
                </w:tcPr>
                <w:p w:rsidR="007B707A" w:rsidRDefault="007B707A" w:rsidP="007B707A">
                  <w:pPr>
                    <w:jc w:val="left"/>
                  </w:pPr>
                  <w:r>
                    <w:t>financial incentive</w:t>
                  </w:r>
                </w:p>
              </w:tc>
              <w:tc>
                <w:tcPr>
                  <w:tcW w:w="6300" w:type="dxa"/>
                </w:tcPr>
                <w:p w:rsidR="007B707A" w:rsidRDefault="007B707A" w:rsidP="00C14F5B">
                  <w:proofErr w:type="gramStart"/>
                  <w:r>
                    <w:t>the</w:t>
                  </w:r>
                  <w:proofErr w:type="gramEnd"/>
                  <w:r>
                    <w:t xml:space="preserve"> dollar value of the revenue increment or decrement that the </w:t>
                  </w:r>
                  <w:r w:rsidRPr="00DD6529">
                    <w:rPr>
                      <w:i/>
                    </w:rPr>
                    <w:t>maximum</w:t>
                  </w:r>
                  <w:r>
                    <w:t xml:space="preserve"> </w:t>
                  </w:r>
                  <w:r w:rsidRPr="00DD6529">
                    <w:rPr>
                      <w:i/>
                    </w:rPr>
                    <w:t>allowed</w:t>
                  </w:r>
                  <w:r>
                    <w:t xml:space="preserve"> </w:t>
                  </w:r>
                  <w:r w:rsidRPr="00DD6529">
                    <w:rPr>
                      <w:i/>
                    </w:rPr>
                    <w:t>revenue</w:t>
                  </w:r>
                  <w:r>
                    <w:t xml:space="preserve"> is adjusted by in each </w:t>
                  </w:r>
                  <w:r w:rsidRPr="00DD6529">
                    <w:rPr>
                      <w:i/>
                    </w:rPr>
                    <w:t>regulatory</w:t>
                  </w:r>
                  <w:r>
                    <w:t xml:space="preserve"> </w:t>
                  </w:r>
                  <w:r w:rsidRPr="00DD6529">
                    <w:rPr>
                      <w:i/>
                    </w:rPr>
                    <w:t>year</w:t>
                  </w:r>
                  <w:r>
                    <w:t xml:space="preserve"> based on a TNSP’s performance in the preceding </w:t>
                  </w:r>
                  <w:r w:rsidRPr="00DD6529">
                    <w:rPr>
                      <w:i/>
                    </w:rPr>
                    <w:t>calendar</w:t>
                  </w:r>
                  <w:r>
                    <w:t xml:space="preserve"> </w:t>
                  </w:r>
                  <w:r w:rsidRPr="00DD6529">
                    <w:rPr>
                      <w:i/>
                    </w:rPr>
                    <w:t>year</w:t>
                  </w:r>
                  <w:r>
                    <w:t>.</w:t>
                  </w:r>
                </w:p>
              </w:tc>
            </w:tr>
            <w:tr w:rsidR="007B707A" w:rsidTr="00FA2674">
              <w:tc>
                <w:tcPr>
                  <w:tcW w:w="2268" w:type="dxa"/>
                </w:tcPr>
                <w:p w:rsidR="007B707A" w:rsidRDefault="007B707A" w:rsidP="007B707A">
                  <w:pPr>
                    <w:jc w:val="left"/>
                  </w:pPr>
                  <w:r>
                    <w:t>force majeure event</w:t>
                  </w:r>
                </w:p>
              </w:tc>
              <w:tc>
                <w:tcPr>
                  <w:tcW w:w="6300" w:type="dxa"/>
                </w:tcPr>
                <w:p w:rsidR="007B707A" w:rsidRDefault="007B707A" w:rsidP="00C14F5B">
                  <w:proofErr w:type="gramStart"/>
                  <w:r>
                    <w:t>has</w:t>
                  </w:r>
                  <w:proofErr w:type="gramEnd"/>
                  <w:r>
                    <w:t xml:space="preserve"> the meaning set out in Chapter 5</w:t>
                  </w:r>
                  <w:r w:rsidR="002B3ABC">
                    <w:t xml:space="preserve"> of the S</w:t>
                  </w:r>
                  <w:r w:rsidR="00306E4A">
                    <w:t>T</w:t>
                  </w:r>
                  <w:r w:rsidR="002B3ABC">
                    <w:t>P</w:t>
                  </w:r>
                  <w:r w:rsidR="00306E4A">
                    <w:t>IS</w:t>
                  </w:r>
                  <w:r>
                    <w:t>.</w:t>
                  </w:r>
                </w:p>
              </w:tc>
            </w:tr>
            <w:tr w:rsidR="007B707A" w:rsidTr="00FA2674">
              <w:tc>
                <w:tcPr>
                  <w:tcW w:w="2268" w:type="dxa"/>
                </w:tcPr>
                <w:p w:rsidR="007B707A" w:rsidRDefault="007B707A" w:rsidP="007B707A">
                  <w:pPr>
                    <w:jc w:val="left"/>
                  </w:pPr>
                  <w:r>
                    <w:t>market systems</w:t>
                  </w:r>
                  <w:r>
                    <w:tab/>
                  </w:r>
                </w:p>
              </w:tc>
              <w:tc>
                <w:tcPr>
                  <w:tcW w:w="6300" w:type="dxa"/>
                </w:tcPr>
                <w:p w:rsidR="007B707A" w:rsidRDefault="007B707A" w:rsidP="00C14F5B">
                  <w:r>
                    <w:rPr>
                      <w:i/>
                    </w:rPr>
                    <w:t>AEMO</w:t>
                  </w:r>
                  <w:r>
                    <w:t xml:space="preserve">’s systems for operating the </w:t>
                  </w:r>
                  <w:r w:rsidRPr="00852687">
                    <w:rPr>
                      <w:i/>
                    </w:rPr>
                    <w:t>national electricity market</w:t>
                  </w:r>
                  <w:r>
                    <w:t xml:space="preserve">, and for recording and publishing data relating to the operation of the </w:t>
                  </w:r>
                  <w:r w:rsidRPr="00852687">
                    <w:rPr>
                      <w:i/>
                    </w:rPr>
                    <w:t>national electricity market</w:t>
                  </w:r>
                  <w:r>
                    <w:t xml:space="preserve">.   </w:t>
                  </w:r>
                </w:p>
              </w:tc>
            </w:tr>
            <w:tr w:rsidR="007B707A" w:rsidTr="00FA2674">
              <w:tc>
                <w:tcPr>
                  <w:tcW w:w="2268" w:type="dxa"/>
                </w:tcPr>
                <w:p w:rsidR="007B707A" w:rsidRDefault="00306E4A" w:rsidP="007B707A">
                  <w:pPr>
                    <w:jc w:val="left"/>
                  </w:pPr>
                  <w:r>
                    <w:t>parameters</w:t>
                  </w:r>
                </w:p>
              </w:tc>
              <w:tc>
                <w:tcPr>
                  <w:tcW w:w="6300" w:type="dxa"/>
                </w:tcPr>
                <w:p w:rsidR="007B707A" w:rsidRDefault="007B707A" w:rsidP="00C14F5B">
                  <w:proofErr w:type="gramStart"/>
                  <w:r>
                    <w:t>the</w:t>
                  </w:r>
                  <w:proofErr w:type="gramEnd"/>
                  <w:r>
                    <w:t xml:space="preserve"> </w:t>
                  </w:r>
                  <w:r w:rsidRPr="00DD6529">
                    <w:rPr>
                      <w:i/>
                    </w:rPr>
                    <w:t>performance</w:t>
                  </w:r>
                  <w:r>
                    <w:t xml:space="preserve"> </w:t>
                  </w:r>
                  <w:r w:rsidRPr="00DD6529">
                    <w:rPr>
                      <w:i/>
                    </w:rPr>
                    <w:t>incentive</w:t>
                  </w:r>
                  <w:r>
                    <w:t xml:space="preserve"> </w:t>
                  </w:r>
                  <w:r w:rsidRPr="00DD6529">
                    <w:rPr>
                      <w:i/>
                    </w:rPr>
                    <w:t>scheme</w:t>
                  </w:r>
                  <w:r>
                    <w:t xml:space="preserve"> </w:t>
                  </w:r>
                  <w:r w:rsidRPr="00DD6529">
                    <w:rPr>
                      <w:i/>
                    </w:rPr>
                    <w:t>parameters</w:t>
                  </w:r>
                  <w:r>
                    <w:t xml:space="preserve"> and includes the sub-parameters, where applicable.</w:t>
                  </w:r>
                </w:p>
              </w:tc>
            </w:tr>
            <w:tr w:rsidR="007B707A" w:rsidTr="00FA2674">
              <w:tc>
                <w:tcPr>
                  <w:tcW w:w="2268" w:type="dxa"/>
                </w:tcPr>
                <w:p w:rsidR="007B707A" w:rsidRDefault="007B707A" w:rsidP="007B707A">
                  <w:pPr>
                    <w:jc w:val="left"/>
                  </w:pPr>
                  <w:r>
                    <w:t>performance target</w:t>
                  </w:r>
                </w:p>
              </w:tc>
              <w:tc>
                <w:tcPr>
                  <w:tcW w:w="6300" w:type="dxa"/>
                </w:tcPr>
                <w:p w:rsidR="007B707A" w:rsidRDefault="007B707A" w:rsidP="00C14F5B">
                  <w:proofErr w:type="gramStart"/>
                  <w:r>
                    <w:t>the</w:t>
                  </w:r>
                  <w:proofErr w:type="gramEnd"/>
                  <w:r>
                    <w:t xml:space="preserve"> level of performance that results in a TNSP neither receiving a financial penalty nor financial reward in the </w:t>
                  </w:r>
                  <w:r w:rsidRPr="00DD6529">
                    <w:rPr>
                      <w:i/>
                    </w:rPr>
                    <w:t>regulatory</w:t>
                  </w:r>
                  <w:r>
                    <w:t xml:space="preserve"> </w:t>
                  </w:r>
                  <w:r w:rsidRPr="00DD6529">
                    <w:rPr>
                      <w:i/>
                    </w:rPr>
                    <w:t>year</w:t>
                  </w:r>
                  <w:r>
                    <w:t>.</w:t>
                  </w:r>
                </w:p>
              </w:tc>
            </w:tr>
            <w:tr w:rsidR="007B707A" w:rsidTr="00FA2674">
              <w:tc>
                <w:tcPr>
                  <w:tcW w:w="2268" w:type="dxa"/>
                </w:tcPr>
                <w:p w:rsidR="007B707A" w:rsidRDefault="007B707A" w:rsidP="007B707A">
                  <w:pPr>
                    <w:jc w:val="left"/>
                  </w:pPr>
                  <w:r>
                    <w:t>s-factor or service standards factor</w:t>
                  </w:r>
                </w:p>
              </w:tc>
              <w:tc>
                <w:tcPr>
                  <w:tcW w:w="6300" w:type="dxa"/>
                </w:tcPr>
                <w:p w:rsidR="007B707A" w:rsidRDefault="007B707A" w:rsidP="00C14F5B">
                  <w:pPr>
                    <w:pStyle w:val="AERbodytext"/>
                  </w:pPr>
                  <w:proofErr w:type="gramStart"/>
                  <w:r>
                    <w:t>the</w:t>
                  </w:r>
                  <w:proofErr w:type="gramEnd"/>
                  <w:r>
                    <w:t xml:space="preserve"> percentage revenue increment or decrement that the </w:t>
                  </w:r>
                  <w:r w:rsidRPr="00DD6529">
                    <w:rPr>
                      <w:i/>
                    </w:rPr>
                    <w:t>maximum</w:t>
                  </w:r>
                  <w:r>
                    <w:t xml:space="preserve"> </w:t>
                  </w:r>
                  <w:r w:rsidRPr="00DD6529">
                    <w:rPr>
                      <w:i/>
                    </w:rPr>
                    <w:t>allowed</w:t>
                  </w:r>
                  <w:r>
                    <w:t xml:space="preserve"> </w:t>
                  </w:r>
                  <w:r w:rsidRPr="00EA5A13">
                    <w:rPr>
                      <w:i/>
                    </w:rPr>
                    <w:t>revenue</w:t>
                  </w:r>
                  <w:r>
                    <w:t xml:space="preserve"> is adjusted by in each </w:t>
                  </w:r>
                  <w:r w:rsidRPr="00DD6529">
                    <w:rPr>
                      <w:i/>
                    </w:rPr>
                    <w:t>regulatory</w:t>
                  </w:r>
                  <w:r>
                    <w:t xml:space="preserve"> year based on a TNSP’s performance in the previous </w:t>
                  </w:r>
                  <w:r w:rsidRPr="00DD6529">
                    <w:rPr>
                      <w:i/>
                    </w:rPr>
                    <w:t>calendar</w:t>
                  </w:r>
                  <w:r>
                    <w:t xml:space="preserve"> </w:t>
                  </w:r>
                  <w:r w:rsidRPr="00DD6529">
                    <w:rPr>
                      <w:i/>
                    </w:rPr>
                    <w:t>year</w:t>
                  </w:r>
                  <w:r>
                    <w:t>.</w:t>
                  </w:r>
                </w:p>
              </w:tc>
            </w:tr>
            <w:tr w:rsidR="007B707A" w:rsidTr="00FA2674">
              <w:tc>
                <w:tcPr>
                  <w:tcW w:w="2268" w:type="dxa"/>
                </w:tcPr>
                <w:p w:rsidR="007B707A" w:rsidRDefault="009E4D45" w:rsidP="007B707A">
                  <w:pPr>
                    <w:jc w:val="left"/>
                  </w:pPr>
                  <w:r>
                    <w:t>weightings</w:t>
                  </w:r>
                </w:p>
              </w:tc>
              <w:tc>
                <w:tcPr>
                  <w:tcW w:w="6300" w:type="dxa"/>
                </w:tcPr>
                <w:p w:rsidR="007B707A" w:rsidRDefault="007B707A" w:rsidP="00C14F5B">
                  <w:pPr>
                    <w:pStyle w:val="AERbodytext"/>
                  </w:pPr>
                  <w:proofErr w:type="gramStart"/>
                  <w:r>
                    <w:t>the</w:t>
                  </w:r>
                  <w:proofErr w:type="gramEnd"/>
                  <w:r>
                    <w:t xml:space="preserve"> proportion of the </w:t>
                  </w:r>
                  <w:r w:rsidRPr="00DD6529">
                    <w:rPr>
                      <w:i/>
                    </w:rPr>
                    <w:t>financial</w:t>
                  </w:r>
                  <w:r>
                    <w:t xml:space="preserve"> </w:t>
                  </w:r>
                  <w:r w:rsidRPr="00DD6529">
                    <w:rPr>
                      <w:i/>
                    </w:rPr>
                    <w:t>incentive</w:t>
                  </w:r>
                  <w:r>
                    <w:t xml:space="preserve"> under the </w:t>
                  </w:r>
                  <w:r w:rsidRPr="00BF55E2">
                    <w:rPr>
                      <w:i/>
                    </w:rPr>
                    <w:t>service component</w:t>
                  </w:r>
                  <w:r>
                    <w:t xml:space="preserve"> allocated to each of </w:t>
                  </w:r>
                  <w:r>
                    <w:rPr>
                      <w:i/>
                    </w:rPr>
                    <w:t xml:space="preserve">parameters </w:t>
                  </w:r>
                  <w:r>
                    <w:t xml:space="preserve">applying to the TNSP under the </w:t>
                  </w:r>
                  <w:r w:rsidRPr="00BF55E2">
                    <w:rPr>
                      <w:i/>
                    </w:rPr>
                    <w:t>service component</w:t>
                  </w:r>
                  <w:r>
                    <w:t>.</w:t>
                  </w:r>
                </w:p>
              </w:tc>
            </w:tr>
          </w:tbl>
          <w:p w:rsidR="008D0EB8" w:rsidRPr="00993AC5" w:rsidRDefault="008D0EB8" w:rsidP="00DF7BB7">
            <w:pPr>
              <w:pStyle w:val="AERbodytext"/>
            </w:pPr>
          </w:p>
        </w:tc>
        <w:tc>
          <w:tcPr>
            <w:tcW w:w="236" w:type="dxa"/>
            <w:tcBorders>
              <w:left w:val="nil"/>
              <w:right w:val="nil"/>
              <w:tl2br w:val="nil"/>
              <w:tr2bl w:val="nil"/>
            </w:tcBorders>
            <w:noWrap/>
            <w:tcMar>
              <w:top w:w="0" w:type="dxa"/>
              <w:bottom w:w="0" w:type="dxa"/>
            </w:tcMar>
            <w:vAlign w:val="center"/>
          </w:tcPr>
          <w:p w:rsidR="008D0EB8" w:rsidRPr="00993AC5" w:rsidRDefault="008D0EB8" w:rsidP="00DF7BB7">
            <w:pPr>
              <w:pStyle w:val="AERbodytext"/>
            </w:pPr>
          </w:p>
        </w:tc>
      </w:tr>
    </w:tbl>
    <w:p w:rsidR="0042158E" w:rsidRDefault="0042158E"/>
    <w:sectPr w:rsidR="0042158E" w:rsidSect="00B40E6C">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A3" w:rsidRDefault="00AF68A3" w:rsidP="008D0EB8">
      <w:pPr>
        <w:spacing w:after="0" w:line="240" w:lineRule="auto"/>
      </w:pPr>
      <w:r>
        <w:separator/>
      </w:r>
    </w:p>
  </w:endnote>
  <w:endnote w:type="continuationSeparator" w:id="0">
    <w:p w:rsidR="00AF68A3" w:rsidRDefault="00AF68A3" w:rsidP="008D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3F" w:rsidRDefault="00786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A3" w:rsidRPr="00EE362F" w:rsidRDefault="00AF68A3" w:rsidP="00DF7BB7">
    <w:pPr>
      <w:pStyle w:val="Footer"/>
    </w:pPr>
    <w:r>
      <w:tab/>
    </w:r>
    <w:r w:rsidRPr="00D25317">
      <w:rPr>
        <w:rStyle w:val="AERtextblue"/>
      </w:rPr>
      <w:fldChar w:fldCharType="begin"/>
    </w:r>
    <w:r w:rsidRPr="00AB5BD7">
      <w:rPr>
        <w:rStyle w:val="AERtextblue"/>
      </w:rPr>
      <w:instrText xml:space="preserve"> PAGE   \* MERGEFORMAT </w:instrText>
    </w:r>
    <w:r w:rsidRPr="00D25317">
      <w:rPr>
        <w:rStyle w:val="AERtextblue"/>
      </w:rPr>
      <w:fldChar w:fldCharType="separate"/>
    </w:r>
    <w:r w:rsidR="000F7B97">
      <w:rPr>
        <w:rStyle w:val="AERtextblue"/>
        <w:noProof/>
      </w:rPr>
      <w:t>1</w:t>
    </w:r>
    <w:r w:rsidRPr="00D25317">
      <w:rPr>
        <w:rStyle w:val="AERtextblu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3F" w:rsidRDefault="00786C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A3" w:rsidRPr="00B03C75" w:rsidRDefault="00AF68A3" w:rsidP="00DF7BB7">
    <w:pPr>
      <w:pStyle w:val="Footer"/>
      <w:rPr>
        <w:lang w:val="en-AU"/>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A3" w:rsidRPr="00EE362F" w:rsidRDefault="00AF68A3" w:rsidP="00DF7BB7">
    <w:pPr>
      <w:pStyle w:val="Footer"/>
    </w:pPr>
    <w:r>
      <w:tab/>
    </w:r>
    <w:r w:rsidRPr="00D25317">
      <w:rPr>
        <w:rStyle w:val="AERtextblue"/>
      </w:rPr>
      <w:fldChar w:fldCharType="begin"/>
    </w:r>
    <w:r w:rsidRPr="00AB5BD7">
      <w:rPr>
        <w:rStyle w:val="AERtextblue"/>
      </w:rPr>
      <w:instrText xml:space="preserve"> PAGE   \* MERGEFORMAT </w:instrText>
    </w:r>
    <w:r w:rsidRPr="00D25317">
      <w:rPr>
        <w:rStyle w:val="AERtextblue"/>
      </w:rPr>
      <w:fldChar w:fldCharType="separate"/>
    </w:r>
    <w:r w:rsidR="000F7B97">
      <w:rPr>
        <w:rStyle w:val="AERtextblue"/>
        <w:noProof/>
      </w:rPr>
      <w:t>4</w:t>
    </w:r>
    <w:r w:rsidRPr="00D25317">
      <w:rPr>
        <w:rStyle w:val="AERtextblu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A3" w:rsidRDefault="00AF68A3" w:rsidP="008D0EB8">
      <w:pPr>
        <w:spacing w:after="0" w:line="240" w:lineRule="auto"/>
      </w:pPr>
      <w:r>
        <w:separator/>
      </w:r>
    </w:p>
  </w:footnote>
  <w:footnote w:type="continuationSeparator" w:id="0">
    <w:p w:rsidR="00AF68A3" w:rsidRDefault="00AF68A3" w:rsidP="008D0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3F" w:rsidRDefault="00786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3F" w:rsidRDefault="00786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3F" w:rsidRDefault="00786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8438DF54">
      <w:start w:val="1"/>
      <w:numFmt w:val="bullet"/>
      <w:pStyle w:val="AERbulletlistthirdstyle"/>
      <w:lvlText w:val=""/>
      <w:lvlJc w:val="left"/>
      <w:pPr>
        <w:ind w:left="1077" w:hanging="360"/>
      </w:pPr>
      <w:rPr>
        <w:rFonts w:ascii="Wingdings" w:hAnsi="Wingdings" w:hint="default"/>
      </w:rPr>
    </w:lvl>
    <w:lvl w:ilvl="1" w:tplc="2916A04C">
      <w:start w:val="1"/>
      <w:numFmt w:val="bullet"/>
      <w:lvlText w:val="o"/>
      <w:lvlJc w:val="left"/>
      <w:pPr>
        <w:ind w:left="1797" w:hanging="360"/>
      </w:pPr>
      <w:rPr>
        <w:rFonts w:ascii="Courier New" w:hAnsi="Courier New" w:cs="Courier New" w:hint="default"/>
      </w:rPr>
    </w:lvl>
    <w:lvl w:ilvl="2" w:tplc="F18C3A2A" w:tentative="1">
      <w:start w:val="1"/>
      <w:numFmt w:val="bullet"/>
      <w:lvlText w:val=""/>
      <w:lvlJc w:val="left"/>
      <w:pPr>
        <w:ind w:left="2517" w:hanging="360"/>
      </w:pPr>
      <w:rPr>
        <w:rFonts w:ascii="Wingdings" w:hAnsi="Wingdings" w:hint="default"/>
      </w:rPr>
    </w:lvl>
    <w:lvl w:ilvl="3" w:tplc="CD4C6DB6" w:tentative="1">
      <w:start w:val="1"/>
      <w:numFmt w:val="bullet"/>
      <w:lvlText w:val=""/>
      <w:lvlJc w:val="left"/>
      <w:pPr>
        <w:ind w:left="3237" w:hanging="360"/>
      </w:pPr>
      <w:rPr>
        <w:rFonts w:ascii="Symbol" w:hAnsi="Symbol" w:hint="default"/>
      </w:rPr>
    </w:lvl>
    <w:lvl w:ilvl="4" w:tplc="553C4718" w:tentative="1">
      <w:start w:val="1"/>
      <w:numFmt w:val="bullet"/>
      <w:lvlText w:val="o"/>
      <w:lvlJc w:val="left"/>
      <w:pPr>
        <w:ind w:left="3957" w:hanging="360"/>
      </w:pPr>
      <w:rPr>
        <w:rFonts w:ascii="Courier New" w:hAnsi="Courier New" w:cs="Courier New" w:hint="default"/>
      </w:rPr>
    </w:lvl>
    <w:lvl w:ilvl="5" w:tplc="CDD4EADC" w:tentative="1">
      <w:start w:val="1"/>
      <w:numFmt w:val="bullet"/>
      <w:lvlText w:val=""/>
      <w:lvlJc w:val="left"/>
      <w:pPr>
        <w:ind w:left="4677" w:hanging="360"/>
      </w:pPr>
      <w:rPr>
        <w:rFonts w:ascii="Wingdings" w:hAnsi="Wingdings" w:hint="default"/>
      </w:rPr>
    </w:lvl>
    <w:lvl w:ilvl="6" w:tplc="B59004B2" w:tentative="1">
      <w:start w:val="1"/>
      <w:numFmt w:val="bullet"/>
      <w:lvlText w:val=""/>
      <w:lvlJc w:val="left"/>
      <w:pPr>
        <w:ind w:left="5397" w:hanging="360"/>
      </w:pPr>
      <w:rPr>
        <w:rFonts w:ascii="Symbol" w:hAnsi="Symbol" w:hint="default"/>
      </w:rPr>
    </w:lvl>
    <w:lvl w:ilvl="7" w:tplc="9F68BF04" w:tentative="1">
      <w:start w:val="1"/>
      <w:numFmt w:val="bullet"/>
      <w:lvlText w:val="o"/>
      <w:lvlJc w:val="left"/>
      <w:pPr>
        <w:ind w:left="6117" w:hanging="360"/>
      </w:pPr>
      <w:rPr>
        <w:rFonts w:ascii="Courier New" w:hAnsi="Courier New" w:cs="Courier New" w:hint="default"/>
      </w:rPr>
    </w:lvl>
    <w:lvl w:ilvl="8" w:tplc="73CE3272"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AF5E4FFC"/>
    <w:lvl w:ilvl="0" w:tplc="FC4818F4">
      <w:start w:val="1"/>
      <w:numFmt w:val="bullet"/>
      <w:pStyle w:val="AERbulletlistfirststyle"/>
      <w:lvlText w:val=""/>
      <w:lvlJc w:val="left"/>
      <w:pPr>
        <w:ind w:left="717" w:hanging="360"/>
      </w:pPr>
      <w:rPr>
        <w:rFonts w:ascii="Wingdings" w:hAnsi="Wingding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nsid w:val="3C721288"/>
    <w:multiLevelType w:val="multilevel"/>
    <w:tmpl w:val="1492709C"/>
    <w:numStyleLink w:val="AERHeadings"/>
  </w:abstractNum>
  <w:abstractNum w:abstractNumId="6">
    <w:nsid w:val="3CEF6DE4"/>
    <w:multiLevelType w:val="hybridMultilevel"/>
    <w:tmpl w:val="8E4EF3A6"/>
    <w:lvl w:ilvl="0" w:tplc="BAC0E806">
      <w:start w:val="1"/>
      <w:numFmt w:val="bullet"/>
      <w:pStyle w:val="AERbox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853664A"/>
    <w:multiLevelType w:val="multilevel"/>
    <w:tmpl w:val="6E1C8B38"/>
    <w:lvl w:ilvl="0">
      <w:start w:val="1"/>
      <w:numFmt w:val="bullet"/>
      <w:lvlText w:val=""/>
      <w:lvlJc w:val="left"/>
      <w:pPr>
        <w:tabs>
          <w:tab w:val="num" w:pos="0"/>
        </w:tabs>
        <w:ind w:left="0" w:firstLine="0"/>
      </w:pPr>
      <w:rPr>
        <w:rFonts w:ascii="Symbol" w:hAnsi="Symbol"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1487971"/>
    <w:multiLevelType w:val="multilevel"/>
    <w:tmpl w:val="B1FCC85A"/>
    <w:styleLink w:val="AERnumberedlist"/>
    <w:lvl w:ilvl="0">
      <w:start w:val="1"/>
      <w:numFmt w:val="none"/>
      <w:pStyle w:val="AERheading1"/>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B09229D"/>
    <w:multiLevelType w:val="hybridMultilevel"/>
    <w:tmpl w:val="06B0EDD4"/>
    <w:lvl w:ilvl="0" w:tplc="9E243D52">
      <w:start w:val="1"/>
      <w:numFmt w:val="bullet"/>
      <w:pStyle w:val="12"/>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AEA3AE1"/>
    <w:multiLevelType w:val="hybridMultilevel"/>
    <w:tmpl w:val="52969776"/>
    <w:lvl w:ilvl="0" w:tplc="5ECC349C">
      <w:start w:val="1"/>
      <w:numFmt w:val="bullet"/>
      <w:pStyle w:val="AERquotebullet1"/>
      <w:lvlText w:val=""/>
      <w:lvlJc w:val="left"/>
      <w:pPr>
        <w:ind w:left="720" w:hanging="360"/>
      </w:pPr>
      <w:rPr>
        <w:rFonts w:ascii="Wingdings" w:hAnsi="Wingdings" w:hint="default"/>
      </w:rPr>
    </w:lvl>
    <w:lvl w:ilvl="1" w:tplc="B48CD7A6" w:tentative="1">
      <w:start w:val="1"/>
      <w:numFmt w:val="bullet"/>
      <w:lvlText w:val="o"/>
      <w:lvlJc w:val="left"/>
      <w:pPr>
        <w:ind w:left="1440" w:hanging="360"/>
      </w:pPr>
      <w:rPr>
        <w:rFonts w:ascii="Courier New" w:hAnsi="Courier New" w:cs="Courier New" w:hint="default"/>
      </w:rPr>
    </w:lvl>
    <w:lvl w:ilvl="2" w:tplc="A4A60480" w:tentative="1">
      <w:start w:val="1"/>
      <w:numFmt w:val="bullet"/>
      <w:lvlText w:val=""/>
      <w:lvlJc w:val="left"/>
      <w:pPr>
        <w:ind w:left="2160" w:hanging="360"/>
      </w:pPr>
      <w:rPr>
        <w:rFonts w:ascii="Wingdings" w:hAnsi="Wingdings" w:hint="default"/>
      </w:rPr>
    </w:lvl>
    <w:lvl w:ilvl="3" w:tplc="EFEE4616" w:tentative="1">
      <w:start w:val="1"/>
      <w:numFmt w:val="bullet"/>
      <w:lvlText w:val=""/>
      <w:lvlJc w:val="left"/>
      <w:pPr>
        <w:ind w:left="2880" w:hanging="360"/>
      </w:pPr>
      <w:rPr>
        <w:rFonts w:ascii="Symbol" w:hAnsi="Symbol" w:hint="default"/>
      </w:rPr>
    </w:lvl>
    <w:lvl w:ilvl="4" w:tplc="45FE7C0E" w:tentative="1">
      <w:start w:val="1"/>
      <w:numFmt w:val="bullet"/>
      <w:lvlText w:val="o"/>
      <w:lvlJc w:val="left"/>
      <w:pPr>
        <w:ind w:left="3600" w:hanging="360"/>
      </w:pPr>
      <w:rPr>
        <w:rFonts w:ascii="Courier New" w:hAnsi="Courier New" w:cs="Courier New" w:hint="default"/>
      </w:rPr>
    </w:lvl>
    <w:lvl w:ilvl="5" w:tplc="CBE4787E" w:tentative="1">
      <w:start w:val="1"/>
      <w:numFmt w:val="bullet"/>
      <w:lvlText w:val=""/>
      <w:lvlJc w:val="left"/>
      <w:pPr>
        <w:ind w:left="4320" w:hanging="360"/>
      </w:pPr>
      <w:rPr>
        <w:rFonts w:ascii="Wingdings" w:hAnsi="Wingdings" w:hint="default"/>
      </w:rPr>
    </w:lvl>
    <w:lvl w:ilvl="6" w:tplc="0908B5A0" w:tentative="1">
      <w:start w:val="1"/>
      <w:numFmt w:val="bullet"/>
      <w:lvlText w:val=""/>
      <w:lvlJc w:val="left"/>
      <w:pPr>
        <w:ind w:left="5040" w:hanging="360"/>
      </w:pPr>
      <w:rPr>
        <w:rFonts w:ascii="Symbol" w:hAnsi="Symbol" w:hint="default"/>
      </w:rPr>
    </w:lvl>
    <w:lvl w:ilvl="7" w:tplc="34F613C0" w:tentative="1">
      <w:start w:val="1"/>
      <w:numFmt w:val="bullet"/>
      <w:lvlText w:val="o"/>
      <w:lvlJc w:val="left"/>
      <w:pPr>
        <w:ind w:left="5760" w:hanging="360"/>
      </w:pPr>
      <w:rPr>
        <w:rFonts w:ascii="Courier New" w:hAnsi="Courier New" w:cs="Courier New" w:hint="default"/>
      </w:rPr>
    </w:lvl>
    <w:lvl w:ilvl="8" w:tplc="23D8925A" w:tentative="1">
      <w:start w:val="1"/>
      <w:numFmt w:val="bullet"/>
      <w:lvlText w:val=""/>
      <w:lvlJc w:val="left"/>
      <w:pPr>
        <w:ind w:left="6480" w:hanging="360"/>
      </w:pPr>
      <w:rPr>
        <w:rFonts w:ascii="Wingdings" w:hAnsi="Wingdings" w:hint="default"/>
      </w:rPr>
    </w:lvl>
  </w:abstractNum>
  <w:abstractNum w:abstractNumId="11">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10"/>
  </w:num>
  <w:num w:numId="5">
    <w:abstractNumId w:val="0"/>
  </w:num>
  <w:num w:numId="6">
    <w:abstractNumId w:val="8"/>
  </w:num>
  <w:num w:numId="7">
    <w:abstractNumId w:val="3"/>
  </w:num>
  <w:num w:numId="8">
    <w:abstractNumId w:val="5"/>
    <w:lvlOverride w:ilvl="2">
      <w:lvl w:ilvl="2">
        <w:start w:val="1"/>
        <w:numFmt w:val="decimal"/>
        <w:pStyle w:val="Heading2"/>
        <w:lvlText w:val="%1%2.%3"/>
        <w:lvlJc w:val="left"/>
        <w:pPr>
          <w:tabs>
            <w:tab w:val="num" w:pos="0"/>
          </w:tabs>
          <w:ind w:left="0" w:hanging="851"/>
        </w:pPr>
        <w:rPr>
          <w:rFonts w:hint="default"/>
          <w:b/>
        </w:rPr>
      </w:lvl>
    </w:lvlOverride>
  </w:num>
  <w:num w:numId="9">
    <w:abstractNumId w:val="8"/>
  </w:num>
  <w:num w:numId="10">
    <w:abstractNumId w:val="9"/>
  </w:num>
  <w:num w:numId="11">
    <w:abstractNumId w:val="7"/>
  </w:num>
  <w:num w:numId="12">
    <w:abstractNumId w:val="6"/>
  </w:num>
  <w:num w:numId="13">
    <w:abstractNumId w:val="11"/>
  </w:num>
  <w:num w:numId="14">
    <w:abstractNumId w:val="5"/>
    <w:lvlOverride w:ilvl="2">
      <w:lvl w:ilvl="2">
        <w:start w:val="1"/>
        <w:numFmt w:val="decimal"/>
        <w:pStyle w:val="Heading2"/>
        <w:lvlText w:val="%1%2.%3"/>
        <w:lvlJc w:val="left"/>
        <w:pPr>
          <w:tabs>
            <w:tab w:val="num" w:pos="0"/>
          </w:tabs>
          <w:ind w:left="0" w:hanging="851"/>
        </w:pPr>
        <w:rPr>
          <w:rFonts w:hint="default"/>
          <w:b/>
        </w:rPr>
      </w:lvl>
    </w:lvlOverride>
  </w:num>
  <w:num w:numId="15">
    <w:abstractNumId w:val="5"/>
    <w:lvlOverride w:ilvl="2">
      <w:lvl w:ilvl="2">
        <w:start w:val="1"/>
        <w:numFmt w:val="decimal"/>
        <w:pStyle w:val="Heading2"/>
        <w:lvlText w:val="%1%2.%3"/>
        <w:lvlJc w:val="left"/>
        <w:pPr>
          <w:tabs>
            <w:tab w:val="num" w:pos="0"/>
          </w:tabs>
          <w:ind w:left="0" w:hanging="851"/>
        </w:pPr>
        <w:rPr>
          <w:rFonts w:hint="default"/>
          <w:b/>
        </w:rPr>
      </w:lvl>
    </w:lvlOverride>
  </w:num>
  <w:num w:numId="16">
    <w:abstractNumId w:val="5"/>
    <w:lvlOverride w:ilvl="2">
      <w:lvl w:ilvl="2">
        <w:start w:val="1"/>
        <w:numFmt w:val="decimal"/>
        <w:pStyle w:val="Heading2"/>
        <w:lvlText w:val="%1%2.%3"/>
        <w:lvlJc w:val="left"/>
        <w:pPr>
          <w:tabs>
            <w:tab w:val="num" w:pos="0"/>
          </w:tabs>
          <w:ind w:left="0" w:hanging="851"/>
        </w:pPr>
        <w:rPr>
          <w:rFonts w:hint="default"/>
          <w:b/>
        </w:rPr>
      </w:lvl>
    </w:lvlOverride>
  </w:num>
  <w:num w:numId="17">
    <w:abstractNumId w:val="5"/>
    <w:lvlOverride w:ilvl="2">
      <w:lvl w:ilvl="2">
        <w:start w:val="1"/>
        <w:numFmt w:val="decimal"/>
        <w:pStyle w:val="Heading2"/>
        <w:lvlText w:val="%1%2.%3"/>
        <w:lvlJc w:val="left"/>
        <w:pPr>
          <w:tabs>
            <w:tab w:val="num" w:pos="0"/>
          </w:tabs>
          <w:ind w:left="0" w:hanging="851"/>
        </w:pPr>
        <w:rPr>
          <w:rFonts w:hint="default"/>
          <w:b/>
        </w:rPr>
      </w:lvl>
    </w:lvlOverride>
  </w:num>
  <w:num w:numId="18">
    <w:abstractNumId w:val="5"/>
    <w:lvlOverride w:ilvl="2">
      <w:lvl w:ilvl="2">
        <w:start w:val="1"/>
        <w:numFmt w:val="decimal"/>
        <w:pStyle w:val="Heading2"/>
        <w:lvlText w:val="%1%2.%3"/>
        <w:lvlJc w:val="left"/>
        <w:pPr>
          <w:tabs>
            <w:tab w:val="num" w:pos="0"/>
          </w:tabs>
          <w:ind w:left="0" w:hanging="851"/>
        </w:pPr>
        <w:rPr>
          <w:rFonts w:hint="default"/>
          <w:b/>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oNotTrackMoves/>
  <w:doNotTrackFormatting/>
  <w:defaultTabStop w:val="720"/>
  <w:drawingGridHorizontalSpacing w:val="100"/>
  <w:displayHorizontalDrawingGridEvery w:val="2"/>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fkost\For Publication STPIS\Final Decision -  service target performance incentive scheme version 4.1 - explanatory statement.DOCX"/>
  </w:docVars>
  <w:rsids>
    <w:rsidRoot w:val="008D0EB8"/>
    <w:rsid w:val="0000055F"/>
    <w:rsid w:val="000008AC"/>
    <w:rsid w:val="00000FA0"/>
    <w:rsid w:val="00001BD2"/>
    <w:rsid w:val="0000242A"/>
    <w:rsid w:val="000027CD"/>
    <w:rsid w:val="00002D7F"/>
    <w:rsid w:val="00002E2C"/>
    <w:rsid w:val="000035BC"/>
    <w:rsid w:val="00003961"/>
    <w:rsid w:val="00003E5D"/>
    <w:rsid w:val="00004A29"/>
    <w:rsid w:val="0000618A"/>
    <w:rsid w:val="00007753"/>
    <w:rsid w:val="00007E0F"/>
    <w:rsid w:val="00011954"/>
    <w:rsid w:val="00011A3D"/>
    <w:rsid w:val="00012193"/>
    <w:rsid w:val="00012B4E"/>
    <w:rsid w:val="000130CD"/>
    <w:rsid w:val="0001335D"/>
    <w:rsid w:val="000137FF"/>
    <w:rsid w:val="00014080"/>
    <w:rsid w:val="000141BD"/>
    <w:rsid w:val="00014258"/>
    <w:rsid w:val="00017F2A"/>
    <w:rsid w:val="00020292"/>
    <w:rsid w:val="000205D1"/>
    <w:rsid w:val="000208C6"/>
    <w:rsid w:val="00020AB7"/>
    <w:rsid w:val="00021B88"/>
    <w:rsid w:val="00022E91"/>
    <w:rsid w:val="000257CB"/>
    <w:rsid w:val="00025A68"/>
    <w:rsid w:val="000267D8"/>
    <w:rsid w:val="00027060"/>
    <w:rsid w:val="00027F9C"/>
    <w:rsid w:val="000313A7"/>
    <w:rsid w:val="000318DF"/>
    <w:rsid w:val="00032749"/>
    <w:rsid w:val="00032C56"/>
    <w:rsid w:val="00032FD6"/>
    <w:rsid w:val="00032FFE"/>
    <w:rsid w:val="00036470"/>
    <w:rsid w:val="000367F7"/>
    <w:rsid w:val="00037354"/>
    <w:rsid w:val="000402B0"/>
    <w:rsid w:val="0004040C"/>
    <w:rsid w:val="00040F00"/>
    <w:rsid w:val="000417F6"/>
    <w:rsid w:val="00041BC3"/>
    <w:rsid w:val="000431BB"/>
    <w:rsid w:val="00045386"/>
    <w:rsid w:val="00045B7F"/>
    <w:rsid w:val="00046649"/>
    <w:rsid w:val="000469C2"/>
    <w:rsid w:val="00047C90"/>
    <w:rsid w:val="00050897"/>
    <w:rsid w:val="0005113B"/>
    <w:rsid w:val="00051D1A"/>
    <w:rsid w:val="000523B3"/>
    <w:rsid w:val="00052BED"/>
    <w:rsid w:val="00054631"/>
    <w:rsid w:val="000548AF"/>
    <w:rsid w:val="000557CF"/>
    <w:rsid w:val="000603F7"/>
    <w:rsid w:val="00060606"/>
    <w:rsid w:val="000626E2"/>
    <w:rsid w:val="000626E4"/>
    <w:rsid w:val="00062EDF"/>
    <w:rsid w:val="00063798"/>
    <w:rsid w:val="00063A61"/>
    <w:rsid w:val="00063F84"/>
    <w:rsid w:val="00064954"/>
    <w:rsid w:val="00064B96"/>
    <w:rsid w:val="00064C65"/>
    <w:rsid w:val="00064DDE"/>
    <w:rsid w:val="00065641"/>
    <w:rsid w:val="00065CD5"/>
    <w:rsid w:val="00066C0B"/>
    <w:rsid w:val="00071687"/>
    <w:rsid w:val="00071D10"/>
    <w:rsid w:val="00071D30"/>
    <w:rsid w:val="00072312"/>
    <w:rsid w:val="00072997"/>
    <w:rsid w:val="00072BA9"/>
    <w:rsid w:val="000732D2"/>
    <w:rsid w:val="00073FB7"/>
    <w:rsid w:val="00074594"/>
    <w:rsid w:val="00074F24"/>
    <w:rsid w:val="00075498"/>
    <w:rsid w:val="00075B6E"/>
    <w:rsid w:val="00076F83"/>
    <w:rsid w:val="00077A2C"/>
    <w:rsid w:val="00077E2C"/>
    <w:rsid w:val="00080215"/>
    <w:rsid w:val="00081173"/>
    <w:rsid w:val="000814EC"/>
    <w:rsid w:val="000827A6"/>
    <w:rsid w:val="00082D1B"/>
    <w:rsid w:val="00083789"/>
    <w:rsid w:val="00083871"/>
    <w:rsid w:val="00084054"/>
    <w:rsid w:val="00086E12"/>
    <w:rsid w:val="00086E65"/>
    <w:rsid w:val="00090925"/>
    <w:rsid w:val="00090B59"/>
    <w:rsid w:val="0009123E"/>
    <w:rsid w:val="00091402"/>
    <w:rsid w:val="00091C0D"/>
    <w:rsid w:val="00091FCB"/>
    <w:rsid w:val="000925B3"/>
    <w:rsid w:val="00093D9A"/>
    <w:rsid w:val="00094A55"/>
    <w:rsid w:val="00095D9F"/>
    <w:rsid w:val="00096D41"/>
    <w:rsid w:val="000A08CE"/>
    <w:rsid w:val="000A08D5"/>
    <w:rsid w:val="000A1C1C"/>
    <w:rsid w:val="000A1D56"/>
    <w:rsid w:val="000A219E"/>
    <w:rsid w:val="000A245A"/>
    <w:rsid w:val="000A28E0"/>
    <w:rsid w:val="000A377C"/>
    <w:rsid w:val="000A3E20"/>
    <w:rsid w:val="000A56E3"/>
    <w:rsid w:val="000A5CD0"/>
    <w:rsid w:val="000A5CD6"/>
    <w:rsid w:val="000A6CA7"/>
    <w:rsid w:val="000A78D7"/>
    <w:rsid w:val="000B0367"/>
    <w:rsid w:val="000B116C"/>
    <w:rsid w:val="000B196F"/>
    <w:rsid w:val="000B2F8D"/>
    <w:rsid w:val="000B4EFA"/>
    <w:rsid w:val="000B5533"/>
    <w:rsid w:val="000B747D"/>
    <w:rsid w:val="000B790E"/>
    <w:rsid w:val="000B7CB4"/>
    <w:rsid w:val="000C0020"/>
    <w:rsid w:val="000C1F80"/>
    <w:rsid w:val="000C2632"/>
    <w:rsid w:val="000C3C20"/>
    <w:rsid w:val="000C5193"/>
    <w:rsid w:val="000C5661"/>
    <w:rsid w:val="000C67BC"/>
    <w:rsid w:val="000C68FF"/>
    <w:rsid w:val="000C6CFC"/>
    <w:rsid w:val="000C7DAA"/>
    <w:rsid w:val="000C7EE6"/>
    <w:rsid w:val="000D01F1"/>
    <w:rsid w:val="000D03BB"/>
    <w:rsid w:val="000D0858"/>
    <w:rsid w:val="000D1C25"/>
    <w:rsid w:val="000D1EAA"/>
    <w:rsid w:val="000D298B"/>
    <w:rsid w:val="000D2B3C"/>
    <w:rsid w:val="000D2D72"/>
    <w:rsid w:val="000D4212"/>
    <w:rsid w:val="000D6EDC"/>
    <w:rsid w:val="000D72D6"/>
    <w:rsid w:val="000D7EF2"/>
    <w:rsid w:val="000E0369"/>
    <w:rsid w:val="000E0ACD"/>
    <w:rsid w:val="000E351F"/>
    <w:rsid w:val="000E44CC"/>
    <w:rsid w:val="000E4C08"/>
    <w:rsid w:val="000E4D98"/>
    <w:rsid w:val="000E53F4"/>
    <w:rsid w:val="000E7CF1"/>
    <w:rsid w:val="000F023D"/>
    <w:rsid w:val="000F02B5"/>
    <w:rsid w:val="000F0C98"/>
    <w:rsid w:val="000F0ECA"/>
    <w:rsid w:val="000F0EEE"/>
    <w:rsid w:val="000F1ACF"/>
    <w:rsid w:val="000F395E"/>
    <w:rsid w:val="000F4430"/>
    <w:rsid w:val="000F6365"/>
    <w:rsid w:val="000F74AB"/>
    <w:rsid w:val="000F7B97"/>
    <w:rsid w:val="0010270F"/>
    <w:rsid w:val="00103297"/>
    <w:rsid w:val="00103528"/>
    <w:rsid w:val="00103ED2"/>
    <w:rsid w:val="0010444F"/>
    <w:rsid w:val="001044F9"/>
    <w:rsid w:val="00104B05"/>
    <w:rsid w:val="00104D2F"/>
    <w:rsid w:val="00106C75"/>
    <w:rsid w:val="00106CAD"/>
    <w:rsid w:val="00107C99"/>
    <w:rsid w:val="00110A1C"/>
    <w:rsid w:val="00110FED"/>
    <w:rsid w:val="001131FF"/>
    <w:rsid w:val="0011364A"/>
    <w:rsid w:val="001136BF"/>
    <w:rsid w:val="00113852"/>
    <w:rsid w:val="00113DE7"/>
    <w:rsid w:val="00114541"/>
    <w:rsid w:val="001148EE"/>
    <w:rsid w:val="00114DBA"/>
    <w:rsid w:val="0011661F"/>
    <w:rsid w:val="00120160"/>
    <w:rsid w:val="001203E3"/>
    <w:rsid w:val="001207E6"/>
    <w:rsid w:val="00120DBD"/>
    <w:rsid w:val="0012147F"/>
    <w:rsid w:val="0012185E"/>
    <w:rsid w:val="00121FD7"/>
    <w:rsid w:val="00122627"/>
    <w:rsid w:val="0012306E"/>
    <w:rsid w:val="00123B7C"/>
    <w:rsid w:val="001249BF"/>
    <w:rsid w:val="001255FA"/>
    <w:rsid w:val="0012597D"/>
    <w:rsid w:val="001263B3"/>
    <w:rsid w:val="00126684"/>
    <w:rsid w:val="00127573"/>
    <w:rsid w:val="00130595"/>
    <w:rsid w:val="001307D1"/>
    <w:rsid w:val="001311A1"/>
    <w:rsid w:val="0013171F"/>
    <w:rsid w:val="00131B3C"/>
    <w:rsid w:val="00132A5F"/>
    <w:rsid w:val="00133085"/>
    <w:rsid w:val="001345E2"/>
    <w:rsid w:val="001357BA"/>
    <w:rsid w:val="00135A78"/>
    <w:rsid w:val="00136287"/>
    <w:rsid w:val="0013775E"/>
    <w:rsid w:val="001409C9"/>
    <w:rsid w:val="0014239D"/>
    <w:rsid w:val="00142A3D"/>
    <w:rsid w:val="00142F91"/>
    <w:rsid w:val="00143ED8"/>
    <w:rsid w:val="0014497E"/>
    <w:rsid w:val="001456A4"/>
    <w:rsid w:val="0014637E"/>
    <w:rsid w:val="0014715E"/>
    <w:rsid w:val="00150C03"/>
    <w:rsid w:val="00151736"/>
    <w:rsid w:val="0015254B"/>
    <w:rsid w:val="00152B49"/>
    <w:rsid w:val="00152C46"/>
    <w:rsid w:val="00152F19"/>
    <w:rsid w:val="001533CF"/>
    <w:rsid w:val="00153401"/>
    <w:rsid w:val="00155F35"/>
    <w:rsid w:val="00156850"/>
    <w:rsid w:val="00157F28"/>
    <w:rsid w:val="00160772"/>
    <w:rsid w:val="00160A7A"/>
    <w:rsid w:val="00161080"/>
    <w:rsid w:val="00161851"/>
    <w:rsid w:val="00162732"/>
    <w:rsid w:val="00162E9B"/>
    <w:rsid w:val="00163F3E"/>
    <w:rsid w:val="00164D4A"/>
    <w:rsid w:val="001653EE"/>
    <w:rsid w:val="00165617"/>
    <w:rsid w:val="00166A8F"/>
    <w:rsid w:val="00166D2F"/>
    <w:rsid w:val="00167EE9"/>
    <w:rsid w:val="00167F60"/>
    <w:rsid w:val="00170B54"/>
    <w:rsid w:val="00170F13"/>
    <w:rsid w:val="001716CE"/>
    <w:rsid w:val="00171C46"/>
    <w:rsid w:val="00172237"/>
    <w:rsid w:val="00172461"/>
    <w:rsid w:val="001726E6"/>
    <w:rsid w:val="00172DFD"/>
    <w:rsid w:val="001740C8"/>
    <w:rsid w:val="00174112"/>
    <w:rsid w:val="0017467A"/>
    <w:rsid w:val="001748C6"/>
    <w:rsid w:val="00174F91"/>
    <w:rsid w:val="00176CDE"/>
    <w:rsid w:val="00180D52"/>
    <w:rsid w:val="00181089"/>
    <w:rsid w:val="00181091"/>
    <w:rsid w:val="00182037"/>
    <w:rsid w:val="0018226C"/>
    <w:rsid w:val="00183E73"/>
    <w:rsid w:val="001842A0"/>
    <w:rsid w:val="001847F1"/>
    <w:rsid w:val="001851FF"/>
    <w:rsid w:val="00185634"/>
    <w:rsid w:val="0018579C"/>
    <w:rsid w:val="00185CCF"/>
    <w:rsid w:val="00186CF6"/>
    <w:rsid w:val="00186E16"/>
    <w:rsid w:val="001877DB"/>
    <w:rsid w:val="0019019F"/>
    <w:rsid w:val="00190EA8"/>
    <w:rsid w:val="00190F7A"/>
    <w:rsid w:val="00192E8D"/>
    <w:rsid w:val="0019347A"/>
    <w:rsid w:val="00193F24"/>
    <w:rsid w:val="00194ACD"/>
    <w:rsid w:val="00195282"/>
    <w:rsid w:val="0019702C"/>
    <w:rsid w:val="00197580"/>
    <w:rsid w:val="001A0737"/>
    <w:rsid w:val="001A0863"/>
    <w:rsid w:val="001A099E"/>
    <w:rsid w:val="001A1050"/>
    <w:rsid w:val="001A18BD"/>
    <w:rsid w:val="001A2085"/>
    <w:rsid w:val="001A3211"/>
    <w:rsid w:val="001A3640"/>
    <w:rsid w:val="001A432D"/>
    <w:rsid w:val="001A455C"/>
    <w:rsid w:val="001A5432"/>
    <w:rsid w:val="001A5D50"/>
    <w:rsid w:val="001A65D7"/>
    <w:rsid w:val="001A6BCB"/>
    <w:rsid w:val="001A6C39"/>
    <w:rsid w:val="001A743F"/>
    <w:rsid w:val="001A7640"/>
    <w:rsid w:val="001B00F7"/>
    <w:rsid w:val="001B04FB"/>
    <w:rsid w:val="001B061C"/>
    <w:rsid w:val="001B2189"/>
    <w:rsid w:val="001B35C6"/>
    <w:rsid w:val="001B4019"/>
    <w:rsid w:val="001B5CC5"/>
    <w:rsid w:val="001B5E03"/>
    <w:rsid w:val="001B6D25"/>
    <w:rsid w:val="001C0838"/>
    <w:rsid w:val="001C0DAF"/>
    <w:rsid w:val="001C3E40"/>
    <w:rsid w:val="001C4202"/>
    <w:rsid w:val="001C5F94"/>
    <w:rsid w:val="001C636B"/>
    <w:rsid w:val="001D0245"/>
    <w:rsid w:val="001D0B38"/>
    <w:rsid w:val="001D152E"/>
    <w:rsid w:val="001D1A2D"/>
    <w:rsid w:val="001D2949"/>
    <w:rsid w:val="001D2C01"/>
    <w:rsid w:val="001D3065"/>
    <w:rsid w:val="001D36AB"/>
    <w:rsid w:val="001D3D72"/>
    <w:rsid w:val="001D436F"/>
    <w:rsid w:val="001D5F8E"/>
    <w:rsid w:val="001D643A"/>
    <w:rsid w:val="001D6F65"/>
    <w:rsid w:val="001D75C3"/>
    <w:rsid w:val="001E162A"/>
    <w:rsid w:val="001E17FD"/>
    <w:rsid w:val="001E1953"/>
    <w:rsid w:val="001E26CC"/>
    <w:rsid w:val="001E3ABE"/>
    <w:rsid w:val="001E45F5"/>
    <w:rsid w:val="001E4965"/>
    <w:rsid w:val="001E4BCC"/>
    <w:rsid w:val="001E7B1D"/>
    <w:rsid w:val="001E7FE0"/>
    <w:rsid w:val="001F1209"/>
    <w:rsid w:val="001F121A"/>
    <w:rsid w:val="001F160E"/>
    <w:rsid w:val="001F1FEE"/>
    <w:rsid w:val="001F2C90"/>
    <w:rsid w:val="001F351A"/>
    <w:rsid w:val="001F44FF"/>
    <w:rsid w:val="001F45BF"/>
    <w:rsid w:val="001F463C"/>
    <w:rsid w:val="001F47AC"/>
    <w:rsid w:val="001F4856"/>
    <w:rsid w:val="001F59DD"/>
    <w:rsid w:val="00200766"/>
    <w:rsid w:val="0020127E"/>
    <w:rsid w:val="00201355"/>
    <w:rsid w:val="00201CE7"/>
    <w:rsid w:val="002024FF"/>
    <w:rsid w:val="00203843"/>
    <w:rsid w:val="00204510"/>
    <w:rsid w:val="002052DF"/>
    <w:rsid w:val="002054F0"/>
    <w:rsid w:val="00205AD0"/>
    <w:rsid w:val="00206744"/>
    <w:rsid w:val="00207076"/>
    <w:rsid w:val="00207A32"/>
    <w:rsid w:val="00207F57"/>
    <w:rsid w:val="002115EF"/>
    <w:rsid w:val="00211C9B"/>
    <w:rsid w:val="0021657B"/>
    <w:rsid w:val="00217FA4"/>
    <w:rsid w:val="0022240B"/>
    <w:rsid w:val="00222E6B"/>
    <w:rsid w:val="002232E2"/>
    <w:rsid w:val="002232FC"/>
    <w:rsid w:val="00223300"/>
    <w:rsid w:val="002236D5"/>
    <w:rsid w:val="002239F5"/>
    <w:rsid w:val="002266FC"/>
    <w:rsid w:val="00226C7D"/>
    <w:rsid w:val="002278D0"/>
    <w:rsid w:val="00227FE0"/>
    <w:rsid w:val="00230036"/>
    <w:rsid w:val="002315A7"/>
    <w:rsid w:val="002323D8"/>
    <w:rsid w:val="00234B2F"/>
    <w:rsid w:val="002350E6"/>
    <w:rsid w:val="0023569A"/>
    <w:rsid w:val="00235EF6"/>
    <w:rsid w:val="00236A1A"/>
    <w:rsid w:val="00237035"/>
    <w:rsid w:val="00237EAC"/>
    <w:rsid w:val="0024074B"/>
    <w:rsid w:val="00240878"/>
    <w:rsid w:val="00240D58"/>
    <w:rsid w:val="002410DB"/>
    <w:rsid w:val="00241236"/>
    <w:rsid w:val="0024146C"/>
    <w:rsid w:val="00241644"/>
    <w:rsid w:val="0024211C"/>
    <w:rsid w:val="00242893"/>
    <w:rsid w:val="00242952"/>
    <w:rsid w:val="00245518"/>
    <w:rsid w:val="0024564E"/>
    <w:rsid w:val="0024591D"/>
    <w:rsid w:val="00245B06"/>
    <w:rsid w:val="00246C36"/>
    <w:rsid w:val="00246C7C"/>
    <w:rsid w:val="0024791B"/>
    <w:rsid w:val="00251D10"/>
    <w:rsid w:val="00251DFD"/>
    <w:rsid w:val="002523DF"/>
    <w:rsid w:val="0025331D"/>
    <w:rsid w:val="00253422"/>
    <w:rsid w:val="00253BE1"/>
    <w:rsid w:val="00254707"/>
    <w:rsid w:val="00254F6C"/>
    <w:rsid w:val="00255A0C"/>
    <w:rsid w:val="00255CC4"/>
    <w:rsid w:val="002560FA"/>
    <w:rsid w:val="0025687B"/>
    <w:rsid w:val="002604CD"/>
    <w:rsid w:val="00260804"/>
    <w:rsid w:val="002619F8"/>
    <w:rsid w:val="00262702"/>
    <w:rsid w:val="00263AF1"/>
    <w:rsid w:val="00263F12"/>
    <w:rsid w:val="0026547C"/>
    <w:rsid w:val="002659D7"/>
    <w:rsid w:val="00265A73"/>
    <w:rsid w:val="00270B02"/>
    <w:rsid w:val="00270E9F"/>
    <w:rsid w:val="0027145F"/>
    <w:rsid w:val="00271FA2"/>
    <w:rsid w:val="0027338E"/>
    <w:rsid w:val="00274B5D"/>
    <w:rsid w:val="00274F62"/>
    <w:rsid w:val="00277202"/>
    <w:rsid w:val="00277EA1"/>
    <w:rsid w:val="002809B1"/>
    <w:rsid w:val="00281D96"/>
    <w:rsid w:val="00282A2E"/>
    <w:rsid w:val="00282B43"/>
    <w:rsid w:val="00284226"/>
    <w:rsid w:val="00285894"/>
    <w:rsid w:val="00286834"/>
    <w:rsid w:val="00287444"/>
    <w:rsid w:val="002919E9"/>
    <w:rsid w:val="002921CE"/>
    <w:rsid w:val="00292D83"/>
    <w:rsid w:val="00293B92"/>
    <w:rsid w:val="00294D64"/>
    <w:rsid w:val="00294F22"/>
    <w:rsid w:val="00295454"/>
    <w:rsid w:val="00295D70"/>
    <w:rsid w:val="00297464"/>
    <w:rsid w:val="002A0FA5"/>
    <w:rsid w:val="002A1E1D"/>
    <w:rsid w:val="002A2240"/>
    <w:rsid w:val="002A299C"/>
    <w:rsid w:val="002A30B1"/>
    <w:rsid w:val="002A34EC"/>
    <w:rsid w:val="002A3953"/>
    <w:rsid w:val="002A5035"/>
    <w:rsid w:val="002A51E8"/>
    <w:rsid w:val="002A58D1"/>
    <w:rsid w:val="002A5909"/>
    <w:rsid w:val="002A5995"/>
    <w:rsid w:val="002A5B41"/>
    <w:rsid w:val="002A680E"/>
    <w:rsid w:val="002A6960"/>
    <w:rsid w:val="002A6B78"/>
    <w:rsid w:val="002A6BB2"/>
    <w:rsid w:val="002A7089"/>
    <w:rsid w:val="002A7DFE"/>
    <w:rsid w:val="002A7FCC"/>
    <w:rsid w:val="002B1327"/>
    <w:rsid w:val="002B1FC1"/>
    <w:rsid w:val="002B3A51"/>
    <w:rsid w:val="002B3ABC"/>
    <w:rsid w:val="002B435D"/>
    <w:rsid w:val="002B53E2"/>
    <w:rsid w:val="002B6908"/>
    <w:rsid w:val="002B6BBD"/>
    <w:rsid w:val="002C0B3D"/>
    <w:rsid w:val="002C1B6E"/>
    <w:rsid w:val="002C1FBA"/>
    <w:rsid w:val="002C2B6D"/>
    <w:rsid w:val="002C2CA0"/>
    <w:rsid w:val="002C4263"/>
    <w:rsid w:val="002C5C64"/>
    <w:rsid w:val="002C6547"/>
    <w:rsid w:val="002C6B0A"/>
    <w:rsid w:val="002C78A9"/>
    <w:rsid w:val="002D0E10"/>
    <w:rsid w:val="002D2199"/>
    <w:rsid w:val="002D4024"/>
    <w:rsid w:val="002D4748"/>
    <w:rsid w:val="002D4F2E"/>
    <w:rsid w:val="002D5973"/>
    <w:rsid w:val="002D6479"/>
    <w:rsid w:val="002D6F90"/>
    <w:rsid w:val="002D75EF"/>
    <w:rsid w:val="002E069B"/>
    <w:rsid w:val="002E32D4"/>
    <w:rsid w:val="002E3D5A"/>
    <w:rsid w:val="002E4D48"/>
    <w:rsid w:val="002E56A7"/>
    <w:rsid w:val="002E5AC6"/>
    <w:rsid w:val="002E5D66"/>
    <w:rsid w:val="002E6A40"/>
    <w:rsid w:val="002E6BE4"/>
    <w:rsid w:val="002E723A"/>
    <w:rsid w:val="002F0280"/>
    <w:rsid w:val="002F0A5E"/>
    <w:rsid w:val="002F0AD6"/>
    <w:rsid w:val="002F184C"/>
    <w:rsid w:val="002F1A0B"/>
    <w:rsid w:val="002F28C7"/>
    <w:rsid w:val="002F332D"/>
    <w:rsid w:val="002F5C36"/>
    <w:rsid w:val="002F65B3"/>
    <w:rsid w:val="002F6856"/>
    <w:rsid w:val="002F7756"/>
    <w:rsid w:val="002F7D5A"/>
    <w:rsid w:val="0030183F"/>
    <w:rsid w:val="0030222C"/>
    <w:rsid w:val="00303161"/>
    <w:rsid w:val="00305581"/>
    <w:rsid w:val="00305854"/>
    <w:rsid w:val="003059E3"/>
    <w:rsid w:val="00305B92"/>
    <w:rsid w:val="00306E4A"/>
    <w:rsid w:val="00307414"/>
    <w:rsid w:val="00307726"/>
    <w:rsid w:val="00310D8E"/>
    <w:rsid w:val="003113BD"/>
    <w:rsid w:val="00311493"/>
    <w:rsid w:val="00311C25"/>
    <w:rsid w:val="00313718"/>
    <w:rsid w:val="00313A45"/>
    <w:rsid w:val="00313B3D"/>
    <w:rsid w:val="003159F3"/>
    <w:rsid w:val="00316173"/>
    <w:rsid w:val="003161D0"/>
    <w:rsid w:val="00316225"/>
    <w:rsid w:val="00316DF8"/>
    <w:rsid w:val="003178F6"/>
    <w:rsid w:val="00320B60"/>
    <w:rsid w:val="0032174F"/>
    <w:rsid w:val="00321B26"/>
    <w:rsid w:val="00322689"/>
    <w:rsid w:val="00323594"/>
    <w:rsid w:val="003242E0"/>
    <w:rsid w:val="0032571A"/>
    <w:rsid w:val="003266CB"/>
    <w:rsid w:val="003307E0"/>
    <w:rsid w:val="00331CB4"/>
    <w:rsid w:val="00333585"/>
    <w:rsid w:val="00333728"/>
    <w:rsid w:val="00333BF6"/>
    <w:rsid w:val="00333D8C"/>
    <w:rsid w:val="00334126"/>
    <w:rsid w:val="00335CE9"/>
    <w:rsid w:val="00335DAC"/>
    <w:rsid w:val="003367E9"/>
    <w:rsid w:val="0033698F"/>
    <w:rsid w:val="00337045"/>
    <w:rsid w:val="00337336"/>
    <w:rsid w:val="00340199"/>
    <w:rsid w:val="003409AC"/>
    <w:rsid w:val="003423B9"/>
    <w:rsid w:val="00344C4E"/>
    <w:rsid w:val="00344E22"/>
    <w:rsid w:val="00345074"/>
    <w:rsid w:val="003454F9"/>
    <w:rsid w:val="003457C1"/>
    <w:rsid w:val="00345FEE"/>
    <w:rsid w:val="00346EB4"/>
    <w:rsid w:val="0034721B"/>
    <w:rsid w:val="00347660"/>
    <w:rsid w:val="003476C1"/>
    <w:rsid w:val="00347C55"/>
    <w:rsid w:val="00350866"/>
    <w:rsid w:val="00351439"/>
    <w:rsid w:val="00351F31"/>
    <w:rsid w:val="00352262"/>
    <w:rsid w:val="003525EA"/>
    <w:rsid w:val="0035343C"/>
    <w:rsid w:val="0035352A"/>
    <w:rsid w:val="00353809"/>
    <w:rsid w:val="003540A9"/>
    <w:rsid w:val="00356036"/>
    <w:rsid w:val="00356E02"/>
    <w:rsid w:val="0035703D"/>
    <w:rsid w:val="00357BFB"/>
    <w:rsid w:val="00361DF5"/>
    <w:rsid w:val="00362886"/>
    <w:rsid w:val="003633B4"/>
    <w:rsid w:val="00363FDA"/>
    <w:rsid w:val="003641F4"/>
    <w:rsid w:val="00366D40"/>
    <w:rsid w:val="00366E05"/>
    <w:rsid w:val="00366F99"/>
    <w:rsid w:val="00367C76"/>
    <w:rsid w:val="003703CA"/>
    <w:rsid w:val="00370AD4"/>
    <w:rsid w:val="003712AB"/>
    <w:rsid w:val="00371516"/>
    <w:rsid w:val="00372191"/>
    <w:rsid w:val="00372593"/>
    <w:rsid w:val="0037328F"/>
    <w:rsid w:val="003740BB"/>
    <w:rsid w:val="0037464C"/>
    <w:rsid w:val="00374F9E"/>
    <w:rsid w:val="00375C49"/>
    <w:rsid w:val="00375C59"/>
    <w:rsid w:val="00375E8F"/>
    <w:rsid w:val="00377230"/>
    <w:rsid w:val="0038051E"/>
    <w:rsid w:val="00380B94"/>
    <w:rsid w:val="0038175C"/>
    <w:rsid w:val="00381AB6"/>
    <w:rsid w:val="0038416A"/>
    <w:rsid w:val="00385858"/>
    <w:rsid w:val="00387E0E"/>
    <w:rsid w:val="00387F12"/>
    <w:rsid w:val="003902A8"/>
    <w:rsid w:val="00390873"/>
    <w:rsid w:val="00390C12"/>
    <w:rsid w:val="00391BDB"/>
    <w:rsid w:val="00393C2E"/>
    <w:rsid w:val="00393C95"/>
    <w:rsid w:val="00394B22"/>
    <w:rsid w:val="00396223"/>
    <w:rsid w:val="00397AE3"/>
    <w:rsid w:val="003A0186"/>
    <w:rsid w:val="003A062F"/>
    <w:rsid w:val="003A0D7D"/>
    <w:rsid w:val="003A0E7B"/>
    <w:rsid w:val="003A2D27"/>
    <w:rsid w:val="003A305E"/>
    <w:rsid w:val="003A3DC7"/>
    <w:rsid w:val="003A4B74"/>
    <w:rsid w:val="003A53ED"/>
    <w:rsid w:val="003A65B9"/>
    <w:rsid w:val="003A7C93"/>
    <w:rsid w:val="003B0EA3"/>
    <w:rsid w:val="003B17AD"/>
    <w:rsid w:val="003B25E0"/>
    <w:rsid w:val="003B316D"/>
    <w:rsid w:val="003B3592"/>
    <w:rsid w:val="003B3A6F"/>
    <w:rsid w:val="003B3D45"/>
    <w:rsid w:val="003B3F70"/>
    <w:rsid w:val="003B4929"/>
    <w:rsid w:val="003B49FE"/>
    <w:rsid w:val="003B5712"/>
    <w:rsid w:val="003B5F6B"/>
    <w:rsid w:val="003B6003"/>
    <w:rsid w:val="003B64D3"/>
    <w:rsid w:val="003B66E4"/>
    <w:rsid w:val="003B6DE6"/>
    <w:rsid w:val="003C0D61"/>
    <w:rsid w:val="003C108E"/>
    <w:rsid w:val="003C230F"/>
    <w:rsid w:val="003C43C3"/>
    <w:rsid w:val="003C7502"/>
    <w:rsid w:val="003C75F8"/>
    <w:rsid w:val="003D01E7"/>
    <w:rsid w:val="003D0458"/>
    <w:rsid w:val="003D070F"/>
    <w:rsid w:val="003D1450"/>
    <w:rsid w:val="003D1499"/>
    <w:rsid w:val="003D1A58"/>
    <w:rsid w:val="003D25C6"/>
    <w:rsid w:val="003D3A51"/>
    <w:rsid w:val="003D41E5"/>
    <w:rsid w:val="003D46F6"/>
    <w:rsid w:val="003D5096"/>
    <w:rsid w:val="003D5F6F"/>
    <w:rsid w:val="003D6F9B"/>
    <w:rsid w:val="003E1D8E"/>
    <w:rsid w:val="003E2148"/>
    <w:rsid w:val="003E2225"/>
    <w:rsid w:val="003E2DA2"/>
    <w:rsid w:val="003E30C7"/>
    <w:rsid w:val="003E397C"/>
    <w:rsid w:val="003E3FB8"/>
    <w:rsid w:val="003E44F1"/>
    <w:rsid w:val="003E6F17"/>
    <w:rsid w:val="003E789F"/>
    <w:rsid w:val="003F06EE"/>
    <w:rsid w:val="003F10D9"/>
    <w:rsid w:val="003F2206"/>
    <w:rsid w:val="003F457D"/>
    <w:rsid w:val="003F4F47"/>
    <w:rsid w:val="003F6679"/>
    <w:rsid w:val="003F72F9"/>
    <w:rsid w:val="003F7707"/>
    <w:rsid w:val="003F77A2"/>
    <w:rsid w:val="00401C62"/>
    <w:rsid w:val="00404DBD"/>
    <w:rsid w:val="004105FD"/>
    <w:rsid w:val="00410DD2"/>
    <w:rsid w:val="00410FB8"/>
    <w:rsid w:val="00411278"/>
    <w:rsid w:val="00412848"/>
    <w:rsid w:val="004129C1"/>
    <w:rsid w:val="004130DF"/>
    <w:rsid w:val="004136E7"/>
    <w:rsid w:val="00414EEA"/>
    <w:rsid w:val="00415429"/>
    <w:rsid w:val="0041617A"/>
    <w:rsid w:val="00416799"/>
    <w:rsid w:val="00416A45"/>
    <w:rsid w:val="0042158E"/>
    <w:rsid w:val="00422113"/>
    <w:rsid w:val="00422A7F"/>
    <w:rsid w:val="00423411"/>
    <w:rsid w:val="00423A08"/>
    <w:rsid w:val="00423DB5"/>
    <w:rsid w:val="00423F53"/>
    <w:rsid w:val="004250E0"/>
    <w:rsid w:val="00426B10"/>
    <w:rsid w:val="0042742A"/>
    <w:rsid w:val="004305F8"/>
    <w:rsid w:val="00432089"/>
    <w:rsid w:val="004329FA"/>
    <w:rsid w:val="0043372F"/>
    <w:rsid w:val="00433FE0"/>
    <w:rsid w:val="00434235"/>
    <w:rsid w:val="0043593D"/>
    <w:rsid w:val="00435CD7"/>
    <w:rsid w:val="00435E0E"/>
    <w:rsid w:val="00435EA6"/>
    <w:rsid w:val="00436B62"/>
    <w:rsid w:val="00437806"/>
    <w:rsid w:val="0044064A"/>
    <w:rsid w:val="00440915"/>
    <w:rsid w:val="00440A7C"/>
    <w:rsid w:val="00441F69"/>
    <w:rsid w:val="00443751"/>
    <w:rsid w:val="00443C6B"/>
    <w:rsid w:val="00443E50"/>
    <w:rsid w:val="00444190"/>
    <w:rsid w:val="004445C5"/>
    <w:rsid w:val="00444961"/>
    <w:rsid w:val="00445171"/>
    <w:rsid w:val="00445CB6"/>
    <w:rsid w:val="00446192"/>
    <w:rsid w:val="00446283"/>
    <w:rsid w:val="00446BB3"/>
    <w:rsid w:val="0044704E"/>
    <w:rsid w:val="00447C64"/>
    <w:rsid w:val="0045003B"/>
    <w:rsid w:val="00450C79"/>
    <w:rsid w:val="00455B2C"/>
    <w:rsid w:val="0045633C"/>
    <w:rsid w:val="00456ECB"/>
    <w:rsid w:val="004573F2"/>
    <w:rsid w:val="00457852"/>
    <w:rsid w:val="00457AB1"/>
    <w:rsid w:val="004603C7"/>
    <w:rsid w:val="0046062C"/>
    <w:rsid w:val="004620B9"/>
    <w:rsid w:val="00462AE1"/>
    <w:rsid w:val="004648A5"/>
    <w:rsid w:val="00464AD5"/>
    <w:rsid w:val="00465F9E"/>
    <w:rsid w:val="00466A2A"/>
    <w:rsid w:val="00466BDB"/>
    <w:rsid w:val="0046708D"/>
    <w:rsid w:val="004670F2"/>
    <w:rsid w:val="004714AE"/>
    <w:rsid w:val="004715AB"/>
    <w:rsid w:val="00472E27"/>
    <w:rsid w:val="00472E9D"/>
    <w:rsid w:val="0047306C"/>
    <w:rsid w:val="00473137"/>
    <w:rsid w:val="004733B3"/>
    <w:rsid w:val="0047346F"/>
    <w:rsid w:val="0047383C"/>
    <w:rsid w:val="00473CEE"/>
    <w:rsid w:val="00473CFC"/>
    <w:rsid w:val="00473DB0"/>
    <w:rsid w:val="00474941"/>
    <w:rsid w:val="00474FA0"/>
    <w:rsid w:val="004754F8"/>
    <w:rsid w:val="00475692"/>
    <w:rsid w:val="004756F9"/>
    <w:rsid w:val="00475978"/>
    <w:rsid w:val="00475B58"/>
    <w:rsid w:val="00475B82"/>
    <w:rsid w:val="00476C5E"/>
    <w:rsid w:val="00480C86"/>
    <w:rsid w:val="004815C1"/>
    <w:rsid w:val="00481C64"/>
    <w:rsid w:val="00482D43"/>
    <w:rsid w:val="004838B2"/>
    <w:rsid w:val="004855F9"/>
    <w:rsid w:val="004867C1"/>
    <w:rsid w:val="004868DE"/>
    <w:rsid w:val="00486AEB"/>
    <w:rsid w:val="00487843"/>
    <w:rsid w:val="00487EFD"/>
    <w:rsid w:val="00487F28"/>
    <w:rsid w:val="00487F96"/>
    <w:rsid w:val="00491CAF"/>
    <w:rsid w:val="004931C6"/>
    <w:rsid w:val="00493C08"/>
    <w:rsid w:val="00493EAF"/>
    <w:rsid w:val="00495345"/>
    <w:rsid w:val="004959C3"/>
    <w:rsid w:val="0049644D"/>
    <w:rsid w:val="00497AB8"/>
    <w:rsid w:val="00497CA0"/>
    <w:rsid w:val="004A097C"/>
    <w:rsid w:val="004A14B7"/>
    <w:rsid w:val="004A1E11"/>
    <w:rsid w:val="004A22CD"/>
    <w:rsid w:val="004A22EF"/>
    <w:rsid w:val="004A2AF6"/>
    <w:rsid w:val="004A326E"/>
    <w:rsid w:val="004A3C3C"/>
    <w:rsid w:val="004A4237"/>
    <w:rsid w:val="004A56DD"/>
    <w:rsid w:val="004A5C0B"/>
    <w:rsid w:val="004A61FE"/>
    <w:rsid w:val="004A6F39"/>
    <w:rsid w:val="004B12C2"/>
    <w:rsid w:val="004B36A0"/>
    <w:rsid w:val="004B3E47"/>
    <w:rsid w:val="004B510B"/>
    <w:rsid w:val="004B5EDE"/>
    <w:rsid w:val="004B6BCB"/>
    <w:rsid w:val="004B6D04"/>
    <w:rsid w:val="004B71BF"/>
    <w:rsid w:val="004C0D68"/>
    <w:rsid w:val="004C2030"/>
    <w:rsid w:val="004C2834"/>
    <w:rsid w:val="004C3854"/>
    <w:rsid w:val="004C4ACE"/>
    <w:rsid w:val="004C5E43"/>
    <w:rsid w:val="004C6680"/>
    <w:rsid w:val="004C6727"/>
    <w:rsid w:val="004C6811"/>
    <w:rsid w:val="004C6BEB"/>
    <w:rsid w:val="004C6CCA"/>
    <w:rsid w:val="004D0002"/>
    <w:rsid w:val="004D06B2"/>
    <w:rsid w:val="004D0AC5"/>
    <w:rsid w:val="004D0B33"/>
    <w:rsid w:val="004D160D"/>
    <w:rsid w:val="004D21A3"/>
    <w:rsid w:val="004D2436"/>
    <w:rsid w:val="004D25DC"/>
    <w:rsid w:val="004D4062"/>
    <w:rsid w:val="004D4249"/>
    <w:rsid w:val="004D453A"/>
    <w:rsid w:val="004D6A58"/>
    <w:rsid w:val="004D7004"/>
    <w:rsid w:val="004D700F"/>
    <w:rsid w:val="004D7BC7"/>
    <w:rsid w:val="004D7DC8"/>
    <w:rsid w:val="004E0922"/>
    <w:rsid w:val="004E0A4D"/>
    <w:rsid w:val="004E0EB2"/>
    <w:rsid w:val="004E145D"/>
    <w:rsid w:val="004E1550"/>
    <w:rsid w:val="004E1EEC"/>
    <w:rsid w:val="004E27FA"/>
    <w:rsid w:val="004E2B67"/>
    <w:rsid w:val="004E3D1B"/>
    <w:rsid w:val="004E4182"/>
    <w:rsid w:val="004E41CE"/>
    <w:rsid w:val="004E6B97"/>
    <w:rsid w:val="004F0502"/>
    <w:rsid w:val="004F0AFB"/>
    <w:rsid w:val="004F0CDB"/>
    <w:rsid w:val="004F1836"/>
    <w:rsid w:val="004F1E9A"/>
    <w:rsid w:val="004F2C47"/>
    <w:rsid w:val="004F3288"/>
    <w:rsid w:val="004F3624"/>
    <w:rsid w:val="004F36F8"/>
    <w:rsid w:val="004F38D7"/>
    <w:rsid w:val="004F4503"/>
    <w:rsid w:val="004F4AA1"/>
    <w:rsid w:val="004F5B96"/>
    <w:rsid w:val="004F5F06"/>
    <w:rsid w:val="004F6084"/>
    <w:rsid w:val="004F64DA"/>
    <w:rsid w:val="00500A82"/>
    <w:rsid w:val="00500E23"/>
    <w:rsid w:val="00501736"/>
    <w:rsid w:val="005021DC"/>
    <w:rsid w:val="00502246"/>
    <w:rsid w:val="0050475D"/>
    <w:rsid w:val="005068D6"/>
    <w:rsid w:val="005069E9"/>
    <w:rsid w:val="00506DC8"/>
    <w:rsid w:val="00506DEC"/>
    <w:rsid w:val="00507ABC"/>
    <w:rsid w:val="00510CCB"/>
    <w:rsid w:val="00511644"/>
    <w:rsid w:val="00511F7B"/>
    <w:rsid w:val="0051445B"/>
    <w:rsid w:val="005148FE"/>
    <w:rsid w:val="00515461"/>
    <w:rsid w:val="00515775"/>
    <w:rsid w:val="005163B0"/>
    <w:rsid w:val="005166F8"/>
    <w:rsid w:val="00521660"/>
    <w:rsid w:val="00522396"/>
    <w:rsid w:val="00522725"/>
    <w:rsid w:val="00523796"/>
    <w:rsid w:val="00524BA6"/>
    <w:rsid w:val="005254E2"/>
    <w:rsid w:val="0052582D"/>
    <w:rsid w:val="00525B67"/>
    <w:rsid w:val="00525D29"/>
    <w:rsid w:val="0052756D"/>
    <w:rsid w:val="00527838"/>
    <w:rsid w:val="00530006"/>
    <w:rsid w:val="00530A01"/>
    <w:rsid w:val="00531196"/>
    <w:rsid w:val="00532E6F"/>
    <w:rsid w:val="0053331D"/>
    <w:rsid w:val="00533FF1"/>
    <w:rsid w:val="005340A0"/>
    <w:rsid w:val="0053440D"/>
    <w:rsid w:val="005346C1"/>
    <w:rsid w:val="00534F93"/>
    <w:rsid w:val="00535087"/>
    <w:rsid w:val="005350A3"/>
    <w:rsid w:val="005359BF"/>
    <w:rsid w:val="00535FA2"/>
    <w:rsid w:val="0053677B"/>
    <w:rsid w:val="00536BA9"/>
    <w:rsid w:val="00536F60"/>
    <w:rsid w:val="00537F8C"/>
    <w:rsid w:val="0054023A"/>
    <w:rsid w:val="00540A60"/>
    <w:rsid w:val="00541683"/>
    <w:rsid w:val="0054176F"/>
    <w:rsid w:val="00541816"/>
    <w:rsid w:val="00541BF1"/>
    <w:rsid w:val="00541F14"/>
    <w:rsid w:val="00542F58"/>
    <w:rsid w:val="00543305"/>
    <w:rsid w:val="00543B12"/>
    <w:rsid w:val="00543B21"/>
    <w:rsid w:val="00544170"/>
    <w:rsid w:val="00544366"/>
    <w:rsid w:val="00544753"/>
    <w:rsid w:val="005466CC"/>
    <w:rsid w:val="00551865"/>
    <w:rsid w:val="00551C8F"/>
    <w:rsid w:val="00554D83"/>
    <w:rsid w:val="00555048"/>
    <w:rsid w:val="005558E8"/>
    <w:rsid w:val="00555A39"/>
    <w:rsid w:val="00555AAB"/>
    <w:rsid w:val="00555B27"/>
    <w:rsid w:val="00556C69"/>
    <w:rsid w:val="0055727F"/>
    <w:rsid w:val="00560B89"/>
    <w:rsid w:val="00561799"/>
    <w:rsid w:val="0056267C"/>
    <w:rsid w:val="005630D5"/>
    <w:rsid w:val="00564F49"/>
    <w:rsid w:val="005652A8"/>
    <w:rsid w:val="005657FD"/>
    <w:rsid w:val="0056665A"/>
    <w:rsid w:val="0056676F"/>
    <w:rsid w:val="00566DC4"/>
    <w:rsid w:val="00570AF4"/>
    <w:rsid w:val="00570EC1"/>
    <w:rsid w:val="0057124D"/>
    <w:rsid w:val="00571265"/>
    <w:rsid w:val="0057141B"/>
    <w:rsid w:val="00571FD6"/>
    <w:rsid w:val="005721F3"/>
    <w:rsid w:val="0057236A"/>
    <w:rsid w:val="005724C5"/>
    <w:rsid w:val="0057289B"/>
    <w:rsid w:val="00573774"/>
    <w:rsid w:val="00574877"/>
    <w:rsid w:val="005748BB"/>
    <w:rsid w:val="005749AD"/>
    <w:rsid w:val="00576974"/>
    <w:rsid w:val="0057729F"/>
    <w:rsid w:val="00577320"/>
    <w:rsid w:val="0057791C"/>
    <w:rsid w:val="005807C9"/>
    <w:rsid w:val="00581188"/>
    <w:rsid w:val="005812B6"/>
    <w:rsid w:val="00581697"/>
    <w:rsid w:val="00582606"/>
    <w:rsid w:val="00584A51"/>
    <w:rsid w:val="00585A31"/>
    <w:rsid w:val="005866C9"/>
    <w:rsid w:val="00586AA1"/>
    <w:rsid w:val="00587787"/>
    <w:rsid w:val="00587817"/>
    <w:rsid w:val="00587A38"/>
    <w:rsid w:val="005920D1"/>
    <w:rsid w:val="00592470"/>
    <w:rsid w:val="0059287D"/>
    <w:rsid w:val="005943E0"/>
    <w:rsid w:val="00595BAD"/>
    <w:rsid w:val="00596C54"/>
    <w:rsid w:val="005971C8"/>
    <w:rsid w:val="005973C5"/>
    <w:rsid w:val="005975D6"/>
    <w:rsid w:val="005A125E"/>
    <w:rsid w:val="005A1DA3"/>
    <w:rsid w:val="005A1E86"/>
    <w:rsid w:val="005A2043"/>
    <w:rsid w:val="005A3263"/>
    <w:rsid w:val="005A4B57"/>
    <w:rsid w:val="005A70A8"/>
    <w:rsid w:val="005B0A13"/>
    <w:rsid w:val="005B30F6"/>
    <w:rsid w:val="005B3A77"/>
    <w:rsid w:val="005B3FE4"/>
    <w:rsid w:val="005B4820"/>
    <w:rsid w:val="005B4939"/>
    <w:rsid w:val="005B6388"/>
    <w:rsid w:val="005B6598"/>
    <w:rsid w:val="005B68ED"/>
    <w:rsid w:val="005B69BF"/>
    <w:rsid w:val="005B709A"/>
    <w:rsid w:val="005B70EF"/>
    <w:rsid w:val="005B797E"/>
    <w:rsid w:val="005C0772"/>
    <w:rsid w:val="005C144C"/>
    <w:rsid w:val="005C1FEF"/>
    <w:rsid w:val="005C207F"/>
    <w:rsid w:val="005C2945"/>
    <w:rsid w:val="005C5163"/>
    <w:rsid w:val="005C5189"/>
    <w:rsid w:val="005C52EA"/>
    <w:rsid w:val="005C6332"/>
    <w:rsid w:val="005C6528"/>
    <w:rsid w:val="005C680D"/>
    <w:rsid w:val="005C7006"/>
    <w:rsid w:val="005C760F"/>
    <w:rsid w:val="005D0858"/>
    <w:rsid w:val="005D2ACA"/>
    <w:rsid w:val="005D2CCD"/>
    <w:rsid w:val="005D34BE"/>
    <w:rsid w:val="005D3D68"/>
    <w:rsid w:val="005D4F35"/>
    <w:rsid w:val="005D5E48"/>
    <w:rsid w:val="005D6CEB"/>
    <w:rsid w:val="005D7449"/>
    <w:rsid w:val="005D7B04"/>
    <w:rsid w:val="005D7B83"/>
    <w:rsid w:val="005E0A72"/>
    <w:rsid w:val="005E0EF4"/>
    <w:rsid w:val="005E16D9"/>
    <w:rsid w:val="005E20E9"/>
    <w:rsid w:val="005E3AD8"/>
    <w:rsid w:val="005E52E2"/>
    <w:rsid w:val="005E7890"/>
    <w:rsid w:val="005F01B6"/>
    <w:rsid w:val="005F0A76"/>
    <w:rsid w:val="005F1058"/>
    <w:rsid w:val="005F23D6"/>
    <w:rsid w:val="005F24E3"/>
    <w:rsid w:val="005F2EE8"/>
    <w:rsid w:val="005F3FE6"/>
    <w:rsid w:val="005F44AC"/>
    <w:rsid w:val="005F480C"/>
    <w:rsid w:val="005F4DBB"/>
    <w:rsid w:val="005F5C95"/>
    <w:rsid w:val="005F68B4"/>
    <w:rsid w:val="005F7302"/>
    <w:rsid w:val="0060016C"/>
    <w:rsid w:val="00600380"/>
    <w:rsid w:val="00600AB5"/>
    <w:rsid w:val="00600CA2"/>
    <w:rsid w:val="006028B5"/>
    <w:rsid w:val="006033D1"/>
    <w:rsid w:val="0060395A"/>
    <w:rsid w:val="00603C0D"/>
    <w:rsid w:val="006049F2"/>
    <w:rsid w:val="00604A61"/>
    <w:rsid w:val="006078B3"/>
    <w:rsid w:val="00610492"/>
    <w:rsid w:val="00610A2B"/>
    <w:rsid w:val="00611036"/>
    <w:rsid w:val="00611B4C"/>
    <w:rsid w:val="00612625"/>
    <w:rsid w:val="0061388C"/>
    <w:rsid w:val="00614782"/>
    <w:rsid w:val="00615583"/>
    <w:rsid w:val="00615752"/>
    <w:rsid w:val="00616493"/>
    <w:rsid w:val="00617396"/>
    <w:rsid w:val="00620782"/>
    <w:rsid w:val="00620A32"/>
    <w:rsid w:val="006211C1"/>
    <w:rsid w:val="006218D2"/>
    <w:rsid w:val="00621C4F"/>
    <w:rsid w:val="006229C6"/>
    <w:rsid w:val="00622A85"/>
    <w:rsid w:val="00623A25"/>
    <w:rsid w:val="00623F7B"/>
    <w:rsid w:val="00625257"/>
    <w:rsid w:val="006252AC"/>
    <w:rsid w:val="00626248"/>
    <w:rsid w:val="00630D17"/>
    <w:rsid w:val="0063194F"/>
    <w:rsid w:val="00631F6B"/>
    <w:rsid w:val="00632835"/>
    <w:rsid w:val="00633FBE"/>
    <w:rsid w:val="00634082"/>
    <w:rsid w:val="0063589A"/>
    <w:rsid w:val="00636D11"/>
    <w:rsid w:val="00640D97"/>
    <w:rsid w:val="00641B7E"/>
    <w:rsid w:val="00641E99"/>
    <w:rsid w:val="00642257"/>
    <w:rsid w:val="00643C14"/>
    <w:rsid w:val="00644184"/>
    <w:rsid w:val="0064434E"/>
    <w:rsid w:val="00645277"/>
    <w:rsid w:val="006457EF"/>
    <w:rsid w:val="006462BF"/>
    <w:rsid w:val="00646B97"/>
    <w:rsid w:val="006473CC"/>
    <w:rsid w:val="00647CEB"/>
    <w:rsid w:val="0065112B"/>
    <w:rsid w:val="0065127A"/>
    <w:rsid w:val="00651F78"/>
    <w:rsid w:val="00652C40"/>
    <w:rsid w:val="00652D7F"/>
    <w:rsid w:val="00653C2A"/>
    <w:rsid w:val="00653EBC"/>
    <w:rsid w:val="00653F8A"/>
    <w:rsid w:val="006546E3"/>
    <w:rsid w:val="00654C89"/>
    <w:rsid w:val="00655597"/>
    <w:rsid w:val="00655733"/>
    <w:rsid w:val="00656481"/>
    <w:rsid w:val="006578B0"/>
    <w:rsid w:val="00657940"/>
    <w:rsid w:val="00657C6E"/>
    <w:rsid w:val="0066066F"/>
    <w:rsid w:val="006606C6"/>
    <w:rsid w:val="0066072D"/>
    <w:rsid w:val="006608D8"/>
    <w:rsid w:val="006609E5"/>
    <w:rsid w:val="00663AC9"/>
    <w:rsid w:val="00664D9A"/>
    <w:rsid w:val="00665BFF"/>
    <w:rsid w:val="00665C58"/>
    <w:rsid w:val="00666560"/>
    <w:rsid w:val="00666D06"/>
    <w:rsid w:val="00666F2C"/>
    <w:rsid w:val="006674F9"/>
    <w:rsid w:val="006678FB"/>
    <w:rsid w:val="00667DFC"/>
    <w:rsid w:val="0067033C"/>
    <w:rsid w:val="00671A42"/>
    <w:rsid w:val="00671E5B"/>
    <w:rsid w:val="00672454"/>
    <w:rsid w:val="00676289"/>
    <w:rsid w:val="0067675D"/>
    <w:rsid w:val="00676FC8"/>
    <w:rsid w:val="00677BB4"/>
    <w:rsid w:val="00677F8F"/>
    <w:rsid w:val="00677FC6"/>
    <w:rsid w:val="0068195C"/>
    <w:rsid w:val="006837A3"/>
    <w:rsid w:val="00690544"/>
    <w:rsid w:val="006906DD"/>
    <w:rsid w:val="00690903"/>
    <w:rsid w:val="0069147F"/>
    <w:rsid w:val="006928C5"/>
    <w:rsid w:val="00692DC0"/>
    <w:rsid w:val="006940E4"/>
    <w:rsid w:val="006942D0"/>
    <w:rsid w:val="00695784"/>
    <w:rsid w:val="006958C7"/>
    <w:rsid w:val="0069672F"/>
    <w:rsid w:val="00696B77"/>
    <w:rsid w:val="00696D8C"/>
    <w:rsid w:val="006A04D4"/>
    <w:rsid w:val="006A20B3"/>
    <w:rsid w:val="006A2151"/>
    <w:rsid w:val="006A3973"/>
    <w:rsid w:val="006A407B"/>
    <w:rsid w:val="006A509E"/>
    <w:rsid w:val="006A5B69"/>
    <w:rsid w:val="006A5C88"/>
    <w:rsid w:val="006A714E"/>
    <w:rsid w:val="006A72D5"/>
    <w:rsid w:val="006B03A6"/>
    <w:rsid w:val="006B3DF7"/>
    <w:rsid w:val="006B44F4"/>
    <w:rsid w:val="006C1479"/>
    <w:rsid w:val="006C1778"/>
    <w:rsid w:val="006C1D5F"/>
    <w:rsid w:val="006C40D5"/>
    <w:rsid w:val="006C410E"/>
    <w:rsid w:val="006C725E"/>
    <w:rsid w:val="006C745D"/>
    <w:rsid w:val="006C77D9"/>
    <w:rsid w:val="006C7F0D"/>
    <w:rsid w:val="006C7FDA"/>
    <w:rsid w:val="006D032B"/>
    <w:rsid w:val="006D05AB"/>
    <w:rsid w:val="006D1DA8"/>
    <w:rsid w:val="006D2D49"/>
    <w:rsid w:val="006D4EFE"/>
    <w:rsid w:val="006D4FA2"/>
    <w:rsid w:val="006D53C8"/>
    <w:rsid w:val="006D6262"/>
    <w:rsid w:val="006D6C0F"/>
    <w:rsid w:val="006D76EB"/>
    <w:rsid w:val="006E0184"/>
    <w:rsid w:val="006E09A5"/>
    <w:rsid w:val="006E2038"/>
    <w:rsid w:val="006E2C6E"/>
    <w:rsid w:val="006E4E0B"/>
    <w:rsid w:val="006E5742"/>
    <w:rsid w:val="006E7C4B"/>
    <w:rsid w:val="006F22B0"/>
    <w:rsid w:val="006F338C"/>
    <w:rsid w:val="006F3B3B"/>
    <w:rsid w:val="006F3B6D"/>
    <w:rsid w:val="006F4989"/>
    <w:rsid w:val="00703220"/>
    <w:rsid w:val="0070399D"/>
    <w:rsid w:val="00705163"/>
    <w:rsid w:val="00706F27"/>
    <w:rsid w:val="0070777D"/>
    <w:rsid w:val="0071111A"/>
    <w:rsid w:val="007122EB"/>
    <w:rsid w:val="007127F0"/>
    <w:rsid w:val="0071299B"/>
    <w:rsid w:val="00712A88"/>
    <w:rsid w:val="00712A90"/>
    <w:rsid w:val="00713AED"/>
    <w:rsid w:val="007144DF"/>
    <w:rsid w:val="00714651"/>
    <w:rsid w:val="00715053"/>
    <w:rsid w:val="00715443"/>
    <w:rsid w:val="00716B21"/>
    <w:rsid w:val="00717E12"/>
    <w:rsid w:val="007207C4"/>
    <w:rsid w:val="007210EA"/>
    <w:rsid w:val="00722151"/>
    <w:rsid w:val="0072215B"/>
    <w:rsid w:val="00722A0C"/>
    <w:rsid w:val="00724823"/>
    <w:rsid w:val="007258F8"/>
    <w:rsid w:val="00725F3F"/>
    <w:rsid w:val="00725F42"/>
    <w:rsid w:val="00726C27"/>
    <w:rsid w:val="00727FFD"/>
    <w:rsid w:val="007301A7"/>
    <w:rsid w:val="00731700"/>
    <w:rsid w:val="007329BA"/>
    <w:rsid w:val="00733130"/>
    <w:rsid w:val="00733209"/>
    <w:rsid w:val="007337F3"/>
    <w:rsid w:val="00734737"/>
    <w:rsid w:val="00734AD4"/>
    <w:rsid w:val="00734C4C"/>
    <w:rsid w:val="007353AE"/>
    <w:rsid w:val="0073597E"/>
    <w:rsid w:val="00735DF8"/>
    <w:rsid w:val="0073759E"/>
    <w:rsid w:val="00737900"/>
    <w:rsid w:val="0074010D"/>
    <w:rsid w:val="0074081C"/>
    <w:rsid w:val="00740F37"/>
    <w:rsid w:val="007413F5"/>
    <w:rsid w:val="00741B50"/>
    <w:rsid w:val="00741DB8"/>
    <w:rsid w:val="0074647C"/>
    <w:rsid w:val="007465E3"/>
    <w:rsid w:val="007468CD"/>
    <w:rsid w:val="00747237"/>
    <w:rsid w:val="0074733C"/>
    <w:rsid w:val="00747AE8"/>
    <w:rsid w:val="00747D99"/>
    <w:rsid w:val="00750474"/>
    <w:rsid w:val="0075110A"/>
    <w:rsid w:val="00751C18"/>
    <w:rsid w:val="00751C24"/>
    <w:rsid w:val="00752062"/>
    <w:rsid w:val="007535F4"/>
    <w:rsid w:val="00754658"/>
    <w:rsid w:val="00755AA8"/>
    <w:rsid w:val="00756268"/>
    <w:rsid w:val="0075647F"/>
    <w:rsid w:val="00756D10"/>
    <w:rsid w:val="007608DD"/>
    <w:rsid w:val="00761D99"/>
    <w:rsid w:val="0076248C"/>
    <w:rsid w:val="00764A8B"/>
    <w:rsid w:val="007655AB"/>
    <w:rsid w:val="00765F6B"/>
    <w:rsid w:val="0076664B"/>
    <w:rsid w:val="007666BF"/>
    <w:rsid w:val="00766C03"/>
    <w:rsid w:val="0077005F"/>
    <w:rsid w:val="00770065"/>
    <w:rsid w:val="0077077D"/>
    <w:rsid w:val="00770942"/>
    <w:rsid w:val="00771689"/>
    <w:rsid w:val="00771ACD"/>
    <w:rsid w:val="00772CC1"/>
    <w:rsid w:val="0077300E"/>
    <w:rsid w:val="007733D8"/>
    <w:rsid w:val="007749C2"/>
    <w:rsid w:val="00775177"/>
    <w:rsid w:val="00775556"/>
    <w:rsid w:val="007755AD"/>
    <w:rsid w:val="00776DFB"/>
    <w:rsid w:val="00781A8D"/>
    <w:rsid w:val="00781BBB"/>
    <w:rsid w:val="007824E1"/>
    <w:rsid w:val="00782710"/>
    <w:rsid w:val="00782B62"/>
    <w:rsid w:val="00783C5B"/>
    <w:rsid w:val="0078407A"/>
    <w:rsid w:val="00784A35"/>
    <w:rsid w:val="00784E24"/>
    <w:rsid w:val="00784EF6"/>
    <w:rsid w:val="00785A37"/>
    <w:rsid w:val="00786049"/>
    <w:rsid w:val="00786758"/>
    <w:rsid w:val="00786C3F"/>
    <w:rsid w:val="0078720A"/>
    <w:rsid w:val="00787466"/>
    <w:rsid w:val="0078772F"/>
    <w:rsid w:val="00787FF7"/>
    <w:rsid w:val="00792F52"/>
    <w:rsid w:val="00793AC9"/>
    <w:rsid w:val="00793D89"/>
    <w:rsid w:val="00793E01"/>
    <w:rsid w:val="00793E38"/>
    <w:rsid w:val="0079429F"/>
    <w:rsid w:val="00794528"/>
    <w:rsid w:val="007948E2"/>
    <w:rsid w:val="00795CDB"/>
    <w:rsid w:val="007963CD"/>
    <w:rsid w:val="007975B0"/>
    <w:rsid w:val="00797FDE"/>
    <w:rsid w:val="007A0BE3"/>
    <w:rsid w:val="007A23AA"/>
    <w:rsid w:val="007A3F8A"/>
    <w:rsid w:val="007A60AC"/>
    <w:rsid w:val="007A66C8"/>
    <w:rsid w:val="007A78C7"/>
    <w:rsid w:val="007A7CA3"/>
    <w:rsid w:val="007B1E17"/>
    <w:rsid w:val="007B1F81"/>
    <w:rsid w:val="007B3B88"/>
    <w:rsid w:val="007B3ED4"/>
    <w:rsid w:val="007B3F60"/>
    <w:rsid w:val="007B50BD"/>
    <w:rsid w:val="007B5D61"/>
    <w:rsid w:val="007B5EFB"/>
    <w:rsid w:val="007B61F9"/>
    <w:rsid w:val="007B67A5"/>
    <w:rsid w:val="007B707A"/>
    <w:rsid w:val="007B71B0"/>
    <w:rsid w:val="007B7337"/>
    <w:rsid w:val="007C0ACD"/>
    <w:rsid w:val="007C1AEF"/>
    <w:rsid w:val="007C38C2"/>
    <w:rsid w:val="007C3EC6"/>
    <w:rsid w:val="007C4C74"/>
    <w:rsid w:val="007C5D37"/>
    <w:rsid w:val="007C6204"/>
    <w:rsid w:val="007C744D"/>
    <w:rsid w:val="007C7649"/>
    <w:rsid w:val="007D00F8"/>
    <w:rsid w:val="007D14DD"/>
    <w:rsid w:val="007D2953"/>
    <w:rsid w:val="007D2CA3"/>
    <w:rsid w:val="007D37F1"/>
    <w:rsid w:val="007D4997"/>
    <w:rsid w:val="007D4B7A"/>
    <w:rsid w:val="007D4C59"/>
    <w:rsid w:val="007D50DD"/>
    <w:rsid w:val="007D5460"/>
    <w:rsid w:val="007D5ABE"/>
    <w:rsid w:val="007D6364"/>
    <w:rsid w:val="007D66EC"/>
    <w:rsid w:val="007D6BCE"/>
    <w:rsid w:val="007D6EA6"/>
    <w:rsid w:val="007D7011"/>
    <w:rsid w:val="007D7A81"/>
    <w:rsid w:val="007D7FCA"/>
    <w:rsid w:val="007E0352"/>
    <w:rsid w:val="007E089E"/>
    <w:rsid w:val="007E0DC1"/>
    <w:rsid w:val="007E0FF0"/>
    <w:rsid w:val="007E1D9F"/>
    <w:rsid w:val="007E2041"/>
    <w:rsid w:val="007E254E"/>
    <w:rsid w:val="007E2F74"/>
    <w:rsid w:val="007E3482"/>
    <w:rsid w:val="007E41ED"/>
    <w:rsid w:val="007E45C9"/>
    <w:rsid w:val="007E4717"/>
    <w:rsid w:val="007E49C2"/>
    <w:rsid w:val="007E5CE1"/>
    <w:rsid w:val="007E5EAD"/>
    <w:rsid w:val="007E6670"/>
    <w:rsid w:val="007E6780"/>
    <w:rsid w:val="007F00BB"/>
    <w:rsid w:val="007F0CC8"/>
    <w:rsid w:val="007F21E2"/>
    <w:rsid w:val="007F3CDE"/>
    <w:rsid w:val="007F41AD"/>
    <w:rsid w:val="007F4D86"/>
    <w:rsid w:val="007F71D2"/>
    <w:rsid w:val="007F73E8"/>
    <w:rsid w:val="008036A1"/>
    <w:rsid w:val="00804F1A"/>
    <w:rsid w:val="00805476"/>
    <w:rsid w:val="00806750"/>
    <w:rsid w:val="00806C76"/>
    <w:rsid w:val="00806F11"/>
    <w:rsid w:val="0080788A"/>
    <w:rsid w:val="00807CD8"/>
    <w:rsid w:val="00810A15"/>
    <w:rsid w:val="0081155A"/>
    <w:rsid w:val="008125B7"/>
    <w:rsid w:val="00813145"/>
    <w:rsid w:val="008134E4"/>
    <w:rsid w:val="00814198"/>
    <w:rsid w:val="008145D7"/>
    <w:rsid w:val="008156A7"/>
    <w:rsid w:val="0081601C"/>
    <w:rsid w:val="00816B7A"/>
    <w:rsid w:val="00817780"/>
    <w:rsid w:val="00817F45"/>
    <w:rsid w:val="0082092E"/>
    <w:rsid w:val="00820CAD"/>
    <w:rsid w:val="00821066"/>
    <w:rsid w:val="00822EDF"/>
    <w:rsid w:val="00825232"/>
    <w:rsid w:val="00825B47"/>
    <w:rsid w:val="00830CF5"/>
    <w:rsid w:val="008326ED"/>
    <w:rsid w:val="00832E18"/>
    <w:rsid w:val="00832F58"/>
    <w:rsid w:val="008339AD"/>
    <w:rsid w:val="008348B1"/>
    <w:rsid w:val="00834AE6"/>
    <w:rsid w:val="00834BBD"/>
    <w:rsid w:val="00840683"/>
    <w:rsid w:val="00840766"/>
    <w:rsid w:val="00840A1D"/>
    <w:rsid w:val="00840B42"/>
    <w:rsid w:val="00840CC5"/>
    <w:rsid w:val="008429AF"/>
    <w:rsid w:val="0084357B"/>
    <w:rsid w:val="00843EA1"/>
    <w:rsid w:val="00844446"/>
    <w:rsid w:val="0084474D"/>
    <w:rsid w:val="00844B75"/>
    <w:rsid w:val="00845B04"/>
    <w:rsid w:val="008477BB"/>
    <w:rsid w:val="008501AB"/>
    <w:rsid w:val="00850DFF"/>
    <w:rsid w:val="00851A5C"/>
    <w:rsid w:val="00851CA2"/>
    <w:rsid w:val="0085267C"/>
    <w:rsid w:val="00852F52"/>
    <w:rsid w:val="0085349E"/>
    <w:rsid w:val="00853520"/>
    <w:rsid w:val="008541D0"/>
    <w:rsid w:val="0085579D"/>
    <w:rsid w:val="0085594E"/>
    <w:rsid w:val="008578F3"/>
    <w:rsid w:val="00857C3C"/>
    <w:rsid w:val="00857C94"/>
    <w:rsid w:val="008604C2"/>
    <w:rsid w:val="00860761"/>
    <w:rsid w:val="008618AB"/>
    <w:rsid w:val="00861A47"/>
    <w:rsid w:val="00861C47"/>
    <w:rsid w:val="00863277"/>
    <w:rsid w:val="00863E5F"/>
    <w:rsid w:val="008658B2"/>
    <w:rsid w:val="00865A71"/>
    <w:rsid w:val="00867D32"/>
    <w:rsid w:val="0087155A"/>
    <w:rsid w:val="00872159"/>
    <w:rsid w:val="0087231F"/>
    <w:rsid w:val="0087272C"/>
    <w:rsid w:val="00872F46"/>
    <w:rsid w:val="0087349C"/>
    <w:rsid w:val="008734BA"/>
    <w:rsid w:val="00873572"/>
    <w:rsid w:val="00873747"/>
    <w:rsid w:val="00874715"/>
    <w:rsid w:val="00874EDD"/>
    <w:rsid w:val="00874F17"/>
    <w:rsid w:val="008755BD"/>
    <w:rsid w:val="00877806"/>
    <w:rsid w:val="008816AC"/>
    <w:rsid w:val="00883302"/>
    <w:rsid w:val="008845CF"/>
    <w:rsid w:val="00884D6C"/>
    <w:rsid w:val="00884ECF"/>
    <w:rsid w:val="0088558C"/>
    <w:rsid w:val="00885780"/>
    <w:rsid w:val="00885A2A"/>
    <w:rsid w:val="0089067C"/>
    <w:rsid w:val="00890D73"/>
    <w:rsid w:val="00890F94"/>
    <w:rsid w:val="00891906"/>
    <w:rsid w:val="00891E48"/>
    <w:rsid w:val="00892EE6"/>
    <w:rsid w:val="008932BD"/>
    <w:rsid w:val="008937B2"/>
    <w:rsid w:val="00893BFD"/>
    <w:rsid w:val="00894E4D"/>
    <w:rsid w:val="008958A3"/>
    <w:rsid w:val="008964E7"/>
    <w:rsid w:val="008973BF"/>
    <w:rsid w:val="00897571"/>
    <w:rsid w:val="00897CD4"/>
    <w:rsid w:val="008A0106"/>
    <w:rsid w:val="008A0E31"/>
    <w:rsid w:val="008A1212"/>
    <w:rsid w:val="008A1407"/>
    <w:rsid w:val="008A22ED"/>
    <w:rsid w:val="008A2480"/>
    <w:rsid w:val="008A25D6"/>
    <w:rsid w:val="008A2696"/>
    <w:rsid w:val="008A2CC4"/>
    <w:rsid w:val="008A2F05"/>
    <w:rsid w:val="008A3059"/>
    <w:rsid w:val="008A3687"/>
    <w:rsid w:val="008A37E5"/>
    <w:rsid w:val="008A3F75"/>
    <w:rsid w:val="008A4357"/>
    <w:rsid w:val="008A4604"/>
    <w:rsid w:val="008A4D9F"/>
    <w:rsid w:val="008A54FD"/>
    <w:rsid w:val="008A5777"/>
    <w:rsid w:val="008A5B35"/>
    <w:rsid w:val="008A6E86"/>
    <w:rsid w:val="008B07CF"/>
    <w:rsid w:val="008B15BE"/>
    <w:rsid w:val="008B290F"/>
    <w:rsid w:val="008B2FFC"/>
    <w:rsid w:val="008B4747"/>
    <w:rsid w:val="008B4D7C"/>
    <w:rsid w:val="008B5CC8"/>
    <w:rsid w:val="008B5D51"/>
    <w:rsid w:val="008B5EAE"/>
    <w:rsid w:val="008B712A"/>
    <w:rsid w:val="008B78C2"/>
    <w:rsid w:val="008B78DE"/>
    <w:rsid w:val="008B7A16"/>
    <w:rsid w:val="008C19A9"/>
    <w:rsid w:val="008C1DD4"/>
    <w:rsid w:val="008C2405"/>
    <w:rsid w:val="008C2642"/>
    <w:rsid w:val="008C3A09"/>
    <w:rsid w:val="008C4E61"/>
    <w:rsid w:val="008C75FB"/>
    <w:rsid w:val="008D0EB8"/>
    <w:rsid w:val="008D26CA"/>
    <w:rsid w:val="008D2CAA"/>
    <w:rsid w:val="008D3F1F"/>
    <w:rsid w:val="008D3F76"/>
    <w:rsid w:val="008D7972"/>
    <w:rsid w:val="008D7A62"/>
    <w:rsid w:val="008D7CA3"/>
    <w:rsid w:val="008E0277"/>
    <w:rsid w:val="008E159B"/>
    <w:rsid w:val="008E1F62"/>
    <w:rsid w:val="008E34DE"/>
    <w:rsid w:val="008E39D6"/>
    <w:rsid w:val="008E3D68"/>
    <w:rsid w:val="008E421C"/>
    <w:rsid w:val="008E5D67"/>
    <w:rsid w:val="008E63B4"/>
    <w:rsid w:val="008F570D"/>
    <w:rsid w:val="008F6286"/>
    <w:rsid w:val="008F65C6"/>
    <w:rsid w:val="008F6B4A"/>
    <w:rsid w:val="008F715C"/>
    <w:rsid w:val="008F728D"/>
    <w:rsid w:val="008F7318"/>
    <w:rsid w:val="009009CB"/>
    <w:rsid w:val="00900EB1"/>
    <w:rsid w:val="00901037"/>
    <w:rsid w:val="009018ED"/>
    <w:rsid w:val="0090290A"/>
    <w:rsid w:val="009044C9"/>
    <w:rsid w:val="00904B67"/>
    <w:rsid w:val="009051A7"/>
    <w:rsid w:val="0090631A"/>
    <w:rsid w:val="00907480"/>
    <w:rsid w:val="00907721"/>
    <w:rsid w:val="00910767"/>
    <w:rsid w:val="0091147B"/>
    <w:rsid w:val="00912400"/>
    <w:rsid w:val="00912E8C"/>
    <w:rsid w:val="00913183"/>
    <w:rsid w:val="00913187"/>
    <w:rsid w:val="0091323B"/>
    <w:rsid w:val="00913EBE"/>
    <w:rsid w:val="009141A3"/>
    <w:rsid w:val="0091429F"/>
    <w:rsid w:val="00914B0F"/>
    <w:rsid w:val="009158C1"/>
    <w:rsid w:val="00915A62"/>
    <w:rsid w:val="00916884"/>
    <w:rsid w:val="009169C6"/>
    <w:rsid w:val="00916C1B"/>
    <w:rsid w:val="00917813"/>
    <w:rsid w:val="0092093B"/>
    <w:rsid w:val="00920B9F"/>
    <w:rsid w:val="00922084"/>
    <w:rsid w:val="009229D2"/>
    <w:rsid w:val="00923180"/>
    <w:rsid w:val="009232CC"/>
    <w:rsid w:val="009234E1"/>
    <w:rsid w:val="009238A0"/>
    <w:rsid w:val="00924151"/>
    <w:rsid w:val="009255D1"/>
    <w:rsid w:val="0092648A"/>
    <w:rsid w:val="0092684A"/>
    <w:rsid w:val="00926C64"/>
    <w:rsid w:val="00927151"/>
    <w:rsid w:val="009278E0"/>
    <w:rsid w:val="00930419"/>
    <w:rsid w:val="009316EB"/>
    <w:rsid w:val="00932456"/>
    <w:rsid w:val="00932E2F"/>
    <w:rsid w:val="009340E6"/>
    <w:rsid w:val="0093428D"/>
    <w:rsid w:val="00934576"/>
    <w:rsid w:val="009346C8"/>
    <w:rsid w:val="00934710"/>
    <w:rsid w:val="00934B70"/>
    <w:rsid w:val="00934CAC"/>
    <w:rsid w:val="00935032"/>
    <w:rsid w:val="009366D8"/>
    <w:rsid w:val="0093722A"/>
    <w:rsid w:val="00937434"/>
    <w:rsid w:val="00940652"/>
    <w:rsid w:val="00940E67"/>
    <w:rsid w:val="0094164F"/>
    <w:rsid w:val="00941BA5"/>
    <w:rsid w:val="0094220C"/>
    <w:rsid w:val="009423B8"/>
    <w:rsid w:val="00942B87"/>
    <w:rsid w:val="00943217"/>
    <w:rsid w:val="00943692"/>
    <w:rsid w:val="00943D7F"/>
    <w:rsid w:val="00944A6A"/>
    <w:rsid w:val="00947549"/>
    <w:rsid w:val="00947D43"/>
    <w:rsid w:val="00947F7A"/>
    <w:rsid w:val="009520B2"/>
    <w:rsid w:val="00952710"/>
    <w:rsid w:val="00953414"/>
    <w:rsid w:val="009534EF"/>
    <w:rsid w:val="0095376A"/>
    <w:rsid w:val="00953B5B"/>
    <w:rsid w:val="009559D3"/>
    <w:rsid w:val="00955E77"/>
    <w:rsid w:val="00957781"/>
    <w:rsid w:val="009625E2"/>
    <w:rsid w:val="00962A1A"/>
    <w:rsid w:val="009633E8"/>
    <w:rsid w:val="00963FC1"/>
    <w:rsid w:val="00964D5F"/>
    <w:rsid w:val="00965DCE"/>
    <w:rsid w:val="009671D3"/>
    <w:rsid w:val="00967EE9"/>
    <w:rsid w:val="00970C0C"/>
    <w:rsid w:val="009739F6"/>
    <w:rsid w:val="00974090"/>
    <w:rsid w:val="00974149"/>
    <w:rsid w:val="0097675F"/>
    <w:rsid w:val="00976892"/>
    <w:rsid w:val="00976B47"/>
    <w:rsid w:val="009770CA"/>
    <w:rsid w:val="00980FFC"/>
    <w:rsid w:val="009835D0"/>
    <w:rsid w:val="0098364D"/>
    <w:rsid w:val="009855FA"/>
    <w:rsid w:val="00985AB0"/>
    <w:rsid w:val="00985BEB"/>
    <w:rsid w:val="00985EBE"/>
    <w:rsid w:val="00986116"/>
    <w:rsid w:val="009862BC"/>
    <w:rsid w:val="00987ACF"/>
    <w:rsid w:val="009904F5"/>
    <w:rsid w:val="009928DB"/>
    <w:rsid w:val="00992AE5"/>
    <w:rsid w:val="00992EB8"/>
    <w:rsid w:val="00992FD7"/>
    <w:rsid w:val="00993484"/>
    <w:rsid w:val="00993CC3"/>
    <w:rsid w:val="009949B2"/>
    <w:rsid w:val="00994AAF"/>
    <w:rsid w:val="00995A68"/>
    <w:rsid w:val="00995A9E"/>
    <w:rsid w:val="0099638B"/>
    <w:rsid w:val="009964C0"/>
    <w:rsid w:val="00996583"/>
    <w:rsid w:val="00996B1D"/>
    <w:rsid w:val="00996ED2"/>
    <w:rsid w:val="009A0418"/>
    <w:rsid w:val="009A0E9F"/>
    <w:rsid w:val="009A107D"/>
    <w:rsid w:val="009A1C06"/>
    <w:rsid w:val="009A24E7"/>
    <w:rsid w:val="009A4C34"/>
    <w:rsid w:val="009A5C49"/>
    <w:rsid w:val="009A5EC8"/>
    <w:rsid w:val="009A68F3"/>
    <w:rsid w:val="009A6CE5"/>
    <w:rsid w:val="009A71C9"/>
    <w:rsid w:val="009A7F2E"/>
    <w:rsid w:val="009B191B"/>
    <w:rsid w:val="009B1DC5"/>
    <w:rsid w:val="009B2D78"/>
    <w:rsid w:val="009B351E"/>
    <w:rsid w:val="009B5DB3"/>
    <w:rsid w:val="009B6C8E"/>
    <w:rsid w:val="009B768D"/>
    <w:rsid w:val="009B7748"/>
    <w:rsid w:val="009C0005"/>
    <w:rsid w:val="009C0E07"/>
    <w:rsid w:val="009C19D9"/>
    <w:rsid w:val="009C1A50"/>
    <w:rsid w:val="009C1D02"/>
    <w:rsid w:val="009C2292"/>
    <w:rsid w:val="009C23BA"/>
    <w:rsid w:val="009C28B2"/>
    <w:rsid w:val="009C4C52"/>
    <w:rsid w:val="009C55BC"/>
    <w:rsid w:val="009C5C33"/>
    <w:rsid w:val="009C633A"/>
    <w:rsid w:val="009C6A74"/>
    <w:rsid w:val="009D0EE8"/>
    <w:rsid w:val="009D15F4"/>
    <w:rsid w:val="009D1857"/>
    <w:rsid w:val="009D2E37"/>
    <w:rsid w:val="009D41A8"/>
    <w:rsid w:val="009D5199"/>
    <w:rsid w:val="009D54B8"/>
    <w:rsid w:val="009E0368"/>
    <w:rsid w:val="009E0661"/>
    <w:rsid w:val="009E2352"/>
    <w:rsid w:val="009E27B9"/>
    <w:rsid w:val="009E2BEB"/>
    <w:rsid w:val="009E4D45"/>
    <w:rsid w:val="009E57EE"/>
    <w:rsid w:val="009E77B2"/>
    <w:rsid w:val="009F0DC8"/>
    <w:rsid w:val="009F1447"/>
    <w:rsid w:val="009F15B8"/>
    <w:rsid w:val="009F1828"/>
    <w:rsid w:val="009F191E"/>
    <w:rsid w:val="009F2557"/>
    <w:rsid w:val="009F2987"/>
    <w:rsid w:val="009F2B5C"/>
    <w:rsid w:val="009F2C72"/>
    <w:rsid w:val="009F4A5E"/>
    <w:rsid w:val="009F5791"/>
    <w:rsid w:val="009F5AD0"/>
    <w:rsid w:val="009F5F00"/>
    <w:rsid w:val="009F6D52"/>
    <w:rsid w:val="009F75C4"/>
    <w:rsid w:val="009F7A09"/>
    <w:rsid w:val="00A007A1"/>
    <w:rsid w:val="00A007E1"/>
    <w:rsid w:val="00A0083E"/>
    <w:rsid w:val="00A027F0"/>
    <w:rsid w:val="00A03B43"/>
    <w:rsid w:val="00A03E05"/>
    <w:rsid w:val="00A11E23"/>
    <w:rsid w:val="00A12CF9"/>
    <w:rsid w:val="00A14751"/>
    <w:rsid w:val="00A1488F"/>
    <w:rsid w:val="00A16A82"/>
    <w:rsid w:val="00A177B8"/>
    <w:rsid w:val="00A2089E"/>
    <w:rsid w:val="00A20B96"/>
    <w:rsid w:val="00A227B3"/>
    <w:rsid w:val="00A22FD1"/>
    <w:rsid w:val="00A235D1"/>
    <w:rsid w:val="00A240A8"/>
    <w:rsid w:val="00A24138"/>
    <w:rsid w:val="00A2774C"/>
    <w:rsid w:val="00A307A8"/>
    <w:rsid w:val="00A312C0"/>
    <w:rsid w:val="00A31837"/>
    <w:rsid w:val="00A32377"/>
    <w:rsid w:val="00A3335A"/>
    <w:rsid w:val="00A338F2"/>
    <w:rsid w:val="00A34AF2"/>
    <w:rsid w:val="00A36993"/>
    <w:rsid w:val="00A37403"/>
    <w:rsid w:val="00A37E49"/>
    <w:rsid w:val="00A404AB"/>
    <w:rsid w:val="00A40D81"/>
    <w:rsid w:val="00A42B47"/>
    <w:rsid w:val="00A430AD"/>
    <w:rsid w:val="00A445B8"/>
    <w:rsid w:val="00A448A4"/>
    <w:rsid w:val="00A4593A"/>
    <w:rsid w:val="00A45FD3"/>
    <w:rsid w:val="00A473F4"/>
    <w:rsid w:val="00A5007C"/>
    <w:rsid w:val="00A501B4"/>
    <w:rsid w:val="00A5059D"/>
    <w:rsid w:val="00A50662"/>
    <w:rsid w:val="00A5205D"/>
    <w:rsid w:val="00A520D2"/>
    <w:rsid w:val="00A532BE"/>
    <w:rsid w:val="00A53E51"/>
    <w:rsid w:val="00A53FF0"/>
    <w:rsid w:val="00A54132"/>
    <w:rsid w:val="00A5429D"/>
    <w:rsid w:val="00A54728"/>
    <w:rsid w:val="00A55B05"/>
    <w:rsid w:val="00A56D00"/>
    <w:rsid w:val="00A570A5"/>
    <w:rsid w:val="00A57301"/>
    <w:rsid w:val="00A61769"/>
    <w:rsid w:val="00A61FCD"/>
    <w:rsid w:val="00A62375"/>
    <w:rsid w:val="00A64327"/>
    <w:rsid w:val="00A66EFC"/>
    <w:rsid w:val="00A6798E"/>
    <w:rsid w:val="00A67D5B"/>
    <w:rsid w:val="00A70773"/>
    <w:rsid w:val="00A716A9"/>
    <w:rsid w:val="00A733CD"/>
    <w:rsid w:val="00A74BA1"/>
    <w:rsid w:val="00A74D6C"/>
    <w:rsid w:val="00A76040"/>
    <w:rsid w:val="00A7644A"/>
    <w:rsid w:val="00A77143"/>
    <w:rsid w:val="00A77357"/>
    <w:rsid w:val="00A8105D"/>
    <w:rsid w:val="00A81189"/>
    <w:rsid w:val="00A81DA9"/>
    <w:rsid w:val="00A82529"/>
    <w:rsid w:val="00A8298B"/>
    <w:rsid w:val="00A82992"/>
    <w:rsid w:val="00A83AC3"/>
    <w:rsid w:val="00A843F6"/>
    <w:rsid w:val="00A84F36"/>
    <w:rsid w:val="00A85553"/>
    <w:rsid w:val="00A85E83"/>
    <w:rsid w:val="00A864F5"/>
    <w:rsid w:val="00A86B29"/>
    <w:rsid w:val="00A86E30"/>
    <w:rsid w:val="00A900C4"/>
    <w:rsid w:val="00A901AF"/>
    <w:rsid w:val="00A90214"/>
    <w:rsid w:val="00A9173B"/>
    <w:rsid w:val="00A91854"/>
    <w:rsid w:val="00A92DE0"/>
    <w:rsid w:val="00A93E4E"/>
    <w:rsid w:val="00A96786"/>
    <w:rsid w:val="00A970B8"/>
    <w:rsid w:val="00A97199"/>
    <w:rsid w:val="00A97487"/>
    <w:rsid w:val="00AA087B"/>
    <w:rsid w:val="00AA1332"/>
    <w:rsid w:val="00AA3599"/>
    <w:rsid w:val="00AA376F"/>
    <w:rsid w:val="00AA415D"/>
    <w:rsid w:val="00AA4A70"/>
    <w:rsid w:val="00AA4A74"/>
    <w:rsid w:val="00AB0266"/>
    <w:rsid w:val="00AB0944"/>
    <w:rsid w:val="00AB0E25"/>
    <w:rsid w:val="00AB273A"/>
    <w:rsid w:val="00AB2AB8"/>
    <w:rsid w:val="00AB401D"/>
    <w:rsid w:val="00AB5B06"/>
    <w:rsid w:val="00AB5F9A"/>
    <w:rsid w:val="00AC26D1"/>
    <w:rsid w:val="00AC4058"/>
    <w:rsid w:val="00AC405C"/>
    <w:rsid w:val="00AC41F6"/>
    <w:rsid w:val="00AC4B8E"/>
    <w:rsid w:val="00AC4D0F"/>
    <w:rsid w:val="00AC59BA"/>
    <w:rsid w:val="00AC5BEB"/>
    <w:rsid w:val="00AC6CBC"/>
    <w:rsid w:val="00AC74D4"/>
    <w:rsid w:val="00AD023A"/>
    <w:rsid w:val="00AD41FE"/>
    <w:rsid w:val="00AD49AA"/>
    <w:rsid w:val="00AD49E5"/>
    <w:rsid w:val="00AD4AF5"/>
    <w:rsid w:val="00AD59AF"/>
    <w:rsid w:val="00AD61ED"/>
    <w:rsid w:val="00AD63FF"/>
    <w:rsid w:val="00AD6905"/>
    <w:rsid w:val="00AE0480"/>
    <w:rsid w:val="00AE0722"/>
    <w:rsid w:val="00AE0B6D"/>
    <w:rsid w:val="00AE0BFA"/>
    <w:rsid w:val="00AE0DE2"/>
    <w:rsid w:val="00AE1A6F"/>
    <w:rsid w:val="00AE2883"/>
    <w:rsid w:val="00AE307E"/>
    <w:rsid w:val="00AE4CE7"/>
    <w:rsid w:val="00AE562F"/>
    <w:rsid w:val="00AE64E0"/>
    <w:rsid w:val="00AE69FD"/>
    <w:rsid w:val="00AE7287"/>
    <w:rsid w:val="00AE7487"/>
    <w:rsid w:val="00AE7C2D"/>
    <w:rsid w:val="00AF12D7"/>
    <w:rsid w:val="00AF1789"/>
    <w:rsid w:val="00AF2F4E"/>
    <w:rsid w:val="00AF320D"/>
    <w:rsid w:val="00AF48AB"/>
    <w:rsid w:val="00AF53FF"/>
    <w:rsid w:val="00AF6857"/>
    <w:rsid w:val="00AF68A3"/>
    <w:rsid w:val="00AF7425"/>
    <w:rsid w:val="00AF7C23"/>
    <w:rsid w:val="00B00A31"/>
    <w:rsid w:val="00B00EE8"/>
    <w:rsid w:val="00B024A9"/>
    <w:rsid w:val="00B025D7"/>
    <w:rsid w:val="00B02BF9"/>
    <w:rsid w:val="00B033EE"/>
    <w:rsid w:val="00B03C75"/>
    <w:rsid w:val="00B04409"/>
    <w:rsid w:val="00B04C74"/>
    <w:rsid w:val="00B04D05"/>
    <w:rsid w:val="00B04FD6"/>
    <w:rsid w:val="00B0532C"/>
    <w:rsid w:val="00B0532F"/>
    <w:rsid w:val="00B05DB8"/>
    <w:rsid w:val="00B071EB"/>
    <w:rsid w:val="00B10787"/>
    <w:rsid w:val="00B10A50"/>
    <w:rsid w:val="00B114C4"/>
    <w:rsid w:val="00B11E69"/>
    <w:rsid w:val="00B11FCA"/>
    <w:rsid w:val="00B134BA"/>
    <w:rsid w:val="00B1385D"/>
    <w:rsid w:val="00B143C6"/>
    <w:rsid w:val="00B14691"/>
    <w:rsid w:val="00B14AD1"/>
    <w:rsid w:val="00B14D07"/>
    <w:rsid w:val="00B16598"/>
    <w:rsid w:val="00B16CB6"/>
    <w:rsid w:val="00B202FB"/>
    <w:rsid w:val="00B20E31"/>
    <w:rsid w:val="00B20F2F"/>
    <w:rsid w:val="00B20FB4"/>
    <w:rsid w:val="00B21D31"/>
    <w:rsid w:val="00B225A2"/>
    <w:rsid w:val="00B228CB"/>
    <w:rsid w:val="00B23AB6"/>
    <w:rsid w:val="00B24053"/>
    <w:rsid w:val="00B24C1C"/>
    <w:rsid w:val="00B2574C"/>
    <w:rsid w:val="00B267B6"/>
    <w:rsid w:val="00B3137D"/>
    <w:rsid w:val="00B318E9"/>
    <w:rsid w:val="00B3363F"/>
    <w:rsid w:val="00B337CD"/>
    <w:rsid w:val="00B34DCD"/>
    <w:rsid w:val="00B35230"/>
    <w:rsid w:val="00B353AB"/>
    <w:rsid w:val="00B36DE9"/>
    <w:rsid w:val="00B37013"/>
    <w:rsid w:val="00B4000B"/>
    <w:rsid w:val="00B408E4"/>
    <w:rsid w:val="00B40DF1"/>
    <w:rsid w:val="00B40E6C"/>
    <w:rsid w:val="00B418CA"/>
    <w:rsid w:val="00B42A0D"/>
    <w:rsid w:val="00B4351E"/>
    <w:rsid w:val="00B4377C"/>
    <w:rsid w:val="00B444AD"/>
    <w:rsid w:val="00B45761"/>
    <w:rsid w:val="00B45CCA"/>
    <w:rsid w:val="00B46629"/>
    <w:rsid w:val="00B474DF"/>
    <w:rsid w:val="00B47671"/>
    <w:rsid w:val="00B50C2B"/>
    <w:rsid w:val="00B51D3F"/>
    <w:rsid w:val="00B5282F"/>
    <w:rsid w:val="00B52C0A"/>
    <w:rsid w:val="00B5493A"/>
    <w:rsid w:val="00B54C24"/>
    <w:rsid w:val="00B55513"/>
    <w:rsid w:val="00B557DD"/>
    <w:rsid w:val="00B56EFB"/>
    <w:rsid w:val="00B574C3"/>
    <w:rsid w:val="00B575D7"/>
    <w:rsid w:val="00B57764"/>
    <w:rsid w:val="00B6062C"/>
    <w:rsid w:val="00B61420"/>
    <w:rsid w:val="00B61747"/>
    <w:rsid w:val="00B62182"/>
    <w:rsid w:val="00B62420"/>
    <w:rsid w:val="00B62E81"/>
    <w:rsid w:val="00B6383D"/>
    <w:rsid w:val="00B63B32"/>
    <w:rsid w:val="00B64440"/>
    <w:rsid w:val="00B65731"/>
    <w:rsid w:val="00B6581E"/>
    <w:rsid w:val="00B669A6"/>
    <w:rsid w:val="00B66C91"/>
    <w:rsid w:val="00B66E42"/>
    <w:rsid w:val="00B704C0"/>
    <w:rsid w:val="00B70831"/>
    <w:rsid w:val="00B7086C"/>
    <w:rsid w:val="00B71AD6"/>
    <w:rsid w:val="00B71FB8"/>
    <w:rsid w:val="00B73020"/>
    <w:rsid w:val="00B73170"/>
    <w:rsid w:val="00B7322D"/>
    <w:rsid w:val="00B763E8"/>
    <w:rsid w:val="00B763FB"/>
    <w:rsid w:val="00B77464"/>
    <w:rsid w:val="00B77951"/>
    <w:rsid w:val="00B77E17"/>
    <w:rsid w:val="00B80BEB"/>
    <w:rsid w:val="00B80DC0"/>
    <w:rsid w:val="00B83B2E"/>
    <w:rsid w:val="00B841DE"/>
    <w:rsid w:val="00B858D4"/>
    <w:rsid w:val="00B867BD"/>
    <w:rsid w:val="00B86AFE"/>
    <w:rsid w:val="00B87273"/>
    <w:rsid w:val="00B87F4C"/>
    <w:rsid w:val="00B9615A"/>
    <w:rsid w:val="00B964CD"/>
    <w:rsid w:val="00B96B61"/>
    <w:rsid w:val="00B96E5E"/>
    <w:rsid w:val="00B97D7A"/>
    <w:rsid w:val="00B97FAE"/>
    <w:rsid w:val="00BA05F3"/>
    <w:rsid w:val="00BA08CA"/>
    <w:rsid w:val="00BA1088"/>
    <w:rsid w:val="00BA13A0"/>
    <w:rsid w:val="00BA13DD"/>
    <w:rsid w:val="00BA184C"/>
    <w:rsid w:val="00BA18F1"/>
    <w:rsid w:val="00BA1A92"/>
    <w:rsid w:val="00BA20F4"/>
    <w:rsid w:val="00BA2371"/>
    <w:rsid w:val="00BA26DF"/>
    <w:rsid w:val="00BA32C4"/>
    <w:rsid w:val="00BA4629"/>
    <w:rsid w:val="00BA4D01"/>
    <w:rsid w:val="00BA4F0D"/>
    <w:rsid w:val="00BA59D2"/>
    <w:rsid w:val="00BA5E4F"/>
    <w:rsid w:val="00BA67E3"/>
    <w:rsid w:val="00BA67E6"/>
    <w:rsid w:val="00BA6CC0"/>
    <w:rsid w:val="00BA6D87"/>
    <w:rsid w:val="00BA74BB"/>
    <w:rsid w:val="00BA7644"/>
    <w:rsid w:val="00BB11FC"/>
    <w:rsid w:val="00BB1316"/>
    <w:rsid w:val="00BB158A"/>
    <w:rsid w:val="00BB184B"/>
    <w:rsid w:val="00BB2BC6"/>
    <w:rsid w:val="00BB3BBA"/>
    <w:rsid w:val="00BB44C9"/>
    <w:rsid w:val="00BB5954"/>
    <w:rsid w:val="00BB69DC"/>
    <w:rsid w:val="00BB7DC1"/>
    <w:rsid w:val="00BB7DF0"/>
    <w:rsid w:val="00BC033C"/>
    <w:rsid w:val="00BC0553"/>
    <w:rsid w:val="00BC3D31"/>
    <w:rsid w:val="00BC42E4"/>
    <w:rsid w:val="00BC4572"/>
    <w:rsid w:val="00BC513B"/>
    <w:rsid w:val="00BC58C0"/>
    <w:rsid w:val="00BC6395"/>
    <w:rsid w:val="00BC68CA"/>
    <w:rsid w:val="00BC6D36"/>
    <w:rsid w:val="00BD07D0"/>
    <w:rsid w:val="00BD25DE"/>
    <w:rsid w:val="00BD361B"/>
    <w:rsid w:val="00BD3631"/>
    <w:rsid w:val="00BD70E2"/>
    <w:rsid w:val="00BD769B"/>
    <w:rsid w:val="00BE1032"/>
    <w:rsid w:val="00BE1A6D"/>
    <w:rsid w:val="00BE1AE4"/>
    <w:rsid w:val="00BE1ECE"/>
    <w:rsid w:val="00BE2027"/>
    <w:rsid w:val="00BE259A"/>
    <w:rsid w:val="00BE2DBE"/>
    <w:rsid w:val="00BE5082"/>
    <w:rsid w:val="00BE5A34"/>
    <w:rsid w:val="00BE68DE"/>
    <w:rsid w:val="00BE6AFE"/>
    <w:rsid w:val="00BE6C71"/>
    <w:rsid w:val="00BE6D5D"/>
    <w:rsid w:val="00BE6FD7"/>
    <w:rsid w:val="00BE71B4"/>
    <w:rsid w:val="00BE7592"/>
    <w:rsid w:val="00BE7931"/>
    <w:rsid w:val="00BE7A80"/>
    <w:rsid w:val="00BF2D7E"/>
    <w:rsid w:val="00BF3875"/>
    <w:rsid w:val="00BF3CD2"/>
    <w:rsid w:val="00BF401B"/>
    <w:rsid w:val="00BF579B"/>
    <w:rsid w:val="00BF58C2"/>
    <w:rsid w:val="00BF687E"/>
    <w:rsid w:val="00BF68AC"/>
    <w:rsid w:val="00C0127D"/>
    <w:rsid w:val="00C03BCF"/>
    <w:rsid w:val="00C0513B"/>
    <w:rsid w:val="00C0740F"/>
    <w:rsid w:val="00C074EC"/>
    <w:rsid w:val="00C077D5"/>
    <w:rsid w:val="00C07CE8"/>
    <w:rsid w:val="00C11CF2"/>
    <w:rsid w:val="00C12095"/>
    <w:rsid w:val="00C124B5"/>
    <w:rsid w:val="00C12CFA"/>
    <w:rsid w:val="00C14466"/>
    <w:rsid w:val="00C14F5B"/>
    <w:rsid w:val="00C152E3"/>
    <w:rsid w:val="00C156EE"/>
    <w:rsid w:val="00C15BCB"/>
    <w:rsid w:val="00C16743"/>
    <w:rsid w:val="00C16DD6"/>
    <w:rsid w:val="00C17A04"/>
    <w:rsid w:val="00C20ED6"/>
    <w:rsid w:val="00C223AA"/>
    <w:rsid w:val="00C225D3"/>
    <w:rsid w:val="00C237AE"/>
    <w:rsid w:val="00C240CA"/>
    <w:rsid w:val="00C246A6"/>
    <w:rsid w:val="00C24AC5"/>
    <w:rsid w:val="00C25B8F"/>
    <w:rsid w:val="00C2687E"/>
    <w:rsid w:val="00C2690C"/>
    <w:rsid w:val="00C2701E"/>
    <w:rsid w:val="00C27F0D"/>
    <w:rsid w:val="00C30402"/>
    <w:rsid w:val="00C30C8E"/>
    <w:rsid w:val="00C31013"/>
    <w:rsid w:val="00C31ADE"/>
    <w:rsid w:val="00C324BE"/>
    <w:rsid w:val="00C3318F"/>
    <w:rsid w:val="00C3349C"/>
    <w:rsid w:val="00C34E03"/>
    <w:rsid w:val="00C3509C"/>
    <w:rsid w:val="00C36A3C"/>
    <w:rsid w:val="00C36E81"/>
    <w:rsid w:val="00C3744F"/>
    <w:rsid w:val="00C37915"/>
    <w:rsid w:val="00C40782"/>
    <w:rsid w:val="00C40AEF"/>
    <w:rsid w:val="00C41A97"/>
    <w:rsid w:val="00C4231E"/>
    <w:rsid w:val="00C4266E"/>
    <w:rsid w:val="00C43279"/>
    <w:rsid w:val="00C44035"/>
    <w:rsid w:val="00C448F0"/>
    <w:rsid w:val="00C454AD"/>
    <w:rsid w:val="00C459E9"/>
    <w:rsid w:val="00C465A9"/>
    <w:rsid w:val="00C476D2"/>
    <w:rsid w:val="00C47CDC"/>
    <w:rsid w:val="00C501CB"/>
    <w:rsid w:val="00C50280"/>
    <w:rsid w:val="00C51065"/>
    <w:rsid w:val="00C514D2"/>
    <w:rsid w:val="00C538A7"/>
    <w:rsid w:val="00C5438B"/>
    <w:rsid w:val="00C54568"/>
    <w:rsid w:val="00C54632"/>
    <w:rsid w:val="00C54FB1"/>
    <w:rsid w:val="00C55681"/>
    <w:rsid w:val="00C6034F"/>
    <w:rsid w:val="00C60B3A"/>
    <w:rsid w:val="00C619F4"/>
    <w:rsid w:val="00C6248E"/>
    <w:rsid w:val="00C629B9"/>
    <w:rsid w:val="00C643D0"/>
    <w:rsid w:val="00C64C09"/>
    <w:rsid w:val="00C667C4"/>
    <w:rsid w:val="00C66A89"/>
    <w:rsid w:val="00C67886"/>
    <w:rsid w:val="00C70C4A"/>
    <w:rsid w:val="00C7109D"/>
    <w:rsid w:val="00C71A2D"/>
    <w:rsid w:val="00C71F4E"/>
    <w:rsid w:val="00C72C41"/>
    <w:rsid w:val="00C730AE"/>
    <w:rsid w:val="00C75000"/>
    <w:rsid w:val="00C7523E"/>
    <w:rsid w:val="00C75CBA"/>
    <w:rsid w:val="00C773DC"/>
    <w:rsid w:val="00C77CB4"/>
    <w:rsid w:val="00C80889"/>
    <w:rsid w:val="00C808DA"/>
    <w:rsid w:val="00C80A48"/>
    <w:rsid w:val="00C8181F"/>
    <w:rsid w:val="00C818A6"/>
    <w:rsid w:val="00C81AAE"/>
    <w:rsid w:val="00C81AB6"/>
    <w:rsid w:val="00C8215A"/>
    <w:rsid w:val="00C82B1C"/>
    <w:rsid w:val="00C82C73"/>
    <w:rsid w:val="00C82E3A"/>
    <w:rsid w:val="00C82F59"/>
    <w:rsid w:val="00C866C7"/>
    <w:rsid w:val="00C86A17"/>
    <w:rsid w:val="00C8703C"/>
    <w:rsid w:val="00C8709F"/>
    <w:rsid w:val="00C90301"/>
    <w:rsid w:val="00C9071C"/>
    <w:rsid w:val="00C91961"/>
    <w:rsid w:val="00C91C4E"/>
    <w:rsid w:val="00C92B7F"/>
    <w:rsid w:val="00C93135"/>
    <w:rsid w:val="00C931D7"/>
    <w:rsid w:val="00C93691"/>
    <w:rsid w:val="00C93C38"/>
    <w:rsid w:val="00C93DCF"/>
    <w:rsid w:val="00C95048"/>
    <w:rsid w:val="00C9647C"/>
    <w:rsid w:val="00C96493"/>
    <w:rsid w:val="00C970D1"/>
    <w:rsid w:val="00C975BD"/>
    <w:rsid w:val="00C97BE3"/>
    <w:rsid w:val="00CA0487"/>
    <w:rsid w:val="00CA1711"/>
    <w:rsid w:val="00CA2116"/>
    <w:rsid w:val="00CA285A"/>
    <w:rsid w:val="00CA3574"/>
    <w:rsid w:val="00CA3B9A"/>
    <w:rsid w:val="00CA42DC"/>
    <w:rsid w:val="00CA4367"/>
    <w:rsid w:val="00CA57A0"/>
    <w:rsid w:val="00CA67DB"/>
    <w:rsid w:val="00CA6960"/>
    <w:rsid w:val="00CA6AEC"/>
    <w:rsid w:val="00CA6F82"/>
    <w:rsid w:val="00CA7F13"/>
    <w:rsid w:val="00CB0558"/>
    <w:rsid w:val="00CB1139"/>
    <w:rsid w:val="00CB1BC6"/>
    <w:rsid w:val="00CB3B62"/>
    <w:rsid w:val="00CB4609"/>
    <w:rsid w:val="00CB56CF"/>
    <w:rsid w:val="00CB7E67"/>
    <w:rsid w:val="00CC03AC"/>
    <w:rsid w:val="00CC0F93"/>
    <w:rsid w:val="00CC2FD6"/>
    <w:rsid w:val="00CC3416"/>
    <w:rsid w:val="00CC4458"/>
    <w:rsid w:val="00CC5119"/>
    <w:rsid w:val="00CC64D5"/>
    <w:rsid w:val="00CC6B2E"/>
    <w:rsid w:val="00CC6F48"/>
    <w:rsid w:val="00CD0645"/>
    <w:rsid w:val="00CD0A0B"/>
    <w:rsid w:val="00CD0BA5"/>
    <w:rsid w:val="00CD0C7E"/>
    <w:rsid w:val="00CD1695"/>
    <w:rsid w:val="00CD1958"/>
    <w:rsid w:val="00CD1AED"/>
    <w:rsid w:val="00CD1B6C"/>
    <w:rsid w:val="00CD2FB5"/>
    <w:rsid w:val="00CD3CC5"/>
    <w:rsid w:val="00CD6DE5"/>
    <w:rsid w:val="00CD72B8"/>
    <w:rsid w:val="00CD77E4"/>
    <w:rsid w:val="00CE334F"/>
    <w:rsid w:val="00CE3B72"/>
    <w:rsid w:val="00CE4412"/>
    <w:rsid w:val="00CE5F6D"/>
    <w:rsid w:val="00CE62CF"/>
    <w:rsid w:val="00CE6BEA"/>
    <w:rsid w:val="00CF2231"/>
    <w:rsid w:val="00CF2C52"/>
    <w:rsid w:val="00CF2D7B"/>
    <w:rsid w:val="00CF398F"/>
    <w:rsid w:val="00CF435B"/>
    <w:rsid w:val="00CF4F1E"/>
    <w:rsid w:val="00CF66BB"/>
    <w:rsid w:val="00CF6861"/>
    <w:rsid w:val="00D00BCA"/>
    <w:rsid w:val="00D0122E"/>
    <w:rsid w:val="00D015AA"/>
    <w:rsid w:val="00D01A5E"/>
    <w:rsid w:val="00D03702"/>
    <w:rsid w:val="00D0422D"/>
    <w:rsid w:val="00D04B1C"/>
    <w:rsid w:val="00D04BE1"/>
    <w:rsid w:val="00D0531F"/>
    <w:rsid w:val="00D1005F"/>
    <w:rsid w:val="00D11F35"/>
    <w:rsid w:val="00D13613"/>
    <w:rsid w:val="00D138BB"/>
    <w:rsid w:val="00D145FD"/>
    <w:rsid w:val="00D1472C"/>
    <w:rsid w:val="00D14C72"/>
    <w:rsid w:val="00D15384"/>
    <w:rsid w:val="00D156B4"/>
    <w:rsid w:val="00D1587E"/>
    <w:rsid w:val="00D159B3"/>
    <w:rsid w:val="00D17416"/>
    <w:rsid w:val="00D21A60"/>
    <w:rsid w:val="00D21C4F"/>
    <w:rsid w:val="00D30632"/>
    <w:rsid w:val="00D32FFA"/>
    <w:rsid w:val="00D336BB"/>
    <w:rsid w:val="00D34254"/>
    <w:rsid w:val="00D34CFE"/>
    <w:rsid w:val="00D34E8F"/>
    <w:rsid w:val="00D35907"/>
    <w:rsid w:val="00D3660C"/>
    <w:rsid w:val="00D379C1"/>
    <w:rsid w:val="00D4004E"/>
    <w:rsid w:val="00D42086"/>
    <w:rsid w:val="00D423B2"/>
    <w:rsid w:val="00D439E7"/>
    <w:rsid w:val="00D4423B"/>
    <w:rsid w:val="00D4438A"/>
    <w:rsid w:val="00D445D8"/>
    <w:rsid w:val="00D45CBB"/>
    <w:rsid w:val="00D4654B"/>
    <w:rsid w:val="00D46FFC"/>
    <w:rsid w:val="00D5057E"/>
    <w:rsid w:val="00D50A55"/>
    <w:rsid w:val="00D513B0"/>
    <w:rsid w:val="00D5269C"/>
    <w:rsid w:val="00D52E9D"/>
    <w:rsid w:val="00D54424"/>
    <w:rsid w:val="00D55483"/>
    <w:rsid w:val="00D554FA"/>
    <w:rsid w:val="00D55E1A"/>
    <w:rsid w:val="00D60762"/>
    <w:rsid w:val="00D60AAA"/>
    <w:rsid w:val="00D61729"/>
    <w:rsid w:val="00D637BF"/>
    <w:rsid w:val="00D64B64"/>
    <w:rsid w:val="00D65120"/>
    <w:rsid w:val="00D6515D"/>
    <w:rsid w:val="00D6521D"/>
    <w:rsid w:val="00D65B9C"/>
    <w:rsid w:val="00D664B3"/>
    <w:rsid w:val="00D66A7A"/>
    <w:rsid w:val="00D6712F"/>
    <w:rsid w:val="00D7081B"/>
    <w:rsid w:val="00D709E9"/>
    <w:rsid w:val="00D714AB"/>
    <w:rsid w:val="00D72E9A"/>
    <w:rsid w:val="00D72F4C"/>
    <w:rsid w:val="00D734FC"/>
    <w:rsid w:val="00D73BCF"/>
    <w:rsid w:val="00D73D53"/>
    <w:rsid w:val="00D75F75"/>
    <w:rsid w:val="00D76026"/>
    <w:rsid w:val="00D76978"/>
    <w:rsid w:val="00D80498"/>
    <w:rsid w:val="00D8052A"/>
    <w:rsid w:val="00D807AB"/>
    <w:rsid w:val="00D80867"/>
    <w:rsid w:val="00D82E2E"/>
    <w:rsid w:val="00D8350C"/>
    <w:rsid w:val="00D843B1"/>
    <w:rsid w:val="00D84A35"/>
    <w:rsid w:val="00D84B64"/>
    <w:rsid w:val="00D84FD3"/>
    <w:rsid w:val="00D85DBB"/>
    <w:rsid w:val="00D877ED"/>
    <w:rsid w:val="00D90CA8"/>
    <w:rsid w:val="00D90FC2"/>
    <w:rsid w:val="00D91617"/>
    <w:rsid w:val="00D92900"/>
    <w:rsid w:val="00D92E18"/>
    <w:rsid w:val="00D9344D"/>
    <w:rsid w:val="00D93E7C"/>
    <w:rsid w:val="00D94341"/>
    <w:rsid w:val="00D94625"/>
    <w:rsid w:val="00D94887"/>
    <w:rsid w:val="00D94D7E"/>
    <w:rsid w:val="00D9598D"/>
    <w:rsid w:val="00D963F9"/>
    <w:rsid w:val="00D9650F"/>
    <w:rsid w:val="00D97D6B"/>
    <w:rsid w:val="00DA025C"/>
    <w:rsid w:val="00DA1382"/>
    <w:rsid w:val="00DA29CC"/>
    <w:rsid w:val="00DA29DD"/>
    <w:rsid w:val="00DA31CB"/>
    <w:rsid w:val="00DA397F"/>
    <w:rsid w:val="00DA3BB4"/>
    <w:rsid w:val="00DA42A2"/>
    <w:rsid w:val="00DA5689"/>
    <w:rsid w:val="00DA620D"/>
    <w:rsid w:val="00DA6400"/>
    <w:rsid w:val="00DA7543"/>
    <w:rsid w:val="00DA7777"/>
    <w:rsid w:val="00DA7A9C"/>
    <w:rsid w:val="00DB014D"/>
    <w:rsid w:val="00DB07F9"/>
    <w:rsid w:val="00DB1491"/>
    <w:rsid w:val="00DB19EB"/>
    <w:rsid w:val="00DB1AB3"/>
    <w:rsid w:val="00DB26C0"/>
    <w:rsid w:val="00DB37CC"/>
    <w:rsid w:val="00DB3FC4"/>
    <w:rsid w:val="00DB4548"/>
    <w:rsid w:val="00DB4B16"/>
    <w:rsid w:val="00DB52B2"/>
    <w:rsid w:val="00DB585E"/>
    <w:rsid w:val="00DB5A45"/>
    <w:rsid w:val="00DB6A1D"/>
    <w:rsid w:val="00DB6AA9"/>
    <w:rsid w:val="00DB7E0C"/>
    <w:rsid w:val="00DC043F"/>
    <w:rsid w:val="00DC1F9A"/>
    <w:rsid w:val="00DC22D7"/>
    <w:rsid w:val="00DC256E"/>
    <w:rsid w:val="00DC2D90"/>
    <w:rsid w:val="00DC3AB2"/>
    <w:rsid w:val="00DC44E9"/>
    <w:rsid w:val="00DC54C1"/>
    <w:rsid w:val="00DC58A5"/>
    <w:rsid w:val="00DC6756"/>
    <w:rsid w:val="00DC6AE2"/>
    <w:rsid w:val="00DC6B8B"/>
    <w:rsid w:val="00DC6BD6"/>
    <w:rsid w:val="00DC76B2"/>
    <w:rsid w:val="00DC7CB8"/>
    <w:rsid w:val="00DD0229"/>
    <w:rsid w:val="00DD0DAC"/>
    <w:rsid w:val="00DD14C7"/>
    <w:rsid w:val="00DD2058"/>
    <w:rsid w:val="00DD27BA"/>
    <w:rsid w:val="00DD3EFE"/>
    <w:rsid w:val="00DD47E7"/>
    <w:rsid w:val="00DD4AF1"/>
    <w:rsid w:val="00DD52B2"/>
    <w:rsid w:val="00DD54D3"/>
    <w:rsid w:val="00DD54D6"/>
    <w:rsid w:val="00DD5B28"/>
    <w:rsid w:val="00DD5BB4"/>
    <w:rsid w:val="00DD6C91"/>
    <w:rsid w:val="00DD708F"/>
    <w:rsid w:val="00DD71A7"/>
    <w:rsid w:val="00DD748B"/>
    <w:rsid w:val="00DE043C"/>
    <w:rsid w:val="00DE477F"/>
    <w:rsid w:val="00DE4FC1"/>
    <w:rsid w:val="00DE50A3"/>
    <w:rsid w:val="00DE51E3"/>
    <w:rsid w:val="00DE5B7B"/>
    <w:rsid w:val="00DF1D90"/>
    <w:rsid w:val="00DF235B"/>
    <w:rsid w:val="00DF30E6"/>
    <w:rsid w:val="00DF46D5"/>
    <w:rsid w:val="00DF541A"/>
    <w:rsid w:val="00DF5801"/>
    <w:rsid w:val="00DF5835"/>
    <w:rsid w:val="00DF75D5"/>
    <w:rsid w:val="00DF7BB7"/>
    <w:rsid w:val="00E001A2"/>
    <w:rsid w:val="00E0020A"/>
    <w:rsid w:val="00E0027B"/>
    <w:rsid w:val="00E00333"/>
    <w:rsid w:val="00E02396"/>
    <w:rsid w:val="00E02749"/>
    <w:rsid w:val="00E02D40"/>
    <w:rsid w:val="00E0377C"/>
    <w:rsid w:val="00E03B0F"/>
    <w:rsid w:val="00E03C4E"/>
    <w:rsid w:val="00E049D5"/>
    <w:rsid w:val="00E04DD4"/>
    <w:rsid w:val="00E06947"/>
    <w:rsid w:val="00E06C64"/>
    <w:rsid w:val="00E071F7"/>
    <w:rsid w:val="00E079C0"/>
    <w:rsid w:val="00E105EB"/>
    <w:rsid w:val="00E10D0F"/>
    <w:rsid w:val="00E11E21"/>
    <w:rsid w:val="00E12366"/>
    <w:rsid w:val="00E1242E"/>
    <w:rsid w:val="00E13002"/>
    <w:rsid w:val="00E14D3A"/>
    <w:rsid w:val="00E163A7"/>
    <w:rsid w:val="00E16F9B"/>
    <w:rsid w:val="00E20161"/>
    <w:rsid w:val="00E20987"/>
    <w:rsid w:val="00E21119"/>
    <w:rsid w:val="00E218AF"/>
    <w:rsid w:val="00E221DA"/>
    <w:rsid w:val="00E2280C"/>
    <w:rsid w:val="00E245F6"/>
    <w:rsid w:val="00E24DA2"/>
    <w:rsid w:val="00E25565"/>
    <w:rsid w:val="00E26DDA"/>
    <w:rsid w:val="00E26F87"/>
    <w:rsid w:val="00E271B7"/>
    <w:rsid w:val="00E274DA"/>
    <w:rsid w:val="00E3010E"/>
    <w:rsid w:val="00E30497"/>
    <w:rsid w:val="00E30880"/>
    <w:rsid w:val="00E30CF3"/>
    <w:rsid w:val="00E31754"/>
    <w:rsid w:val="00E320CB"/>
    <w:rsid w:val="00E3334E"/>
    <w:rsid w:val="00E34613"/>
    <w:rsid w:val="00E347E8"/>
    <w:rsid w:val="00E34E68"/>
    <w:rsid w:val="00E35085"/>
    <w:rsid w:val="00E371D8"/>
    <w:rsid w:val="00E37221"/>
    <w:rsid w:val="00E37FF6"/>
    <w:rsid w:val="00E40412"/>
    <w:rsid w:val="00E40F05"/>
    <w:rsid w:val="00E416C6"/>
    <w:rsid w:val="00E42ECD"/>
    <w:rsid w:val="00E4362B"/>
    <w:rsid w:val="00E45120"/>
    <w:rsid w:val="00E451F9"/>
    <w:rsid w:val="00E45D66"/>
    <w:rsid w:val="00E46383"/>
    <w:rsid w:val="00E47A02"/>
    <w:rsid w:val="00E50900"/>
    <w:rsid w:val="00E51AFD"/>
    <w:rsid w:val="00E51C53"/>
    <w:rsid w:val="00E52844"/>
    <w:rsid w:val="00E53F63"/>
    <w:rsid w:val="00E541BB"/>
    <w:rsid w:val="00E543E9"/>
    <w:rsid w:val="00E54E8A"/>
    <w:rsid w:val="00E54F5F"/>
    <w:rsid w:val="00E551A8"/>
    <w:rsid w:val="00E555BA"/>
    <w:rsid w:val="00E557AE"/>
    <w:rsid w:val="00E557EB"/>
    <w:rsid w:val="00E560B0"/>
    <w:rsid w:val="00E56BD9"/>
    <w:rsid w:val="00E6135E"/>
    <w:rsid w:val="00E61B03"/>
    <w:rsid w:val="00E62B0E"/>
    <w:rsid w:val="00E635B9"/>
    <w:rsid w:val="00E6421F"/>
    <w:rsid w:val="00E64510"/>
    <w:rsid w:val="00E647D9"/>
    <w:rsid w:val="00E66363"/>
    <w:rsid w:val="00E66560"/>
    <w:rsid w:val="00E67240"/>
    <w:rsid w:val="00E673DD"/>
    <w:rsid w:val="00E675D4"/>
    <w:rsid w:val="00E67600"/>
    <w:rsid w:val="00E67609"/>
    <w:rsid w:val="00E67B8E"/>
    <w:rsid w:val="00E70A53"/>
    <w:rsid w:val="00E71049"/>
    <w:rsid w:val="00E739A1"/>
    <w:rsid w:val="00E7416D"/>
    <w:rsid w:val="00E750F5"/>
    <w:rsid w:val="00E7561B"/>
    <w:rsid w:val="00E761B9"/>
    <w:rsid w:val="00E76AEC"/>
    <w:rsid w:val="00E80E1E"/>
    <w:rsid w:val="00E815AD"/>
    <w:rsid w:val="00E81861"/>
    <w:rsid w:val="00E81C58"/>
    <w:rsid w:val="00E8222D"/>
    <w:rsid w:val="00E82950"/>
    <w:rsid w:val="00E84847"/>
    <w:rsid w:val="00E84BCC"/>
    <w:rsid w:val="00E856B7"/>
    <w:rsid w:val="00E86BAC"/>
    <w:rsid w:val="00E87BFB"/>
    <w:rsid w:val="00E87EF6"/>
    <w:rsid w:val="00E90092"/>
    <w:rsid w:val="00E90179"/>
    <w:rsid w:val="00E913F1"/>
    <w:rsid w:val="00E92B1F"/>
    <w:rsid w:val="00E94851"/>
    <w:rsid w:val="00E958CC"/>
    <w:rsid w:val="00E95AE8"/>
    <w:rsid w:val="00E95EB2"/>
    <w:rsid w:val="00E9734F"/>
    <w:rsid w:val="00E974C5"/>
    <w:rsid w:val="00E975ED"/>
    <w:rsid w:val="00EA098A"/>
    <w:rsid w:val="00EA0FCC"/>
    <w:rsid w:val="00EA1059"/>
    <w:rsid w:val="00EA19AB"/>
    <w:rsid w:val="00EA1ADC"/>
    <w:rsid w:val="00EA2421"/>
    <w:rsid w:val="00EA3E79"/>
    <w:rsid w:val="00EA3F13"/>
    <w:rsid w:val="00EA4D09"/>
    <w:rsid w:val="00EA6991"/>
    <w:rsid w:val="00EB0B4D"/>
    <w:rsid w:val="00EB15C8"/>
    <w:rsid w:val="00EB1A40"/>
    <w:rsid w:val="00EB2625"/>
    <w:rsid w:val="00EB44E7"/>
    <w:rsid w:val="00EB468A"/>
    <w:rsid w:val="00EB4691"/>
    <w:rsid w:val="00EB4F69"/>
    <w:rsid w:val="00EB5186"/>
    <w:rsid w:val="00EB5BBB"/>
    <w:rsid w:val="00EB7D18"/>
    <w:rsid w:val="00EC0847"/>
    <w:rsid w:val="00EC1A1F"/>
    <w:rsid w:val="00EC2620"/>
    <w:rsid w:val="00EC2680"/>
    <w:rsid w:val="00EC4C90"/>
    <w:rsid w:val="00EC649C"/>
    <w:rsid w:val="00EC73D8"/>
    <w:rsid w:val="00EC7A3B"/>
    <w:rsid w:val="00ED1A50"/>
    <w:rsid w:val="00ED2B00"/>
    <w:rsid w:val="00ED3E95"/>
    <w:rsid w:val="00ED417F"/>
    <w:rsid w:val="00ED6037"/>
    <w:rsid w:val="00ED69DC"/>
    <w:rsid w:val="00ED6DD3"/>
    <w:rsid w:val="00EE0E41"/>
    <w:rsid w:val="00EE115B"/>
    <w:rsid w:val="00EE1B48"/>
    <w:rsid w:val="00EE5912"/>
    <w:rsid w:val="00EE5C03"/>
    <w:rsid w:val="00EE64E3"/>
    <w:rsid w:val="00EE7332"/>
    <w:rsid w:val="00EE7C56"/>
    <w:rsid w:val="00EF071B"/>
    <w:rsid w:val="00EF094E"/>
    <w:rsid w:val="00EF1961"/>
    <w:rsid w:val="00EF3CF8"/>
    <w:rsid w:val="00EF3E50"/>
    <w:rsid w:val="00EF410A"/>
    <w:rsid w:val="00EF5489"/>
    <w:rsid w:val="00EF60D6"/>
    <w:rsid w:val="00EF630A"/>
    <w:rsid w:val="00EF64E6"/>
    <w:rsid w:val="00EF780F"/>
    <w:rsid w:val="00F025BA"/>
    <w:rsid w:val="00F0376C"/>
    <w:rsid w:val="00F03D9D"/>
    <w:rsid w:val="00F10C38"/>
    <w:rsid w:val="00F11D84"/>
    <w:rsid w:val="00F12673"/>
    <w:rsid w:val="00F12DC6"/>
    <w:rsid w:val="00F131E2"/>
    <w:rsid w:val="00F13599"/>
    <w:rsid w:val="00F1388F"/>
    <w:rsid w:val="00F15A60"/>
    <w:rsid w:val="00F16A66"/>
    <w:rsid w:val="00F16E1A"/>
    <w:rsid w:val="00F17827"/>
    <w:rsid w:val="00F22D11"/>
    <w:rsid w:val="00F2435D"/>
    <w:rsid w:val="00F249B0"/>
    <w:rsid w:val="00F270E7"/>
    <w:rsid w:val="00F307F2"/>
    <w:rsid w:val="00F30EEB"/>
    <w:rsid w:val="00F32910"/>
    <w:rsid w:val="00F329F7"/>
    <w:rsid w:val="00F350BC"/>
    <w:rsid w:val="00F3526B"/>
    <w:rsid w:val="00F3590F"/>
    <w:rsid w:val="00F3611C"/>
    <w:rsid w:val="00F36342"/>
    <w:rsid w:val="00F36377"/>
    <w:rsid w:val="00F371B1"/>
    <w:rsid w:val="00F3756C"/>
    <w:rsid w:val="00F37F73"/>
    <w:rsid w:val="00F40334"/>
    <w:rsid w:val="00F410D7"/>
    <w:rsid w:val="00F41EEB"/>
    <w:rsid w:val="00F442AC"/>
    <w:rsid w:val="00F44A51"/>
    <w:rsid w:val="00F45352"/>
    <w:rsid w:val="00F45408"/>
    <w:rsid w:val="00F455CC"/>
    <w:rsid w:val="00F45CB5"/>
    <w:rsid w:val="00F47846"/>
    <w:rsid w:val="00F47DFC"/>
    <w:rsid w:val="00F47EB7"/>
    <w:rsid w:val="00F50AF6"/>
    <w:rsid w:val="00F50E51"/>
    <w:rsid w:val="00F51B59"/>
    <w:rsid w:val="00F51C55"/>
    <w:rsid w:val="00F51D3A"/>
    <w:rsid w:val="00F537E4"/>
    <w:rsid w:val="00F5385B"/>
    <w:rsid w:val="00F5440C"/>
    <w:rsid w:val="00F5530F"/>
    <w:rsid w:val="00F55C49"/>
    <w:rsid w:val="00F55CC3"/>
    <w:rsid w:val="00F55D3E"/>
    <w:rsid w:val="00F55F99"/>
    <w:rsid w:val="00F57C5C"/>
    <w:rsid w:val="00F60761"/>
    <w:rsid w:val="00F60A4D"/>
    <w:rsid w:val="00F60B93"/>
    <w:rsid w:val="00F6140B"/>
    <w:rsid w:val="00F627A7"/>
    <w:rsid w:val="00F62AE0"/>
    <w:rsid w:val="00F63702"/>
    <w:rsid w:val="00F6373D"/>
    <w:rsid w:val="00F63948"/>
    <w:rsid w:val="00F64F0F"/>
    <w:rsid w:val="00F65AC7"/>
    <w:rsid w:val="00F66D42"/>
    <w:rsid w:val="00F6718A"/>
    <w:rsid w:val="00F67608"/>
    <w:rsid w:val="00F678B6"/>
    <w:rsid w:val="00F678E8"/>
    <w:rsid w:val="00F70854"/>
    <w:rsid w:val="00F727D1"/>
    <w:rsid w:val="00F72AAE"/>
    <w:rsid w:val="00F72EFC"/>
    <w:rsid w:val="00F73023"/>
    <w:rsid w:val="00F75922"/>
    <w:rsid w:val="00F7623A"/>
    <w:rsid w:val="00F76AC2"/>
    <w:rsid w:val="00F778E6"/>
    <w:rsid w:val="00F811BD"/>
    <w:rsid w:val="00F81B74"/>
    <w:rsid w:val="00F8226B"/>
    <w:rsid w:val="00F83C24"/>
    <w:rsid w:val="00F84077"/>
    <w:rsid w:val="00F84689"/>
    <w:rsid w:val="00F848E1"/>
    <w:rsid w:val="00F858E8"/>
    <w:rsid w:val="00F86455"/>
    <w:rsid w:val="00F86883"/>
    <w:rsid w:val="00F86C4A"/>
    <w:rsid w:val="00F87481"/>
    <w:rsid w:val="00F87A82"/>
    <w:rsid w:val="00F87B2C"/>
    <w:rsid w:val="00F90AF8"/>
    <w:rsid w:val="00F9137A"/>
    <w:rsid w:val="00F9163C"/>
    <w:rsid w:val="00F9196F"/>
    <w:rsid w:val="00F92651"/>
    <w:rsid w:val="00F92ED3"/>
    <w:rsid w:val="00F936CE"/>
    <w:rsid w:val="00F94CA6"/>
    <w:rsid w:val="00F950EB"/>
    <w:rsid w:val="00F95ADE"/>
    <w:rsid w:val="00FA0321"/>
    <w:rsid w:val="00FA107A"/>
    <w:rsid w:val="00FA22BD"/>
    <w:rsid w:val="00FA2674"/>
    <w:rsid w:val="00FA2B41"/>
    <w:rsid w:val="00FA309C"/>
    <w:rsid w:val="00FA437A"/>
    <w:rsid w:val="00FA45EE"/>
    <w:rsid w:val="00FA4BAB"/>
    <w:rsid w:val="00FA67D6"/>
    <w:rsid w:val="00FA6BB9"/>
    <w:rsid w:val="00FA6DB4"/>
    <w:rsid w:val="00FA7BE0"/>
    <w:rsid w:val="00FB0B38"/>
    <w:rsid w:val="00FB0B85"/>
    <w:rsid w:val="00FB2052"/>
    <w:rsid w:val="00FB3284"/>
    <w:rsid w:val="00FB3C84"/>
    <w:rsid w:val="00FB41CD"/>
    <w:rsid w:val="00FB54F9"/>
    <w:rsid w:val="00FB651E"/>
    <w:rsid w:val="00FB7466"/>
    <w:rsid w:val="00FB7C39"/>
    <w:rsid w:val="00FB7D82"/>
    <w:rsid w:val="00FB7DE3"/>
    <w:rsid w:val="00FC0CA6"/>
    <w:rsid w:val="00FC14AA"/>
    <w:rsid w:val="00FC2308"/>
    <w:rsid w:val="00FC3A11"/>
    <w:rsid w:val="00FC487A"/>
    <w:rsid w:val="00FC4A6C"/>
    <w:rsid w:val="00FC60DF"/>
    <w:rsid w:val="00FC6E01"/>
    <w:rsid w:val="00FC6E1F"/>
    <w:rsid w:val="00FC75F5"/>
    <w:rsid w:val="00FC7C30"/>
    <w:rsid w:val="00FC7F17"/>
    <w:rsid w:val="00FD04EC"/>
    <w:rsid w:val="00FD0E91"/>
    <w:rsid w:val="00FD21B1"/>
    <w:rsid w:val="00FD2AF2"/>
    <w:rsid w:val="00FD2D4B"/>
    <w:rsid w:val="00FD3201"/>
    <w:rsid w:val="00FD4FF9"/>
    <w:rsid w:val="00FD5FB6"/>
    <w:rsid w:val="00FD6434"/>
    <w:rsid w:val="00FD6A3F"/>
    <w:rsid w:val="00FD6F7A"/>
    <w:rsid w:val="00FE1DDB"/>
    <w:rsid w:val="00FE7765"/>
    <w:rsid w:val="00FE7779"/>
    <w:rsid w:val="00FF0C80"/>
    <w:rsid w:val="00FF116F"/>
    <w:rsid w:val="00FF20C2"/>
    <w:rsid w:val="00FF2C70"/>
    <w:rsid w:val="00FF3426"/>
    <w:rsid w:val="00FF4326"/>
    <w:rsid w:val="00FF524A"/>
    <w:rsid w:val="00FF5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EB8"/>
    <w:pPr>
      <w:spacing w:after="240" w:line="288" w:lineRule="auto"/>
      <w:jc w:val="both"/>
    </w:pPr>
    <w:rPr>
      <w:rFonts w:ascii="Gautami" w:hAnsi="Gautami"/>
      <w:lang w:eastAsia="en-US"/>
    </w:rPr>
  </w:style>
  <w:style w:type="paragraph" w:styleId="Heading1">
    <w:name w:val="heading 1"/>
    <w:aliases w:val="AER Heading 1"/>
    <w:next w:val="AERbodytext"/>
    <w:link w:val="Heading1Char"/>
    <w:uiPriority w:val="9"/>
    <w:qFormat/>
    <w:rsid w:val="008D0EB8"/>
    <w:pPr>
      <w:keepNext/>
      <w:keepLines/>
      <w:pageBreakBefore/>
      <w:numPr>
        <w:ilvl w:val="1"/>
        <w:numId w:val="8"/>
      </w:numPr>
      <w:spacing w:before="120" w:after="120" w:line="288" w:lineRule="auto"/>
      <w:jc w:val="both"/>
      <w:outlineLvl w:val="0"/>
    </w:pPr>
    <w:rPr>
      <w:rFonts w:ascii="Gautami" w:eastAsia="Times New Roman" w:hAnsi="Gautami"/>
      <w:b/>
      <w:bCs/>
      <w:color w:val="E36C0A"/>
      <w:sz w:val="36"/>
      <w:szCs w:val="28"/>
      <w:lang w:eastAsia="en-US"/>
    </w:rPr>
  </w:style>
  <w:style w:type="paragraph" w:styleId="Heading2">
    <w:name w:val="heading 2"/>
    <w:aliases w:val="AER Heading 2"/>
    <w:basedOn w:val="Heading1"/>
    <w:next w:val="AERbodytext"/>
    <w:link w:val="Heading2Char"/>
    <w:uiPriority w:val="9"/>
    <w:qFormat/>
    <w:rsid w:val="008D0EB8"/>
    <w:pPr>
      <w:pageBreakBefore w:val="0"/>
      <w:numPr>
        <w:ilvl w:val="2"/>
      </w:numPr>
      <w:outlineLvl w:val="1"/>
    </w:pPr>
    <w:rPr>
      <w:bCs w:val="0"/>
      <w:sz w:val="28"/>
      <w:szCs w:val="26"/>
      <w:lang w:val="x-none"/>
    </w:rPr>
  </w:style>
  <w:style w:type="paragraph" w:styleId="Heading3">
    <w:name w:val="heading 3"/>
    <w:aliases w:val="AER Heading 3"/>
    <w:basedOn w:val="Heading2"/>
    <w:next w:val="AERbodytext"/>
    <w:link w:val="Heading3Char"/>
    <w:uiPriority w:val="9"/>
    <w:qFormat/>
    <w:rsid w:val="008D0EB8"/>
    <w:pPr>
      <w:numPr>
        <w:ilvl w:val="3"/>
      </w:numPr>
      <w:outlineLvl w:val="2"/>
    </w:pPr>
    <w:rPr>
      <w:bCs/>
      <w:sz w:val="24"/>
    </w:rPr>
  </w:style>
  <w:style w:type="paragraph" w:styleId="Heading4">
    <w:name w:val="heading 4"/>
    <w:aliases w:val="AER Heading 4"/>
    <w:basedOn w:val="AERbodytext"/>
    <w:next w:val="AERbodytext"/>
    <w:link w:val="Heading4Char"/>
    <w:qFormat/>
    <w:rsid w:val="008D0EB8"/>
    <w:pPr>
      <w:keepNext/>
      <w:outlineLvl w:val="3"/>
    </w:pPr>
    <w:rPr>
      <w:b/>
      <w:iCs/>
      <w:color w:val="365F91"/>
      <w:lang w:eastAsia="x-none"/>
    </w:rPr>
  </w:style>
  <w:style w:type="paragraph" w:styleId="Heading5">
    <w:name w:val="heading 5"/>
    <w:basedOn w:val="Heading4"/>
    <w:next w:val="AERbodytext"/>
    <w:link w:val="Heading5Char"/>
    <w:qFormat/>
    <w:rsid w:val="008D0EB8"/>
    <w:pPr>
      <w:numPr>
        <w:ilvl w:val="5"/>
      </w:numPr>
      <w:outlineLvl w:val="4"/>
    </w:pPr>
    <w:rPr>
      <w:i/>
      <w:color w:val="000000"/>
    </w:rPr>
  </w:style>
  <w:style w:type="paragraph" w:styleId="Heading6">
    <w:name w:val="heading 6"/>
    <w:basedOn w:val="Heading5"/>
    <w:next w:val="AERbodytext"/>
    <w:link w:val="Heading6Char"/>
    <w:qFormat/>
    <w:rsid w:val="008D0EB8"/>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8D0EB8"/>
    <w:pPr>
      <w:numPr>
        <w:ilvl w:val="4"/>
      </w:numPr>
      <w:tabs>
        <w:tab w:val="clear" w:pos="0"/>
        <w:tab w:val="num" w:pos="360"/>
      </w:tabs>
      <w:outlineLvl w:val="6"/>
    </w:pPr>
    <w:rPr>
      <w:iCs/>
      <w:szCs w:val="24"/>
      <w:lang w:val="x-none" w:eastAsia="x-none"/>
    </w:rPr>
  </w:style>
  <w:style w:type="paragraph" w:styleId="Heading8">
    <w:name w:val="heading 8"/>
    <w:basedOn w:val="Heading7"/>
    <w:next w:val="AERbodytext"/>
    <w:link w:val="Heading8Char"/>
    <w:uiPriority w:val="9"/>
    <w:qFormat/>
    <w:rsid w:val="008D0EB8"/>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8D0EB8"/>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link w:val="Heading1"/>
    <w:uiPriority w:val="9"/>
    <w:rsid w:val="008D0EB8"/>
    <w:rPr>
      <w:rFonts w:ascii="Gautami" w:eastAsia="Times New Roman" w:hAnsi="Gautami"/>
      <w:b/>
      <w:bCs/>
      <w:color w:val="E36C0A"/>
      <w:sz w:val="36"/>
      <w:szCs w:val="28"/>
      <w:lang w:eastAsia="en-US"/>
    </w:rPr>
  </w:style>
  <w:style w:type="character" w:customStyle="1" w:styleId="Heading2Char">
    <w:name w:val="Heading 2 Char"/>
    <w:aliases w:val="AER Heading 2 Char"/>
    <w:link w:val="Heading2"/>
    <w:uiPriority w:val="9"/>
    <w:rsid w:val="008D0EB8"/>
    <w:rPr>
      <w:rFonts w:ascii="Gautami" w:eastAsia="Times New Roman" w:hAnsi="Gautami"/>
      <w:b/>
      <w:color w:val="E36C0A"/>
      <w:sz w:val="28"/>
      <w:szCs w:val="26"/>
      <w:lang w:val="x-none" w:eastAsia="en-US"/>
    </w:rPr>
  </w:style>
  <w:style w:type="character" w:customStyle="1" w:styleId="Heading3Char">
    <w:name w:val="Heading 3 Char"/>
    <w:aliases w:val="AER Heading 3 Char"/>
    <w:link w:val="Heading3"/>
    <w:uiPriority w:val="9"/>
    <w:rsid w:val="008D0EB8"/>
    <w:rPr>
      <w:rFonts w:ascii="Gautami" w:eastAsia="Times New Roman" w:hAnsi="Gautami"/>
      <w:b/>
      <w:bCs/>
      <w:color w:val="E36C0A"/>
      <w:sz w:val="24"/>
      <w:szCs w:val="26"/>
      <w:lang w:val="x-none" w:eastAsia="en-US"/>
    </w:rPr>
  </w:style>
  <w:style w:type="character" w:customStyle="1" w:styleId="Heading4Char">
    <w:name w:val="Heading 4 Char"/>
    <w:aliases w:val="AER Heading 4 Char"/>
    <w:link w:val="Heading4"/>
    <w:rsid w:val="008D0EB8"/>
    <w:rPr>
      <w:rFonts w:ascii="Gautami" w:eastAsia="Times New Roman" w:hAnsi="Gautami" w:cs="Times New Roman"/>
      <w:b/>
      <w:iCs/>
      <w:color w:val="365F91"/>
      <w:szCs w:val="24"/>
    </w:rPr>
  </w:style>
  <w:style w:type="character" w:customStyle="1" w:styleId="Heading5Char">
    <w:name w:val="Heading 5 Char"/>
    <w:link w:val="Heading5"/>
    <w:rsid w:val="008D0EB8"/>
    <w:rPr>
      <w:rFonts w:ascii="Gautami" w:eastAsia="Times New Roman" w:hAnsi="Gautami" w:cs="Times New Roman"/>
      <w:b/>
      <w:i/>
      <w:iCs/>
      <w:color w:val="000000"/>
      <w:sz w:val="20"/>
      <w:szCs w:val="24"/>
    </w:rPr>
  </w:style>
  <w:style w:type="character" w:customStyle="1" w:styleId="Heading6Char">
    <w:name w:val="Heading 6 Char"/>
    <w:link w:val="Heading6"/>
    <w:rsid w:val="008D0EB8"/>
    <w:rPr>
      <w:rFonts w:ascii="Gautami" w:eastAsia="Times New Roman" w:hAnsi="Gautami" w:cs="Times New Roman"/>
      <w:i/>
      <w:sz w:val="20"/>
      <w:szCs w:val="24"/>
    </w:rPr>
  </w:style>
  <w:style w:type="character" w:customStyle="1" w:styleId="Heading7Char">
    <w:name w:val="Heading 7 Char"/>
    <w:link w:val="Heading7"/>
    <w:uiPriority w:val="9"/>
    <w:rsid w:val="008D0EB8"/>
    <w:rPr>
      <w:rFonts w:ascii="Gautami" w:eastAsia="Times New Roman" w:hAnsi="Gautami"/>
      <w:b/>
      <w:bCs/>
      <w:iCs/>
      <w:color w:val="E36C0A"/>
      <w:sz w:val="36"/>
      <w:szCs w:val="24"/>
      <w:lang w:val="x-none" w:eastAsia="x-none"/>
    </w:rPr>
  </w:style>
  <w:style w:type="character" w:customStyle="1" w:styleId="Heading8Char">
    <w:name w:val="Heading 8 Char"/>
    <w:link w:val="Heading8"/>
    <w:uiPriority w:val="9"/>
    <w:rsid w:val="008D0EB8"/>
    <w:rPr>
      <w:rFonts w:ascii="Gautami" w:eastAsia="Times New Roman" w:hAnsi="Gautami"/>
      <w:b/>
      <w:bCs/>
      <w:iCs/>
      <w:color w:val="E36C0A"/>
      <w:sz w:val="28"/>
      <w:lang w:val="x-none" w:eastAsia="x-none"/>
    </w:rPr>
  </w:style>
  <w:style w:type="character" w:customStyle="1" w:styleId="Heading9Char">
    <w:name w:val="Heading 9 Char"/>
    <w:link w:val="Heading9"/>
    <w:uiPriority w:val="9"/>
    <w:rsid w:val="008D0EB8"/>
    <w:rPr>
      <w:rFonts w:ascii="Gautami" w:eastAsia="Times New Roman" w:hAnsi="Gautami"/>
      <w:b/>
      <w:bCs/>
      <w:color w:val="E36C0A"/>
      <w:sz w:val="24"/>
      <w:lang w:val="x-none" w:eastAsia="x-none"/>
    </w:rPr>
  </w:style>
  <w:style w:type="numbering" w:customStyle="1" w:styleId="AERHeadings">
    <w:name w:val="AER Headings"/>
    <w:uiPriority w:val="99"/>
    <w:rsid w:val="008D0EB8"/>
    <w:pPr>
      <w:numPr>
        <w:numId w:val="1"/>
      </w:numPr>
    </w:pPr>
  </w:style>
  <w:style w:type="paragraph" w:styleId="Caption">
    <w:name w:val="caption"/>
    <w:basedOn w:val="AERbodytext"/>
    <w:next w:val="AERbodytext"/>
    <w:qFormat/>
    <w:rsid w:val="008D0EB8"/>
    <w:pPr>
      <w:keepNext/>
      <w:tabs>
        <w:tab w:val="left" w:pos="1440"/>
      </w:tabs>
      <w:spacing w:before="120" w:after="120"/>
      <w:ind w:left="1440" w:hanging="1440"/>
    </w:pPr>
    <w:rPr>
      <w:b/>
      <w:bCs/>
      <w:szCs w:val="18"/>
    </w:rPr>
  </w:style>
  <w:style w:type="character" w:customStyle="1" w:styleId="AERbody">
    <w:name w:val="AER body"/>
    <w:qFormat/>
    <w:rsid w:val="008D0EB8"/>
    <w:rPr>
      <w:rFonts w:ascii="Gautami" w:hAnsi="Gautami"/>
      <w:color w:val="auto"/>
      <w:sz w:val="20"/>
    </w:rPr>
  </w:style>
  <w:style w:type="paragraph" w:customStyle="1" w:styleId="AERbodytext">
    <w:name w:val="AER body text"/>
    <w:link w:val="AERbodytextChar"/>
    <w:qFormat/>
    <w:rsid w:val="00616493"/>
    <w:pPr>
      <w:spacing w:after="240" w:line="288" w:lineRule="auto"/>
      <w:jc w:val="both"/>
    </w:pPr>
    <w:rPr>
      <w:rFonts w:ascii="Gautami" w:eastAsia="Times New Roman" w:hAnsi="Gautami"/>
      <w:szCs w:val="24"/>
      <w:lang w:eastAsia="en-US"/>
    </w:rPr>
  </w:style>
  <w:style w:type="paragraph" w:customStyle="1" w:styleId="AERbodytextindent1">
    <w:name w:val="AER body text (indent 1)"/>
    <w:basedOn w:val="AERbodytext"/>
    <w:qFormat/>
    <w:rsid w:val="008D0EB8"/>
    <w:pPr>
      <w:ind w:left="357"/>
    </w:pPr>
  </w:style>
  <w:style w:type="paragraph" w:customStyle="1" w:styleId="AERbodytextindent2">
    <w:name w:val="AER body text (indent 2)"/>
    <w:basedOn w:val="AERbodytextindent1"/>
    <w:qFormat/>
    <w:rsid w:val="008D0EB8"/>
    <w:pPr>
      <w:ind w:left="709"/>
    </w:pPr>
  </w:style>
  <w:style w:type="paragraph" w:customStyle="1" w:styleId="AERbodytextindent3">
    <w:name w:val="AER body text (indent 3)"/>
    <w:basedOn w:val="AERbodytext"/>
    <w:qFormat/>
    <w:rsid w:val="008D0EB8"/>
    <w:pPr>
      <w:ind w:left="1077"/>
    </w:pPr>
  </w:style>
  <w:style w:type="paragraph" w:customStyle="1" w:styleId="AERbulletlistfirststyle">
    <w:name w:val="AER bullet list (first style)"/>
    <w:basedOn w:val="AERbodytext"/>
    <w:qFormat/>
    <w:rsid w:val="008D0EB8"/>
    <w:pPr>
      <w:numPr>
        <w:numId w:val="2"/>
      </w:numPr>
      <w:tabs>
        <w:tab w:val="left" w:pos="357"/>
      </w:tabs>
      <w:spacing w:after="200"/>
    </w:pPr>
  </w:style>
  <w:style w:type="paragraph" w:customStyle="1" w:styleId="AERbulletlistsecondstyle">
    <w:name w:val="AER bullet list (second style)"/>
    <w:basedOn w:val="AERbodytext"/>
    <w:qFormat/>
    <w:rsid w:val="008D0EB8"/>
    <w:pPr>
      <w:numPr>
        <w:numId w:val="5"/>
      </w:numPr>
      <w:tabs>
        <w:tab w:val="left" w:pos="709"/>
      </w:tabs>
      <w:spacing w:after="200"/>
    </w:pPr>
  </w:style>
  <w:style w:type="paragraph" w:customStyle="1" w:styleId="AERbulletlistthirdstyle">
    <w:name w:val="AER bullet list (third style)"/>
    <w:basedOn w:val="AERbodytext"/>
    <w:qFormat/>
    <w:rsid w:val="008D0EB8"/>
    <w:pPr>
      <w:numPr>
        <w:numId w:val="3"/>
      </w:numPr>
      <w:tabs>
        <w:tab w:val="left" w:pos="1077"/>
      </w:tabs>
      <w:spacing w:after="200"/>
      <w:ind w:left="1071" w:hanging="357"/>
    </w:pPr>
  </w:style>
  <w:style w:type="character" w:customStyle="1" w:styleId="AERtextconfidential">
    <w:name w:val="AER text confidential"/>
    <w:qFormat/>
    <w:rsid w:val="008D0EB8"/>
    <w:rPr>
      <w:bdr w:val="none" w:sz="0" w:space="0" w:color="auto"/>
      <w:shd w:val="clear" w:color="auto" w:fill="CCFFFF"/>
    </w:rPr>
  </w:style>
  <w:style w:type="paragraph" w:customStyle="1" w:styleId="AERnumberedlistfirststyle">
    <w:name w:val="AER numbered list (first style)"/>
    <w:basedOn w:val="AERbodytext"/>
    <w:qFormat/>
    <w:rsid w:val="008D0EB8"/>
    <w:pPr>
      <w:numPr>
        <w:ilvl w:val="1"/>
        <w:numId w:val="11"/>
      </w:numPr>
      <w:spacing w:after="200"/>
    </w:pPr>
  </w:style>
  <w:style w:type="paragraph" w:customStyle="1" w:styleId="AERnumberedlistsecondstyle">
    <w:name w:val="AER numbered list (second style)"/>
    <w:basedOn w:val="AERnumberedlistfirststyle"/>
    <w:qFormat/>
    <w:rsid w:val="008D0EB8"/>
    <w:pPr>
      <w:numPr>
        <w:ilvl w:val="2"/>
      </w:numPr>
    </w:pPr>
  </w:style>
  <w:style w:type="paragraph" w:customStyle="1" w:styleId="AERnumberedlistthirdstyle">
    <w:name w:val="AER numbered list (third style)"/>
    <w:basedOn w:val="AERnumberedlistsecondstyle"/>
    <w:qFormat/>
    <w:rsid w:val="008D0EB8"/>
    <w:pPr>
      <w:numPr>
        <w:ilvl w:val="3"/>
      </w:numPr>
    </w:pPr>
  </w:style>
  <w:style w:type="paragraph" w:customStyle="1" w:styleId="AERquote">
    <w:name w:val="AER quote"/>
    <w:next w:val="AERbodytext"/>
    <w:qFormat/>
    <w:rsid w:val="008D0EB8"/>
    <w:pPr>
      <w:tabs>
        <w:tab w:val="num" w:pos="709"/>
      </w:tabs>
      <w:spacing w:after="160" w:line="288" w:lineRule="auto"/>
      <w:ind w:left="709" w:right="720"/>
      <w:jc w:val="both"/>
    </w:pPr>
    <w:rPr>
      <w:rFonts w:ascii="Gautami" w:eastAsia="Times New Roman" w:hAnsi="Gautami"/>
      <w:color w:val="000000"/>
      <w:sz w:val="16"/>
      <w:szCs w:val="24"/>
      <w:lang w:eastAsia="en-US"/>
    </w:rPr>
  </w:style>
  <w:style w:type="paragraph" w:customStyle="1" w:styleId="AERquoteindent1">
    <w:name w:val="AER quote (indent 1)"/>
    <w:basedOn w:val="AERquote"/>
    <w:qFormat/>
    <w:rsid w:val="008D0EB8"/>
    <w:pPr>
      <w:tabs>
        <w:tab w:val="clear" w:pos="709"/>
        <w:tab w:val="num" w:pos="1077"/>
      </w:tabs>
      <w:ind w:left="1077" w:right="1440"/>
    </w:pPr>
  </w:style>
  <w:style w:type="paragraph" w:customStyle="1" w:styleId="AERquoteindent2">
    <w:name w:val="AER quote (indent 2)"/>
    <w:basedOn w:val="AERquoteindent1"/>
    <w:qFormat/>
    <w:rsid w:val="008D0EB8"/>
    <w:pPr>
      <w:tabs>
        <w:tab w:val="clear" w:pos="1077"/>
        <w:tab w:val="left" w:pos="1440"/>
      </w:tabs>
      <w:ind w:left="1440" w:right="1797"/>
    </w:pPr>
  </w:style>
  <w:style w:type="paragraph" w:customStyle="1" w:styleId="AERquoteindent3">
    <w:name w:val="AER quote (indent 3)"/>
    <w:basedOn w:val="AERquoteindent2"/>
    <w:qFormat/>
    <w:rsid w:val="008D0EB8"/>
    <w:pPr>
      <w:tabs>
        <w:tab w:val="clear" w:pos="1440"/>
        <w:tab w:val="left" w:pos="1803"/>
      </w:tabs>
      <w:ind w:left="1803" w:right="2160"/>
    </w:pPr>
  </w:style>
  <w:style w:type="paragraph" w:customStyle="1" w:styleId="AERquotebullet1">
    <w:name w:val="AER quote bullet 1"/>
    <w:basedOn w:val="Normal"/>
    <w:qFormat/>
    <w:rsid w:val="008D0EB8"/>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8D0EB8"/>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8D0EB8"/>
    <w:rPr>
      <w:rFonts w:ascii="Gautami" w:hAnsi="Gautami"/>
      <w:vertAlign w:val="subscript"/>
    </w:rPr>
  </w:style>
  <w:style w:type="character" w:customStyle="1" w:styleId="AERsuperscript">
    <w:name w:val="AER superscript"/>
    <w:qFormat/>
    <w:rsid w:val="008D0EB8"/>
    <w:rPr>
      <w:rFonts w:ascii="Gautami" w:hAnsi="Gautami"/>
      <w:vertAlign w:val="superscript"/>
    </w:rPr>
  </w:style>
  <w:style w:type="paragraph" w:customStyle="1" w:styleId="AERtablesource">
    <w:name w:val="AER table source"/>
    <w:next w:val="AERbodytext"/>
    <w:qFormat/>
    <w:rsid w:val="008D0EB8"/>
    <w:pPr>
      <w:tabs>
        <w:tab w:val="left" w:pos="794"/>
      </w:tabs>
      <w:spacing w:before="40" w:after="240"/>
      <w:ind w:left="794" w:hanging="794"/>
      <w:contextualSpacing/>
      <w:jc w:val="both"/>
    </w:pPr>
    <w:rPr>
      <w:rFonts w:ascii="Gautami" w:eastAsia="Times New Roman" w:hAnsi="Gautami"/>
      <w:sz w:val="16"/>
      <w:szCs w:val="24"/>
      <w:lang w:eastAsia="en-US"/>
    </w:rPr>
  </w:style>
  <w:style w:type="table" w:customStyle="1" w:styleId="AERtable-text">
    <w:name w:val="AER table - text"/>
    <w:basedOn w:val="TableNormal"/>
    <w:uiPriority w:val="99"/>
    <w:rsid w:val="008D0EB8"/>
    <w:pPr>
      <w:spacing w:before="120" w:after="80"/>
    </w:pPr>
    <w:rPr>
      <w:rFonts w:ascii="Gautam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8D0EB8"/>
    <w:pPr>
      <w:spacing w:before="80" w:after="120" w:line="288" w:lineRule="auto"/>
    </w:pPr>
    <w:rPr>
      <w:rFonts w:ascii="Gautami" w:eastAsia="Times New Roman" w:hAnsi="Gautami"/>
      <w:sz w:val="16"/>
      <w:szCs w:val="24"/>
      <w:lang w:eastAsia="en-US"/>
    </w:rPr>
  </w:style>
  <w:style w:type="character" w:customStyle="1" w:styleId="AERtextbold">
    <w:name w:val="AER text bold"/>
    <w:qFormat/>
    <w:rsid w:val="008D0EB8"/>
    <w:rPr>
      <w:b/>
    </w:rPr>
  </w:style>
  <w:style w:type="character" w:customStyle="1" w:styleId="AERtextbolditalics">
    <w:name w:val="AER text bold italics"/>
    <w:qFormat/>
    <w:rsid w:val="008D0EB8"/>
    <w:rPr>
      <w:b/>
      <w:i/>
    </w:rPr>
  </w:style>
  <w:style w:type="character" w:customStyle="1" w:styleId="AERtextboldunderline">
    <w:name w:val="AER text bold underline"/>
    <w:qFormat/>
    <w:rsid w:val="008D0EB8"/>
    <w:rPr>
      <w:b/>
      <w:u w:val="single"/>
    </w:rPr>
  </w:style>
  <w:style w:type="character" w:customStyle="1" w:styleId="AERtexthighlight">
    <w:name w:val="AER text highlight"/>
    <w:qFormat/>
    <w:rsid w:val="008D0EB8"/>
    <w:rPr>
      <w:bdr w:val="none" w:sz="0" w:space="0" w:color="auto"/>
      <w:shd w:val="clear" w:color="auto" w:fill="FFFF00"/>
    </w:rPr>
  </w:style>
  <w:style w:type="character" w:customStyle="1" w:styleId="AERtextitalic">
    <w:name w:val="AER text italic"/>
    <w:qFormat/>
    <w:rsid w:val="008D0EB8"/>
    <w:rPr>
      <w:i/>
    </w:rPr>
  </w:style>
  <w:style w:type="character" w:customStyle="1" w:styleId="AERtextunderline">
    <w:name w:val="AER text underline"/>
    <w:qFormat/>
    <w:rsid w:val="008D0EB8"/>
    <w:rPr>
      <w:u w:val="single"/>
    </w:rPr>
  </w:style>
  <w:style w:type="paragraph" w:styleId="FootnoteText">
    <w:name w:val="footnote text"/>
    <w:basedOn w:val="AERbodytext"/>
    <w:link w:val="FootnoteTextChar"/>
    <w:uiPriority w:val="99"/>
    <w:qFormat/>
    <w:rsid w:val="008D0EB8"/>
    <w:pPr>
      <w:tabs>
        <w:tab w:val="left" w:pos="426"/>
      </w:tabs>
      <w:spacing w:after="0" w:line="240" w:lineRule="auto"/>
      <w:ind w:left="426" w:hanging="426"/>
    </w:pPr>
    <w:rPr>
      <w:sz w:val="16"/>
      <w:szCs w:val="20"/>
      <w:lang w:eastAsia="x-none"/>
    </w:rPr>
  </w:style>
  <w:style w:type="character" w:customStyle="1" w:styleId="FootnoteTextChar">
    <w:name w:val="Footnote Text Char"/>
    <w:link w:val="FootnoteText"/>
    <w:uiPriority w:val="99"/>
    <w:rsid w:val="008D0EB8"/>
    <w:rPr>
      <w:rFonts w:ascii="Gautami" w:eastAsia="Times New Roman" w:hAnsi="Gautami" w:cs="Times New Roman"/>
      <w:sz w:val="16"/>
      <w:szCs w:val="20"/>
    </w:rPr>
  </w:style>
  <w:style w:type="character" w:styleId="FootnoteReference">
    <w:name w:val="footnote reference"/>
    <w:uiPriority w:val="99"/>
    <w:unhideWhenUsed/>
    <w:rsid w:val="008D0EB8"/>
    <w:rPr>
      <w:vertAlign w:val="superscript"/>
    </w:rPr>
  </w:style>
  <w:style w:type="paragraph" w:styleId="Header">
    <w:name w:val="header"/>
    <w:basedOn w:val="Normal"/>
    <w:link w:val="HeaderChar"/>
    <w:uiPriority w:val="99"/>
    <w:unhideWhenUsed/>
    <w:rsid w:val="008D0EB8"/>
    <w:pPr>
      <w:tabs>
        <w:tab w:val="center" w:pos="4513"/>
        <w:tab w:val="right" w:pos="9026"/>
      </w:tabs>
      <w:spacing w:after="0" w:line="240" w:lineRule="auto"/>
    </w:pPr>
    <w:rPr>
      <w:lang w:val="x-none" w:eastAsia="x-none"/>
    </w:rPr>
  </w:style>
  <w:style w:type="character" w:customStyle="1" w:styleId="HeaderChar">
    <w:name w:val="Header Char"/>
    <w:link w:val="Header"/>
    <w:uiPriority w:val="99"/>
    <w:rsid w:val="008D0EB8"/>
    <w:rPr>
      <w:rFonts w:ascii="Gautami" w:eastAsia="Calibri" w:hAnsi="Gautami" w:cs="Times New Roman"/>
      <w:sz w:val="20"/>
      <w:szCs w:val="20"/>
    </w:rPr>
  </w:style>
  <w:style w:type="paragraph" w:styleId="Footer">
    <w:name w:val="footer"/>
    <w:basedOn w:val="Normal"/>
    <w:link w:val="FooterChar"/>
    <w:uiPriority w:val="99"/>
    <w:qFormat/>
    <w:rsid w:val="008D0EB8"/>
    <w:pPr>
      <w:tabs>
        <w:tab w:val="center" w:pos="4513"/>
        <w:tab w:val="right" w:pos="9026"/>
      </w:tabs>
      <w:spacing w:after="0" w:line="240" w:lineRule="auto"/>
    </w:pPr>
    <w:rPr>
      <w:lang w:val="x-none" w:eastAsia="x-none"/>
    </w:rPr>
  </w:style>
  <w:style w:type="character" w:customStyle="1" w:styleId="FooterChar">
    <w:name w:val="Footer Char"/>
    <w:link w:val="Footer"/>
    <w:uiPriority w:val="99"/>
    <w:rsid w:val="008D0EB8"/>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8D0EB8"/>
    <w:pPr>
      <w:numPr>
        <w:ilvl w:val="0"/>
      </w:numPr>
    </w:pPr>
  </w:style>
  <w:style w:type="table" w:styleId="TableGrid">
    <w:name w:val="Table Grid"/>
    <w:basedOn w:val="TableNormal"/>
    <w:rsid w:val="008D0EB8"/>
    <w:rPr>
      <w:rFonts w:ascii="Gautami" w:hAnsi="Gautam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8D0EB8"/>
    <w:pPr>
      <w:numPr>
        <w:numId w:val="6"/>
      </w:numPr>
    </w:pPr>
  </w:style>
  <w:style w:type="numbering" w:customStyle="1" w:styleId="OldAERheadings">
    <w:name w:val="Old AER headings"/>
    <w:uiPriority w:val="99"/>
    <w:locked/>
    <w:rsid w:val="008D0EB8"/>
    <w:pPr>
      <w:numPr>
        <w:numId w:val="7"/>
      </w:numPr>
    </w:pPr>
  </w:style>
  <w:style w:type="character" w:customStyle="1" w:styleId="AERtextorange">
    <w:name w:val="AER text orange"/>
    <w:uiPriority w:val="1"/>
    <w:qFormat/>
    <w:rsid w:val="008D0EB8"/>
    <w:rPr>
      <w:color w:val="E36C0A"/>
    </w:rPr>
  </w:style>
  <w:style w:type="paragraph" w:customStyle="1" w:styleId="AERtitle1">
    <w:name w:val="AER title 1"/>
    <w:qFormat/>
    <w:rsid w:val="008D0EB8"/>
    <w:pPr>
      <w:spacing w:after="240" w:line="288" w:lineRule="auto"/>
      <w:jc w:val="center"/>
    </w:pPr>
    <w:rPr>
      <w:rFonts w:ascii="Gautami" w:eastAsia="Times New Roman" w:hAnsi="Gautami"/>
      <w:b/>
      <w:sz w:val="40"/>
      <w:szCs w:val="24"/>
    </w:rPr>
  </w:style>
  <w:style w:type="paragraph" w:customStyle="1" w:styleId="AERtitle2">
    <w:name w:val="AER title 2"/>
    <w:qFormat/>
    <w:rsid w:val="008D0EB8"/>
    <w:pPr>
      <w:spacing w:after="240" w:line="288" w:lineRule="auto"/>
      <w:jc w:val="center"/>
    </w:pPr>
    <w:rPr>
      <w:rFonts w:ascii="Gautami" w:eastAsia="Times New Roman" w:hAnsi="Gautami"/>
      <w:sz w:val="32"/>
      <w:szCs w:val="24"/>
      <w:lang w:eastAsia="en-US"/>
    </w:rPr>
  </w:style>
  <w:style w:type="paragraph" w:customStyle="1" w:styleId="ColorfulList-Accent11">
    <w:name w:val="Colorful List - Accent 11"/>
    <w:basedOn w:val="Normal"/>
    <w:uiPriority w:val="34"/>
    <w:unhideWhenUsed/>
    <w:qFormat/>
    <w:rsid w:val="008D0EB8"/>
    <w:pPr>
      <w:ind w:left="720"/>
      <w:contextualSpacing/>
    </w:pPr>
  </w:style>
  <w:style w:type="character" w:customStyle="1" w:styleId="AERtextblue">
    <w:name w:val="AER text blue"/>
    <w:uiPriority w:val="1"/>
    <w:qFormat/>
    <w:rsid w:val="008D0EB8"/>
    <w:rPr>
      <w:color w:val="365F91"/>
    </w:rPr>
  </w:style>
  <w:style w:type="character" w:customStyle="1" w:styleId="UnnumberedHeadingChar">
    <w:name w:val="Unnumbered Heading Char"/>
    <w:basedOn w:val="Heading1Char"/>
    <w:link w:val="UnnumberedHeading"/>
    <w:rsid w:val="008D0EB8"/>
    <w:rPr>
      <w:rFonts w:ascii="Gautami" w:eastAsia="Times New Roman" w:hAnsi="Gautami"/>
      <w:b/>
      <w:bCs/>
      <w:color w:val="E36C0A"/>
      <w:sz w:val="36"/>
      <w:szCs w:val="28"/>
      <w:lang w:eastAsia="en-US"/>
    </w:rPr>
  </w:style>
  <w:style w:type="table" w:customStyle="1" w:styleId="AERtable-numbers">
    <w:name w:val="AER table - numbers"/>
    <w:basedOn w:val="TableNormal"/>
    <w:uiPriority w:val="99"/>
    <w:rsid w:val="008D0EB8"/>
    <w:pPr>
      <w:spacing w:before="120" w:after="80"/>
      <w:jc w:val="right"/>
    </w:pPr>
    <w:rPr>
      <w:rFonts w:ascii="Gautam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8D0EB8"/>
    <w:rPr>
      <w:rFonts w:ascii="Gautami" w:hAnsi="Gautam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8D0EB8"/>
    <w:pPr>
      <w:spacing w:after="0"/>
    </w:pPr>
  </w:style>
  <w:style w:type="paragraph" w:customStyle="1" w:styleId="AERtabletextright">
    <w:name w:val="AER table text right"/>
    <w:basedOn w:val="AERtabletextleft"/>
    <w:qFormat/>
    <w:rsid w:val="008D0EB8"/>
    <w:pPr>
      <w:spacing w:before="120" w:after="80"/>
      <w:jc w:val="right"/>
    </w:pPr>
  </w:style>
  <w:style w:type="paragraph" w:customStyle="1" w:styleId="TOCHeading1">
    <w:name w:val="TOC Heading1"/>
    <w:basedOn w:val="Heading1"/>
    <w:next w:val="Normal"/>
    <w:uiPriority w:val="39"/>
    <w:semiHidden/>
    <w:unhideWhenUsed/>
    <w:qFormat/>
    <w:rsid w:val="008D0EB8"/>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F778E6"/>
    <w:pPr>
      <w:tabs>
        <w:tab w:val="left" w:pos="567"/>
        <w:tab w:val="right" w:leader="dot" w:pos="9072"/>
      </w:tabs>
      <w:spacing w:before="240" w:after="120"/>
      <w:jc w:val="left"/>
    </w:pPr>
    <w:rPr>
      <w:b/>
      <w:bCs/>
    </w:rPr>
  </w:style>
  <w:style w:type="paragraph" w:styleId="TOC2">
    <w:name w:val="toc 2"/>
    <w:basedOn w:val="Normal"/>
    <w:next w:val="Normal"/>
    <w:autoRedefine/>
    <w:uiPriority w:val="39"/>
    <w:unhideWhenUsed/>
    <w:qFormat/>
    <w:rsid w:val="00F778E6"/>
    <w:pPr>
      <w:tabs>
        <w:tab w:val="left" w:pos="800"/>
        <w:tab w:val="right" w:leader="dot" w:pos="9072"/>
      </w:tabs>
      <w:spacing w:before="120" w:after="0"/>
      <w:ind w:left="200"/>
      <w:jc w:val="left"/>
    </w:pPr>
    <w:rPr>
      <w:iCs/>
    </w:rPr>
  </w:style>
  <w:style w:type="paragraph" w:styleId="TOC3">
    <w:name w:val="toc 3"/>
    <w:basedOn w:val="Normal"/>
    <w:next w:val="Normal"/>
    <w:autoRedefine/>
    <w:uiPriority w:val="39"/>
    <w:unhideWhenUsed/>
    <w:qFormat/>
    <w:rsid w:val="008D0EB8"/>
    <w:pPr>
      <w:spacing w:after="0"/>
      <w:ind w:left="400"/>
      <w:jc w:val="left"/>
    </w:pPr>
  </w:style>
  <w:style w:type="character" w:styleId="Hyperlink">
    <w:name w:val="Hyperlink"/>
    <w:uiPriority w:val="99"/>
    <w:unhideWhenUsed/>
    <w:rsid w:val="008D0EB8"/>
    <w:rPr>
      <w:color w:val="0000FF"/>
      <w:u w:val="single"/>
    </w:rPr>
  </w:style>
  <w:style w:type="paragraph" w:styleId="BalloonText">
    <w:name w:val="Balloon Text"/>
    <w:basedOn w:val="Normal"/>
    <w:link w:val="BalloonTextChar"/>
    <w:uiPriority w:val="99"/>
    <w:semiHidden/>
    <w:unhideWhenUsed/>
    <w:rsid w:val="008D0EB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0EB8"/>
    <w:rPr>
      <w:rFonts w:ascii="Tahoma" w:eastAsia="Calibri" w:hAnsi="Tahoma" w:cs="Tahoma"/>
      <w:sz w:val="16"/>
      <w:szCs w:val="16"/>
    </w:rPr>
  </w:style>
  <w:style w:type="paragraph" w:styleId="TOC4">
    <w:name w:val="toc 4"/>
    <w:basedOn w:val="Normal"/>
    <w:next w:val="Normal"/>
    <w:autoRedefine/>
    <w:uiPriority w:val="39"/>
    <w:semiHidden/>
    <w:rsid w:val="008D0EB8"/>
    <w:pPr>
      <w:spacing w:after="0"/>
      <w:ind w:left="600"/>
      <w:jc w:val="left"/>
    </w:pPr>
    <w:rPr>
      <w:rFonts w:ascii="Calibri" w:hAnsi="Calibri"/>
    </w:rPr>
  </w:style>
  <w:style w:type="paragraph" w:styleId="TOC5">
    <w:name w:val="toc 5"/>
    <w:basedOn w:val="Normal"/>
    <w:next w:val="Normal"/>
    <w:autoRedefine/>
    <w:uiPriority w:val="39"/>
    <w:semiHidden/>
    <w:rsid w:val="008D0EB8"/>
    <w:pPr>
      <w:spacing w:after="0"/>
      <w:ind w:left="800"/>
      <w:jc w:val="left"/>
    </w:pPr>
    <w:rPr>
      <w:rFonts w:ascii="Calibri" w:hAnsi="Calibri"/>
    </w:rPr>
  </w:style>
  <w:style w:type="paragraph" w:styleId="TOC6">
    <w:name w:val="toc 6"/>
    <w:basedOn w:val="Normal"/>
    <w:next w:val="Normal"/>
    <w:autoRedefine/>
    <w:uiPriority w:val="39"/>
    <w:semiHidden/>
    <w:rsid w:val="008D0EB8"/>
    <w:pPr>
      <w:spacing w:after="0"/>
      <w:ind w:left="1000"/>
      <w:jc w:val="left"/>
    </w:pPr>
    <w:rPr>
      <w:rFonts w:ascii="Calibri" w:hAnsi="Calibri"/>
    </w:rPr>
  </w:style>
  <w:style w:type="paragraph" w:styleId="TOC7">
    <w:name w:val="toc 7"/>
    <w:basedOn w:val="Normal"/>
    <w:next w:val="Normal"/>
    <w:autoRedefine/>
    <w:uiPriority w:val="39"/>
    <w:semiHidden/>
    <w:rsid w:val="008D0EB8"/>
    <w:pPr>
      <w:spacing w:after="0"/>
      <w:ind w:left="1200"/>
      <w:jc w:val="left"/>
    </w:pPr>
    <w:rPr>
      <w:rFonts w:ascii="Calibri" w:hAnsi="Calibri"/>
    </w:rPr>
  </w:style>
  <w:style w:type="paragraph" w:styleId="TOC8">
    <w:name w:val="toc 8"/>
    <w:basedOn w:val="Normal"/>
    <w:next w:val="Normal"/>
    <w:autoRedefine/>
    <w:uiPriority w:val="39"/>
    <w:semiHidden/>
    <w:rsid w:val="008D0EB8"/>
    <w:pPr>
      <w:spacing w:after="0"/>
      <w:ind w:left="1400"/>
      <w:jc w:val="left"/>
    </w:pPr>
    <w:rPr>
      <w:rFonts w:ascii="Calibri" w:hAnsi="Calibri"/>
    </w:rPr>
  </w:style>
  <w:style w:type="paragraph" w:styleId="TOC9">
    <w:name w:val="toc 9"/>
    <w:basedOn w:val="Normal"/>
    <w:next w:val="Normal"/>
    <w:autoRedefine/>
    <w:uiPriority w:val="39"/>
    <w:semiHidden/>
    <w:rsid w:val="008D0EB8"/>
    <w:pPr>
      <w:spacing w:after="0"/>
      <w:ind w:left="1600"/>
      <w:jc w:val="left"/>
    </w:pPr>
    <w:rPr>
      <w:rFonts w:ascii="Calibri" w:hAnsi="Calibri"/>
    </w:rPr>
  </w:style>
  <w:style w:type="character" w:styleId="CommentReference">
    <w:name w:val="annotation reference"/>
    <w:semiHidden/>
    <w:unhideWhenUsed/>
    <w:rsid w:val="008D0EB8"/>
    <w:rPr>
      <w:sz w:val="16"/>
      <w:szCs w:val="16"/>
    </w:rPr>
  </w:style>
  <w:style w:type="paragraph" w:styleId="CommentText">
    <w:name w:val="annotation text"/>
    <w:basedOn w:val="Normal"/>
    <w:link w:val="CommentTextChar"/>
    <w:uiPriority w:val="99"/>
    <w:unhideWhenUsed/>
    <w:rsid w:val="008D0EB8"/>
    <w:pPr>
      <w:spacing w:line="240" w:lineRule="auto"/>
    </w:pPr>
    <w:rPr>
      <w:lang w:val="x-none" w:eastAsia="x-none"/>
    </w:rPr>
  </w:style>
  <w:style w:type="character" w:customStyle="1" w:styleId="CommentTextChar">
    <w:name w:val="Comment Text Char"/>
    <w:link w:val="CommentText"/>
    <w:uiPriority w:val="99"/>
    <w:rsid w:val="008D0EB8"/>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8D0EB8"/>
    <w:rPr>
      <w:b/>
      <w:bCs/>
    </w:rPr>
  </w:style>
  <w:style w:type="character" w:customStyle="1" w:styleId="CommentSubjectChar">
    <w:name w:val="Comment Subject Char"/>
    <w:link w:val="CommentSubject"/>
    <w:uiPriority w:val="99"/>
    <w:semiHidden/>
    <w:rsid w:val="008D0EB8"/>
    <w:rPr>
      <w:rFonts w:ascii="Gautami" w:eastAsia="Calibri" w:hAnsi="Gautami" w:cs="Times New Roman"/>
      <w:b/>
      <w:bCs/>
      <w:sz w:val="20"/>
      <w:szCs w:val="20"/>
    </w:rPr>
  </w:style>
  <w:style w:type="paragraph" w:styleId="Title">
    <w:name w:val="Title"/>
    <w:basedOn w:val="Normal"/>
    <w:next w:val="Normal"/>
    <w:link w:val="TitleChar"/>
    <w:uiPriority w:val="10"/>
    <w:qFormat/>
    <w:rsid w:val="008D0EB8"/>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8D0EB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8D0EB8"/>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8D0EB8"/>
    <w:rPr>
      <w:rFonts w:ascii="Cambria" w:eastAsia="Times New Roman" w:hAnsi="Cambria" w:cs="Times New Roman"/>
      <w:sz w:val="24"/>
      <w:szCs w:val="24"/>
    </w:rPr>
  </w:style>
  <w:style w:type="character" w:customStyle="1" w:styleId="IntenseEmphasis1">
    <w:name w:val="Intense Emphasis1"/>
    <w:uiPriority w:val="21"/>
    <w:unhideWhenUsed/>
    <w:qFormat/>
    <w:rsid w:val="008D0EB8"/>
    <w:rPr>
      <w:b/>
      <w:bCs/>
      <w:i/>
      <w:iCs/>
      <w:color w:val="4F81BD"/>
    </w:rPr>
  </w:style>
  <w:style w:type="character" w:customStyle="1" w:styleId="AERbodytextChar">
    <w:name w:val="AER body text Char"/>
    <w:link w:val="AERbodytext"/>
    <w:rsid w:val="00DC3AB2"/>
    <w:rPr>
      <w:rFonts w:ascii="Gautami" w:eastAsia="Times New Roman" w:hAnsi="Gautami"/>
      <w:szCs w:val="24"/>
      <w:lang w:eastAsia="en-US" w:bidi="ar-SA"/>
    </w:rPr>
  </w:style>
  <w:style w:type="paragraph" w:customStyle="1" w:styleId="ColorfulGrid-Accent11">
    <w:name w:val="Colorful Grid - Accent 11"/>
    <w:basedOn w:val="Normal"/>
    <w:next w:val="Normal"/>
    <w:link w:val="ColorfulGrid-Accent1Char"/>
    <w:uiPriority w:val="29"/>
    <w:qFormat/>
    <w:rsid w:val="006F4989"/>
    <w:rPr>
      <w:i/>
      <w:iCs/>
      <w:color w:val="000000"/>
      <w:lang w:val="x-none"/>
    </w:rPr>
  </w:style>
  <w:style w:type="character" w:customStyle="1" w:styleId="ColorfulGrid-Accent1Char">
    <w:name w:val="Colorful Grid - Accent 1 Char"/>
    <w:link w:val="ColorfulGrid-Accent11"/>
    <w:uiPriority w:val="29"/>
    <w:rsid w:val="006F4989"/>
    <w:rPr>
      <w:rFonts w:ascii="Gautami" w:hAnsi="Gautami"/>
      <w:i/>
      <w:iCs/>
      <w:color w:val="000000"/>
      <w:lang w:eastAsia="en-US"/>
    </w:rPr>
  </w:style>
  <w:style w:type="paragraph" w:customStyle="1" w:styleId="AERTitle10">
    <w:name w:val="AER Title 1"/>
    <w:basedOn w:val="Heading4"/>
    <w:rsid w:val="00F6140B"/>
    <w:pPr>
      <w:spacing w:line="240" w:lineRule="auto"/>
      <w:jc w:val="center"/>
      <w:outlineLvl w:val="9"/>
    </w:pPr>
    <w:rPr>
      <w:rFonts w:cs="Arial"/>
      <w:bCs/>
      <w:iCs w:val="0"/>
      <w:color w:val="auto"/>
      <w:kern w:val="32"/>
      <w:sz w:val="40"/>
    </w:rPr>
  </w:style>
  <w:style w:type="paragraph" w:customStyle="1" w:styleId="AERtabletext">
    <w:name w:val="AER table text"/>
    <w:basedOn w:val="Normal"/>
    <w:link w:val="AERtabletextChar"/>
    <w:rsid w:val="00706F27"/>
    <w:pPr>
      <w:widowControl w:val="0"/>
      <w:spacing w:before="120" w:after="120" w:line="240" w:lineRule="auto"/>
      <w:jc w:val="left"/>
    </w:pPr>
    <w:rPr>
      <w:rFonts w:ascii="Times New Roman" w:eastAsia="Times New Roman" w:hAnsi="Times New Roman"/>
      <w:szCs w:val="24"/>
      <w:lang w:val="x-none"/>
    </w:rPr>
  </w:style>
  <w:style w:type="character" w:customStyle="1" w:styleId="AERtabletextChar">
    <w:name w:val="AER table text Char"/>
    <w:link w:val="AERtabletext"/>
    <w:rsid w:val="00706F27"/>
    <w:rPr>
      <w:rFonts w:ascii="Times New Roman" w:eastAsia="Times New Roman" w:hAnsi="Times New Roman"/>
      <w:szCs w:val="24"/>
      <w:lang w:eastAsia="en-US"/>
    </w:rPr>
  </w:style>
  <w:style w:type="paragraph" w:customStyle="1" w:styleId="AERunnumberedheading1">
    <w:name w:val="AER unnumbered heading 1"/>
    <w:basedOn w:val="Normal"/>
    <w:next w:val="AERbodytext"/>
    <w:link w:val="AERunnumberedheading1Char"/>
    <w:rsid w:val="00F66D42"/>
    <w:pPr>
      <w:pageBreakBefore/>
      <w:widowControl w:val="0"/>
      <w:tabs>
        <w:tab w:val="left" w:pos="851"/>
      </w:tabs>
      <w:spacing w:before="240" w:after="120" w:line="240" w:lineRule="auto"/>
      <w:jc w:val="left"/>
      <w:outlineLvl w:val="0"/>
    </w:pPr>
    <w:rPr>
      <w:rFonts w:ascii="Arial Bold" w:eastAsia="Times New Roman" w:hAnsi="Arial Bold"/>
      <w:b/>
      <w:bCs/>
      <w:spacing w:val="5"/>
      <w:kern w:val="36"/>
      <w:sz w:val="36"/>
      <w:szCs w:val="27"/>
      <w:lang w:val="x-none"/>
    </w:rPr>
  </w:style>
  <w:style w:type="character" w:customStyle="1" w:styleId="AERunnumberedheading1Char">
    <w:name w:val="AER unnumbered heading 1 Char"/>
    <w:link w:val="AERunnumberedheading1"/>
    <w:rsid w:val="00F66D42"/>
    <w:rPr>
      <w:rFonts w:ascii="Arial Bold" w:eastAsia="Times New Roman" w:hAnsi="Arial Bold"/>
      <w:b/>
      <w:bCs/>
      <w:spacing w:val="5"/>
      <w:kern w:val="36"/>
      <w:sz w:val="36"/>
      <w:szCs w:val="27"/>
      <w:lang w:eastAsia="en-US"/>
    </w:rPr>
  </w:style>
  <w:style w:type="paragraph" w:customStyle="1" w:styleId="AERbulletthree">
    <w:name w:val="AER bullet three"/>
    <w:basedOn w:val="Normal"/>
    <w:rsid w:val="009A71C9"/>
    <w:pPr>
      <w:spacing w:line="240" w:lineRule="auto"/>
      <w:jc w:val="left"/>
    </w:pPr>
    <w:rPr>
      <w:rFonts w:ascii="Times New Roman" w:eastAsia="Times New Roman" w:hAnsi="Times New Roman"/>
      <w:sz w:val="24"/>
      <w:lang w:eastAsia="en-AU"/>
    </w:rPr>
  </w:style>
  <w:style w:type="paragraph" w:customStyle="1" w:styleId="AERheading1">
    <w:name w:val="AER heading 1"/>
    <w:basedOn w:val="Heading1"/>
    <w:next w:val="AERbodytext"/>
    <w:rsid w:val="009A71C9"/>
    <w:pPr>
      <w:keepLines w:val="0"/>
      <w:pageBreakBefore w:val="0"/>
      <w:numPr>
        <w:ilvl w:val="0"/>
        <w:numId w:val="9"/>
      </w:numPr>
      <w:spacing w:before="0" w:after="480" w:line="240" w:lineRule="auto"/>
      <w:jc w:val="left"/>
    </w:pPr>
    <w:rPr>
      <w:rFonts w:ascii="Times New Roman" w:hAnsi="Times New Roman"/>
      <w:bCs w:val="0"/>
      <w:color w:val="auto"/>
      <w:szCs w:val="36"/>
      <w:lang w:eastAsia="en-AU"/>
    </w:rPr>
  </w:style>
  <w:style w:type="paragraph" w:customStyle="1" w:styleId="AERtabletitle">
    <w:name w:val="AER table title"/>
    <w:basedOn w:val="AERfigureheading"/>
    <w:next w:val="Normal"/>
    <w:rsid w:val="009B2D78"/>
  </w:style>
  <w:style w:type="paragraph" w:customStyle="1" w:styleId="AERfigureheading">
    <w:name w:val="AER figure heading"/>
    <w:basedOn w:val="Normal"/>
    <w:next w:val="AERbodytext"/>
    <w:rsid w:val="009B2D78"/>
    <w:pPr>
      <w:keepNext/>
      <w:tabs>
        <w:tab w:val="num" w:pos="357"/>
      </w:tabs>
      <w:spacing w:before="240" w:after="120"/>
      <w:ind w:left="357" w:hanging="357"/>
      <w:outlineLvl w:val="3"/>
    </w:pPr>
    <w:rPr>
      <w:b/>
      <w:szCs w:val="24"/>
    </w:rPr>
  </w:style>
  <w:style w:type="paragraph" w:customStyle="1" w:styleId="AERheading2">
    <w:name w:val="AER heading 2"/>
    <w:basedOn w:val="AERheading1"/>
    <w:next w:val="AERbodytext"/>
    <w:rsid w:val="009B2D78"/>
    <w:pPr>
      <w:numPr>
        <w:numId w:val="0"/>
      </w:numPr>
      <w:tabs>
        <w:tab w:val="num" w:pos="-357"/>
      </w:tabs>
      <w:spacing w:before="240" w:after="360" w:line="288" w:lineRule="auto"/>
      <w:ind w:left="-357" w:hanging="357"/>
      <w:jc w:val="both"/>
    </w:pPr>
    <w:rPr>
      <w:rFonts w:ascii="Gautami" w:eastAsia="Calibri" w:hAnsi="Gautami" w:cs="Arial"/>
      <w:bCs/>
      <w:color w:val="F2750E"/>
      <w:kern w:val="32"/>
      <w:sz w:val="28"/>
      <w:szCs w:val="30"/>
      <w:lang w:eastAsia="en-US"/>
    </w:rPr>
  </w:style>
  <w:style w:type="paragraph" w:customStyle="1" w:styleId="AERheading3">
    <w:name w:val="AER heading 3"/>
    <w:basedOn w:val="AERheading2"/>
    <w:next w:val="AERbodytext"/>
    <w:rsid w:val="009B2D78"/>
    <w:pPr>
      <w:spacing w:before="120" w:after="240"/>
    </w:pPr>
    <w:rPr>
      <w:color w:val="auto"/>
      <w:sz w:val="24"/>
      <w:szCs w:val="24"/>
    </w:rPr>
  </w:style>
  <w:style w:type="paragraph" w:customStyle="1" w:styleId="12">
    <w:name w:val="12"/>
    <w:basedOn w:val="Normal"/>
    <w:rsid w:val="006837A3"/>
    <w:pPr>
      <w:numPr>
        <w:numId w:val="10"/>
      </w:numPr>
      <w:spacing w:after="0" w:line="240" w:lineRule="auto"/>
      <w:jc w:val="left"/>
    </w:pPr>
    <w:rPr>
      <w:rFonts w:ascii="Times New Roman" w:eastAsia="Times New Roman" w:hAnsi="Times New Roman"/>
      <w:sz w:val="22"/>
      <w:szCs w:val="22"/>
      <w:lang w:eastAsia="en-AU"/>
    </w:rPr>
  </w:style>
  <w:style w:type="paragraph" w:customStyle="1" w:styleId="ColorfulShading-Accent11">
    <w:name w:val="Colorful Shading - Accent 11"/>
    <w:hidden/>
    <w:uiPriority w:val="99"/>
    <w:semiHidden/>
    <w:rsid w:val="00D93E7C"/>
    <w:rPr>
      <w:rFonts w:ascii="Gautami" w:hAnsi="Gautami"/>
      <w:lang w:eastAsia="en-US"/>
    </w:rPr>
  </w:style>
  <w:style w:type="paragraph" w:customStyle="1" w:styleId="Default">
    <w:name w:val="Default"/>
    <w:rsid w:val="008477BB"/>
    <w:pPr>
      <w:autoSpaceDE w:val="0"/>
      <w:autoSpaceDN w:val="0"/>
      <w:adjustRightInd w:val="0"/>
    </w:pPr>
    <w:rPr>
      <w:rFonts w:cs="Calibri"/>
      <w:color w:val="000000"/>
      <w:sz w:val="24"/>
      <w:szCs w:val="24"/>
    </w:rPr>
  </w:style>
  <w:style w:type="table" w:styleId="MediumGrid2-Accent1">
    <w:name w:val="Medium Grid 2 Accent 1"/>
    <w:basedOn w:val="TableNormal"/>
    <w:uiPriority w:val="63"/>
    <w:rsid w:val="00B40E6C"/>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ERboxbullet">
    <w:name w:val="AER box bullet"/>
    <w:basedOn w:val="Normal"/>
    <w:rsid w:val="002C6B0A"/>
    <w:pPr>
      <w:numPr>
        <w:numId w:val="12"/>
      </w:numPr>
      <w:pBdr>
        <w:top w:val="single" w:sz="4" w:space="1" w:color="auto"/>
        <w:left w:val="single" w:sz="4" w:space="4" w:color="auto"/>
        <w:bottom w:val="single" w:sz="4" w:space="1" w:color="auto"/>
        <w:right w:val="single" w:sz="4" w:space="4" w:color="auto"/>
      </w:pBdr>
      <w:spacing w:after="0" w:line="240" w:lineRule="auto"/>
      <w:jc w:val="left"/>
    </w:pPr>
    <w:rPr>
      <w:rFonts w:ascii="Times New Roman" w:eastAsia="Times New Roman" w:hAnsi="Times New Roman"/>
      <w:sz w:val="24"/>
      <w:lang w:val="en-GB" w:eastAsia="en-AU"/>
    </w:rPr>
  </w:style>
  <w:style w:type="paragraph" w:styleId="Revision">
    <w:name w:val="Revision"/>
    <w:hidden/>
    <w:uiPriority w:val="99"/>
    <w:semiHidden/>
    <w:rsid w:val="00B83B2E"/>
    <w:rPr>
      <w:rFonts w:ascii="Gautami" w:hAnsi="Gautami"/>
      <w:lang w:eastAsia="en-US"/>
    </w:rPr>
  </w:style>
  <w:style w:type="paragraph" w:customStyle="1" w:styleId="AERnumberedlist2first">
    <w:name w:val="AER numbered list 2 first"/>
    <w:basedOn w:val="AERbodytext"/>
    <w:qFormat/>
    <w:rsid w:val="00695784"/>
    <w:pPr>
      <w:tabs>
        <w:tab w:val="num" w:pos="454"/>
      </w:tabs>
      <w:ind w:left="454" w:hanging="454"/>
    </w:pPr>
  </w:style>
  <w:style w:type="paragraph" w:customStyle="1" w:styleId="AERnumberedlist2second">
    <w:name w:val="AER numbered list 2 second"/>
    <w:basedOn w:val="AERnumberedlist2first"/>
    <w:qFormat/>
    <w:rsid w:val="00695784"/>
    <w:pPr>
      <w:tabs>
        <w:tab w:val="clear" w:pos="454"/>
        <w:tab w:val="num" w:pos="811"/>
      </w:tabs>
      <w:ind w:left="811" w:hanging="357"/>
    </w:pPr>
  </w:style>
  <w:style w:type="paragraph" w:customStyle="1" w:styleId="AERnumberedlist2third">
    <w:name w:val="AER numbered list 2 third"/>
    <w:basedOn w:val="AERnumberedlist2second"/>
    <w:qFormat/>
    <w:rsid w:val="00695784"/>
    <w:pPr>
      <w:tabs>
        <w:tab w:val="clear" w:pos="811"/>
        <w:tab w:val="num" w:pos="1446"/>
      </w:tabs>
      <w:ind w:left="1446" w:hanging="635"/>
    </w:pPr>
  </w:style>
  <w:style w:type="character" w:customStyle="1" w:styleId="AERtextsize8">
    <w:name w:val="AER text size 8"/>
    <w:uiPriority w:val="1"/>
    <w:qFormat/>
    <w:rsid w:val="001A3211"/>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Headings"/>
    <w:pPr>
      <w:numPr>
        <w:numId w:val="1"/>
      </w:numPr>
    </w:pPr>
  </w:style>
  <w:style w:type="numbering" w:customStyle="1" w:styleId="Heading2Char">
    <w:name w:val="OldAERheadings"/>
    <w:pPr>
      <w:numPr>
        <w:numId w:val="7"/>
      </w:numPr>
    </w:pPr>
  </w:style>
  <w:style w:type="numbering" w:customStyle="1" w:styleId="Heading3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899">
      <w:bodyDiv w:val="1"/>
      <w:marLeft w:val="0"/>
      <w:marRight w:val="0"/>
      <w:marTop w:val="0"/>
      <w:marBottom w:val="0"/>
      <w:divBdr>
        <w:top w:val="none" w:sz="0" w:space="0" w:color="auto"/>
        <w:left w:val="none" w:sz="0" w:space="0" w:color="auto"/>
        <w:bottom w:val="none" w:sz="0" w:space="0" w:color="auto"/>
        <w:right w:val="none" w:sz="0" w:space="0" w:color="auto"/>
      </w:divBdr>
    </w:div>
    <w:div w:id="704602191">
      <w:bodyDiv w:val="1"/>
      <w:marLeft w:val="0"/>
      <w:marRight w:val="0"/>
      <w:marTop w:val="0"/>
      <w:marBottom w:val="0"/>
      <w:divBdr>
        <w:top w:val="none" w:sz="0" w:space="0" w:color="auto"/>
        <w:left w:val="none" w:sz="0" w:space="0" w:color="auto"/>
        <w:bottom w:val="none" w:sz="0" w:space="0" w:color="auto"/>
        <w:right w:val="none" w:sz="0" w:space="0" w:color="auto"/>
      </w:divBdr>
    </w:div>
    <w:div w:id="890071494">
      <w:bodyDiv w:val="1"/>
      <w:marLeft w:val="0"/>
      <w:marRight w:val="0"/>
      <w:marTop w:val="0"/>
      <w:marBottom w:val="0"/>
      <w:divBdr>
        <w:top w:val="none" w:sz="0" w:space="0" w:color="auto"/>
        <w:left w:val="none" w:sz="0" w:space="0" w:color="auto"/>
        <w:bottom w:val="none" w:sz="0" w:space="0" w:color="auto"/>
        <w:right w:val="none" w:sz="0" w:space="0" w:color="auto"/>
      </w:divBdr>
    </w:div>
    <w:div w:id="922959637">
      <w:bodyDiv w:val="1"/>
      <w:marLeft w:val="0"/>
      <w:marRight w:val="0"/>
      <w:marTop w:val="0"/>
      <w:marBottom w:val="0"/>
      <w:divBdr>
        <w:top w:val="none" w:sz="0" w:space="0" w:color="auto"/>
        <w:left w:val="none" w:sz="0" w:space="0" w:color="auto"/>
        <w:bottom w:val="none" w:sz="0" w:space="0" w:color="auto"/>
        <w:right w:val="none" w:sz="0" w:space="0" w:color="auto"/>
      </w:divBdr>
    </w:div>
    <w:div w:id="1038701604">
      <w:bodyDiv w:val="1"/>
      <w:marLeft w:val="0"/>
      <w:marRight w:val="0"/>
      <w:marTop w:val="0"/>
      <w:marBottom w:val="0"/>
      <w:divBdr>
        <w:top w:val="none" w:sz="0" w:space="0" w:color="auto"/>
        <w:left w:val="none" w:sz="0" w:space="0" w:color="auto"/>
        <w:bottom w:val="none" w:sz="0" w:space="0" w:color="auto"/>
        <w:right w:val="none" w:sz="0" w:space="0" w:color="auto"/>
      </w:divBdr>
    </w:div>
    <w:div w:id="17343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ERInquiry@aer.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77157B16.dotm</Template>
  <TotalTime>0</TotalTime>
  <Pages>11</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Links>
    <vt:vector size="276" baseType="variant">
      <vt:variant>
        <vt:i4>1966131</vt:i4>
      </vt:variant>
      <vt:variant>
        <vt:i4>263</vt:i4>
      </vt:variant>
      <vt:variant>
        <vt:i4>0</vt:i4>
      </vt:variant>
      <vt:variant>
        <vt:i4>5</vt:i4>
      </vt:variant>
      <vt:variant>
        <vt:lpwstr/>
      </vt:variant>
      <vt:variant>
        <vt:lpwstr>_Toc343759633</vt:lpwstr>
      </vt:variant>
      <vt:variant>
        <vt:i4>1966131</vt:i4>
      </vt:variant>
      <vt:variant>
        <vt:i4>257</vt:i4>
      </vt:variant>
      <vt:variant>
        <vt:i4>0</vt:i4>
      </vt:variant>
      <vt:variant>
        <vt:i4>5</vt:i4>
      </vt:variant>
      <vt:variant>
        <vt:lpwstr/>
      </vt:variant>
      <vt:variant>
        <vt:lpwstr>_Toc343759632</vt:lpwstr>
      </vt:variant>
      <vt:variant>
        <vt:i4>1966131</vt:i4>
      </vt:variant>
      <vt:variant>
        <vt:i4>251</vt:i4>
      </vt:variant>
      <vt:variant>
        <vt:i4>0</vt:i4>
      </vt:variant>
      <vt:variant>
        <vt:i4>5</vt:i4>
      </vt:variant>
      <vt:variant>
        <vt:lpwstr/>
      </vt:variant>
      <vt:variant>
        <vt:lpwstr>_Toc343759631</vt:lpwstr>
      </vt:variant>
      <vt:variant>
        <vt:i4>1966131</vt:i4>
      </vt:variant>
      <vt:variant>
        <vt:i4>245</vt:i4>
      </vt:variant>
      <vt:variant>
        <vt:i4>0</vt:i4>
      </vt:variant>
      <vt:variant>
        <vt:i4>5</vt:i4>
      </vt:variant>
      <vt:variant>
        <vt:lpwstr/>
      </vt:variant>
      <vt:variant>
        <vt:lpwstr>_Toc343759630</vt:lpwstr>
      </vt:variant>
      <vt:variant>
        <vt:i4>2031667</vt:i4>
      </vt:variant>
      <vt:variant>
        <vt:i4>239</vt:i4>
      </vt:variant>
      <vt:variant>
        <vt:i4>0</vt:i4>
      </vt:variant>
      <vt:variant>
        <vt:i4>5</vt:i4>
      </vt:variant>
      <vt:variant>
        <vt:lpwstr/>
      </vt:variant>
      <vt:variant>
        <vt:lpwstr>_Toc343759629</vt:lpwstr>
      </vt:variant>
      <vt:variant>
        <vt:i4>2031667</vt:i4>
      </vt:variant>
      <vt:variant>
        <vt:i4>233</vt:i4>
      </vt:variant>
      <vt:variant>
        <vt:i4>0</vt:i4>
      </vt:variant>
      <vt:variant>
        <vt:i4>5</vt:i4>
      </vt:variant>
      <vt:variant>
        <vt:lpwstr/>
      </vt:variant>
      <vt:variant>
        <vt:lpwstr>_Toc343759628</vt:lpwstr>
      </vt:variant>
      <vt:variant>
        <vt:i4>2031667</vt:i4>
      </vt:variant>
      <vt:variant>
        <vt:i4>227</vt:i4>
      </vt:variant>
      <vt:variant>
        <vt:i4>0</vt:i4>
      </vt:variant>
      <vt:variant>
        <vt:i4>5</vt:i4>
      </vt:variant>
      <vt:variant>
        <vt:lpwstr/>
      </vt:variant>
      <vt:variant>
        <vt:lpwstr>_Toc343759627</vt:lpwstr>
      </vt:variant>
      <vt:variant>
        <vt:i4>2031667</vt:i4>
      </vt:variant>
      <vt:variant>
        <vt:i4>221</vt:i4>
      </vt:variant>
      <vt:variant>
        <vt:i4>0</vt:i4>
      </vt:variant>
      <vt:variant>
        <vt:i4>5</vt:i4>
      </vt:variant>
      <vt:variant>
        <vt:lpwstr/>
      </vt:variant>
      <vt:variant>
        <vt:lpwstr>_Toc343759626</vt:lpwstr>
      </vt:variant>
      <vt:variant>
        <vt:i4>2031667</vt:i4>
      </vt:variant>
      <vt:variant>
        <vt:i4>215</vt:i4>
      </vt:variant>
      <vt:variant>
        <vt:i4>0</vt:i4>
      </vt:variant>
      <vt:variant>
        <vt:i4>5</vt:i4>
      </vt:variant>
      <vt:variant>
        <vt:lpwstr/>
      </vt:variant>
      <vt:variant>
        <vt:lpwstr>_Toc343759625</vt:lpwstr>
      </vt:variant>
      <vt:variant>
        <vt:i4>2031667</vt:i4>
      </vt:variant>
      <vt:variant>
        <vt:i4>209</vt:i4>
      </vt:variant>
      <vt:variant>
        <vt:i4>0</vt:i4>
      </vt:variant>
      <vt:variant>
        <vt:i4>5</vt:i4>
      </vt:variant>
      <vt:variant>
        <vt:lpwstr/>
      </vt:variant>
      <vt:variant>
        <vt:lpwstr>_Toc343759624</vt:lpwstr>
      </vt:variant>
      <vt:variant>
        <vt:i4>2031667</vt:i4>
      </vt:variant>
      <vt:variant>
        <vt:i4>203</vt:i4>
      </vt:variant>
      <vt:variant>
        <vt:i4>0</vt:i4>
      </vt:variant>
      <vt:variant>
        <vt:i4>5</vt:i4>
      </vt:variant>
      <vt:variant>
        <vt:lpwstr/>
      </vt:variant>
      <vt:variant>
        <vt:lpwstr>_Toc343759623</vt:lpwstr>
      </vt:variant>
      <vt:variant>
        <vt:i4>2031667</vt:i4>
      </vt:variant>
      <vt:variant>
        <vt:i4>197</vt:i4>
      </vt:variant>
      <vt:variant>
        <vt:i4>0</vt:i4>
      </vt:variant>
      <vt:variant>
        <vt:i4>5</vt:i4>
      </vt:variant>
      <vt:variant>
        <vt:lpwstr/>
      </vt:variant>
      <vt:variant>
        <vt:lpwstr>_Toc343759622</vt:lpwstr>
      </vt:variant>
      <vt:variant>
        <vt:i4>2031667</vt:i4>
      </vt:variant>
      <vt:variant>
        <vt:i4>191</vt:i4>
      </vt:variant>
      <vt:variant>
        <vt:i4>0</vt:i4>
      </vt:variant>
      <vt:variant>
        <vt:i4>5</vt:i4>
      </vt:variant>
      <vt:variant>
        <vt:lpwstr/>
      </vt:variant>
      <vt:variant>
        <vt:lpwstr>_Toc343759621</vt:lpwstr>
      </vt:variant>
      <vt:variant>
        <vt:i4>2031667</vt:i4>
      </vt:variant>
      <vt:variant>
        <vt:i4>185</vt:i4>
      </vt:variant>
      <vt:variant>
        <vt:i4>0</vt:i4>
      </vt:variant>
      <vt:variant>
        <vt:i4>5</vt:i4>
      </vt:variant>
      <vt:variant>
        <vt:lpwstr/>
      </vt:variant>
      <vt:variant>
        <vt:lpwstr>_Toc343759620</vt:lpwstr>
      </vt:variant>
      <vt:variant>
        <vt:i4>1835059</vt:i4>
      </vt:variant>
      <vt:variant>
        <vt:i4>179</vt:i4>
      </vt:variant>
      <vt:variant>
        <vt:i4>0</vt:i4>
      </vt:variant>
      <vt:variant>
        <vt:i4>5</vt:i4>
      </vt:variant>
      <vt:variant>
        <vt:lpwstr/>
      </vt:variant>
      <vt:variant>
        <vt:lpwstr>_Toc343759619</vt:lpwstr>
      </vt:variant>
      <vt:variant>
        <vt:i4>1835059</vt:i4>
      </vt:variant>
      <vt:variant>
        <vt:i4>173</vt:i4>
      </vt:variant>
      <vt:variant>
        <vt:i4>0</vt:i4>
      </vt:variant>
      <vt:variant>
        <vt:i4>5</vt:i4>
      </vt:variant>
      <vt:variant>
        <vt:lpwstr/>
      </vt:variant>
      <vt:variant>
        <vt:lpwstr>_Toc343759618</vt:lpwstr>
      </vt:variant>
      <vt:variant>
        <vt:i4>1835059</vt:i4>
      </vt:variant>
      <vt:variant>
        <vt:i4>167</vt:i4>
      </vt:variant>
      <vt:variant>
        <vt:i4>0</vt:i4>
      </vt:variant>
      <vt:variant>
        <vt:i4>5</vt:i4>
      </vt:variant>
      <vt:variant>
        <vt:lpwstr/>
      </vt:variant>
      <vt:variant>
        <vt:lpwstr>_Toc343759617</vt:lpwstr>
      </vt:variant>
      <vt:variant>
        <vt:i4>1835059</vt:i4>
      </vt:variant>
      <vt:variant>
        <vt:i4>161</vt:i4>
      </vt:variant>
      <vt:variant>
        <vt:i4>0</vt:i4>
      </vt:variant>
      <vt:variant>
        <vt:i4>5</vt:i4>
      </vt:variant>
      <vt:variant>
        <vt:lpwstr/>
      </vt:variant>
      <vt:variant>
        <vt:lpwstr>_Toc343759616</vt:lpwstr>
      </vt:variant>
      <vt:variant>
        <vt:i4>1835059</vt:i4>
      </vt:variant>
      <vt:variant>
        <vt:i4>155</vt:i4>
      </vt:variant>
      <vt:variant>
        <vt:i4>0</vt:i4>
      </vt:variant>
      <vt:variant>
        <vt:i4>5</vt:i4>
      </vt:variant>
      <vt:variant>
        <vt:lpwstr/>
      </vt:variant>
      <vt:variant>
        <vt:lpwstr>_Toc343759615</vt:lpwstr>
      </vt:variant>
      <vt:variant>
        <vt:i4>1835059</vt:i4>
      </vt:variant>
      <vt:variant>
        <vt:i4>149</vt:i4>
      </vt:variant>
      <vt:variant>
        <vt:i4>0</vt:i4>
      </vt:variant>
      <vt:variant>
        <vt:i4>5</vt:i4>
      </vt:variant>
      <vt:variant>
        <vt:lpwstr/>
      </vt:variant>
      <vt:variant>
        <vt:lpwstr>_Toc343759614</vt:lpwstr>
      </vt:variant>
      <vt:variant>
        <vt:i4>1835059</vt:i4>
      </vt:variant>
      <vt:variant>
        <vt:i4>143</vt:i4>
      </vt:variant>
      <vt:variant>
        <vt:i4>0</vt:i4>
      </vt:variant>
      <vt:variant>
        <vt:i4>5</vt:i4>
      </vt:variant>
      <vt:variant>
        <vt:lpwstr/>
      </vt:variant>
      <vt:variant>
        <vt:lpwstr>_Toc343759613</vt:lpwstr>
      </vt:variant>
      <vt:variant>
        <vt:i4>1835059</vt:i4>
      </vt:variant>
      <vt:variant>
        <vt:i4>137</vt:i4>
      </vt:variant>
      <vt:variant>
        <vt:i4>0</vt:i4>
      </vt:variant>
      <vt:variant>
        <vt:i4>5</vt:i4>
      </vt:variant>
      <vt:variant>
        <vt:lpwstr/>
      </vt:variant>
      <vt:variant>
        <vt:lpwstr>_Toc343759612</vt:lpwstr>
      </vt:variant>
      <vt:variant>
        <vt:i4>1835059</vt:i4>
      </vt:variant>
      <vt:variant>
        <vt:i4>131</vt:i4>
      </vt:variant>
      <vt:variant>
        <vt:i4>0</vt:i4>
      </vt:variant>
      <vt:variant>
        <vt:i4>5</vt:i4>
      </vt:variant>
      <vt:variant>
        <vt:lpwstr/>
      </vt:variant>
      <vt:variant>
        <vt:lpwstr>_Toc343759611</vt:lpwstr>
      </vt:variant>
      <vt:variant>
        <vt:i4>1835059</vt:i4>
      </vt:variant>
      <vt:variant>
        <vt:i4>125</vt:i4>
      </vt:variant>
      <vt:variant>
        <vt:i4>0</vt:i4>
      </vt:variant>
      <vt:variant>
        <vt:i4>5</vt:i4>
      </vt:variant>
      <vt:variant>
        <vt:lpwstr/>
      </vt:variant>
      <vt:variant>
        <vt:lpwstr>_Toc343759610</vt:lpwstr>
      </vt:variant>
      <vt:variant>
        <vt:i4>1900595</vt:i4>
      </vt:variant>
      <vt:variant>
        <vt:i4>119</vt:i4>
      </vt:variant>
      <vt:variant>
        <vt:i4>0</vt:i4>
      </vt:variant>
      <vt:variant>
        <vt:i4>5</vt:i4>
      </vt:variant>
      <vt:variant>
        <vt:lpwstr/>
      </vt:variant>
      <vt:variant>
        <vt:lpwstr>_Toc343759609</vt:lpwstr>
      </vt:variant>
      <vt:variant>
        <vt:i4>1900595</vt:i4>
      </vt:variant>
      <vt:variant>
        <vt:i4>113</vt:i4>
      </vt:variant>
      <vt:variant>
        <vt:i4>0</vt:i4>
      </vt:variant>
      <vt:variant>
        <vt:i4>5</vt:i4>
      </vt:variant>
      <vt:variant>
        <vt:lpwstr/>
      </vt:variant>
      <vt:variant>
        <vt:lpwstr>_Toc343759608</vt:lpwstr>
      </vt:variant>
      <vt:variant>
        <vt:i4>1900595</vt:i4>
      </vt:variant>
      <vt:variant>
        <vt:i4>107</vt:i4>
      </vt:variant>
      <vt:variant>
        <vt:i4>0</vt:i4>
      </vt:variant>
      <vt:variant>
        <vt:i4>5</vt:i4>
      </vt:variant>
      <vt:variant>
        <vt:lpwstr/>
      </vt:variant>
      <vt:variant>
        <vt:lpwstr>_Toc343759607</vt:lpwstr>
      </vt:variant>
      <vt:variant>
        <vt:i4>1900595</vt:i4>
      </vt:variant>
      <vt:variant>
        <vt:i4>101</vt:i4>
      </vt:variant>
      <vt:variant>
        <vt:i4>0</vt:i4>
      </vt:variant>
      <vt:variant>
        <vt:i4>5</vt:i4>
      </vt:variant>
      <vt:variant>
        <vt:lpwstr/>
      </vt:variant>
      <vt:variant>
        <vt:lpwstr>_Toc343759606</vt:lpwstr>
      </vt:variant>
      <vt:variant>
        <vt:i4>1900595</vt:i4>
      </vt:variant>
      <vt:variant>
        <vt:i4>95</vt:i4>
      </vt:variant>
      <vt:variant>
        <vt:i4>0</vt:i4>
      </vt:variant>
      <vt:variant>
        <vt:i4>5</vt:i4>
      </vt:variant>
      <vt:variant>
        <vt:lpwstr/>
      </vt:variant>
      <vt:variant>
        <vt:lpwstr>_Toc343759605</vt:lpwstr>
      </vt:variant>
      <vt:variant>
        <vt:i4>1900595</vt:i4>
      </vt:variant>
      <vt:variant>
        <vt:i4>89</vt:i4>
      </vt:variant>
      <vt:variant>
        <vt:i4>0</vt:i4>
      </vt:variant>
      <vt:variant>
        <vt:i4>5</vt:i4>
      </vt:variant>
      <vt:variant>
        <vt:lpwstr/>
      </vt:variant>
      <vt:variant>
        <vt:lpwstr>_Toc343759604</vt:lpwstr>
      </vt:variant>
      <vt:variant>
        <vt:i4>1900595</vt:i4>
      </vt:variant>
      <vt:variant>
        <vt:i4>83</vt:i4>
      </vt:variant>
      <vt:variant>
        <vt:i4>0</vt:i4>
      </vt:variant>
      <vt:variant>
        <vt:i4>5</vt:i4>
      </vt:variant>
      <vt:variant>
        <vt:lpwstr/>
      </vt:variant>
      <vt:variant>
        <vt:lpwstr>_Toc343759603</vt:lpwstr>
      </vt:variant>
      <vt:variant>
        <vt:i4>1900595</vt:i4>
      </vt:variant>
      <vt:variant>
        <vt:i4>77</vt:i4>
      </vt:variant>
      <vt:variant>
        <vt:i4>0</vt:i4>
      </vt:variant>
      <vt:variant>
        <vt:i4>5</vt:i4>
      </vt:variant>
      <vt:variant>
        <vt:lpwstr/>
      </vt:variant>
      <vt:variant>
        <vt:lpwstr>_Toc343759602</vt:lpwstr>
      </vt:variant>
      <vt:variant>
        <vt:i4>1900595</vt:i4>
      </vt:variant>
      <vt:variant>
        <vt:i4>71</vt:i4>
      </vt:variant>
      <vt:variant>
        <vt:i4>0</vt:i4>
      </vt:variant>
      <vt:variant>
        <vt:i4>5</vt:i4>
      </vt:variant>
      <vt:variant>
        <vt:lpwstr/>
      </vt:variant>
      <vt:variant>
        <vt:lpwstr>_Toc343759601</vt:lpwstr>
      </vt:variant>
      <vt:variant>
        <vt:i4>1900595</vt:i4>
      </vt:variant>
      <vt:variant>
        <vt:i4>65</vt:i4>
      </vt:variant>
      <vt:variant>
        <vt:i4>0</vt:i4>
      </vt:variant>
      <vt:variant>
        <vt:i4>5</vt:i4>
      </vt:variant>
      <vt:variant>
        <vt:lpwstr/>
      </vt:variant>
      <vt:variant>
        <vt:lpwstr>_Toc343759600</vt:lpwstr>
      </vt:variant>
      <vt:variant>
        <vt:i4>1310768</vt:i4>
      </vt:variant>
      <vt:variant>
        <vt:i4>59</vt:i4>
      </vt:variant>
      <vt:variant>
        <vt:i4>0</vt:i4>
      </vt:variant>
      <vt:variant>
        <vt:i4>5</vt:i4>
      </vt:variant>
      <vt:variant>
        <vt:lpwstr/>
      </vt:variant>
      <vt:variant>
        <vt:lpwstr>_Toc343759599</vt:lpwstr>
      </vt:variant>
      <vt:variant>
        <vt:i4>1310768</vt:i4>
      </vt:variant>
      <vt:variant>
        <vt:i4>53</vt:i4>
      </vt:variant>
      <vt:variant>
        <vt:i4>0</vt:i4>
      </vt:variant>
      <vt:variant>
        <vt:i4>5</vt:i4>
      </vt:variant>
      <vt:variant>
        <vt:lpwstr/>
      </vt:variant>
      <vt:variant>
        <vt:lpwstr>_Toc343759598</vt:lpwstr>
      </vt:variant>
      <vt:variant>
        <vt:i4>1310768</vt:i4>
      </vt:variant>
      <vt:variant>
        <vt:i4>47</vt:i4>
      </vt:variant>
      <vt:variant>
        <vt:i4>0</vt:i4>
      </vt:variant>
      <vt:variant>
        <vt:i4>5</vt:i4>
      </vt:variant>
      <vt:variant>
        <vt:lpwstr/>
      </vt:variant>
      <vt:variant>
        <vt:lpwstr>_Toc343759597</vt:lpwstr>
      </vt:variant>
      <vt:variant>
        <vt:i4>1310768</vt:i4>
      </vt:variant>
      <vt:variant>
        <vt:i4>41</vt:i4>
      </vt:variant>
      <vt:variant>
        <vt:i4>0</vt:i4>
      </vt:variant>
      <vt:variant>
        <vt:i4>5</vt:i4>
      </vt:variant>
      <vt:variant>
        <vt:lpwstr/>
      </vt:variant>
      <vt:variant>
        <vt:lpwstr>_Toc343759596</vt:lpwstr>
      </vt:variant>
      <vt:variant>
        <vt:i4>1310768</vt:i4>
      </vt:variant>
      <vt:variant>
        <vt:i4>35</vt:i4>
      </vt:variant>
      <vt:variant>
        <vt:i4>0</vt:i4>
      </vt:variant>
      <vt:variant>
        <vt:i4>5</vt:i4>
      </vt:variant>
      <vt:variant>
        <vt:lpwstr/>
      </vt:variant>
      <vt:variant>
        <vt:lpwstr>_Toc343759595</vt:lpwstr>
      </vt:variant>
      <vt:variant>
        <vt:i4>1310768</vt:i4>
      </vt:variant>
      <vt:variant>
        <vt:i4>29</vt:i4>
      </vt:variant>
      <vt:variant>
        <vt:i4>0</vt:i4>
      </vt:variant>
      <vt:variant>
        <vt:i4>5</vt:i4>
      </vt:variant>
      <vt:variant>
        <vt:lpwstr/>
      </vt:variant>
      <vt:variant>
        <vt:lpwstr>_Toc343759594</vt:lpwstr>
      </vt:variant>
      <vt:variant>
        <vt:i4>1310768</vt:i4>
      </vt:variant>
      <vt:variant>
        <vt:i4>23</vt:i4>
      </vt:variant>
      <vt:variant>
        <vt:i4>0</vt:i4>
      </vt:variant>
      <vt:variant>
        <vt:i4>5</vt:i4>
      </vt:variant>
      <vt:variant>
        <vt:lpwstr/>
      </vt:variant>
      <vt:variant>
        <vt:lpwstr>_Toc343759593</vt:lpwstr>
      </vt:variant>
      <vt:variant>
        <vt:i4>1310768</vt:i4>
      </vt:variant>
      <vt:variant>
        <vt:i4>17</vt:i4>
      </vt:variant>
      <vt:variant>
        <vt:i4>0</vt:i4>
      </vt:variant>
      <vt:variant>
        <vt:i4>5</vt:i4>
      </vt:variant>
      <vt:variant>
        <vt:lpwstr/>
      </vt:variant>
      <vt:variant>
        <vt:lpwstr>_Toc343759592</vt:lpwstr>
      </vt:variant>
      <vt:variant>
        <vt:i4>1310768</vt:i4>
      </vt:variant>
      <vt:variant>
        <vt:i4>11</vt:i4>
      </vt:variant>
      <vt:variant>
        <vt:i4>0</vt:i4>
      </vt:variant>
      <vt:variant>
        <vt:i4>5</vt:i4>
      </vt:variant>
      <vt:variant>
        <vt:lpwstr/>
      </vt:variant>
      <vt:variant>
        <vt:lpwstr>_Toc343759591</vt:lpwstr>
      </vt:variant>
      <vt:variant>
        <vt:i4>1310768</vt:i4>
      </vt:variant>
      <vt:variant>
        <vt:i4>5</vt:i4>
      </vt:variant>
      <vt:variant>
        <vt:i4>0</vt:i4>
      </vt:variant>
      <vt:variant>
        <vt:i4>5</vt:i4>
      </vt:variant>
      <vt:variant>
        <vt:lpwstr/>
      </vt:variant>
      <vt:variant>
        <vt:lpwstr>_Toc343759590</vt:lpwstr>
      </vt:variant>
      <vt:variant>
        <vt:i4>2555972</vt:i4>
      </vt:variant>
      <vt:variant>
        <vt:i4>0</vt:i4>
      </vt:variant>
      <vt:variant>
        <vt:i4>0</vt:i4>
      </vt:variant>
      <vt:variant>
        <vt:i4>5</vt:i4>
      </vt:variant>
      <vt:variant>
        <vt:lpwstr>mailto:AERInquiry@aer.gov.au</vt:lpwstr>
      </vt:variant>
      <vt:variant>
        <vt:lpwstr/>
      </vt:variant>
      <vt:variant>
        <vt:i4>6750255</vt:i4>
      </vt:variant>
      <vt:variant>
        <vt:i4>0</vt:i4>
      </vt:variant>
      <vt:variant>
        <vt:i4>0</vt:i4>
      </vt:variant>
      <vt:variant>
        <vt:i4>5</vt:i4>
      </vt:variant>
      <vt:variant>
        <vt:lpwstr>http://www.aer.gov.au/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2014-09-16T05:19:00Z</dcterms:created>
  <dcterms:modified xsi:type="dcterms:W3CDTF">2014-09-16T05:29:00Z</dcterms:modified>
</cp:coreProperties>
</file>