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rPr>
          <w:rFonts w:cs="Arial"/>
          <w:b w:val="0"/>
          <w:color w:val="000000"/>
          <w:sz w:val="16"/>
          <w:szCs w:val="16"/>
        </w:r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6B85B6A4" wp14:editId="03BCB096">
                <wp:simplePos x="0" y="0"/>
                <wp:positionH relativeFrom="column">
                  <wp:posOffset>-1129720</wp:posOffset>
                </wp:positionH>
                <wp:positionV relativeFrom="paragraph">
                  <wp:posOffset>-1168842</wp:posOffset>
                </wp:positionV>
                <wp:extent cx="7876389" cy="10925092"/>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6449"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393A49" w:rsidRPr="00393A49">
                <w:t>Market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5C3F69">
                <w:t>1</w:t>
              </w:r>
              <w:r w:rsidR="00EA16D6">
                <w:t>6</w:t>
              </w:r>
              <w:r w:rsidR="00A019E6">
                <w:t xml:space="preserve"> </w:t>
              </w:r>
              <w:r w:rsidR="00EA16D6">
                <w:t>Septe</w:t>
              </w:r>
              <w:r w:rsidR="007C2E10">
                <w:t>m</w:t>
              </w:r>
              <w:r w:rsidR="00EA16D6">
                <w:t>ber</w:t>
              </w:r>
              <w:r w:rsidR="00A019E6">
                <w:t xml:space="preserve"> 2016</w:t>
              </w:r>
            </w:p>
            <w:p w:rsidR="00C7068C" w:rsidRDefault="00C7068C" w:rsidP="00C7068C">
              <w:pPr>
                <w:pStyle w:val="ReportDate"/>
              </w:pPr>
            </w:p>
            <w:p w:rsidR="00C7068C" w:rsidRDefault="00C7068C" w:rsidP="00C7068C">
              <w:pPr>
                <w:pStyle w:val="ReportDate"/>
              </w:pPr>
            </w:p>
            <w:p w:rsidR="00C7068C" w:rsidRPr="00DB723B" w:rsidRDefault="003A71AC" w:rsidP="00C7068C">
              <w:pPr>
                <w:pStyle w:val="ReportDate"/>
              </w:pPr>
              <w:r>
                <w:t>2</w:t>
              </w:r>
              <w:r w:rsidR="00FC71D2">
                <w:t>9</w:t>
              </w:r>
              <w:r w:rsidR="004A0D3E">
                <w:t xml:space="preserve"> </w:t>
              </w:r>
              <w:r w:rsidR="009337EB">
                <w:t>November</w:t>
              </w:r>
              <w:r w:rsidR="00A019E6">
                <w:t xml:space="preserve"> 2016</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A019E6">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6356B7">
          <w:pPr>
            <w:pStyle w:val="StyleCopyrightBefore0pt"/>
            <w:numPr>
              <w:ilvl w:val="0"/>
              <w:numId w:val="22"/>
            </w:numPr>
          </w:pPr>
          <w:r>
            <w:t>the Commonwealth Coat of Arms</w:t>
          </w:r>
        </w:p>
        <w:p w:rsidR="00C7068C" w:rsidRDefault="00C7068C" w:rsidP="006356B7">
          <w:pPr>
            <w:pStyle w:val="StyleCopyrightBefore0pt"/>
            <w:numPr>
              <w:ilvl w:val="0"/>
              <w:numId w:val="22"/>
            </w:numPr>
          </w:pPr>
          <w:r>
            <w:t>the ACCC and AER logos</w:t>
          </w:r>
        </w:p>
        <w:p w:rsidR="00C7068C" w:rsidRPr="00B927D8" w:rsidRDefault="00C7068C" w:rsidP="006356B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B16708" w:rsidRPr="00B16708">
            <w:t>60904</w:t>
          </w:r>
          <w:r w:rsidRPr="00CC65AF">
            <w:t xml:space="preserve"> / </w:t>
          </w:r>
          <w:r w:rsidR="00B16708" w:rsidRPr="00B16708">
            <w:t>D16/134198</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147AD2" w:rsidP="009B028C">
                <w:pPr>
                  <w:spacing w:before="0" w:after="200"/>
                </w:pPr>
                <w:r>
                  <w:t>1 version for publication</w:t>
                </w:r>
              </w:p>
            </w:tc>
            <w:tc>
              <w:tcPr>
                <w:tcW w:w="2906" w:type="dxa"/>
              </w:tcPr>
              <w:p w:rsidR="00C7068C" w:rsidRDefault="003A71AC" w:rsidP="00C14017">
                <w:pPr>
                  <w:spacing w:before="0" w:after="200"/>
                </w:pPr>
                <w:r>
                  <w:t>2</w:t>
                </w:r>
                <w:r w:rsidR="00FC71D2">
                  <w:t>9</w:t>
                </w:r>
                <w:bookmarkStart w:id="0" w:name="_GoBack"/>
                <w:bookmarkEnd w:id="0"/>
                <w:r>
                  <w:t>/11/2016</w:t>
                </w:r>
              </w:p>
            </w:tc>
            <w:tc>
              <w:tcPr>
                <w:tcW w:w="2888" w:type="dxa"/>
              </w:tcPr>
              <w:p w:rsidR="00C7068C" w:rsidRDefault="003A71AC" w:rsidP="009B028C">
                <w:pPr>
                  <w:spacing w:before="0" w:after="200"/>
                </w:pPr>
                <w:r>
                  <w:t>26</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F3474D"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7746548" w:history="1">
            <w:r w:rsidR="00F3474D" w:rsidRPr="006D3818">
              <w:rPr>
                <w:rStyle w:val="Hyperlink"/>
              </w:rPr>
              <w:t>1</w:t>
            </w:r>
            <w:r w:rsidR="00F3474D">
              <w:rPr>
                <w:rFonts w:asciiTheme="minorHAnsi" w:eastAsiaTheme="minorEastAsia" w:hAnsiTheme="minorHAnsi"/>
                <w:b w:val="0"/>
                <w:color w:val="auto"/>
                <w:sz w:val="22"/>
                <w:lang w:val="en-AU" w:eastAsia="en-AU"/>
              </w:rPr>
              <w:tab/>
            </w:r>
            <w:r w:rsidR="00F3474D" w:rsidRPr="006D3818">
              <w:rPr>
                <w:rStyle w:val="Hyperlink"/>
              </w:rPr>
              <w:t>Introduction</w:t>
            </w:r>
            <w:r w:rsidR="00F3474D">
              <w:rPr>
                <w:webHidden/>
              </w:rPr>
              <w:tab/>
            </w:r>
            <w:r w:rsidR="00F3474D">
              <w:rPr>
                <w:webHidden/>
              </w:rPr>
              <w:fldChar w:fldCharType="begin"/>
            </w:r>
            <w:r w:rsidR="00F3474D">
              <w:rPr>
                <w:webHidden/>
              </w:rPr>
              <w:instrText xml:space="preserve"> PAGEREF _Toc467746548 \h </w:instrText>
            </w:r>
            <w:r w:rsidR="00F3474D">
              <w:rPr>
                <w:webHidden/>
              </w:rPr>
            </w:r>
            <w:r w:rsidR="00F3474D">
              <w:rPr>
                <w:webHidden/>
              </w:rPr>
              <w:fldChar w:fldCharType="separate"/>
            </w:r>
            <w:r w:rsidR="00F3474D">
              <w:rPr>
                <w:webHidden/>
              </w:rPr>
              <w:t>4</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49" w:history="1">
            <w:r w:rsidR="00F3474D" w:rsidRPr="006D3818">
              <w:rPr>
                <w:rStyle w:val="Hyperlink"/>
              </w:rPr>
              <w:t>2</w:t>
            </w:r>
            <w:r w:rsidR="00F3474D">
              <w:rPr>
                <w:rFonts w:asciiTheme="minorHAnsi" w:eastAsiaTheme="minorEastAsia" w:hAnsiTheme="minorHAnsi"/>
                <w:b w:val="0"/>
                <w:color w:val="auto"/>
                <w:sz w:val="22"/>
                <w:lang w:val="en-AU" w:eastAsia="en-AU"/>
              </w:rPr>
              <w:tab/>
            </w:r>
            <w:r w:rsidR="00F3474D" w:rsidRPr="006D3818">
              <w:rPr>
                <w:rStyle w:val="Hyperlink"/>
              </w:rPr>
              <w:t>Summary</w:t>
            </w:r>
            <w:r w:rsidR="00F3474D">
              <w:rPr>
                <w:webHidden/>
              </w:rPr>
              <w:tab/>
            </w:r>
            <w:r w:rsidR="00F3474D">
              <w:rPr>
                <w:webHidden/>
              </w:rPr>
              <w:tab/>
            </w:r>
            <w:r w:rsidR="00F3474D">
              <w:rPr>
                <w:webHidden/>
              </w:rPr>
              <w:fldChar w:fldCharType="begin"/>
            </w:r>
            <w:r w:rsidR="00F3474D">
              <w:rPr>
                <w:webHidden/>
              </w:rPr>
              <w:instrText xml:space="preserve"> PAGEREF _Toc467746549 \h </w:instrText>
            </w:r>
            <w:r w:rsidR="00F3474D">
              <w:rPr>
                <w:webHidden/>
              </w:rPr>
            </w:r>
            <w:r w:rsidR="00F3474D">
              <w:rPr>
                <w:webHidden/>
              </w:rPr>
              <w:fldChar w:fldCharType="separate"/>
            </w:r>
            <w:r w:rsidR="00F3474D">
              <w:rPr>
                <w:webHidden/>
              </w:rPr>
              <w:t>5</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50" w:history="1">
            <w:r w:rsidR="00F3474D" w:rsidRPr="006D3818">
              <w:rPr>
                <w:rStyle w:val="Hyperlink"/>
              </w:rPr>
              <w:t>3</w:t>
            </w:r>
            <w:r w:rsidR="00F3474D">
              <w:rPr>
                <w:rFonts w:asciiTheme="minorHAnsi" w:eastAsiaTheme="minorEastAsia" w:hAnsiTheme="minorHAnsi"/>
                <w:b w:val="0"/>
                <w:color w:val="auto"/>
                <w:sz w:val="22"/>
                <w:lang w:val="en-AU" w:eastAsia="en-AU"/>
              </w:rPr>
              <w:tab/>
            </w:r>
            <w:r w:rsidR="00F3474D" w:rsidRPr="006D3818">
              <w:rPr>
                <w:rStyle w:val="Hyperlink"/>
              </w:rPr>
              <w:t>Analysis</w:t>
            </w:r>
            <w:r w:rsidR="00F3474D">
              <w:rPr>
                <w:webHidden/>
              </w:rPr>
              <w:tab/>
            </w:r>
            <w:r w:rsidR="00F3474D">
              <w:rPr>
                <w:webHidden/>
              </w:rPr>
              <w:tab/>
            </w:r>
            <w:r w:rsidR="00F3474D">
              <w:rPr>
                <w:webHidden/>
              </w:rPr>
              <w:fldChar w:fldCharType="begin"/>
            </w:r>
            <w:r w:rsidR="00F3474D">
              <w:rPr>
                <w:webHidden/>
              </w:rPr>
              <w:instrText xml:space="preserve"> PAGEREF _Toc467746550 \h </w:instrText>
            </w:r>
            <w:r w:rsidR="00F3474D">
              <w:rPr>
                <w:webHidden/>
              </w:rPr>
            </w:r>
            <w:r w:rsidR="00F3474D">
              <w:rPr>
                <w:webHidden/>
              </w:rPr>
              <w:fldChar w:fldCharType="separate"/>
            </w:r>
            <w:r w:rsidR="00F3474D">
              <w:rPr>
                <w:webHidden/>
              </w:rPr>
              <w:t>6</w:t>
            </w:r>
            <w:r w:rsidR="00F3474D">
              <w:rPr>
                <w:webHidden/>
              </w:rPr>
              <w:fldChar w:fldCharType="end"/>
            </w:r>
          </w:hyperlink>
        </w:p>
        <w:p w:rsidR="00F3474D" w:rsidRDefault="00FC71D2">
          <w:pPr>
            <w:pStyle w:val="TOC2"/>
            <w:rPr>
              <w:rFonts w:asciiTheme="minorHAnsi" w:eastAsiaTheme="minorEastAsia" w:hAnsiTheme="minorHAnsi"/>
              <w:b w:val="0"/>
              <w:color w:val="auto"/>
              <w:sz w:val="22"/>
              <w:lang w:eastAsia="en-AU"/>
            </w:rPr>
          </w:pPr>
          <w:hyperlink w:anchor="_Toc467746551" w:history="1">
            <w:r w:rsidR="00F3474D" w:rsidRPr="006D3818">
              <w:rPr>
                <w:rStyle w:val="Hyperlink"/>
              </w:rPr>
              <w:t>3.1</w:t>
            </w:r>
            <w:r w:rsidR="00F3474D">
              <w:rPr>
                <w:rFonts w:asciiTheme="minorHAnsi" w:eastAsiaTheme="minorEastAsia" w:hAnsiTheme="minorHAnsi"/>
                <w:b w:val="0"/>
                <w:color w:val="auto"/>
                <w:sz w:val="22"/>
                <w:lang w:eastAsia="en-AU"/>
              </w:rPr>
              <w:tab/>
            </w:r>
            <w:r w:rsidR="00F3474D" w:rsidRPr="006D3818">
              <w:rPr>
                <w:rStyle w:val="Hyperlink"/>
              </w:rPr>
              <w:t>Planned network outage</w:t>
            </w:r>
            <w:r w:rsidR="00F3474D">
              <w:rPr>
                <w:webHidden/>
              </w:rPr>
              <w:tab/>
            </w:r>
            <w:r w:rsidR="00F3474D">
              <w:rPr>
                <w:webHidden/>
              </w:rPr>
              <w:fldChar w:fldCharType="begin"/>
            </w:r>
            <w:r w:rsidR="00F3474D">
              <w:rPr>
                <w:webHidden/>
              </w:rPr>
              <w:instrText xml:space="preserve"> PAGEREF _Toc467746551 \h </w:instrText>
            </w:r>
            <w:r w:rsidR="00F3474D">
              <w:rPr>
                <w:webHidden/>
              </w:rPr>
            </w:r>
            <w:r w:rsidR="00F3474D">
              <w:rPr>
                <w:webHidden/>
              </w:rPr>
              <w:fldChar w:fldCharType="separate"/>
            </w:r>
            <w:r w:rsidR="00F3474D">
              <w:rPr>
                <w:webHidden/>
              </w:rPr>
              <w:t>6</w:t>
            </w:r>
            <w:r w:rsidR="00F3474D">
              <w:rPr>
                <w:webHidden/>
              </w:rPr>
              <w:fldChar w:fldCharType="end"/>
            </w:r>
          </w:hyperlink>
        </w:p>
        <w:p w:rsidR="00F3474D" w:rsidRDefault="00FC71D2">
          <w:pPr>
            <w:pStyle w:val="TOC2"/>
            <w:rPr>
              <w:rFonts w:asciiTheme="minorHAnsi" w:eastAsiaTheme="minorEastAsia" w:hAnsiTheme="minorHAnsi"/>
              <w:b w:val="0"/>
              <w:color w:val="auto"/>
              <w:sz w:val="22"/>
              <w:lang w:eastAsia="en-AU"/>
            </w:rPr>
          </w:pPr>
          <w:hyperlink w:anchor="_Toc467746552" w:history="1">
            <w:r w:rsidR="00F3474D" w:rsidRPr="006D3818">
              <w:rPr>
                <w:rStyle w:val="Hyperlink"/>
              </w:rPr>
              <w:t>3.2</w:t>
            </w:r>
            <w:r w:rsidR="00F3474D">
              <w:rPr>
                <w:rFonts w:asciiTheme="minorHAnsi" w:eastAsiaTheme="minorEastAsia" w:hAnsiTheme="minorHAnsi"/>
                <w:b w:val="0"/>
                <w:color w:val="auto"/>
                <w:sz w:val="22"/>
                <w:lang w:eastAsia="en-AU"/>
              </w:rPr>
              <w:tab/>
            </w:r>
            <w:r w:rsidR="00F3474D" w:rsidRPr="006D3818">
              <w:rPr>
                <w:rStyle w:val="Hyperlink"/>
              </w:rPr>
              <w:t>Regulation service availability</w:t>
            </w:r>
            <w:r w:rsidR="00F3474D">
              <w:rPr>
                <w:webHidden/>
              </w:rPr>
              <w:tab/>
            </w:r>
            <w:r w:rsidR="00F3474D">
              <w:rPr>
                <w:webHidden/>
              </w:rPr>
              <w:fldChar w:fldCharType="begin"/>
            </w:r>
            <w:r w:rsidR="00F3474D">
              <w:rPr>
                <w:webHidden/>
              </w:rPr>
              <w:instrText xml:space="preserve"> PAGEREF _Toc467746552 \h </w:instrText>
            </w:r>
            <w:r w:rsidR="00F3474D">
              <w:rPr>
                <w:webHidden/>
              </w:rPr>
            </w:r>
            <w:r w:rsidR="00F3474D">
              <w:rPr>
                <w:webHidden/>
              </w:rPr>
              <w:fldChar w:fldCharType="separate"/>
            </w:r>
            <w:r w:rsidR="00F3474D">
              <w:rPr>
                <w:webHidden/>
              </w:rPr>
              <w:t>6</w:t>
            </w:r>
            <w:r w:rsidR="00F3474D">
              <w:rPr>
                <w:webHidden/>
              </w:rPr>
              <w:fldChar w:fldCharType="end"/>
            </w:r>
          </w:hyperlink>
        </w:p>
        <w:p w:rsidR="00F3474D" w:rsidRDefault="00FC71D2">
          <w:pPr>
            <w:pStyle w:val="TOC2"/>
            <w:rPr>
              <w:rFonts w:asciiTheme="minorHAnsi" w:eastAsiaTheme="minorEastAsia" w:hAnsiTheme="minorHAnsi"/>
              <w:b w:val="0"/>
              <w:color w:val="auto"/>
              <w:sz w:val="22"/>
              <w:lang w:eastAsia="en-AU"/>
            </w:rPr>
          </w:pPr>
          <w:hyperlink w:anchor="_Toc467746553" w:history="1">
            <w:r w:rsidR="00F3474D" w:rsidRPr="006D3818">
              <w:rPr>
                <w:rStyle w:val="Hyperlink"/>
              </w:rPr>
              <w:t>3.3</w:t>
            </w:r>
            <w:r w:rsidR="00F3474D">
              <w:rPr>
                <w:rFonts w:asciiTheme="minorHAnsi" w:eastAsiaTheme="minorEastAsia" w:hAnsiTheme="minorHAnsi"/>
                <w:b w:val="0"/>
                <w:color w:val="auto"/>
                <w:sz w:val="22"/>
                <w:lang w:eastAsia="en-AU"/>
              </w:rPr>
              <w:tab/>
            </w:r>
            <w:r w:rsidR="00F3474D" w:rsidRPr="006D3818">
              <w:rPr>
                <w:rStyle w:val="Hyperlink"/>
              </w:rPr>
              <w:t>Effective available capacity and price</w:t>
            </w:r>
            <w:r w:rsidR="00F3474D">
              <w:rPr>
                <w:webHidden/>
              </w:rPr>
              <w:tab/>
            </w:r>
            <w:r w:rsidR="00F3474D">
              <w:rPr>
                <w:webHidden/>
              </w:rPr>
              <w:fldChar w:fldCharType="begin"/>
            </w:r>
            <w:r w:rsidR="00F3474D">
              <w:rPr>
                <w:webHidden/>
              </w:rPr>
              <w:instrText xml:space="preserve"> PAGEREF _Toc467746553 \h </w:instrText>
            </w:r>
            <w:r w:rsidR="00F3474D">
              <w:rPr>
                <w:webHidden/>
              </w:rPr>
            </w:r>
            <w:r w:rsidR="00F3474D">
              <w:rPr>
                <w:webHidden/>
              </w:rPr>
              <w:fldChar w:fldCharType="separate"/>
            </w:r>
            <w:r w:rsidR="00F3474D">
              <w:rPr>
                <w:webHidden/>
              </w:rPr>
              <w:t>7</w:t>
            </w:r>
            <w:r w:rsidR="00F3474D">
              <w:rPr>
                <w:webHidden/>
              </w:rPr>
              <w:fldChar w:fldCharType="end"/>
            </w:r>
          </w:hyperlink>
        </w:p>
        <w:p w:rsidR="00F3474D" w:rsidRDefault="00FC71D2">
          <w:pPr>
            <w:pStyle w:val="TOC3"/>
            <w:rPr>
              <w:rFonts w:asciiTheme="minorHAnsi" w:eastAsiaTheme="minorEastAsia" w:hAnsiTheme="minorHAnsi"/>
              <w:lang w:eastAsia="en-AU"/>
            </w:rPr>
          </w:pPr>
          <w:hyperlink w:anchor="_Toc467746554" w:history="1">
            <w:r w:rsidR="00F3474D" w:rsidRPr="006D3818">
              <w:rPr>
                <w:rStyle w:val="Hyperlink"/>
              </w:rPr>
              <w:t>3.3.1</w:t>
            </w:r>
            <w:r w:rsidR="00F3474D">
              <w:rPr>
                <w:rFonts w:asciiTheme="minorHAnsi" w:eastAsiaTheme="minorEastAsia" w:hAnsiTheme="minorHAnsi"/>
                <w:lang w:eastAsia="en-AU"/>
              </w:rPr>
              <w:tab/>
            </w:r>
            <w:r w:rsidR="00F3474D" w:rsidRPr="006D3818">
              <w:rPr>
                <w:rStyle w:val="Hyperlink"/>
              </w:rPr>
              <w:t>Rebidding</w:t>
            </w:r>
            <w:r w:rsidR="00F3474D">
              <w:rPr>
                <w:webHidden/>
              </w:rPr>
              <w:tab/>
            </w:r>
            <w:r w:rsidR="00F3474D">
              <w:rPr>
                <w:webHidden/>
              </w:rPr>
              <w:fldChar w:fldCharType="begin"/>
            </w:r>
            <w:r w:rsidR="00F3474D">
              <w:rPr>
                <w:webHidden/>
              </w:rPr>
              <w:instrText xml:space="preserve"> PAGEREF _Toc467746554 \h </w:instrText>
            </w:r>
            <w:r w:rsidR="00F3474D">
              <w:rPr>
                <w:webHidden/>
              </w:rPr>
            </w:r>
            <w:r w:rsidR="00F3474D">
              <w:rPr>
                <w:webHidden/>
              </w:rPr>
              <w:fldChar w:fldCharType="separate"/>
            </w:r>
            <w:r w:rsidR="00F3474D">
              <w:rPr>
                <w:webHidden/>
              </w:rPr>
              <w:t>8</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55" w:history="1">
            <w:r w:rsidR="00F3474D" w:rsidRPr="006D3818">
              <w:rPr>
                <w:rStyle w:val="Hyperlink"/>
              </w:rPr>
              <w:t>Appendix A</w:t>
            </w:r>
            <w:r w:rsidR="00F3474D">
              <w:rPr>
                <w:rFonts w:asciiTheme="minorHAnsi" w:eastAsiaTheme="minorEastAsia" w:hAnsiTheme="minorHAnsi"/>
                <w:b w:val="0"/>
                <w:color w:val="auto"/>
                <w:sz w:val="22"/>
                <w:lang w:val="en-AU" w:eastAsia="en-AU"/>
              </w:rPr>
              <w:tab/>
            </w:r>
            <w:r w:rsidR="00F3474D" w:rsidRPr="006D3818">
              <w:rPr>
                <w:rStyle w:val="Hyperlink"/>
              </w:rPr>
              <w:t>Explanation of FCAS</w:t>
            </w:r>
            <w:r w:rsidR="00F3474D">
              <w:rPr>
                <w:webHidden/>
              </w:rPr>
              <w:tab/>
            </w:r>
            <w:r w:rsidR="00F3474D">
              <w:rPr>
                <w:webHidden/>
              </w:rPr>
              <w:fldChar w:fldCharType="begin"/>
            </w:r>
            <w:r w:rsidR="00F3474D">
              <w:rPr>
                <w:webHidden/>
              </w:rPr>
              <w:instrText xml:space="preserve"> PAGEREF _Toc467746555 \h </w:instrText>
            </w:r>
            <w:r w:rsidR="00F3474D">
              <w:rPr>
                <w:webHidden/>
              </w:rPr>
            </w:r>
            <w:r w:rsidR="00F3474D">
              <w:rPr>
                <w:webHidden/>
              </w:rPr>
              <w:fldChar w:fldCharType="separate"/>
            </w:r>
            <w:r w:rsidR="00F3474D">
              <w:rPr>
                <w:webHidden/>
              </w:rPr>
              <w:t>10</w:t>
            </w:r>
            <w:r w:rsidR="00F3474D">
              <w:rPr>
                <w:webHidden/>
              </w:rPr>
              <w:fldChar w:fldCharType="end"/>
            </w:r>
          </w:hyperlink>
        </w:p>
        <w:p w:rsidR="00F3474D" w:rsidRDefault="00FC71D2">
          <w:pPr>
            <w:pStyle w:val="TOC3"/>
            <w:rPr>
              <w:rFonts w:asciiTheme="minorHAnsi" w:eastAsiaTheme="minorEastAsia" w:hAnsiTheme="minorHAnsi"/>
              <w:lang w:eastAsia="en-AU"/>
            </w:rPr>
          </w:pPr>
          <w:hyperlink w:anchor="_Toc467746556" w:history="1">
            <w:r w:rsidR="00F3474D" w:rsidRPr="006D3818">
              <w:rPr>
                <w:rStyle w:val="Hyperlink"/>
                <w:lang w:eastAsia="en-AU"/>
              </w:rPr>
              <w:t>Frequency Control Ancillary Service Settlement</w:t>
            </w:r>
            <w:r w:rsidR="00F3474D">
              <w:rPr>
                <w:webHidden/>
              </w:rPr>
              <w:tab/>
            </w:r>
            <w:r w:rsidR="00F3474D">
              <w:rPr>
                <w:webHidden/>
              </w:rPr>
              <w:fldChar w:fldCharType="begin"/>
            </w:r>
            <w:r w:rsidR="00F3474D">
              <w:rPr>
                <w:webHidden/>
              </w:rPr>
              <w:instrText xml:space="preserve"> PAGEREF _Toc467746556 \h </w:instrText>
            </w:r>
            <w:r w:rsidR="00F3474D">
              <w:rPr>
                <w:webHidden/>
              </w:rPr>
            </w:r>
            <w:r w:rsidR="00F3474D">
              <w:rPr>
                <w:webHidden/>
              </w:rPr>
              <w:fldChar w:fldCharType="separate"/>
            </w:r>
            <w:r w:rsidR="00F3474D">
              <w:rPr>
                <w:webHidden/>
              </w:rPr>
              <w:t>11</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57" w:history="1">
            <w:r w:rsidR="00F3474D" w:rsidRPr="006D3818">
              <w:rPr>
                <w:rStyle w:val="Hyperlink"/>
              </w:rPr>
              <w:t>Appendix B Local Frequency Control Ancillary Services</w:t>
            </w:r>
            <w:r w:rsidR="00F3474D">
              <w:rPr>
                <w:webHidden/>
              </w:rPr>
              <w:tab/>
            </w:r>
            <w:r w:rsidR="00F3474D">
              <w:rPr>
                <w:webHidden/>
              </w:rPr>
              <w:fldChar w:fldCharType="begin"/>
            </w:r>
            <w:r w:rsidR="00F3474D">
              <w:rPr>
                <w:webHidden/>
              </w:rPr>
              <w:instrText xml:space="preserve"> PAGEREF _Toc467746557 \h </w:instrText>
            </w:r>
            <w:r w:rsidR="00F3474D">
              <w:rPr>
                <w:webHidden/>
              </w:rPr>
            </w:r>
            <w:r w:rsidR="00F3474D">
              <w:rPr>
                <w:webHidden/>
              </w:rPr>
              <w:fldChar w:fldCharType="separate"/>
            </w:r>
            <w:r w:rsidR="00F3474D">
              <w:rPr>
                <w:webHidden/>
              </w:rPr>
              <w:t>12</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58" w:history="1">
            <w:r w:rsidR="00F3474D" w:rsidRPr="006D3818">
              <w:rPr>
                <w:rStyle w:val="Hyperlink"/>
              </w:rPr>
              <w:t>Appendix C</w:t>
            </w:r>
            <w:r w:rsidR="00F3474D">
              <w:rPr>
                <w:rFonts w:asciiTheme="minorHAnsi" w:eastAsiaTheme="minorEastAsia" w:hAnsiTheme="minorHAnsi"/>
                <w:b w:val="0"/>
                <w:color w:val="auto"/>
                <w:sz w:val="22"/>
                <w:lang w:val="en-AU" w:eastAsia="en-AU"/>
              </w:rPr>
              <w:tab/>
            </w:r>
            <w:r w:rsidR="00F3474D" w:rsidRPr="006D3818">
              <w:rPr>
                <w:rStyle w:val="Hyperlink"/>
              </w:rPr>
              <w:t>Significant Rebids</w:t>
            </w:r>
            <w:r w:rsidR="00F3474D">
              <w:rPr>
                <w:webHidden/>
              </w:rPr>
              <w:tab/>
            </w:r>
            <w:r w:rsidR="00F3474D">
              <w:rPr>
                <w:webHidden/>
              </w:rPr>
              <w:fldChar w:fldCharType="begin"/>
            </w:r>
            <w:r w:rsidR="00F3474D">
              <w:rPr>
                <w:webHidden/>
              </w:rPr>
              <w:instrText xml:space="preserve"> PAGEREF _Toc467746558 \h </w:instrText>
            </w:r>
            <w:r w:rsidR="00F3474D">
              <w:rPr>
                <w:webHidden/>
              </w:rPr>
            </w:r>
            <w:r w:rsidR="00F3474D">
              <w:rPr>
                <w:webHidden/>
              </w:rPr>
              <w:fldChar w:fldCharType="separate"/>
            </w:r>
            <w:r w:rsidR="00F3474D">
              <w:rPr>
                <w:webHidden/>
              </w:rPr>
              <w:t>13</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59" w:history="1">
            <w:r w:rsidR="00F3474D" w:rsidRPr="006D3818">
              <w:rPr>
                <w:rStyle w:val="Hyperlink"/>
              </w:rPr>
              <w:t>Appendix D</w:t>
            </w:r>
            <w:r w:rsidR="00F3474D">
              <w:rPr>
                <w:rFonts w:asciiTheme="minorHAnsi" w:eastAsiaTheme="minorEastAsia" w:hAnsiTheme="minorHAnsi"/>
                <w:b w:val="0"/>
                <w:color w:val="auto"/>
                <w:sz w:val="22"/>
                <w:lang w:val="en-AU" w:eastAsia="en-AU"/>
              </w:rPr>
              <w:tab/>
            </w:r>
            <w:r w:rsidR="00F3474D" w:rsidRPr="006D3818">
              <w:rPr>
                <w:rStyle w:val="Hyperlink"/>
              </w:rPr>
              <w:t>Closing bids</w:t>
            </w:r>
            <w:r w:rsidR="00F3474D">
              <w:rPr>
                <w:webHidden/>
              </w:rPr>
              <w:tab/>
            </w:r>
            <w:r w:rsidR="00F3474D">
              <w:rPr>
                <w:webHidden/>
              </w:rPr>
              <w:fldChar w:fldCharType="begin"/>
            </w:r>
            <w:r w:rsidR="00F3474D">
              <w:rPr>
                <w:webHidden/>
              </w:rPr>
              <w:instrText xml:space="preserve"> PAGEREF _Toc467746559 \h </w:instrText>
            </w:r>
            <w:r w:rsidR="00F3474D">
              <w:rPr>
                <w:webHidden/>
              </w:rPr>
            </w:r>
            <w:r w:rsidR="00F3474D">
              <w:rPr>
                <w:webHidden/>
              </w:rPr>
              <w:fldChar w:fldCharType="separate"/>
            </w:r>
            <w:r w:rsidR="00F3474D">
              <w:rPr>
                <w:webHidden/>
              </w:rPr>
              <w:t>14</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60" w:history="1">
            <w:r w:rsidR="00F3474D" w:rsidRPr="006D3818">
              <w:rPr>
                <w:rStyle w:val="Hyperlink"/>
              </w:rPr>
              <w:t>Appendix E</w:t>
            </w:r>
            <w:r w:rsidR="00F3474D">
              <w:rPr>
                <w:rFonts w:asciiTheme="minorHAnsi" w:eastAsiaTheme="minorEastAsia" w:hAnsiTheme="minorHAnsi"/>
                <w:b w:val="0"/>
                <w:color w:val="auto"/>
                <w:sz w:val="22"/>
                <w:lang w:val="en-AU" w:eastAsia="en-AU"/>
              </w:rPr>
              <w:tab/>
            </w:r>
            <w:r w:rsidR="00F3474D" w:rsidRPr="006D3818">
              <w:rPr>
                <w:rStyle w:val="Hyperlink"/>
              </w:rPr>
              <w:t>Relevant Market Notices</w:t>
            </w:r>
            <w:r w:rsidR="00F3474D">
              <w:rPr>
                <w:webHidden/>
              </w:rPr>
              <w:tab/>
            </w:r>
            <w:r w:rsidR="00F3474D">
              <w:rPr>
                <w:webHidden/>
              </w:rPr>
              <w:fldChar w:fldCharType="begin"/>
            </w:r>
            <w:r w:rsidR="00F3474D">
              <w:rPr>
                <w:webHidden/>
              </w:rPr>
              <w:instrText xml:space="preserve"> PAGEREF _Toc467746560 \h </w:instrText>
            </w:r>
            <w:r w:rsidR="00F3474D">
              <w:rPr>
                <w:webHidden/>
              </w:rPr>
            </w:r>
            <w:r w:rsidR="00F3474D">
              <w:rPr>
                <w:webHidden/>
              </w:rPr>
              <w:fldChar w:fldCharType="separate"/>
            </w:r>
            <w:r w:rsidR="00F3474D">
              <w:rPr>
                <w:webHidden/>
              </w:rPr>
              <w:t>21</w:t>
            </w:r>
            <w:r w:rsidR="00F3474D">
              <w:rPr>
                <w:webHidden/>
              </w:rPr>
              <w:fldChar w:fldCharType="end"/>
            </w:r>
          </w:hyperlink>
        </w:p>
        <w:p w:rsidR="00F3474D" w:rsidRDefault="00FC71D2">
          <w:pPr>
            <w:pStyle w:val="TOC1"/>
            <w:rPr>
              <w:rFonts w:asciiTheme="minorHAnsi" w:eastAsiaTheme="minorEastAsia" w:hAnsiTheme="minorHAnsi"/>
              <w:b w:val="0"/>
              <w:color w:val="auto"/>
              <w:sz w:val="22"/>
              <w:lang w:val="en-AU" w:eastAsia="en-AU"/>
            </w:rPr>
          </w:pPr>
          <w:hyperlink w:anchor="_Toc467746561" w:history="1">
            <w:r w:rsidR="00F3474D" w:rsidRPr="006D3818">
              <w:rPr>
                <w:rStyle w:val="Hyperlink"/>
              </w:rPr>
              <w:t>Appendix F</w:t>
            </w:r>
            <w:r w:rsidR="00F3474D">
              <w:rPr>
                <w:rFonts w:asciiTheme="minorHAnsi" w:eastAsiaTheme="minorEastAsia" w:hAnsiTheme="minorHAnsi"/>
                <w:b w:val="0"/>
                <w:color w:val="auto"/>
                <w:sz w:val="22"/>
                <w:lang w:val="en-AU" w:eastAsia="en-AU"/>
              </w:rPr>
              <w:tab/>
            </w:r>
            <w:r w:rsidR="00F3474D" w:rsidRPr="006D3818">
              <w:rPr>
                <w:rStyle w:val="Hyperlink"/>
              </w:rPr>
              <w:t>Price setter</w:t>
            </w:r>
            <w:r w:rsidR="00F3474D">
              <w:rPr>
                <w:webHidden/>
              </w:rPr>
              <w:tab/>
            </w:r>
            <w:r w:rsidR="00F3474D">
              <w:rPr>
                <w:webHidden/>
              </w:rPr>
              <w:fldChar w:fldCharType="begin"/>
            </w:r>
            <w:r w:rsidR="00F3474D">
              <w:rPr>
                <w:webHidden/>
              </w:rPr>
              <w:instrText xml:space="preserve"> PAGEREF _Toc467746561 \h </w:instrText>
            </w:r>
            <w:r w:rsidR="00F3474D">
              <w:rPr>
                <w:webHidden/>
              </w:rPr>
            </w:r>
            <w:r w:rsidR="00F3474D">
              <w:rPr>
                <w:webHidden/>
              </w:rPr>
              <w:fldChar w:fldCharType="separate"/>
            </w:r>
            <w:r w:rsidR="00F3474D">
              <w:rPr>
                <w:webHidden/>
              </w:rPr>
              <w:t>23</w:t>
            </w:r>
            <w:r w:rsidR="00F3474D">
              <w:rPr>
                <w:webHidden/>
              </w:rPr>
              <w:fldChar w:fldCharType="end"/>
            </w:r>
          </w:hyperlink>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C7068C" w:rsidRDefault="009337EB" w:rsidP="00C7068C">
          <w:pPr>
            <w:pStyle w:val="Heading1"/>
          </w:pPr>
          <w:bookmarkStart w:id="2" w:name="_Toc467746548"/>
          <w:bookmarkEnd w:id="1"/>
          <w:r>
            <w:lastRenderedPageBreak/>
            <w:t>Introduction</w:t>
          </w:r>
          <w:bookmarkEnd w:id="2"/>
        </w:p>
        <w:p w:rsidR="009337EB" w:rsidRDefault="009337EB" w:rsidP="009337EB">
          <w:pPr>
            <w:pStyle w:val="AERbody"/>
          </w:pPr>
          <w:r>
            <w:t>The AER is required to monitor</w:t>
          </w:r>
          <w:r w:rsidRPr="00A50632">
            <w:t xml:space="preserve"> significant variation</w:t>
          </w:r>
          <w:r>
            <w:t>s</w:t>
          </w:r>
          <w:r w:rsidRPr="00A50632">
            <w:t xml:space="preserve"> between forecast and actual prices </w:t>
          </w:r>
          <w:r>
            <w:t>and publish a report where:</w:t>
          </w:r>
        </w:p>
        <w:p w:rsidR="009337EB" w:rsidRDefault="009337EB" w:rsidP="009337EB">
          <w:pPr>
            <w:pStyle w:val="Bulletpoint"/>
          </w:pPr>
          <w:r>
            <w:t>prices for a market ancillary service over a period significantly exceed the relevant spot price for energy; and</w:t>
          </w:r>
        </w:p>
        <w:p w:rsidR="009337EB" w:rsidRDefault="009337EB" w:rsidP="009337EB">
          <w:pPr>
            <w:pStyle w:val="Bulletpoint"/>
          </w:pPr>
          <w:proofErr w:type="gramStart"/>
          <w:r>
            <w:t>prices</w:t>
          </w:r>
          <w:proofErr w:type="gramEnd"/>
          <w:r>
            <w:t xml:space="preserve"> for a market ancillary service exceed $5000 for a number of trading intervals within that period. </w:t>
          </w:r>
        </w:p>
        <w:p w:rsidR="009337EB" w:rsidRDefault="009337EB" w:rsidP="009337EB">
          <w:pPr>
            <w:pStyle w:val="AERbody"/>
          </w:pPr>
          <w:r>
            <w:t xml:space="preserve">In accordance with the clause 3.13.7(e) of the National Electricity Rules, the report must: </w:t>
          </w:r>
        </w:p>
        <w:p w:rsidR="009337EB" w:rsidRDefault="009337EB" w:rsidP="009337EB">
          <w:pPr>
            <w:pStyle w:val="Bulletpoint"/>
          </w:pPr>
          <w:r>
            <w:t xml:space="preserve">describe the significant factors that contributed to the ancillary service prices exceeding $5000/MWh; </w:t>
          </w:r>
        </w:p>
        <w:p w:rsidR="009337EB" w:rsidRDefault="009337EB" w:rsidP="009337EB">
          <w:pPr>
            <w:pStyle w:val="Bulletpoint"/>
          </w:pPr>
          <w:r>
            <w:t xml:space="preserve">identify any linkages between spot prices in the energy market and ancillary service prices contributing to the occurrence; and </w:t>
          </w:r>
        </w:p>
        <w:p w:rsidR="009337EB" w:rsidRDefault="009337EB" w:rsidP="009337EB">
          <w:pPr>
            <w:pStyle w:val="Bulletpoint"/>
          </w:pPr>
          <w:proofErr w:type="gramStart"/>
          <w:r>
            <w:t>assess</w:t>
          </w:r>
          <w:proofErr w:type="gramEnd"/>
          <w:r>
            <w:t xml:space="preserve"> whether rebidding pursuant to clause 3.8.22 contributed to prices exceeding $5000/MWh. </w:t>
          </w:r>
        </w:p>
        <w:p w:rsidR="00652C6E" w:rsidRPr="00FE1F33" w:rsidRDefault="00C821CE" w:rsidP="00652C6E">
          <w:r w:rsidRPr="00FE1F33">
            <w:t>O</w:t>
          </w:r>
          <w:r w:rsidR="00FE1F33" w:rsidRPr="00FE1F33">
            <w:t>n 16</w:t>
          </w:r>
          <w:r w:rsidRPr="00FE1F33">
            <w:t xml:space="preserve"> </w:t>
          </w:r>
          <w:r w:rsidR="00FE1F33" w:rsidRPr="00FE1F33">
            <w:t>September</w:t>
          </w:r>
          <w:r w:rsidR="00652C6E" w:rsidRPr="00FE1F33">
            <w:t xml:space="preserve"> 201</w:t>
          </w:r>
          <w:r w:rsidR="00A019E6" w:rsidRPr="00FE1F33">
            <w:t>6</w:t>
          </w:r>
          <w:r w:rsidR="00652C6E" w:rsidRPr="00FE1F33">
            <w:t xml:space="preserve">, </w:t>
          </w:r>
          <w:r w:rsidR="009337EB">
            <w:t xml:space="preserve">the price of two Frequency Control Ancillary Services (FCAS) in </w:t>
          </w:r>
          <w:r w:rsidR="00652C6E" w:rsidRPr="00FE1F33">
            <w:t>South Australia exceeded $5000/MW</w:t>
          </w:r>
          <w:r w:rsidR="00200F0A" w:rsidRPr="00FE1F33">
            <w:t xml:space="preserve"> for</w:t>
          </w:r>
          <w:r w:rsidR="005171A9" w:rsidRPr="00FE1F33">
            <w:t xml:space="preserve"> </w:t>
          </w:r>
          <w:r w:rsidR="009337EB">
            <w:t xml:space="preserve">an extended period, </w:t>
          </w:r>
          <w:r w:rsidRPr="00FE1F33">
            <w:t xml:space="preserve">in excess of </w:t>
          </w:r>
          <w:r w:rsidR="00104563">
            <w:t xml:space="preserve">energy </w:t>
          </w:r>
          <w:r w:rsidRPr="00FE1F33">
            <w:t xml:space="preserve">spot prices. This </w:t>
          </w:r>
          <w:r w:rsidR="001841B5" w:rsidRPr="00FE1F33">
            <w:t xml:space="preserve">report </w:t>
          </w:r>
          <w:r w:rsidR="00405DEA" w:rsidRPr="00FE1F33">
            <w:t>presents</w:t>
          </w:r>
          <w:r w:rsidR="001841B5" w:rsidRPr="00FE1F33">
            <w:t xml:space="preserve"> our analysis of the events in accordance with this obligation</w:t>
          </w:r>
          <w:r w:rsidR="00652C6E" w:rsidRPr="00FE1F33">
            <w:t>.</w:t>
          </w:r>
          <w:r w:rsidR="001841B5" w:rsidRPr="00FE1F33" w:rsidDel="001841B5">
            <w:t xml:space="preserve"> </w:t>
          </w:r>
        </w:p>
        <w:p w:rsidR="00F10069" w:rsidRDefault="00953E25" w:rsidP="004E6FA8">
          <w:pPr>
            <w:pStyle w:val="Heading1"/>
          </w:pPr>
          <w:bookmarkStart w:id="3" w:name="_Toc467746549"/>
          <w:r>
            <w:lastRenderedPageBreak/>
            <w:t>S</w:t>
          </w:r>
          <w:r w:rsidR="00F10069">
            <w:t>ummary</w:t>
          </w:r>
          <w:bookmarkEnd w:id="3"/>
        </w:p>
        <w:p w:rsidR="00104563" w:rsidRDefault="006002DB" w:rsidP="00F10069">
          <w:r w:rsidRPr="00104563">
            <w:t xml:space="preserve">On </w:t>
          </w:r>
          <w:r w:rsidR="00104563" w:rsidRPr="00104563">
            <w:t>16</w:t>
          </w:r>
          <w:r w:rsidRPr="00104563">
            <w:t> </w:t>
          </w:r>
          <w:r w:rsidR="00104563" w:rsidRPr="00104563">
            <w:t xml:space="preserve">September </w:t>
          </w:r>
          <w:r w:rsidR="00F10069" w:rsidRPr="00104563">
            <w:t>the local price for both lower and raise</w:t>
          </w:r>
          <w:r w:rsidR="00757C4B" w:rsidRPr="00104563">
            <w:t xml:space="preserve"> regulation</w:t>
          </w:r>
          <w:r w:rsidR="00F10069" w:rsidRPr="00104563">
            <w:t xml:space="preserve"> frequency control regulation services (FCAS)</w:t>
          </w:r>
          <w:r w:rsidR="00104563" w:rsidRPr="00104563">
            <w:rPr>
              <w:rStyle w:val="FootnoteReference"/>
            </w:rPr>
            <w:t xml:space="preserve"> </w:t>
          </w:r>
          <w:r w:rsidR="00104563" w:rsidRPr="00104563">
            <w:rPr>
              <w:rStyle w:val="FootnoteReference"/>
            </w:rPr>
            <w:footnoteReference w:id="1"/>
          </w:r>
          <w:r w:rsidR="00F10069" w:rsidRPr="00104563">
            <w:t xml:space="preserve"> in South Australia exceeded $5000/MW</w:t>
          </w:r>
          <w:r w:rsidR="00104563" w:rsidRPr="00104563">
            <w:t xml:space="preserve"> for over 50 dispatch intervals. Raise and lower regulation services are </w:t>
          </w:r>
          <w:r w:rsidR="00441D81">
            <w:t>designed to maintain the frequency of the power system constant (at 50 Hertz) when small changes of demand and supply occur.</w:t>
          </w:r>
          <w:r w:rsidR="00104563" w:rsidRPr="00104563">
            <w:t xml:space="preserve"> The combined cost of regulation services on </w:t>
          </w:r>
          <w:r w:rsidR="00E55BCC">
            <w:t xml:space="preserve">16 </w:t>
          </w:r>
          <w:r w:rsidR="00031DCC">
            <w:t>September</w:t>
          </w:r>
          <w:r w:rsidR="00104563" w:rsidRPr="00104563">
            <w:t xml:space="preserve"> was in excess of $3.6 million – these costs are borne by generators and </w:t>
          </w:r>
          <w:r w:rsidR="00104563" w:rsidRPr="003A71AC">
            <w:t>consumers</w:t>
          </w:r>
          <w:r w:rsidR="00104563" w:rsidRPr="00104563">
            <w:t xml:space="preserve"> in South Australia. </w:t>
          </w:r>
          <w:r w:rsidR="00441D81">
            <w:t>On the mainland, FCAS costs are typically around $200 000 per day.</w:t>
          </w:r>
          <w:r w:rsidR="00441D81" w:rsidRPr="00441D81">
            <w:rPr>
              <w:rStyle w:val="FootnoteReference"/>
            </w:rPr>
            <w:t xml:space="preserve"> </w:t>
          </w:r>
          <w:r w:rsidR="00441D81">
            <w:rPr>
              <w:rStyle w:val="FootnoteReference"/>
            </w:rPr>
            <w:footnoteReference w:id="2"/>
          </w:r>
          <w:r w:rsidR="00441D81">
            <w:t xml:space="preserve">  </w:t>
          </w:r>
        </w:p>
        <w:p w:rsidR="006002DB" w:rsidRPr="00104563" w:rsidRDefault="00104563" w:rsidP="00F10069">
          <w:r w:rsidRPr="00104563">
            <w:t xml:space="preserve">The dominant factors that </w:t>
          </w:r>
          <w:r w:rsidRPr="00441D81">
            <w:t xml:space="preserve">led to </w:t>
          </w:r>
          <w:r w:rsidRPr="00104563">
            <w:t>these high prices were:</w:t>
          </w:r>
        </w:p>
        <w:p w:rsidR="00AD477A" w:rsidRDefault="00104563" w:rsidP="001E7B48">
          <w:pPr>
            <w:pStyle w:val="Bulletpoint"/>
          </w:pPr>
          <w:r w:rsidRPr="00104563">
            <w:t>The</w:t>
          </w:r>
          <w:r w:rsidR="0060759D" w:rsidRPr="00104563">
            <w:t xml:space="preserve"> p</w:t>
          </w:r>
          <w:r w:rsidR="00757C4B" w:rsidRPr="00104563">
            <w:t xml:space="preserve">lanned network outage in Victoria </w:t>
          </w:r>
          <w:r w:rsidRPr="00104563">
            <w:t>on 16 September</w:t>
          </w:r>
          <w:r w:rsidR="00AD477A" w:rsidRPr="00104563">
            <w:t xml:space="preserve">. </w:t>
          </w:r>
          <w:r w:rsidRPr="00104563">
            <w:t>This outage introduced a credible risk of islanding South Australia from the NEM. When this occurs AEMO requires South Australia to locally source 35 MW of raise and lower regulation service to mitigate this risk.</w:t>
          </w:r>
          <w:r w:rsidR="001E7B48" w:rsidRPr="001E7B48">
            <w:t xml:space="preserve"> </w:t>
          </w:r>
          <w:r w:rsidR="001E7B48">
            <w:t>See Appendix B for a description of the local regulation requirement.</w:t>
          </w:r>
        </w:p>
        <w:p w:rsidR="001E7B48" w:rsidRDefault="001E7B48" w:rsidP="001E7B48">
          <w:pPr>
            <w:pStyle w:val="Bulletpoint"/>
          </w:pPr>
          <w:r>
            <w:t xml:space="preserve">The offers by generators in South Australia for local regulation services: </w:t>
          </w:r>
        </w:p>
        <w:p w:rsidR="001E7B48" w:rsidRPr="001E7B48" w:rsidRDefault="001E7B48" w:rsidP="001E7B48">
          <w:pPr>
            <w:pStyle w:val="Bullet2"/>
            <w:numPr>
              <w:ilvl w:val="1"/>
              <w:numId w:val="2"/>
            </w:numPr>
          </w:pPr>
          <w:r w:rsidRPr="001E7B48">
            <w:t xml:space="preserve">There are </w:t>
          </w:r>
          <w:r w:rsidR="00683EDD">
            <w:t xml:space="preserve">four power </w:t>
          </w:r>
          <w:r w:rsidR="00E55BCC">
            <w:t>stations</w:t>
          </w:r>
          <w:r w:rsidRPr="001E7B48">
            <w:t xml:space="preserve"> in South Australia that can provide more than 386 MW of local regulation services. Early forecasts indicated there was a minimum of </w:t>
          </w:r>
          <w:r w:rsidR="00E55BCC" w:rsidRPr="001E7B48">
            <w:t>41</w:t>
          </w:r>
          <w:r w:rsidR="00E55BCC">
            <w:t> </w:t>
          </w:r>
          <w:r w:rsidRPr="001E7B48">
            <w:t>MW of each service offered to the market priced below $600/MW, sufficient to cover the 35 MW requirements. The remaining capacity (up to 270 MW) was priced above $10 000/MW.</w:t>
          </w:r>
        </w:p>
        <w:p w:rsidR="001E7B48" w:rsidRDefault="008E75CB" w:rsidP="001E7B48">
          <w:pPr>
            <w:pStyle w:val="Bulletpoint"/>
            <w:numPr>
              <w:ilvl w:val="1"/>
              <w:numId w:val="2"/>
            </w:numPr>
          </w:pPr>
          <w:r>
            <w:t xml:space="preserve">Rebidding of 1 MW of capacity </w:t>
          </w:r>
          <w:r w:rsidR="001E7B48">
            <w:t xml:space="preserve">by Origin Energy </w:t>
          </w:r>
          <w:r>
            <w:t>in both regulation</w:t>
          </w:r>
          <w:r w:rsidR="001E7B48">
            <w:t xml:space="preserve"> services into high price bands, leaving only 34 MW (below the 35 MW local </w:t>
          </w:r>
          <w:proofErr w:type="gramStart"/>
          <w:r w:rsidR="001E7B48">
            <w:t>requirement</w:t>
          </w:r>
          <w:proofErr w:type="gramEnd"/>
          <w:r w:rsidR="001E7B48">
            <w:t>) of both services at low prices.</w:t>
          </w:r>
        </w:p>
        <w:p w:rsidR="009952EF" w:rsidRPr="00FD51B7" w:rsidRDefault="00A044AE" w:rsidP="00FD51B7">
          <w:pPr>
            <w:pStyle w:val="Bulletpoint"/>
            <w:numPr>
              <w:ilvl w:val="0"/>
              <w:numId w:val="0"/>
            </w:numPr>
            <w:rPr>
              <w:rFonts w:cstheme="minorBidi"/>
            </w:rPr>
          </w:pPr>
          <w:r w:rsidRPr="00FD51B7">
            <w:rPr>
              <w:rFonts w:cstheme="minorBidi"/>
            </w:rPr>
            <w:t>While the majority of early forecasts indicated that p</w:t>
          </w:r>
          <w:r w:rsidR="00FD51B7" w:rsidRPr="00FD51B7">
            <w:rPr>
              <w:rFonts w:cstheme="minorBidi"/>
            </w:rPr>
            <w:t xml:space="preserve">rices would </w:t>
          </w:r>
          <w:r w:rsidR="00A370D8">
            <w:rPr>
              <w:rFonts w:cstheme="minorBidi"/>
            </w:rPr>
            <w:t>be between</w:t>
          </w:r>
          <w:r w:rsidR="00FD51B7" w:rsidRPr="00FD51B7">
            <w:rPr>
              <w:rFonts w:cstheme="minorBidi"/>
            </w:rPr>
            <w:t xml:space="preserve"> $600/MW</w:t>
          </w:r>
          <w:r w:rsidR="00A370D8">
            <w:rPr>
              <w:rFonts w:cstheme="minorBidi"/>
            </w:rPr>
            <w:t xml:space="preserve"> and $750/MW</w:t>
          </w:r>
          <w:r w:rsidR="00FD51B7" w:rsidRPr="00FD51B7">
            <w:rPr>
              <w:rFonts w:cstheme="minorBidi"/>
            </w:rPr>
            <w:t>,</w:t>
          </w:r>
          <w:r w:rsidR="00FD51B7">
            <w:rPr>
              <w:rFonts w:cstheme="minorBidi"/>
            </w:rPr>
            <w:t xml:space="preserve"> </w:t>
          </w:r>
          <w:r w:rsidRPr="00FD51B7">
            <w:rPr>
              <w:rFonts w:cstheme="minorBidi"/>
            </w:rPr>
            <w:t xml:space="preserve">actual </w:t>
          </w:r>
          <w:r w:rsidR="00767E58" w:rsidRPr="00FD51B7">
            <w:rPr>
              <w:rFonts w:cstheme="minorBidi"/>
            </w:rPr>
            <w:t>prices for lower</w:t>
          </w:r>
          <w:r w:rsidR="009952EF" w:rsidRPr="00FD51B7">
            <w:rPr>
              <w:rFonts w:cstheme="minorBidi"/>
            </w:rPr>
            <w:t xml:space="preserve"> and raise regulation services </w:t>
          </w:r>
          <w:r w:rsidR="003D0CC4">
            <w:rPr>
              <w:rFonts w:cstheme="minorBidi"/>
            </w:rPr>
            <w:t>w</w:t>
          </w:r>
          <w:r w:rsidR="00767E58" w:rsidRPr="00FD51B7">
            <w:rPr>
              <w:rFonts w:cstheme="minorBidi"/>
            </w:rPr>
            <w:t>ere $9450</w:t>
          </w:r>
          <w:r w:rsidR="009952EF" w:rsidRPr="00FD51B7">
            <w:rPr>
              <w:rFonts w:cstheme="minorBidi"/>
            </w:rPr>
            <w:t>/MW</w:t>
          </w:r>
          <w:r w:rsidR="00767E58" w:rsidRPr="00FD51B7">
            <w:rPr>
              <w:rFonts w:cstheme="minorBidi"/>
            </w:rPr>
            <w:t xml:space="preserve"> and $11 250/MW </w:t>
          </w:r>
          <w:r w:rsidR="009952EF" w:rsidRPr="00FD51B7">
            <w:rPr>
              <w:rFonts w:cstheme="minorBidi"/>
            </w:rPr>
            <w:t>for 53 dispatch</w:t>
          </w:r>
          <w:r w:rsidR="00767E58" w:rsidRPr="00FD51B7">
            <w:rPr>
              <w:rFonts w:cstheme="minorBidi"/>
            </w:rPr>
            <w:t xml:space="preserve"> intervals respectively, exceeding the AER’s $5000/MW reporting threshold.</w:t>
          </w:r>
        </w:p>
        <w:p w:rsidR="00767E58" w:rsidRDefault="00767E58" w:rsidP="00767E58">
          <w:pPr>
            <w:pStyle w:val="AERbody"/>
          </w:pPr>
          <w:r>
            <w:t>The 35 MW local regulation requirement imposed by AEMO has cost South Australia</w:t>
          </w:r>
          <w:r w:rsidR="004E2C36">
            <w:t>n</w:t>
          </w:r>
          <w:r>
            <w:t xml:space="preserve"> </w:t>
          </w:r>
          <w:r w:rsidR="003A71AC">
            <w:t xml:space="preserve">generators and </w:t>
          </w:r>
          <w:r>
            <w:t>consumers around $</w:t>
          </w:r>
          <w:r w:rsidR="00223022">
            <w:t>47</w:t>
          </w:r>
          <w:r>
            <w:t xml:space="preserve"> million since the constraint was invoked in October 2015.</w:t>
          </w:r>
        </w:p>
        <w:p w:rsidR="00767E58" w:rsidRDefault="00767E58" w:rsidP="00767E58">
          <w:pPr>
            <w:pStyle w:val="Bulletpoint"/>
            <w:numPr>
              <w:ilvl w:val="0"/>
              <w:numId w:val="0"/>
            </w:numPr>
          </w:pPr>
        </w:p>
        <w:p w:rsidR="00135BE4" w:rsidRPr="00104563" w:rsidRDefault="00135BE4" w:rsidP="00135BE4"/>
        <w:p w:rsidR="00757C4B" w:rsidRDefault="00757C4B" w:rsidP="00D85AB0">
          <w:pPr>
            <w:pStyle w:val="ListParagraph"/>
            <w:numPr>
              <w:ilvl w:val="0"/>
              <w:numId w:val="0"/>
            </w:numPr>
          </w:pPr>
        </w:p>
        <w:p w:rsidR="004E6FA8" w:rsidRDefault="004E6FA8" w:rsidP="004E6FA8">
          <w:pPr>
            <w:pStyle w:val="Heading1"/>
          </w:pPr>
          <w:bookmarkStart w:id="4" w:name="_Toc467746550"/>
          <w:r>
            <w:lastRenderedPageBreak/>
            <w:t>Analysis</w:t>
          </w:r>
          <w:bookmarkEnd w:id="4"/>
        </w:p>
        <w:p w:rsidR="002A0696" w:rsidRDefault="002A0696" w:rsidP="004E6FA8">
          <w:r>
            <w:t xml:space="preserve">On September 16, in response to a planned network outage in Victoria AEMO invoked local regulation FCAS requirements in South Australia. </w:t>
          </w:r>
          <w:r w:rsidR="00766519">
            <w:t>Prices for these services exceeded $9000/MW for all dispatch intervals from 11.05 am to 3.30 pm.</w:t>
          </w:r>
          <w:r w:rsidR="00766519" w:rsidRPr="00766519">
            <w:t xml:space="preserve"> </w:t>
          </w:r>
          <w:r w:rsidR="00766519">
            <w:t>Prices exceed $9000 on five other occasions between 7.40 am and 8.40 am on the same day, these high prices have been discussed in the 11-17 September 2016 Electricity report.</w:t>
          </w:r>
          <w:r w:rsidR="00766519">
            <w:rPr>
              <w:rStyle w:val="FootnoteReference"/>
            </w:rPr>
            <w:footnoteReference w:id="3"/>
          </w:r>
          <w:r w:rsidR="00766519" w:rsidRPr="00766519">
            <w:t xml:space="preserve"> </w:t>
          </w:r>
          <w:r w:rsidR="00766519">
            <w:t>This section sets out the factors which contributed to the price outcomes</w:t>
          </w:r>
          <w:r w:rsidR="00077E0F">
            <w:t xml:space="preserve"> between 11.05 am to 3.30 pm</w:t>
          </w:r>
          <w:r w:rsidR="00766519">
            <w:t>.</w:t>
          </w:r>
        </w:p>
        <w:p w:rsidR="00766519" w:rsidRDefault="00766519" w:rsidP="004E6FA8">
          <w:pPr>
            <w:pStyle w:val="Heading2"/>
          </w:pPr>
          <w:bookmarkStart w:id="5" w:name="_Toc464205965"/>
          <w:bookmarkStart w:id="6" w:name="_Toc467746551"/>
          <w:r>
            <w:t>Planned network outage</w:t>
          </w:r>
          <w:bookmarkEnd w:id="5"/>
          <w:bookmarkEnd w:id="6"/>
        </w:p>
        <w:p w:rsidR="00077E0F" w:rsidRPr="00EF7B2F" w:rsidRDefault="00077E0F" w:rsidP="00077E0F">
          <w:pPr>
            <w:pStyle w:val="AERbody"/>
          </w:pPr>
          <w:r w:rsidRPr="00EF7B2F">
            <w:t>South Australia is electrically connected to Victoria by the Heywood and Murraylink interconnectors. The Heywood Interconnector is an alternating current high voltage transmission link with a nominal capacity of 460 MW, while Murraylink is a 2</w:t>
          </w:r>
          <w:r>
            <w:t>2</w:t>
          </w:r>
          <w:r w:rsidRPr="00EF7B2F">
            <w:t>0 MW direct current interconnector. Heywood provides synchronous connection between South Australia and the rest of the NEM.</w:t>
          </w:r>
        </w:p>
        <w:p w:rsidR="00077E0F" w:rsidRPr="00EF7B2F" w:rsidRDefault="00077E0F" w:rsidP="00077E0F">
          <w:pPr>
            <w:pStyle w:val="AERbody"/>
          </w:pPr>
          <w:r w:rsidRPr="00EF7B2F">
            <w:t xml:space="preserve">The Heywood interconnector is currently being augmented to increase its nominal capacity to 650 MW. From time to time </w:t>
          </w:r>
          <w:r>
            <w:t xml:space="preserve">network </w:t>
          </w:r>
          <w:r w:rsidRPr="00EF7B2F">
            <w:t xml:space="preserve">outages are </w:t>
          </w:r>
          <w:r>
            <w:t>planned</w:t>
          </w:r>
          <w:r w:rsidRPr="00EF7B2F">
            <w:t xml:space="preserve"> to allow work to be undertaken. When there is a network outage that risks islanding South Australia, AEMO invokes constraints requiring 35 MW of local regulation services. This ensures there are adequate sources of regulation services immediately available in a separation event to manage the frequency within the island</w:t>
          </w:r>
          <w:r>
            <w:t>ed region</w:t>
          </w:r>
          <w:r w:rsidRPr="00EF7B2F">
            <w:t xml:space="preserve"> post contingency.</w:t>
          </w:r>
        </w:p>
        <w:p w:rsidR="006E186E" w:rsidRPr="00223022" w:rsidRDefault="00514317" w:rsidP="006E186E">
          <w:r>
            <w:t>On 16 September t</w:t>
          </w:r>
          <w:r w:rsidRPr="00FE1F33">
            <w:t xml:space="preserve">here was a planned network outage on the Moorabool to Mortlake 500kV line </w:t>
          </w:r>
          <w:r w:rsidRPr="006B68F8">
            <w:t>as part of the Heywood interconnector upgrade</w:t>
          </w:r>
          <w:r>
            <w:t xml:space="preserve"> project</w:t>
          </w:r>
          <w:r w:rsidRPr="006B68F8">
            <w:t xml:space="preserve">. </w:t>
          </w:r>
          <w:r w:rsidR="00461F4E" w:rsidRPr="004B78C6">
            <w:t xml:space="preserve">The market notice announcing the outage is </w:t>
          </w:r>
          <w:r w:rsidR="00461F4E" w:rsidRPr="00BA7044">
            <w:t xml:space="preserve">replicated in </w:t>
          </w:r>
          <w:r w:rsidR="00BA7044" w:rsidRPr="00BA7044">
            <w:t>Appendix E</w:t>
          </w:r>
          <w:r w:rsidR="00461F4E" w:rsidRPr="00BA7044">
            <w:t>.</w:t>
          </w:r>
          <w:r w:rsidR="00461F4E" w:rsidRPr="004B78C6">
            <w:t xml:space="preserve"> As this outage put </w:t>
          </w:r>
          <w:r w:rsidR="00461F4E">
            <w:t>South Australia on a single contingency, which could result in the State being islanded</w:t>
          </w:r>
          <w:r w:rsidR="00461F4E" w:rsidRPr="00EF7B2F">
            <w:t>, AEMO invoked the 35 MW regulation constraints for the duration of the outage</w:t>
          </w:r>
          <w:r w:rsidR="00461F4E" w:rsidRPr="00956FFA">
            <w:t>.</w:t>
          </w:r>
          <w:r w:rsidR="006E186E" w:rsidRPr="00223022">
            <w:t xml:space="preserve"> </w:t>
          </w:r>
        </w:p>
        <w:p w:rsidR="00077E0F" w:rsidRDefault="00077E0F" w:rsidP="00077E0F">
          <w:pPr>
            <w:pStyle w:val="Heading2"/>
            <w:keepNext/>
            <w:ind w:left="578" w:hanging="578"/>
          </w:pPr>
          <w:bookmarkStart w:id="7" w:name="_Toc466290124"/>
          <w:bookmarkStart w:id="8" w:name="_Toc467746552"/>
          <w:r>
            <w:t>Regulation service availability</w:t>
          </w:r>
          <w:bookmarkEnd w:id="7"/>
          <w:bookmarkEnd w:id="8"/>
        </w:p>
        <w:p w:rsidR="006E186E" w:rsidRPr="00FA334C" w:rsidRDefault="006E186E" w:rsidP="006E186E">
          <w:r>
            <w:t xml:space="preserve">Four power stations in South Australia were registered to provide raise and lower regulation services on the day, (shown in </w:t>
          </w:r>
          <w:r w:rsidRPr="00FA334C">
            <w:fldChar w:fldCharType="begin"/>
          </w:r>
          <w:r w:rsidRPr="00FA334C">
            <w:instrText xml:space="preserve"> REF _Ref437433944 \h </w:instrText>
          </w:r>
          <w:r w:rsidRPr="00FA334C">
            <w:fldChar w:fldCharType="separate"/>
          </w:r>
          <w:r w:rsidR="00515978">
            <w:t xml:space="preserve">Table </w:t>
          </w:r>
          <w:r w:rsidR="00515978">
            <w:rPr>
              <w:noProof/>
            </w:rPr>
            <w:t>1</w:t>
          </w:r>
          <w:r w:rsidRPr="00FA334C">
            <w:fldChar w:fldCharType="end"/>
          </w:r>
          <w:r>
            <w:t>) each individually capable of providing the local regulation requirement.</w:t>
          </w:r>
          <w:r w:rsidRPr="00FA334C">
            <w:t xml:space="preserve"> </w:t>
          </w:r>
        </w:p>
        <w:p w:rsidR="006E186E" w:rsidRDefault="00683DA0" w:rsidP="006E186E">
          <w:pPr>
            <w:pStyle w:val="Caption"/>
            <w:jc w:val="both"/>
          </w:pPr>
          <w:bookmarkStart w:id="9" w:name="_Ref437433944"/>
          <w:r>
            <w:t xml:space="preserve">Table </w:t>
          </w:r>
          <w:r w:rsidR="00FC71D2">
            <w:fldChar w:fldCharType="begin"/>
          </w:r>
          <w:r w:rsidR="00FC71D2">
            <w:instrText xml:space="preserve"> SEQ Table \* ARABIC </w:instrText>
          </w:r>
          <w:r w:rsidR="00FC71D2">
            <w:fldChar w:fldCharType="separate"/>
          </w:r>
          <w:r w:rsidR="00515978">
            <w:rPr>
              <w:noProof/>
            </w:rPr>
            <w:t>1</w:t>
          </w:r>
          <w:r w:rsidR="00FC71D2">
            <w:rPr>
              <w:noProof/>
            </w:rPr>
            <w:fldChar w:fldCharType="end"/>
          </w:r>
          <w:bookmarkEnd w:id="9"/>
          <w:r w:rsidR="006E186E">
            <w:t>: Registered maximum capacity by station and regulation service</w:t>
          </w:r>
        </w:p>
        <w:tbl>
          <w:tblPr>
            <w:tblStyle w:val="AERsummarytable"/>
            <w:tblW w:w="6840" w:type="dxa"/>
            <w:tblInd w:w="108" w:type="dxa"/>
            <w:tblLook w:val="04A0" w:firstRow="1" w:lastRow="0" w:firstColumn="1" w:lastColumn="0" w:noHBand="0" w:noVBand="1"/>
          </w:tblPr>
          <w:tblGrid>
            <w:gridCol w:w="3369"/>
            <w:gridCol w:w="1671"/>
            <w:gridCol w:w="1800"/>
          </w:tblGrid>
          <w:tr w:rsidR="006E186E" w:rsidRPr="008D2C93" w:rsidTr="00A62205">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E186E" w:rsidRPr="008D2C93" w:rsidRDefault="006E186E" w:rsidP="00A62205">
                <w:pPr>
                  <w:spacing w:before="0" w:after="0" w:line="240" w:lineRule="auto"/>
                  <w:jc w:val="center"/>
                  <w:rPr>
                    <w:rFonts w:eastAsia="Times New Roman" w:cs="Arial"/>
                    <w:color w:val="000000"/>
                    <w:lang w:eastAsia="en-AU"/>
                  </w:rPr>
                </w:pPr>
                <w:r w:rsidRPr="001219D0">
                  <w:rPr>
                    <w:rFonts w:eastAsia="Times New Roman" w:cs="Arial"/>
                    <w:lang w:eastAsia="en-AU"/>
                  </w:rPr>
                  <w:t>Power Station</w:t>
                </w:r>
              </w:p>
            </w:tc>
            <w:tc>
              <w:tcPr>
                <w:tcW w:w="3471" w:type="dxa"/>
                <w:gridSpan w:val="2"/>
                <w:tcBorders>
                  <w:bottom w:val="nil"/>
                </w:tcBorders>
                <w:shd w:val="clear" w:color="auto" w:fill="076A92" w:themeFill="text1"/>
                <w:noWrap/>
                <w:vAlign w:val="center"/>
                <w:hideMark/>
              </w:tcPr>
              <w:p w:rsidR="006E186E" w:rsidRPr="008D2C93" w:rsidRDefault="006E186E" w:rsidP="00A62205">
                <w:pPr>
                  <w:spacing w:before="0" w:after="0" w:line="240" w:lineRule="auto"/>
                  <w:jc w:val="center"/>
                  <w:rPr>
                    <w:rFonts w:eastAsia="Times New Roman" w:cs="Arial"/>
                    <w:lang w:eastAsia="en-AU"/>
                  </w:rPr>
                </w:pPr>
                <w:r w:rsidRPr="008D2C93">
                  <w:rPr>
                    <w:rFonts w:eastAsia="Times New Roman" w:cs="Arial"/>
                    <w:lang w:eastAsia="en-AU"/>
                  </w:rPr>
                  <w:t>Max Capacity</w:t>
                </w:r>
              </w:p>
            </w:tc>
          </w:tr>
          <w:tr w:rsidR="006E186E" w:rsidRPr="004D0B56" w:rsidTr="00A62205">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E186E" w:rsidRPr="004D0B56" w:rsidRDefault="006E186E" w:rsidP="00A62205">
                <w:pPr>
                  <w:spacing w:after="0" w:line="240" w:lineRule="auto"/>
                  <w:jc w:val="center"/>
                  <w:rPr>
                    <w:rFonts w:eastAsia="Times New Roman" w:cs="Arial"/>
                    <w:color w:val="000000"/>
                    <w:lang w:eastAsia="en-AU"/>
                  </w:rPr>
                </w:pPr>
              </w:p>
            </w:tc>
            <w:tc>
              <w:tcPr>
                <w:tcW w:w="1671" w:type="dxa"/>
                <w:tcBorders>
                  <w:bottom w:val="nil"/>
                </w:tcBorders>
                <w:shd w:val="clear" w:color="auto" w:fill="076A92" w:themeFill="text1"/>
                <w:noWrap/>
                <w:vAlign w:val="center"/>
                <w:hideMark/>
              </w:tcPr>
              <w:p w:rsidR="006E186E" w:rsidRPr="004D0B56" w:rsidRDefault="006E186E" w:rsidP="00A62205">
                <w:pPr>
                  <w:spacing w:after="0" w:line="240" w:lineRule="auto"/>
                  <w:jc w:val="center"/>
                  <w:rPr>
                    <w:rFonts w:eastAsia="Times New Roman" w:cs="Arial"/>
                    <w:lang w:eastAsia="en-AU"/>
                  </w:rPr>
                </w:pPr>
                <w:r w:rsidRPr="004D0B56">
                  <w:rPr>
                    <w:rFonts w:eastAsia="Times New Roman" w:cs="Arial"/>
                    <w:lang w:eastAsia="en-AU"/>
                  </w:rPr>
                  <w:t>Lower regulation</w:t>
                </w:r>
              </w:p>
            </w:tc>
            <w:tc>
              <w:tcPr>
                <w:tcW w:w="1800" w:type="dxa"/>
                <w:tcBorders>
                  <w:bottom w:val="nil"/>
                </w:tcBorders>
                <w:shd w:val="clear" w:color="auto" w:fill="076A92" w:themeFill="text1"/>
                <w:noWrap/>
                <w:vAlign w:val="center"/>
                <w:hideMark/>
              </w:tcPr>
              <w:p w:rsidR="006E186E" w:rsidRPr="004D0B56" w:rsidRDefault="006E186E" w:rsidP="00A62205">
                <w:pPr>
                  <w:spacing w:after="0" w:line="240" w:lineRule="auto"/>
                  <w:jc w:val="center"/>
                  <w:rPr>
                    <w:rFonts w:eastAsia="Times New Roman" w:cs="Arial"/>
                    <w:lang w:eastAsia="en-AU"/>
                  </w:rPr>
                </w:pPr>
                <w:r w:rsidRPr="004D0B56">
                  <w:rPr>
                    <w:rFonts w:eastAsia="Times New Roman" w:cs="Arial"/>
                    <w:lang w:eastAsia="en-AU"/>
                  </w:rPr>
                  <w:t>Raise regulation</w:t>
                </w:r>
              </w:p>
            </w:tc>
          </w:tr>
          <w:tr w:rsidR="006E186E"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nil"/>
                </w:tcBorders>
                <w:noWrap/>
                <w:vAlign w:val="center"/>
              </w:tcPr>
              <w:p w:rsidR="006E186E" w:rsidRDefault="006E186E" w:rsidP="00A62205">
                <w:pPr>
                  <w:spacing w:after="0" w:line="240" w:lineRule="auto"/>
                  <w:jc w:val="left"/>
                  <w:rPr>
                    <w:rFonts w:eastAsia="Times New Roman" w:cs="Arial"/>
                    <w:color w:val="000000"/>
                    <w:lang w:eastAsia="en-AU"/>
                  </w:rPr>
                </w:pPr>
                <w:r>
                  <w:rPr>
                    <w:rFonts w:eastAsia="Times New Roman" w:cs="Arial"/>
                    <w:color w:val="000000"/>
                    <w:lang w:eastAsia="en-AU"/>
                  </w:rPr>
                  <w:t>Osbourne</w:t>
                </w:r>
                <w:r w:rsidR="00597926">
                  <w:rPr>
                    <w:rFonts w:eastAsia="Times New Roman" w:cs="Arial"/>
                    <w:color w:val="000000"/>
                    <w:lang w:eastAsia="en-AU"/>
                  </w:rPr>
                  <w:t xml:space="preserve"> (Origin Energy)</w:t>
                </w:r>
              </w:p>
            </w:tc>
            <w:tc>
              <w:tcPr>
                <w:tcW w:w="1671" w:type="dxa"/>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c>
              <w:tcPr>
                <w:tcW w:w="1800" w:type="dxa"/>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r>
          <w:tr w:rsidR="006E186E" w:rsidRPr="008D2C93" w:rsidTr="00A62205">
            <w:trPr>
              <w:cnfStyle w:val="000000010000" w:firstRow="0" w:lastRow="0" w:firstColumn="0" w:lastColumn="0" w:oddVBand="0" w:evenVBand="0" w:oddHBand="0" w:evenHBand="1" w:firstRowFirstColumn="0" w:firstRowLastColumn="0" w:lastRowFirstColumn="0" w:lastRowLastColumn="0"/>
              <w:trHeight w:val="340"/>
            </w:trPr>
            <w:tc>
              <w:tcPr>
                <w:tcW w:w="3369" w:type="dxa"/>
                <w:tcBorders>
                  <w:top w:val="nil"/>
                </w:tcBorders>
                <w:noWrap/>
                <w:vAlign w:val="center"/>
                <w:hideMark/>
              </w:tcPr>
              <w:p w:rsidR="006E186E" w:rsidRPr="008D2C93" w:rsidRDefault="006E186E" w:rsidP="00A62205">
                <w:pPr>
                  <w:spacing w:after="0" w:line="240" w:lineRule="auto"/>
                  <w:jc w:val="left"/>
                  <w:rPr>
                    <w:rFonts w:eastAsia="Times New Roman" w:cs="Arial"/>
                    <w:color w:val="000000"/>
                    <w:lang w:eastAsia="en-AU"/>
                  </w:rPr>
                </w:pPr>
                <w:r>
                  <w:rPr>
                    <w:rFonts w:eastAsia="Times New Roman" w:cs="Arial"/>
                    <w:color w:val="000000"/>
                    <w:lang w:eastAsia="en-AU"/>
                  </w:rPr>
                  <w:t>Quarantine</w:t>
                </w:r>
                <w:r w:rsidR="00597926">
                  <w:rPr>
                    <w:rFonts w:eastAsia="Times New Roman" w:cs="Arial"/>
                    <w:color w:val="000000"/>
                    <w:lang w:eastAsia="en-AU"/>
                  </w:rPr>
                  <w:t xml:space="preserve"> (Origin Energy)</w:t>
                </w:r>
              </w:p>
            </w:tc>
            <w:tc>
              <w:tcPr>
                <w:tcW w:w="1671" w:type="dxa"/>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c>
              <w:tcPr>
                <w:tcW w:w="1800" w:type="dxa"/>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r>
          <w:tr w:rsidR="006E186E"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Pelican</w:t>
                </w:r>
                <w:r>
                  <w:rPr>
                    <w:rFonts w:eastAsia="Times New Roman" w:cs="Arial"/>
                    <w:color w:val="000000"/>
                    <w:lang w:eastAsia="en-AU"/>
                  </w:rPr>
                  <w:t xml:space="preserve"> Point</w:t>
                </w:r>
                <w:r w:rsidR="00597926">
                  <w:rPr>
                    <w:rFonts w:eastAsia="Times New Roman" w:cs="Arial"/>
                    <w:color w:val="000000"/>
                    <w:lang w:eastAsia="en-AU"/>
                  </w:rPr>
                  <w:t xml:space="preserve"> (Engie)</w:t>
                </w:r>
              </w:p>
            </w:tc>
            <w:tc>
              <w:tcPr>
                <w:tcW w:w="1671"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c>
              <w:tcPr>
                <w:tcW w:w="1800"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r>
          <w:tr w:rsidR="006E186E" w:rsidRPr="008D2C93" w:rsidTr="00A62205">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Torrens Island</w:t>
                </w:r>
                <w:r w:rsidR="00597926">
                  <w:rPr>
                    <w:rFonts w:eastAsia="Times New Roman" w:cs="Arial"/>
                    <w:color w:val="000000"/>
                    <w:lang w:eastAsia="en-AU"/>
                  </w:rPr>
                  <w:t xml:space="preserve"> (AGL)</w:t>
                </w:r>
              </w:p>
            </w:tc>
            <w:tc>
              <w:tcPr>
                <w:tcW w:w="1671"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200</w:t>
                </w:r>
              </w:p>
            </w:tc>
            <w:tc>
              <w:tcPr>
                <w:tcW w:w="1800"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260</w:t>
                </w:r>
              </w:p>
            </w:tc>
          </w:tr>
          <w:tr w:rsidR="00BA7044"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tcPr>
              <w:p w:rsidR="00BA7044" w:rsidRPr="00BA7044" w:rsidRDefault="00BA7044" w:rsidP="007D65A0">
                <w:pPr>
                  <w:spacing w:after="0" w:line="240" w:lineRule="auto"/>
                  <w:jc w:val="left"/>
                  <w:rPr>
                    <w:rFonts w:eastAsia="Times New Roman" w:cs="Arial"/>
                    <w:b/>
                    <w:color w:val="000000"/>
                    <w:lang w:eastAsia="en-AU"/>
                  </w:rPr>
                </w:pPr>
                <w:r w:rsidRPr="00BA7044">
                  <w:rPr>
                    <w:rFonts w:eastAsia="Times New Roman" w:cs="Arial"/>
                    <w:b/>
                    <w:color w:val="000000"/>
                    <w:lang w:eastAsia="en-AU"/>
                  </w:rPr>
                  <w:t>Total</w:t>
                </w:r>
              </w:p>
            </w:tc>
            <w:tc>
              <w:tcPr>
                <w:tcW w:w="1671" w:type="dxa"/>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386</w:t>
                </w:r>
              </w:p>
            </w:tc>
            <w:tc>
              <w:tcPr>
                <w:tcW w:w="1800" w:type="dxa"/>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446</w:t>
                </w:r>
              </w:p>
            </w:tc>
          </w:tr>
        </w:tbl>
        <w:p w:rsidR="00FE21D8" w:rsidRDefault="00FE21D8" w:rsidP="00FE21D8">
          <w:pPr>
            <w:pStyle w:val="Heading2"/>
          </w:pPr>
          <w:bookmarkStart w:id="10" w:name="_Toc464205967"/>
          <w:bookmarkStart w:id="11" w:name="_Toc467746553"/>
          <w:r>
            <w:lastRenderedPageBreak/>
            <w:t>Effective available capacity and price</w:t>
          </w:r>
          <w:bookmarkEnd w:id="10"/>
          <w:bookmarkEnd w:id="11"/>
        </w:p>
        <w:p w:rsidR="00FE21D8" w:rsidRDefault="00FE21D8" w:rsidP="00FE21D8">
          <w:pPr>
            <w:pStyle w:val="AERbody"/>
          </w:pPr>
          <w:r>
            <w:t xml:space="preserve">For every dispatch interval the National Electricity Market Dispatch Engine (NEMDE) co-optimises FCAS and energy offers to arrive at the least cost security constrained solution. Effective available FCAS capacity </w:t>
          </w:r>
          <w:r w:rsidRPr="00B02C5A">
            <w:t xml:space="preserve">is the offered </w:t>
          </w:r>
          <w:r>
            <w:t xml:space="preserve">FCAS </w:t>
          </w:r>
          <w:r w:rsidRPr="00B02C5A">
            <w:t>capacity adjusted for the energy output of the generator</w:t>
          </w:r>
          <w:r>
            <w:t>.</w:t>
          </w:r>
        </w:p>
        <w:p w:rsidR="00FE21D8" w:rsidRDefault="00FE21D8" w:rsidP="004E6FA8">
          <w:r>
            <w:t xml:space="preserve">Prices for lower and raise regulation services </w:t>
          </w:r>
          <w:r w:rsidR="007F6F9E">
            <w:t>were around $9450/MW and</w:t>
          </w:r>
          <w:r>
            <w:t xml:space="preserve"> $</w:t>
          </w:r>
          <w:r w:rsidR="007F6F9E">
            <w:t>11 250</w:t>
          </w:r>
          <w:r>
            <w:t>/MW</w:t>
          </w:r>
          <w:r w:rsidR="007F6F9E">
            <w:t xml:space="preserve"> respectively</w:t>
          </w:r>
          <w:r>
            <w:t xml:space="preserve"> for </w:t>
          </w:r>
          <w:r w:rsidR="007F6F9E">
            <w:t xml:space="preserve">around four and a half hours, exceeding the $5000/MW reporting threshold for </w:t>
          </w:r>
          <w:r>
            <w:t>53</w:t>
          </w:r>
          <w:r w:rsidRPr="00FB7A65">
            <w:t xml:space="preserve"> dispatch</w:t>
          </w:r>
          <w:r w:rsidR="007F6F9E">
            <w:t xml:space="preserve"> intervals</w:t>
          </w:r>
          <w:r>
            <w:t>.</w:t>
          </w:r>
        </w:p>
        <w:p w:rsidR="00540A1E" w:rsidRDefault="00AF434A" w:rsidP="00540A1E">
          <w:pPr>
            <w:pStyle w:val="AERbody"/>
          </w:pPr>
          <w:r>
            <w:fldChar w:fldCharType="begin"/>
          </w:r>
          <w:r>
            <w:instrText xml:space="preserve"> REF _Ref466901510 \h </w:instrText>
          </w:r>
          <w:r>
            <w:fldChar w:fldCharType="separate"/>
          </w:r>
          <w:r w:rsidR="00515978">
            <w:t xml:space="preserve">Figure </w:t>
          </w:r>
          <w:r w:rsidR="00515978">
            <w:rPr>
              <w:noProof/>
            </w:rPr>
            <w:t>1</w:t>
          </w:r>
          <w:r>
            <w:fldChar w:fldCharType="end"/>
          </w:r>
          <w:r>
            <w:t xml:space="preserve"> </w:t>
          </w:r>
          <w:r w:rsidR="00540A1E">
            <w:t xml:space="preserve">and </w:t>
          </w:r>
          <w:r>
            <w:fldChar w:fldCharType="begin"/>
          </w:r>
          <w:r>
            <w:instrText xml:space="preserve"> REF _Ref466901531 \h </w:instrText>
          </w:r>
          <w:r>
            <w:fldChar w:fldCharType="separate"/>
          </w:r>
          <w:r w:rsidR="00515978">
            <w:t xml:space="preserve">Figure </w:t>
          </w:r>
          <w:r w:rsidR="00515978">
            <w:rPr>
              <w:noProof/>
            </w:rPr>
            <w:t>2</w:t>
          </w:r>
          <w:r>
            <w:fldChar w:fldCharType="end"/>
          </w:r>
          <w:r>
            <w:t xml:space="preserve"> </w:t>
          </w:r>
          <w:r w:rsidR="00540A1E">
            <w:t>show actual price (purple line)</w:t>
          </w:r>
          <w:r w:rsidR="00540A1E">
            <w:rPr>
              <w:rStyle w:val="FootnoteReference"/>
            </w:rPr>
            <w:footnoteReference w:id="4"/>
          </w:r>
          <w:r w:rsidR="00540A1E">
            <w:t xml:space="preserve"> and effective available capacity over the high price period. The (constant) 35 MW requirement is shown as a red line. </w:t>
          </w:r>
        </w:p>
        <w:p w:rsidR="00540A1E" w:rsidRDefault="00540A1E" w:rsidP="00540A1E">
          <w:pPr>
            <w:pStyle w:val="AERbody"/>
          </w:pPr>
          <w:r>
            <w:t xml:space="preserve">The blue shaded areas indicate effective available capacity below $5000/MW and effective available capacity above $5000/MW is indicated by the light orange shaded areas. </w:t>
          </w:r>
        </w:p>
        <w:p w:rsidR="00AF434A" w:rsidRDefault="00540A1E" w:rsidP="00AF434A">
          <w:pPr>
            <w:pStyle w:val="Caption"/>
            <w:jc w:val="both"/>
          </w:pPr>
          <w:bookmarkStart w:id="12" w:name="_Ref466901510"/>
          <w:r>
            <w:t xml:space="preserve">Figure </w:t>
          </w:r>
          <w:r w:rsidR="00FC71D2">
            <w:fldChar w:fldCharType="begin"/>
          </w:r>
          <w:r w:rsidR="00FC71D2">
            <w:instrText xml:space="preserve"> </w:instrText>
          </w:r>
          <w:r w:rsidR="00FC71D2">
            <w:instrText xml:space="preserve">SEQ Figure \* ARABIC </w:instrText>
          </w:r>
          <w:r w:rsidR="00FC71D2">
            <w:fldChar w:fldCharType="separate"/>
          </w:r>
          <w:r w:rsidR="00515978">
            <w:rPr>
              <w:noProof/>
            </w:rPr>
            <w:t>1</w:t>
          </w:r>
          <w:r w:rsidR="00FC71D2">
            <w:rPr>
              <w:noProof/>
            </w:rPr>
            <w:fldChar w:fldCharType="end"/>
          </w:r>
          <w:bookmarkEnd w:id="12"/>
          <w:r>
            <w:t xml:space="preserve"> L</w:t>
          </w:r>
          <w:r w:rsidRPr="00B23949">
            <w:t>ow</w:t>
          </w:r>
          <w:r>
            <w:t>er</w:t>
          </w:r>
          <w:r w:rsidRPr="00B23949">
            <w:t xml:space="preserve"> regulation </w:t>
          </w:r>
          <w:r>
            <w:t>effectiv</w:t>
          </w:r>
          <w:r w:rsidR="00AF434A">
            <w:t>e offers, requirement and price</w:t>
          </w:r>
        </w:p>
        <w:p w:rsidR="00AF434A" w:rsidRDefault="008A28FE" w:rsidP="00540A1E">
          <w:r w:rsidRPr="008A28FE">
            <w:rPr>
              <w:noProof/>
              <w:lang w:eastAsia="en-AU"/>
            </w:rPr>
            <w:drawing>
              <wp:inline distT="0" distB="0" distL="0" distR="0" wp14:anchorId="499AC9F4" wp14:editId="524261C4">
                <wp:extent cx="5382895" cy="2756580"/>
                <wp:effectExtent l="0" t="0" r="8255" b="5715"/>
                <wp:docPr id="11" name="Picture 11" descr="Figure 1 Lower regulation effective offers, requirement and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756580"/>
                        </a:xfrm>
                        <a:prstGeom prst="rect">
                          <a:avLst/>
                        </a:prstGeom>
                        <a:noFill/>
                        <a:ln>
                          <a:noFill/>
                        </a:ln>
                      </pic:spPr>
                    </pic:pic>
                  </a:graphicData>
                </a:graphic>
              </wp:inline>
            </w:drawing>
          </w:r>
        </w:p>
        <w:p w:rsidR="00540A1E" w:rsidRPr="00CE4B44" w:rsidRDefault="00540A1E" w:rsidP="00540A1E"/>
        <w:p w:rsidR="00540A1E" w:rsidRDefault="00540A1E" w:rsidP="00540A1E">
          <w:pPr>
            <w:pStyle w:val="Caption"/>
            <w:jc w:val="both"/>
          </w:pPr>
          <w:bookmarkStart w:id="13" w:name="_Ref466901531"/>
          <w:r>
            <w:lastRenderedPageBreak/>
            <w:t xml:space="preserve">Figure </w:t>
          </w:r>
          <w:r w:rsidR="00FC71D2">
            <w:fldChar w:fldCharType="begin"/>
          </w:r>
          <w:r w:rsidR="00FC71D2">
            <w:instrText xml:space="preserve"> SEQ Figure \* ARABIC </w:instrText>
          </w:r>
          <w:r w:rsidR="00FC71D2">
            <w:fldChar w:fldCharType="separate"/>
          </w:r>
          <w:r w:rsidR="00515978">
            <w:rPr>
              <w:noProof/>
            </w:rPr>
            <w:t>2</w:t>
          </w:r>
          <w:r w:rsidR="00FC71D2">
            <w:rPr>
              <w:noProof/>
            </w:rPr>
            <w:fldChar w:fldCharType="end"/>
          </w:r>
          <w:bookmarkEnd w:id="13"/>
          <w:r>
            <w:t xml:space="preserve"> Raise</w:t>
          </w:r>
          <w:r w:rsidRPr="00B23949">
            <w:t xml:space="preserve"> </w:t>
          </w:r>
          <w:r>
            <w:t>r</w:t>
          </w:r>
          <w:r w:rsidRPr="00B23949">
            <w:t xml:space="preserve">egulation </w:t>
          </w:r>
          <w:r>
            <w:t>effective offers, requirement and price</w:t>
          </w:r>
        </w:p>
        <w:p w:rsidR="008A28FE" w:rsidRPr="00AF434A" w:rsidRDefault="008A28FE" w:rsidP="00AF434A">
          <w:r w:rsidRPr="008A28FE">
            <w:rPr>
              <w:noProof/>
              <w:lang w:eastAsia="en-AU"/>
            </w:rPr>
            <w:drawing>
              <wp:inline distT="0" distB="0" distL="0" distR="0" wp14:anchorId="1F705677" wp14:editId="33B1CC7A">
                <wp:extent cx="5382895" cy="2756580"/>
                <wp:effectExtent l="0" t="0" r="8255" b="5715"/>
                <wp:docPr id="12" name="Picture 12" descr="Figure 2 Raise regulation effective offers, requirement and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756580"/>
                        </a:xfrm>
                        <a:prstGeom prst="rect">
                          <a:avLst/>
                        </a:prstGeom>
                        <a:noFill/>
                        <a:ln>
                          <a:noFill/>
                        </a:ln>
                      </pic:spPr>
                    </pic:pic>
                  </a:graphicData>
                </a:graphic>
              </wp:inline>
            </w:drawing>
          </w:r>
        </w:p>
        <w:p w:rsidR="001D33BE" w:rsidRDefault="00540A1E" w:rsidP="001D33BE">
          <w:pPr>
            <w:pStyle w:val="AERbody"/>
          </w:pPr>
          <w:r>
            <w:t>Prices for raise and lower regulation services were forecast to be below $600/MW four and twelve hours ahead of dispatch for the majority of the high price period.</w:t>
          </w:r>
          <w:r w:rsidR="001D33BE" w:rsidRPr="001D33BE">
            <w:t xml:space="preserve"> </w:t>
          </w:r>
          <w:r w:rsidR="001D33BE" w:rsidRPr="006E3E3B">
            <w:t xml:space="preserve">Four hours ahead of dispatch, effective available capacity was forecast to be around </w:t>
          </w:r>
          <w:r w:rsidR="006E3E3B" w:rsidRPr="006E3E3B">
            <w:t>47</w:t>
          </w:r>
          <w:r w:rsidR="001D33BE" w:rsidRPr="006E3E3B">
            <w:t xml:space="preserve"> MW for lower regulation services and around </w:t>
          </w:r>
          <w:r w:rsidR="006E3E3B" w:rsidRPr="006E3E3B">
            <w:t>128</w:t>
          </w:r>
          <w:r w:rsidR="001D33BE" w:rsidRPr="006E3E3B">
            <w:t> MW for raise regulation services (sufficient to cover the 35 MW requirement) for the high price period.</w:t>
          </w:r>
        </w:p>
        <w:p w:rsidR="007D65A0" w:rsidRDefault="007D65A0" w:rsidP="007D65A0">
          <w:pPr>
            <w:pStyle w:val="AERbody"/>
          </w:pPr>
          <w:r>
            <w:t>The circumstances relating to the imposition of the South Australian regulation requirement are described more fully in Appendix B.</w:t>
          </w:r>
        </w:p>
        <w:p w:rsidR="001D33BE" w:rsidRDefault="001D33BE" w:rsidP="001D33BE">
          <w:pPr>
            <w:pStyle w:val="Heading3"/>
          </w:pPr>
          <w:bookmarkStart w:id="14" w:name="_Toc464205968"/>
          <w:bookmarkStart w:id="15" w:name="_Toc467746554"/>
          <w:r>
            <w:t>Rebidding</w:t>
          </w:r>
          <w:bookmarkEnd w:id="14"/>
          <w:bookmarkEnd w:id="15"/>
        </w:p>
        <w:p w:rsidR="001D33BE" w:rsidRPr="00772EA1" w:rsidRDefault="001D33BE" w:rsidP="001D33BE">
          <w:pPr>
            <w:pStyle w:val="AERbody"/>
          </w:pPr>
          <w:r>
            <w:t xml:space="preserve">Forecasts four and 12 hours ahead showed that the 35 MW of local requirements could be met by low price capacity. </w:t>
          </w:r>
          <w:r w:rsidRPr="00772EA1">
            <w:t xml:space="preserve">Rebidding </w:t>
          </w:r>
          <w:r>
            <w:t xml:space="preserve">of lower and raise regulation services </w:t>
          </w:r>
          <w:r w:rsidRPr="00772EA1">
            <w:t xml:space="preserve">by </w:t>
          </w:r>
          <w:r>
            <w:t xml:space="preserve">Origin Energy at its Osbourne Power Station from low prices to high prices was the dominant factor affecting the high price outcomes. </w:t>
          </w:r>
          <w:r w:rsidR="00721FCC">
            <w:t>All significant rebids are listed in Appendix C.</w:t>
          </w:r>
        </w:p>
        <w:p w:rsidR="001D33BE" w:rsidRPr="00942051" w:rsidRDefault="001D33BE" w:rsidP="001D33BE">
          <w:r w:rsidRPr="00942051">
            <w:t xml:space="preserve">Out of 446 MW and 386 MW of capacity registered for raise and lower regulation services respectively, around </w:t>
          </w:r>
          <w:r w:rsidRPr="00832067">
            <w:t xml:space="preserve">182 MW and 152 MW was offered to the market. </w:t>
          </w:r>
          <w:r w:rsidRPr="00FC571A">
            <w:t xml:space="preserve">35 MW was offered in price bands less than $5000/MW and </w:t>
          </w:r>
          <w:r w:rsidR="00E506C9">
            <w:t>1</w:t>
          </w:r>
          <w:r w:rsidRPr="00FC571A">
            <w:t>47 MW and 117 MW respectively offered in bands greater than $5000/MW</w:t>
          </w:r>
          <w:r w:rsidRPr="00942051">
            <w:t>.</w:t>
          </w:r>
        </w:p>
        <w:p w:rsidR="007D65A0" w:rsidRDefault="007D65A0" w:rsidP="007D65A0">
          <w:pPr>
            <w:pStyle w:val="AERbody"/>
          </w:pPr>
          <w:r>
            <w:t>A dominant cause of the high price was a rebid from Origin which shifted capacity from low to high prices.</w:t>
          </w:r>
        </w:p>
        <w:p w:rsidR="001D33BE" w:rsidRDefault="001D33BE" w:rsidP="001D33BE">
          <w:r w:rsidRPr="00942051">
            <w:t>At 10.26 am</w:t>
          </w:r>
          <w:r w:rsidR="007D65A0">
            <w:t>, effective from 11.05 am until 5.30 pm</w:t>
          </w:r>
          <w:r w:rsidRPr="00C47F61">
            <w:t xml:space="preserve"> Origin</w:t>
          </w:r>
          <w:r>
            <w:t xml:space="preserve"> Energy</w:t>
          </w:r>
          <w:r w:rsidRPr="00C47F61">
            <w:t xml:space="preserve"> rebid</w:t>
          </w:r>
          <w:r>
            <w:t>:</w:t>
          </w:r>
        </w:p>
        <w:p w:rsidR="001D33BE" w:rsidRDefault="001D33BE" w:rsidP="006356B7">
          <w:pPr>
            <w:pStyle w:val="ListParagraph"/>
            <w:numPr>
              <w:ilvl w:val="0"/>
              <w:numId w:val="26"/>
            </w:numPr>
          </w:pPr>
          <w:r w:rsidRPr="00C47F61">
            <w:t>1 MW of capacity at Osbourne in raise services from $0/MW to $11 250/MW</w:t>
          </w:r>
        </w:p>
        <w:p w:rsidR="001D33BE" w:rsidRDefault="001D33BE" w:rsidP="006356B7">
          <w:pPr>
            <w:pStyle w:val="ListParagraph"/>
            <w:numPr>
              <w:ilvl w:val="0"/>
              <w:numId w:val="26"/>
            </w:numPr>
          </w:pPr>
          <w:r w:rsidRPr="00C47F61">
            <w:t xml:space="preserve">1 MW of capacity at Osbourne in </w:t>
          </w:r>
          <w:r>
            <w:t>lower</w:t>
          </w:r>
          <w:r w:rsidRPr="00C47F61">
            <w:t xml:space="preserve"> services from $0/MW to $</w:t>
          </w:r>
          <w:r>
            <w:t>9450</w:t>
          </w:r>
          <w:r w:rsidRPr="00C47F61">
            <w:t>/MW</w:t>
          </w:r>
        </w:p>
        <w:p w:rsidR="006356B7" w:rsidRDefault="001D33BE" w:rsidP="006356B7">
          <w:r w:rsidRPr="00C47F61">
            <w:t xml:space="preserve">This left only 34 MW of capacity </w:t>
          </w:r>
          <w:r>
            <w:t xml:space="preserve">for both raise and lower regulation services </w:t>
          </w:r>
          <w:r w:rsidRPr="00C47F61">
            <w:t>priced less than $5000/MW</w:t>
          </w:r>
          <w:r>
            <w:t>;</w:t>
          </w:r>
          <w:r w:rsidRPr="00C47F61">
            <w:t xml:space="preserve"> </w:t>
          </w:r>
          <w:r>
            <w:t>1 MW below the</w:t>
          </w:r>
          <w:r w:rsidRPr="00C47F61">
            <w:t xml:space="preserve"> 35 MW requirement. </w:t>
          </w:r>
          <w:r>
            <w:t>High cost services had to be used to</w:t>
          </w:r>
          <w:r w:rsidR="0095328A">
            <w:t xml:space="preserve"> meet the requirement and</w:t>
          </w:r>
          <w:r>
            <w:t xml:space="preserve"> consequently, the price for raise services reached </w:t>
          </w:r>
          <w:r w:rsidRPr="00C47F61">
            <w:lastRenderedPageBreak/>
            <w:t>$11 250/MW</w:t>
          </w:r>
          <w:r>
            <w:t xml:space="preserve"> and lower services reached $9450/MW</w:t>
          </w:r>
          <w:r w:rsidR="00721FCC">
            <w:t xml:space="preserve"> and</w:t>
          </w:r>
          <w:r w:rsidRPr="00C47F61">
            <w:t xml:space="preserve"> </w:t>
          </w:r>
          <w:r>
            <w:t xml:space="preserve">remained </w:t>
          </w:r>
          <w:r w:rsidR="00721FCC">
            <w:t>there</w:t>
          </w:r>
          <w:r>
            <w:t xml:space="preserve"> </w:t>
          </w:r>
          <w:r w:rsidRPr="00C47F61">
            <w:t>until 3.30 pm, when the 35</w:t>
          </w:r>
          <w:r>
            <w:t> </w:t>
          </w:r>
          <w:r w:rsidRPr="00C47F61">
            <w:t xml:space="preserve">MW regulation requirement </w:t>
          </w:r>
          <w:r>
            <w:t xml:space="preserve">was </w:t>
          </w:r>
          <w:r w:rsidR="006356B7">
            <w:t>no longer in effect</w:t>
          </w:r>
          <w:r w:rsidRPr="00C47F61">
            <w:t>.</w:t>
          </w:r>
          <w:r w:rsidR="006356B7">
            <w:t xml:space="preserve"> See </w:t>
          </w:r>
          <w:r w:rsidR="00AF434A">
            <w:fldChar w:fldCharType="begin"/>
          </w:r>
          <w:r w:rsidR="00AF434A">
            <w:instrText xml:space="preserve"> REF _Ref466901510 \h </w:instrText>
          </w:r>
          <w:r w:rsidR="00AF434A">
            <w:fldChar w:fldCharType="separate"/>
          </w:r>
          <w:r w:rsidR="00515978">
            <w:t xml:space="preserve">Figure </w:t>
          </w:r>
          <w:r w:rsidR="00515978">
            <w:rPr>
              <w:noProof/>
            </w:rPr>
            <w:t>1</w:t>
          </w:r>
          <w:r w:rsidR="00AF434A">
            <w:fldChar w:fldCharType="end"/>
          </w:r>
          <w:r w:rsidR="00AF434A">
            <w:t xml:space="preserve"> and </w:t>
          </w:r>
          <w:r w:rsidR="00AF434A">
            <w:fldChar w:fldCharType="begin"/>
          </w:r>
          <w:r w:rsidR="00AF434A">
            <w:instrText xml:space="preserve"> REF _Ref466901531 \h </w:instrText>
          </w:r>
          <w:r w:rsidR="00AF434A">
            <w:fldChar w:fldCharType="separate"/>
          </w:r>
          <w:r w:rsidR="00515978">
            <w:t xml:space="preserve">Figure </w:t>
          </w:r>
          <w:r w:rsidR="00515978">
            <w:rPr>
              <w:noProof/>
            </w:rPr>
            <w:t>2</w:t>
          </w:r>
          <w:r w:rsidR="00AF434A">
            <w:fldChar w:fldCharType="end"/>
          </w:r>
          <w:r w:rsidR="00AF434A">
            <w:t xml:space="preserve"> </w:t>
          </w:r>
          <w:r w:rsidR="006356B7">
            <w:t>to observe the effect</w:t>
          </w:r>
          <w:r w:rsidR="007D65A0">
            <w:t xml:space="preserve"> of the 10.26 am Origin rebid. </w:t>
          </w:r>
        </w:p>
        <w:p w:rsidR="006356B7" w:rsidRPr="006D5E16" w:rsidRDefault="006356B7" w:rsidP="006356B7">
          <w:pPr>
            <w:rPr>
              <w:rStyle w:val="Bold"/>
            </w:rPr>
          </w:pPr>
          <w:r w:rsidRPr="006D5E16">
            <w:rPr>
              <w:rStyle w:val="Bold"/>
            </w:rPr>
            <w:t>Australian Energy Regulator</w:t>
          </w:r>
        </w:p>
        <w:p w:rsidR="006356B7" w:rsidRDefault="00D53207" w:rsidP="006356B7">
          <w:pPr>
            <w:rPr>
              <w:rStyle w:val="Bold"/>
            </w:rPr>
          </w:pPr>
          <w:r>
            <w:rPr>
              <w:rStyle w:val="Bold"/>
            </w:rPr>
            <w:t>November</w:t>
          </w:r>
          <w:r w:rsidR="006356B7" w:rsidRPr="006D5E16">
            <w:rPr>
              <w:rStyle w:val="Bold"/>
            </w:rPr>
            <w:t xml:space="preserve"> 201</w:t>
          </w:r>
          <w:r w:rsidR="006356B7">
            <w:rPr>
              <w:rStyle w:val="Bold"/>
            </w:rPr>
            <w:t>6</w:t>
          </w:r>
        </w:p>
        <w:p w:rsidR="00EE2EBF" w:rsidRDefault="00EE2EBF" w:rsidP="006356B7">
          <w:r>
            <w:br w:type="page"/>
          </w:r>
        </w:p>
        <w:p w:rsidR="00992010" w:rsidRDefault="00992010" w:rsidP="00992010">
          <w:pPr>
            <w:pStyle w:val="Heading1notnumber"/>
          </w:pPr>
          <w:bookmarkStart w:id="16" w:name="_Toc467746555"/>
          <w:r>
            <w:lastRenderedPageBreak/>
            <w:t xml:space="preserve">Appendix </w:t>
          </w:r>
          <w:proofErr w:type="spellStart"/>
          <w:proofErr w:type="gramStart"/>
          <w:r w:rsidR="00461F4E">
            <w:t>A</w:t>
          </w:r>
          <w:proofErr w:type="spellEnd"/>
          <w:proofErr w:type="gramEnd"/>
          <w:r>
            <w:tab/>
            <w:t>Explanation of FCAS</w:t>
          </w:r>
          <w:bookmarkEnd w:id="16"/>
        </w:p>
        <w:p w:rsidR="00992010" w:rsidRDefault="00992010" w:rsidP="00992010">
          <w:r>
            <w:t xml:space="preserve">Frequency control ancillary services (FCAS) are required to maintain the frequency of the power system within the frequency operating standards. There are two </w:t>
          </w:r>
          <w:r w:rsidR="001F37F7">
            <w:t xml:space="preserve">general categories </w:t>
          </w:r>
          <w:r>
            <w:t xml:space="preserve">of FCAS: </w:t>
          </w:r>
        </w:p>
        <w:p w:rsidR="00992010" w:rsidRDefault="00992010" w:rsidP="00992010">
          <w:pPr>
            <w:pStyle w:val="Bulletpoint"/>
          </w:pPr>
          <w:r>
            <w:t xml:space="preserve">Regulation services, which continuously </w:t>
          </w:r>
          <w:r w:rsidR="001F37F7">
            <w:t>adjust to</w:t>
          </w:r>
          <w:r>
            <w:t xml:space="preserve"> small changes in demand or supply (changes that cause the frequency to move by only a small amount away from 50</w:t>
          </w:r>
          <w:r w:rsidR="00D623D8">
            <w:t> </w:t>
          </w:r>
          <w:r>
            <w:t>Hz). There are regulation services to increase the frequency (raise regulation or RREG) and services to decrease the frequency (lower regulation or LREG).</w:t>
          </w:r>
        </w:p>
        <w:p w:rsidR="00992010" w:rsidRDefault="00992010" w:rsidP="00992010">
          <w:pPr>
            <w:pStyle w:val="Bulletpoint"/>
          </w:pPr>
          <w:r>
            <w:t xml:space="preserve">Contingency services, which manage large changes in demand or supply that occur relatively rarely and move the frequency by a large amount. </w:t>
          </w:r>
          <w:r w:rsidR="008B66AF">
            <w:t>T</w:t>
          </w:r>
          <w:r>
            <w:t xml:space="preserve">here are </w:t>
          </w:r>
          <w:r w:rsidR="001F37F7">
            <w:t xml:space="preserve">three </w:t>
          </w:r>
          <w:r>
            <w:t xml:space="preserve">contingency services to increase the frequency and </w:t>
          </w:r>
          <w:r w:rsidR="001F37F7">
            <w:t xml:space="preserve">three </w:t>
          </w:r>
          <w:r>
            <w:t>contingency services to decrease the frequency.</w:t>
          </w:r>
          <w:r w:rsidR="008B66AF">
            <w:t xml:space="preserve"> </w:t>
          </w:r>
        </w:p>
        <w:p w:rsidR="00992010" w:rsidRDefault="00992010" w:rsidP="00992010">
          <w:r>
            <w:t xml:space="preserve">Raise </w:t>
          </w:r>
          <w:r w:rsidR="00F75714">
            <w:t xml:space="preserve">Contingency </w:t>
          </w:r>
          <w:r>
            <w:t>FCAS are required to be available to correct the frequency excursions that have arisen from a credible contingency event that leads to a decrease in frequency. As these contingency events usually involve step reductions in supply</w:t>
          </w:r>
          <w:r w:rsidR="001F37F7">
            <w:t xml:space="preserve"> side</w:t>
          </w:r>
          <w:r>
            <w:t xml:space="preserve">, the Electricity Rules stipulate that generators pay for these services. </w:t>
          </w:r>
        </w:p>
        <w:p w:rsidR="00992010" w:rsidRDefault="00992010" w:rsidP="00992010">
          <w:r>
            <w:t xml:space="preserve">Lower contingency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F57A15" w:rsidRDefault="00F57A15" w:rsidP="00992010">
          <w:r>
            <w:t>Participants providing regulation services will receive adjusted dispatch targets every 5 minutes via their automatic generation co</w:t>
          </w:r>
          <w:r w:rsidR="00D623D8">
            <w:t xml:space="preserve">ntrol (AGC) signals from AEMO. </w:t>
          </w:r>
          <w:r>
            <w:t xml:space="preserve">Participants are paid through the FCAS markets in accordance with their offered volumes. Their energy </w:t>
          </w:r>
          <w:proofErr w:type="gramStart"/>
          <w:r>
            <w:t>production</w:t>
          </w:r>
          <w:proofErr w:type="gramEnd"/>
          <w:r w:rsidR="00D623D8">
            <w:t>,</w:t>
          </w:r>
          <w:r>
            <w:t xml:space="preserve"> that may be higher or lower depending on the AGC signals they receive</w:t>
          </w:r>
          <w:r w:rsidR="00D623D8">
            <w:t>,</w:t>
          </w:r>
          <w:r>
            <w:t xml:space="preserve"> are settled in accordance with energy market prices.</w:t>
          </w:r>
        </w:p>
        <w:p w:rsidR="00992010" w:rsidRDefault="00992010" w:rsidP="00992010">
          <w:r>
            <w:t>There are three lower and three raise contingency services:</w:t>
          </w:r>
        </w:p>
        <w:p w:rsidR="00992010" w:rsidRDefault="00992010" w:rsidP="00992010">
          <w:pPr>
            <w:pStyle w:val="Bulletpoint"/>
          </w:pPr>
          <w:r>
            <w:t>fast services, which arrest a frequency deviation within the first six seconds of a contingent event (L6 and R6);</w:t>
          </w:r>
        </w:p>
        <w:p w:rsidR="00992010" w:rsidRDefault="00992010" w:rsidP="00992010">
          <w:pPr>
            <w:pStyle w:val="Bulletpoint"/>
          </w:pPr>
          <w:r>
            <w:t>slow services, which stabilise frequency deviations within sixty seconds of the event (L60/R60); and</w:t>
          </w:r>
        </w:p>
        <w:p w:rsidR="00992010" w:rsidRDefault="00992010" w:rsidP="00992010">
          <w:pPr>
            <w:pStyle w:val="Bulletpoint"/>
          </w:pPr>
          <w:proofErr w:type="gramStart"/>
          <w:r>
            <w:t>delayed</w:t>
          </w:r>
          <w:proofErr w:type="gramEnd"/>
          <w:r>
            <w:t xml:space="preserve"> services, which stabilise frequency deviations within five minutes of the event (L5/R5).</w:t>
          </w:r>
        </w:p>
        <w:p w:rsidR="00F57A15" w:rsidRDefault="00F57A15" w:rsidP="00F57A15">
          <w:r>
            <w:t xml:space="preserve">Participants offering to provide contingency services are enabled in accordance with the “trapezium” </w:t>
          </w:r>
          <w:r w:rsidR="00D623D8">
            <w:t>supplied in their offers.</w:t>
          </w:r>
          <w:r>
            <w:t xml:space="preserve"> While participants will not necessarily be supplying these services until a contingency occurs they are paid in accordance with their enablement.</w:t>
          </w:r>
        </w:p>
        <w:p w:rsidR="00F57A15" w:rsidRDefault="00F57A15">
          <w:pPr>
            <w:spacing w:line="240" w:lineRule="auto"/>
            <w:jc w:val="left"/>
            <w:rPr>
              <w:rFonts w:eastAsia="Times New Roman" w:cs="Times New Roman"/>
              <w:b/>
              <w:bCs/>
              <w:color w:val="70635A" w:themeColor="text2"/>
              <w:sz w:val="28"/>
              <w:szCs w:val="20"/>
            </w:rPr>
          </w:pPr>
          <w:r>
            <w:br w:type="page"/>
          </w:r>
        </w:p>
        <w:p w:rsidR="00992010" w:rsidRDefault="00992010" w:rsidP="00992010">
          <w:pPr>
            <w:pStyle w:val="Heading3notnumbered"/>
            <w:rPr>
              <w:lang w:eastAsia="en-AU"/>
            </w:rPr>
          </w:pPr>
          <w:bookmarkStart w:id="17" w:name="_Toc467746556"/>
          <w:r>
            <w:rPr>
              <w:lang w:eastAsia="en-AU"/>
            </w:rPr>
            <w:lastRenderedPageBreak/>
            <w:t>Frequency Control Ancillary Service Settlement</w:t>
          </w:r>
          <w:bookmarkEnd w:id="17"/>
        </w:p>
        <w:p w:rsidR="00992010" w:rsidRPr="00F014DC" w:rsidRDefault="00992010" w:rsidP="00992010">
          <w:pPr>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r>
            <w:rPr>
              <w:rStyle w:val="FootnoteReference"/>
              <w:lang w:eastAsia="en-AU"/>
            </w:rPr>
            <w:footnoteReference w:id="5"/>
          </w:r>
          <w:r w:rsidRPr="00F014DC">
            <w:rPr>
              <w:lang w:eastAsia="en-AU"/>
            </w:rPr>
            <w:t>.</w:t>
          </w:r>
        </w:p>
        <w:p w:rsidR="00992010" w:rsidRPr="00F014DC" w:rsidRDefault="00992010" w:rsidP="00992010">
          <w:pPr>
            <w:pStyle w:val="Bulletpoint"/>
            <w:rPr>
              <w:lang w:eastAsia="en-AU"/>
            </w:rPr>
          </w:pPr>
          <w:r w:rsidRPr="00F014DC">
            <w:rPr>
              <w:lang w:eastAsia="en-AU"/>
            </w:rPr>
            <w:t xml:space="preserve">Contingency FCAS: Generators pay for Raise Services and customers pay for Lower Services. </w:t>
          </w:r>
        </w:p>
        <w:p w:rsidR="00992010" w:rsidRPr="00F014DC" w:rsidRDefault="00992010" w:rsidP="00992010">
          <w:pPr>
            <w:pStyle w:val="Bulletpoint"/>
            <w:rPr>
              <w:lang w:eastAsia="en-AU"/>
            </w:rPr>
          </w:pPr>
          <w:r w:rsidRPr="00F014DC">
            <w:rPr>
              <w:lang w:eastAsia="en-AU"/>
            </w:rPr>
            <w:t>Regulation FCAS: Cost recovery on a “causer pays” basis using the Causer Pays Procedure</w:t>
          </w:r>
          <w:r>
            <w:rPr>
              <w:rStyle w:val="FootnoteReference"/>
              <w:lang w:eastAsia="en-AU"/>
            </w:rPr>
            <w:footnoteReference w:id="6"/>
          </w:r>
          <w:r w:rsidRPr="00F014DC">
            <w:rPr>
              <w:lang w:eastAsia="en-AU"/>
            </w:rPr>
            <w:t xml:space="preserve"> developed by AEMO in accordance with the </w:t>
          </w:r>
          <w:r>
            <w:rPr>
              <w:lang w:eastAsia="en-AU"/>
            </w:rPr>
            <w:t xml:space="preserve">appropriate </w:t>
          </w:r>
          <w:r w:rsidRPr="00F014DC">
            <w:rPr>
              <w:lang w:eastAsia="en-AU"/>
            </w:rPr>
            <w:t>NER procedure</w:t>
          </w:r>
          <w:r>
            <w:rPr>
              <w:lang w:eastAsia="en-AU"/>
            </w:rPr>
            <w:t>s</w:t>
          </w:r>
          <w:r w:rsidRPr="00F014DC">
            <w:rPr>
              <w:lang w:eastAsia="en-AU"/>
            </w:rPr>
            <w:t xml:space="preserve">. </w:t>
          </w:r>
        </w:p>
        <w:p w:rsidR="00992010" w:rsidRPr="00F014DC" w:rsidRDefault="00992010" w:rsidP="00992010">
          <w:pPr>
            <w:rPr>
              <w:lang w:eastAsia="en-AU"/>
            </w:rPr>
          </w:pPr>
          <w:r w:rsidRPr="00F014DC">
            <w:rPr>
              <w:lang w:eastAsia="en-AU"/>
            </w:rPr>
            <w:t xml:space="preserve">The ‘Causer Pays’ Procedure allocates </w:t>
          </w:r>
          <w:r w:rsidR="00F75714" w:rsidRPr="00F014DC">
            <w:rPr>
              <w:lang w:eastAsia="en-AU"/>
            </w:rPr>
            <w:t xml:space="preserve">regulation </w:t>
          </w:r>
          <w:r w:rsidRPr="00F014DC">
            <w:rPr>
              <w:lang w:eastAsia="en-AU"/>
            </w:rPr>
            <w:t xml:space="preserve">FCAS costs to those market generators, customers and small generation aggregators with facilities that have the metering capable of determining their contribution to frequency deviations at any time. </w:t>
          </w:r>
        </w:p>
        <w:p w:rsidR="00992010" w:rsidRPr="00F014DC" w:rsidRDefault="00992010" w:rsidP="00992010">
          <w:pPr>
            <w:rPr>
              <w:lang w:eastAsia="en-AU"/>
            </w:rPr>
          </w:pPr>
          <w:r w:rsidRPr="00F014DC">
            <w:rPr>
              <w:lang w:eastAsia="en-AU"/>
            </w:rPr>
            <w:t xml:space="preserve">Every four weeks based on historical data </w:t>
          </w:r>
          <w:r>
            <w:rPr>
              <w:lang w:eastAsia="en-AU"/>
            </w:rPr>
            <w:t xml:space="preserve">AEMO calculates </w:t>
          </w:r>
          <w:r w:rsidRPr="00F014DC">
            <w:rPr>
              <w:lang w:eastAsia="en-AU"/>
            </w:rPr>
            <w:t xml:space="preserve">a single causer pays contribution factor </w:t>
          </w:r>
          <w:r>
            <w:rPr>
              <w:lang w:eastAsia="en-AU"/>
            </w:rPr>
            <w:t xml:space="preserve">that represents each market participants </w:t>
          </w:r>
          <w:r w:rsidRPr="00F014DC">
            <w:rPr>
              <w:lang w:eastAsia="en-AU"/>
            </w:rPr>
            <w:t>aggregate contribution to the need for Regulation FCAS on a portfolio basis across the NEM</w:t>
          </w:r>
          <w:r>
            <w:rPr>
              <w:lang w:eastAsia="en-AU"/>
            </w:rPr>
            <w:t xml:space="preserve">. </w:t>
          </w:r>
          <w:r w:rsidRPr="00F014DC">
            <w:rPr>
              <w:lang w:eastAsia="en-AU"/>
            </w:rPr>
            <w:t>This contribution factor is not dependent on the amount of energy purchased/consumed by the participant – consequently a generator with a non-zero factor in a particular period will still pay a share of FCAS costs irrespective of how much of its generation is running. Any market generator</w:t>
          </w:r>
          <w:r w:rsidR="00F75714">
            <w:rPr>
              <w:lang w:eastAsia="en-AU"/>
            </w:rPr>
            <w:t>,</w:t>
          </w:r>
          <w:r w:rsidRPr="00F014DC">
            <w:rPr>
              <w:lang w:eastAsia="en-AU"/>
            </w:rPr>
            <w:t xml:space="preserve"> with a non-zero contribution factor </w:t>
          </w:r>
          <w:r w:rsidR="00F75714">
            <w:rPr>
              <w:lang w:eastAsia="en-AU"/>
            </w:rPr>
            <w:t xml:space="preserve">with </w:t>
          </w:r>
          <w:r w:rsidRPr="00F014DC">
            <w:rPr>
              <w:lang w:eastAsia="en-AU"/>
            </w:rPr>
            <w:t>generating units in SA</w:t>
          </w:r>
          <w:r w:rsidR="00F75714">
            <w:rPr>
              <w:lang w:eastAsia="en-AU"/>
            </w:rPr>
            <w:t>,</w:t>
          </w:r>
          <w:r w:rsidRPr="00F014DC">
            <w:rPr>
              <w:lang w:eastAsia="en-AU"/>
            </w:rPr>
            <w:t xml:space="preserve"> will incur </w:t>
          </w:r>
          <w:r>
            <w:rPr>
              <w:lang w:eastAsia="en-AU"/>
            </w:rPr>
            <w:t>r</w:t>
          </w:r>
          <w:r w:rsidRPr="00F014DC">
            <w:rPr>
              <w:lang w:eastAsia="en-AU"/>
            </w:rPr>
            <w:t>egulation FCAS costs.</w:t>
          </w:r>
        </w:p>
        <w:p w:rsidR="00992010" w:rsidRPr="00F014DC" w:rsidRDefault="00992010" w:rsidP="00992010">
          <w:pPr>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 market customer is purchasing.</w:t>
          </w:r>
        </w:p>
        <w:p w:rsidR="005C68D8" w:rsidRDefault="005C68D8" w:rsidP="005C68D8">
          <w:pPr>
            <w:pStyle w:val="Heading1notnumber"/>
          </w:pPr>
          <w:bookmarkStart w:id="18" w:name="_Toc467746557"/>
          <w:r>
            <w:lastRenderedPageBreak/>
            <w:t>Appendix B Local Frequency Control Ancillary Services</w:t>
          </w:r>
          <w:bookmarkEnd w:id="18"/>
        </w:p>
        <w:p w:rsidR="005C68D8" w:rsidRDefault="005C68D8" w:rsidP="005C68D8">
          <w:r>
            <w:t xml:space="preserve">AEMO sets the requirement for FCAS to ensure that the frequency standard (as set by the Reliability Panel) is maintained in the event of step changes in supply or demand that results from credible contingencies. Where a credible contingency results in the loss of an interconnector it is termed a “separation event”. </w:t>
          </w:r>
        </w:p>
        <w:p w:rsidR="005C68D8" w:rsidRDefault="005C68D8" w:rsidP="005C68D8">
          <w:r>
            <w:t xml:space="preserve">The standard states that in the event of a “separation event” the frequency must be contained within 49 to 51 Hz or a wider band notified to AEMO by a relevant JSSC. In the case of South Australia the </w:t>
          </w:r>
          <w:r w:rsidRPr="00CC35B8">
            <w:t>JSSC notified AEMO that the frequency band for separation of the South Australian power system is 47 to 52</w:t>
          </w:r>
          <w:r>
            <w:t> </w:t>
          </w:r>
          <w:r w:rsidRPr="00CC35B8">
            <w:t>Hz and that under frequency relays will operate at frequency levels in the low end of this range.</w:t>
          </w:r>
        </w:p>
        <w:p w:rsidR="005C68D8" w:rsidRDefault="005C68D8" w:rsidP="005C68D8">
          <w:r>
            <w:t xml:space="preserve">When there is a potential separation event caused by the loss of an interconnector “local frequency control ancillary services” are usually required. </w:t>
          </w:r>
        </w:p>
        <w:p w:rsidR="005C68D8" w:rsidRDefault="005C68D8" w:rsidP="005C68D8">
          <w:r>
            <w:t>If the region was exporting at the time the interconnector fails, then as a consequence of the immediate over supply situation local contingency “lower” services are required in the islanded region 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5C68D8" w:rsidRDefault="005C68D8" w:rsidP="005C68D8">
          <w:r w:rsidRPr="00CC35B8">
            <w:t>A similar situation exists for contingency “raise” services for all other regions except South Australia where, in accordance with the advice from the JSSC, 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5C68D8" w:rsidRDefault="005C68D8" w:rsidP="005C68D8">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5C68D8" w:rsidRDefault="005C68D8" w:rsidP="005C68D8">
          <w:pPr>
            <w:spacing w:line="240" w:lineRule="auto"/>
            <w:jc w:val="left"/>
            <w:rPr>
              <w:rFonts w:eastAsia="Times New Roman" w:cs="Times New Roman"/>
              <w:b/>
              <w:bCs/>
              <w:color w:val="70635A" w:themeColor="text2"/>
              <w:sz w:val="28"/>
              <w:szCs w:val="20"/>
              <w:lang w:eastAsia="en-AU"/>
            </w:rPr>
          </w:pPr>
          <w:r>
            <w:rPr>
              <w:lang w:eastAsia="en-AU"/>
            </w:rPr>
            <w:br w:type="page"/>
          </w:r>
        </w:p>
        <w:p w:rsidR="00C7068C" w:rsidRDefault="00F1391C" w:rsidP="00C7068C">
          <w:pPr>
            <w:pStyle w:val="Heading1notnumber"/>
          </w:pPr>
          <w:bookmarkStart w:id="19" w:name="_Toc467746558"/>
          <w:r>
            <w:lastRenderedPageBreak/>
            <w:t xml:space="preserve">Appendix </w:t>
          </w:r>
          <w:r w:rsidR="005C68D8">
            <w:t>C</w:t>
          </w:r>
          <w:r w:rsidR="00C7068C">
            <w:tab/>
            <w:t>Significant Rebids</w:t>
          </w:r>
          <w:bookmarkEnd w:id="19"/>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461F4E" w:rsidP="00C7068C">
          <w:pPr>
            <w:pStyle w:val="Caption"/>
          </w:pPr>
          <w:r>
            <w:t xml:space="preserve">Table </w:t>
          </w:r>
          <w:r w:rsidR="005C68D8">
            <w:t>C</w:t>
          </w:r>
          <w:r w:rsidR="00EA6B2F">
            <w:t xml:space="preserve"> </w:t>
          </w:r>
          <w:r w:rsidR="00FC71D2">
            <w:fldChar w:fldCharType="begin"/>
          </w:r>
          <w:r w:rsidR="00FC71D2">
            <w:instrText xml:space="preserve"> SEQ Table_C \* ARABIC </w:instrText>
          </w:r>
          <w:r w:rsidR="00FC71D2">
            <w:fldChar w:fldCharType="separate"/>
          </w:r>
          <w:r w:rsidR="00515978">
            <w:rPr>
              <w:noProof/>
            </w:rPr>
            <w:t>1</w:t>
          </w:r>
          <w:r w:rsidR="00FC71D2">
            <w:rPr>
              <w:noProof/>
            </w:rPr>
            <w:fldChar w:fldCharType="end"/>
          </w:r>
          <w:r w:rsidR="00EA6B2F">
            <w:t xml:space="preserve">: </w:t>
          </w:r>
          <w:r w:rsidR="00C7068C">
            <w:t xml:space="preserve">Significant </w:t>
          </w:r>
          <w:r w:rsidR="006F3333">
            <w:t xml:space="preserve">rebids </w:t>
          </w:r>
          <w:r w:rsidR="00C7068C">
            <w:t xml:space="preserve">for </w:t>
          </w:r>
          <w:r w:rsidR="00F26E06">
            <w:t>1</w:t>
          </w:r>
          <w:r w:rsidR="004843FB">
            <w:t>6</w:t>
          </w:r>
          <w:r w:rsidR="00F26E06">
            <w:t xml:space="preserve"> </w:t>
          </w:r>
          <w:r w:rsidR="004843FB">
            <w:t>September</w:t>
          </w:r>
          <w:r w:rsidR="009D1002">
            <w:t xml:space="preserve"> – lower regulation</w:t>
          </w:r>
        </w:p>
        <w:tbl>
          <w:tblPr>
            <w:tblStyle w:val="AERsummarytable"/>
            <w:tblW w:w="8727" w:type="dxa"/>
            <w:tblInd w:w="-34" w:type="dxa"/>
            <w:tblLayout w:type="fixed"/>
            <w:tblLook w:val="04A0" w:firstRow="1" w:lastRow="0" w:firstColumn="1" w:lastColumn="0" w:noHBand="0" w:noVBand="1"/>
          </w:tblPr>
          <w:tblGrid>
            <w:gridCol w:w="993"/>
            <w:gridCol w:w="992"/>
            <w:gridCol w:w="1217"/>
            <w:gridCol w:w="1112"/>
            <w:gridCol w:w="980"/>
            <w:gridCol w:w="923"/>
            <w:gridCol w:w="924"/>
            <w:gridCol w:w="1586"/>
          </w:tblGrid>
          <w:tr w:rsidR="00B80409" w:rsidRPr="00FE396E" w:rsidTr="000B3B13">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1297251709"/>
                  <w:rPr>
                    <w:sz w:val="2"/>
                    <w:szCs w:val="2"/>
                  </w:rPr>
                </w:pPr>
                <w:r>
                  <w:rPr>
                    <w:rStyle w:val="a531"/>
                  </w:rPr>
                  <w:t>Submit time</w:t>
                </w:r>
              </w:p>
            </w:tc>
            <w:tc>
              <w:tcPr>
                <w:tcW w:w="99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217" w:type="dxa"/>
                <w:hideMark/>
              </w:tcPr>
              <w:p w:rsidR="00B80409" w:rsidRDefault="00B80409">
                <w:pPr>
                  <w:jc w:val="center"/>
                  <w:textAlignment w:val="top"/>
                  <w:rPr>
                    <w:rFonts w:cs="Arial"/>
                    <w:color w:val="FFFFFF"/>
                    <w:szCs w:val="18"/>
                  </w:rPr>
                </w:pPr>
                <w:r>
                  <w:rPr>
                    <w:rFonts w:cs="Arial"/>
                    <w:color w:val="FFFFFF"/>
                    <w:szCs w:val="18"/>
                  </w:rPr>
                  <w:t>Participant</w:t>
                </w:r>
              </w:p>
            </w:tc>
            <w:tc>
              <w:tcPr>
                <w:tcW w:w="111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rsidP="00432F60">
                <w:pPr>
                  <w:jc w:val="center"/>
                  <w:textAlignment w:val="top"/>
                  <w:divId w:val="161817275"/>
                  <w:rPr>
                    <w:sz w:val="2"/>
                    <w:szCs w:val="2"/>
                  </w:rPr>
                </w:pPr>
                <w:r>
                  <w:rPr>
                    <w:rStyle w:val="a731"/>
                  </w:rPr>
                  <w:t>Price from</w:t>
                </w:r>
                <w:r>
                  <w:rPr>
                    <w:rFonts w:cs="Arial"/>
                    <w:color w:val="FFFFFF"/>
                    <w:szCs w:val="18"/>
                  </w:rPr>
                  <w:br/>
                </w:r>
                <w:r>
                  <w:rPr>
                    <w:rStyle w:val="a731"/>
                  </w:rPr>
                  <w:t>($/MW)</w:t>
                </w:r>
              </w:p>
            </w:tc>
            <w:tc>
              <w:tcPr>
                <w:tcW w:w="924" w:type="dxa"/>
                <w:hideMark/>
              </w:tcPr>
              <w:p w:rsidR="00B80409" w:rsidRDefault="00B80409" w:rsidP="00432F60">
                <w:pPr>
                  <w:jc w:val="center"/>
                  <w:textAlignment w:val="top"/>
                  <w:divId w:val="1395664897"/>
                  <w:rPr>
                    <w:sz w:val="2"/>
                    <w:szCs w:val="2"/>
                  </w:rPr>
                </w:pPr>
                <w:r>
                  <w:rPr>
                    <w:rStyle w:val="a771"/>
                  </w:rPr>
                  <w:t>Price to ($/MW)</w:t>
                </w:r>
              </w:p>
            </w:tc>
            <w:tc>
              <w:tcPr>
                <w:tcW w:w="1586" w:type="dxa"/>
                <w:hideMark/>
              </w:tcPr>
              <w:p w:rsidR="00B80409" w:rsidRDefault="00B80409">
                <w:pPr>
                  <w:jc w:val="center"/>
                  <w:textAlignment w:val="top"/>
                  <w:rPr>
                    <w:rFonts w:cs="Arial"/>
                    <w:color w:val="FFFFFF"/>
                    <w:szCs w:val="18"/>
                  </w:rPr>
                </w:pPr>
                <w:r>
                  <w:rPr>
                    <w:rFonts w:cs="Arial"/>
                    <w:color w:val="FFFFFF"/>
                    <w:szCs w:val="18"/>
                  </w:rPr>
                  <w:t>Rebid reason</w:t>
                </w:r>
              </w:p>
            </w:tc>
          </w:tr>
          <w:tr w:rsidR="00B80409" w:rsidRPr="00FE396E"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B80409" w:rsidRDefault="004843FB" w:rsidP="004843FB">
                <w:pPr>
                  <w:jc w:val="center"/>
                  <w:textAlignment w:val="center"/>
                  <w:rPr>
                    <w:rFonts w:cs="Arial"/>
                    <w:color w:val="000000"/>
                    <w:szCs w:val="18"/>
                  </w:rPr>
                </w:pPr>
                <w:r>
                  <w:rPr>
                    <w:rFonts w:cs="Arial"/>
                    <w:color w:val="000000"/>
                    <w:szCs w:val="18"/>
                  </w:rPr>
                  <w:t>10</w:t>
                </w:r>
                <w:r w:rsidR="005E2AB8">
                  <w:rPr>
                    <w:rFonts w:cs="Arial"/>
                    <w:color w:val="000000"/>
                    <w:szCs w:val="18"/>
                  </w:rPr>
                  <w:t>.</w:t>
                </w:r>
                <w:r>
                  <w:rPr>
                    <w:rFonts w:cs="Arial"/>
                    <w:color w:val="000000"/>
                    <w:szCs w:val="18"/>
                  </w:rPr>
                  <w:t>2</w:t>
                </w:r>
                <w:r w:rsidR="005E2AB8">
                  <w:rPr>
                    <w:rFonts w:cs="Arial"/>
                    <w:color w:val="000000"/>
                    <w:szCs w:val="18"/>
                  </w:rPr>
                  <w:t>6 am</w:t>
                </w:r>
              </w:p>
            </w:tc>
            <w:tc>
              <w:tcPr>
                <w:tcW w:w="992" w:type="dxa"/>
                <w:vAlign w:val="center"/>
              </w:tcPr>
              <w:p w:rsidR="00B80409" w:rsidRDefault="004843FB" w:rsidP="004843FB">
                <w:pPr>
                  <w:jc w:val="center"/>
                  <w:textAlignment w:val="center"/>
                  <w:rPr>
                    <w:sz w:val="24"/>
                    <w:szCs w:val="24"/>
                  </w:rPr>
                </w:pPr>
                <w:r>
                  <w:rPr>
                    <w:rFonts w:cs="Arial"/>
                    <w:color w:val="000000"/>
                    <w:szCs w:val="18"/>
                  </w:rPr>
                  <w:t>11</w:t>
                </w:r>
                <w:r w:rsidR="00F26E06" w:rsidRPr="00F26E06">
                  <w:rPr>
                    <w:rFonts w:cs="Arial"/>
                    <w:color w:val="000000"/>
                    <w:szCs w:val="18"/>
                  </w:rPr>
                  <w:t>.</w:t>
                </w:r>
                <w:r>
                  <w:rPr>
                    <w:rFonts w:cs="Arial"/>
                    <w:color w:val="000000"/>
                    <w:szCs w:val="18"/>
                  </w:rPr>
                  <w:t>0</w:t>
                </w:r>
                <w:r w:rsidR="005E2AB8">
                  <w:rPr>
                    <w:rFonts w:cs="Arial"/>
                    <w:color w:val="000000"/>
                    <w:szCs w:val="18"/>
                  </w:rPr>
                  <w:t>5 a</w:t>
                </w:r>
                <w:r w:rsidR="00F26E06" w:rsidRPr="00F26E06">
                  <w:rPr>
                    <w:rFonts w:cs="Arial"/>
                    <w:color w:val="000000"/>
                    <w:szCs w:val="18"/>
                  </w:rPr>
                  <w:t>m</w:t>
                </w:r>
              </w:p>
            </w:tc>
            <w:tc>
              <w:tcPr>
                <w:tcW w:w="1217" w:type="dxa"/>
                <w:vAlign w:val="center"/>
              </w:tcPr>
              <w:p w:rsidR="00B80409" w:rsidRDefault="0073312A">
                <w:pPr>
                  <w:textAlignment w:val="center"/>
                  <w:rPr>
                    <w:rFonts w:cs="Arial"/>
                    <w:color w:val="000000"/>
                    <w:szCs w:val="18"/>
                  </w:rPr>
                </w:pPr>
                <w:r>
                  <w:rPr>
                    <w:rFonts w:cs="Arial"/>
                    <w:color w:val="000000"/>
                    <w:szCs w:val="18"/>
                  </w:rPr>
                  <w:t>Origin</w:t>
                </w:r>
              </w:p>
            </w:tc>
            <w:tc>
              <w:tcPr>
                <w:tcW w:w="1112" w:type="dxa"/>
                <w:vAlign w:val="center"/>
              </w:tcPr>
              <w:p w:rsidR="00B80409" w:rsidRDefault="004843FB">
                <w:pPr>
                  <w:textAlignment w:val="center"/>
                  <w:rPr>
                    <w:rFonts w:cs="Arial"/>
                    <w:color w:val="000000"/>
                    <w:szCs w:val="18"/>
                  </w:rPr>
                </w:pPr>
                <w:r>
                  <w:rPr>
                    <w:rFonts w:cs="Arial"/>
                    <w:color w:val="000000"/>
                    <w:szCs w:val="18"/>
                  </w:rPr>
                  <w:t>Osbourne</w:t>
                </w:r>
              </w:p>
            </w:tc>
            <w:tc>
              <w:tcPr>
                <w:tcW w:w="980" w:type="dxa"/>
                <w:vAlign w:val="center"/>
              </w:tcPr>
              <w:p w:rsidR="00B80409" w:rsidRDefault="004843FB">
                <w:pPr>
                  <w:jc w:val="center"/>
                  <w:textAlignment w:val="center"/>
                  <w:rPr>
                    <w:rFonts w:cs="Arial"/>
                    <w:color w:val="000000"/>
                    <w:szCs w:val="18"/>
                  </w:rPr>
                </w:pPr>
                <w:r>
                  <w:rPr>
                    <w:rFonts w:cs="Arial"/>
                    <w:color w:val="000000"/>
                    <w:szCs w:val="18"/>
                  </w:rPr>
                  <w:t>1</w:t>
                </w:r>
              </w:p>
            </w:tc>
            <w:tc>
              <w:tcPr>
                <w:tcW w:w="923" w:type="dxa"/>
                <w:vAlign w:val="center"/>
              </w:tcPr>
              <w:p w:rsidR="00B80409" w:rsidRDefault="00F26E06">
                <w:pPr>
                  <w:jc w:val="center"/>
                  <w:textAlignment w:val="center"/>
                  <w:rPr>
                    <w:rFonts w:cs="Arial"/>
                    <w:color w:val="000000"/>
                    <w:szCs w:val="18"/>
                  </w:rPr>
                </w:pPr>
                <w:r>
                  <w:rPr>
                    <w:rFonts w:cs="Arial"/>
                    <w:color w:val="000000"/>
                    <w:szCs w:val="18"/>
                  </w:rPr>
                  <w:t>0</w:t>
                </w:r>
              </w:p>
            </w:tc>
            <w:tc>
              <w:tcPr>
                <w:tcW w:w="924" w:type="dxa"/>
                <w:vAlign w:val="center"/>
              </w:tcPr>
              <w:p w:rsidR="00B80409" w:rsidRDefault="004843FB" w:rsidP="004843FB">
                <w:pPr>
                  <w:jc w:val="center"/>
                  <w:textAlignment w:val="center"/>
                  <w:rPr>
                    <w:rFonts w:cs="Arial"/>
                    <w:color w:val="000000"/>
                    <w:szCs w:val="18"/>
                  </w:rPr>
                </w:pPr>
                <w:r>
                  <w:rPr>
                    <w:rFonts w:cs="Arial"/>
                    <w:color w:val="000000"/>
                    <w:szCs w:val="18"/>
                  </w:rPr>
                  <w:t>9450</w:t>
                </w:r>
              </w:p>
            </w:tc>
            <w:tc>
              <w:tcPr>
                <w:tcW w:w="1586" w:type="dxa"/>
                <w:vAlign w:val="center"/>
              </w:tcPr>
              <w:p w:rsidR="00B80409" w:rsidRPr="00F26E06" w:rsidRDefault="004843FB" w:rsidP="000B3B13">
                <w:pPr>
                  <w:spacing w:before="120"/>
                  <w:jc w:val="left"/>
                  <w:textAlignment w:val="center"/>
                  <w:rPr>
                    <w:rFonts w:cs="Arial"/>
                    <w:color w:val="000000"/>
                    <w:szCs w:val="18"/>
                  </w:rPr>
                </w:pPr>
                <w:r w:rsidRPr="004843FB">
                  <w:rPr>
                    <w:rFonts w:cs="Arial"/>
                    <w:szCs w:val="18"/>
                  </w:rPr>
                  <w:t>1025A DEC SA DEM 5PD 1186MW &lt; 30PD 1251MW @ 1030 SL</w:t>
                </w:r>
              </w:p>
            </w:tc>
          </w:tr>
        </w:tbl>
        <w:p w:rsidR="002F025A" w:rsidRDefault="002E08EA" w:rsidP="002F025A">
          <w:pPr>
            <w:pStyle w:val="Caption"/>
          </w:pPr>
          <w:r>
            <w:t xml:space="preserve">Table </w:t>
          </w:r>
          <w:r w:rsidR="005C68D8">
            <w:t>C</w:t>
          </w:r>
          <w:r>
            <w:t xml:space="preserve"> </w:t>
          </w:r>
          <w:r w:rsidR="00FC71D2">
            <w:fldChar w:fldCharType="begin"/>
          </w:r>
          <w:r w:rsidR="00FC71D2">
            <w:instrText xml:space="preserve"> SEQ Table_C \* ARABIC </w:instrText>
          </w:r>
          <w:r w:rsidR="00FC71D2">
            <w:fldChar w:fldCharType="separate"/>
          </w:r>
          <w:r w:rsidR="00515978">
            <w:rPr>
              <w:noProof/>
            </w:rPr>
            <w:t>2</w:t>
          </w:r>
          <w:r w:rsidR="00FC71D2">
            <w:rPr>
              <w:noProof/>
            </w:rPr>
            <w:fldChar w:fldCharType="end"/>
          </w:r>
          <w:r>
            <w:t>:</w:t>
          </w:r>
          <w:r w:rsidR="00EA6B2F">
            <w:t xml:space="preserve"> </w:t>
          </w:r>
          <w:r w:rsidR="002F025A">
            <w:t xml:space="preserve">Significant </w:t>
          </w:r>
          <w:r w:rsidR="006F3333">
            <w:t xml:space="preserve">rebids </w:t>
          </w:r>
          <w:r w:rsidR="002F025A">
            <w:t xml:space="preserve">for </w:t>
          </w:r>
          <w:r w:rsidR="005E2AB8">
            <w:t>1</w:t>
          </w:r>
          <w:r w:rsidR="004843FB">
            <w:t>6</w:t>
          </w:r>
          <w:r w:rsidR="005E2AB8">
            <w:t xml:space="preserve"> </w:t>
          </w:r>
          <w:r w:rsidR="004843FB">
            <w:t>September</w:t>
          </w:r>
          <w:r w:rsidR="009D1002">
            <w:t xml:space="preserve"> – </w:t>
          </w:r>
          <w:r w:rsidR="00774131">
            <w:t xml:space="preserve">raise </w:t>
          </w:r>
          <w:r w:rsidR="009D1002">
            <w:t>regulation</w:t>
          </w:r>
        </w:p>
        <w:tbl>
          <w:tblPr>
            <w:tblStyle w:val="AERsummarytable"/>
            <w:tblW w:w="8651" w:type="dxa"/>
            <w:tblInd w:w="-34" w:type="dxa"/>
            <w:tblLayout w:type="fixed"/>
            <w:tblLook w:val="04A0" w:firstRow="1" w:lastRow="0" w:firstColumn="1" w:lastColumn="0" w:noHBand="0" w:noVBand="1"/>
          </w:tblPr>
          <w:tblGrid>
            <w:gridCol w:w="993"/>
            <w:gridCol w:w="992"/>
            <w:gridCol w:w="1181"/>
            <w:gridCol w:w="1229"/>
            <w:gridCol w:w="992"/>
            <w:gridCol w:w="851"/>
            <w:gridCol w:w="992"/>
            <w:gridCol w:w="1421"/>
          </w:tblGrid>
          <w:tr w:rsidR="00B80409" w:rsidRPr="004D2432" w:rsidTr="000B3B13">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295184323"/>
                  <w:rPr>
                    <w:sz w:val="2"/>
                    <w:szCs w:val="2"/>
                  </w:rPr>
                </w:pPr>
                <w:r>
                  <w:rPr>
                    <w:rStyle w:val="a531"/>
                  </w:rPr>
                  <w:t>Submit</w:t>
                </w:r>
                <w:r>
                  <w:rPr>
                    <w:rFonts w:cs="Arial"/>
                    <w:color w:val="FFFFFF"/>
                    <w:szCs w:val="18"/>
                  </w:rPr>
                  <w:br/>
                </w:r>
                <w:r>
                  <w:rPr>
                    <w:rStyle w:val="a531"/>
                  </w:rPr>
                  <w:t>time</w:t>
                </w:r>
              </w:p>
            </w:tc>
            <w:tc>
              <w:tcPr>
                <w:tcW w:w="992" w:type="dxa"/>
              </w:tcPr>
              <w:p w:rsidR="00B80409" w:rsidRDefault="00B80409">
                <w:pPr>
                  <w:jc w:val="center"/>
                  <w:textAlignment w:val="top"/>
                  <w:divId w:val="2033143719"/>
                  <w:rPr>
                    <w:sz w:val="2"/>
                    <w:szCs w:val="2"/>
                  </w:rPr>
                </w:pPr>
                <w:r>
                  <w:rPr>
                    <w:rStyle w:val="a571"/>
                  </w:rPr>
                  <w:t>Time</w:t>
                </w:r>
                <w:r>
                  <w:rPr>
                    <w:rFonts w:cs="Arial"/>
                    <w:color w:val="FFFFFF"/>
                    <w:szCs w:val="18"/>
                  </w:rPr>
                  <w:br/>
                </w:r>
                <w:r>
                  <w:rPr>
                    <w:rStyle w:val="a571"/>
                  </w:rPr>
                  <w:t>effective</w:t>
                </w:r>
              </w:p>
            </w:tc>
            <w:tc>
              <w:tcPr>
                <w:tcW w:w="1181" w:type="dxa"/>
                <w:hideMark/>
              </w:tcPr>
              <w:p w:rsidR="00B80409" w:rsidRDefault="00B80409" w:rsidP="000B3B13">
                <w:pPr>
                  <w:jc w:val="left"/>
                  <w:textAlignment w:val="top"/>
                  <w:rPr>
                    <w:rFonts w:cs="Arial"/>
                    <w:color w:val="FFFFFF"/>
                    <w:szCs w:val="18"/>
                  </w:rPr>
                </w:pPr>
                <w:r>
                  <w:rPr>
                    <w:rFonts w:cs="Arial"/>
                    <w:color w:val="FFFFFF"/>
                    <w:szCs w:val="18"/>
                  </w:rPr>
                  <w:t>Participant</w:t>
                </w:r>
              </w:p>
            </w:tc>
            <w:tc>
              <w:tcPr>
                <w:tcW w:w="1229" w:type="dxa"/>
                <w:hideMark/>
              </w:tcPr>
              <w:p w:rsidR="00B80409" w:rsidRDefault="00B80409">
                <w:pPr>
                  <w:jc w:val="center"/>
                  <w:textAlignment w:val="top"/>
                  <w:rPr>
                    <w:rFonts w:cs="Arial"/>
                    <w:color w:val="FFFFFF"/>
                    <w:szCs w:val="18"/>
                  </w:rPr>
                </w:pPr>
                <w:r>
                  <w:rPr>
                    <w:rFonts w:cs="Arial"/>
                    <w:color w:val="FFFFFF"/>
                    <w:szCs w:val="18"/>
                  </w:rPr>
                  <w:t>Station</w:t>
                </w:r>
              </w:p>
            </w:tc>
            <w:tc>
              <w:tcPr>
                <w:tcW w:w="992" w:type="dxa"/>
                <w:hideMark/>
              </w:tcPr>
              <w:p w:rsidR="00B80409" w:rsidRDefault="00B80409">
                <w:pPr>
                  <w:jc w:val="center"/>
                  <w:textAlignment w:val="top"/>
                  <w:divId w:val="1429424888"/>
                  <w:rPr>
                    <w:sz w:val="2"/>
                    <w:szCs w:val="2"/>
                  </w:rPr>
                </w:pPr>
                <w:r>
                  <w:rPr>
                    <w:rStyle w:val="a691"/>
                  </w:rPr>
                  <w:t>Capacity rebid</w:t>
                </w:r>
                <w:r>
                  <w:rPr>
                    <w:rFonts w:cs="Arial"/>
                    <w:color w:val="FFFFFF"/>
                    <w:szCs w:val="18"/>
                  </w:rPr>
                  <w:br/>
                </w:r>
                <w:r>
                  <w:rPr>
                    <w:rStyle w:val="a691"/>
                  </w:rPr>
                  <w:t>(MW)</w:t>
                </w:r>
              </w:p>
            </w:tc>
            <w:tc>
              <w:tcPr>
                <w:tcW w:w="851" w:type="dxa"/>
                <w:hideMark/>
              </w:tcPr>
              <w:p w:rsidR="00B80409" w:rsidRDefault="00B80409" w:rsidP="00432F60">
                <w:pPr>
                  <w:jc w:val="center"/>
                  <w:textAlignment w:val="top"/>
                  <w:divId w:val="2040277009"/>
                  <w:rPr>
                    <w:sz w:val="2"/>
                    <w:szCs w:val="2"/>
                  </w:rPr>
                </w:pPr>
                <w:r>
                  <w:rPr>
                    <w:rStyle w:val="a731"/>
                  </w:rPr>
                  <w:t>Price from</w:t>
                </w:r>
                <w:r>
                  <w:rPr>
                    <w:rFonts w:cs="Arial"/>
                    <w:color w:val="FFFFFF"/>
                    <w:szCs w:val="18"/>
                  </w:rPr>
                  <w:br/>
                </w:r>
                <w:r>
                  <w:rPr>
                    <w:rStyle w:val="a731"/>
                  </w:rPr>
                  <w:t>($/MW)</w:t>
                </w:r>
              </w:p>
            </w:tc>
            <w:tc>
              <w:tcPr>
                <w:tcW w:w="992" w:type="dxa"/>
                <w:hideMark/>
              </w:tcPr>
              <w:p w:rsidR="00B80409" w:rsidRPr="00432F60" w:rsidRDefault="00B80409" w:rsidP="00432F60">
                <w:pPr>
                  <w:jc w:val="center"/>
                  <w:textAlignment w:val="top"/>
                  <w:divId w:val="1152986130"/>
                  <w:rPr>
                    <w:rFonts w:cs="Arial"/>
                    <w:color w:val="FFFFFF"/>
                    <w:szCs w:val="18"/>
                  </w:rPr>
                </w:pPr>
                <w:r>
                  <w:rPr>
                    <w:rStyle w:val="a771"/>
                  </w:rPr>
                  <w:t>Price to</w:t>
                </w:r>
                <w:r>
                  <w:rPr>
                    <w:rFonts w:cs="Arial"/>
                    <w:color w:val="FFFFFF"/>
                    <w:szCs w:val="18"/>
                  </w:rPr>
                  <w:br/>
                </w:r>
                <w:r>
                  <w:rPr>
                    <w:rStyle w:val="a771"/>
                  </w:rPr>
                  <w:t>($/</w:t>
                </w:r>
                <w:r w:rsidR="00432F60">
                  <w:rPr>
                    <w:rStyle w:val="a771"/>
                  </w:rPr>
                  <w:t>MW</w:t>
                </w:r>
                <w:r>
                  <w:rPr>
                    <w:rStyle w:val="a771"/>
                  </w:rPr>
                  <w:t>)</w:t>
                </w:r>
              </w:p>
            </w:tc>
            <w:tc>
              <w:tcPr>
                <w:tcW w:w="1421" w:type="dxa"/>
                <w:hideMark/>
              </w:tcPr>
              <w:p w:rsidR="00B80409" w:rsidRPr="00774131" w:rsidRDefault="00B80409">
                <w:pPr>
                  <w:jc w:val="center"/>
                  <w:textAlignment w:val="top"/>
                  <w:rPr>
                    <w:rFonts w:cs="Arial"/>
                    <w:b w:val="0"/>
                    <w:color w:val="auto"/>
                    <w:szCs w:val="18"/>
                  </w:rPr>
                </w:pPr>
                <w:r w:rsidRPr="008C2CF2">
                  <w:rPr>
                    <w:rStyle w:val="a771"/>
                  </w:rPr>
                  <w:t>Rebid reason</w:t>
                </w:r>
              </w:p>
            </w:tc>
          </w:tr>
          <w:tr w:rsidR="004843FB" w:rsidRPr="004D2432"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4843FB" w:rsidRDefault="004843FB" w:rsidP="001C79CE">
                <w:pPr>
                  <w:jc w:val="center"/>
                  <w:textAlignment w:val="center"/>
                  <w:rPr>
                    <w:rFonts w:cs="Arial"/>
                    <w:color w:val="000000"/>
                    <w:szCs w:val="18"/>
                  </w:rPr>
                </w:pPr>
                <w:r>
                  <w:rPr>
                    <w:rFonts w:cs="Arial"/>
                    <w:color w:val="000000"/>
                    <w:szCs w:val="18"/>
                  </w:rPr>
                  <w:t>10.26 am</w:t>
                </w:r>
              </w:p>
            </w:tc>
            <w:tc>
              <w:tcPr>
                <w:tcW w:w="992" w:type="dxa"/>
                <w:vAlign w:val="center"/>
              </w:tcPr>
              <w:p w:rsidR="004843FB" w:rsidRDefault="004843FB" w:rsidP="001C79CE">
                <w:pPr>
                  <w:jc w:val="center"/>
                  <w:textAlignment w:val="center"/>
                  <w:rPr>
                    <w:sz w:val="24"/>
                    <w:szCs w:val="24"/>
                  </w:rPr>
                </w:pPr>
                <w:r>
                  <w:rPr>
                    <w:rFonts w:cs="Arial"/>
                    <w:color w:val="000000"/>
                    <w:szCs w:val="18"/>
                  </w:rPr>
                  <w:t>11</w:t>
                </w:r>
                <w:r w:rsidRPr="00F26E06">
                  <w:rPr>
                    <w:rFonts w:cs="Arial"/>
                    <w:color w:val="000000"/>
                    <w:szCs w:val="18"/>
                  </w:rPr>
                  <w:t>.</w:t>
                </w:r>
                <w:r>
                  <w:rPr>
                    <w:rFonts w:cs="Arial"/>
                    <w:color w:val="000000"/>
                    <w:szCs w:val="18"/>
                  </w:rPr>
                  <w:t>05 a</w:t>
                </w:r>
                <w:r w:rsidRPr="00F26E06">
                  <w:rPr>
                    <w:rFonts w:cs="Arial"/>
                    <w:color w:val="000000"/>
                    <w:szCs w:val="18"/>
                  </w:rPr>
                  <w:t>m</w:t>
                </w:r>
              </w:p>
            </w:tc>
            <w:tc>
              <w:tcPr>
                <w:tcW w:w="1181" w:type="dxa"/>
                <w:vAlign w:val="center"/>
              </w:tcPr>
              <w:p w:rsidR="004843FB" w:rsidRDefault="004843FB" w:rsidP="001C79CE">
                <w:pPr>
                  <w:textAlignment w:val="center"/>
                  <w:rPr>
                    <w:rFonts w:cs="Arial"/>
                    <w:color w:val="000000"/>
                    <w:szCs w:val="18"/>
                  </w:rPr>
                </w:pPr>
                <w:r>
                  <w:rPr>
                    <w:rFonts w:cs="Arial"/>
                    <w:color w:val="000000"/>
                    <w:szCs w:val="18"/>
                  </w:rPr>
                  <w:t>Origin</w:t>
                </w:r>
              </w:p>
            </w:tc>
            <w:tc>
              <w:tcPr>
                <w:tcW w:w="1229" w:type="dxa"/>
                <w:vAlign w:val="center"/>
              </w:tcPr>
              <w:p w:rsidR="004843FB" w:rsidRDefault="004843FB" w:rsidP="001C79CE">
                <w:pPr>
                  <w:textAlignment w:val="center"/>
                  <w:rPr>
                    <w:rFonts w:cs="Arial"/>
                    <w:color w:val="000000"/>
                    <w:szCs w:val="18"/>
                  </w:rPr>
                </w:pPr>
                <w:r>
                  <w:rPr>
                    <w:rFonts w:cs="Arial"/>
                    <w:color w:val="000000"/>
                    <w:szCs w:val="18"/>
                  </w:rPr>
                  <w:t>Osbourne</w:t>
                </w:r>
              </w:p>
            </w:tc>
            <w:tc>
              <w:tcPr>
                <w:tcW w:w="992" w:type="dxa"/>
                <w:vAlign w:val="center"/>
              </w:tcPr>
              <w:p w:rsidR="004843FB" w:rsidRDefault="004843FB" w:rsidP="001C79CE">
                <w:pPr>
                  <w:jc w:val="center"/>
                  <w:textAlignment w:val="center"/>
                  <w:rPr>
                    <w:rFonts w:cs="Arial"/>
                    <w:color w:val="000000"/>
                    <w:szCs w:val="18"/>
                  </w:rPr>
                </w:pPr>
                <w:r>
                  <w:rPr>
                    <w:rFonts w:cs="Arial"/>
                    <w:color w:val="000000"/>
                    <w:szCs w:val="18"/>
                  </w:rPr>
                  <w:t>1</w:t>
                </w:r>
              </w:p>
            </w:tc>
            <w:tc>
              <w:tcPr>
                <w:tcW w:w="851" w:type="dxa"/>
                <w:vAlign w:val="center"/>
              </w:tcPr>
              <w:p w:rsidR="004843FB" w:rsidRDefault="004843FB" w:rsidP="001C79CE">
                <w:pPr>
                  <w:jc w:val="center"/>
                  <w:textAlignment w:val="center"/>
                  <w:rPr>
                    <w:rFonts w:cs="Arial"/>
                    <w:color w:val="000000"/>
                    <w:szCs w:val="18"/>
                  </w:rPr>
                </w:pPr>
                <w:r>
                  <w:rPr>
                    <w:rFonts w:cs="Arial"/>
                    <w:color w:val="000000"/>
                    <w:szCs w:val="18"/>
                  </w:rPr>
                  <w:t>0</w:t>
                </w:r>
              </w:p>
            </w:tc>
            <w:tc>
              <w:tcPr>
                <w:tcW w:w="992" w:type="dxa"/>
                <w:vAlign w:val="center"/>
              </w:tcPr>
              <w:p w:rsidR="004843FB" w:rsidRDefault="004843FB" w:rsidP="001C79CE">
                <w:pPr>
                  <w:jc w:val="center"/>
                  <w:textAlignment w:val="center"/>
                  <w:rPr>
                    <w:rFonts w:cs="Arial"/>
                    <w:color w:val="000000"/>
                    <w:szCs w:val="18"/>
                  </w:rPr>
                </w:pPr>
                <w:r>
                  <w:rPr>
                    <w:rFonts w:cs="Arial"/>
                    <w:color w:val="000000"/>
                    <w:szCs w:val="18"/>
                  </w:rPr>
                  <w:t>11 250</w:t>
                </w:r>
              </w:p>
            </w:tc>
            <w:tc>
              <w:tcPr>
                <w:tcW w:w="1421" w:type="dxa"/>
                <w:vAlign w:val="center"/>
              </w:tcPr>
              <w:p w:rsidR="004843FB" w:rsidRPr="005E2AB8" w:rsidRDefault="004843FB" w:rsidP="001C79CE">
                <w:pPr>
                  <w:keepNext/>
                  <w:spacing w:before="120"/>
                  <w:jc w:val="left"/>
                  <w:textAlignment w:val="center"/>
                  <w:rPr>
                    <w:rFonts w:cs="Arial"/>
                    <w:szCs w:val="18"/>
                  </w:rPr>
                </w:pPr>
                <w:r w:rsidRPr="005E2AB8">
                  <w:rPr>
                    <w:rFonts w:cs="Arial"/>
                    <w:szCs w:val="18"/>
                  </w:rPr>
                  <w:t>1055A DEC IN SA DEM - 5PD 1497MW &lt; 30PD 1550MW @ 1130 SL</w:t>
                </w:r>
              </w:p>
            </w:tc>
          </w:tr>
        </w:tbl>
        <w:p w:rsidR="00992010" w:rsidRDefault="00992010" w:rsidP="00992010">
          <w:pPr>
            <w:pStyle w:val="Heading1notnumber"/>
          </w:pPr>
          <w:bookmarkStart w:id="20" w:name="_Toc467746559"/>
          <w:r>
            <w:lastRenderedPageBreak/>
            <w:t xml:space="preserve">Appendix </w:t>
          </w:r>
          <w:r w:rsidR="005C68D8">
            <w:t>D</w:t>
          </w:r>
          <w:r>
            <w:tab/>
            <w:t>Closing bids</w:t>
          </w:r>
          <w:bookmarkEnd w:id="20"/>
          <w:r>
            <w:t xml:space="preserve"> </w:t>
          </w:r>
        </w:p>
        <w:p w:rsidR="001E75EC" w:rsidRDefault="00992010" w:rsidP="00992010">
          <w:r w:rsidRPr="00D246EF">
            <w:t xml:space="preserve">Figures </w:t>
          </w:r>
          <w:r w:rsidR="005C68D8">
            <w:t>D</w:t>
          </w:r>
          <w:r w:rsidRPr="00D246EF">
            <w:t xml:space="preserve">1a to </w:t>
          </w:r>
          <w:r w:rsidR="005C68D8">
            <w:t>D</w:t>
          </w:r>
          <w:r w:rsidR="00B83164" w:rsidRPr="00D246EF">
            <w:t>8</w:t>
          </w:r>
          <w:r w:rsidR="008B4D01" w:rsidRPr="00D246EF">
            <w:t>b</w:t>
          </w:r>
          <w:r w:rsidRPr="00D246EF">
            <w:t xml:space="preserve"> highlight for each dispatch interval the lower and raise regulation </w:t>
          </w:r>
          <w:r w:rsidR="003C2B11" w:rsidRPr="00D246EF">
            <w:t>services</w:t>
          </w:r>
          <w:r w:rsidRPr="00D246EF">
            <w:t xml:space="preserve"> closing bids for </w:t>
          </w:r>
          <w:r w:rsidR="0073312A" w:rsidRPr="00D246EF">
            <w:t>Origin</w:t>
          </w:r>
          <w:r w:rsidR="00D246EF" w:rsidRPr="00D246EF">
            <w:t>,</w:t>
          </w:r>
          <w:r w:rsidRPr="00D246EF">
            <w:t xml:space="preserve"> </w:t>
          </w:r>
          <w:r w:rsidR="00BC4389" w:rsidRPr="00D246EF">
            <w:t>AGL and</w:t>
          </w:r>
          <w:r w:rsidRPr="00D246EF">
            <w:t xml:space="preserve"> </w:t>
          </w:r>
          <w:r w:rsidR="008A5AC2" w:rsidRPr="00D246EF">
            <w:t>Engie</w:t>
          </w:r>
          <w:r w:rsidRPr="00D246EF">
            <w:t xml:space="preserve"> (the participants in South Australia with </w:t>
          </w:r>
          <w:r w:rsidR="003C2B11" w:rsidRPr="00D246EF">
            <w:t>ancillary service capability</w:t>
          </w:r>
          <w:r w:rsidRPr="00D246EF">
            <w:t>)</w:t>
          </w:r>
          <w:r w:rsidR="00EE2EBF">
            <w:t xml:space="preserve">. </w:t>
          </w:r>
          <w:r w:rsidRPr="00D246EF">
            <w:t xml:space="preserve">It also shows the dispatch level of the respective services at each station and the dispatch price. </w:t>
          </w:r>
        </w:p>
        <w:p w:rsidR="00EE2EBF" w:rsidRPr="00D246EF" w:rsidRDefault="00EE2EBF" w:rsidP="00992010">
          <w:r>
            <w:t xml:space="preserve">FCAS services are co-optimised with energy offers. For example a generator that is operating at its maximum capacity cannot provide raise services so their effective available capacity for raise services would be zero. Figures denoted with an “a” refer to the quantities offered while those with a “b” refer to the </w:t>
          </w:r>
          <w:r w:rsidRPr="00772EA1">
            <w:rPr>
              <w:i/>
            </w:rPr>
            <w:t>effective</w:t>
          </w:r>
          <w:r>
            <w:t xml:space="preserve"> quantities available to the market after accounting for the interaction between energy and FCAS (“effective available capacity”). </w:t>
          </w:r>
        </w:p>
        <w:p w:rsidR="00992010" w:rsidRDefault="00992010" w:rsidP="00992010">
          <w:pPr>
            <w:pStyle w:val="Tabletitle"/>
            <w:spacing w:before="120" w:line="240" w:lineRule="auto"/>
          </w:pPr>
          <w:r>
            <w:t xml:space="preserve">Figure </w:t>
          </w:r>
          <w:r w:rsidR="005C68D8">
            <w:t>D</w:t>
          </w:r>
          <w:r>
            <w:t xml:space="preserve">1a: </w:t>
          </w:r>
          <w:r w:rsidR="008A2174">
            <w:t>Osbourne</w:t>
          </w:r>
          <w:r>
            <w:t xml:space="preserve"> (</w:t>
          </w:r>
          <w:r w:rsidR="0073312A">
            <w:t>Origin</w:t>
          </w:r>
          <w:r>
            <w:t xml:space="preserve">) lower regulation service closing bid prices, dispatch and dispatch price </w:t>
          </w:r>
          <w:r w:rsidR="00F141C6">
            <w:t xml:space="preserve">- </w:t>
          </w:r>
          <w:r w:rsidR="00631126">
            <w:t>maximum offers</w:t>
          </w:r>
        </w:p>
        <w:p w:rsidR="00992010" w:rsidRDefault="008A2174" w:rsidP="00992010">
          <w:pPr>
            <w:pStyle w:val="Tabletitle"/>
            <w:spacing w:before="120" w:line="240" w:lineRule="auto"/>
          </w:pPr>
          <w:r w:rsidRPr="008A2174">
            <w:rPr>
              <w:noProof/>
              <w:lang w:eastAsia="en-AU"/>
            </w:rPr>
            <w:drawing>
              <wp:inline distT="0" distB="0" distL="0" distR="0" wp14:anchorId="6640212F" wp14:editId="45460129">
                <wp:extent cx="5382895" cy="39102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10212"/>
                        </a:xfrm>
                        <a:prstGeom prst="rect">
                          <a:avLst/>
                        </a:prstGeom>
                        <a:noFill/>
                        <a:ln>
                          <a:noFill/>
                        </a:ln>
                      </pic:spPr>
                    </pic:pic>
                  </a:graphicData>
                </a:graphic>
              </wp:inline>
            </w:drawing>
          </w:r>
        </w:p>
        <w:p w:rsidR="00257E31" w:rsidRDefault="00257E31" w:rsidP="00992010">
          <w:pPr>
            <w:pStyle w:val="Tabletitle"/>
            <w:spacing w:before="120" w:line="240" w:lineRule="auto"/>
          </w:pPr>
        </w:p>
        <w:p w:rsidR="00EA6B2F" w:rsidRDefault="00EA6B2F" w:rsidP="00992010">
          <w:pPr>
            <w:pStyle w:val="Tabletitle"/>
            <w:spacing w:before="120" w:line="240" w:lineRule="auto"/>
          </w:pPr>
        </w:p>
        <w:p w:rsidR="00EE2EBF" w:rsidRDefault="00EE2EBF" w:rsidP="00992010">
          <w:pPr>
            <w:pStyle w:val="Tabletitle"/>
            <w:spacing w:before="120" w:line="240" w:lineRule="auto"/>
          </w:pPr>
        </w:p>
        <w:p w:rsidR="00EE2EBF" w:rsidRDefault="00EE2EBF" w:rsidP="00992010">
          <w:pPr>
            <w:pStyle w:val="Tabletitle"/>
            <w:spacing w:before="120" w:line="240" w:lineRule="auto"/>
          </w:pPr>
        </w:p>
        <w:p w:rsidR="00EE2EBF" w:rsidRDefault="00EE2EBF" w:rsidP="00992010">
          <w:pPr>
            <w:pStyle w:val="Tabletitle"/>
            <w:spacing w:before="120" w:line="240" w:lineRule="auto"/>
          </w:pPr>
        </w:p>
        <w:p w:rsidR="00EE2EBF" w:rsidRDefault="00EE2EBF" w:rsidP="00992010">
          <w:pPr>
            <w:pStyle w:val="Tabletitle"/>
            <w:spacing w:before="120" w:line="240" w:lineRule="auto"/>
          </w:pPr>
        </w:p>
        <w:p w:rsidR="00EE2EBF" w:rsidRDefault="00EE2EBF" w:rsidP="00992010">
          <w:pPr>
            <w:pStyle w:val="Tabletitle"/>
            <w:spacing w:before="120" w:line="240" w:lineRule="auto"/>
          </w:pPr>
        </w:p>
        <w:p w:rsidR="00992010" w:rsidRDefault="00992010" w:rsidP="00992010">
          <w:pPr>
            <w:pStyle w:val="Tabletitle"/>
            <w:spacing w:before="120" w:line="240" w:lineRule="auto"/>
          </w:pPr>
          <w:r>
            <w:lastRenderedPageBreak/>
            <w:t xml:space="preserve">Figure </w:t>
          </w:r>
          <w:r w:rsidR="005C68D8">
            <w:t>D</w:t>
          </w:r>
          <w:r>
            <w:t xml:space="preserve">1b: </w:t>
          </w:r>
          <w:r w:rsidR="008A2174">
            <w:t>Osbourne</w:t>
          </w:r>
          <w:r w:rsidR="00631126">
            <w:t xml:space="preserve"> (</w:t>
          </w:r>
          <w:r w:rsidR="0073312A">
            <w:t>Origin</w:t>
          </w:r>
          <w:r w:rsidR="00631126">
            <w:t xml:space="preserve">) </w:t>
          </w:r>
          <w:r>
            <w:t>lower regulation service closing bid prices, dispatch and dispatch price</w:t>
          </w:r>
          <w:r w:rsidR="00F141C6">
            <w:t xml:space="preserve"> </w:t>
          </w:r>
          <w:r>
            <w:t>– effective offers</w:t>
          </w:r>
        </w:p>
        <w:p w:rsidR="0023561D" w:rsidRDefault="00A67E84">
          <w:pPr>
            <w:spacing w:line="240" w:lineRule="auto"/>
            <w:jc w:val="left"/>
          </w:pPr>
          <w:r w:rsidRPr="00A67E84">
            <w:rPr>
              <w:noProof/>
              <w:lang w:eastAsia="en-AU"/>
            </w:rPr>
            <w:drawing>
              <wp:inline distT="0" distB="0" distL="0" distR="0" wp14:anchorId="03D33735" wp14:editId="58F99444">
                <wp:extent cx="5382895" cy="3816962"/>
                <wp:effectExtent l="0" t="0" r="8255" b="0"/>
                <wp:docPr id="23" name="Picture 23" descr="Figure D1b: Osbourne (Origin)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816962"/>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2a: </w:t>
          </w:r>
          <w:r w:rsidR="00631126">
            <w:t>Torrens Island</w:t>
          </w:r>
          <w:r>
            <w:t xml:space="preserve"> (A</w:t>
          </w:r>
          <w:r w:rsidR="00631126">
            <w:t>GL</w:t>
          </w:r>
          <w:r>
            <w:t>) lower regulation service closing bid prices, disp</w:t>
          </w:r>
          <w:r w:rsidR="00631126">
            <w:t xml:space="preserve">atch and dispatch </w:t>
          </w:r>
          <w:r w:rsidR="00F141C6">
            <w:t>price</w:t>
          </w:r>
          <w:r w:rsidR="00631126">
            <w:t xml:space="preserve"> – maximum offers</w:t>
          </w:r>
        </w:p>
        <w:p w:rsidR="005669C2" w:rsidRDefault="005669C2" w:rsidP="00992010">
          <w:pPr>
            <w:pStyle w:val="Tabletitle"/>
            <w:spacing w:before="120" w:line="240" w:lineRule="auto"/>
          </w:pPr>
          <w:r w:rsidRPr="005669C2">
            <w:rPr>
              <w:noProof/>
              <w:lang w:eastAsia="en-AU"/>
            </w:rPr>
            <w:drawing>
              <wp:inline distT="0" distB="0" distL="0" distR="0" wp14:anchorId="39C04862" wp14:editId="20A59D70">
                <wp:extent cx="5382895" cy="3907775"/>
                <wp:effectExtent l="0" t="0" r="8255" b="0"/>
                <wp:docPr id="19" name="Picture 19" descr="Figure D2a: Torrens Island (AGL)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7010BE" w:rsidRDefault="00992010" w:rsidP="00992010">
          <w:pPr>
            <w:pStyle w:val="Tabletitle"/>
            <w:spacing w:before="120" w:line="240" w:lineRule="auto"/>
          </w:pPr>
          <w:r>
            <w:lastRenderedPageBreak/>
            <w:t xml:space="preserve">Figure </w:t>
          </w:r>
          <w:r w:rsidR="005C68D8">
            <w:t>D</w:t>
          </w:r>
          <w:r>
            <w:t xml:space="preserve">2b: </w:t>
          </w:r>
          <w:r w:rsidR="00631126">
            <w:t xml:space="preserve">Torrens Island (AGL) </w:t>
          </w:r>
          <w:r>
            <w:t>lower regulation service closing bid prices, dispatch and dispatch price – effective offers</w:t>
          </w:r>
        </w:p>
        <w:p w:rsidR="00A9661C" w:rsidRDefault="005669C2" w:rsidP="00992010">
          <w:pPr>
            <w:pStyle w:val="Tabletitle"/>
          </w:pPr>
          <w:r w:rsidRPr="005669C2">
            <w:rPr>
              <w:noProof/>
              <w:lang w:eastAsia="en-AU"/>
            </w:rPr>
            <w:drawing>
              <wp:inline distT="0" distB="0" distL="0" distR="0" wp14:anchorId="3775582F" wp14:editId="2BC4DA11">
                <wp:extent cx="5382895" cy="390777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3a: </w:t>
          </w:r>
          <w:r w:rsidR="00ED6D5A">
            <w:t>Pelican Point</w:t>
          </w:r>
          <w:r>
            <w:t xml:space="preserve"> (</w:t>
          </w:r>
          <w:r w:rsidR="008A5AC2">
            <w:t>Engie</w:t>
          </w:r>
          <w:r>
            <w:t xml:space="preserve">) </w:t>
          </w:r>
          <w:r w:rsidR="00ED6D5A">
            <w:t>lower</w:t>
          </w:r>
          <w:r>
            <w:t xml:space="preserve"> regulation service closing bid prices, dis</w:t>
          </w:r>
          <w:r w:rsidR="007A70FB">
            <w:t>patch and dispatch price</w:t>
          </w:r>
          <w:r w:rsidR="00ED6D5A">
            <w:t xml:space="preserve"> – maximum offers</w:t>
          </w:r>
        </w:p>
        <w:p w:rsidR="007010BE" w:rsidRDefault="005669C2" w:rsidP="00626BA2">
          <w:pPr>
            <w:pStyle w:val="Tabletitle"/>
            <w:spacing w:before="120" w:line="240" w:lineRule="auto"/>
          </w:pPr>
          <w:r w:rsidRPr="005669C2">
            <w:rPr>
              <w:noProof/>
              <w:lang w:eastAsia="en-AU"/>
            </w:rPr>
            <w:drawing>
              <wp:inline distT="0" distB="0" distL="0" distR="0" wp14:anchorId="2085990F" wp14:editId="404D9F14">
                <wp:extent cx="5382895" cy="3909546"/>
                <wp:effectExtent l="0" t="0" r="8255" b="0"/>
                <wp:docPr id="15" name="Picture 15" descr="Figure D3a: Pelican Point (Engie)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909546"/>
                        </a:xfrm>
                        <a:prstGeom prst="rect">
                          <a:avLst/>
                        </a:prstGeom>
                        <a:noFill/>
                        <a:ln>
                          <a:noFill/>
                        </a:ln>
                      </pic:spPr>
                    </pic:pic>
                  </a:graphicData>
                </a:graphic>
              </wp:inline>
            </w:drawing>
          </w:r>
        </w:p>
        <w:p w:rsidR="00992010" w:rsidRDefault="00626BA2" w:rsidP="00626BA2">
          <w:pPr>
            <w:pStyle w:val="Tabletitle"/>
            <w:spacing w:before="120" w:line="240" w:lineRule="auto"/>
          </w:pPr>
          <w:r>
            <w:lastRenderedPageBreak/>
            <w:t>Fig</w:t>
          </w:r>
          <w:r w:rsidR="00992010">
            <w:t xml:space="preserve">ure </w:t>
          </w:r>
          <w:r w:rsidR="005C68D8">
            <w:t>D</w:t>
          </w:r>
          <w:r w:rsidR="00992010">
            <w:t xml:space="preserve">3b: </w:t>
          </w:r>
          <w:r w:rsidR="00ED6D5A">
            <w:t>Pelican Point (</w:t>
          </w:r>
          <w:r w:rsidR="008A5AC2">
            <w:t>Engie</w:t>
          </w:r>
          <w:r w:rsidR="00ED6D5A">
            <w:t>) lower</w:t>
          </w:r>
          <w:r w:rsidR="00992010">
            <w:t xml:space="preserve"> regulation service closing bid prices, dispatch and dispatch price – effective offers</w:t>
          </w:r>
        </w:p>
        <w:p w:rsidR="00ED6D5A" w:rsidRDefault="00A67E84" w:rsidP="00A9661C">
          <w:pPr>
            <w:pStyle w:val="Tabletitle"/>
            <w:keepNext/>
            <w:spacing w:before="120" w:line="240" w:lineRule="auto"/>
          </w:pPr>
          <w:r w:rsidRPr="00A67E84">
            <w:rPr>
              <w:noProof/>
              <w:lang w:eastAsia="en-AU"/>
            </w:rPr>
            <w:drawing>
              <wp:inline distT="0" distB="0" distL="0" distR="0" wp14:anchorId="40D80AAB" wp14:editId="3B1E2A7F">
                <wp:extent cx="5382895" cy="3907775"/>
                <wp:effectExtent l="0" t="0" r="8255" b="0"/>
                <wp:docPr id="21" name="Picture 21" descr="Figure D3b: Pelican Point (Engie)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4a: </w:t>
          </w:r>
          <w:r w:rsidR="00717ACE">
            <w:t>Osbourne</w:t>
          </w:r>
          <w:r w:rsidR="006A0160">
            <w:t xml:space="preserve"> (</w:t>
          </w:r>
          <w:r w:rsidR="0073312A">
            <w:t>Origin</w:t>
          </w:r>
          <w:r w:rsidR="006A0160">
            <w:t>) raise regulation service closing bid prices, di</w:t>
          </w:r>
          <w:r w:rsidR="00717ACE">
            <w:t xml:space="preserve">spatch and dispatch price </w:t>
          </w:r>
          <w:r w:rsidR="006A0160">
            <w:t>- maximum offers</w:t>
          </w:r>
        </w:p>
        <w:p w:rsidR="008E5AED" w:rsidRDefault="00BB22D6" w:rsidP="00992010">
          <w:pPr>
            <w:pStyle w:val="Tabletitle"/>
            <w:spacing w:before="120" w:line="240" w:lineRule="auto"/>
          </w:pPr>
          <w:r w:rsidRPr="00BB22D6">
            <w:rPr>
              <w:noProof/>
              <w:lang w:eastAsia="en-AU"/>
            </w:rPr>
            <w:drawing>
              <wp:inline distT="0" distB="0" distL="0" distR="0" wp14:anchorId="58A2C2ED" wp14:editId="771CF2AF">
                <wp:extent cx="5382895" cy="3907775"/>
                <wp:effectExtent l="0" t="0" r="8255" b="0"/>
                <wp:docPr id="25" name="Picture 25" descr="Figure D4a: Osbourne (Origin) raise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5C68D8">
            <w:t>D</w:t>
          </w:r>
          <w:r>
            <w:t xml:space="preserve">4b: </w:t>
          </w:r>
          <w:r w:rsidR="00A67E84">
            <w:t>Osborne</w:t>
          </w:r>
          <w:r w:rsidR="006A0160">
            <w:t xml:space="preserve"> (</w:t>
          </w:r>
          <w:r w:rsidR="0073312A">
            <w:t>Origin</w:t>
          </w:r>
          <w:r w:rsidR="006A0160">
            <w:t>) raise regulation service closing bid prices, dispatch and dispatch price - effective offers</w:t>
          </w:r>
        </w:p>
        <w:p w:rsidR="00A67E84" w:rsidRDefault="00BB22D6" w:rsidP="00BB22D6">
          <w:pPr>
            <w:pStyle w:val="Tabletitle"/>
          </w:pPr>
          <w:r w:rsidRPr="00BB22D6">
            <w:rPr>
              <w:noProof/>
              <w:lang w:eastAsia="en-AU"/>
            </w:rPr>
            <w:drawing>
              <wp:inline distT="0" distB="0" distL="0" distR="0" wp14:anchorId="4086B1D6" wp14:editId="0A614446">
                <wp:extent cx="5382895" cy="3907775"/>
                <wp:effectExtent l="0" t="0" r="8255" b="0"/>
                <wp:docPr id="31" name="Picture 31" descr="Figure D4b: Osborne (Origin) raise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5a: </w:t>
          </w:r>
          <w:r w:rsidR="006A0160">
            <w:t>Torrens Island (AGL) raise regulation service closing bid prices, dispatch and dispatch price</w:t>
          </w:r>
          <w:r w:rsidR="00717ACE">
            <w:t xml:space="preserve"> </w:t>
          </w:r>
          <w:r w:rsidR="006A0160">
            <w:t>– maximum offers</w:t>
          </w:r>
        </w:p>
        <w:p w:rsidR="00992010" w:rsidRDefault="00BB22D6" w:rsidP="00992010">
          <w:pPr>
            <w:pStyle w:val="Tabletitle"/>
            <w:spacing w:before="120" w:line="240" w:lineRule="auto"/>
          </w:pPr>
          <w:r w:rsidRPr="00BB22D6">
            <w:rPr>
              <w:noProof/>
              <w:lang w:eastAsia="en-AU"/>
            </w:rPr>
            <w:drawing>
              <wp:inline distT="0" distB="0" distL="0" distR="0" wp14:anchorId="553E8113" wp14:editId="59EAA6F8">
                <wp:extent cx="5382895" cy="3907775"/>
                <wp:effectExtent l="0" t="0" r="8255" b="0"/>
                <wp:docPr id="32" name="Picture 32" descr="Figure D5a: Torrens Island (AGL) raise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5C68D8">
            <w:t>D</w:t>
          </w:r>
          <w:r>
            <w:t xml:space="preserve">5b: </w:t>
          </w:r>
          <w:r w:rsidR="006A0160">
            <w:t>Torrens Island (AGL) raise regulation service closing bid prices, dispatch and dispatch price</w:t>
          </w:r>
          <w:r w:rsidR="00717ACE">
            <w:t xml:space="preserve"> </w:t>
          </w:r>
          <w:r w:rsidR="006A0160">
            <w:t>– effective offers</w:t>
          </w:r>
        </w:p>
        <w:p w:rsidR="00992010" w:rsidRDefault="00BB22D6" w:rsidP="00992010">
          <w:pPr>
            <w:pStyle w:val="Tabletitle"/>
            <w:spacing w:before="120" w:line="240" w:lineRule="auto"/>
          </w:pPr>
          <w:r w:rsidRPr="00BB22D6">
            <w:rPr>
              <w:noProof/>
              <w:lang w:eastAsia="en-AU"/>
            </w:rPr>
            <w:drawing>
              <wp:inline distT="0" distB="0" distL="0" distR="0" wp14:anchorId="34B154B6" wp14:editId="120BA2C3">
                <wp:extent cx="5382895" cy="3617260"/>
                <wp:effectExtent l="0" t="0" r="825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617260"/>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6a: </w:t>
          </w:r>
          <w:r w:rsidR="006A0160">
            <w:t>Pelican Point (</w:t>
          </w:r>
          <w:r w:rsidR="008A5AC2">
            <w:t>Engie</w:t>
          </w:r>
          <w:r w:rsidR="006A0160">
            <w:t>) raise regulation service closing bid prices, dispatch and dispatch price</w:t>
          </w:r>
          <w:r w:rsidR="00717ACE">
            <w:t xml:space="preserve"> </w:t>
          </w:r>
          <w:r w:rsidR="006A0160">
            <w:t>– maximum offers</w:t>
          </w:r>
        </w:p>
        <w:p w:rsidR="00992010" w:rsidRDefault="00446C33" w:rsidP="00992010">
          <w:pPr>
            <w:pStyle w:val="Tabletitle"/>
            <w:spacing w:before="120" w:line="240" w:lineRule="auto"/>
          </w:pPr>
          <w:r w:rsidRPr="00446C33">
            <w:rPr>
              <w:noProof/>
              <w:lang w:eastAsia="en-AU"/>
            </w:rPr>
            <w:drawing>
              <wp:inline distT="0" distB="0" distL="0" distR="0" wp14:anchorId="79E40F97" wp14:editId="3D3705BF">
                <wp:extent cx="5378528" cy="399155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94796"/>
                        </a:xfrm>
                        <a:prstGeom prst="rect">
                          <a:avLst/>
                        </a:prstGeom>
                        <a:noFill/>
                        <a:ln>
                          <a:noFill/>
                        </a:ln>
                      </pic:spPr>
                    </pic:pic>
                  </a:graphicData>
                </a:graphic>
              </wp:inline>
            </w:drawing>
          </w:r>
        </w:p>
        <w:p w:rsidR="004D0C2E" w:rsidRDefault="004D0C2E" w:rsidP="00992010">
          <w:pPr>
            <w:pStyle w:val="Tabletitle"/>
            <w:spacing w:before="120" w:line="240" w:lineRule="auto"/>
          </w:pPr>
        </w:p>
        <w:p w:rsidR="00992010" w:rsidRDefault="00992010" w:rsidP="00992010">
          <w:pPr>
            <w:pStyle w:val="Tabletitle"/>
            <w:spacing w:before="120" w:line="240" w:lineRule="auto"/>
          </w:pPr>
          <w:r>
            <w:lastRenderedPageBreak/>
            <w:t xml:space="preserve">Figure </w:t>
          </w:r>
          <w:r w:rsidR="005C68D8">
            <w:t>D</w:t>
          </w:r>
          <w:r>
            <w:t xml:space="preserve">6b: </w:t>
          </w:r>
          <w:r w:rsidR="00077A54">
            <w:t>Pelican Point (</w:t>
          </w:r>
          <w:r w:rsidR="008A5AC2">
            <w:t>Engie</w:t>
          </w:r>
          <w:r w:rsidR="00077A54">
            <w:t>) raise regulation service closing bid prices, dispatch and dispatch price</w:t>
          </w:r>
          <w:r w:rsidR="00717ACE">
            <w:t xml:space="preserve"> </w:t>
          </w:r>
          <w:r w:rsidR="00077A54">
            <w:t>– effective offers</w:t>
          </w:r>
        </w:p>
        <w:p w:rsidR="00992010" w:rsidRDefault="00A320A3" w:rsidP="00992010">
          <w:pPr>
            <w:pStyle w:val="Tabletitle"/>
            <w:spacing w:before="120" w:line="240" w:lineRule="auto"/>
          </w:pPr>
          <w:r w:rsidRPr="00A320A3">
            <w:rPr>
              <w:noProof/>
              <w:lang w:eastAsia="en-AU"/>
            </w:rPr>
            <w:drawing>
              <wp:inline distT="0" distB="0" distL="0" distR="0" wp14:anchorId="02E44DD4" wp14:editId="0B8A5E8A">
                <wp:extent cx="5382895" cy="3903504"/>
                <wp:effectExtent l="0" t="0" r="825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903504"/>
                        </a:xfrm>
                        <a:prstGeom prst="rect">
                          <a:avLst/>
                        </a:prstGeom>
                        <a:noFill/>
                        <a:ln>
                          <a:noFill/>
                        </a:ln>
                      </pic:spPr>
                    </pic:pic>
                  </a:graphicData>
                </a:graphic>
              </wp:inline>
            </w:drawing>
          </w:r>
        </w:p>
        <w:p w:rsidR="00992010" w:rsidRPr="005C68D8" w:rsidRDefault="00461F4E" w:rsidP="005C68D8">
          <w:pPr>
            <w:pStyle w:val="Heading1notnumber"/>
          </w:pPr>
          <w:bookmarkStart w:id="21" w:name="_Toc467746560"/>
          <w:r w:rsidRPr="005C68D8">
            <w:lastRenderedPageBreak/>
            <w:t xml:space="preserve">Appendix </w:t>
          </w:r>
          <w:r w:rsidR="005C68D8" w:rsidRPr="005C68D8">
            <w:t>E</w:t>
          </w:r>
          <w:r w:rsidR="00992010" w:rsidRPr="005C68D8">
            <w:tab/>
            <w:t>Relevant Market Notices</w:t>
          </w:r>
          <w:bookmarkEnd w:id="21"/>
        </w:p>
        <w:p w:rsidR="000940D0" w:rsidRDefault="000940D0" w:rsidP="000940D0">
          <w:pPr>
            <w:spacing w:after="240"/>
          </w:pPr>
          <w:r>
            <w:t xml:space="preserve">AEMO issued the following market notice to </w:t>
          </w:r>
          <w:proofErr w:type="gramStart"/>
          <w:r>
            <w:t>advise</w:t>
          </w:r>
          <w:proofErr w:type="gramEnd"/>
          <w:r>
            <w:t xml:space="preserve"> of the outage.</w:t>
          </w:r>
        </w:p>
        <w:p w:rsidR="001C4856" w:rsidRPr="008551CE" w:rsidRDefault="001C4856" w:rsidP="001C4856">
          <w:r w:rsidRPr="008551CE">
            <w:t>Market notice 5</w:t>
          </w:r>
          <w:r w:rsidR="00905E95" w:rsidRPr="008551CE">
            <w:t>4</w:t>
          </w:r>
          <w:r w:rsidR="008551CE" w:rsidRPr="008551CE">
            <w:t>736</w:t>
          </w:r>
          <w:r w:rsidRPr="008551CE">
            <w:t xml:space="preserve"> was issued on </w:t>
          </w:r>
          <w:r w:rsidR="008551CE" w:rsidRPr="008551CE">
            <w:t>15</w:t>
          </w:r>
          <w:r w:rsidR="00905E95" w:rsidRPr="008551CE">
            <w:t> </w:t>
          </w:r>
          <w:r w:rsidR="008551CE" w:rsidRPr="008551CE">
            <w:t>August</w:t>
          </w:r>
          <w:r w:rsidRPr="008551CE">
            <w:t xml:space="preserve"> </w:t>
          </w:r>
          <w:r w:rsidR="00257E31" w:rsidRPr="008551CE">
            <w:t>2016</w:t>
          </w:r>
          <w:r w:rsidR="00905E95" w:rsidRPr="008551CE">
            <w:t>.</w:t>
          </w:r>
        </w:p>
        <w:tbl>
          <w:tblPr>
            <w:tblStyle w:val="AERsummarytable"/>
            <w:tblW w:w="0" w:type="auto"/>
            <w:tblLook w:val="04A0" w:firstRow="1" w:lastRow="0" w:firstColumn="1" w:lastColumn="0" w:noHBand="0" w:noVBand="1"/>
          </w:tblPr>
          <w:tblGrid>
            <w:gridCol w:w="2173"/>
            <w:gridCol w:w="2173"/>
            <w:gridCol w:w="2173"/>
            <w:gridCol w:w="2174"/>
          </w:tblGrid>
          <w:tr w:rsidR="00992010" w:rsidRPr="008551CE" w:rsidTr="00405DE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92010" w:rsidRPr="008551CE" w:rsidRDefault="00992010" w:rsidP="00461F4E">
                <w:pPr>
                  <w:tabs>
                    <w:tab w:val="right" w:pos="1957"/>
                  </w:tabs>
                </w:pPr>
                <w:r w:rsidRPr="008551CE">
                  <w:t>Market Notice</w:t>
                </w:r>
                <w:r w:rsidR="00461F4E" w:rsidRPr="008551CE">
                  <w:tab/>
                </w:r>
              </w:p>
            </w:tc>
            <w:tc>
              <w:tcPr>
                <w:tcW w:w="2173" w:type="dxa"/>
              </w:tcPr>
              <w:p w:rsidR="00992010" w:rsidRPr="008551CE" w:rsidRDefault="00992010" w:rsidP="00405DEA">
                <w:r w:rsidRPr="008551CE">
                  <w:t>Type</w:t>
                </w:r>
              </w:p>
            </w:tc>
            <w:tc>
              <w:tcPr>
                <w:tcW w:w="2173" w:type="dxa"/>
              </w:tcPr>
              <w:p w:rsidR="00992010" w:rsidRPr="008551CE" w:rsidRDefault="00992010" w:rsidP="00405DEA">
                <w:r w:rsidRPr="008551CE">
                  <w:t>Date of issue</w:t>
                </w:r>
              </w:p>
            </w:tc>
            <w:tc>
              <w:tcPr>
                <w:tcW w:w="2174" w:type="dxa"/>
              </w:tcPr>
              <w:p w:rsidR="00992010" w:rsidRPr="008551CE" w:rsidRDefault="00992010" w:rsidP="00405DEA">
                <w:r w:rsidRPr="008551CE">
                  <w:t>Last Changed</w:t>
                </w:r>
              </w:p>
            </w:tc>
          </w:tr>
          <w:tr w:rsidR="00992010" w:rsidRPr="008551CE" w:rsidTr="00405DEA">
            <w:trPr>
              <w:cnfStyle w:val="000000100000" w:firstRow="0" w:lastRow="0" w:firstColumn="0" w:lastColumn="0" w:oddVBand="0" w:evenVBand="0" w:oddHBand="1" w:evenHBand="0" w:firstRowFirstColumn="0" w:firstRowLastColumn="0" w:lastRowFirstColumn="0" w:lastRowLastColumn="0"/>
            </w:trPr>
            <w:tc>
              <w:tcPr>
                <w:tcW w:w="2173" w:type="dxa"/>
              </w:tcPr>
              <w:p w:rsidR="00992010" w:rsidRPr="008551CE" w:rsidRDefault="008551CE" w:rsidP="00AC6FC9">
                <w:r w:rsidRPr="008551CE">
                  <w:t>54736</w:t>
                </w:r>
              </w:p>
            </w:tc>
            <w:tc>
              <w:tcPr>
                <w:tcW w:w="2173" w:type="dxa"/>
              </w:tcPr>
              <w:p w:rsidR="00992010" w:rsidRPr="008551CE" w:rsidRDefault="00992010" w:rsidP="00405DEA">
                <w:r w:rsidRPr="008551CE">
                  <w:t>General Notice</w:t>
                </w:r>
              </w:p>
            </w:tc>
            <w:tc>
              <w:tcPr>
                <w:tcW w:w="2173" w:type="dxa"/>
              </w:tcPr>
              <w:p w:rsidR="00992010" w:rsidRPr="008551CE" w:rsidRDefault="008551CE" w:rsidP="008551CE">
                <w:r w:rsidRPr="008551CE">
                  <w:t>15</w:t>
                </w:r>
                <w:r w:rsidR="00992010" w:rsidRPr="008551CE">
                  <w:t>/</w:t>
                </w:r>
                <w:r w:rsidR="00AC6FC9" w:rsidRPr="008551CE">
                  <w:t>0</w:t>
                </w:r>
                <w:r w:rsidRPr="008551CE">
                  <w:t>8</w:t>
                </w:r>
                <w:r w:rsidR="00992010" w:rsidRPr="008551CE">
                  <w:t>/201</w:t>
                </w:r>
                <w:r w:rsidR="00AC6FC9" w:rsidRPr="008551CE">
                  <w:t>6</w:t>
                </w:r>
                <w:r w:rsidR="00992010" w:rsidRPr="008551CE">
                  <w:t xml:space="preserve"> </w:t>
                </w:r>
                <w:r w:rsidRPr="008551CE">
                  <w:t>07</w:t>
                </w:r>
                <w:r w:rsidR="00992010" w:rsidRPr="008551CE">
                  <w:t>:</w:t>
                </w:r>
                <w:r w:rsidRPr="008551CE">
                  <w:t>45</w:t>
                </w:r>
                <w:r w:rsidR="00992010" w:rsidRPr="008551CE">
                  <w:t>:</w:t>
                </w:r>
                <w:r w:rsidRPr="008551CE">
                  <w:t>09</w:t>
                </w:r>
              </w:p>
            </w:tc>
            <w:tc>
              <w:tcPr>
                <w:tcW w:w="2174" w:type="dxa"/>
              </w:tcPr>
              <w:p w:rsidR="00992010" w:rsidRPr="008551CE" w:rsidRDefault="008551CE" w:rsidP="008551CE">
                <w:r w:rsidRPr="008551CE">
                  <w:t>15</w:t>
                </w:r>
                <w:r w:rsidR="00905E95" w:rsidRPr="008551CE">
                  <w:t>/0</w:t>
                </w:r>
                <w:r w:rsidRPr="008551CE">
                  <w:t>8</w:t>
                </w:r>
                <w:r w:rsidR="00905E95" w:rsidRPr="008551CE">
                  <w:t xml:space="preserve">/2016 </w:t>
                </w:r>
                <w:r w:rsidRPr="008551CE">
                  <w:t>07</w:t>
                </w:r>
                <w:r w:rsidR="00905E95" w:rsidRPr="008551CE">
                  <w:t>:</w:t>
                </w:r>
                <w:r w:rsidRPr="008551CE">
                  <w:t>45</w:t>
                </w:r>
                <w:r w:rsidR="00905E95" w:rsidRPr="008551CE">
                  <w:t>:</w:t>
                </w:r>
                <w:r w:rsidRPr="008551CE">
                  <w:t>09</w:t>
                </w:r>
              </w:p>
            </w:tc>
          </w:tr>
          <w:tr w:rsidR="00992010" w:rsidRPr="008551CE" w:rsidTr="00405DE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92010" w:rsidRPr="008551CE" w:rsidRDefault="00992010" w:rsidP="00D26D2A">
                <w:pPr>
                  <w:spacing w:before="240"/>
                  <w:jc w:val="left"/>
                  <w:rPr>
                    <w:b/>
                  </w:rPr>
                </w:pPr>
                <w:r w:rsidRPr="008551CE">
                  <w:rPr>
                    <w:b/>
                    <w:color w:val="FFFFFF" w:themeColor="background1"/>
                  </w:rPr>
                  <w:t>Reason</w:t>
                </w:r>
              </w:p>
            </w:tc>
          </w:tr>
          <w:tr w:rsidR="00992010" w:rsidRPr="00461F4E" w:rsidTr="00405DE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92010" w:rsidRPr="00461F4E" w:rsidRDefault="008551CE" w:rsidP="00D26D2A">
                <w:pPr>
                  <w:jc w:val="left"/>
                  <w:rPr>
                    <w:color w:val="FF0000"/>
                  </w:rPr>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Moorabool to Mortlake PS 500kV line in Victoria Region is planned out of service from 0700 hrs on 15 September 2016 to 1700 hrs on 15 September 2016.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F-V-MLMO (includes F-S_LREG_0035 and F-S_RREG_0035) </w:t>
                </w:r>
                <w:r>
                  <w:rPr>
                    <w:rFonts w:cs="Arial"/>
                    <w:szCs w:val="18"/>
                  </w:rPr>
                  <w:br/>
                  <w:t xml:space="preserve">S-BOTH_BLKRG_C_OS </w:t>
                </w:r>
                <w:r>
                  <w:rPr>
                    <w:rFonts w:cs="Arial"/>
                    <w:szCs w:val="18"/>
                  </w:rPr>
                  <w:br/>
                  <w:t xml:space="preserve">V-MLMO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t xml:space="preserve">Edmund Hon </w:t>
                </w:r>
                <w:r>
                  <w:rPr>
                    <w:rFonts w:cs="Arial"/>
                    <w:szCs w:val="18"/>
                  </w:rPr>
                  <w:br/>
                  <w:t>AEMO Operations</w:t>
                </w:r>
              </w:p>
            </w:tc>
          </w:tr>
        </w:tbl>
        <w:p w:rsidR="008551CE" w:rsidRDefault="008551CE"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0940D0" w:rsidRDefault="000940D0" w:rsidP="00992010">
          <w:pPr>
            <w:spacing w:line="240" w:lineRule="auto"/>
            <w:jc w:val="left"/>
          </w:pPr>
        </w:p>
        <w:p w:rsidR="008551CE" w:rsidRPr="008551CE" w:rsidRDefault="008551CE" w:rsidP="008551CE">
          <w:r w:rsidRPr="008551CE">
            <w:lastRenderedPageBreak/>
            <w:t>Market notice 54</w:t>
          </w:r>
          <w:r>
            <w:t>864</w:t>
          </w:r>
          <w:r w:rsidRPr="008551CE">
            <w:t xml:space="preserve"> was issued on </w:t>
          </w:r>
          <w:r>
            <w:t>8</w:t>
          </w:r>
          <w:r w:rsidRPr="008551CE">
            <w:t> </w:t>
          </w:r>
          <w:r>
            <w:t>September</w:t>
          </w:r>
          <w:r w:rsidRPr="008551CE">
            <w:t xml:space="preserve"> 2016.</w:t>
          </w:r>
        </w:p>
        <w:tbl>
          <w:tblPr>
            <w:tblStyle w:val="AERsummarytable"/>
            <w:tblW w:w="0" w:type="auto"/>
            <w:tblLook w:val="04A0" w:firstRow="1" w:lastRow="0" w:firstColumn="1" w:lastColumn="0" w:noHBand="0" w:noVBand="1"/>
          </w:tblPr>
          <w:tblGrid>
            <w:gridCol w:w="2173"/>
            <w:gridCol w:w="2173"/>
            <w:gridCol w:w="2173"/>
            <w:gridCol w:w="2174"/>
          </w:tblGrid>
          <w:tr w:rsidR="008551CE" w:rsidRPr="008551CE" w:rsidTr="00A62205">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8551CE" w:rsidRPr="008551CE" w:rsidRDefault="008551CE" w:rsidP="00A62205">
                <w:pPr>
                  <w:tabs>
                    <w:tab w:val="right" w:pos="1957"/>
                  </w:tabs>
                </w:pPr>
                <w:r w:rsidRPr="008551CE">
                  <w:t>Market Notice</w:t>
                </w:r>
                <w:r w:rsidRPr="008551CE">
                  <w:tab/>
                </w:r>
              </w:p>
            </w:tc>
            <w:tc>
              <w:tcPr>
                <w:tcW w:w="2173" w:type="dxa"/>
              </w:tcPr>
              <w:p w:rsidR="008551CE" w:rsidRPr="008551CE" w:rsidRDefault="008551CE" w:rsidP="00A62205">
                <w:r w:rsidRPr="008551CE">
                  <w:t>Type</w:t>
                </w:r>
              </w:p>
            </w:tc>
            <w:tc>
              <w:tcPr>
                <w:tcW w:w="2173" w:type="dxa"/>
              </w:tcPr>
              <w:p w:rsidR="008551CE" w:rsidRPr="008551CE" w:rsidRDefault="008551CE" w:rsidP="00A62205">
                <w:r w:rsidRPr="008551CE">
                  <w:t>Date of issue</w:t>
                </w:r>
              </w:p>
            </w:tc>
            <w:tc>
              <w:tcPr>
                <w:tcW w:w="2174" w:type="dxa"/>
              </w:tcPr>
              <w:p w:rsidR="008551CE" w:rsidRPr="008551CE" w:rsidRDefault="008551CE" w:rsidP="00A62205">
                <w:r w:rsidRPr="008551CE">
                  <w:t>Last Changed</w:t>
                </w:r>
              </w:p>
            </w:tc>
          </w:tr>
          <w:tr w:rsidR="008551CE" w:rsidRPr="008551CE" w:rsidTr="00A62205">
            <w:trPr>
              <w:cnfStyle w:val="000000100000" w:firstRow="0" w:lastRow="0" w:firstColumn="0" w:lastColumn="0" w:oddVBand="0" w:evenVBand="0" w:oddHBand="1" w:evenHBand="0" w:firstRowFirstColumn="0" w:firstRowLastColumn="0" w:lastRowFirstColumn="0" w:lastRowLastColumn="0"/>
            </w:trPr>
            <w:tc>
              <w:tcPr>
                <w:tcW w:w="2173" w:type="dxa"/>
              </w:tcPr>
              <w:p w:rsidR="008551CE" w:rsidRPr="008551CE" w:rsidRDefault="008551CE" w:rsidP="00A62205">
                <w:r w:rsidRPr="008551CE">
                  <w:t>5</w:t>
                </w:r>
                <w:r>
                  <w:t>4864</w:t>
                </w:r>
              </w:p>
            </w:tc>
            <w:tc>
              <w:tcPr>
                <w:tcW w:w="2173" w:type="dxa"/>
              </w:tcPr>
              <w:p w:rsidR="008551CE" w:rsidRPr="008551CE" w:rsidRDefault="008551CE" w:rsidP="00A62205">
                <w:r w:rsidRPr="008551CE">
                  <w:t>General Notice</w:t>
                </w:r>
              </w:p>
            </w:tc>
            <w:tc>
              <w:tcPr>
                <w:tcW w:w="2173" w:type="dxa"/>
              </w:tcPr>
              <w:p w:rsidR="008551CE" w:rsidRPr="008551CE" w:rsidRDefault="008551CE" w:rsidP="008551CE">
                <w:r>
                  <w:t>8</w:t>
                </w:r>
                <w:r w:rsidRPr="008551CE">
                  <w:t>/0</w:t>
                </w:r>
                <w:r>
                  <w:t>9</w:t>
                </w:r>
                <w:r w:rsidRPr="008551CE">
                  <w:t xml:space="preserve">/2016 </w:t>
                </w:r>
                <w:r>
                  <w:t>12</w:t>
                </w:r>
                <w:r w:rsidRPr="008551CE">
                  <w:t>:</w:t>
                </w:r>
                <w:r>
                  <w:t>41</w:t>
                </w:r>
                <w:r w:rsidRPr="008551CE">
                  <w:t>:</w:t>
                </w:r>
                <w:r>
                  <w:t>18</w:t>
                </w:r>
              </w:p>
            </w:tc>
            <w:tc>
              <w:tcPr>
                <w:tcW w:w="2174" w:type="dxa"/>
              </w:tcPr>
              <w:p w:rsidR="008551CE" w:rsidRPr="008551CE" w:rsidRDefault="008551CE" w:rsidP="008551CE">
                <w:r>
                  <w:t>08</w:t>
                </w:r>
                <w:r w:rsidRPr="008551CE">
                  <w:t>/0</w:t>
                </w:r>
                <w:r>
                  <w:t>9</w:t>
                </w:r>
                <w:r w:rsidRPr="008551CE">
                  <w:t xml:space="preserve">/2016 </w:t>
                </w:r>
                <w:r>
                  <w:t>12</w:t>
                </w:r>
                <w:r w:rsidRPr="008551CE">
                  <w:t>:</w:t>
                </w:r>
                <w:r>
                  <w:t>41</w:t>
                </w:r>
                <w:r w:rsidRPr="008551CE">
                  <w:t>:</w:t>
                </w:r>
                <w:r>
                  <w:t>18</w:t>
                </w:r>
              </w:p>
            </w:tc>
          </w:tr>
          <w:tr w:rsidR="008551CE" w:rsidRPr="008551CE" w:rsidTr="00A62205">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551CE" w:rsidRPr="008551CE" w:rsidRDefault="008551CE" w:rsidP="00A62205">
                <w:pPr>
                  <w:spacing w:before="240"/>
                  <w:jc w:val="left"/>
                  <w:rPr>
                    <w:b/>
                  </w:rPr>
                </w:pPr>
                <w:r w:rsidRPr="008551CE">
                  <w:rPr>
                    <w:b/>
                    <w:color w:val="FFFFFF" w:themeColor="background1"/>
                  </w:rPr>
                  <w:t>Reason</w:t>
                </w:r>
              </w:p>
            </w:tc>
          </w:tr>
          <w:tr w:rsidR="008551CE" w:rsidRPr="00461F4E" w:rsidTr="00A62205">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551CE" w:rsidRPr="00461F4E" w:rsidRDefault="008551CE" w:rsidP="00A62205">
                <w:pPr>
                  <w:jc w:val="left"/>
                  <w:rPr>
                    <w:color w:val="FF0000"/>
                  </w:rPr>
                </w:pPr>
                <w:r>
                  <w:rPr>
                    <w:rFonts w:cs="Arial"/>
                    <w:szCs w:val="18"/>
                  </w:rPr>
                  <w:t xml:space="preserve">AEMO ELECTRICITY MARKET NOTICE. </w:t>
                </w:r>
                <w:r>
                  <w:rPr>
                    <w:rFonts w:cs="Arial"/>
                    <w:szCs w:val="18"/>
                  </w:rPr>
                  <w:br/>
                </w:r>
                <w:r>
                  <w:rPr>
                    <w:rFonts w:cs="Arial"/>
                    <w:szCs w:val="18"/>
                  </w:rPr>
                  <w:br/>
                  <w:t xml:space="preserve">**Re-scheduled outage from </w:t>
                </w:r>
                <w:proofErr w:type="spellStart"/>
                <w:r>
                  <w:rPr>
                    <w:rFonts w:cs="Arial"/>
                    <w:szCs w:val="18"/>
                  </w:rPr>
                  <w:t>Ausnet</w:t>
                </w:r>
                <w:proofErr w:type="spellEnd"/>
                <w:r>
                  <w:rPr>
                    <w:rFonts w:cs="Arial"/>
                    <w:szCs w:val="18"/>
                  </w:rPr>
                  <w:t xml:space="preserve">. ** </w:t>
                </w:r>
                <w:r>
                  <w:rPr>
                    <w:rFonts w:cs="Arial"/>
                    <w:szCs w:val="18"/>
                  </w:rPr>
                  <w:br/>
                  <w:t>Or</w:t>
                </w:r>
                <w:r w:rsidR="00A37657">
                  <w:rPr>
                    <w:rFonts w:cs="Arial"/>
                    <w:szCs w:val="18"/>
                  </w:rPr>
                  <w:t>i</w:t>
                </w:r>
                <w:r>
                  <w:rPr>
                    <w:rFonts w:cs="Arial"/>
                    <w:szCs w:val="18"/>
                  </w:rPr>
                  <w:t xml:space="preserve">ginally planned for 15/09/2016 0700 hrs to 15/09/2016 1700 hrs and now been rescheduled as below.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Moorabool to Mortlake PS 500kV line in Victoria Region is planned out of service from 0700 hrs on 16 September 2016 to 1700 hrs on 16 September 2016.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F-V-MLMO (includes F-S_LREG_0035 and F-S_RREG_0035) </w:t>
                </w:r>
                <w:r>
                  <w:rPr>
                    <w:rFonts w:cs="Arial"/>
                    <w:szCs w:val="18"/>
                  </w:rPr>
                  <w:br/>
                  <w:t xml:space="preserve">S-X_BC_CP </w:t>
                </w:r>
                <w:r>
                  <w:rPr>
                    <w:rFonts w:cs="Arial"/>
                    <w:szCs w:val="18"/>
                  </w:rPr>
                  <w:br/>
                  <w:t xml:space="preserve">V-MLMO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t xml:space="preserve">Edmund Hon </w:t>
                </w:r>
                <w:r>
                  <w:rPr>
                    <w:rFonts w:cs="Arial"/>
                    <w:szCs w:val="18"/>
                  </w:rPr>
                  <w:br/>
                  <w:t>AEMO Operations</w:t>
                </w:r>
              </w:p>
            </w:tc>
          </w:tr>
        </w:tbl>
        <w:p w:rsidR="00992010" w:rsidRDefault="00992010" w:rsidP="00992010">
          <w:pPr>
            <w:spacing w:line="240" w:lineRule="auto"/>
            <w:jc w:val="left"/>
          </w:pPr>
          <w:r>
            <w:br w:type="page"/>
          </w:r>
        </w:p>
        <w:p w:rsidR="00C7068C" w:rsidRDefault="00F1391C" w:rsidP="00296D34">
          <w:pPr>
            <w:pStyle w:val="Heading1notnumber"/>
          </w:pPr>
          <w:bookmarkStart w:id="22" w:name="_Toc467746561"/>
          <w:r>
            <w:lastRenderedPageBreak/>
            <w:t xml:space="preserve">Appendix </w:t>
          </w:r>
          <w:r w:rsidR="005C68D8">
            <w:t>F</w:t>
          </w:r>
          <w:r w:rsidR="00C7068C">
            <w:tab/>
            <w:t>Price setter</w:t>
          </w:r>
          <w:bookmarkEnd w:id="22"/>
        </w:p>
        <w:p w:rsidR="00F0248A" w:rsidRDefault="00F0248A" w:rsidP="00F0248A">
          <w:r>
            <w:t xml:space="preserve">The following tables identify for </w:t>
          </w:r>
          <w:r w:rsidR="00E125B3">
            <w:t xml:space="preserve">each </w:t>
          </w:r>
          <w:r>
            <w:t>five-minute</w:t>
          </w:r>
          <w:r w:rsidR="00E125B3">
            <w:t xml:space="preserve"> dispatch interval where</w:t>
          </w:r>
          <w:r>
            <w:t xml:space="preserve"> </w:t>
          </w:r>
          <w:r w:rsidR="00FD6B42">
            <w:t xml:space="preserve">regulation </w:t>
          </w:r>
          <w:r>
            <w:t xml:space="preserve">dispatch prices </w:t>
          </w:r>
          <w:r w:rsidR="003C2B11">
            <w:t xml:space="preserve">were </w:t>
          </w:r>
          <w:r>
            <w:t xml:space="preserve">above $5000/MW, </w:t>
          </w:r>
          <w:r w:rsidR="00E125B3">
            <w:t xml:space="preserve">the </w:t>
          </w:r>
          <w:r>
            <w:t xml:space="preserve">price and the generating units involved in setting the price for each of the lower </w:t>
          </w:r>
          <w:r w:rsidR="00E125B3">
            <w:t>and raise regulation services</w:t>
          </w:r>
          <w:r>
            <w:t xml:space="preserve"> in South Australia. </w:t>
          </w:r>
          <w:r w:rsidRPr="006D5E16">
            <w:t>This information is published by AEMO</w:t>
          </w:r>
          <w:r w:rsidR="00E125B3">
            <w:t>.</w:t>
          </w:r>
          <w:r w:rsidRPr="006D5E16">
            <w:rPr>
              <w:rStyle w:val="FootnoteReference"/>
            </w:rPr>
            <w:footnoteReference w:id="7"/>
          </w:r>
          <w:r>
            <w:t xml:space="preserve"> Also shown </w:t>
          </w:r>
          <w:r w:rsidR="00E125B3">
            <w:t xml:space="preserve">are </w:t>
          </w:r>
          <w:r>
            <w:t>the offer prices involved in determining the dispatch price</w:t>
          </w:r>
          <w:r w:rsidR="00E125B3">
            <w:t>,</w:t>
          </w:r>
          <w:r>
            <w:t xml:space="preserve"> together with the quantity of that service and the contribution to the total</w:t>
          </w:r>
          <w:r w:rsidR="0054243F">
            <w:t xml:space="preserve"> </w:t>
          </w:r>
          <w:r>
            <w:t>price. AEMO reports an increase as a negative marginal change in FCAS price setter. Generator offers which contributed zero to the price have been removed for clarity.</w:t>
          </w:r>
        </w:p>
        <w:p w:rsidR="00EC4A12" w:rsidRDefault="00CF7345" w:rsidP="00EC4A12">
          <w:pPr>
            <w:pStyle w:val="Tabletitle"/>
          </w:pPr>
          <w:r w:rsidRPr="00D8359D">
            <w:t>Lower regulation</w:t>
          </w:r>
          <w:r w:rsidR="008315BA" w:rsidRPr="00D8359D">
            <w:t xml:space="preserve"> 1</w:t>
          </w:r>
          <w:r w:rsidR="00D8359D" w:rsidRPr="00D8359D">
            <w:t>6</w:t>
          </w:r>
          <w:r w:rsidR="008315BA" w:rsidRPr="00D8359D">
            <w:t xml:space="preserve"> </w:t>
          </w:r>
          <w:r w:rsidR="00D8359D" w:rsidRPr="00D8359D">
            <w:t>September</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C275A6">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905E95">
                <w:pPr>
                  <w:pStyle w:val="tabletext0"/>
                </w:pPr>
                <w:r>
                  <w:t>DI</w:t>
                </w:r>
              </w:p>
            </w:tc>
            <w:tc>
              <w:tcPr>
                <w:tcW w:w="583" w:type="pct"/>
              </w:tcPr>
              <w:p w:rsidR="00094459" w:rsidRPr="00010B1A" w:rsidRDefault="00094459" w:rsidP="00905E95">
                <w:pPr>
                  <w:pStyle w:val="tabletext0"/>
                </w:pPr>
                <w:r w:rsidRPr="00010B1A">
                  <w:t>Dispatch Price</w:t>
                </w:r>
                <w:r>
                  <w:t xml:space="preserve"> ($/MW)</w:t>
                </w:r>
              </w:p>
            </w:tc>
            <w:tc>
              <w:tcPr>
                <w:tcW w:w="799" w:type="pct"/>
              </w:tcPr>
              <w:p w:rsidR="00094459" w:rsidRPr="00010B1A" w:rsidRDefault="0073312A" w:rsidP="00905E95">
                <w:pPr>
                  <w:pStyle w:val="tabletext0"/>
                </w:pPr>
                <w:r w:rsidRPr="00010B1A">
                  <w:t>Participant</w:t>
                </w:r>
              </w:p>
            </w:tc>
            <w:tc>
              <w:tcPr>
                <w:tcW w:w="717" w:type="pct"/>
              </w:tcPr>
              <w:p w:rsidR="00094459" w:rsidRPr="00010B1A" w:rsidRDefault="00094459" w:rsidP="00905E95">
                <w:pPr>
                  <w:pStyle w:val="tabletext0"/>
                </w:pPr>
                <w:r w:rsidRPr="00010B1A">
                  <w:t>Unit</w:t>
                </w:r>
              </w:p>
            </w:tc>
            <w:tc>
              <w:tcPr>
                <w:tcW w:w="661" w:type="pct"/>
              </w:tcPr>
              <w:p w:rsidR="00094459" w:rsidRPr="00010B1A" w:rsidRDefault="00094459" w:rsidP="00905E95">
                <w:pPr>
                  <w:pStyle w:val="tabletext0"/>
                </w:pPr>
                <w:r w:rsidRPr="00010B1A">
                  <w:t>Service</w:t>
                </w:r>
              </w:p>
            </w:tc>
            <w:tc>
              <w:tcPr>
                <w:tcW w:w="582" w:type="pct"/>
              </w:tcPr>
              <w:p w:rsidR="00094459" w:rsidRPr="00010B1A" w:rsidRDefault="00094459" w:rsidP="00905E95">
                <w:pPr>
                  <w:pStyle w:val="tabletext0"/>
                </w:pPr>
                <w:r>
                  <w:t>Offer price ($/MW)</w:t>
                </w:r>
              </w:p>
            </w:tc>
            <w:tc>
              <w:tcPr>
                <w:tcW w:w="544" w:type="pct"/>
              </w:tcPr>
              <w:p w:rsidR="00094459" w:rsidRPr="00010B1A" w:rsidRDefault="00094459" w:rsidP="00905E95">
                <w:pPr>
                  <w:pStyle w:val="tabletext0"/>
                </w:pPr>
                <w:r w:rsidRPr="00010B1A">
                  <w:t>Margi</w:t>
                </w:r>
                <w:r>
                  <w:t>nal</w:t>
                </w:r>
                <w:r w:rsidRPr="00010B1A">
                  <w:t xml:space="preserve"> change</w:t>
                </w:r>
              </w:p>
            </w:tc>
            <w:tc>
              <w:tcPr>
                <w:tcW w:w="762" w:type="pct"/>
              </w:tcPr>
              <w:p w:rsidR="00094459" w:rsidRPr="00010B1A" w:rsidRDefault="00094459" w:rsidP="00905E95">
                <w:pPr>
                  <w:pStyle w:val="tabletext0"/>
                </w:pPr>
                <w:r>
                  <w:t>Contribution</w:t>
                </w:r>
              </w:p>
            </w:tc>
          </w:tr>
          <w:tr w:rsidR="00192A76" w:rsidRPr="00247FC3" w:rsidTr="00192A7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11:05</w:t>
                </w:r>
              </w:p>
            </w:tc>
            <w:tc>
              <w:tcPr>
                <w:tcW w:w="583" w:type="pct"/>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vAlign w:val="center"/>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192A76" w:rsidRPr="00E6564C" w:rsidRDefault="00192A76" w:rsidP="00E6564C">
                <w:pPr>
                  <w:rPr>
                    <w:rFonts w:asciiTheme="minorHAnsi" w:hAnsiTheme="minorHAnsi" w:cstheme="minorHAnsi"/>
                    <w:sz w:val="16"/>
                    <w:szCs w:val="16"/>
                  </w:rPr>
                </w:pPr>
                <w:r w:rsidRPr="00E6564C">
                  <w:rPr>
                    <w:rFonts w:asciiTheme="minorHAnsi" w:hAnsiTheme="minorHAnsi" w:cstheme="minorHAnsi"/>
                    <w:sz w:val="16"/>
                    <w:szCs w:val="16"/>
                  </w:rPr>
                  <w:t>-$</w:t>
                </w:r>
                <w:r w:rsidR="00E6564C" w:rsidRPr="00E6564C">
                  <w:rPr>
                    <w:rFonts w:asciiTheme="minorHAnsi" w:hAnsiTheme="minorHAnsi" w:cstheme="minorHAnsi"/>
                    <w:sz w:val="16"/>
                    <w:szCs w:val="16"/>
                  </w:rPr>
                  <w:t>9450</w:t>
                </w:r>
                <w:r w:rsidRPr="00E6564C">
                  <w:rPr>
                    <w:rFonts w:asciiTheme="minorHAnsi" w:hAnsiTheme="minorHAnsi" w:cstheme="minorHAnsi"/>
                    <w:sz w:val="16"/>
                    <w:szCs w:val="16"/>
                  </w:rPr>
                  <w:t>.00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11:10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247FC3"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11:15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247FC3"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11:20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11:25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11:30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11:35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11:40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11:45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11:50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11:55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12:00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12:05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12:10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12:15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12:20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12:25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12:30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12:35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12:40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12:45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12:50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12:55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13:00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13:05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lastRenderedPageBreak/>
                  <w:t>13:10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13:15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13:20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13:25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13:30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13:35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13:40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13:45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13:50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13:55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14:00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14:05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14:10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14:15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14:20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14:25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14:30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14:35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14:40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14:45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14:50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14:55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15:00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15:05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15:10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15:15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15:20</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r w:rsidR="00E6564C" w:rsidRPr="00796046" w:rsidTr="00E6564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15:25</w:t>
                </w:r>
              </w:p>
            </w:tc>
            <w:tc>
              <w:tcPr>
                <w:tcW w:w="583"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799"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OSB-AG</w:t>
                </w:r>
              </w:p>
            </w:tc>
            <w:tc>
              <w:tcPr>
                <w:tcW w:w="661"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 xml:space="preserve">Lower </w:t>
                </w:r>
                <w:proofErr w:type="spellStart"/>
                <w:r w:rsidRPr="00E6564C">
                  <w:rPr>
                    <w:rFonts w:asciiTheme="minorHAnsi" w:hAnsiTheme="minorHAnsi" w:cstheme="minorHAnsi"/>
                    <w:sz w:val="16"/>
                    <w:szCs w:val="16"/>
                  </w:rPr>
                  <w:t>reg</w:t>
                </w:r>
                <w:proofErr w:type="spellEnd"/>
              </w:p>
            </w:tc>
            <w:tc>
              <w:tcPr>
                <w:tcW w:w="582" w:type="pct"/>
                <w:vAlign w:val="center"/>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w:t>
                </w:r>
              </w:p>
            </w:tc>
            <w:tc>
              <w:tcPr>
                <w:tcW w:w="544"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-1</w:t>
                </w:r>
              </w:p>
            </w:tc>
            <w:tc>
              <w:tcPr>
                <w:tcW w:w="762" w:type="pct"/>
              </w:tcPr>
              <w:p w:rsidR="00E6564C" w:rsidRPr="00E6564C" w:rsidRDefault="00E6564C" w:rsidP="00E6564C">
                <w:pPr>
                  <w:rPr>
                    <w:rFonts w:asciiTheme="minorHAnsi" w:hAnsiTheme="minorHAnsi" w:cstheme="minorHAnsi"/>
                    <w:sz w:val="16"/>
                    <w:szCs w:val="16"/>
                  </w:rPr>
                </w:pPr>
                <w:r w:rsidRPr="00E6564C">
                  <w:rPr>
                    <w:rFonts w:asciiTheme="minorHAnsi" w:hAnsiTheme="minorHAnsi" w:cstheme="minorHAnsi"/>
                    <w:sz w:val="16"/>
                    <w:szCs w:val="16"/>
                  </w:rPr>
                  <w:t>-$9450.00</w:t>
                </w:r>
              </w:p>
            </w:tc>
          </w:tr>
        </w:tbl>
        <w:p w:rsidR="000F720B" w:rsidRDefault="000F720B" w:rsidP="00A66985">
          <w:pPr>
            <w:pStyle w:val="Tabletitle"/>
            <w:keepNext/>
          </w:pPr>
          <w:r>
            <w:t xml:space="preserve">Raise regulation </w:t>
          </w:r>
          <w:r w:rsidR="00905E95">
            <w:t>1</w:t>
          </w:r>
          <w:r w:rsidR="00D8359D">
            <w:t>6</w:t>
          </w:r>
          <w:r>
            <w:t xml:space="preserve"> </w:t>
          </w:r>
          <w:r w:rsidR="00D8359D">
            <w:t>September</w:t>
          </w:r>
        </w:p>
        <w:tbl>
          <w:tblPr>
            <w:tblStyle w:val="AERTable-Text"/>
            <w:tblW w:w="5197" w:type="pct"/>
            <w:tblLayout w:type="fixed"/>
            <w:tblLook w:val="04A0" w:firstRow="1" w:lastRow="0" w:firstColumn="1" w:lastColumn="0" w:noHBand="0" w:noVBand="1"/>
          </w:tblPr>
          <w:tblGrid>
            <w:gridCol w:w="637"/>
            <w:gridCol w:w="1054"/>
            <w:gridCol w:w="1448"/>
            <w:gridCol w:w="1296"/>
            <w:gridCol w:w="1178"/>
            <w:gridCol w:w="1066"/>
            <w:gridCol w:w="980"/>
            <w:gridCol w:w="1377"/>
          </w:tblGrid>
          <w:tr w:rsidR="000F720B" w:rsidRPr="00DD0001" w:rsidTr="00C275A6">
            <w:trPr>
              <w:cnfStyle w:val="100000000000" w:firstRow="1" w:lastRow="0" w:firstColumn="0" w:lastColumn="0" w:oddVBand="0" w:evenVBand="0" w:oddHBand="0" w:evenHBand="0" w:firstRowFirstColumn="0" w:firstRowLastColumn="0" w:lastRowFirstColumn="0" w:lastRowLastColumn="0"/>
              <w:trHeight w:hRule="exact" w:val="737"/>
              <w:tblHeader/>
            </w:trPr>
            <w:tc>
              <w:tcPr>
                <w:tcW w:w="352" w:type="pct"/>
              </w:tcPr>
              <w:p w:rsidR="000F720B" w:rsidRPr="00010B1A" w:rsidRDefault="000F720B" w:rsidP="000F720B">
                <w:pPr>
                  <w:jc w:val="left"/>
                  <w:rPr>
                    <w:sz w:val="18"/>
                  </w:rPr>
                </w:pPr>
                <w:r>
                  <w:rPr>
                    <w:sz w:val="18"/>
                  </w:rPr>
                  <w:t>DI</w:t>
                </w:r>
              </w:p>
            </w:tc>
            <w:tc>
              <w:tcPr>
                <w:tcW w:w="583" w:type="pct"/>
              </w:tcPr>
              <w:p w:rsidR="000F720B" w:rsidRPr="00010B1A" w:rsidRDefault="000F720B" w:rsidP="00475ED4">
                <w:pPr>
                  <w:spacing w:before="0" w:after="0"/>
                  <w:jc w:val="left"/>
                  <w:rPr>
                    <w:sz w:val="18"/>
                  </w:rPr>
                </w:pPr>
                <w:r w:rsidRPr="00010B1A">
                  <w:rPr>
                    <w:sz w:val="18"/>
                  </w:rPr>
                  <w:t>Dispatch Price</w:t>
                </w:r>
                <w:r>
                  <w:rPr>
                    <w:sz w:val="18"/>
                  </w:rPr>
                  <w:t xml:space="preserve"> ($/MW)</w:t>
                </w:r>
              </w:p>
            </w:tc>
            <w:tc>
              <w:tcPr>
                <w:tcW w:w="801" w:type="pct"/>
              </w:tcPr>
              <w:p w:rsidR="000F720B" w:rsidRPr="00010B1A" w:rsidRDefault="000F720B" w:rsidP="000F720B">
                <w:pPr>
                  <w:spacing w:before="0" w:after="0"/>
                  <w:jc w:val="left"/>
                  <w:rPr>
                    <w:sz w:val="18"/>
                  </w:rPr>
                </w:pPr>
                <w:r w:rsidRPr="00010B1A">
                  <w:rPr>
                    <w:sz w:val="18"/>
                  </w:rPr>
                  <w:t>Participant</w:t>
                </w:r>
              </w:p>
            </w:tc>
            <w:tc>
              <w:tcPr>
                <w:tcW w:w="717" w:type="pct"/>
              </w:tcPr>
              <w:p w:rsidR="000F720B" w:rsidRPr="00010B1A" w:rsidRDefault="000F720B" w:rsidP="000F720B">
                <w:pPr>
                  <w:spacing w:before="0" w:after="0"/>
                  <w:jc w:val="left"/>
                  <w:rPr>
                    <w:sz w:val="18"/>
                  </w:rPr>
                </w:pPr>
                <w:r w:rsidRPr="00010B1A">
                  <w:rPr>
                    <w:sz w:val="18"/>
                  </w:rPr>
                  <w:t>Unit</w:t>
                </w:r>
              </w:p>
            </w:tc>
            <w:tc>
              <w:tcPr>
                <w:tcW w:w="652" w:type="pct"/>
              </w:tcPr>
              <w:p w:rsidR="000F720B" w:rsidRPr="00010B1A" w:rsidRDefault="000F720B" w:rsidP="000F720B">
                <w:pPr>
                  <w:spacing w:before="0" w:after="0"/>
                  <w:jc w:val="left"/>
                  <w:rPr>
                    <w:sz w:val="18"/>
                  </w:rPr>
                </w:pPr>
                <w:r w:rsidRPr="00010B1A">
                  <w:rPr>
                    <w:sz w:val="18"/>
                  </w:rPr>
                  <w:t>Service</w:t>
                </w:r>
              </w:p>
            </w:tc>
            <w:tc>
              <w:tcPr>
                <w:tcW w:w="590" w:type="pct"/>
              </w:tcPr>
              <w:p w:rsidR="000F720B" w:rsidRPr="00010B1A" w:rsidRDefault="000F720B" w:rsidP="00475ED4">
                <w:pPr>
                  <w:spacing w:before="0" w:after="0"/>
                  <w:jc w:val="left"/>
                  <w:rPr>
                    <w:sz w:val="18"/>
                  </w:rPr>
                </w:pPr>
                <w:r>
                  <w:rPr>
                    <w:sz w:val="18"/>
                  </w:rPr>
                  <w:t>Offer price ($/MW)</w:t>
                </w:r>
              </w:p>
            </w:tc>
            <w:tc>
              <w:tcPr>
                <w:tcW w:w="542" w:type="pct"/>
              </w:tcPr>
              <w:p w:rsidR="000F720B" w:rsidRPr="00010B1A" w:rsidRDefault="000F720B" w:rsidP="000F720B">
                <w:pPr>
                  <w:jc w:val="left"/>
                  <w:rPr>
                    <w:sz w:val="18"/>
                  </w:rPr>
                </w:pPr>
                <w:r w:rsidRPr="00010B1A">
                  <w:rPr>
                    <w:sz w:val="18"/>
                  </w:rPr>
                  <w:t>Margi</w:t>
                </w:r>
                <w:r>
                  <w:rPr>
                    <w:sz w:val="18"/>
                  </w:rPr>
                  <w:t>nal</w:t>
                </w:r>
                <w:r w:rsidRPr="00010B1A">
                  <w:rPr>
                    <w:sz w:val="18"/>
                  </w:rPr>
                  <w:t xml:space="preserve"> change</w:t>
                </w:r>
              </w:p>
            </w:tc>
            <w:tc>
              <w:tcPr>
                <w:tcW w:w="762" w:type="pct"/>
              </w:tcPr>
              <w:p w:rsidR="000F720B" w:rsidRPr="00010B1A" w:rsidRDefault="000F720B" w:rsidP="000F720B">
                <w:pPr>
                  <w:jc w:val="left"/>
                  <w:rPr>
                    <w:sz w:val="18"/>
                  </w:rPr>
                </w:pPr>
                <w:r>
                  <w:rPr>
                    <w:sz w:val="18"/>
                  </w:rPr>
                  <w:t>Contribution</w:t>
                </w:r>
              </w:p>
            </w:tc>
          </w:tr>
          <w:tr w:rsidR="00D8359D" w:rsidRPr="00247FC3"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11:05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11:10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247FC3"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11:15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247FC3"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11:20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11:25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11:30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lastRenderedPageBreak/>
                  <w:t>11:35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11:40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11:45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11:50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11:55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12:00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12:05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12:10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12:15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12:20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12:25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12:30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12:35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12:40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12:45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12:50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12:55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13:00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13:05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13:10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13:15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13:20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13:25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13:30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13:35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13:40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13:45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13:50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13:55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14:00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14:05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14:10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14:15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14:20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14:25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14:30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14:35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14:40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14:45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lastRenderedPageBreak/>
                  <w:t>14:50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14:55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15:00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15:05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15:10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15:15</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010000" w:firstRow="0" w:lastRow="0" w:firstColumn="0" w:lastColumn="0" w:oddVBand="0" w:evenVBand="0" w:oddHBand="0" w:evenHBand="1"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15:20</w:t>
                </w:r>
              </w:p>
            </w:tc>
            <w:tc>
              <w:tcPr>
                <w:tcW w:w="583" w:type="pct"/>
              </w:tcPr>
              <w:p w:rsidR="00D8359D" w:rsidRDefault="00D8359D" w:rsidP="00D246EF">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D246EF">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D246EF">
                <w:pPr>
                  <w:rPr>
                    <w:rFonts w:cs="Arial"/>
                    <w:color w:val="000000"/>
                    <w:sz w:val="16"/>
                    <w:szCs w:val="16"/>
                  </w:rPr>
                </w:pPr>
              </w:p>
            </w:tc>
            <w:tc>
              <w:tcPr>
                <w:tcW w:w="590" w:type="pct"/>
              </w:tcPr>
              <w:p w:rsidR="00D8359D" w:rsidRDefault="00D8359D" w:rsidP="00D246EF">
                <w:pPr>
                  <w:jc w:val="right"/>
                  <w:rPr>
                    <w:rFonts w:cs="Arial"/>
                    <w:color w:val="000000"/>
                    <w:sz w:val="16"/>
                    <w:szCs w:val="16"/>
                  </w:rPr>
                </w:pPr>
                <w:r>
                  <w:rPr>
                    <w:rFonts w:cs="Arial"/>
                    <w:color w:val="000000"/>
                    <w:sz w:val="16"/>
                    <w:szCs w:val="16"/>
                  </w:rPr>
                  <w:t>11 250</w:t>
                </w:r>
              </w:p>
            </w:tc>
            <w:tc>
              <w:tcPr>
                <w:tcW w:w="542" w:type="pct"/>
              </w:tcPr>
              <w:p w:rsidR="00D8359D" w:rsidRDefault="00D8359D" w:rsidP="00D246EF">
                <w:pPr>
                  <w:jc w:val="right"/>
                  <w:rPr>
                    <w:rFonts w:cs="Arial"/>
                    <w:color w:val="000000"/>
                    <w:sz w:val="16"/>
                    <w:szCs w:val="16"/>
                  </w:rPr>
                </w:pPr>
                <w:r>
                  <w:rPr>
                    <w:rFonts w:cs="Arial"/>
                    <w:color w:val="000000"/>
                    <w:sz w:val="16"/>
                    <w:szCs w:val="16"/>
                  </w:rPr>
                  <w:t>-1</w:t>
                </w:r>
              </w:p>
            </w:tc>
            <w:tc>
              <w:tcPr>
                <w:tcW w:w="762" w:type="pct"/>
              </w:tcPr>
              <w:p w:rsidR="00D8359D" w:rsidRDefault="00D8359D" w:rsidP="00D246EF">
                <w:pPr>
                  <w:jc w:val="right"/>
                  <w:rPr>
                    <w:rFonts w:cs="Arial"/>
                    <w:color w:val="000000"/>
                    <w:sz w:val="16"/>
                    <w:szCs w:val="16"/>
                  </w:rPr>
                </w:pPr>
                <w:r>
                  <w:rPr>
                    <w:rFonts w:cs="Arial"/>
                    <w:color w:val="000000"/>
                    <w:sz w:val="16"/>
                    <w:szCs w:val="16"/>
                  </w:rPr>
                  <w:t>-$11 250</w:t>
                </w:r>
              </w:p>
            </w:tc>
          </w:tr>
          <w:tr w:rsidR="00D8359D" w:rsidRPr="00796046" w:rsidTr="00D246EF">
            <w:trPr>
              <w:cnfStyle w:val="000000100000" w:firstRow="0" w:lastRow="0" w:firstColumn="0" w:lastColumn="0" w:oddVBand="0" w:evenVBand="0" w:oddHBand="1" w:evenHBand="0" w:firstRowFirstColumn="0" w:firstRowLastColumn="0" w:lastRowFirstColumn="0" w:lastRowLastColumn="0"/>
              <w:trHeight w:hRule="exact" w:val="340"/>
            </w:trPr>
            <w:tc>
              <w:tcPr>
                <w:tcW w:w="352" w:type="pct"/>
              </w:tcPr>
              <w:p w:rsidR="00D8359D" w:rsidRDefault="00D8359D">
                <w:pPr>
                  <w:jc w:val="right"/>
                  <w:rPr>
                    <w:rFonts w:cs="Arial"/>
                    <w:color w:val="000000"/>
                    <w:sz w:val="16"/>
                    <w:szCs w:val="16"/>
                  </w:rPr>
                </w:pPr>
                <w:r>
                  <w:rPr>
                    <w:rFonts w:cs="Arial"/>
                    <w:color w:val="000000"/>
                    <w:sz w:val="16"/>
                    <w:szCs w:val="16"/>
                  </w:rPr>
                  <w:t>15:25</w:t>
                </w:r>
              </w:p>
            </w:tc>
            <w:tc>
              <w:tcPr>
                <w:tcW w:w="583" w:type="pct"/>
              </w:tcPr>
              <w:p w:rsidR="00D8359D" w:rsidRDefault="00D8359D" w:rsidP="00D8359D">
                <w:pPr>
                  <w:jc w:val="right"/>
                  <w:rPr>
                    <w:rFonts w:cs="Arial"/>
                    <w:color w:val="000000"/>
                    <w:sz w:val="16"/>
                    <w:szCs w:val="16"/>
                  </w:rPr>
                </w:pPr>
                <w:r>
                  <w:rPr>
                    <w:rFonts w:cs="Arial"/>
                    <w:color w:val="000000"/>
                    <w:sz w:val="16"/>
                    <w:szCs w:val="16"/>
                  </w:rPr>
                  <w:t>11 250</w:t>
                </w:r>
              </w:p>
            </w:tc>
            <w:tc>
              <w:tcPr>
                <w:tcW w:w="801" w:type="pct"/>
                <w:vAlign w:val="center"/>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Origin</w:t>
                </w:r>
              </w:p>
            </w:tc>
            <w:tc>
              <w:tcPr>
                <w:tcW w:w="717" w:type="pct"/>
              </w:tcPr>
              <w:p w:rsidR="00D8359D" w:rsidRPr="00E6564C" w:rsidRDefault="00D8359D" w:rsidP="00D246EF">
                <w:pPr>
                  <w:rPr>
                    <w:rFonts w:asciiTheme="minorHAnsi" w:hAnsiTheme="minorHAnsi" w:cstheme="minorHAnsi"/>
                    <w:sz w:val="16"/>
                    <w:szCs w:val="16"/>
                  </w:rPr>
                </w:pPr>
                <w:r w:rsidRPr="00E6564C">
                  <w:rPr>
                    <w:rFonts w:asciiTheme="minorHAnsi" w:hAnsiTheme="minorHAnsi" w:cstheme="minorHAnsi"/>
                    <w:sz w:val="16"/>
                    <w:szCs w:val="16"/>
                  </w:rPr>
                  <w:t>OSB-AG</w:t>
                </w:r>
              </w:p>
            </w:tc>
            <w:tc>
              <w:tcPr>
                <w:tcW w:w="652" w:type="pct"/>
              </w:tcPr>
              <w:p w:rsidR="00D8359D" w:rsidRDefault="00D8359D" w:rsidP="004106E9">
                <w:pPr>
                  <w:rPr>
                    <w:rFonts w:cs="Arial"/>
                    <w:color w:val="000000"/>
                    <w:sz w:val="16"/>
                    <w:szCs w:val="16"/>
                  </w:rPr>
                </w:pPr>
                <w:r>
                  <w:rPr>
                    <w:rFonts w:cs="Arial"/>
                    <w:color w:val="000000"/>
                    <w:sz w:val="16"/>
                    <w:szCs w:val="16"/>
                  </w:rPr>
                  <w:t xml:space="preserve">Raise </w:t>
                </w:r>
                <w:proofErr w:type="spellStart"/>
                <w:r>
                  <w:rPr>
                    <w:rFonts w:cs="Arial"/>
                    <w:color w:val="000000"/>
                    <w:sz w:val="16"/>
                    <w:szCs w:val="16"/>
                  </w:rPr>
                  <w:t>Reg</w:t>
                </w:r>
                <w:proofErr w:type="spellEnd"/>
              </w:p>
              <w:p w:rsidR="00D8359D" w:rsidRDefault="00D8359D" w:rsidP="004106E9">
                <w:pPr>
                  <w:rPr>
                    <w:rFonts w:cs="Arial"/>
                    <w:color w:val="000000"/>
                    <w:sz w:val="16"/>
                    <w:szCs w:val="16"/>
                  </w:rPr>
                </w:pPr>
              </w:p>
            </w:tc>
            <w:tc>
              <w:tcPr>
                <w:tcW w:w="590" w:type="pct"/>
              </w:tcPr>
              <w:p w:rsidR="00D8359D" w:rsidRDefault="00D8359D" w:rsidP="00D8359D">
                <w:pPr>
                  <w:jc w:val="right"/>
                  <w:rPr>
                    <w:rFonts w:cs="Arial"/>
                    <w:color w:val="000000"/>
                    <w:sz w:val="16"/>
                    <w:szCs w:val="16"/>
                  </w:rPr>
                </w:pPr>
                <w:r>
                  <w:rPr>
                    <w:rFonts w:cs="Arial"/>
                    <w:color w:val="000000"/>
                    <w:sz w:val="16"/>
                    <w:szCs w:val="16"/>
                  </w:rPr>
                  <w:t>11 250</w:t>
                </w:r>
              </w:p>
            </w:tc>
            <w:tc>
              <w:tcPr>
                <w:tcW w:w="542" w:type="pct"/>
              </w:tcPr>
              <w:p w:rsidR="00D8359D" w:rsidRDefault="00D8359D">
                <w:pPr>
                  <w:jc w:val="right"/>
                  <w:rPr>
                    <w:rFonts w:cs="Arial"/>
                    <w:color w:val="000000"/>
                    <w:sz w:val="16"/>
                    <w:szCs w:val="16"/>
                  </w:rPr>
                </w:pPr>
                <w:r>
                  <w:rPr>
                    <w:rFonts w:cs="Arial"/>
                    <w:color w:val="000000"/>
                    <w:sz w:val="16"/>
                    <w:szCs w:val="16"/>
                  </w:rPr>
                  <w:t>-1</w:t>
                </w:r>
              </w:p>
            </w:tc>
            <w:tc>
              <w:tcPr>
                <w:tcW w:w="762" w:type="pct"/>
              </w:tcPr>
              <w:p w:rsidR="00D8359D" w:rsidRDefault="00D8359D" w:rsidP="00D8359D">
                <w:pPr>
                  <w:jc w:val="right"/>
                  <w:rPr>
                    <w:rFonts w:cs="Arial"/>
                    <w:color w:val="000000"/>
                    <w:sz w:val="16"/>
                    <w:szCs w:val="16"/>
                  </w:rPr>
                </w:pPr>
                <w:r>
                  <w:rPr>
                    <w:rFonts w:cs="Arial"/>
                    <w:color w:val="000000"/>
                    <w:sz w:val="16"/>
                    <w:szCs w:val="16"/>
                  </w:rPr>
                  <w:t>-$11 250</w:t>
                </w:r>
              </w:p>
            </w:tc>
          </w:tr>
        </w:tbl>
      </w:sdtContent>
    </w:sdt>
    <w:p w:rsidR="004D0B56" w:rsidRDefault="004D0B56" w:rsidP="00C06A9C">
      <w:pPr>
        <w:pStyle w:val="Tabletitle"/>
      </w:pPr>
    </w:p>
    <w:sectPr w:rsidR="004D0B56" w:rsidSect="00F71B0D">
      <w:footerReference w:type="even" r:id="rId27"/>
      <w:footerReference w:type="default" r:id="rId28"/>
      <w:footerReference w:type="first" r:id="rId29"/>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78" w:rsidRDefault="00515978">
      <w:pPr>
        <w:spacing w:before="0" w:line="240" w:lineRule="auto"/>
      </w:pPr>
      <w:r>
        <w:separator/>
      </w:r>
    </w:p>
  </w:endnote>
  <w:endnote w:type="continuationSeparator" w:id="0">
    <w:p w:rsidR="00515978" w:rsidRDefault="005159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8" w:rsidRPr="007A4D1F" w:rsidRDefault="00515978" w:rsidP="003610D1">
    <w:pPr>
      <w:tabs>
        <w:tab w:val="left" w:pos="1623"/>
        <w:tab w:val="center" w:pos="4513"/>
        <w:tab w:val="right" w:pos="9026"/>
      </w:tabs>
      <w:spacing w:after="120"/>
      <w:rPr>
        <w:rFonts w:eastAsia="Arial" w:cs="Times New Roman"/>
        <w:color w:val="076A92" w:themeColor="text1"/>
        <w:sz w:val="18"/>
      </w:rPr>
    </w:pPr>
    <w:r w:rsidRPr="00515978">
      <w:rPr>
        <w:rFonts w:eastAsia="Arial" w:cs="Times New Roman"/>
        <w:b/>
        <w:color w:val="076A92" w:themeColor="text1"/>
        <w:sz w:val="18"/>
      </w:rPr>
      <w:fldChar w:fldCharType="begin"/>
    </w:r>
    <w:r w:rsidRPr="00515978">
      <w:rPr>
        <w:rFonts w:eastAsia="Arial" w:cs="Times New Roman"/>
        <w:b/>
        <w:color w:val="076A92" w:themeColor="text1"/>
        <w:sz w:val="18"/>
      </w:rPr>
      <w:instrText xml:space="preserve"> STYLEREF  "Report Title"  \* MERGEFORMAT </w:instrText>
    </w:r>
    <w:r w:rsidRPr="00515978">
      <w:rPr>
        <w:rFonts w:eastAsia="Arial" w:cs="Times New Roman"/>
        <w:b/>
        <w:color w:val="076A92" w:themeColor="text1"/>
        <w:sz w:val="18"/>
      </w:rPr>
      <w:fldChar w:fldCharType="separate"/>
    </w:r>
    <w:r w:rsidR="00FC71D2" w:rsidRPr="00FC71D2">
      <w:rPr>
        <w:rFonts w:eastAsia="Arial" w:cs="Times New Roman"/>
        <w:b/>
        <w:bCs/>
        <w:noProof/>
        <w:color w:val="076A92" w:themeColor="text1"/>
        <w:sz w:val="18"/>
        <w:lang w:val="en-US"/>
      </w:rPr>
      <w:t>Report</w:t>
    </w:r>
    <w:r w:rsidR="00FC71D2">
      <w:rPr>
        <w:rFonts w:eastAsia="Arial" w:cs="Times New Roman"/>
        <w:b/>
        <w:noProof/>
        <w:color w:val="076A92" w:themeColor="text1"/>
        <w:sz w:val="18"/>
      </w:rPr>
      <w:t xml:space="preserve"> into Market ancillary service prices above $5000/MW</w:t>
    </w:r>
    <w:r w:rsidRPr="00515978">
      <w:rPr>
        <w:rFonts w:eastAsia="Arial" w:cs="Times New Roman"/>
        <w:b/>
        <w:color w:val="076A92" w:themeColor="text1"/>
        <w:sz w:val="18"/>
      </w:rPr>
      <w:fldChar w:fldCharType="end"/>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FC71D2">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515978" w:rsidRDefault="00515978"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8" w:rsidRPr="00A91A9E" w:rsidRDefault="00515978"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15978" w:rsidRDefault="00515978"/>
  <w:p w:rsidR="00515978" w:rsidRDefault="005159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8" w:rsidRDefault="00515978" w:rsidP="003610D1">
    <w:pPr>
      <w:pStyle w:val="Footer"/>
      <w:tabs>
        <w:tab w:val="clear" w:pos="9026"/>
        <w:tab w:val="right" w:pos="8505"/>
      </w:tabs>
    </w:pPr>
    <w:r w:rsidRPr="00515978">
      <w:rPr>
        <w:b/>
      </w:rPr>
      <w:fldChar w:fldCharType="begin"/>
    </w:r>
    <w:r w:rsidRPr="00515978">
      <w:rPr>
        <w:b/>
      </w:rPr>
      <w:instrText xml:space="preserve"> STYLEREF  "Report Title"  \* MERGEFORMAT </w:instrText>
    </w:r>
    <w:r w:rsidRPr="00515978">
      <w:rPr>
        <w:b/>
      </w:rPr>
      <w:fldChar w:fldCharType="separate"/>
    </w:r>
    <w:r w:rsidR="00FC71D2" w:rsidRPr="00FC71D2">
      <w:rPr>
        <w:b/>
        <w:bCs/>
        <w:noProof/>
        <w:lang w:val="en-US"/>
      </w:rPr>
      <w:t xml:space="preserve">Report into Market ancillary service prices </w:t>
    </w:r>
    <w:r w:rsidR="00FC71D2">
      <w:rPr>
        <w:b/>
        <w:noProof/>
      </w:rPr>
      <w:t>above $5000/MW</w:t>
    </w:r>
    <w:r w:rsidRPr="00515978">
      <w:rPr>
        <w:b/>
        <w:noProof/>
      </w:rPr>
      <w:fldChar w:fldCharType="end"/>
    </w:r>
    <w:r>
      <w:tab/>
    </w:r>
    <w:r>
      <w:tab/>
    </w:r>
    <w:r>
      <w:fldChar w:fldCharType="begin"/>
    </w:r>
    <w:r>
      <w:instrText xml:space="preserve"> PAGE   \* MERGEFORMAT </w:instrText>
    </w:r>
    <w:r>
      <w:fldChar w:fldCharType="separate"/>
    </w:r>
    <w:r w:rsidR="00FC71D2">
      <w:rPr>
        <w:noProof/>
      </w:rPr>
      <w:t>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8" w:rsidRDefault="00FC71D2" w:rsidP="003610D1">
    <w:pPr>
      <w:pStyle w:val="Footer"/>
      <w:tabs>
        <w:tab w:val="clear" w:pos="9026"/>
        <w:tab w:val="right" w:pos="8505"/>
      </w:tabs>
    </w:pPr>
    <w:r>
      <w:fldChar w:fldCharType="begin"/>
    </w:r>
    <w:r>
      <w:instrText xml:space="preserve"> STYLEREF  "Report Title"  \* MERGEFORMAT </w:instrText>
    </w:r>
    <w:r>
      <w:fldChar w:fldCharType="separate"/>
    </w:r>
    <w:r w:rsidR="00515978">
      <w:rPr>
        <w:noProof/>
      </w:rPr>
      <w:t>Report into Market ancillary service prices above $5000/MW</w:t>
    </w:r>
    <w:r>
      <w:rPr>
        <w:noProof/>
      </w:rPr>
      <w:fldChar w:fldCharType="end"/>
    </w:r>
    <w:r w:rsidR="00515978">
      <w:tab/>
    </w:r>
    <w:r w:rsidR="00515978">
      <w:tab/>
    </w:r>
    <w:r w:rsidR="00515978">
      <w:fldChar w:fldCharType="begin"/>
    </w:r>
    <w:r w:rsidR="00515978">
      <w:instrText xml:space="preserve"> PAGE   \* MERGEFORMAT </w:instrText>
    </w:r>
    <w:r w:rsidR="00515978">
      <w:fldChar w:fldCharType="separate"/>
    </w:r>
    <w:r w:rsidR="00515978">
      <w:rPr>
        <w:noProof/>
      </w:rPr>
      <w:t>1</w:t>
    </w:r>
    <w:r w:rsidR="00515978">
      <w:fldChar w:fldCharType="end"/>
    </w:r>
  </w:p>
  <w:p w:rsidR="00515978" w:rsidRDefault="00515978">
    <w:pPr>
      <w:pStyle w:val="Footer"/>
    </w:pPr>
  </w:p>
  <w:p w:rsidR="00515978" w:rsidRDefault="00515978"/>
  <w:p w:rsidR="00515978" w:rsidRDefault="00515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78" w:rsidRDefault="00515978">
      <w:pPr>
        <w:spacing w:before="0" w:line="240" w:lineRule="auto"/>
      </w:pPr>
      <w:r>
        <w:separator/>
      </w:r>
    </w:p>
  </w:footnote>
  <w:footnote w:type="continuationSeparator" w:id="0">
    <w:p w:rsidR="00515978" w:rsidRDefault="00515978">
      <w:pPr>
        <w:spacing w:before="0" w:line="240" w:lineRule="auto"/>
      </w:pPr>
      <w:r>
        <w:continuationSeparator/>
      </w:r>
    </w:p>
  </w:footnote>
  <w:footnote w:id="1">
    <w:p w:rsidR="00515978" w:rsidRDefault="00515978" w:rsidP="00104563">
      <w:pPr>
        <w:pStyle w:val="FootnoteText"/>
      </w:pPr>
      <w:r>
        <w:rPr>
          <w:rStyle w:val="FootnoteReference"/>
        </w:rPr>
        <w:footnoteRef/>
      </w:r>
      <w:r>
        <w:t xml:space="preserve"> </w:t>
      </w:r>
      <w:r>
        <w:tab/>
      </w:r>
      <w:r w:rsidRPr="005412A6">
        <w:t>Appendix A contains a</w:t>
      </w:r>
      <w:r>
        <w:t xml:space="preserve"> more detailed</w:t>
      </w:r>
      <w:r w:rsidRPr="005412A6">
        <w:t xml:space="preserve"> explanation of frequency control ancillary services (FCAS).</w:t>
      </w:r>
    </w:p>
  </w:footnote>
  <w:footnote w:id="2">
    <w:p w:rsidR="00515978" w:rsidRDefault="00515978" w:rsidP="00441D81">
      <w:pPr>
        <w:pStyle w:val="FootnoteText"/>
      </w:pPr>
      <w:r>
        <w:rPr>
          <w:rStyle w:val="FootnoteReference"/>
        </w:rPr>
        <w:footnoteRef/>
      </w:r>
      <w:r>
        <w:t xml:space="preserve"> </w:t>
      </w:r>
      <w:r>
        <w:tab/>
        <w:t xml:space="preserve">Average costs </w:t>
      </w:r>
      <w:r>
        <w:tab/>
        <w:t>of the 2015/2016 FY.</w:t>
      </w:r>
    </w:p>
  </w:footnote>
  <w:footnote w:id="3">
    <w:p w:rsidR="00515978" w:rsidRDefault="00515978" w:rsidP="00766519">
      <w:pPr>
        <w:pStyle w:val="FootnoteText"/>
      </w:pPr>
      <w:r>
        <w:rPr>
          <w:rStyle w:val="FootnoteReference"/>
        </w:rPr>
        <w:footnoteRef/>
      </w:r>
      <w:r>
        <w:t xml:space="preserve"> </w:t>
      </w:r>
      <w:r>
        <w:tab/>
      </w:r>
      <w:proofErr w:type="gramStart"/>
      <w:r>
        <w:t>AER, Electricity report 11-17 September, 2016.</w:t>
      </w:r>
      <w:proofErr w:type="gramEnd"/>
    </w:p>
  </w:footnote>
  <w:footnote w:id="4">
    <w:p w:rsidR="00515978" w:rsidRDefault="00515978" w:rsidP="00540A1E">
      <w:pPr>
        <w:pStyle w:val="FootnoteText"/>
      </w:pPr>
      <w:r>
        <w:rPr>
          <w:rStyle w:val="FootnoteReference"/>
        </w:rPr>
        <w:footnoteRef/>
      </w:r>
      <w:r>
        <w:t xml:space="preserve"> </w:t>
      </w:r>
      <w:r>
        <w:tab/>
      </w:r>
      <w:r w:rsidRPr="00404CEA">
        <w:t xml:space="preserve">Individual prices are contained in the Price Setter at Appendix </w:t>
      </w:r>
      <w:r w:rsidR="00F3474D">
        <w:t>F</w:t>
      </w:r>
    </w:p>
  </w:footnote>
  <w:footnote w:id="5">
    <w:p w:rsidR="00515978" w:rsidRDefault="00515978" w:rsidP="00992010">
      <w:pPr>
        <w:pStyle w:val="FootnoteText"/>
      </w:pPr>
      <w:r>
        <w:rPr>
          <w:rStyle w:val="FootnoteReference"/>
        </w:rPr>
        <w:footnoteRef/>
      </w:r>
      <w:r>
        <w:t xml:space="preserve"> </w:t>
      </w:r>
      <w:r>
        <w:tab/>
        <w:t xml:space="preserve">For a full description go to </w:t>
      </w:r>
      <w:hyperlink r:id="rId1" w:tgtFrame="_blank" w:history="1">
        <w:r w:rsidRPr="00F014DC">
          <w:rPr>
            <w:color w:val="0000FF"/>
            <w:u w:val="single"/>
            <w:lang w:eastAsia="en-AU"/>
          </w:rPr>
          <w:t>http://www.aemo.com.au/Electricity/Data/Ancillary-Services/Ancillary-Services-Payments-and-Recovery</w:t>
        </w:r>
      </w:hyperlink>
    </w:p>
  </w:footnote>
  <w:footnote w:id="6">
    <w:p w:rsidR="00515978" w:rsidRDefault="00515978" w:rsidP="00992010">
      <w:pPr>
        <w:pStyle w:val="FootnoteText"/>
      </w:pPr>
      <w:r>
        <w:rPr>
          <w:rStyle w:val="FootnoteReference"/>
        </w:rPr>
        <w:footnoteRef/>
      </w:r>
      <w:r>
        <w:tab/>
        <w:t xml:space="preserve">For a full description go to </w:t>
      </w:r>
      <w:hyperlink r:id="rId2" w:history="1">
        <w:r w:rsidRPr="00E45B00">
          <w:rPr>
            <w:rStyle w:val="Hyperlink"/>
            <w:sz w:val="16"/>
          </w:rPr>
          <w:t>http://www.aemo.com.au/Electricity/Market-Operations/Ancillary-Services/Process-Documentation/Ancillary-Services-Causer-Pays-Contribution-Factors</w:t>
        </w:r>
      </w:hyperlink>
    </w:p>
  </w:footnote>
  <w:footnote w:id="7">
    <w:p w:rsidR="00515978" w:rsidRPr="004D709E" w:rsidRDefault="00515978"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3" w:history="1">
        <w:r w:rsidRPr="00E125B3">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D485270"/>
    <w:multiLevelType w:val="hybridMultilevel"/>
    <w:tmpl w:val="8DD4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3">
    <w:nsid w:val="68D61594"/>
    <w:multiLevelType w:val="hybridMultilevel"/>
    <w:tmpl w:val="0C9A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819EC"/>
    <w:multiLevelType w:val="multilevel"/>
    <w:tmpl w:val="3124786A"/>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12"/>
  </w:num>
  <w:num w:numId="15">
    <w:abstractNumId w:val="15"/>
  </w:num>
  <w:num w:numId="16">
    <w:abstractNumId w:val="19"/>
  </w:num>
  <w:num w:numId="17">
    <w:abstractNumId w:val="11"/>
  </w:num>
  <w:num w:numId="18">
    <w:abstractNumId w:val="16"/>
  </w:num>
  <w:num w:numId="19">
    <w:abstractNumId w:val="20"/>
  </w:num>
  <w:num w:numId="20">
    <w:abstractNumId w:val="24"/>
  </w:num>
  <w:num w:numId="21">
    <w:abstractNumId w:val="21"/>
  </w:num>
  <w:num w:numId="22">
    <w:abstractNumId w:val="9"/>
  </w:num>
  <w:num w:numId="23">
    <w:abstractNumId w:val="14"/>
  </w:num>
  <w:num w:numId="24">
    <w:abstractNumId w:val="10"/>
  </w:num>
  <w:num w:numId="25">
    <w:abstractNumId w:val="23"/>
  </w:num>
  <w:num w:numId="26">
    <w:abstractNumId w:val="17"/>
  </w:num>
  <w:num w:numId="27">
    <w:abstractNumId w:val="1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02401">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FCAS prices above 5000MWh - 16 September 2016 SA.docx"/>
  </w:docVars>
  <w:rsids>
    <w:rsidRoot w:val="003610D1"/>
    <w:rsid w:val="00001779"/>
    <w:rsid w:val="00010B1A"/>
    <w:rsid w:val="00013CDB"/>
    <w:rsid w:val="00013D02"/>
    <w:rsid w:val="00017BF7"/>
    <w:rsid w:val="00021644"/>
    <w:rsid w:val="000221E2"/>
    <w:rsid w:val="00024297"/>
    <w:rsid w:val="00031177"/>
    <w:rsid w:val="00031DCC"/>
    <w:rsid w:val="000342CE"/>
    <w:rsid w:val="00041065"/>
    <w:rsid w:val="00043F8E"/>
    <w:rsid w:val="0004626C"/>
    <w:rsid w:val="000508E0"/>
    <w:rsid w:val="00051289"/>
    <w:rsid w:val="0005162D"/>
    <w:rsid w:val="00051AA5"/>
    <w:rsid w:val="00053B10"/>
    <w:rsid w:val="000545DD"/>
    <w:rsid w:val="00055385"/>
    <w:rsid w:val="000554BB"/>
    <w:rsid w:val="00055C0F"/>
    <w:rsid w:val="000570C9"/>
    <w:rsid w:val="00061A48"/>
    <w:rsid w:val="000635D7"/>
    <w:rsid w:val="000708CF"/>
    <w:rsid w:val="0007263E"/>
    <w:rsid w:val="00077A54"/>
    <w:rsid w:val="00077E0F"/>
    <w:rsid w:val="000801EF"/>
    <w:rsid w:val="00080C63"/>
    <w:rsid w:val="00083FB8"/>
    <w:rsid w:val="000844CC"/>
    <w:rsid w:val="000851EA"/>
    <w:rsid w:val="00085C6B"/>
    <w:rsid w:val="000872A0"/>
    <w:rsid w:val="00090DE0"/>
    <w:rsid w:val="00090E9D"/>
    <w:rsid w:val="000940D0"/>
    <w:rsid w:val="00094459"/>
    <w:rsid w:val="00097FF0"/>
    <w:rsid w:val="000A05FE"/>
    <w:rsid w:val="000A434F"/>
    <w:rsid w:val="000A5BD1"/>
    <w:rsid w:val="000A6DEE"/>
    <w:rsid w:val="000B1671"/>
    <w:rsid w:val="000B3942"/>
    <w:rsid w:val="000B3B13"/>
    <w:rsid w:val="000B5557"/>
    <w:rsid w:val="000B5C64"/>
    <w:rsid w:val="000C0941"/>
    <w:rsid w:val="000C0E4B"/>
    <w:rsid w:val="000C3347"/>
    <w:rsid w:val="000C461D"/>
    <w:rsid w:val="000C55AE"/>
    <w:rsid w:val="000C6CDD"/>
    <w:rsid w:val="000D0554"/>
    <w:rsid w:val="000D107C"/>
    <w:rsid w:val="000D4EAE"/>
    <w:rsid w:val="000D557D"/>
    <w:rsid w:val="000E0460"/>
    <w:rsid w:val="000E32A2"/>
    <w:rsid w:val="000E3FA1"/>
    <w:rsid w:val="000F15E7"/>
    <w:rsid w:val="000F4D76"/>
    <w:rsid w:val="000F5D51"/>
    <w:rsid w:val="000F6F30"/>
    <w:rsid w:val="000F720B"/>
    <w:rsid w:val="000F761B"/>
    <w:rsid w:val="00101A55"/>
    <w:rsid w:val="00103088"/>
    <w:rsid w:val="00103C36"/>
    <w:rsid w:val="00103D3D"/>
    <w:rsid w:val="00103E2E"/>
    <w:rsid w:val="00104563"/>
    <w:rsid w:val="00104687"/>
    <w:rsid w:val="001060D2"/>
    <w:rsid w:val="001067B7"/>
    <w:rsid w:val="00107D12"/>
    <w:rsid w:val="00111FF2"/>
    <w:rsid w:val="00112012"/>
    <w:rsid w:val="00113CC5"/>
    <w:rsid w:val="001143C4"/>
    <w:rsid w:val="00114564"/>
    <w:rsid w:val="0011518C"/>
    <w:rsid w:val="0012004B"/>
    <w:rsid w:val="00123B79"/>
    <w:rsid w:val="001251A8"/>
    <w:rsid w:val="00132517"/>
    <w:rsid w:val="00132B65"/>
    <w:rsid w:val="00134063"/>
    <w:rsid w:val="00135BE4"/>
    <w:rsid w:val="00136AF6"/>
    <w:rsid w:val="00140C95"/>
    <w:rsid w:val="00141D53"/>
    <w:rsid w:val="00144712"/>
    <w:rsid w:val="00144763"/>
    <w:rsid w:val="00144FBA"/>
    <w:rsid w:val="00145A16"/>
    <w:rsid w:val="00146D5D"/>
    <w:rsid w:val="00147AD2"/>
    <w:rsid w:val="00151193"/>
    <w:rsid w:val="00151CC0"/>
    <w:rsid w:val="00155CFA"/>
    <w:rsid w:val="0015715D"/>
    <w:rsid w:val="001571AB"/>
    <w:rsid w:val="00157982"/>
    <w:rsid w:val="00157A8F"/>
    <w:rsid w:val="00157B32"/>
    <w:rsid w:val="001640AB"/>
    <w:rsid w:val="0016468E"/>
    <w:rsid w:val="001651C0"/>
    <w:rsid w:val="001653F0"/>
    <w:rsid w:val="00165EF5"/>
    <w:rsid w:val="001716FC"/>
    <w:rsid w:val="00174796"/>
    <w:rsid w:val="00183F9A"/>
    <w:rsid w:val="001841B5"/>
    <w:rsid w:val="00185629"/>
    <w:rsid w:val="0019021C"/>
    <w:rsid w:val="00190C05"/>
    <w:rsid w:val="00192A76"/>
    <w:rsid w:val="001954F5"/>
    <w:rsid w:val="00197545"/>
    <w:rsid w:val="001A2CD9"/>
    <w:rsid w:val="001A34CC"/>
    <w:rsid w:val="001A3B38"/>
    <w:rsid w:val="001A622E"/>
    <w:rsid w:val="001B0767"/>
    <w:rsid w:val="001B26A5"/>
    <w:rsid w:val="001B311E"/>
    <w:rsid w:val="001B37EC"/>
    <w:rsid w:val="001B70FC"/>
    <w:rsid w:val="001C0114"/>
    <w:rsid w:val="001C2CEA"/>
    <w:rsid w:val="001C4856"/>
    <w:rsid w:val="001C5A6F"/>
    <w:rsid w:val="001C5EAA"/>
    <w:rsid w:val="001C6D91"/>
    <w:rsid w:val="001C7099"/>
    <w:rsid w:val="001C7724"/>
    <w:rsid w:val="001C79CE"/>
    <w:rsid w:val="001D1B18"/>
    <w:rsid w:val="001D287B"/>
    <w:rsid w:val="001D33BE"/>
    <w:rsid w:val="001D35F5"/>
    <w:rsid w:val="001D3866"/>
    <w:rsid w:val="001D4960"/>
    <w:rsid w:val="001E1DEB"/>
    <w:rsid w:val="001E4327"/>
    <w:rsid w:val="001E50C3"/>
    <w:rsid w:val="001E5BF5"/>
    <w:rsid w:val="001E75EC"/>
    <w:rsid w:val="001E78DB"/>
    <w:rsid w:val="001E7B48"/>
    <w:rsid w:val="001E7E6E"/>
    <w:rsid w:val="001F36AA"/>
    <w:rsid w:val="001F37F7"/>
    <w:rsid w:val="001F6C30"/>
    <w:rsid w:val="0020041F"/>
    <w:rsid w:val="0020088C"/>
    <w:rsid w:val="00200F0A"/>
    <w:rsid w:val="0020179E"/>
    <w:rsid w:val="00203A30"/>
    <w:rsid w:val="00206817"/>
    <w:rsid w:val="00207783"/>
    <w:rsid w:val="00207F3E"/>
    <w:rsid w:val="00210172"/>
    <w:rsid w:val="002114E0"/>
    <w:rsid w:val="002114E4"/>
    <w:rsid w:val="002122ED"/>
    <w:rsid w:val="00215179"/>
    <w:rsid w:val="00220318"/>
    <w:rsid w:val="00220337"/>
    <w:rsid w:val="00220C4F"/>
    <w:rsid w:val="00221530"/>
    <w:rsid w:val="002219E5"/>
    <w:rsid w:val="00223022"/>
    <w:rsid w:val="002239C4"/>
    <w:rsid w:val="00224DCB"/>
    <w:rsid w:val="00233351"/>
    <w:rsid w:val="002337E0"/>
    <w:rsid w:val="0023561D"/>
    <w:rsid w:val="00235D6C"/>
    <w:rsid w:val="00247FC3"/>
    <w:rsid w:val="00251131"/>
    <w:rsid w:val="002518B4"/>
    <w:rsid w:val="00251D61"/>
    <w:rsid w:val="00253135"/>
    <w:rsid w:val="00254B38"/>
    <w:rsid w:val="002553E5"/>
    <w:rsid w:val="00255EEF"/>
    <w:rsid w:val="00257E31"/>
    <w:rsid w:val="002614FF"/>
    <w:rsid w:val="00264398"/>
    <w:rsid w:val="002667D4"/>
    <w:rsid w:val="00267DA3"/>
    <w:rsid w:val="002743BE"/>
    <w:rsid w:val="00277918"/>
    <w:rsid w:val="0028085B"/>
    <w:rsid w:val="0028094F"/>
    <w:rsid w:val="002812C2"/>
    <w:rsid w:val="002813D7"/>
    <w:rsid w:val="002817AA"/>
    <w:rsid w:val="00282EAC"/>
    <w:rsid w:val="0028532A"/>
    <w:rsid w:val="002926AC"/>
    <w:rsid w:val="00292726"/>
    <w:rsid w:val="002931DC"/>
    <w:rsid w:val="00293A0A"/>
    <w:rsid w:val="0029452B"/>
    <w:rsid w:val="00296D34"/>
    <w:rsid w:val="00297821"/>
    <w:rsid w:val="00297D01"/>
    <w:rsid w:val="002A0696"/>
    <w:rsid w:val="002A1142"/>
    <w:rsid w:val="002A5CF9"/>
    <w:rsid w:val="002A6276"/>
    <w:rsid w:val="002A68C4"/>
    <w:rsid w:val="002B20BA"/>
    <w:rsid w:val="002B2896"/>
    <w:rsid w:val="002B4F2D"/>
    <w:rsid w:val="002B6D54"/>
    <w:rsid w:val="002B6EDD"/>
    <w:rsid w:val="002B701C"/>
    <w:rsid w:val="002D0F6E"/>
    <w:rsid w:val="002D15C7"/>
    <w:rsid w:val="002D2BAB"/>
    <w:rsid w:val="002D3A96"/>
    <w:rsid w:val="002D41EB"/>
    <w:rsid w:val="002D4EE4"/>
    <w:rsid w:val="002D5D79"/>
    <w:rsid w:val="002E08EA"/>
    <w:rsid w:val="002E0AF3"/>
    <w:rsid w:val="002E5340"/>
    <w:rsid w:val="002E5E14"/>
    <w:rsid w:val="002E6ABC"/>
    <w:rsid w:val="002F025A"/>
    <w:rsid w:val="002F48D5"/>
    <w:rsid w:val="002F59A8"/>
    <w:rsid w:val="002F5EE3"/>
    <w:rsid w:val="002F60BE"/>
    <w:rsid w:val="002F63F2"/>
    <w:rsid w:val="0030268F"/>
    <w:rsid w:val="00302CCE"/>
    <w:rsid w:val="00311066"/>
    <w:rsid w:val="003110AB"/>
    <w:rsid w:val="0031159B"/>
    <w:rsid w:val="00311893"/>
    <w:rsid w:val="00313B2B"/>
    <w:rsid w:val="003168F1"/>
    <w:rsid w:val="00321D5A"/>
    <w:rsid w:val="00324878"/>
    <w:rsid w:val="00324CCF"/>
    <w:rsid w:val="00327518"/>
    <w:rsid w:val="00332AAD"/>
    <w:rsid w:val="003364FF"/>
    <w:rsid w:val="00341719"/>
    <w:rsid w:val="00346649"/>
    <w:rsid w:val="0035174A"/>
    <w:rsid w:val="00353322"/>
    <w:rsid w:val="00353C34"/>
    <w:rsid w:val="003570BD"/>
    <w:rsid w:val="003610D1"/>
    <w:rsid w:val="00370288"/>
    <w:rsid w:val="0037052A"/>
    <w:rsid w:val="003712DE"/>
    <w:rsid w:val="00372443"/>
    <w:rsid w:val="003745C3"/>
    <w:rsid w:val="00374AB0"/>
    <w:rsid w:val="00381538"/>
    <w:rsid w:val="00381976"/>
    <w:rsid w:val="00386951"/>
    <w:rsid w:val="003874BC"/>
    <w:rsid w:val="00390216"/>
    <w:rsid w:val="00390B79"/>
    <w:rsid w:val="003913F5"/>
    <w:rsid w:val="003924AD"/>
    <w:rsid w:val="00393A49"/>
    <w:rsid w:val="003A3C41"/>
    <w:rsid w:val="003A4880"/>
    <w:rsid w:val="003A71AC"/>
    <w:rsid w:val="003B07C1"/>
    <w:rsid w:val="003B1642"/>
    <w:rsid w:val="003B2283"/>
    <w:rsid w:val="003B2F44"/>
    <w:rsid w:val="003B37A3"/>
    <w:rsid w:val="003B4D22"/>
    <w:rsid w:val="003B6009"/>
    <w:rsid w:val="003B755B"/>
    <w:rsid w:val="003C2ADB"/>
    <w:rsid w:val="003C2B11"/>
    <w:rsid w:val="003C4833"/>
    <w:rsid w:val="003C5F95"/>
    <w:rsid w:val="003D0CC4"/>
    <w:rsid w:val="003D32A1"/>
    <w:rsid w:val="003D360E"/>
    <w:rsid w:val="003D3B6F"/>
    <w:rsid w:val="003E569C"/>
    <w:rsid w:val="003E5F2A"/>
    <w:rsid w:val="003E6DD4"/>
    <w:rsid w:val="003E78F9"/>
    <w:rsid w:val="003F3477"/>
    <w:rsid w:val="003F4971"/>
    <w:rsid w:val="003F4BAB"/>
    <w:rsid w:val="00400746"/>
    <w:rsid w:val="00405DEA"/>
    <w:rsid w:val="004075BD"/>
    <w:rsid w:val="004079A7"/>
    <w:rsid w:val="00407B22"/>
    <w:rsid w:val="00407D90"/>
    <w:rsid w:val="004106E9"/>
    <w:rsid w:val="00411EE1"/>
    <w:rsid w:val="00413568"/>
    <w:rsid w:val="00413CE7"/>
    <w:rsid w:val="00416B89"/>
    <w:rsid w:val="004225A4"/>
    <w:rsid w:val="004300F1"/>
    <w:rsid w:val="00430FFC"/>
    <w:rsid w:val="00431500"/>
    <w:rsid w:val="004317B9"/>
    <w:rsid w:val="004319DA"/>
    <w:rsid w:val="00432771"/>
    <w:rsid w:val="00432F60"/>
    <w:rsid w:val="00433746"/>
    <w:rsid w:val="00437D8B"/>
    <w:rsid w:val="00440F08"/>
    <w:rsid w:val="00441D81"/>
    <w:rsid w:val="004442C5"/>
    <w:rsid w:val="00445B07"/>
    <w:rsid w:val="00446C33"/>
    <w:rsid w:val="004523FB"/>
    <w:rsid w:val="00461394"/>
    <w:rsid w:val="00461F4E"/>
    <w:rsid w:val="004655C5"/>
    <w:rsid w:val="00465F35"/>
    <w:rsid w:val="004710D5"/>
    <w:rsid w:val="0047378D"/>
    <w:rsid w:val="00473A13"/>
    <w:rsid w:val="00473AAF"/>
    <w:rsid w:val="00473E87"/>
    <w:rsid w:val="0047444E"/>
    <w:rsid w:val="00475ED4"/>
    <w:rsid w:val="0048005B"/>
    <w:rsid w:val="0048046D"/>
    <w:rsid w:val="004812E7"/>
    <w:rsid w:val="004818A9"/>
    <w:rsid w:val="0048191E"/>
    <w:rsid w:val="004825FE"/>
    <w:rsid w:val="004843FB"/>
    <w:rsid w:val="00485BF1"/>
    <w:rsid w:val="00485C9C"/>
    <w:rsid w:val="0049123B"/>
    <w:rsid w:val="00491930"/>
    <w:rsid w:val="00494F70"/>
    <w:rsid w:val="004954EE"/>
    <w:rsid w:val="0049588F"/>
    <w:rsid w:val="00497C17"/>
    <w:rsid w:val="004A0304"/>
    <w:rsid w:val="004A0D3E"/>
    <w:rsid w:val="004A7E7D"/>
    <w:rsid w:val="004B0A01"/>
    <w:rsid w:val="004B56EF"/>
    <w:rsid w:val="004B78C6"/>
    <w:rsid w:val="004C6120"/>
    <w:rsid w:val="004C61C9"/>
    <w:rsid w:val="004C6FFD"/>
    <w:rsid w:val="004C76E6"/>
    <w:rsid w:val="004D0B56"/>
    <w:rsid w:val="004D0C2E"/>
    <w:rsid w:val="004D2432"/>
    <w:rsid w:val="004D438D"/>
    <w:rsid w:val="004D51D9"/>
    <w:rsid w:val="004D5600"/>
    <w:rsid w:val="004D7BFF"/>
    <w:rsid w:val="004E2C36"/>
    <w:rsid w:val="004E5C29"/>
    <w:rsid w:val="004E6FA8"/>
    <w:rsid w:val="004F5584"/>
    <w:rsid w:val="00505844"/>
    <w:rsid w:val="00514317"/>
    <w:rsid w:val="00515978"/>
    <w:rsid w:val="005171A9"/>
    <w:rsid w:val="005174A6"/>
    <w:rsid w:val="00517C7C"/>
    <w:rsid w:val="00521216"/>
    <w:rsid w:val="00522217"/>
    <w:rsid w:val="005244F6"/>
    <w:rsid w:val="00530533"/>
    <w:rsid w:val="00532549"/>
    <w:rsid w:val="005366CC"/>
    <w:rsid w:val="0054028F"/>
    <w:rsid w:val="00540A1E"/>
    <w:rsid w:val="005412A6"/>
    <w:rsid w:val="005421D6"/>
    <w:rsid w:val="0054243F"/>
    <w:rsid w:val="00542497"/>
    <w:rsid w:val="00542CA9"/>
    <w:rsid w:val="00543D9D"/>
    <w:rsid w:val="0054547A"/>
    <w:rsid w:val="00545DEE"/>
    <w:rsid w:val="005467C2"/>
    <w:rsid w:val="00547484"/>
    <w:rsid w:val="00547A1A"/>
    <w:rsid w:val="00551FD3"/>
    <w:rsid w:val="0055566B"/>
    <w:rsid w:val="00562CBF"/>
    <w:rsid w:val="00564052"/>
    <w:rsid w:val="00565294"/>
    <w:rsid w:val="005668D7"/>
    <w:rsid w:val="005669C2"/>
    <w:rsid w:val="00566B28"/>
    <w:rsid w:val="00571067"/>
    <w:rsid w:val="00571963"/>
    <w:rsid w:val="00572A42"/>
    <w:rsid w:val="00573C41"/>
    <w:rsid w:val="00575C5C"/>
    <w:rsid w:val="0057715F"/>
    <w:rsid w:val="00581454"/>
    <w:rsid w:val="005860BC"/>
    <w:rsid w:val="00586DCB"/>
    <w:rsid w:val="00593798"/>
    <w:rsid w:val="00595738"/>
    <w:rsid w:val="005961E9"/>
    <w:rsid w:val="00597926"/>
    <w:rsid w:val="005A0009"/>
    <w:rsid w:val="005A1498"/>
    <w:rsid w:val="005A2081"/>
    <w:rsid w:val="005A2778"/>
    <w:rsid w:val="005A33ED"/>
    <w:rsid w:val="005B115B"/>
    <w:rsid w:val="005B12BB"/>
    <w:rsid w:val="005B2572"/>
    <w:rsid w:val="005B6B0F"/>
    <w:rsid w:val="005B7713"/>
    <w:rsid w:val="005C1074"/>
    <w:rsid w:val="005C10DA"/>
    <w:rsid w:val="005C139A"/>
    <w:rsid w:val="005C167B"/>
    <w:rsid w:val="005C2E42"/>
    <w:rsid w:val="005C3E6D"/>
    <w:rsid w:val="005C3EC3"/>
    <w:rsid w:val="005C3F69"/>
    <w:rsid w:val="005C68D8"/>
    <w:rsid w:val="005D0F29"/>
    <w:rsid w:val="005D15E3"/>
    <w:rsid w:val="005D259F"/>
    <w:rsid w:val="005D502B"/>
    <w:rsid w:val="005D581A"/>
    <w:rsid w:val="005E2AB8"/>
    <w:rsid w:val="005E3561"/>
    <w:rsid w:val="005E385C"/>
    <w:rsid w:val="005E49B6"/>
    <w:rsid w:val="005E51B2"/>
    <w:rsid w:val="005F05B1"/>
    <w:rsid w:val="005F52A5"/>
    <w:rsid w:val="005F5C0D"/>
    <w:rsid w:val="005F6137"/>
    <w:rsid w:val="005F6785"/>
    <w:rsid w:val="006002DB"/>
    <w:rsid w:val="00606422"/>
    <w:rsid w:val="0060759D"/>
    <w:rsid w:val="00611A92"/>
    <w:rsid w:val="00612500"/>
    <w:rsid w:val="00616C07"/>
    <w:rsid w:val="00621217"/>
    <w:rsid w:val="00624E14"/>
    <w:rsid w:val="00625E5E"/>
    <w:rsid w:val="00626BA2"/>
    <w:rsid w:val="00627307"/>
    <w:rsid w:val="00630789"/>
    <w:rsid w:val="00631126"/>
    <w:rsid w:val="00631B64"/>
    <w:rsid w:val="00631FA3"/>
    <w:rsid w:val="00633BFF"/>
    <w:rsid w:val="006356B7"/>
    <w:rsid w:val="00635929"/>
    <w:rsid w:val="0063775E"/>
    <w:rsid w:val="006412A3"/>
    <w:rsid w:val="00643B62"/>
    <w:rsid w:val="00646207"/>
    <w:rsid w:val="00647695"/>
    <w:rsid w:val="00647F47"/>
    <w:rsid w:val="00651659"/>
    <w:rsid w:val="00652C6E"/>
    <w:rsid w:val="00655E33"/>
    <w:rsid w:val="00661113"/>
    <w:rsid w:val="00663313"/>
    <w:rsid w:val="00665553"/>
    <w:rsid w:val="0067052C"/>
    <w:rsid w:val="00674962"/>
    <w:rsid w:val="006756DD"/>
    <w:rsid w:val="00682D9A"/>
    <w:rsid w:val="00683DA0"/>
    <w:rsid w:val="00683EDD"/>
    <w:rsid w:val="00685F9B"/>
    <w:rsid w:val="006869C4"/>
    <w:rsid w:val="006869FA"/>
    <w:rsid w:val="006902F1"/>
    <w:rsid w:val="00694E92"/>
    <w:rsid w:val="00695C84"/>
    <w:rsid w:val="00695F0C"/>
    <w:rsid w:val="00695FA0"/>
    <w:rsid w:val="006978F9"/>
    <w:rsid w:val="006A0160"/>
    <w:rsid w:val="006A6BDB"/>
    <w:rsid w:val="006B0099"/>
    <w:rsid w:val="006B038C"/>
    <w:rsid w:val="006B68F8"/>
    <w:rsid w:val="006C1FFB"/>
    <w:rsid w:val="006D45CA"/>
    <w:rsid w:val="006D79CD"/>
    <w:rsid w:val="006E186E"/>
    <w:rsid w:val="006E3E3B"/>
    <w:rsid w:val="006E3FF1"/>
    <w:rsid w:val="006F0224"/>
    <w:rsid w:val="006F1720"/>
    <w:rsid w:val="006F2091"/>
    <w:rsid w:val="006F2861"/>
    <w:rsid w:val="006F2875"/>
    <w:rsid w:val="006F3333"/>
    <w:rsid w:val="006F5343"/>
    <w:rsid w:val="006F6E4E"/>
    <w:rsid w:val="00700FDA"/>
    <w:rsid w:val="007010BE"/>
    <w:rsid w:val="00703233"/>
    <w:rsid w:val="00704FF1"/>
    <w:rsid w:val="00712C6A"/>
    <w:rsid w:val="007151A3"/>
    <w:rsid w:val="00716EED"/>
    <w:rsid w:val="00717ACE"/>
    <w:rsid w:val="00721FCC"/>
    <w:rsid w:val="00726D9E"/>
    <w:rsid w:val="007307B0"/>
    <w:rsid w:val="0073081F"/>
    <w:rsid w:val="00730CF1"/>
    <w:rsid w:val="0073312A"/>
    <w:rsid w:val="00740C0E"/>
    <w:rsid w:val="00743311"/>
    <w:rsid w:val="00743AA7"/>
    <w:rsid w:val="0074623E"/>
    <w:rsid w:val="007462CD"/>
    <w:rsid w:val="00751A5F"/>
    <w:rsid w:val="0075399C"/>
    <w:rsid w:val="007566A7"/>
    <w:rsid w:val="00756B95"/>
    <w:rsid w:val="00757C4B"/>
    <w:rsid w:val="00760D5B"/>
    <w:rsid w:val="00766519"/>
    <w:rsid w:val="00767E58"/>
    <w:rsid w:val="0077094F"/>
    <w:rsid w:val="00770A8B"/>
    <w:rsid w:val="00774131"/>
    <w:rsid w:val="00775925"/>
    <w:rsid w:val="007762CF"/>
    <w:rsid w:val="00776DF6"/>
    <w:rsid w:val="00777DEE"/>
    <w:rsid w:val="00782108"/>
    <w:rsid w:val="007821EC"/>
    <w:rsid w:val="007853D7"/>
    <w:rsid w:val="007A0814"/>
    <w:rsid w:val="007A210A"/>
    <w:rsid w:val="007A223D"/>
    <w:rsid w:val="007A23C8"/>
    <w:rsid w:val="007A3970"/>
    <w:rsid w:val="007A49B9"/>
    <w:rsid w:val="007A70FB"/>
    <w:rsid w:val="007A7C6D"/>
    <w:rsid w:val="007B1D4F"/>
    <w:rsid w:val="007B2DB3"/>
    <w:rsid w:val="007B3FCA"/>
    <w:rsid w:val="007B5014"/>
    <w:rsid w:val="007B6758"/>
    <w:rsid w:val="007B7BBD"/>
    <w:rsid w:val="007C005E"/>
    <w:rsid w:val="007C2E10"/>
    <w:rsid w:val="007C31DF"/>
    <w:rsid w:val="007C4AAD"/>
    <w:rsid w:val="007C51E1"/>
    <w:rsid w:val="007C66BE"/>
    <w:rsid w:val="007C7FCB"/>
    <w:rsid w:val="007D189D"/>
    <w:rsid w:val="007D65A0"/>
    <w:rsid w:val="007E24B2"/>
    <w:rsid w:val="007E29C4"/>
    <w:rsid w:val="007E5792"/>
    <w:rsid w:val="007E7313"/>
    <w:rsid w:val="007E7E05"/>
    <w:rsid w:val="007F4415"/>
    <w:rsid w:val="007F6F9E"/>
    <w:rsid w:val="00800E60"/>
    <w:rsid w:val="00803E40"/>
    <w:rsid w:val="00810A0D"/>
    <w:rsid w:val="00810A9C"/>
    <w:rsid w:val="00814E82"/>
    <w:rsid w:val="00817300"/>
    <w:rsid w:val="00820444"/>
    <w:rsid w:val="008204FE"/>
    <w:rsid w:val="00822B1B"/>
    <w:rsid w:val="008315BA"/>
    <w:rsid w:val="00832067"/>
    <w:rsid w:val="00832689"/>
    <w:rsid w:val="00835A3D"/>
    <w:rsid w:val="00843BA8"/>
    <w:rsid w:val="00850300"/>
    <w:rsid w:val="00850F12"/>
    <w:rsid w:val="00852168"/>
    <w:rsid w:val="0085477B"/>
    <w:rsid w:val="00855153"/>
    <w:rsid w:val="008551CE"/>
    <w:rsid w:val="00862328"/>
    <w:rsid w:val="00862769"/>
    <w:rsid w:val="0086284F"/>
    <w:rsid w:val="008634F6"/>
    <w:rsid w:val="00866942"/>
    <w:rsid w:val="00867568"/>
    <w:rsid w:val="00867A64"/>
    <w:rsid w:val="00870107"/>
    <w:rsid w:val="00872C3A"/>
    <w:rsid w:val="00874BA5"/>
    <w:rsid w:val="00874E50"/>
    <w:rsid w:val="00877FE3"/>
    <w:rsid w:val="008850C7"/>
    <w:rsid w:val="0088523D"/>
    <w:rsid w:val="0088534B"/>
    <w:rsid w:val="00886B8A"/>
    <w:rsid w:val="00887A78"/>
    <w:rsid w:val="00892119"/>
    <w:rsid w:val="008928BC"/>
    <w:rsid w:val="00892FEA"/>
    <w:rsid w:val="00895102"/>
    <w:rsid w:val="00895669"/>
    <w:rsid w:val="00896B0F"/>
    <w:rsid w:val="008A11D3"/>
    <w:rsid w:val="008A2174"/>
    <w:rsid w:val="008A28E4"/>
    <w:rsid w:val="008A28FE"/>
    <w:rsid w:val="008A2B2A"/>
    <w:rsid w:val="008A481E"/>
    <w:rsid w:val="008A5AC2"/>
    <w:rsid w:val="008A7820"/>
    <w:rsid w:val="008B4C96"/>
    <w:rsid w:val="008B4D01"/>
    <w:rsid w:val="008B66AF"/>
    <w:rsid w:val="008C2CF2"/>
    <w:rsid w:val="008C3C9E"/>
    <w:rsid w:val="008C3E60"/>
    <w:rsid w:val="008D0F8B"/>
    <w:rsid w:val="008D16C0"/>
    <w:rsid w:val="008D189C"/>
    <w:rsid w:val="008D1FFC"/>
    <w:rsid w:val="008D2C93"/>
    <w:rsid w:val="008D7D4B"/>
    <w:rsid w:val="008E00B5"/>
    <w:rsid w:val="008E3267"/>
    <w:rsid w:val="008E53EA"/>
    <w:rsid w:val="008E5AED"/>
    <w:rsid w:val="008E626F"/>
    <w:rsid w:val="008E75CB"/>
    <w:rsid w:val="008F0410"/>
    <w:rsid w:val="008F3083"/>
    <w:rsid w:val="008F3779"/>
    <w:rsid w:val="008F4AE1"/>
    <w:rsid w:val="008F53DD"/>
    <w:rsid w:val="008F56DA"/>
    <w:rsid w:val="008F6E20"/>
    <w:rsid w:val="00901619"/>
    <w:rsid w:val="00905A72"/>
    <w:rsid w:val="00905E95"/>
    <w:rsid w:val="0090736F"/>
    <w:rsid w:val="00907A32"/>
    <w:rsid w:val="00907AEE"/>
    <w:rsid w:val="009100EB"/>
    <w:rsid w:val="00913476"/>
    <w:rsid w:val="009213C6"/>
    <w:rsid w:val="0092228D"/>
    <w:rsid w:val="00931A04"/>
    <w:rsid w:val="00932DA9"/>
    <w:rsid w:val="009337EB"/>
    <w:rsid w:val="00936DE7"/>
    <w:rsid w:val="00937BE5"/>
    <w:rsid w:val="00937D26"/>
    <w:rsid w:val="00942051"/>
    <w:rsid w:val="0094213A"/>
    <w:rsid w:val="00943D11"/>
    <w:rsid w:val="009444FF"/>
    <w:rsid w:val="00950032"/>
    <w:rsid w:val="00950C3B"/>
    <w:rsid w:val="0095328A"/>
    <w:rsid w:val="00953E25"/>
    <w:rsid w:val="009558FE"/>
    <w:rsid w:val="00956522"/>
    <w:rsid w:val="00956FFA"/>
    <w:rsid w:val="00962DE8"/>
    <w:rsid w:val="0096495B"/>
    <w:rsid w:val="00965C10"/>
    <w:rsid w:val="00971493"/>
    <w:rsid w:val="00973577"/>
    <w:rsid w:val="00975AFF"/>
    <w:rsid w:val="00981107"/>
    <w:rsid w:val="0098584D"/>
    <w:rsid w:val="0098706B"/>
    <w:rsid w:val="009903BA"/>
    <w:rsid w:val="00991247"/>
    <w:rsid w:val="00992010"/>
    <w:rsid w:val="0099408E"/>
    <w:rsid w:val="009952EF"/>
    <w:rsid w:val="00996408"/>
    <w:rsid w:val="009A0E05"/>
    <w:rsid w:val="009A10F8"/>
    <w:rsid w:val="009A3422"/>
    <w:rsid w:val="009A4BCA"/>
    <w:rsid w:val="009A548B"/>
    <w:rsid w:val="009A5732"/>
    <w:rsid w:val="009A6124"/>
    <w:rsid w:val="009B028C"/>
    <w:rsid w:val="009B2617"/>
    <w:rsid w:val="009B4746"/>
    <w:rsid w:val="009B4EEA"/>
    <w:rsid w:val="009B5488"/>
    <w:rsid w:val="009B5D0A"/>
    <w:rsid w:val="009B5D66"/>
    <w:rsid w:val="009B7798"/>
    <w:rsid w:val="009B77DD"/>
    <w:rsid w:val="009C0533"/>
    <w:rsid w:val="009C06A3"/>
    <w:rsid w:val="009C454F"/>
    <w:rsid w:val="009C5D8F"/>
    <w:rsid w:val="009C6724"/>
    <w:rsid w:val="009C6AA8"/>
    <w:rsid w:val="009C6AAF"/>
    <w:rsid w:val="009D1002"/>
    <w:rsid w:val="009D3582"/>
    <w:rsid w:val="009D44E3"/>
    <w:rsid w:val="009D5039"/>
    <w:rsid w:val="009D59C9"/>
    <w:rsid w:val="009E027D"/>
    <w:rsid w:val="009E1941"/>
    <w:rsid w:val="009E58E4"/>
    <w:rsid w:val="009E7D16"/>
    <w:rsid w:val="009F037A"/>
    <w:rsid w:val="009F095A"/>
    <w:rsid w:val="009F54F8"/>
    <w:rsid w:val="009F7A8E"/>
    <w:rsid w:val="00A019E6"/>
    <w:rsid w:val="00A03107"/>
    <w:rsid w:val="00A033A8"/>
    <w:rsid w:val="00A044AE"/>
    <w:rsid w:val="00A05C26"/>
    <w:rsid w:val="00A10C65"/>
    <w:rsid w:val="00A11DDF"/>
    <w:rsid w:val="00A12CAE"/>
    <w:rsid w:val="00A1352F"/>
    <w:rsid w:val="00A14EDE"/>
    <w:rsid w:val="00A15502"/>
    <w:rsid w:val="00A23B15"/>
    <w:rsid w:val="00A26B7E"/>
    <w:rsid w:val="00A30BBF"/>
    <w:rsid w:val="00A320A3"/>
    <w:rsid w:val="00A344AC"/>
    <w:rsid w:val="00A34B9B"/>
    <w:rsid w:val="00A36187"/>
    <w:rsid w:val="00A370D8"/>
    <w:rsid w:val="00A375C9"/>
    <w:rsid w:val="00A37657"/>
    <w:rsid w:val="00A41576"/>
    <w:rsid w:val="00A50591"/>
    <w:rsid w:val="00A50632"/>
    <w:rsid w:val="00A514B2"/>
    <w:rsid w:val="00A61060"/>
    <w:rsid w:val="00A61E01"/>
    <w:rsid w:val="00A62205"/>
    <w:rsid w:val="00A62AFE"/>
    <w:rsid w:val="00A6326C"/>
    <w:rsid w:val="00A64DAB"/>
    <w:rsid w:val="00A66985"/>
    <w:rsid w:val="00A67E84"/>
    <w:rsid w:val="00A70456"/>
    <w:rsid w:val="00A7077C"/>
    <w:rsid w:val="00A771CD"/>
    <w:rsid w:val="00A86749"/>
    <w:rsid w:val="00A912E6"/>
    <w:rsid w:val="00A9530C"/>
    <w:rsid w:val="00A9591D"/>
    <w:rsid w:val="00A9661C"/>
    <w:rsid w:val="00AA2D90"/>
    <w:rsid w:val="00AA36A0"/>
    <w:rsid w:val="00AA40BA"/>
    <w:rsid w:val="00AA44B4"/>
    <w:rsid w:val="00AA55ED"/>
    <w:rsid w:val="00AA7CD1"/>
    <w:rsid w:val="00AB0647"/>
    <w:rsid w:val="00AB494E"/>
    <w:rsid w:val="00AB58CB"/>
    <w:rsid w:val="00AB6A90"/>
    <w:rsid w:val="00AC06B3"/>
    <w:rsid w:val="00AC4901"/>
    <w:rsid w:val="00AC57AB"/>
    <w:rsid w:val="00AC6FC9"/>
    <w:rsid w:val="00AC72E5"/>
    <w:rsid w:val="00AC75BC"/>
    <w:rsid w:val="00AD1D34"/>
    <w:rsid w:val="00AD285D"/>
    <w:rsid w:val="00AD2AFD"/>
    <w:rsid w:val="00AD3071"/>
    <w:rsid w:val="00AD3A94"/>
    <w:rsid w:val="00AD3DAC"/>
    <w:rsid w:val="00AD477A"/>
    <w:rsid w:val="00AD7592"/>
    <w:rsid w:val="00AE09CE"/>
    <w:rsid w:val="00AE1E9B"/>
    <w:rsid w:val="00AE2502"/>
    <w:rsid w:val="00AE6347"/>
    <w:rsid w:val="00AE641A"/>
    <w:rsid w:val="00AE6710"/>
    <w:rsid w:val="00AE7C54"/>
    <w:rsid w:val="00AF09C5"/>
    <w:rsid w:val="00AF1F59"/>
    <w:rsid w:val="00AF434A"/>
    <w:rsid w:val="00AF4D75"/>
    <w:rsid w:val="00B010B8"/>
    <w:rsid w:val="00B01FE1"/>
    <w:rsid w:val="00B04C51"/>
    <w:rsid w:val="00B05AC0"/>
    <w:rsid w:val="00B05AF8"/>
    <w:rsid w:val="00B10674"/>
    <w:rsid w:val="00B10EDC"/>
    <w:rsid w:val="00B11FAE"/>
    <w:rsid w:val="00B133B4"/>
    <w:rsid w:val="00B15946"/>
    <w:rsid w:val="00B16708"/>
    <w:rsid w:val="00B16BC8"/>
    <w:rsid w:val="00B21C95"/>
    <w:rsid w:val="00B21F58"/>
    <w:rsid w:val="00B26225"/>
    <w:rsid w:val="00B27E58"/>
    <w:rsid w:val="00B30077"/>
    <w:rsid w:val="00B319BB"/>
    <w:rsid w:val="00B35883"/>
    <w:rsid w:val="00B35AE4"/>
    <w:rsid w:val="00B37F64"/>
    <w:rsid w:val="00B40C1B"/>
    <w:rsid w:val="00B41F75"/>
    <w:rsid w:val="00B43A06"/>
    <w:rsid w:val="00B46D3C"/>
    <w:rsid w:val="00B46F0C"/>
    <w:rsid w:val="00B472EC"/>
    <w:rsid w:val="00B479E9"/>
    <w:rsid w:val="00B47D8C"/>
    <w:rsid w:val="00B55407"/>
    <w:rsid w:val="00B57905"/>
    <w:rsid w:val="00B65A1B"/>
    <w:rsid w:val="00B65E5B"/>
    <w:rsid w:val="00B67430"/>
    <w:rsid w:val="00B70ECC"/>
    <w:rsid w:val="00B718C2"/>
    <w:rsid w:val="00B72D11"/>
    <w:rsid w:val="00B72D5C"/>
    <w:rsid w:val="00B73881"/>
    <w:rsid w:val="00B757E4"/>
    <w:rsid w:val="00B76E1A"/>
    <w:rsid w:val="00B77FC4"/>
    <w:rsid w:val="00B80409"/>
    <w:rsid w:val="00B825A6"/>
    <w:rsid w:val="00B82784"/>
    <w:rsid w:val="00B8287F"/>
    <w:rsid w:val="00B82F0C"/>
    <w:rsid w:val="00B83164"/>
    <w:rsid w:val="00B85679"/>
    <w:rsid w:val="00B861B8"/>
    <w:rsid w:val="00B8689A"/>
    <w:rsid w:val="00BA7044"/>
    <w:rsid w:val="00BA741E"/>
    <w:rsid w:val="00BA7E0F"/>
    <w:rsid w:val="00BB19EB"/>
    <w:rsid w:val="00BB22D6"/>
    <w:rsid w:val="00BB3C3E"/>
    <w:rsid w:val="00BB4B69"/>
    <w:rsid w:val="00BB54EA"/>
    <w:rsid w:val="00BB6777"/>
    <w:rsid w:val="00BC036D"/>
    <w:rsid w:val="00BC15D5"/>
    <w:rsid w:val="00BC3278"/>
    <w:rsid w:val="00BC330D"/>
    <w:rsid w:val="00BC4389"/>
    <w:rsid w:val="00BC452D"/>
    <w:rsid w:val="00BC4C6E"/>
    <w:rsid w:val="00BC794B"/>
    <w:rsid w:val="00BC7EB6"/>
    <w:rsid w:val="00BD2D8A"/>
    <w:rsid w:val="00BD3D5C"/>
    <w:rsid w:val="00BD58B9"/>
    <w:rsid w:val="00BD593D"/>
    <w:rsid w:val="00BD7141"/>
    <w:rsid w:val="00BD7D9F"/>
    <w:rsid w:val="00BE09C6"/>
    <w:rsid w:val="00BE0D8B"/>
    <w:rsid w:val="00BE168A"/>
    <w:rsid w:val="00BE3D09"/>
    <w:rsid w:val="00BE49AA"/>
    <w:rsid w:val="00BE5B26"/>
    <w:rsid w:val="00BE78A2"/>
    <w:rsid w:val="00BF51F4"/>
    <w:rsid w:val="00BF5A4B"/>
    <w:rsid w:val="00C0059B"/>
    <w:rsid w:val="00C0159F"/>
    <w:rsid w:val="00C030F7"/>
    <w:rsid w:val="00C045E9"/>
    <w:rsid w:val="00C0477C"/>
    <w:rsid w:val="00C05C2C"/>
    <w:rsid w:val="00C05F4E"/>
    <w:rsid w:val="00C06A9C"/>
    <w:rsid w:val="00C14017"/>
    <w:rsid w:val="00C15B58"/>
    <w:rsid w:val="00C16089"/>
    <w:rsid w:val="00C171E5"/>
    <w:rsid w:val="00C2594F"/>
    <w:rsid w:val="00C275A6"/>
    <w:rsid w:val="00C27A73"/>
    <w:rsid w:val="00C27FBD"/>
    <w:rsid w:val="00C301DC"/>
    <w:rsid w:val="00C30A3A"/>
    <w:rsid w:val="00C30ACC"/>
    <w:rsid w:val="00C30B5C"/>
    <w:rsid w:val="00C36729"/>
    <w:rsid w:val="00C376CD"/>
    <w:rsid w:val="00C379CE"/>
    <w:rsid w:val="00C402F8"/>
    <w:rsid w:val="00C424C5"/>
    <w:rsid w:val="00C45908"/>
    <w:rsid w:val="00C47E86"/>
    <w:rsid w:val="00C47F61"/>
    <w:rsid w:val="00C505AE"/>
    <w:rsid w:val="00C50D21"/>
    <w:rsid w:val="00C50FE2"/>
    <w:rsid w:val="00C5408F"/>
    <w:rsid w:val="00C557F5"/>
    <w:rsid w:val="00C628B0"/>
    <w:rsid w:val="00C66E57"/>
    <w:rsid w:val="00C67A44"/>
    <w:rsid w:val="00C701C4"/>
    <w:rsid w:val="00C7068C"/>
    <w:rsid w:val="00C7072B"/>
    <w:rsid w:val="00C71C07"/>
    <w:rsid w:val="00C76187"/>
    <w:rsid w:val="00C76F8E"/>
    <w:rsid w:val="00C77963"/>
    <w:rsid w:val="00C821CE"/>
    <w:rsid w:val="00C82235"/>
    <w:rsid w:val="00C92A5C"/>
    <w:rsid w:val="00C9343E"/>
    <w:rsid w:val="00C945B1"/>
    <w:rsid w:val="00C95114"/>
    <w:rsid w:val="00CA2626"/>
    <w:rsid w:val="00CA467B"/>
    <w:rsid w:val="00CA7CEA"/>
    <w:rsid w:val="00CA7EAF"/>
    <w:rsid w:val="00CB2BEB"/>
    <w:rsid w:val="00CC29E6"/>
    <w:rsid w:val="00CC3154"/>
    <w:rsid w:val="00CC35B8"/>
    <w:rsid w:val="00CC63CD"/>
    <w:rsid w:val="00CC65AF"/>
    <w:rsid w:val="00CC7EB2"/>
    <w:rsid w:val="00CD0D1C"/>
    <w:rsid w:val="00CD2D44"/>
    <w:rsid w:val="00CD2FDB"/>
    <w:rsid w:val="00CE3937"/>
    <w:rsid w:val="00CE3BF3"/>
    <w:rsid w:val="00CE4343"/>
    <w:rsid w:val="00CE4B44"/>
    <w:rsid w:val="00CE634A"/>
    <w:rsid w:val="00CF0BC0"/>
    <w:rsid w:val="00CF2FAC"/>
    <w:rsid w:val="00CF34E2"/>
    <w:rsid w:val="00CF538C"/>
    <w:rsid w:val="00CF69BC"/>
    <w:rsid w:val="00CF7345"/>
    <w:rsid w:val="00D02FD5"/>
    <w:rsid w:val="00D03922"/>
    <w:rsid w:val="00D057E0"/>
    <w:rsid w:val="00D10573"/>
    <w:rsid w:val="00D20EFE"/>
    <w:rsid w:val="00D229F3"/>
    <w:rsid w:val="00D23B84"/>
    <w:rsid w:val="00D246EF"/>
    <w:rsid w:val="00D24C4B"/>
    <w:rsid w:val="00D26D2A"/>
    <w:rsid w:val="00D31B41"/>
    <w:rsid w:val="00D332B9"/>
    <w:rsid w:val="00D33AA3"/>
    <w:rsid w:val="00D34940"/>
    <w:rsid w:val="00D34B6B"/>
    <w:rsid w:val="00D34CBC"/>
    <w:rsid w:val="00D408C7"/>
    <w:rsid w:val="00D42B1C"/>
    <w:rsid w:val="00D44110"/>
    <w:rsid w:val="00D46AA7"/>
    <w:rsid w:val="00D47BB3"/>
    <w:rsid w:val="00D53207"/>
    <w:rsid w:val="00D5707F"/>
    <w:rsid w:val="00D57396"/>
    <w:rsid w:val="00D6069F"/>
    <w:rsid w:val="00D60A95"/>
    <w:rsid w:val="00D623D8"/>
    <w:rsid w:val="00D64AB7"/>
    <w:rsid w:val="00D66141"/>
    <w:rsid w:val="00D67C0C"/>
    <w:rsid w:val="00D72A23"/>
    <w:rsid w:val="00D75AEF"/>
    <w:rsid w:val="00D770AB"/>
    <w:rsid w:val="00D816CB"/>
    <w:rsid w:val="00D83055"/>
    <w:rsid w:val="00D8359D"/>
    <w:rsid w:val="00D85AB0"/>
    <w:rsid w:val="00D92E7C"/>
    <w:rsid w:val="00D9491D"/>
    <w:rsid w:val="00DA0766"/>
    <w:rsid w:val="00DA5553"/>
    <w:rsid w:val="00DA5EEB"/>
    <w:rsid w:val="00DA7635"/>
    <w:rsid w:val="00DB297C"/>
    <w:rsid w:val="00DB4344"/>
    <w:rsid w:val="00DB4B1C"/>
    <w:rsid w:val="00DB7186"/>
    <w:rsid w:val="00DC0086"/>
    <w:rsid w:val="00DC0473"/>
    <w:rsid w:val="00DC2146"/>
    <w:rsid w:val="00DC5B89"/>
    <w:rsid w:val="00DC5CE8"/>
    <w:rsid w:val="00DC5D0F"/>
    <w:rsid w:val="00DC6A2F"/>
    <w:rsid w:val="00DD1440"/>
    <w:rsid w:val="00DD1C3C"/>
    <w:rsid w:val="00DD20E9"/>
    <w:rsid w:val="00DD5EEB"/>
    <w:rsid w:val="00DE1655"/>
    <w:rsid w:val="00DE165D"/>
    <w:rsid w:val="00DE5761"/>
    <w:rsid w:val="00DE6540"/>
    <w:rsid w:val="00DE7ED9"/>
    <w:rsid w:val="00DF05A0"/>
    <w:rsid w:val="00DF247C"/>
    <w:rsid w:val="00DF47DA"/>
    <w:rsid w:val="00DF50B3"/>
    <w:rsid w:val="00DF5E1F"/>
    <w:rsid w:val="00DF7368"/>
    <w:rsid w:val="00E0036B"/>
    <w:rsid w:val="00E019E6"/>
    <w:rsid w:val="00E01FC2"/>
    <w:rsid w:val="00E034B3"/>
    <w:rsid w:val="00E11C68"/>
    <w:rsid w:val="00E1222B"/>
    <w:rsid w:val="00E125B3"/>
    <w:rsid w:val="00E126C3"/>
    <w:rsid w:val="00E12F97"/>
    <w:rsid w:val="00E1378E"/>
    <w:rsid w:val="00E13C7D"/>
    <w:rsid w:val="00E13FA6"/>
    <w:rsid w:val="00E150A1"/>
    <w:rsid w:val="00E2254B"/>
    <w:rsid w:val="00E33279"/>
    <w:rsid w:val="00E34012"/>
    <w:rsid w:val="00E34093"/>
    <w:rsid w:val="00E34784"/>
    <w:rsid w:val="00E36CA0"/>
    <w:rsid w:val="00E42071"/>
    <w:rsid w:val="00E42DF8"/>
    <w:rsid w:val="00E4508C"/>
    <w:rsid w:val="00E46574"/>
    <w:rsid w:val="00E506C9"/>
    <w:rsid w:val="00E5211B"/>
    <w:rsid w:val="00E54160"/>
    <w:rsid w:val="00E54195"/>
    <w:rsid w:val="00E5528A"/>
    <w:rsid w:val="00E55476"/>
    <w:rsid w:val="00E55BCC"/>
    <w:rsid w:val="00E5677D"/>
    <w:rsid w:val="00E62B0D"/>
    <w:rsid w:val="00E64375"/>
    <w:rsid w:val="00E6564C"/>
    <w:rsid w:val="00E6653D"/>
    <w:rsid w:val="00E715BB"/>
    <w:rsid w:val="00E73F72"/>
    <w:rsid w:val="00E77196"/>
    <w:rsid w:val="00E801A1"/>
    <w:rsid w:val="00E811A4"/>
    <w:rsid w:val="00E90FB3"/>
    <w:rsid w:val="00E914FA"/>
    <w:rsid w:val="00EA0C2B"/>
    <w:rsid w:val="00EA16D6"/>
    <w:rsid w:val="00EA2A70"/>
    <w:rsid w:val="00EA67B9"/>
    <w:rsid w:val="00EA6B2F"/>
    <w:rsid w:val="00EB02BE"/>
    <w:rsid w:val="00EB0409"/>
    <w:rsid w:val="00EB2A7A"/>
    <w:rsid w:val="00EB389D"/>
    <w:rsid w:val="00EB421C"/>
    <w:rsid w:val="00EB551D"/>
    <w:rsid w:val="00EB55A1"/>
    <w:rsid w:val="00EB620E"/>
    <w:rsid w:val="00EC2107"/>
    <w:rsid w:val="00EC4A12"/>
    <w:rsid w:val="00ED1616"/>
    <w:rsid w:val="00ED1A40"/>
    <w:rsid w:val="00ED6060"/>
    <w:rsid w:val="00ED6CBD"/>
    <w:rsid w:val="00ED6D5A"/>
    <w:rsid w:val="00EE1A85"/>
    <w:rsid w:val="00EE2EBF"/>
    <w:rsid w:val="00EE3C5B"/>
    <w:rsid w:val="00EE60CF"/>
    <w:rsid w:val="00EE6E03"/>
    <w:rsid w:val="00EE71EE"/>
    <w:rsid w:val="00EF5A84"/>
    <w:rsid w:val="00F003BE"/>
    <w:rsid w:val="00F003EA"/>
    <w:rsid w:val="00F004F3"/>
    <w:rsid w:val="00F014DC"/>
    <w:rsid w:val="00F0248A"/>
    <w:rsid w:val="00F05C2E"/>
    <w:rsid w:val="00F10069"/>
    <w:rsid w:val="00F11DDE"/>
    <w:rsid w:val="00F12B6C"/>
    <w:rsid w:val="00F1391C"/>
    <w:rsid w:val="00F14138"/>
    <w:rsid w:val="00F141C6"/>
    <w:rsid w:val="00F14A68"/>
    <w:rsid w:val="00F23835"/>
    <w:rsid w:val="00F23DD9"/>
    <w:rsid w:val="00F25465"/>
    <w:rsid w:val="00F266D1"/>
    <w:rsid w:val="00F26E06"/>
    <w:rsid w:val="00F33314"/>
    <w:rsid w:val="00F3474D"/>
    <w:rsid w:val="00F37732"/>
    <w:rsid w:val="00F449DD"/>
    <w:rsid w:val="00F46007"/>
    <w:rsid w:val="00F468BE"/>
    <w:rsid w:val="00F5632B"/>
    <w:rsid w:val="00F56B0F"/>
    <w:rsid w:val="00F57A15"/>
    <w:rsid w:val="00F6329E"/>
    <w:rsid w:val="00F6401E"/>
    <w:rsid w:val="00F659DE"/>
    <w:rsid w:val="00F67E33"/>
    <w:rsid w:val="00F70DD1"/>
    <w:rsid w:val="00F71B0D"/>
    <w:rsid w:val="00F72ECD"/>
    <w:rsid w:val="00F75714"/>
    <w:rsid w:val="00F758CE"/>
    <w:rsid w:val="00F815D2"/>
    <w:rsid w:val="00F841AF"/>
    <w:rsid w:val="00F87A7C"/>
    <w:rsid w:val="00F9096B"/>
    <w:rsid w:val="00F92702"/>
    <w:rsid w:val="00F93E26"/>
    <w:rsid w:val="00F946AC"/>
    <w:rsid w:val="00F95AE5"/>
    <w:rsid w:val="00F97A85"/>
    <w:rsid w:val="00FA334C"/>
    <w:rsid w:val="00FA5670"/>
    <w:rsid w:val="00FA6096"/>
    <w:rsid w:val="00FA78BF"/>
    <w:rsid w:val="00FA79D1"/>
    <w:rsid w:val="00FB1E4E"/>
    <w:rsid w:val="00FB57D9"/>
    <w:rsid w:val="00FB7A65"/>
    <w:rsid w:val="00FC08E8"/>
    <w:rsid w:val="00FC1A2C"/>
    <w:rsid w:val="00FC3CCF"/>
    <w:rsid w:val="00FC49DC"/>
    <w:rsid w:val="00FC571A"/>
    <w:rsid w:val="00FC687D"/>
    <w:rsid w:val="00FC71D2"/>
    <w:rsid w:val="00FC77CC"/>
    <w:rsid w:val="00FD1F7F"/>
    <w:rsid w:val="00FD331D"/>
    <w:rsid w:val="00FD51B7"/>
    <w:rsid w:val="00FD5F26"/>
    <w:rsid w:val="00FD6B42"/>
    <w:rsid w:val="00FE1F33"/>
    <w:rsid w:val="00FE21D8"/>
    <w:rsid w:val="00FE2CF9"/>
    <w:rsid w:val="00FE3312"/>
    <w:rsid w:val="00FE396E"/>
    <w:rsid w:val="00FE5583"/>
    <w:rsid w:val="00FE5784"/>
    <w:rsid w:val="00FE6075"/>
    <w:rsid w:val="00FE6F18"/>
    <w:rsid w:val="00FE7816"/>
    <w:rsid w:val="00FE7BD4"/>
    <w:rsid w:val="00FF0A2D"/>
    <w:rsid w:val="00FF1093"/>
    <w:rsid w:val="00FF2BBB"/>
    <w:rsid w:val="00FF3E5B"/>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qFormat/>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qFormat/>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571115962">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3.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 TargetMode="External"/><Relationship Id="rId2" Type="http://schemas.openxmlformats.org/officeDocument/2006/relationships/hyperlink" Target="http://www.aemo.com.au/Electricity/Market-Operations/Ancillary-Services/Process-Documentation/Ancillary-Services-Causer-Pays-Contribution-Factors" TargetMode="External"/><Relationship Id="rId1" Type="http://schemas.openxmlformats.org/officeDocument/2006/relationships/hyperlink" Target="http://www.aemo.com.au/Electricity/Data/Ancillary-Services/Ancillary-Services-Payments-and-Recovery"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9F881-5904-4883-8ED1-EFC11BC7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ECC0FB9E</Template>
  <TotalTime>0</TotalTime>
  <Pages>26</Pages>
  <Words>4603</Words>
  <Characters>26243</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2016-11-29T02:43:00Z</dcterms:created>
  <dcterms:modified xsi:type="dcterms:W3CDTF">2016-11-29T02:43:00Z</dcterms:modified>
</cp:coreProperties>
</file>