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color w:val="076A92" w:themeColor="text1"/>
          <w:sz w:val="24"/>
          <w:szCs w:val="20"/>
        </w:rPr>
        <w:id w:val="1099676627"/>
        <w:docPartObj>
          <w:docPartGallery w:val="Cover Pages"/>
          <w:docPartUnique/>
        </w:docPartObj>
      </w:sdtPr>
      <w:sdtEndPr>
        <w:rPr>
          <w:rFonts w:cs="Arial"/>
          <w:b w:val="0"/>
          <w:color w:val="auto"/>
          <w:sz w:val="16"/>
          <w:szCs w:val="16"/>
        </w:rPr>
      </w:sdtEndPr>
      <w:sdtContent>
        <w:p w:rsidR="00C7068C" w:rsidRDefault="00BC452D" w:rsidP="00C7068C">
          <w:r w:rsidRPr="00290C63">
            <w:rPr>
              <w:noProof/>
              <w:lang w:eastAsia="en-AU"/>
            </w:rPr>
            <w:drawing>
              <wp:anchor distT="0" distB="0" distL="114300" distR="114300" simplePos="0" relativeHeight="251659264" behindDoc="1" locked="0" layoutInCell="1" allowOverlap="1" wp14:anchorId="31ED892A" wp14:editId="00B3E24F">
                <wp:simplePos x="0" y="0"/>
                <wp:positionH relativeFrom="column">
                  <wp:posOffset>-1104900</wp:posOffset>
                </wp:positionH>
                <wp:positionV relativeFrom="paragraph">
                  <wp:posOffset>-923683</wp:posOffset>
                </wp:positionV>
                <wp:extent cx="7796935" cy="10925175"/>
                <wp:effectExtent l="0" t="0" r="0" b="0"/>
                <wp:wrapNone/>
                <wp:docPr id="5" name="Picture 5"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96935" cy="10925175"/>
                        </a:xfrm>
                        <a:prstGeom prst="rect">
                          <a:avLst/>
                        </a:prstGeom>
                        <a:noFill/>
                      </pic:spPr>
                    </pic:pic>
                  </a:graphicData>
                </a:graphic>
                <wp14:sizeRelH relativeFrom="page">
                  <wp14:pctWidth>0</wp14:pctWidth>
                </wp14:sizeRelH>
                <wp14:sizeRelV relativeFrom="page">
                  <wp14:pctHeight>0</wp14:pctHeight>
                </wp14:sizeRelV>
              </wp:anchor>
            </w:drawing>
          </w:r>
          <w:r w:rsidR="00C7068C" w:rsidRPr="004300F1">
            <w:t xml:space="preserve"> </w:t>
          </w:r>
        </w:p>
        <w:sdt>
          <w:sdtPr>
            <w:id w:val="-244801280"/>
            <w:docPartObj>
              <w:docPartGallery w:val="Cover Pages"/>
              <w:docPartUnique/>
            </w:docPartObj>
          </w:sdtPr>
          <w:sdtEndPr>
            <w:rPr>
              <w:rFonts w:eastAsiaTheme="majorEastAsia" w:cstheme="majorBidi"/>
              <w:b/>
              <w:noProof/>
              <w:sz w:val="72"/>
              <w:szCs w:val="72"/>
              <w:lang w:eastAsia="en-AU"/>
            </w:rPr>
          </w:sdtEndPr>
          <w:sdtContent>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C7068C" w:rsidP="00C7068C"/>
            <w:p w:rsidR="00C7068C" w:rsidRPr="00DB723B" w:rsidRDefault="00413CE7" w:rsidP="00C7068C">
              <w:pPr>
                <w:pStyle w:val="ReportTitle"/>
              </w:pPr>
              <w:r>
                <w:t xml:space="preserve">Report into </w:t>
              </w:r>
              <w:r w:rsidR="00393A49" w:rsidRPr="00393A49">
                <w:t>Market ancillary service prices above $5000</w:t>
              </w:r>
              <w:r w:rsidR="002E08EA">
                <w:t>/MW</w:t>
              </w:r>
            </w:p>
            <w:p w:rsidR="00C7068C" w:rsidRDefault="00C7068C" w:rsidP="00C7068C">
              <w:pPr>
                <w:pStyle w:val="ReportSubtitle"/>
              </w:pPr>
            </w:p>
            <w:p w:rsidR="00C7068C" w:rsidRPr="00DB723B" w:rsidRDefault="00393A49" w:rsidP="00C7068C">
              <w:pPr>
                <w:pStyle w:val="ReportSubtitle"/>
              </w:pPr>
              <w:r>
                <w:t>South Australia</w:t>
              </w:r>
              <w:r w:rsidR="00C7068C">
                <w:t xml:space="preserve">, </w:t>
              </w:r>
              <w:r w:rsidR="008634F6">
                <w:br/>
              </w:r>
              <w:r w:rsidR="005C3F69">
                <w:t>11</w:t>
              </w:r>
              <w:r w:rsidR="00A019E6">
                <w:t xml:space="preserve"> August 2016</w:t>
              </w:r>
            </w:p>
            <w:p w:rsidR="00C7068C" w:rsidRDefault="00C7068C" w:rsidP="00C7068C">
              <w:pPr>
                <w:pStyle w:val="ReportDate"/>
              </w:pPr>
            </w:p>
            <w:p w:rsidR="00C7068C" w:rsidRDefault="00C7068C" w:rsidP="00C7068C">
              <w:pPr>
                <w:pStyle w:val="ReportDate"/>
              </w:pPr>
            </w:p>
            <w:p w:rsidR="00C7068C" w:rsidRPr="00DB723B" w:rsidRDefault="0028047E" w:rsidP="00C7068C">
              <w:pPr>
                <w:pStyle w:val="ReportDate"/>
              </w:pPr>
              <w:r>
                <w:t>2</w:t>
              </w:r>
              <w:r w:rsidR="00431D37">
                <w:t>9</w:t>
              </w:r>
              <w:r w:rsidR="008D1606">
                <w:t xml:space="preserve"> </w:t>
              </w:r>
              <w:r w:rsidR="001D6FC5">
                <w:t>Novem</w:t>
              </w:r>
              <w:r w:rsidR="00FB0E8B">
                <w:t xml:space="preserve">ber </w:t>
              </w:r>
              <w:r w:rsidR="00A019E6">
                <w:t>2016</w:t>
              </w:r>
            </w:p>
            <w:p w:rsidR="00C7068C" w:rsidRPr="0015715D" w:rsidRDefault="00C7068C" w:rsidP="0015715D">
              <w:r w:rsidRPr="00DB723B">
                <w:br w:type="page"/>
              </w:r>
            </w:p>
          </w:sdtContent>
        </w:sdt>
        <w:p w:rsidR="00C7068C" w:rsidRDefault="0015715D" w:rsidP="00C7068C">
          <w:pPr>
            <w:spacing w:line="240" w:lineRule="auto"/>
          </w:pPr>
          <w:r>
            <w:lastRenderedPageBreak/>
            <w:t>© Commonwealth of Australia 201</w:t>
          </w:r>
          <w:r w:rsidR="00A019E6">
            <w:t>6</w:t>
          </w:r>
        </w:p>
        <w:p w:rsidR="00C7068C" w:rsidRDefault="00C7068C" w:rsidP="00C7068C">
          <w:pPr>
            <w:pStyle w:val="Copyright"/>
          </w:pPr>
          <w:r>
            <w:t>This work is copyright. In addition to any use permitted under the Copyright Act 1968, all material contained within this work is provided under a Creative Commons Attributions 3.0 Australia licence, with the exception of:</w:t>
          </w:r>
        </w:p>
        <w:p w:rsidR="00C7068C" w:rsidRDefault="00C7068C" w:rsidP="00C7068C">
          <w:pPr>
            <w:pStyle w:val="StyleCopyrightBefore0pt"/>
            <w:numPr>
              <w:ilvl w:val="0"/>
              <w:numId w:val="27"/>
            </w:numPr>
          </w:pPr>
          <w:r>
            <w:t>the Commonwealth Coat of Arms</w:t>
          </w:r>
        </w:p>
        <w:p w:rsidR="00C7068C" w:rsidRDefault="00C7068C" w:rsidP="00C7068C">
          <w:pPr>
            <w:pStyle w:val="StyleCopyrightBefore0pt"/>
            <w:numPr>
              <w:ilvl w:val="0"/>
              <w:numId w:val="27"/>
            </w:numPr>
          </w:pPr>
          <w:r>
            <w:t>the ACCC and AER logos</w:t>
          </w:r>
        </w:p>
        <w:p w:rsidR="00C7068C" w:rsidRPr="00B927D8" w:rsidRDefault="00C7068C" w:rsidP="00C7068C">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7068C" w:rsidRDefault="00C7068C" w:rsidP="00C7068C">
          <w:pPr>
            <w:pStyle w:val="Copyright"/>
            <w:jc w:val="lef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C7068C" w:rsidRDefault="00C7068C" w:rsidP="00C7068C">
          <w:pPr>
            <w:pStyle w:val="Copyright"/>
            <w:jc w:val="left"/>
          </w:pPr>
          <w:r>
            <w:t>Inquiries about this publication should be addressed to:</w:t>
          </w:r>
        </w:p>
        <w:p w:rsidR="00C7068C" w:rsidRDefault="00C7068C" w:rsidP="00C7068C">
          <w:pPr>
            <w:pStyle w:val="Copyright"/>
            <w:jc w:val="left"/>
          </w:pPr>
          <w:r>
            <w:t xml:space="preserve">Australian Energy </w:t>
          </w:r>
          <w:r w:rsidRPr="00F171E0">
            <w:t>Regulator</w:t>
          </w:r>
          <w:r>
            <w:br/>
            <w:t>GPO Box 520</w:t>
          </w:r>
          <w:r>
            <w:br/>
            <w:t>Melbourne</w:t>
          </w:r>
          <w:r w:rsidR="00D816CB">
            <w:t xml:space="preserve"> </w:t>
          </w:r>
          <w:r>
            <w:t>Vic</w:t>
          </w:r>
          <w:r w:rsidR="00D816CB">
            <w:t xml:space="preserve"> </w:t>
          </w:r>
          <w:r>
            <w:t>3001</w:t>
          </w:r>
        </w:p>
        <w:p w:rsidR="00C7068C" w:rsidRDefault="00C7068C" w:rsidP="00C7068C">
          <w:pPr>
            <w:pStyle w:val="Copyright"/>
            <w:jc w:val="left"/>
          </w:pPr>
          <w:r>
            <w:t>Tel: (03) 9290 1444</w:t>
          </w:r>
          <w:r>
            <w:br/>
            <w:t>Fax: (03) 9290 1457</w:t>
          </w:r>
        </w:p>
        <w:p w:rsidR="00C7068C" w:rsidRPr="00CC65AF" w:rsidRDefault="00C7068C" w:rsidP="00C7068C">
          <w:pPr>
            <w:pStyle w:val="Copyright"/>
            <w:jc w:val="left"/>
          </w:pPr>
          <w:r>
            <w:t xml:space="preserve">Email: </w:t>
          </w:r>
          <w:hyperlink r:id="rId11" w:history="1">
            <w:r w:rsidRPr="00D64888">
              <w:rPr>
                <w:rStyle w:val="Hyperlink"/>
              </w:rPr>
              <w:t>AERInquiry@aer.gov.au</w:t>
            </w:r>
          </w:hyperlink>
          <w:r>
            <w:rPr>
              <w:rStyle w:val="Hyperlink"/>
            </w:rPr>
            <w:br/>
          </w:r>
          <w:r w:rsidRPr="00CC65AF">
            <w:t xml:space="preserve">AER Reference: </w:t>
          </w:r>
          <w:r w:rsidR="00B4026C">
            <w:t>60877</w:t>
          </w:r>
          <w:r w:rsidR="00B4026C" w:rsidRPr="00CC65AF">
            <w:t xml:space="preserve"> </w:t>
          </w:r>
          <w:r w:rsidRPr="00CC65AF">
            <w:t xml:space="preserve">/ </w:t>
          </w:r>
          <w:r w:rsidR="00FB0E8B" w:rsidRPr="002743BE">
            <w:rPr>
              <w:rFonts w:cs="Arial"/>
              <w:szCs w:val="18"/>
            </w:rPr>
            <w:t>D1</w:t>
          </w:r>
          <w:r w:rsidR="00FB0E8B">
            <w:rPr>
              <w:rFonts w:cs="Arial"/>
              <w:szCs w:val="18"/>
            </w:rPr>
            <w:t>6</w:t>
          </w:r>
          <w:r w:rsidR="002743BE" w:rsidRPr="002743BE">
            <w:rPr>
              <w:rFonts w:cs="Arial"/>
              <w:szCs w:val="18"/>
            </w:rPr>
            <w:t>/</w:t>
          </w:r>
          <w:r w:rsidR="00FB0E8B">
            <w:rPr>
              <w:rFonts w:cs="Arial"/>
              <w:szCs w:val="18"/>
            </w:rPr>
            <w:t>1</w:t>
          </w:r>
          <w:r w:rsidR="007455D1">
            <w:rPr>
              <w:rFonts w:cs="Arial"/>
              <w:szCs w:val="18"/>
            </w:rPr>
            <w:t>40230</w:t>
          </w:r>
          <w:bookmarkStart w:id="0" w:name="_GoBack"/>
          <w:bookmarkEnd w:id="0"/>
        </w:p>
        <w:p w:rsidR="00C7068C" w:rsidRDefault="00C7068C" w:rsidP="00C7068C"/>
        <w:p w:rsidR="00C7068C" w:rsidRPr="00C569B4" w:rsidRDefault="00C7068C" w:rsidP="00C7068C">
          <w:r w:rsidRPr="00C569B4">
            <w:t>Amendment Record</w:t>
          </w:r>
        </w:p>
        <w:tbl>
          <w:tblPr>
            <w:tblStyle w:val="AERTable-Text"/>
            <w:tblW w:w="0" w:type="auto"/>
            <w:tblLook w:val="04A0" w:firstRow="1" w:lastRow="0" w:firstColumn="1" w:lastColumn="0" w:noHBand="0" w:noVBand="1"/>
          </w:tblPr>
          <w:tblGrid>
            <w:gridCol w:w="2899"/>
            <w:gridCol w:w="2906"/>
            <w:gridCol w:w="2888"/>
          </w:tblGrid>
          <w:tr w:rsidR="00C7068C" w:rsidTr="00CC65AF">
            <w:trPr>
              <w:cnfStyle w:val="100000000000" w:firstRow="1" w:lastRow="0" w:firstColumn="0" w:lastColumn="0" w:oddVBand="0" w:evenVBand="0" w:oddHBand="0" w:evenHBand="0" w:firstRowFirstColumn="0" w:firstRowLastColumn="0" w:lastRowFirstColumn="0" w:lastRowLastColumn="0"/>
            </w:trPr>
            <w:tc>
              <w:tcPr>
                <w:tcW w:w="2899" w:type="dxa"/>
              </w:tcPr>
              <w:p w:rsidR="00C7068C" w:rsidRDefault="00C7068C" w:rsidP="009B028C">
                <w:r>
                  <w:t>Version</w:t>
                </w:r>
              </w:p>
            </w:tc>
            <w:tc>
              <w:tcPr>
                <w:tcW w:w="2906" w:type="dxa"/>
              </w:tcPr>
              <w:p w:rsidR="00C7068C" w:rsidRDefault="00C7068C" w:rsidP="009B028C">
                <w:r>
                  <w:t>Date</w:t>
                </w:r>
              </w:p>
            </w:tc>
            <w:tc>
              <w:tcPr>
                <w:tcW w:w="2888" w:type="dxa"/>
              </w:tcPr>
              <w:p w:rsidR="00C7068C" w:rsidRDefault="00C7068C" w:rsidP="009B028C">
                <w:r>
                  <w:t>Pages</w:t>
                </w:r>
              </w:p>
            </w:tc>
          </w:tr>
          <w:tr w:rsidR="00C7068C" w:rsidTr="008D1606">
            <w:trPr>
              <w:cnfStyle w:val="000000100000" w:firstRow="0" w:lastRow="0" w:firstColumn="0" w:lastColumn="0" w:oddVBand="0" w:evenVBand="0" w:oddHBand="1" w:evenHBand="0" w:firstRowFirstColumn="0" w:firstRowLastColumn="0" w:lastRowFirstColumn="0" w:lastRowLastColumn="0"/>
              <w:trHeight w:val="409"/>
            </w:trPr>
            <w:tc>
              <w:tcPr>
                <w:tcW w:w="2899" w:type="dxa"/>
                <w:vAlign w:val="center"/>
              </w:tcPr>
              <w:p w:rsidR="00C7068C" w:rsidRDefault="00147AD2" w:rsidP="008D1606">
                <w:pPr>
                  <w:spacing w:before="0" w:after="0" w:line="240" w:lineRule="auto"/>
                  <w:jc w:val="center"/>
                </w:pPr>
                <w:r>
                  <w:t>1 version for publication</w:t>
                </w:r>
              </w:p>
            </w:tc>
            <w:tc>
              <w:tcPr>
                <w:tcW w:w="2906" w:type="dxa"/>
                <w:vAlign w:val="center"/>
              </w:tcPr>
              <w:p w:rsidR="00C7068C" w:rsidRDefault="008D1606" w:rsidP="00431D37">
                <w:pPr>
                  <w:spacing w:before="0" w:after="0" w:line="240" w:lineRule="auto"/>
                  <w:jc w:val="center"/>
                </w:pPr>
                <w:r>
                  <w:t>2</w:t>
                </w:r>
                <w:r w:rsidR="00431D37">
                  <w:t>9</w:t>
                </w:r>
                <w:r>
                  <w:t>/11/2016</w:t>
                </w:r>
              </w:p>
            </w:tc>
            <w:tc>
              <w:tcPr>
                <w:tcW w:w="2888" w:type="dxa"/>
                <w:vAlign w:val="center"/>
              </w:tcPr>
              <w:p w:rsidR="00C7068C" w:rsidRDefault="009D3192" w:rsidP="008D1606">
                <w:pPr>
                  <w:spacing w:before="0" w:after="0" w:line="240" w:lineRule="auto"/>
                  <w:jc w:val="center"/>
                </w:pPr>
                <w:r>
                  <w:t>29</w:t>
                </w:r>
              </w:p>
            </w:tc>
          </w:tr>
          <w:tr w:rsidR="007A223D" w:rsidTr="00CC65AF">
            <w:trPr>
              <w:cnfStyle w:val="000000010000" w:firstRow="0" w:lastRow="0" w:firstColumn="0" w:lastColumn="0" w:oddVBand="0" w:evenVBand="0" w:oddHBand="0" w:evenHBand="1" w:firstRowFirstColumn="0" w:firstRowLastColumn="0" w:lastRowFirstColumn="0" w:lastRowLastColumn="0"/>
            </w:trPr>
            <w:tc>
              <w:tcPr>
                <w:tcW w:w="2899" w:type="dxa"/>
              </w:tcPr>
              <w:p w:rsidR="007A223D" w:rsidRPr="007A223D" w:rsidRDefault="007A223D" w:rsidP="009B028C">
                <w:pPr>
                  <w:spacing w:before="0" w:after="200"/>
                  <w:rPr>
                    <w:sz w:val="18"/>
                  </w:rPr>
                </w:pPr>
              </w:p>
            </w:tc>
            <w:tc>
              <w:tcPr>
                <w:tcW w:w="2906" w:type="dxa"/>
              </w:tcPr>
              <w:p w:rsidR="007A223D" w:rsidRPr="007A223D" w:rsidRDefault="007A223D" w:rsidP="00CC65AF">
                <w:pPr>
                  <w:spacing w:before="0" w:after="200"/>
                  <w:rPr>
                    <w:sz w:val="18"/>
                  </w:rPr>
                </w:pPr>
              </w:p>
            </w:tc>
            <w:tc>
              <w:tcPr>
                <w:tcW w:w="2888" w:type="dxa"/>
              </w:tcPr>
              <w:p w:rsidR="007A223D" w:rsidRPr="007A223D" w:rsidRDefault="007A223D" w:rsidP="009B028C">
                <w:pPr>
                  <w:spacing w:before="0" w:after="200"/>
                  <w:rPr>
                    <w:sz w:val="18"/>
                  </w:rPr>
                </w:pPr>
              </w:p>
            </w:tc>
          </w:tr>
        </w:tbl>
        <w:p w:rsidR="00C7068C" w:rsidRDefault="00C7068C" w:rsidP="00C7068C"/>
        <w:p w:rsidR="00C7068C" w:rsidRDefault="00C7068C" w:rsidP="00C7068C">
          <w:pPr>
            <w:spacing w:line="240" w:lineRule="auto"/>
          </w:pPr>
          <w:r>
            <w:br w:type="page"/>
          </w:r>
        </w:p>
        <w:p w:rsidR="00C7068C" w:rsidRDefault="00C7068C" w:rsidP="00C7068C">
          <w:pPr>
            <w:pStyle w:val="TOCHeading"/>
          </w:pPr>
          <w:r>
            <w:lastRenderedPageBreak/>
            <w:t>Contents</w:t>
          </w:r>
        </w:p>
        <w:p w:rsidR="001B6513" w:rsidRDefault="00C7068C">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67748130" w:history="1">
            <w:r w:rsidR="001B6513" w:rsidRPr="00ED20D3">
              <w:rPr>
                <w:rStyle w:val="Hyperlink"/>
              </w:rPr>
              <w:t>1</w:t>
            </w:r>
            <w:r w:rsidR="001B6513">
              <w:rPr>
                <w:rFonts w:asciiTheme="minorHAnsi" w:eastAsiaTheme="minorEastAsia" w:hAnsiTheme="minorHAnsi"/>
                <w:b w:val="0"/>
                <w:color w:val="auto"/>
                <w:sz w:val="22"/>
                <w:lang w:val="en-AU" w:eastAsia="en-AU"/>
              </w:rPr>
              <w:tab/>
            </w:r>
            <w:r w:rsidR="001B6513" w:rsidRPr="00ED20D3">
              <w:rPr>
                <w:rStyle w:val="Hyperlink"/>
              </w:rPr>
              <w:t>Introduction</w:t>
            </w:r>
            <w:r w:rsidR="001B6513">
              <w:rPr>
                <w:webHidden/>
              </w:rPr>
              <w:tab/>
            </w:r>
            <w:r w:rsidR="001B6513">
              <w:rPr>
                <w:webHidden/>
              </w:rPr>
              <w:fldChar w:fldCharType="begin"/>
            </w:r>
            <w:r w:rsidR="001B6513">
              <w:rPr>
                <w:webHidden/>
              </w:rPr>
              <w:instrText xml:space="preserve"> PAGEREF _Toc467748130 \h </w:instrText>
            </w:r>
            <w:r w:rsidR="001B6513">
              <w:rPr>
                <w:webHidden/>
              </w:rPr>
            </w:r>
            <w:r w:rsidR="001B6513">
              <w:rPr>
                <w:webHidden/>
              </w:rPr>
              <w:fldChar w:fldCharType="separate"/>
            </w:r>
            <w:r w:rsidR="001B6513">
              <w:rPr>
                <w:webHidden/>
              </w:rPr>
              <w:t>4</w:t>
            </w:r>
            <w:r w:rsidR="001B6513">
              <w:rPr>
                <w:webHidden/>
              </w:rPr>
              <w:fldChar w:fldCharType="end"/>
            </w:r>
          </w:hyperlink>
        </w:p>
        <w:p w:rsidR="001B6513" w:rsidRDefault="00431D37">
          <w:pPr>
            <w:pStyle w:val="TOC1"/>
            <w:rPr>
              <w:rFonts w:asciiTheme="minorHAnsi" w:eastAsiaTheme="minorEastAsia" w:hAnsiTheme="minorHAnsi"/>
              <w:b w:val="0"/>
              <w:color w:val="auto"/>
              <w:sz w:val="22"/>
              <w:lang w:val="en-AU" w:eastAsia="en-AU"/>
            </w:rPr>
          </w:pPr>
          <w:hyperlink w:anchor="_Toc467748131" w:history="1">
            <w:r w:rsidR="001B6513" w:rsidRPr="00ED20D3">
              <w:rPr>
                <w:rStyle w:val="Hyperlink"/>
              </w:rPr>
              <w:t>2</w:t>
            </w:r>
            <w:r w:rsidR="001B6513">
              <w:rPr>
                <w:rFonts w:asciiTheme="minorHAnsi" w:eastAsiaTheme="minorEastAsia" w:hAnsiTheme="minorHAnsi"/>
                <w:b w:val="0"/>
                <w:color w:val="auto"/>
                <w:sz w:val="22"/>
                <w:lang w:val="en-AU" w:eastAsia="en-AU"/>
              </w:rPr>
              <w:tab/>
            </w:r>
            <w:r w:rsidR="001B6513" w:rsidRPr="00ED20D3">
              <w:rPr>
                <w:rStyle w:val="Hyperlink"/>
              </w:rPr>
              <w:t>Summary</w:t>
            </w:r>
            <w:r w:rsidR="001B6513">
              <w:rPr>
                <w:webHidden/>
              </w:rPr>
              <w:tab/>
            </w:r>
            <w:r w:rsidR="00CD27C1">
              <w:rPr>
                <w:webHidden/>
              </w:rPr>
              <w:tab/>
            </w:r>
            <w:r w:rsidR="001B6513">
              <w:rPr>
                <w:webHidden/>
              </w:rPr>
              <w:fldChar w:fldCharType="begin"/>
            </w:r>
            <w:r w:rsidR="001B6513">
              <w:rPr>
                <w:webHidden/>
              </w:rPr>
              <w:instrText xml:space="preserve"> PAGEREF _Toc467748131 \h </w:instrText>
            </w:r>
            <w:r w:rsidR="001B6513">
              <w:rPr>
                <w:webHidden/>
              </w:rPr>
            </w:r>
            <w:r w:rsidR="001B6513">
              <w:rPr>
                <w:webHidden/>
              </w:rPr>
              <w:fldChar w:fldCharType="separate"/>
            </w:r>
            <w:r w:rsidR="001B6513">
              <w:rPr>
                <w:webHidden/>
              </w:rPr>
              <w:t>5</w:t>
            </w:r>
            <w:r w:rsidR="001B6513">
              <w:rPr>
                <w:webHidden/>
              </w:rPr>
              <w:fldChar w:fldCharType="end"/>
            </w:r>
          </w:hyperlink>
        </w:p>
        <w:p w:rsidR="001B6513" w:rsidRDefault="00431D37">
          <w:pPr>
            <w:pStyle w:val="TOC1"/>
            <w:rPr>
              <w:rFonts w:asciiTheme="minorHAnsi" w:eastAsiaTheme="minorEastAsia" w:hAnsiTheme="minorHAnsi"/>
              <w:b w:val="0"/>
              <w:color w:val="auto"/>
              <w:sz w:val="22"/>
              <w:lang w:val="en-AU" w:eastAsia="en-AU"/>
            </w:rPr>
          </w:pPr>
          <w:hyperlink w:anchor="_Toc467748132" w:history="1">
            <w:r w:rsidR="001B6513" w:rsidRPr="00ED20D3">
              <w:rPr>
                <w:rStyle w:val="Hyperlink"/>
              </w:rPr>
              <w:t>3</w:t>
            </w:r>
            <w:r w:rsidR="001B6513">
              <w:rPr>
                <w:rFonts w:asciiTheme="minorHAnsi" w:eastAsiaTheme="minorEastAsia" w:hAnsiTheme="minorHAnsi"/>
                <w:b w:val="0"/>
                <w:color w:val="auto"/>
                <w:sz w:val="22"/>
                <w:lang w:val="en-AU" w:eastAsia="en-AU"/>
              </w:rPr>
              <w:tab/>
            </w:r>
            <w:r w:rsidR="001B6513" w:rsidRPr="00ED20D3">
              <w:rPr>
                <w:rStyle w:val="Hyperlink"/>
              </w:rPr>
              <w:t>Analysis</w:t>
            </w:r>
            <w:r w:rsidR="001B6513">
              <w:rPr>
                <w:webHidden/>
              </w:rPr>
              <w:tab/>
            </w:r>
            <w:r w:rsidR="00CD27C1">
              <w:rPr>
                <w:webHidden/>
              </w:rPr>
              <w:tab/>
            </w:r>
            <w:r w:rsidR="001B6513">
              <w:rPr>
                <w:webHidden/>
              </w:rPr>
              <w:fldChar w:fldCharType="begin"/>
            </w:r>
            <w:r w:rsidR="001B6513">
              <w:rPr>
                <w:webHidden/>
              </w:rPr>
              <w:instrText xml:space="preserve"> PAGEREF _Toc467748132 \h </w:instrText>
            </w:r>
            <w:r w:rsidR="001B6513">
              <w:rPr>
                <w:webHidden/>
              </w:rPr>
            </w:r>
            <w:r w:rsidR="001B6513">
              <w:rPr>
                <w:webHidden/>
              </w:rPr>
              <w:fldChar w:fldCharType="separate"/>
            </w:r>
            <w:r w:rsidR="001B6513">
              <w:rPr>
                <w:webHidden/>
              </w:rPr>
              <w:t>6</w:t>
            </w:r>
            <w:r w:rsidR="001B6513">
              <w:rPr>
                <w:webHidden/>
              </w:rPr>
              <w:fldChar w:fldCharType="end"/>
            </w:r>
          </w:hyperlink>
        </w:p>
        <w:p w:rsidR="001B6513" w:rsidRDefault="00431D37">
          <w:pPr>
            <w:pStyle w:val="TOC2"/>
            <w:rPr>
              <w:rFonts w:asciiTheme="minorHAnsi" w:eastAsiaTheme="minorEastAsia" w:hAnsiTheme="minorHAnsi"/>
              <w:b w:val="0"/>
              <w:color w:val="auto"/>
              <w:sz w:val="22"/>
              <w:lang w:eastAsia="en-AU"/>
            </w:rPr>
          </w:pPr>
          <w:hyperlink w:anchor="_Toc467748133" w:history="1">
            <w:r w:rsidR="001B6513" w:rsidRPr="00ED20D3">
              <w:rPr>
                <w:rStyle w:val="Hyperlink"/>
              </w:rPr>
              <w:t>3.1</w:t>
            </w:r>
            <w:r w:rsidR="001B6513">
              <w:rPr>
                <w:rFonts w:asciiTheme="minorHAnsi" w:eastAsiaTheme="minorEastAsia" w:hAnsiTheme="minorHAnsi"/>
                <w:b w:val="0"/>
                <w:color w:val="auto"/>
                <w:sz w:val="22"/>
                <w:lang w:eastAsia="en-AU"/>
              </w:rPr>
              <w:tab/>
            </w:r>
            <w:r w:rsidR="001B6513" w:rsidRPr="00ED20D3">
              <w:rPr>
                <w:rStyle w:val="Hyperlink"/>
              </w:rPr>
              <w:t>Planned network outage</w:t>
            </w:r>
            <w:r w:rsidR="001B6513">
              <w:rPr>
                <w:webHidden/>
              </w:rPr>
              <w:tab/>
            </w:r>
            <w:r w:rsidR="001B6513">
              <w:rPr>
                <w:webHidden/>
              </w:rPr>
              <w:fldChar w:fldCharType="begin"/>
            </w:r>
            <w:r w:rsidR="001B6513">
              <w:rPr>
                <w:webHidden/>
              </w:rPr>
              <w:instrText xml:space="preserve"> PAGEREF _Toc467748133 \h </w:instrText>
            </w:r>
            <w:r w:rsidR="001B6513">
              <w:rPr>
                <w:webHidden/>
              </w:rPr>
            </w:r>
            <w:r w:rsidR="001B6513">
              <w:rPr>
                <w:webHidden/>
              </w:rPr>
              <w:fldChar w:fldCharType="separate"/>
            </w:r>
            <w:r w:rsidR="001B6513">
              <w:rPr>
                <w:webHidden/>
              </w:rPr>
              <w:t>6</w:t>
            </w:r>
            <w:r w:rsidR="001B6513">
              <w:rPr>
                <w:webHidden/>
              </w:rPr>
              <w:fldChar w:fldCharType="end"/>
            </w:r>
          </w:hyperlink>
        </w:p>
        <w:p w:rsidR="001B6513" w:rsidRDefault="00431D37">
          <w:pPr>
            <w:pStyle w:val="TOC2"/>
            <w:rPr>
              <w:rFonts w:asciiTheme="minorHAnsi" w:eastAsiaTheme="minorEastAsia" w:hAnsiTheme="minorHAnsi"/>
              <w:b w:val="0"/>
              <w:color w:val="auto"/>
              <w:sz w:val="22"/>
              <w:lang w:eastAsia="en-AU"/>
            </w:rPr>
          </w:pPr>
          <w:hyperlink w:anchor="_Toc467748134" w:history="1">
            <w:r w:rsidR="001B6513" w:rsidRPr="00ED20D3">
              <w:rPr>
                <w:rStyle w:val="Hyperlink"/>
              </w:rPr>
              <w:t>3.2</w:t>
            </w:r>
            <w:r w:rsidR="001B6513">
              <w:rPr>
                <w:rFonts w:asciiTheme="minorHAnsi" w:eastAsiaTheme="minorEastAsia" w:hAnsiTheme="minorHAnsi"/>
                <w:b w:val="0"/>
                <w:color w:val="auto"/>
                <w:sz w:val="22"/>
                <w:lang w:eastAsia="en-AU"/>
              </w:rPr>
              <w:tab/>
            </w:r>
            <w:r w:rsidR="001B6513" w:rsidRPr="00ED20D3">
              <w:rPr>
                <w:rStyle w:val="Hyperlink"/>
              </w:rPr>
              <w:t>Regulation service availability</w:t>
            </w:r>
            <w:r w:rsidR="001B6513">
              <w:rPr>
                <w:webHidden/>
              </w:rPr>
              <w:tab/>
            </w:r>
            <w:r w:rsidR="001B6513">
              <w:rPr>
                <w:webHidden/>
              </w:rPr>
              <w:fldChar w:fldCharType="begin"/>
            </w:r>
            <w:r w:rsidR="001B6513">
              <w:rPr>
                <w:webHidden/>
              </w:rPr>
              <w:instrText xml:space="preserve"> PAGEREF _Toc467748134 \h </w:instrText>
            </w:r>
            <w:r w:rsidR="001B6513">
              <w:rPr>
                <w:webHidden/>
              </w:rPr>
            </w:r>
            <w:r w:rsidR="001B6513">
              <w:rPr>
                <w:webHidden/>
              </w:rPr>
              <w:fldChar w:fldCharType="separate"/>
            </w:r>
            <w:r w:rsidR="001B6513">
              <w:rPr>
                <w:webHidden/>
              </w:rPr>
              <w:t>6</w:t>
            </w:r>
            <w:r w:rsidR="001B6513">
              <w:rPr>
                <w:webHidden/>
              </w:rPr>
              <w:fldChar w:fldCharType="end"/>
            </w:r>
          </w:hyperlink>
        </w:p>
        <w:p w:rsidR="001B6513" w:rsidRDefault="00431D37">
          <w:pPr>
            <w:pStyle w:val="TOC2"/>
            <w:rPr>
              <w:rFonts w:asciiTheme="minorHAnsi" w:eastAsiaTheme="minorEastAsia" w:hAnsiTheme="minorHAnsi"/>
              <w:b w:val="0"/>
              <w:color w:val="auto"/>
              <w:sz w:val="22"/>
              <w:lang w:eastAsia="en-AU"/>
            </w:rPr>
          </w:pPr>
          <w:hyperlink w:anchor="_Toc467748135" w:history="1">
            <w:r w:rsidR="001B6513" w:rsidRPr="00ED20D3">
              <w:rPr>
                <w:rStyle w:val="Hyperlink"/>
              </w:rPr>
              <w:t>3.3</w:t>
            </w:r>
            <w:r w:rsidR="001B6513">
              <w:rPr>
                <w:rFonts w:asciiTheme="minorHAnsi" w:eastAsiaTheme="minorEastAsia" w:hAnsiTheme="minorHAnsi"/>
                <w:b w:val="0"/>
                <w:color w:val="auto"/>
                <w:sz w:val="22"/>
                <w:lang w:eastAsia="en-AU"/>
              </w:rPr>
              <w:tab/>
            </w:r>
            <w:r w:rsidR="001B6513" w:rsidRPr="00ED20D3">
              <w:rPr>
                <w:rStyle w:val="Hyperlink"/>
              </w:rPr>
              <w:t>Effective available capacity and price</w:t>
            </w:r>
            <w:r w:rsidR="001B6513">
              <w:rPr>
                <w:webHidden/>
              </w:rPr>
              <w:tab/>
            </w:r>
            <w:r w:rsidR="001B6513">
              <w:rPr>
                <w:webHidden/>
              </w:rPr>
              <w:fldChar w:fldCharType="begin"/>
            </w:r>
            <w:r w:rsidR="001B6513">
              <w:rPr>
                <w:webHidden/>
              </w:rPr>
              <w:instrText xml:space="preserve"> PAGEREF _Toc467748135 \h </w:instrText>
            </w:r>
            <w:r w:rsidR="001B6513">
              <w:rPr>
                <w:webHidden/>
              </w:rPr>
            </w:r>
            <w:r w:rsidR="001B6513">
              <w:rPr>
                <w:webHidden/>
              </w:rPr>
              <w:fldChar w:fldCharType="separate"/>
            </w:r>
            <w:r w:rsidR="001B6513">
              <w:rPr>
                <w:webHidden/>
              </w:rPr>
              <w:t>7</w:t>
            </w:r>
            <w:r w:rsidR="001B6513">
              <w:rPr>
                <w:webHidden/>
              </w:rPr>
              <w:fldChar w:fldCharType="end"/>
            </w:r>
          </w:hyperlink>
        </w:p>
        <w:p w:rsidR="001B6513" w:rsidRDefault="00431D37">
          <w:pPr>
            <w:pStyle w:val="TOC3"/>
            <w:rPr>
              <w:rFonts w:asciiTheme="minorHAnsi" w:eastAsiaTheme="minorEastAsia" w:hAnsiTheme="minorHAnsi"/>
              <w:lang w:eastAsia="en-AU"/>
            </w:rPr>
          </w:pPr>
          <w:hyperlink w:anchor="_Toc467748136" w:history="1">
            <w:r w:rsidR="001B6513" w:rsidRPr="00ED20D3">
              <w:rPr>
                <w:rStyle w:val="Hyperlink"/>
              </w:rPr>
              <w:t>3.3.1</w:t>
            </w:r>
            <w:r w:rsidR="001B6513">
              <w:rPr>
                <w:rFonts w:asciiTheme="minorHAnsi" w:eastAsiaTheme="minorEastAsia" w:hAnsiTheme="minorHAnsi"/>
                <w:lang w:eastAsia="en-AU"/>
              </w:rPr>
              <w:tab/>
            </w:r>
            <w:r w:rsidR="001B6513" w:rsidRPr="00ED20D3">
              <w:rPr>
                <w:rStyle w:val="Hyperlink"/>
              </w:rPr>
              <w:t>Rebidding</w:t>
            </w:r>
            <w:r w:rsidR="001B6513">
              <w:rPr>
                <w:webHidden/>
              </w:rPr>
              <w:tab/>
            </w:r>
            <w:r w:rsidR="001B6513">
              <w:rPr>
                <w:webHidden/>
              </w:rPr>
              <w:fldChar w:fldCharType="begin"/>
            </w:r>
            <w:r w:rsidR="001B6513">
              <w:rPr>
                <w:webHidden/>
              </w:rPr>
              <w:instrText xml:space="preserve"> PAGEREF _Toc467748136 \h </w:instrText>
            </w:r>
            <w:r w:rsidR="001B6513">
              <w:rPr>
                <w:webHidden/>
              </w:rPr>
            </w:r>
            <w:r w:rsidR="001B6513">
              <w:rPr>
                <w:webHidden/>
              </w:rPr>
              <w:fldChar w:fldCharType="separate"/>
            </w:r>
            <w:r w:rsidR="001B6513">
              <w:rPr>
                <w:webHidden/>
              </w:rPr>
              <w:t>8</w:t>
            </w:r>
            <w:r w:rsidR="001B6513">
              <w:rPr>
                <w:webHidden/>
              </w:rPr>
              <w:fldChar w:fldCharType="end"/>
            </w:r>
          </w:hyperlink>
        </w:p>
        <w:p w:rsidR="001B6513" w:rsidRDefault="00431D37">
          <w:pPr>
            <w:pStyle w:val="TOC2"/>
            <w:rPr>
              <w:rFonts w:asciiTheme="minorHAnsi" w:eastAsiaTheme="minorEastAsia" w:hAnsiTheme="minorHAnsi"/>
              <w:b w:val="0"/>
              <w:color w:val="auto"/>
              <w:sz w:val="22"/>
              <w:lang w:eastAsia="en-AU"/>
            </w:rPr>
          </w:pPr>
          <w:hyperlink w:anchor="_Toc467748137" w:history="1">
            <w:r w:rsidR="001B6513" w:rsidRPr="00ED20D3">
              <w:rPr>
                <w:rStyle w:val="Hyperlink"/>
              </w:rPr>
              <w:t>3.4</w:t>
            </w:r>
            <w:r w:rsidR="001B6513">
              <w:rPr>
                <w:rFonts w:asciiTheme="minorHAnsi" w:eastAsiaTheme="minorEastAsia" w:hAnsiTheme="minorHAnsi"/>
                <w:b w:val="0"/>
                <w:color w:val="auto"/>
                <w:sz w:val="22"/>
                <w:lang w:eastAsia="en-AU"/>
              </w:rPr>
              <w:tab/>
            </w:r>
            <w:r w:rsidR="001B6513" w:rsidRPr="00ED20D3">
              <w:rPr>
                <w:rStyle w:val="Hyperlink"/>
              </w:rPr>
              <w:t>The cumulative price threshold</w:t>
            </w:r>
            <w:r w:rsidR="001B6513">
              <w:rPr>
                <w:webHidden/>
              </w:rPr>
              <w:tab/>
            </w:r>
            <w:r w:rsidR="001B6513">
              <w:rPr>
                <w:webHidden/>
              </w:rPr>
              <w:fldChar w:fldCharType="begin"/>
            </w:r>
            <w:r w:rsidR="001B6513">
              <w:rPr>
                <w:webHidden/>
              </w:rPr>
              <w:instrText xml:space="preserve"> PAGEREF _Toc467748137 \h </w:instrText>
            </w:r>
            <w:r w:rsidR="001B6513">
              <w:rPr>
                <w:webHidden/>
              </w:rPr>
            </w:r>
            <w:r w:rsidR="001B6513">
              <w:rPr>
                <w:webHidden/>
              </w:rPr>
              <w:fldChar w:fldCharType="separate"/>
            </w:r>
            <w:r w:rsidR="001B6513">
              <w:rPr>
                <w:webHidden/>
              </w:rPr>
              <w:t>9</w:t>
            </w:r>
            <w:r w:rsidR="001B6513">
              <w:rPr>
                <w:webHidden/>
              </w:rPr>
              <w:fldChar w:fldCharType="end"/>
            </w:r>
          </w:hyperlink>
        </w:p>
        <w:p w:rsidR="001B6513" w:rsidRDefault="00431D37">
          <w:pPr>
            <w:pStyle w:val="TOC1"/>
            <w:rPr>
              <w:rFonts w:asciiTheme="minorHAnsi" w:eastAsiaTheme="minorEastAsia" w:hAnsiTheme="minorHAnsi"/>
              <w:b w:val="0"/>
              <w:color w:val="auto"/>
              <w:sz w:val="22"/>
              <w:lang w:val="en-AU" w:eastAsia="en-AU"/>
            </w:rPr>
          </w:pPr>
          <w:hyperlink w:anchor="_Toc467748138" w:history="1">
            <w:r w:rsidR="001B6513" w:rsidRPr="00ED20D3">
              <w:rPr>
                <w:rStyle w:val="Hyperlink"/>
              </w:rPr>
              <w:t>Appendix A</w:t>
            </w:r>
            <w:r w:rsidR="001B6513">
              <w:rPr>
                <w:rFonts w:asciiTheme="minorHAnsi" w:eastAsiaTheme="minorEastAsia" w:hAnsiTheme="minorHAnsi"/>
                <w:b w:val="0"/>
                <w:color w:val="auto"/>
                <w:sz w:val="22"/>
                <w:lang w:val="en-AU" w:eastAsia="en-AU"/>
              </w:rPr>
              <w:tab/>
            </w:r>
            <w:r w:rsidR="001B6513" w:rsidRPr="00ED20D3">
              <w:rPr>
                <w:rStyle w:val="Hyperlink"/>
              </w:rPr>
              <w:t>Explanation of FCAS</w:t>
            </w:r>
            <w:r w:rsidR="001B6513">
              <w:rPr>
                <w:webHidden/>
              </w:rPr>
              <w:tab/>
            </w:r>
            <w:r w:rsidR="001B6513">
              <w:rPr>
                <w:webHidden/>
              </w:rPr>
              <w:fldChar w:fldCharType="begin"/>
            </w:r>
            <w:r w:rsidR="001B6513">
              <w:rPr>
                <w:webHidden/>
              </w:rPr>
              <w:instrText xml:space="preserve"> PAGEREF _Toc467748138 \h </w:instrText>
            </w:r>
            <w:r w:rsidR="001B6513">
              <w:rPr>
                <w:webHidden/>
              </w:rPr>
            </w:r>
            <w:r w:rsidR="001B6513">
              <w:rPr>
                <w:webHidden/>
              </w:rPr>
              <w:fldChar w:fldCharType="separate"/>
            </w:r>
            <w:r w:rsidR="001B6513">
              <w:rPr>
                <w:webHidden/>
              </w:rPr>
              <w:t>11</w:t>
            </w:r>
            <w:r w:rsidR="001B6513">
              <w:rPr>
                <w:webHidden/>
              </w:rPr>
              <w:fldChar w:fldCharType="end"/>
            </w:r>
          </w:hyperlink>
        </w:p>
        <w:p w:rsidR="001B6513" w:rsidRDefault="00431D37">
          <w:pPr>
            <w:pStyle w:val="TOC3"/>
            <w:rPr>
              <w:rFonts w:asciiTheme="minorHAnsi" w:eastAsiaTheme="minorEastAsia" w:hAnsiTheme="minorHAnsi"/>
              <w:lang w:eastAsia="en-AU"/>
            </w:rPr>
          </w:pPr>
          <w:hyperlink w:anchor="_Toc467748139" w:history="1">
            <w:r w:rsidR="001B6513" w:rsidRPr="00ED20D3">
              <w:rPr>
                <w:rStyle w:val="Hyperlink"/>
                <w:lang w:eastAsia="en-AU"/>
              </w:rPr>
              <w:t>Frequency Control Ancillary Service settlement and who pays</w:t>
            </w:r>
            <w:r w:rsidR="001B6513">
              <w:rPr>
                <w:webHidden/>
              </w:rPr>
              <w:tab/>
            </w:r>
            <w:r w:rsidR="001B6513">
              <w:rPr>
                <w:webHidden/>
              </w:rPr>
              <w:fldChar w:fldCharType="begin"/>
            </w:r>
            <w:r w:rsidR="001B6513">
              <w:rPr>
                <w:webHidden/>
              </w:rPr>
              <w:instrText xml:space="preserve"> PAGEREF _Toc467748139 \h </w:instrText>
            </w:r>
            <w:r w:rsidR="001B6513">
              <w:rPr>
                <w:webHidden/>
              </w:rPr>
            </w:r>
            <w:r w:rsidR="001B6513">
              <w:rPr>
                <w:webHidden/>
              </w:rPr>
              <w:fldChar w:fldCharType="separate"/>
            </w:r>
            <w:r w:rsidR="001B6513">
              <w:rPr>
                <w:webHidden/>
              </w:rPr>
              <w:t>12</w:t>
            </w:r>
            <w:r w:rsidR="001B6513">
              <w:rPr>
                <w:webHidden/>
              </w:rPr>
              <w:fldChar w:fldCharType="end"/>
            </w:r>
          </w:hyperlink>
        </w:p>
        <w:p w:rsidR="001B6513" w:rsidRDefault="00431D37">
          <w:pPr>
            <w:pStyle w:val="TOC1"/>
            <w:rPr>
              <w:rFonts w:asciiTheme="minorHAnsi" w:eastAsiaTheme="minorEastAsia" w:hAnsiTheme="minorHAnsi"/>
              <w:b w:val="0"/>
              <w:color w:val="auto"/>
              <w:sz w:val="22"/>
              <w:lang w:val="en-AU" w:eastAsia="en-AU"/>
            </w:rPr>
          </w:pPr>
          <w:hyperlink w:anchor="_Toc467748140" w:history="1">
            <w:r w:rsidR="001B6513" w:rsidRPr="00ED20D3">
              <w:rPr>
                <w:rStyle w:val="Hyperlink"/>
              </w:rPr>
              <w:t>Appendix B Local Frequency Control Ancillary Services</w:t>
            </w:r>
            <w:r w:rsidR="001B6513">
              <w:rPr>
                <w:webHidden/>
              </w:rPr>
              <w:tab/>
            </w:r>
            <w:r w:rsidR="001B6513">
              <w:rPr>
                <w:webHidden/>
              </w:rPr>
              <w:fldChar w:fldCharType="begin"/>
            </w:r>
            <w:r w:rsidR="001B6513">
              <w:rPr>
                <w:webHidden/>
              </w:rPr>
              <w:instrText xml:space="preserve"> PAGEREF _Toc467748140 \h </w:instrText>
            </w:r>
            <w:r w:rsidR="001B6513">
              <w:rPr>
                <w:webHidden/>
              </w:rPr>
            </w:r>
            <w:r w:rsidR="001B6513">
              <w:rPr>
                <w:webHidden/>
              </w:rPr>
              <w:fldChar w:fldCharType="separate"/>
            </w:r>
            <w:r w:rsidR="001B6513">
              <w:rPr>
                <w:webHidden/>
              </w:rPr>
              <w:t>13</w:t>
            </w:r>
            <w:r w:rsidR="001B6513">
              <w:rPr>
                <w:webHidden/>
              </w:rPr>
              <w:fldChar w:fldCharType="end"/>
            </w:r>
          </w:hyperlink>
        </w:p>
        <w:p w:rsidR="001B6513" w:rsidRDefault="00431D37">
          <w:pPr>
            <w:pStyle w:val="TOC1"/>
            <w:rPr>
              <w:rFonts w:asciiTheme="minorHAnsi" w:eastAsiaTheme="minorEastAsia" w:hAnsiTheme="minorHAnsi"/>
              <w:b w:val="0"/>
              <w:color w:val="auto"/>
              <w:sz w:val="22"/>
              <w:lang w:val="en-AU" w:eastAsia="en-AU"/>
            </w:rPr>
          </w:pPr>
          <w:hyperlink w:anchor="_Toc467748141" w:history="1">
            <w:r w:rsidR="001B6513" w:rsidRPr="00ED20D3">
              <w:rPr>
                <w:rStyle w:val="Hyperlink"/>
              </w:rPr>
              <w:t>Appendix C</w:t>
            </w:r>
            <w:r w:rsidR="001B6513">
              <w:rPr>
                <w:rFonts w:asciiTheme="minorHAnsi" w:eastAsiaTheme="minorEastAsia" w:hAnsiTheme="minorHAnsi"/>
                <w:b w:val="0"/>
                <w:color w:val="auto"/>
                <w:sz w:val="22"/>
                <w:lang w:val="en-AU" w:eastAsia="en-AU"/>
              </w:rPr>
              <w:tab/>
            </w:r>
            <w:r w:rsidR="001B6513" w:rsidRPr="00ED20D3">
              <w:rPr>
                <w:rStyle w:val="Hyperlink"/>
              </w:rPr>
              <w:t>Significant Rebids</w:t>
            </w:r>
            <w:r w:rsidR="001B6513">
              <w:rPr>
                <w:webHidden/>
              </w:rPr>
              <w:tab/>
            </w:r>
            <w:r w:rsidR="001B6513">
              <w:rPr>
                <w:webHidden/>
              </w:rPr>
              <w:fldChar w:fldCharType="begin"/>
            </w:r>
            <w:r w:rsidR="001B6513">
              <w:rPr>
                <w:webHidden/>
              </w:rPr>
              <w:instrText xml:space="preserve"> PAGEREF _Toc467748141 \h </w:instrText>
            </w:r>
            <w:r w:rsidR="001B6513">
              <w:rPr>
                <w:webHidden/>
              </w:rPr>
            </w:r>
            <w:r w:rsidR="001B6513">
              <w:rPr>
                <w:webHidden/>
              </w:rPr>
              <w:fldChar w:fldCharType="separate"/>
            </w:r>
            <w:r w:rsidR="001B6513">
              <w:rPr>
                <w:webHidden/>
              </w:rPr>
              <w:t>14</w:t>
            </w:r>
            <w:r w:rsidR="001B6513">
              <w:rPr>
                <w:webHidden/>
              </w:rPr>
              <w:fldChar w:fldCharType="end"/>
            </w:r>
          </w:hyperlink>
        </w:p>
        <w:p w:rsidR="001B6513" w:rsidRDefault="00431D37">
          <w:pPr>
            <w:pStyle w:val="TOC1"/>
            <w:rPr>
              <w:rFonts w:asciiTheme="minorHAnsi" w:eastAsiaTheme="minorEastAsia" w:hAnsiTheme="minorHAnsi"/>
              <w:b w:val="0"/>
              <w:color w:val="auto"/>
              <w:sz w:val="22"/>
              <w:lang w:val="en-AU" w:eastAsia="en-AU"/>
            </w:rPr>
          </w:pPr>
          <w:hyperlink w:anchor="_Toc467748142" w:history="1">
            <w:r w:rsidR="001B6513" w:rsidRPr="00ED20D3">
              <w:rPr>
                <w:rStyle w:val="Hyperlink"/>
              </w:rPr>
              <w:t>Appendix D</w:t>
            </w:r>
            <w:r w:rsidR="001B6513">
              <w:rPr>
                <w:rFonts w:asciiTheme="minorHAnsi" w:eastAsiaTheme="minorEastAsia" w:hAnsiTheme="minorHAnsi"/>
                <w:b w:val="0"/>
                <w:color w:val="auto"/>
                <w:sz w:val="22"/>
                <w:lang w:val="en-AU" w:eastAsia="en-AU"/>
              </w:rPr>
              <w:tab/>
            </w:r>
            <w:r w:rsidR="001B6513" w:rsidRPr="00ED20D3">
              <w:rPr>
                <w:rStyle w:val="Hyperlink"/>
              </w:rPr>
              <w:t>Closing bids</w:t>
            </w:r>
            <w:r w:rsidR="001B6513">
              <w:rPr>
                <w:webHidden/>
              </w:rPr>
              <w:tab/>
            </w:r>
            <w:r w:rsidR="001B6513">
              <w:rPr>
                <w:webHidden/>
              </w:rPr>
              <w:fldChar w:fldCharType="begin"/>
            </w:r>
            <w:r w:rsidR="001B6513">
              <w:rPr>
                <w:webHidden/>
              </w:rPr>
              <w:instrText xml:space="preserve"> PAGEREF _Toc467748142 \h </w:instrText>
            </w:r>
            <w:r w:rsidR="001B6513">
              <w:rPr>
                <w:webHidden/>
              </w:rPr>
            </w:r>
            <w:r w:rsidR="001B6513">
              <w:rPr>
                <w:webHidden/>
              </w:rPr>
              <w:fldChar w:fldCharType="separate"/>
            </w:r>
            <w:r w:rsidR="001B6513">
              <w:rPr>
                <w:webHidden/>
              </w:rPr>
              <w:t>15</w:t>
            </w:r>
            <w:r w:rsidR="001B6513">
              <w:rPr>
                <w:webHidden/>
              </w:rPr>
              <w:fldChar w:fldCharType="end"/>
            </w:r>
          </w:hyperlink>
        </w:p>
        <w:p w:rsidR="001B6513" w:rsidRDefault="00431D37">
          <w:pPr>
            <w:pStyle w:val="TOC1"/>
            <w:rPr>
              <w:rFonts w:asciiTheme="minorHAnsi" w:eastAsiaTheme="minorEastAsia" w:hAnsiTheme="minorHAnsi"/>
              <w:b w:val="0"/>
              <w:color w:val="auto"/>
              <w:sz w:val="22"/>
              <w:lang w:val="en-AU" w:eastAsia="en-AU"/>
            </w:rPr>
          </w:pPr>
          <w:hyperlink w:anchor="_Toc467748143" w:history="1">
            <w:r w:rsidR="001B6513" w:rsidRPr="00ED20D3">
              <w:rPr>
                <w:rStyle w:val="Hyperlink"/>
              </w:rPr>
              <w:t>Appendix E</w:t>
            </w:r>
            <w:r w:rsidR="001B6513">
              <w:rPr>
                <w:rFonts w:asciiTheme="minorHAnsi" w:eastAsiaTheme="minorEastAsia" w:hAnsiTheme="minorHAnsi"/>
                <w:b w:val="0"/>
                <w:color w:val="auto"/>
                <w:sz w:val="22"/>
                <w:lang w:val="en-AU" w:eastAsia="en-AU"/>
              </w:rPr>
              <w:tab/>
            </w:r>
            <w:r w:rsidR="001B6513" w:rsidRPr="00ED20D3">
              <w:rPr>
                <w:rStyle w:val="Hyperlink"/>
              </w:rPr>
              <w:t>Relevant Market Notices</w:t>
            </w:r>
            <w:r w:rsidR="001B6513">
              <w:rPr>
                <w:webHidden/>
              </w:rPr>
              <w:tab/>
            </w:r>
            <w:r w:rsidR="001B6513">
              <w:rPr>
                <w:webHidden/>
              </w:rPr>
              <w:fldChar w:fldCharType="begin"/>
            </w:r>
            <w:r w:rsidR="001B6513">
              <w:rPr>
                <w:webHidden/>
              </w:rPr>
              <w:instrText xml:space="preserve"> PAGEREF _Toc467748143 \h </w:instrText>
            </w:r>
            <w:r w:rsidR="001B6513">
              <w:rPr>
                <w:webHidden/>
              </w:rPr>
            </w:r>
            <w:r w:rsidR="001B6513">
              <w:rPr>
                <w:webHidden/>
              </w:rPr>
              <w:fldChar w:fldCharType="separate"/>
            </w:r>
            <w:r w:rsidR="001B6513">
              <w:rPr>
                <w:webHidden/>
              </w:rPr>
              <w:t>22</w:t>
            </w:r>
            <w:r w:rsidR="001B6513">
              <w:rPr>
                <w:webHidden/>
              </w:rPr>
              <w:fldChar w:fldCharType="end"/>
            </w:r>
          </w:hyperlink>
        </w:p>
        <w:p w:rsidR="001B6513" w:rsidRDefault="00431D37">
          <w:pPr>
            <w:pStyle w:val="TOC1"/>
            <w:rPr>
              <w:rFonts w:asciiTheme="minorHAnsi" w:eastAsiaTheme="minorEastAsia" w:hAnsiTheme="minorHAnsi"/>
              <w:b w:val="0"/>
              <w:color w:val="auto"/>
              <w:sz w:val="22"/>
              <w:lang w:val="en-AU" w:eastAsia="en-AU"/>
            </w:rPr>
          </w:pPr>
          <w:hyperlink w:anchor="_Toc467748144" w:history="1">
            <w:r w:rsidR="001B6513" w:rsidRPr="00ED20D3">
              <w:rPr>
                <w:rStyle w:val="Hyperlink"/>
              </w:rPr>
              <w:t>Appendix F</w:t>
            </w:r>
            <w:r w:rsidR="001B6513">
              <w:rPr>
                <w:rFonts w:asciiTheme="minorHAnsi" w:eastAsiaTheme="minorEastAsia" w:hAnsiTheme="minorHAnsi"/>
                <w:b w:val="0"/>
                <w:color w:val="auto"/>
                <w:sz w:val="22"/>
                <w:lang w:val="en-AU" w:eastAsia="en-AU"/>
              </w:rPr>
              <w:tab/>
            </w:r>
            <w:r w:rsidR="001B6513" w:rsidRPr="00ED20D3">
              <w:rPr>
                <w:rStyle w:val="Hyperlink"/>
              </w:rPr>
              <w:t>Price setter</w:t>
            </w:r>
            <w:r w:rsidR="001B6513">
              <w:rPr>
                <w:webHidden/>
              </w:rPr>
              <w:tab/>
            </w:r>
            <w:r w:rsidR="001B6513">
              <w:rPr>
                <w:webHidden/>
              </w:rPr>
              <w:fldChar w:fldCharType="begin"/>
            </w:r>
            <w:r w:rsidR="001B6513">
              <w:rPr>
                <w:webHidden/>
              </w:rPr>
              <w:instrText xml:space="preserve"> PAGEREF _Toc467748144 \h </w:instrText>
            </w:r>
            <w:r w:rsidR="001B6513">
              <w:rPr>
                <w:webHidden/>
              </w:rPr>
            </w:r>
            <w:r w:rsidR="001B6513">
              <w:rPr>
                <w:webHidden/>
              </w:rPr>
              <w:fldChar w:fldCharType="separate"/>
            </w:r>
            <w:r w:rsidR="001B6513">
              <w:rPr>
                <w:webHidden/>
              </w:rPr>
              <w:t>23</w:t>
            </w:r>
            <w:r w:rsidR="001B6513">
              <w:rPr>
                <w:webHidden/>
              </w:rPr>
              <w:fldChar w:fldCharType="end"/>
            </w:r>
          </w:hyperlink>
        </w:p>
        <w:p w:rsidR="00C7068C" w:rsidRDefault="00C7068C" w:rsidP="00C7068C">
          <w:pPr>
            <w:sectPr w:rsidR="00C7068C" w:rsidSect="00581454">
              <w:footerReference w:type="default" r:id="rId12"/>
              <w:pgSz w:w="11906" w:h="16838" w:code="9"/>
              <w:pgMar w:top="1440" w:right="1700" w:bottom="1582" w:left="1729" w:header="720" w:footer="1009" w:gutter="0"/>
              <w:pgNumType w:fmt="lowerRoman"/>
              <w:cols w:space="720"/>
              <w:docGrid w:linePitch="326"/>
            </w:sectPr>
          </w:pPr>
          <w:r>
            <w:fldChar w:fldCharType="end"/>
          </w:r>
          <w:bookmarkStart w:id="1" w:name="_Toc213047617"/>
        </w:p>
        <w:p w:rsidR="00C7068C" w:rsidRDefault="00813A54" w:rsidP="00C7068C">
          <w:pPr>
            <w:pStyle w:val="Heading1"/>
          </w:pPr>
          <w:bookmarkStart w:id="2" w:name="_Toc467748130"/>
          <w:bookmarkEnd w:id="1"/>
          <w:r>
            <w:lastRenderedPageBreak/>
            <w:t>Introduction</w:t>
          </w:r>
          <w:bookmarkEnd w:id="2"/>
        </w:p>
        <w:p w:rsidR="00393A49" w:rsidRDefault="00813A54" w:rsidP="003A6EF3">
          <w:pPr>
            <w:pStyle w:val="AERbody"/>
          </w:pPr>
          <w:r>
            <w:t>T</w:t>
          </w:r>
          <w:r w:rsidR="00393A49">
            <w:t xml:space="preserve">he AER is required </w:t>
          </w:r>
          <w:r w:rsidR="00405DEA">
            <w:t xml:space="preserve">to </w:t>
          </w:r>
          <w:r w:rsidR="00A50632">
            <w:t>m</w:t>
          </w:r>
          <w:r w:rsidR="00405DEA">
            <w:t>onitor</w:t>
          </w:r>
          <w:r w:rsidR="00A50632" w:rsidRPr="00A50632">
            <w:t xml:space="preserve"> significant variation</w:t>
          </w:r>
          <w:r w:rsidR="00B4026C">
            <w:t>s</w:t>
          </w:r>
          <w:r w:rsidR="00A50632" w:rsidRPr="00A50632">
            <w:t xml:space="preserve"> between forecast and actual prices </w:t>
          </w:r>
          <w:r w:rsidR="00405DEA">
            <w:t xml:space="preserve">and </w:t>
          </w:r>
          <w:r w:rsidR="00393A49">
            <w:t>publish a report where:</w:t>
          </w:r>
        </w:p>
        <w:p w:rsidR="00393A49" w:rsidRDefault="00393A49" w:rsidP="00393A49">
          <w:pPr>
            <w:pStyle w:val="Bulletpoint"/>
          </w:pPr>
          <w:r>
            <w:t>prices for a market ancillary service over a period significantly exceed the relevant spot price for energy; and</w:t>
          </w:r>
        </w:p>
        <w:p w:rsidR="00393A49" w:rsidRDefault="00393A49" w:rsidP="00393A49">
          <w:pPr>
            <w:pStyle w:val="Bulletpoint"/>
          </w:pPr>
          <w:proofErr w:type="gramStart"/>
          <w:r>
            <w:t>prices</w:t>
          </w:r>
          <w:proofErr w:type="gramEnd"/>
          <w:r>
            <w:t xml:space="preserve"> for a market ancillary service exceed $5000 for a number of trading intervals within that period.</w:t>
          </w:r>
          <w:r w:rsidR="00D816CB">
            <w:t xml:space="preserve"> </w:t>
          </w:r>
        </w:p>
        <w:p w:rsidR="00393A49" w:rsidRDefault="00813A54" w:rsidP="003A6EF3">
          <w:pPr>
            <w:pStyle w:val="AERbody"/>
          </w:pPr>
          <w:r>
            <w:t>In accordance with the clause 3.13.7(e) of the National Electricity Rules, t</w:t>
          </w:r>
          <w:r w:rsidR="00393A49">
            <w:t xml:space="preserve">he report must: </w:t>
          </w:r>
        </w:p>
        <w:p w:rsidR="00393A49" w:rsidRDefault="00393A49" w:rsidP="00393A49">
          <w:pPr>
            <w:pStyle w:val="Bulletpoint"/>
          </w:pPr>
          <w:r>
            <w:t>describe the significant factors that contributed to the ancillary service prices exceeding $5000/MW</w:t>
          </w:r>
          <w:r w:rsidR="00372443">
            <w:t>h</w:t>
          </w:r>
          <w:r>
            <w:t xml:space="preserve">; </w:t>
          </w:r>
        </w:p>
        <w:p w:rsidR="00393A49" w:rsidRDefault="00393A49" w:rsidP="00393A49">
          <w:pPr>
            <w:pStyle w:val="Bulletpoint"/>
          </w:pPr>
          <w:r>
            <w:t xml:space="preserve">identify any linkages between spot prices in the energy market and ancillary service prices contributing to the occurrence; and </w:t>
          </w:r>
        </w:p>
        <w:p w:rsidR="00652C6E" w:rsidRDefault="00393A49" w:rsidP="00652C6E">
          <w:pPr>
            <w:pStyle w:val="Bulletpoint"/>
          </w:pPr>
          <w:proofErr w:type="gramStart"/>
          <w:r>
            <w:t>assess</w:t>
          </w:r>
          <w:proofErr w:type="gramEnd"/>
          <w:r>
            <w:t xml:space="preserve"> whether rebidding pursuant to clause 3.8.22 contributed to prices exceeding $5000/MW</w:t>
          </w:r>
          <w:r w:rsidR="00372443">
            <w:t>h</w:t>
          </w:r>
          <w:r>
            <w:t xml:space="preserve">. </w:t>
          </w:r>
        </w:p>
        <w:p w:rsidR="00652C6E" w:rsidRDefault="00C821CE" w:rsidP="003A6EF3">
          <w:pPr>
            <w:pStyle w:val="AERbody"/>
          </w:pPr>
          <w:r>
            <w:t>O</w:t>
          </w:r>
          <w:r w:rsidR="00652C6E">
            <w:t>n 11</w:t>
          </w:r>
          <w:r w:rsidR="00B4026C">
            <w:t> </w:t>
          </w:r>
          <w:r w:rsidR="00A019E6">
            <w:t>August</w:t>
          </w:r>
          <w:r w:rsidR="00652C6E">
            <w:t xml:space="preserve"> 201</w:t>
          </w:r>
          <w:r w:rsidR="00A019E6">
            <w:t>6</w:t>
          </w:r>
          <w:r w:rsidR="00652C6E">
            <w:t>,</w:t>
          </w:r>
          <w:r w:rsidR="00B4026C">
            <w:t> </w:t>
          </w:r>
          <w:r w:rsidR="00813A54">
            <w:t xml:space="preserve">the price of two </w:t>
          </w:r>
          <w:r>
            <w:t>F</w:t>
          </w:r>
          <w:r w:rsidR="00BB7F97">
            <w:t xml:space="preserve">requency </w:t>
          </w:r>
          <w:r>
            <w:t>C</w:t>
          </w:r>
          <w:r w:rsidR="00BB7F97">
            <w:t xml:space="preserve">ontrol </w:t>
          </w:r>
          <w:r>
            <w:t>A</w:t>
          </w:r>
          <w:r w:rsidR="00BB7F97">
            <w:t xml:space="preserve">ncillary </w:t>
          </w:r>
          <w:r>
            <w:t>S</w:t>
          </w:r>
          <w:r w:rsidR="00BB7F97">
            <w:t>ervices (FCAS)</w:t>
          </w:r>
          <w:r>
            <w:t xml:space="preserve"> </w:t>
          </w:r>
          <w:r w:rsidR="00652C6E">
            <w:t>in South Australia exceeded $5000/MW</w:t>
          </w:r>
          <w:r w:rsidR="00200F0A">
            <w:t xml:space="preserve"> for</w:t>
          </w:r>
          <w:r w:rsidR="005171A9">
            <w:t xml:space="preserve"> </w:t>
          </w:r>
          <w:r w:rsidR="00813A54">
            <w:t>an extended period</w:t>
          </w:r>
          <w:r w:rsidR="00B4026C">
            <w:t>,</w:t>
          </w:r>
          <w:r w:rsidR="00652C6E">
            <w:t xml:space="preserve"> </w:t>
          </w:r>
          <w:r w:rsidR="00BB7F97">
            <w:t xml:space="preserve">significantly </w:t>
          </w:r>
          <w:r>
            <w:t xml:space="preserve">in excess of </w:t>
          </w:r>
          <w:r w:rsidR="00B4026C">
            <w:t xml:space="preserve">energy </w:t>
          </w:r>
          <w:r>
            <w:t xml:space="preserve">spot prices. This </w:t>
          </w:r>
          <w:r w:rsidR="001841B5">
            <w:t xml:space="preserve">report </w:t>
          </w:r>
          <w:r w:rsidR="00405DEA">
            <w:t>presents</w:t>
          </w:r>
          <w:r w:rsidR="001841B5">
            <w:t xml:space="preserve"> our analysis of the events in accordance with this obligation</w:t>
          </w:r>
          <w:r w:rsidR="00652C6E">
            <w:t>.</w:t>
          </w:r>
          <w:r w:rsidR="001841B5" w:rsidDel="001841B5">
            <w:t xml:space="preserve"> </w:t>
          </w:r>
        </w:p>
        <w:p w:rsidR="00F10069" w:rsidRDefault="00953E25" w:rsidP="004E6FA8">
          <w:pPr>
            <w:pStyle w:val="Heading1"/>
          </w:pPr>
          <w:bookmarkStart w:id="3" w:name="_Toc467748131"/>
          <w:r>
            <w:lastRenderedPageBreak/>
            <w:t>S</w:t>
          </w:r>
          <w:r w:rsidR="00F10069">
            <w:t>ummary</w:t>
          </w:r>
          <w:bookmarkEnd w:id="3"/>
        </w:p>
        <w:p w:rsidR="00AC5B65" w:rsidRDefault="004333B7" w:rsidP="00AC5B65">
          <w:pPr>
            <w:pStyle w:val="AERbody"/>
          </w:pPr>
          <w:r>
            <w:t>On 11 August t</w:t>
          </w:r>
          <w:r w:rsidRPr="00FB7A65">
            <w:t>he local price for both lower and raise</w:t>
          </w:r>
          <w:r>
            <w:t xml:space="preserve"> regulation</w:t>
          </w:r>
          <w:r w:rsidRPr="00FB7A65">
            <w:t xml:space="preserve"> frequency control regulation services </w:t>
          </w:r>
          <w:r>
            <w:t>(FCAS)</w:t>
          </w:r>
          <w:r w:rsidR="00E86251">
            <w:rPr>
              <w:rStyle w:val="FootnoteReference"/>
            </w:rPr>
            <w:footnoteReference w:id="1"/>
          </w:r>
          <w:r>
            <w:t xml:space="preserve"> </w:t>
          </w:r>
          <w:r w:rsidRPr="00FB7A65">
            <w:t>in South Australia exceeded $5000/MW</w:t>
          </w:r>
          <w:r w:rsidR="00D80830">
            <w:t xml:space="preserve"> for over 90</w:t>
          </w:r>
          <w:r w:rsidR="005967CC">
            <w:t> </w:t>
          </w:r>
          <w:r w:rsidR="00D80830">
            <w:t>dispatch intervals</w:t>
          </w:r>
          <w:r>
            <w:t xml:space="preserve">. </w:t>
          </w:r>
          <w:r w:rsidR="00AC5B65">
            <w:t xml:space="preserve">Raise and lower regulation services are </w:t>
          </w:r>
          <w:r w:rsidR="00ED4F25">
            <w:t xml:space="preserve">designed </w:t>
          </w:r>
          <w:r w:rsidR="00AC5B65">
            <w:t xml:space="preserve">to </w:t>
          </w:r>
          <w:r w:rsidR="00ED4F25">
            <w:t xml:space="preserve">maintain </w:t>
          </w:r>
          <w:r w:rsidR="00AC5B65">
            <w:t xml:space="preserve">the frequency of the power system </w:t>
          </w:r>
          <w:r w:rsidR="00ED4F25">
            <w:t xml:space="preserve">constant (at 50 Hertz) </w:t>
          </w:r>
          <w:r w:rsidR="00473253">
            <w:t>when</w:t>
          </w:r>
          <w:r w:rsidR="00AC5B65">
            <w:t xml:space="preserve"> small changes of demand and supply occur. </w:t>
          </w:r>
          <w:r>
            <w:t xml:space="preserve">The combined cost of </w:t>
          </w:r>
          <w:r w:rsidR="00AC5B65">
            <w:t xml:space="preserve">regulation </w:t>
          </w:r>
          <w:r>
            <w:t>services on 11 August was in excess of $6.6 million – these costs are borne by generators and consumers in South Australia.</w:t>
          </w:r>
          <w:r w:rsidR="00AC5B65" w:rsidRPr="00AC5B65">
            <w:t xml:space="preserve"> </w:t>
          </w:r>
          <w:r w:rsidR="007E1D15">
            <w:t>On the mainland</w:t>
          </w:r>
          <w:r w:rsidR="00DB6425">
            <w:t>,</w:t>
          </w:r>
          <w:r w:rsidR="007E1D15">
            <w:t xml:space="preserve"> FCAS costs are typically around $</w:t>
          </w:r>
          <w:r w:rsidR="006D5E40">
            <w:t>200 000</w:t>
          </w:r>
          <w:r w:rsidR="007E1D15">
            <w:t xml:space="preserve"> per day</w:t>
          </w:r>
          <w:r w:rsidR="002E1902">
            <w:rPr>
              <w:rStyle w:val="FootnoteReference"/>
            </w:rPr>
            <w:footnoteReference w:id="2"/>
          </w:r>
          <w:r w:rsidR="007E1D15">
            <w:t xml:space="preserve">.  </w:t>
          </w:r>
        </w:p>
        <w:p w:rsidR="004333B7" w:rsidRDefault="00D80830" w:rsidP="00F10069">
          <w:r>
            <w:t xml:space="preserve">The </w:t>
          </w:r>
          <w:r w:rsidR="005967CC">
            <w:t>dominant</w:t>
          </w:r>
          <w:r>
            <w:t xml:space="preserve"> factors that led to these high prices </w:t>
          </w:r>
          <w:r w:rsidR="005967CC">
            <w:t>were</w:t>
          </w:r>
          <w:r>
            <w:t>:</w:t>
          </w:r>
        </w:p>
        <w:p w:rsidR="00D80830" w:rsidRDefault="00D80830" w:rsidP="005967CC">
          <w:pPr>
            <w:pStyle w:val="Bulletpoint"/>
          </w:pPr>
          <w:r>
            <w:t>The planned network outage in Victoria from 10 to 12 August. This outage introduced a</w:t>
          </w:r>
          <w:r w:rsidR="005967CC">
            <w:t xml:space="preserve"> credible</w:t>
          </w:r>
          <w:r>
            <w:t xml:space="preserve"> risk of islanding South Australia from the N</w:t>
          </w:r>
          <w:r w:rsidR="00163D9B">
            <w:t>ational Electricity Market (N</w:t>
          </w:r>
          <w:r>
            <w:t>EM</w:t>
          </w:r>
          <w:r w:rsidR="00163D9B">
            <w:t>)</w:t>
          </w:r>
          <w:r>
            <w:t xml:space="preserve">. When this occurs </w:t>
          </w:r>
          <w:r w:rsidR="00163D9B">
            <w:t>the Australian Energy Market Operator (</w:t>
          </w:r>
          <w:r>
            <w:t>AEMO</w:t>
          </w:r>
          <w:r w:rsidR="00163D9B">
            <w:t>)</w:t>
          </w:r>
          <w:r>
            <w:t xml:space="preserve"> requires South Australia to locally source 35 MW of raise and lower regulation service to mitigate this risk.</w:t>
          </w:r>
          <w:r w:rsidR="00963258">
            <w:t xml:space="preserve"> See Appendix B for a description of </w:t>
          </w:r>
          <w:r w:rsidR="006B1C05">
            <w:t xml:space="preserve">the </w:t>
          </w:r>
          <w:r w:rsidR="00963258">
            <w:t>local regulation requirement.</w:t>
          </w:r>
        </w:p>
        <w:p w:rsidR="0052118A" w:rsidRDefault="00215FCA" w:rsidP="005967CC">
          <w:pPr>
            <w:pStyle w:val="Bulletpoint"/>
          </w:pPr>
          <w:r>
            <w:t>The o</w:t>
          </w:r>
          <w:r w:rsidR="0052118A">
            <w:t>ffer</w:t>
          </w:r>
          <w:r>
            <w:t>s</w:t>
          </w:r>
          <w:r w:rsidR="0052118A">
            <w:t xml:space="preserve"> </w:t>
          </w:r>
          <w:r>
            <w:t xml:space="preserve">by generators in South Australia for local regulation services: </w:t>
          </w:r>
        </w:p>
        <w:p w:rsidR="0052118A" w:rsidRDefault="00D81764" w:rsidP="00DA1B71">
          <w:pPr>
            <w:pStyle w:val="Bullet2"/>
          </w:pPr>
          <w:r>
            <w:t xml:space="preserve">There </w:t>
          </w:r>
          <w:r w:rsidR="00C0727B">
            <w:t>were</w:t>
          </w:r>
          <w:r>
            <w:t xml:space="preserve"> three </w:t>
          </w:r>
          <w:r w:rsidR="00C0727B">
            <w:t xml:space="preserve">power stations </w:t>
          </w:r>
          <w:r>
            <w:t>in South Australia that c</w:t>
          </w:r>
          <w:r w:rsidR="00491319">
            <w:t>ould</w:t>
          </w:r>
          <w:r>
            <w:t xml:space="preserve"> provide </w:t>
          </w:r>
          <w:r w:rsidR="00DA1B71">
            <w:t>more than 350 </w:t>
          </w:r>
          <w:r>
            <w:t xml:space="preserve">MW of local regulation services. </w:t>
          </w:r>
          <w:r w:rsidR="0052118A">
            <w:t>Early f</w:t>
          </w:r>
          <w:r w:rsidR="0052118A" w:rsidRPr="003741CE">
            <w:t>orecasts indicated there was a minimum of 39 MW of each service offered to the market priced below $500/MW, sufficient to cover the 35 MW requirements. The remaining capacity (up to 300 MW) was priced above $10 000/MW.</w:t>
          </w:r>
        </w:p>
        <w:p w:rsidR="007C781A" w:rsidRDefault="00AC5B65" w:rsidP="00AC5B65">
          <w:pPr>
            <w:pStyle w:val="Bullet2"/>
          </w:pPr>
          <w:r>
            <w:t xml:space="preserve">Rebidding of </w:t>
          </w:r>
          <w:r w:rsidR="005967CC">
            <w:t xml:space="preserve">5 MW </w:t>
          </w:r>
          <w:r>
            <w:t xml:space="preserve">of capacity </w:t>
          </w:r>
          <w:r w:rsidR="00DA1B71">
            <w:t xml:space="preserve">by Origin Energy </w:t>
          </w:r>
          <w:r>
            <w:t>in</w:t>
          </w:r>
          <w:r w:rsidR="005967CC">
            <w:t xml:space="preserve"> </w:t>
          </w:r>
          <w:r>
            <w:t xml:space="preserve">both </w:t>
          </w:r>
          <w:r w:rsidR="005967CC">
            <w:t>regulation services into high price bands</w:t>
          </w:r>
          <w:r w:rsidR="00DA1B71">
            <w:t xml:space="preserve">, leaving </w:t>
          </w:r>
          <w:r w:rsidR="007C781A">
            <w:t xml:space="preserve">only 34 MW (below the 35 MW local </w:t>
          </w:r>
          <w:proofErr w:type="gramStart"/>
          <w:r w:rsidR="007C781A">
            <w:t>requirement</w:t>
          </w:r>
          <w:proofErr w:type="gramEnd"/>
          <w:r w:rsidR="007C781A">
            <w:t>) of both services at low prices.</w:t>
          </w:r>
        </w:p>
        <w:p w:rsidR="00795C03" w:rsidRDefault="00D81764" w:rsidP="00EA51EA">
          <w:pPr>
            <w:pStyle w:val="AERbody"/>
          </w:pPr>
          <w:r>
            <w:rPr>
              <w:rStyle w:val="AERbodyChar"/>
            </w:rPr>
            <w:t>While</w:t>
          </w:r>
          <w:r w:rsidR="007E1D15">
            <w:rPr>
              <w:rStyle w:val="AERbodyChar"/>
            </w:rPr>
            <w:t xml:space="preserve"> the majority of</w:t>
          </w:r>
          <w:r>
            <w:rPr>
              <w:rStyle w:val="AERbodyChar"/>
            </w:rPr>
            <w:t xml:space="preserve"> early forecasts indicated that </w:t>
          </w:r>
          <w:r>
            <w:t>prices would not exceed $100/MW</w:t>
          </w:r>
          <w:r w:rsidR="007E1D15">
            <w:t>,</w:t>
          </w:r>
          <w:r>
            <w:t xml:space="preserve"> </w:t>
          </w:r>
          <w:r w:rsidR="007E1D15">
            <w:t>a</w:t>
          </w:r>
          <w:r>
            <w:rPr>
              <w:rStyle w:val="AERbodyChar"/>
            </w:rPr>
            <w:t xml:space="preserve">ctual </w:t>
          </w:r>
          <w:r w:rsidR="00795C03" w:rsidRPr="00EA51EA">
            <w:rPr>
              <w:rStyle w:val="AERbodyChar"/>
            </w:rPr>
            <w:t>prices for lower and</w:t>
          </w:r>
          <w:r w:rsidR="00795C03">
            <w:t xml:space="preserve"> raise regulation services </w:t>
          </w:r>
          <w:r w:rsidR="00E3436A">
            <w:t>w</w:t>
          </w:r>
          <w:r w:rsidR="00AB5132">
            <w:t>ere around $11</w:t>
          </w:r>
          <w:r w:rsidR="007E1D15">
            <w:t> </w:t>
          </w:r>
          <w:r>
            <w:t xml:space="preserve">000/MW </w:t>
          </w:r>
          <w:r w:rsidR="00795C03">
            <w:t xml:space="preserve">for </w:t>
          </w:r>
          <w:r w:rsidR="00795C03" w:rsidRPr="00FB7A65">
            <w:t>107 and 9</w:t>
          </w:r>
          <w:r w:rsidR="00400AA6">
            <w:t>5</w:t>
          </w:r>
          <w:r w:rsidR="00795C03" w:rsidRPr="00FB7A65">
            <w:t xml:space="preserve"> dispatch</w:t>
          </w:r>
          <w:r w:rsidR="00795C03">
            <w:t xml:space="preserve"> intervals respectively</w:t>
          </w:r>
          <w:r>
            <w:t>, exceeding the AER’s $5000/MW reporting threshold</w:t>
          </w:r>
          <w:r w:rsidR="00795C03">
            <w:t>.</w:t>
          </w:r>
        </w:p>
        <w:p w:rsidR="00795C03" w:rsidRDefault="00795C03" w:rsidP="003A6EF3">
          <w:pPr>
            <w:pStyle w:val="AERbody"/>
          </w:pPr>
          <w:r>
            <w:t>These sustained high prices caused the cumulative price threshold (CPT)</w:t>
          </w:r>
          <w:r w:rsidR="00D81764">
            <w:rPr>
              <w:rStyle w:val="FootnoteReference"/>
            </w:rPr>
            <w:footnoteReference w:id="3"/>
          </w:r>
          <w:r>
            <w:t xml:space="preserve"> to be breached</w:t>
          </w:r>
          <w:r w:rsidR="00400AA6">
            <w:t xml:space="preserve"> at 7.25 pm</w:t>
          </w:r>
          <w:r>
            <w:t xml:space="preserve">, triggering an administered price period. AEMO </w:t>
          </w:r>
          <w:r w:rsidR="00B077AE">
            <w:t xml:space="preserve">then </w:t>
          </w:r>
          <w:r>
            <w:t>applied the administered price cap of $300/MW</w:t>
          </w:r>
          <w:r w:rsidR="00400AA6">
            <w:t>, which</w:t>
          </w:r>
          <w:r>
            <w:t xml:space="preserve"> remained in place until 18 August.</w:t>
          </w:r>
        </w:p>
        <w:p w:rsidR="00795C03" w:rsidRDefault="00AC5B65" w:rsidP="003A6EF3">
          <w:pPr>
            <w:pStyle w:val="AERbody"/>
          </w:pPr>
          <w:r>
            <w:t xml:space="preserve">Over the three days of the network outage, while local regulation requirement of 35 MW was in place, the </w:t>
          </w:r>
          <w:r w:rsidR="00B077AE">
            <w:t xml:space="preserve">total </w:t>
          </w:r>
          <w:r w:rsidR="00795C03">
            <w:t>cost of these services</w:t>
          </w:r>
          <w:r w:rsidR="00B077AE">
            <w:t>,</w:t>
          </w:r>
          <w:r w:rsidR="00795C03">
            <w:t xml:space="preserve"> was around $7.2 million. </w:t>
          </w:r>
          <w:r w:rsidR="007E1D15">
            <w:t>The 35 MW local regulation requirement imposed by AEMO has cost Sou</w:t>
          </w:r>
          <w:r w:rsidR="00F9060A">
            <w:t>th Australia</w:t>
          </w:r>
          <w:r w:rsidR="00AF28A6">
            <w:t>n</w:t>
          </w:r>
          <w:r w:rsidR="00F9060A">
            <w:t xml:space="preserve"> </w:t>
          </w:r>
          <w:r w:rsidR="00AF28A6">
            <w:t>generators</w:t>
          </w:r>
          <w:r w:rsidR="008D1606">
            <w:t xml:space="preserve"> and </w:t>
          </w:r>
          <w:r w:rsidR="00F9060A">
            <w:t>consumers around $35</w:t>
          </w:r>
          <w:r w:rsidR="007E1D15">
            <w:t xml:space="preserve"> million since the constraint was invoked in October 2015.</w:t>
          </w:r>
        </w:p>
        <w:p w:rsidR="00010AF6" w:rsidRDefault="00010AF6">
          <w:pPr>
            <w:pStyle w:val="Heading1"/>
          </w:pPr>
          <w:bookmarkStart w:id="4" w:name="_Toc467748132"/>
          <w:r>
            <w:lastRenderedPageBreak/>
            <w:t>Analysis</w:t>
          </w:r>
          <w:bookmarkEnd w:id="4"/>
        </w:p>
        <w:p w:rsidR="00010AF6" w:rsidRPr="00226CB6" w:rsidRDefault="00D600FC" w:rsidP="003A6EF3">
          <w:pPr>
            <w:pStyle w:val="AERbody"/>
          </w:pPr>
          <w:r>
            <w:t xml:space="preserve">On 11 August, in response to a planned network outage in Victoria AEMO invoked local regulation FCAS requirements in South Australia. </w:t>
          </w:r>
          <w:r w:rsidR="005F0A20">
            <w:t xml:space="preserve">Prices for these services </w:t>
          </w:r>
          <w:r w:rsidR="006F5F0B" w:rsidRPr="00FB7A65">
            <w:t>exceeded $</w:t>
          </w:r>
          <w:r w:rsidR="006F5F0B">
            <w:t>10 </w:t>
          </w:r>
          <w:r w:rsidR="006F5F0B" w:rsidRPr="00FB7A65">
            <w:t>000/MW</w:t>
          </w:r>
          <w:r w:rsidR="006F5F0B">
            <w:t xml:space="preserve"> for most dispatch intervals from 10.35 am to 7</w:t>
          </w:r>
          <w:r w:rsidR="00400AA6">
            <w:t>.25</w:t>
          </w:r>
          <w:r w:rsidR="006F5F0B">
            <w:t xml:space="preserve"> pm. </w:t>
          </w:r>
          <w:r w:rsidR="00010AF6">
            <w:t>This section sets out the factors which contributed to the high price outcomes.</w:t>
          </w:r>
        </w:p>
        <w:p w:rsidR="004E6FA8" w:rsidRDefault="00010AF6" w:rsidP="00772EA1">
          <w:pPr>
            <w:pStyle w:val="Heading2"/>
          </w:pPr>
          <w:bookmarkStart w:id="5" w:name="_Toc467748133"/>
          <w:r>
            <w:t>Planned network outage</w:t>
          </w:r>
          <w:bookmarkEnd w:id="5"/>
        </w:p>
        <w:p w:rsidR="00F60A70" w:rsidRPr="00EF7B2F" w:rsidRDefault="00F60A70" w:rsidP="003A6EF3">
          <w:pPr>
            <w:pStyle w:val="AERbody"/>
          </w:pPr>
          <w:r w:rsidRPr="00EF7B2F">
            <w:t>South Australia is electrically connected to Victoria by the Heywood and Murraylink interconnectors. The Heywood Interconnector is an alternating current high voltage transmission link with a nominal capacity of 460 MW, while Murraylink is a 2</w:t>
          </w:r>
          <w:r w:rsidR="00400AA6">
            <w:t>2</w:t>
          </w:r>
          <w:r w:rsidRPr="00EF7B2F">
            <w:t xml:space="preserve">0 MW direct current interconnector. </w:t>
          </w:r>
          <w:r w:rsidR="00271743" w:rsidRPr="00EF7B2F">
            <w:t>Heywood provides synchronous connection between South Australia and the rest of the NEM.</w:t>
          </w:r>
        </w:p>
        <w:p w:rsidR="00271743" w:rsidRPr="00EF7B2F" w:rsidRDefault="00271743" w:rsidP="003A6EF3">
          <w:pPr>
            <w:pStyle w:val="AERbody"/>
          </w:pPr>
          <w:r w:rsidRPr="00EF7B2F">
            <w:t xml:space="preserve">The Heywood interconnector is currently being augmented to increase its nominal capacity to 650 MW. From time to time </w:t>
          </w:r>
          <w:r w:rsidR="003741CE">
            <w:t xml:space="preserve">network </w:t>
          </w:r>
          <w:r w:rsidRPr="00EF7B2F">
            <w:t xml:space="preserve">outages are </w:t>
          </w:r>
          <w:r w:rsidR="003741CE">
            <w:t>planned</w:t>
          </w:r>
          <w:r w:rsidRPr="00EF7B2F">
            <w:t xml:space="preserve"> to allow work to be undertaken. When there is a network outage that risks islanding South Australia, AEMO invokes constraints requiring 35 MW of local regulation services. This ensures there are adequate sources of regulation services immediately available in a separation event to manage the frequency within the island</w:t>
          </w:r>
          <w:r w:rsidR="00D81764">
            <w:t>ed region</w:t>
          </w:r>
          <w:r w:rsidRPr="00EF7B2F">
            <w:t xml:space="preserve"> post contingency.</w:t>
          </w:r>
        </w:p>
        <w:p w:rsidR="00271743" w:rsidRDefault="00090DD1" w:rsidP="003A6EF3">
          <w:pPr>
            <w:pStyle w:val="AERbody"/>
          </w:pPr>
          <w:r w:rsidRPr="00EF7B2F">
            <w:t xml:space="preserve">On 10 </w:t>
          </w:r>
          <w:r w:rsidR="00F7693E">
            <w:t>to 12</w:t>
          </w:r>
          <w:r w:rsidRPr="00EF7B2F">
            <w:t xml:space="preserve"> August there was a planned network outage on the South East to Heywood 500 kV line as part of the Heywood interconnector upgrade project. </w:t>
          </w:r>
          <w:r w:rsidR="00F7693E">
            <w:t xml:space="preserve">The market notice announcing the outage is replicated at Appendix </w:t>
          </w:r>
          <w:r w:rsidR="00F2160A">
            <w:t>E</w:t>
          </w:r>
          <w:r w:rsidR="00F7693E">
            <w:t xml:space="preserve">. </w:t>
          </w:r>
          <w:r w:rsidRPr="00EF7B2F">
            <w:t xml:space="preserve">As this outage </w:t>
          </w:r>
          <w:r w:rsidR="00473253">
            <w:t xml:space="preserve">put South Australia on a single contingency, which could result in the </w:t>
          </w:r>
          <w:r w:rsidR="00D81764">
            <w:t xml:space="preserve">region </w:t>
          </w:r>
          <w:r w:rsidR="00473253">
            <w:t>being islanded</w:t>
          </w:r>
          <w:r w:rsidRPr="00EF7B2F">
            <w:t>, AEMO invoked the 35 MW regulation constraints for the duration of the outage.</w:t>
          </w:r>
        </w:p>
        <w:p w:rsidR="007B1ABD" w:rsidRDefault="004B3595" w:rsidP="007B1ABD">
          <w:pPr>
            <w:pStyle w:val="Heading2"/>
            <w:keepNext/>
            <w:ind w:left="578" w:hanging="578"/>
          </w:pPr>
          <w:bookmarkStart w:id="6" w:name="_Toc467748134"/>
          <w:r>
            <w:t>R</w:t>
          </w:r>
          <w:r w:rsidR="007B1ABD">
            <w:t xml:space="preserve">egulation service </w:t>
          </w:r>
          <w:r>
            <w:t>availability</w:t>
          </w:r>
          <w:bookmarkEnd w:id="6"/>
        </w:p>
        <w:p w:rsidR="00613D35" w:rsidRDefault="007C781A" w:rsidP="003A6EF3">
          <w:pPr>
            <w:pStyle w:val="AERbody"/>
          </w:pPr>
          <w:r>
            <w:t xml:space="preserve">Three power stations </w:t>
          </w:r>
          <w:r w:rsidR="00745EDF">
            <w:t xml:space="preserve">in South Australia were </w:t>
          </w:r>
          <w:r>
            <w:t xml:space="preserve">registered to provide raise and lower regulation services on the day, </w:t>
          </w:r>
          <w:r w:rsidR="00745EDF">
            <w:t>(</w:t>
          </w:r>
          <w:r>
            <w:t xml:space="preserve">shown in </w:t>
          </w:r>
          <w:r w:rsidR="005F0A20">
            <w:fldChar w:fldCharType="begin"/>
          </w:r>
          <w:r w:rsidR="005F0A20">
            <w:instrText xml:space="preserve"> REF _Ref465157130 \h </w:instrText>
          </w:r>
          <w:r w:rsidR="005F0A20">
            <w:fldChar w:fldCharType="separate"/>
          </w:r>
          <w:r w:rsidR="001B6513">
            <w:t xml:space="preserve">Table </w:t>
          </w:r>
          <w:r w:rsidR="001B6513">
            <w:rPr>
              <w:noProof/>
            </w:rPr>
            <w:t>1</w:t>
          </w:r>
          <w:r w:rsidR="005F0A20">
            <w:fldChar w:fldCharType="end"/>
          </w:r>
          <w:r w:rsidR="00745EDF">
            <w:t>)</w:t>
          </w:r>
          <w:r w:rsidR="00EA51EA">
            <w:t xml:space="preserve"> </w:t>
          </w:r>
          <w:r w:rsidR="00B077AE">
            <w:t>e</w:t>
          </w:r>
          <w:r w:rsidR="00745EDF">
            <w:t xml:space="preserve">ach </w:t>
          </w:r>
          <w:r w:rsidR="00EA51EA">
            <w:t xml:space="preserve">individually </w:t>
          </w:r>
          <w:r w:rsidR="00745EDF">
            <w:t>capable of providing the local regulation requirement.</w:t>
          </w:r>
        </w:p>
        <w:p w:rsidR="00613D35" w:rsidRDefault="00613D35" w:rsidP="00613D35">
          <w:pPr>
            <w:pStyle w:val="Caption"/>
            <w:jc w:val="both"/>
          </w:pPr>
          <w:bookmarkStart w:id="7" w:name="_Ref465157130"/>
          <w:r>
            <w:t xml:space="preserve">Table </w:t>
          </w:r>
          <w:fldSimple w:instr=" SEQ Table \* ARABIC ">
            <w:r w:rsidR="001B6513">
              <w:rPr>
                <w:noProof/>
              </w:rPr>
              <w:t>1</w:t>
            </w:r>
          </w:fldSimple>
          <w:bookmarkEnd w:id="7"/>
          <w:r>
            <w:t xml:space="preserve">: </w:t>
          </w:r>
          <w:r w:rsidR="007C781A">
            <w:t>Registered m</w:t>
          </w:r>
          <w:r>
            <w:t>aximum capacity by station and regulation service</w:t>
          </w:r>
        </w:p>
        <w:tbl>
          <w:tblPr>
            <w:tblStyle w:val="AERsummarytable"/>
            <w:tblW w:w="6840" w:type="dxa"/>
            <w:tblInd w:w="108" w:type="dxa"/>
            <w:tblLook w:val="04A0" w:firstRow="1" w:lastRow="0" w:firstColumn="1" w:lastColumn="0" w:noHBand="0" w:noVBand="1"/>
          </w:tblPr>
          <w:tblGrid>
            <w:gridCol w:w="3369"/>
            <w:gridCol w:w="1671"/>
            <w:gridCol w:w="1800"/>
          </w:tblGrid>
          <w:tr w:rsidR="00613D35" w:rsidRPr="008D2C93" w:rsidTr="00241F02">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13D35" w:rsidRPr="008D2C93" w:rsidRDefault="00613D35" w:rsidP="00241F02">
                <w:pPr>
                  <w:spacing w:before="0" w:after="0" w:line="240" w:lineRule="auto"/>
                  <w:jc w:val="center"/>
                  <w:rPr>
                    <w:rFonts w:eastAsia="Times New Roman" w:cs="Arial"/>
                    <w:color w:val="000000"/>
                    <w:lang w:eastAsia="en-AU"/>
                  </w:rPr>
                </w:pPr>
                <w:r w:rsidRPr="001219D0">
                  <w:rPr>
                    <w:rFonts w:eastAsia="Times New Roman" w:cs="Arial"/>
                    <w:lang w:eastAsia="en-AU"/>
                  </w:rPr>
                  <w:t>Power Station</w:t>
                </w:r>
              </w:p>
            </w:tc>
            <w:tc>
              <w:tcPr>
                <w:tcW w:w="3471" w:type="dxa"/>
                <w:gridSpan w:val="2"/>
                <w:tcBorders>
                  <w:bottom w:val="nil"/>
                </w:tcBorders>
                <w:shd w:val="clear" w:color="auto" w:fill="076A92" w:themeFill="text1"/>
                <w:noWrap/>
                <w:vAlign w:val="center"/>
                <w:hideMark/>
              </w:tcPr>
              <w:p w:rsidR="00613D35" w:rsidRPr="008D2C93" w:rsidRDefault="00613D35" w:rsidP="00241F02">
                <w:pPr>
                  <w:spacing w:before="0" w:after="0" w:line="240" w:lineRule="auto"/>
                  <w:jc w:val="center"/>
                  <w:rPr>
                    <w:rFonts w:eastAsia="Times New Roman" w:cs="Arial"/>
                    <w:lang w:eastAsia="en-AU"/>
                  </w:rPr>
                </w:pPr>
                <w:r w:rsidRPr="008D2C93">
                  <w:rPr>
                    <w:rFonts w:eastAsia="Times New Roman" w:cs="Arial"/>
                    <w:lang w:eastAsia="en-AU"/>
                  </w:rPr>
                  <w:t>Max Capacity</w:t>
                </w:r>
              </w:p>
            </w:tc>
          </w:tr>
          <w:tr w:rsidR="00613D35" w:rsidRPr="004D0B56" w:rsidTr="00241F02">
            <w:trPr>
              <w:cnfStyle w:val="100000000000" w:firstRow="1" w:lastRow="0" w:firstColumn="0" w:lastColumn="0" w:oddVBand="0" w:evenVBand="0" w:oddHBand="0" w:evenHBand="0" w:firstRowFirstColumn="0" w:firstRowLastColumn="0" w:lastRowFirstColumn="0" w:lastRowLastColumn="0"/>
              <w:trHeight w:val="340"/>
              <w:tblHeader/>
            </w:trPr>
            <w:tc>
              <w:tcPr>
                <w:tcW w:w="3369" w:type="dxa"/>
                <w:tcBorders>
                  <w:bottom w:val="nil"/>
                </w:tcBorders>
                <w:shd w:val="clear" w:color="auto" w:fill="076A92" w:themeFill="text1"/>
                <w:noWrap/>
                <w:vAlign w:val="center"/>
                <w:hideMark/>
              </w:tcPr>
              <w:p w:rsidR="00613D35" w:rsidRPr="004D0B56" w:rsidRDefault="00613D35" w:rsidP="00241F02">
                <w:pPr>
                  <w:spacing w:after="0" w:line="240" w:lineRule="auto"/>
                  <w:jc w:val="center"/>
                  <w:rPr>
                    <w:rFonts w:eastAsia="Times New Roman" w:cs="Arial"/>
                    <w:color w:val="000000"/>
                    <w:lang w:eastAsia="en-AU"/>
                  </w:rPr>
                </w:pPr>
              </w:p>
            </w:tc>
            <w:tc>
              <w:tcPr>
                <w:tcW w:w="1671" w:type="dxa"/>
                <w:tcBorders>
                  <w:bottom w:val="nil"/>
                </w:tcBorders>
                <w:shd w:val="clear" w:color="auto" w:fill="076A92" w:themeFill="text1"/>
                <w:noWrap/>
                <w:vAlign w:val="center"/>
                <w:hideMark/>
              </w:tcPr>
              <w:p w:rsidR="00613D35" w:rsidRPr="004D0B56" w:rsidRDefault="00613D35" w:rsidP="00241F02">
                <w:pPr>
                  <w:spacing w:after="0" w:line="240" w:lineRule="auto"/>
                  <w:jc w:val="center"/>
                  <w:rPr>
                    <w:rFonts w:eastAsia="Times New Roman" w:cs="Arial"/>
                    <w:lang w:eastAsia="en-AU"/>
                  </w:rPr>
                </w:pPr>
                <w:r w:rsidRPr="004D0B56">
                  <w:rPr>
                    <w:rFonts w:eastAsia="Times New Roman" w:cs="Arial"/>
                    <w:lang w:eastAsia="en-AU"/>
                  </w:rPr>
                  <w:t>Lower regulation</w:t>
                </w:r>
              </w:p>
            </w:tc>
            <w:tc>
              <w:tcPr>
                <w:tcW w:w="1800" w:type="dxa"/>
                <w:tcBorders>
                  <w:bottom w:val="nil"/>
                </w:tcBorders>
                <w:shd w:val="clear" w:color="auto" w:fill="076A92" w:themeFill="text1"/>
                <w:noWrap/>
                <w:vAlign w:val="center"/>
                <w:hideMark/>
              </w:tcPr>
              <w:p w:rsidR="00613D35" w:rsidRPr="004D0B56" w:rsidRDefault="00613D35" w:rsidP="00241F02">
                <w:pPr>
                  <w:spacing w:after="0" w:line="240" w:lineRule="auto"/>
                  <w:jc w:val="center"/>
                  <w:rPr>
                    <w:rFonts w:eastAsia="Times New Roman" w:cs="Arial"/>
                    <w:lang w:eastAsia="en-AU"/>
                  </w:rPr>
                </w:pPr>
                <w:r w:rsidRPr="004D0B56">
                  <w:rPr>
                    <w:rFonts w:eastAsia="Times New Roman" w:cs="Arial"/>
                    <w:lang w:eastAsia="en-AU"/>
                  </w:rPr>
                  <w:t>Raise regulation</w:t>
                </w:r>
              </w:p>
            </w:tc>
          </w:tr>
          <w:tr w:rsidR="00613D35" w:rsidRPr="008D2C93" w:rsidTr="00241F02">
            <w:trPr>
              <w:cnfStyle w:val="000000100000" w:firstRow="0" w:lastRow="0" w:firstColumn="0" w:lastColumn="0" w:oddVBand="0" w:evenVBand="0" w:oddHBand="1" w:evenHBand="0" w:firstRowFirstColumn="0" w:firstRowLastColumn="0" w:lastRowFirstColumn="0" w:lastRowLastColumn="0"/>
              <w:trHeight w:val="340"/>
            </w:trPr>
            <w:tc>
              <w:tcPr>
                <w:tcW w:w="3369" w:type="dxa"/>
                <w:tcBorders>
                  <w:top w:val="nil"/>
                </w:tcBorders>
                <w:noWrap/>
                <w:vAlign w:val="center"/>
                <w:hideMark/>
              </w:tcPr>
              <w:p w:rsidR="00613D35" w:rsidRPr="008D2C93" w:rsidRDefault="00613D35" w:rsidP="00241F02">
                <w:pPr>
                  <w:spacing w:after="0" w:line="240" w:lineRule="auto"/>
                  <w:jc w:val="left"/>
                  <w:rPr>
                    <w:rFonts w:eastAsia="Times New Roman" w:cs="Arial"/>
                    <w:color w:val="000000"/>
                    <w:lang w:eastAsia="en-AU"/>
                  </w:rPr>
                </w:pPr>
                <w:r>
                  <w:rPr>
                    <w:rFonts w:eastAsia="Times New Roman" w:cs="Arial"/>
                    <w:color w:val="000000"/>
                    <w:lang w:eastAsia="en-AU"/>
                  </w:rPr>
                  <w:t>Quarantine (Origin Energy)</w:t>
                </w:r>
                <w:r w:rsidR="004B3595">
                  <w:rPr>
                    <w:rStyle w:val="FootnoteReference"/>
                    <w:rFonts w:eastAsia="Times New Roman" w:cs="Arial"/>
                    <w:color w:val="000000"/>
                    <w:lang w:eastAsia="en-AU"/>
                  </w:rPr>
                  <w:footnoteReference w:id="4"/>
                </w:r>
              </w:p>
            </w:tc>
            <w:tc>
              <w:tcPr>
                <w:tcW w:w="1671" w:type="dxa"/>
                <w:tcBorders>
                  <w:top w:val="nil"/>
                </w:tcBorders>
                <w:noWrap/>
                <w:vAlign w:val="center"/>
                <w:hideMark/>
              </w:tcPr>
              <w:p w:rsidR="00613D35" w:rsidRPr="008D2C93" w:rsidRDefault="00613D35" w:rsidP="00241F02">
                <w:pPr>
                  <w:spacing w:after="0" w:line="240" w:lineRule="auto"/>
                  <w:jc w:val="center"/>
                  <w:rPr>
                    <w:rFonts w:eastAsia="Times New Roman" w:cs="Arial"/>
                    <w:color w:val="000000"/>
                    <w:lang w:eastAsia="en-AU"/>
                  </w:rPr>
                </w:pPr>
                <w:r>
                  <w:rPr>
                    <w:rFonts w:eastAsia="Times New Roman" w:cs="Arial"/>
                    <w:color w:val="000000"/>
                    <w:lang w:eastAsia="en-AU"/>
                  </w:rPr>
                  <w:t>50</w:t>
                </w:r>
              </w:p>
            </w:tc>
            <w:tc>
              <w:tcPr>
                <w:tcW w:w="1800" w:type="dxa"/>
                <w:tcBorders>
                  <w:top w:val="nil"/>
                </w:tcBorders>
                <w:noWrap/>
                <w:vAlign w:val="center"/>
                <w:hideMark/>
              </w:tcPr>
              <w:p w:rsidR="00613D35" w:rsidRPr="008D2C93" w:rsidRDefault="00613D35" w:rsidP="00241F02">
                <w:pPr>
                  <w:spacing w:after="0" w:line="240" w:lineRule="auto"/>
                  <w:jc w:val="center"/>
                  <w:rPr>
                    <w:rFonts w:eastAsia="Times New Roman" w:cs="Arial"/>
                    <w:color w:val="000000"/>
                    <w:lang w:eastAsia="en-AU"/>
                  </w:rPr>
                </w:pPr>
                <w:r>
                  <w:rPr>
                    <w:rFonts w:eastAsia="Times New Roman" w:cs="Arial"/>
                    <w:color w:val="000000"/>
                    <w:lang w:eastAsia="en-AU"/>
                  </w:rPr>
                  <w:t>50</w:t>
                </w:r>
              </w:p>
            </w:tc>
          </w:tr>
          <w:tr w:rsidR="00613D35" w:rsidRPr="008D2C93" w:rsidTr="00241F02">
            <w:trPr>
              <w:cnfStyle w:val="000000010000" w:firstRow="0" w:lastRow="0" w:firstColumn="0" w:lastColumn="0" w:oddVBand="0" w:evenVBand="0" w:oddHBand="0" w:evenHBand="1" w:firstRowFirstColumn="0" w:firstRowLastColumn="0" w:lastRowFirstColumn="0" w:lastRowLastColumn="0"/>
              <w:trHeight w:val="340"/>
            </w:trPr>
            <w:tc>
              <w:tcPr>
                <w:tcW w:w="3369" w:type="dxa"/>
                <w:noWrap/>
                <w:vAlign w:val="center"/>
                <w:hideMark/>
              </w:tcPr>
              <w:p w:rsidR="00613D35" w:rsidRPr="008D2C93" w:rsidRDefault="00613D35" w:rsidP="00241F02">
                <w:pPr>
                  <w:spacing w:after="0" w:line="240" w:lineRule="auto"/>
                  <w:jc w:val="left"/>
                  <w:rPr>
                    <w:rFonts w:eastAsia="Times New Roman" w:cs="Arial"/>
                    <w:color w:val="000000"/>
                    <w:lang w:eastAsia="en-AU"/>
                  </w:rPr>
                </w:pPr>
                <w:r w:rsidRPr="008D2C93">
                  <w:rPr>
                    <w:rFonts w:eastAsia="Times New Roman" w:cs="Arial"/>
                    <w:color w:val="000000"/>
                    <w:lang w:eastAsia="en-AU"/>
                  </w:rPr>
                  <w:t>Pelican</w:t>
                </w:r>
                <w:r>
                  <w:rPr>
                    <w:rFonts w:eastAsia="Times New Roman" w:cs="Arial"/>
                    <w:color w:val="000000"/>
                    <w:lang w:eastAsia="en-AU"/>
                  </w:rPr>
                  <w:t xml:space="preserve"> Point </w:t>
                </w:r>
                <w:r w:rsidR="004B3595">
                  <w:rPr>
                    <w:rFonts w:eastAsia="Times New Roman" w:cs="Arial"/>
                    <w:color w:val="000000"/>
                    <w:lang w:eastAsia="en-AU"/>
                  </w:rPr>
                  <w:t>(</w:t>
                </w:r>
                <w:proofErr w:type="spellStart"/>
                <w:r w:rsidR="004B3595">
                  <w:rPr>
                    <w:rFonts w:eastAsia="Times New Roman" w:cs="Arial"/>
                    <w:color w:val="000000"/>
                    <w:lang w:eastAsia="en-AU"/>
                  </w:rPr>
                  <w:t>Engie</w:t>
                </w:r>
                <w:proofErr w:type="spellEnd"/>
                <w:r w:rsidR="004B3595">
                  <w:rPr>
                    <w:rFonts w:eastAsia="Times New Roman" w:cs="Arial"/>
                    <w:color w:val="000000"/>
                    <w:lang w:eastAsia="en-AU"/>
                  </w:rPr>
                  <w:t>)</w:t>
                </w:r>
              </w:p>
            </w:tc>
            <w:tc>
              <w:tcPr>
                <w:tcW w:w="1671" w:type="dxa"/>
                <w:noWrap/>
                <w:vAlign w:val="center"/>
                <w:hideMark/>
              </w:tcPr>
              <w:p w:rsidR="00613D35" w:rsidRPr="008D2C93" w:rsidRDefault="00613D35" w:rsidP="00241F02">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c>
              <w:tcPr>
                <w:tcW w:w="1800" w:type="dxa"/>
                <w:noWrap/>
                <w:vAlign w:val="center"/>
                <w:hideMark/>
              </w:tcPr>
              <w:p w:rsidR="00613D35" w:rsidRPr="008D2C93" w:rsidRDefault="00613D35" w:rsidP="00241F02">
                <w:pPr>
                  <w:spacing w:after="0" w:line="240" w:lineRule="auto"/>
                  <w:jc w:val="center"/>
                  <w:rPr>
                    <w:rFonts w:eastAsia="Times New Roman" w:cs="Arial"/>
                    <w:color w:val="000000"/>
                    <w:lang w:eastAsia="en-AU"/>
                  </w:rPr>
                </w:pPr>
                <w:r w:rsidRPr="008D2C93">
                  <w:rPr>
                    <w:rFonts w:eastAsia="Times New Roman" w:cs="Arial"/>
                    <w:color w:val="000000"/>
                    <w:lang w:eastAsia="en-AU"/>
                  </w:rPr>
                  <w:t>100</w:t>
                </w:r>
              </w:p>
            </w:tc>
          </w:tr>
          <w:tr w:rsidR="00613D35" w:rsidRPr="008D2C93" w:rsidTr="00241F02">
            <w:trPr>
              <w:cnfStyle w:val="000000100000" w:firstRow="0" w:lastRow="0" w:firstColumn="0" w:lastColumn="0" w:oddVBand="0" w:evenVBand="0" w:oddHBand="1" w:evenHBand="0" w:firstRowFirstColumn="0" w:firstRowLastColumn="0" w:lastRowFirstColumn="0" w:lastRowLastColumn="0"/>
              <w:trHeight w:val="340"/>
            </w:trPr>
            <w:tc>
              <w:tcPr>
                <w:tcW w:w="3369" w:type="dxa"/>
                <w:noWrap/>
                <w:vAlign w:val="center"/>
                <w:hideMark/>
              </w:tcPr>
              <w:p w:rsidR="00613D35" w:rsidRPr="008D2C93" w:rsidRDefault="00613D35" w:rsidP="00241F02">
                <w:pPr>
                  <w:spacing w:after="0" w:line="240" w:lineRule="auto"/>
                  <w:jc w:val="left"/>
                  <w:rPr>
                    <w:rFonts w:eastAsia="Times New Roman" w:cs="Arial"/>
                    <w:color w:val="000000"/>
                    <w:lang w:eastAsia="en-AU"/>
                  </w:rPr>
                </w:pPr>
                <w:r w:rsidRPr="008D2C93">
                  <w:rPr>
                    <w:rFonts w:eastAsia="Times New Roman" w:cs="Arial"/>
                    <w:color w:val="000000"/>
                    <w:lang w:eastAsia="en-AU"/>
                  </w:rPr>
                  <w:t>Torrens Island</w:t>
                </w:r>
                <w:r w:rsidR="004B3595">
                  <w:rPr>
                    <w:rFonts w:eastAsia="Times New Roman" w:cs="Arial"/>
                    <w:color w:val="000000"/>
                    <w:lang w:eastAsia="en-AU"/>
                  </w:rPr>
                  <w:t xml:space="preserve"> (AGL)</w:t>
                </w:r>
              </w:p>
            </w:tc>
            <w:tc>
              <w:tcPr>
                <w:tcW w:w="1671" w:type="dxa"/>
                <w:noWrap/>
                <w:vAlign w:val="center"/>
                <w:hideMark/>
              </w:tcPr>
              <w:p w:rsidR="00613D35" w:rsidRPr="008D2C93" w:rsidRDefault="00613D35" w:rsidP="00241F02">
                <w:pPr>
                  <w:spacing w:after="0" w:line="240" w:lineRule="auto"/>
                  <w:jc w:val="center"/>
                  <w:rPr>
                    <w:rFonts w:eastAsia="Times New Roman" w:cs="Arial"/>
                    <w:color w:val="000000"/>
                    <w:lang w:eastAsia="en-AU"/>
                  </w:rPr>
                </w:pPr>
                <w:r w:rsidRPr="008D2C93">
                  <w:rPr>
                    <w:rFonts w:eastAsia="Times New Roman" w:cs="Arial"/>
                    <w:color w:val="000000"/>
                    <w:lang w:eastAsia="en-AU"/>
                  </w:rPr>
                  <w:t>200</w:t>
                </w:r>
              </w:p>
            </w:tc>
            <w:tc>
              <w:tcPr>
                <w:tcW w:w="1800" w:type="dxa"/>
                <w:noWrap/>
                <w:vAlign w:val="center"/>
                <w:hideMark/>
              </w:tcPr>
              <w:p w:rsidR="00613D35" w:rsidRPr="008D2C93" w:rsidRDefault="00613D35" w:rsidP="00241F02">
                <w:pPr>
                  <w:spacing w:after="0" w:line="240" w:lineRule="auto"/>
                  <w:jc w:val="center"/>
                  <w:rPr>
                    <w:rFonts w:eastAsia="Times New Roman" w:cs="Arial"/>
                    <w:color w:val="000000"/>
                    <w:lang w:eastAsia="en-AU"/>
                  </w:rPr>
                </w:pPr>
                <w:r w:rsidRPr="008D2C93">
                  <w:rPr>
                    <w:rFonts w:eastAsia="Times New Roman" w:cs="Arial"/>
                    <w:color w:val="000000"/>
                    <w:lang w:eastAsia="en-AU"/>
                  </w:rPr>
                  <w:t>260</w:t>
                </w:r>
              </w:p>
            </w:tc>
          </w:tr>
          <w:tr w:rsidR="00613D35" w:rsidRPr="002F635C" w:rsidTr="00241F02">
            <w:trPr>
              <w:cnfStyle w:val="000000010000" w:firstRow="0" w:lastRow="0" w:firstColumn="0" w:lastColumn="0" w:oddVBand="0" w:evenVBand="0" w:oddHBand="0" w:evenHBand="1" w:firstRowFirstColumn="0" w:firstRowLastColumn="0" w:lastRowFirstColumn="0" w:lastRowLastColumn="0"/>
              <w:trHeight w:val="340"/>
            </w:trPr>
            <w:tc>
              <w:tcPr>
                <w:tcW w:w="3369" w:type="dxa"/>
                <w:noWrap/>
                <w:vAlign w:val="center"/>
              </w:tcPr>
              <w:p w:rsidR="00613D35" w:rsidRPr="00A27B56" w:rsidRDefault="00613D35" w:rsidP="008D1606">
                <w:pPr>
                  <w:spacing w:after="0" w:line="240" w:lineRule="auto"/>
                  <w:jc w:val="left"/>
                  <w:rPr>
                    <w:rFonts w:eastAsia="Times New Roman" w:cs="Arial"/>
                    <w:b/>
                    <w:color w:val="000000"/>
                    <w:lang w:eastAsia="en-AU"/>
                  </w:rPr>
                </w:pPr>
                <w:r w:rsidRPr="00A27B56">
                  <w:rPr>
                    <w:rFonts w:eastAsia="Times New Roman" w:cs="Arial"/>
                    <w:b/>
                    <w:color w:val="000000"/>
                    <w:lang w:eastAsia="en-AU"/>
                  </w:rPr>
                  <w:t>Total</w:t>
                </w:r>
              </w:p>
            </w:tc>
            <w:tc>
              <w:tcPr>
                <w:tcW w:w="1671" w:type="dxa"/>
                <w:noWrap/>
                <w:vAlign w:val="center"/>
              </w:tcPr>
              <w:p w:rsidR="00613D35" w:rsidRPr="00A27B56" w:rsidRDefault="00613D35" w:rsidP="008D1606">
                <w:pPr>
                  <w:spacing w:after="0" w:line="240" w:lineRule="auto"/>
                  <w:jc w:val="center"/>
                  <w:rPr>
                    <w:rFonts w:eastAsia="Times New Roman" w:cs="Arial"/>
                    <w:b/>
                    <w:color w:val="000000"/>
                    <w:lang w:eastAsia="en-AU"/>
                  </w:rPr>
                </w:pPr>
                <w:r w:rsidRPr="00A27B56">
                  <w:rPr>
                    <w:rFonts w:eastAsia="Times New Roman" w:cs="Arial"/>
                    <w:b/>
                    <w:color w:val="000000"/>
                    <w:lang w:eastAsia="en-AU"/>
                  </w:rPr>
                  <w:t>350</w:t>
                </w:r>
              </w:p>
            </w:tc>
            <w:tc>
              <w:tcPr>
                <w:tcW w:w="1800" w:type="dxa"/>
                <w:noWrap/>
                <w:vAlign w:val="center"/>
              </w:tcPr>
              <w:p w:rsidR="00613D35" w:rsidRPr="00A27B56" w:rsidRDefault="00613D35" w:rsidP="008D1606">
                <w:pPr>
                  <w:spacing w:after="0" w:line="240" w:lineRule="auto"/>
                  <w:jc w:val="center"/>
                  <w:rPr>
                    <w:rFonts w:eastAsia="Times New Roman" w:cs="Arial"/>
                    <w:b/>
                    <w:color w:val="000000"/>
                    <w:lang w:eastAsia="en-AU"/>
                  </w:rPr>
                </w:pPr>
                <w:r w:rsidRPr="00A27B56">
                  <w:rPr>
                    <w:rFonts w:eastAsia="Times New Roman" w:cs="Arial"/>
                    <w:b/>
                    <w:color w:val="000000"/>
                    <w:lang w:eastAsia="en-AU"/>
                  </w:rPr>
                  <w:t>410</w:t>
                </w:r>
              </w:p>
            </w:tc>
          </w:tr>
        </w:tbl>
        <w:p w:rsidR="004E4D88" w:rsidRDefault="004E4D88" w:rsidP="004E4D88">
          <w:bookmarkStart w:id="8" w:name="_Toc464036660"/>
          <w:bookmarkStart w:id="9" w:name="_Toc464036661"/>
          <w:bookmarkStart w:id="10" w:name="_Toc464036662"/>
          <w:bookmarkStart w:id="11" w:name="_Toc464036663"/>
          <w:bookmarkStart w:id="12" w:name="_Toc464036667"/>
          <w:bookmarkStart w:id="13" w:name="_Toc464036668"/>
          <w:bookmarkStart w:id="14" w:name="_Toc464036669"/>
          <w:bookmarkStart w:id="15" w:name="_Toc464036673"/>
          <w:bookmarkEnd w:id="8"/>
          <w:bookmarkEnd w:id="9"/>
          <w:bookmarkEnd w:id="10"/>
          <w:bookmarkEnd w:id="11"/>
          <w:bookmarkEnd w:id="12"/>
          <w:bookmarkEnd w:id="13"/>
          <w:bookmarkEnd w:id="14"/>
          <w:bookmarkEnd w:id="15"/>
        </w:p>
        <w:p w:rsidR="00936670" w:rsidRDefault="00FE48CE" w:rsidP="004E4D88">
          <w:pPr>
            <w:pStyle w:val="Heading2"/>
          </w:pPr>
          <w:bookmarkStart w:id="16" w:name="_Toc467748135"/>
          <w:r>
            <w:lastRenderedPageBreak/>
            <w:t>Effective available capacity and price</w:t>
          </w:r>
          <w:bookmarkEnd w:id="16"/>
        </w:p>
        <w:p w:rsidR="00FE48CE" w:rsidRDefault="00FE48CE" w:rsidP="003A6EF3">
          <w:pPr>
            <w:pStyle w:val="AERbody"/>
          </w:pPr>
          <w:r>
            <w:t xml:space="preserve">For every dispatch interval the National Electricity Market Dispatch Engine (NEMDE) co-optimises FCAS and energy offers to arrive at the least cost security constrained solution. Effective available FCAS capacity </w:t>
          </w:r>
          <w:r w:rsidRPr="00B02C5A">
            <w:t xml:space="preserve">is the offered </w:t>
          </w:r>
          <w:r>
            <w:t xml:space="preserve">FCAS </w:t>
          </w:r>
          <w:r w:rsidRPr="00B02C5A">
            <w:t>capacity adjusted for the energy output of the generator</w:t>
          </w:r>
          <w:r>
            <w:t>.</w:t>
          </w:r>
        </w:p>
        <w:p w:rsidR="00320D07" w:rsidRDefault="00320D07" w:rsidP="003A6EF3">
          <w:pPr>
            <w:pStyle w:val="AERbody"/>
          </w:pPr>
          <w:r>
            <w:t xml:space="preserve">Prices for lower and raise regulation services </w:t>
          </w:r>
          <w:r w:rsidR="00CD1D1A">
            <w:t>w</w:t>
          </w:r>
          <w:r w:rsidR="007B66DB">
            <w:t>ere around $11</w:t>
          </w:r>
          <w:r w:rsidR="007E1D15">
            <w:t> </w:t>
          </w:r>
          <w:r w:rsidR="007B66DB">
            <w:t xml:space="preserve">000/MW for </w:t>
          </w:r>
          <w:r w:rsidR="00D40D25">
            <w:t>al</w:t>
          </w:r>
          <w:r w:rsidR="007B66DB">
            <w:t xml:space="preserve">most </w:t>
          </w:r>
          <w:r w:rsidR="00D40D25">
            <w:t>nine hours</w:t>
          </w:r>
          <w:r w:rsidR="007B66DB">
            <w:t xml:space="preserve">, </w:t>
          </w:r>
          <w:r>
            <w:t>exceed</w:t>
          </w:r>
          <w:r w:rsidR="007B66DB">
            <w:t>ing</w:t>
          </w:r>
          <w:r>
            <w:t xml:space="preserve"> </w:t>
          </w:r>
          <w:r w:rsidR="007B66DB">
            <w:t xml:space="preserve">the </w:t>
          </w:r>
          <w:r>
            <w:t xml:space="preserve">$5000/MW </w:t>
          </w:r>
          <w:r w:rsidR="007B66DB">
            <w:t xml:space="preserve">reporting threshold </w:t>
          </w:r>
          <w:r>
            <w:t xml:space="preserve">for </w:t>
          </w:r>
          <w:r w:rsidRPr="00FB7A65">
            <w:t>107 and 9</w:t>
          </w:r>
          <w:r w:rsidR="00400AA6">
            <w:t xml:space="preserve">5 </w:t>
          </w:r>
          <w:r w:rsidRPr="00FB7A65">
            <w:t>dispatch</w:t>
          </w:r>
          <w:r>
            <w:t xml:space="preserve"> intervals respectively. </w:t>
          </w:r>
        </w:p>
        <w:p w:rsidR="004B0930" w:rsidRDefault="00745EDF" w:rsidP="003A6EF3">
          <w:pPr>
            <w:pStyle w:val="AERbody"/>
          </w:pPr>
          <w:r>
            <w:fldChar w:fldCharType="begin"/>
          </w:r>
          <w:r>
            <w:instrText xml:space="preserve"> REF _Ref464459930 \h </w:instrText>
          </w:r>
          <w:r>
            <w:fldChar w:fldCharType="separate"/>
          </w:r>
          <w:r w:rsidR="001B6513">
            <w:t>Figure </w:t>
          </w:r>
          <w:r w:rsidR="001B6513">
            <w:rPr>
              <w:noProof/>
            </w:rPr>
            <w:t>1</w:t>
          </w:r>
          <w:r>
            <w:fldChar w:fldCharType="end"/>
          </w:r>
          <w:r w:rsidR="006C4225">
            <w:t xml:space="preserve"> and </w:t>
          </w:r>
          <w:r>
            <w:fldChar w:fldCharType="begin"/>
          </w:r>
          <w:r>
            <w:instrText xml:space="preserve"> REF _Ref464459946 \h </w:instrText>
          </w:r>
          <w:r>
            <w:fldChar w:fldCharType="separate"/>
          </w:r>
          <w:r w:rsidR="001B6513">
            <w:t>Figure </w:t>
          </w:r>
          <w:r w:rsidR="001B6513">
            <w:rPr>
              <w:noProof/>
            </w:rPr>
            <w:t>2</w:t>
          </w:r>
          <w:r>
            <w:fldChar w:fldCharType="end"/>
          </w:r>
          <w:r w:rsidR="006C4225">
            <w:t xml:space="preserve"> show actual price </w:t>
          </w:r>
          <w:r w:rsidR="00964BEA">
            <w:t>(purple line)</w:t>
          </w:r>
          <w:r w:rsidR="0023495A">
            <w:rPr>
              <w:rStyle w:val="FootnoteReference"/>
            </w:rPr>
            <w:footnoteReference w:id="5"/>
          </w:r>
          <w:r w:rsidR="00964BEA">
            <w:t xml:space="preserve"> </w:t>
          </w:r>
          <w:r w:rsidR="006C4225">
            <w:t xml:space="preserve">and effective available capacity over the high price period. </w:t>
          </w:r>
          <w:r w:rsidR="00964BEA">
            <w:t xml:space="preserve">The (constant) 35 MW requirement is shown as a red line. </w:t>
          </w:r>
        </w:p>
        <w:p w:rsidR="00964BEA" w:rsidRDefault="00964BEA" w:rsidP="003A6EF3">
          <w:pPr>
            <w:pStyle w:val="AERbody"/>
          </w:pPr>
          <w:r>
            <w:t>The blue shaded area</w:t>
          </w:r>
          <w:r w:rsidR="004B0930">
            <w:t>s</w:t>
          </w:r>
          <w:r>
            <w:t xml:space="preserve"> indicate effective available </w:t>
          </w:r>
          <w:r w:rsidR="00F53AE6">
            <w:t xml:space="preserve">capacity </w:t>
          </w:r>
          <w:r>
            <w:t xml:space="preserve">below $5000/MW and effective available capacity </w:t>
          </w:r>
          <w:r w:rsidR="004B0930">
            <w:t xml:space="preserve">above $5000/MW is indicated by the light orange shaded areas. </w:t>
          </w:r>
        </w:p>
        <w:p w:rsidR="00964BEA" w:rsidRDefault="00C0642A" w:rsidP="00964BEA">
          <w:pPr>
            <w:pStyle w:val="Caption"/>
            <w:jc w:val="both"/>
          </w:pPr>
          <w:bookmarkStart w:id="17" w:name="_Ref464459930"/>
          <w:r>
            <w:t>Figure </w:t>
          </w:r>
          <w:fldSimple w:instr=" SEQ Figure \* ARABIC ">
            <w:r w:rsidR="001B6513">
              <w:rPr>
                <w:noProof/>
              </w:rPr>
              <w:t>1</w:t>
            </w:r>
          </w:fldSimple>
          <w:bookmarkEnd w:id="17"/>
          <w:r w:rsidR="00964BEA">
            <w:t xml:space="preserve"> L</w:t>
          </w:r>
          <w:r w:rsidR="00964BEA" w:rsidRPr="00B23949">
            <w:t>ow</w:t>
          </w:r>
          <w:r w:rsidR="00964BEA">
            <w:t>er</w:t>
          </w:r>
          <w:r w:rsidR="00964BEA" w:rsidRPr="00B23949">
            <w:t xml:space="preserve"> regulation </w:t>
          </w:r>
          <w:r w:rsidR="00964BEA">
            <w:t>effective offers</w:t>
          </w:r>
          <w:r w:rsidR="000F7A36">
            <w:t>,</w:t>
          </w:r>
          <w:r w:rsidR="00964BEA">
            <w:t xml:space="preserve"> </w:t>
          </w:r>
          <w:r w:rsidR="000F7A36">
            <w:t xml:space="preserve">requirement </w:t>
          </w:r>
          <w:r w:rsidR="00964BEA">
            <w:t xml:space="preserve">and price </w:t>
          </w:r>
        </w:p>
        <w:p w:rsidR="00964BEA" w:rsidRPr="00CE4B44" w:rsidRDefault="007318F6" w:rsidP="00964BEA">
          <w:r w:rsidRPr="007318F6">
            <w:rPr>
              <w:noProof/>
              <w:lang w:eastAsia="en-AU"/>
            </w:rPr>
            <w:drawing>
              <wp:inline distT="0" distB="0" distL="0" distR="0" wp14:anchorId="0FFDA035" wp14:editId="0FF7CAE1">
                <wp:extent cx="5382895" cy="3043084"/>
                <wp:effectExtent l="0" t="0" r="8255" b="5080"/>
                <wp:docPr id="7" name="Picture 7" descr="Lower regulation effective offers, requirement and pr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043084"/>
                        </a:xfrm>
                        <a:prstGeom prst="rect">
                          <a:avLst/>
                        </a:prstGeom>
                        <a:noFill/>
                        <a:ln>
                          <a:noFill/>
                        </a:ln>
                      </pic:spPr>
                    </pic:pic>
                  </a:graphicData>
                </a:graphic>
              </wp:inline>
            </w:drawing>
          </w:r>
        </w:p>
        <w:p w:rsidR="00964BEA" w:rsidRDefault="00C0642A" w:rsidP="00964BEA">
          <w:pPr>
            <w:pStyle w:val="Caption"/>
            <w:jc w:val="both"/>
          </w:pPr>
          <w:bookmarkStart w:id="18" w:name="_Ref464459946"/>
          <w:r>
            <w:lastRenderedPageBreak/>
            <w:t>Figure </w:t>
          </w:r>
          <w:fldSimple w:instr=" SEQ Figure \* ARABIC ">
            <w:r w:rsidR="001B6513">
              <w:rPr>
                <w:noProof/>
              </w:rPr>
              <w:t>2</w:t>
            </w:r>
          </w:fldSimple>
          <w:bookmarkEnd w:id="18"/>
          <w:r w:rsidR="00964BEA">
            <w:t xml:space="preserve"> Raise</w:t>
          </w:r>
          <w:r w:rsidR="00964BEA" w:rsidRPr="00B23949">
            <w:t xml:space="preserve"> </w:t>
          </w:r>
          <w:r w:rsidR="00964BEA">
            <w:t>r</w:t>
          </w:r>
          <w:r w:rsidR="00964BEA" w:rsidRPr="00B23949">
            <w:t xml:space="preserve">egulation </w:t>
          </w:r>
          <w:r w:rsidR="00964BEA">
            <w:t>effective offers</w:t>
          </w:r>
          <w:r w:rsidR="000F7A36">
            <w:t>, requirement</w:t>
          </w:r>
          <w:r w:rsidR="00964BEA">
            <w:t xml:space="preserve"> and price </w:t>
          </w:r>
        </w:p>
        <w:p w:rsidR="00964BEA" w:rsidRDefault="007318F6" w:rsidP="00964BEA">
          <w:r w:rsidRPr="007318F6">
            <w:rPr>
              <w:noProof/>
              <w:lang w:eastAsia="en-AU"/>
            </w:rPr>
            <w:drawing>
              <wp:inline distT="0" distB="0" distL="0" distR="0" wp14:anchorId="302ECC81" wp14:editId="0E6839E2">
                <wp:extent cx="5382895" cy="3042712"/>
                <wp:effectExtent l="0" t="0" r="8255" b="5715"/>
                <wp:docPr id="8" name="Picture 8" descr="Raise regulation effective offers, requirement and pr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042712"/>
                        </a:xfrm>
                        <a:prstGeom prst="rect">
                          <a:avLst/>
                        </a:prstGeom>
                        <a:noFill/>
                        <a:ln>
                          <a:noFill/>
                        </a:ln>
                      </pic:spPr>
                    </pic:pic>
                  </a:graphicData>
                </a:graphic>
              </wp:inline>
            </w:drawing>
          </w:r>
        </w:p>
        <w:p w:rsidR="00B36A9A" w:rsidRDefault="005B6E1A" w:rsidP="003A6EF3">
          <w:pPr>
            <w:pStyle w:val="AERbody"/>
          </w:pPr>
          <w:r>
            <w:t>P</w:t>
          </w:r>
          <w:r w:rsidR="00B36A9A">
            <w:t>rice</w:t>
          </w:r>
          <w:r w:rsidR="003941D9">
            <w:t>s</w:t>
          </w:r>
          <w:r w:rsidR="00B36A9A">
            <w:t xml:space="preserve"> </w:t>
          </w:r>
          <w:r w:rsidR="00A21422">
            <w:t xml:space="preserve">for raise and lower regulation services </w:t>
          </w:r>
          <w:r>
            <w:t>w</w:t>
          </w:r>
          <w:r w:rsidR="003941D9">
            <w:t>ere</w:t>
          </w:r>
          <w:r>
            <w:t xml:space="preserve"> </w:t>
          </w:r>
          <w:r w:rsidR="00B36A9A">
            <w:t xml:space="preserve">forecast </w:t>
          </w:r>
          <w:r>
            <w:t xml:space="preserve">to be </w:t>
          </w:r>
          <w:r w:rsidR="007A6D68">
            <w:t>below</w:t>
          </w:r>
          <w:r>
            <w:t xml:space="preserve"> $100/MW four and twelve hours ahead of dispatch for the</w:t>
          </w:r>
          <w:r w:rsidR="00911370">
            <w:t xml:space="preserve"> majority of the</w:t>
          </w:r>
          <w:r>
            <w:t xml:space="preserve"> high price period. Four hours ahead of dispatch, effective available capacity was forecast to be around 130 MW for lower regulation services and around 220 MW for </w:t>
          </w:r>
          <w:r w:rsidR="007A6D68">
            <w:t xml:space="preserve">raise regulation services </w:t>
          </w:r>
          <w:r>
            <w:t>(sufficient to cover the 35 MW requirement) for the high price period.</w:t>
          </w:r>
        </w:p>
        <w:p w:rsidR="000605F4" w:rsidRDefault="000605F4" w:rsidP="003A6EF3">
          <w:pPr>
            <w:pStyle w:val="AERbody"/>
          </w:pPr>
          <w:r>
            <w:t>The circumstances relating to the imposition of the South Australian regulation requirement are described more fully in Appendix B.</w:t>
          </w:r>
        </w:p>
        <w:p w:rsidR="009C113E" w:rsidRDefault="009C113E" w:rsidP="009C113E">
          <w:pPr>
            <w:pStyle w:val="Heading3"/>
          </w:pPr>
          <w:bookmarkStart w:id="19" w:name="_Toc464036690"/>
          <w:bookmarkStart w:id="20" w:name="_Toc464036691"/>
          <w:bookmarkStart w:id="21" w:name="_Toc464036692"/>
          <w:bookmarkStart w:id="22" w:name="_Toc464036693"/>
          <w:bookmarkStart w:id="23" w:name="_Toc467748136"/>
          <w:bookmarkEnd w:id="19"/>
          <w:bookmarkEnd w:id="20"/>
          <w:bookmarkEnd w:id="21"/>
          <w:bookmarkEnd w:id="22"/>
          <w:r>
            <w:t>Rebidding</w:t>
          </w:r>
          <w:bookmarkEnd w:id="23"/>
        </w:p>
        <w:p w:rsidR="007A6D68" w:rsidRPr="00772EA1" w:rsidRDefault="0014109A" w:rsidP="003A6EF3">
          <w:pPr>
            <w:pStyle w:val="AERbody"/>
          </w:pPr>
          <w:r>
            <w:t xml:space="preserve">Forecasts four and 12 hours ahead showed that the 35 MW </w:t>
          </w:r>
          <w:r w:rsidR="00816801">
            <w:t xml:space="preserve">of </w:t>
          </w:r>
          <w:r w:rsidR="00745EDF">
            <w:t xml:space="preserve">local </w:t>
          </w:r>
          <w:r>
            <w:t>requirement</w:t>
          </w:r>
          <w:r w:rsidR="00816801">
            <w:t>s</w:t>
          </w:r>
          <w:r>
            <w:t xml:space="preserve"> </w:t>
          </w:r>
          <w:r w:rsidR="00231CEA">
            <w:t xml:space="preserve">could be </w:t>
          </w:r>
          <w:r>
            <w:t xml:space="preserve">met by low price capacity. </w:t>
          </w:r>
          <w:r w:rsidR="001A2A92" w:rsidRPr="00772EA1">
            <w:t xml:space="preserve">Rebidding </w:t>
          </w:r>
          <w:r w:rsidR="001A2A92">
            <w:t xml:space="preserve">of lower and raise regulation services </w:t>
          </w:r>
          <w:r w:rsidR="001A2A92" w:rsidRPr="00772EA1">
            <w:t xml:space="preserve">by </w:t>
          </w:r>
          <w:r w:rsidR="001A2A92">
            <w:t xml:space="preserve">Origin Energy at its Quarantine Power Station from low prices to high prices </w:t>
          </w:r>
          <w:r w:rsidR="00A21422">
            <w:t xml:space="preserve">was the </w:t>
          </w:r>
          <w:r w:rsidR="00745EDF">
            <w:t>dominant</w:t>
          </w:r>
          <w:r w:rsidR="00A21422">
            <w:t xml:space="preserve"> factor </w:t>
          </w:r>
          <w:r w:rsidR="00B077AE">
            <w:t xml:space="preserve">affecting </w:t>
          </w:r>
          <w:r w:rsidR="001A2A92">
            <w:t xml:space="preserve">the high price outcomes. </w:t>
          </w:r>
          <w:r w:rsidR="00D40D25">
            <w:t xml:space="preserve">All significant rebids are listed in Appendix </w:t>
          </w:r>
          <w:r w:rsidR="00F2160A">
            <w:t>C</w:t>
          </w:r>
          <w:r w:rsidR="00D40D25">
            <w:t>.</w:t>
          </w:r>
        </w:p>
        <w:p w:rsidR="009C113E" w:rsidRDefault="009C113E" w:rsidP="009C113E">
          <w:r w:rsidRPr="0014109A">
            <w:t xml:space="preserve">Out of 410 MW and 350 MW of capacity registered for raise and lower regulation services respectively, </w:t>
          </w:r>
          <w:r w:rsidR="00FE48CE">
            <w:t>260 MW and 200 MW was offered t</w:t>
          </w:r>
          <w:r w:rsidR="00911370">
            <w:t>o</w:t>
          </w:r>
          <w:r w:rsidR="00FE48CE">
            <w:t xml:space="preserve"> the market. </w:t>
          </w:r>
          <w:r w:rsidRPr="0014109A">
            <w:t>39 MW was offered in price bands less than $5000/MW</w:t>
          </w:r>
          <w:r w:rsidR="0014109A">
            <w:rPr>
              <w:rStyle w:val="FootnoteReference"/>
            </w:rPr>
            <w:footnoteReference w:id="6"/>
          </w:r>
          <w:r w:rsidRPr="0014109A">
            <w:t xml:space="preserve"> and 22</w:t>
          </w:r>
          <w:r w:rsidR="005551BB">
            <w:t>2</w:t>
          </w:r>
          <w:r w:rsidRPr="0014109A">
            <w:t> MW and 16</w:t>
          </w:r>
          <w:r w:rsidR="005551BB">
            <w:t>2</w:t>
          </w:r>
          <w:r w:rsidRPr="0014109A">
            <w:t> MW respectively offered in bands greater than $5000/MW.</w:t>
          </w:r>
          <w:r>
            <w:t xml:space="preserve"> </w:t>
          </w:r>
        </w:p>
        <w:p w:rsidR="006D7B96" w:rsidRDefault="00231CEA" w:rsidP="003A6EF3">
          <w:pPr>
            <w:pStyle w:val="AERbody"/>
          </w:pPr>
          <w:r>
            <w:t xml:space="preserve">Across the day, </w:t>
          </w:r>
          <w:r w:rsidR="006D7B96">
            <w:t xml:space="preserve">Origin </w:t>
          </w:r>
          <w:r w:rsidR="007318F6">
            <w:t>Energy</w:t>
          </w:r>
          <w:r w:rsidR="006D7B96">
            <w:t xml:space="preserve"> </w:t>
          </w:r>
          <w:r w:rsidR="004A0C28">
            <w:t>submitted</w:t>
          </w:r>
          <w:r w:rsidR="006D7B96">
            <w:t xml:space="preserve"> three rebids </w:t>
          </w:r>
          <w:r>
            <w:t xml:space="preserve">that </w:t>
          </w:r>
          <w:r w:rsidR="006D7B96">
            <w:t>shift</w:t>
          </w:r>
          <w:r>
            <w:t>ed</w:t>
          </w:r>
          <w:r w:rsidR="006D7B96">
            <w:t xml:space="preserve"> regulation service capacity</w:t>
          </w:r>
          <w:r>
            <w:t xml:space="preserve"> from $0/MW </w:t>
          </w:r>
          <w:r w:rsidR="006D7B96">
            <w:t>into bands priced above $10</w:t>
          </w:r>
          <w:r w:rsidR="008D1606">
            <w:t> </w:t>
          </w:r>
          <w:r w:rsidR="006D7B96">
            <w:t>000/MW.</w:t>
          </w:r>
        </w:p>
        <w:p w:rsidR="009C113E" w:rsidRDefault="009C113E" w:rsidP="00C0642A">
          <w:pPr>
            <w:pStyle w:val="ListNumber"/>
          </w:pPr>
          <w:r>
            <w:t>At 9.46 am, effective from 10.35 am</w:t>
          </w:r>
          <w:r w:rsidR="00451948">
            <w:t xml:space="preserve"> for two trading intervals</w:t>
          </w:r>
          <w:r>
            <w:t xml:space="preserve">, Origin </w:t>
          </w:r>
          <w:r w:rsidR="00451948">
            <w:t xml:space="preserve">Energy </w:t>
          </w:r>
          <w:r>
            <w:t xml:space="preserve">rebid 5 MW of </w:t>
          </w:r>
          <w:r w:rsidR="00451948">
            <w:t>lower and raise services at Quarantine from $0/MW</w:t>
          </w:r>
          <w:r w:rsidR="00451948" w:rsidRPr="002F63F2">
            <w:t xml:space="preserve"> </w:t>
          </w:r>
          <w:r w:rsidR="00A52829">
            <w:t xml:space="preserve">to </w:t>
          </w:r>
          <w:r w:rsidR="00451948" w:rsidRPr="00E125B3">
            <w:t>$1</w:t>
          </w:r>
          <w:r w:rsidR="00451948">
            <w:t>1</w:t>
          </w:r>
          <w:r w:rsidR="00451948" w:rsidRPr="00E125B3">
            <w:t> </w:t>
          </w:r>
          <w:r w:rsidR="00451948">
            <w:t>9</w:t>
          </w:r>
          <w:r w:rsidR="00451948" w:rsidRPr="00621217">
            <w:t>00/MW</w:t>
          </w:r>
          <w:r w:rsidR="002F635C">
            <w:t xml:space="preserve"> </w:t>
          </w:r>
          <w:r w:rsidR="00911370">
            <w:t xml:space="preserve">and above </w:t>
          </w:r>
          <w:r w:rsidR="002F635C">
            <w:t xml:space="preserve">(the reason </w:t>
          </w:r>
          <w:r w:rsidR="0014109A">
            <w:t>related to a change in demand</w:t>
          </w:r>
          <w:r w:rsidR="002F635C">
            <w:t>)</w:t>
          </w:r>
          <w:r w:rsidR="00A21422">
            <w:t xml:space="preserve">. This left </w:t>
          </w:r>
          <w:r w:rsidR="00451948">
            <w:t>only 34 MW of capacity priced below $5000/MW</w:t>
          </w:r>
          <w:r w:rsidR="003941D9">
            <w:t>;</w:t>
          </w:r>
          <w:r w:rsidR="00451948">
            <w:t xml:space="preserve"> </w:t>
          </w:r>
          <w:r w:rsidR="00164877">
            <w:t xml:space="preserve">1 MW below the </w:t>
          </w:r>
          <w:r>
            <w:t>35 MW requirement</w:t>
          </w:r>
          <w:r w:rsidR="00164877">
            <w:t xml:space="preserve">. </w:t>
          </w:r>
          <w:r w:rsidR="00A21422">
            <w:t>High</w:t>
          </w:r>
          <w:r w:rsidR="001D6C7A">
            <w:t>er</w:t>
          </w:r>
          <w:r w:rsidR="00A21422">
            <w:t xml:space="preserve"> cost </w:t>
          </w:r>
          <w:r w:rsidR="00A21422">
            <w:lastRenderedPageBreak/>
            <w:t xml:space="preserve">services had to be used </w:t>
          </w:r>
          <w:r w:rsidR="007318F6">
            <w:t>to</w:t>
          </w:r>
          <w:r w:rsidR="006D7B96">
            <w:t xml:space="preserve"> </w:t>
          </w:r>
          <w:r w:rsidR="00A21422">
            <w:t xml:space="preserve">meet the requirement and, </w:t>
          </w:r>
          <w:r w:rsidR="006D7B96">
            <w:t>consequently</w:t>
          </w:r>
          <w:r w:rsidR="00A21422">
            <w:t>, th</w:t>
          </w:r>
          <w:r w:rsidR="00164877">
            <w:t xml:space="preserve">e </w:t>
          </w:r>
          <w:r w:rsidRPr="00621217">
            <w:t>price</w:t>
          </w:r>
          <w:r w:rsidR="006D7B96">
            <w:t>,</w:t>
          </w:r>
          <w:r w:rsidRPr="00621217">
            <w:t xml:space="preserve"> for both services</w:t>
          </w:r>
          <w:r w:rsidR="006D7B96">
            <w:t>,</w:t>
          </w:r>
          <w:r w:rsidRPr="00621217">
            <w:t xml:space="preserve"> reached $</w:t>
          </w:r>
          <w:r>
            <w:t>11 469</w:t>
          </w:r>
          <w:r w:rsidRPr="00621217">
            <w:t>/</w:t>
          </w:r>
          <w:r>
            <w:t xml:space="preserve">MW and </w:t>
          </w:r>
          <w:r w:rsidR="003941D9">
            <w:t xml:space="preserve">remained there </w:t>
          </w:r>
          <w:r>
            <w:t>until 11.3</w:t>
          </w:r>
          <w:r w:rsidR="005F59FA">
            <w:t>0</w:t>
          </w:r>
          <w:r>
            <w:t xml:space="preserve"> am, when the rebid was no longer in effect. </w:t>
          </w:r>
          <w:r w:rsidR="00911370">
            <w:t xml:space="preserve">See </w:t>
          </w:r>
          <w:r w:rsidR="00911370">
            <w:fldChar w:fldCharType="begin"/>
          </w:r>
          <w:r w:rsidR="00911370">
            <w:instrText xml:space="preserve"> REF _Ref464459930 \h </w:instrText>
          </w:r>
          <w:r w:rsidR="00911370">
            <w:fldChar w:fldCharType="separate"/>
          </w:r>
          <w:r w:rsidR="001B6513">
            <w:t>Figure </w:t>
          </w:r>
          <w:r w:rsidR="001B6513">
            <w:rPr>
              <w:noProof/>
            </w:rPr>
            <w:t>1</w:t>
          </w:r>
          <w:r w:rsidR="00911370">
            <w:fldChar w:fldCharType="end"/>
          </w:r>
          <w:r w:rsidR="00911370">
            <w:t xml:space="preserve"> and </w:t>
          </w:r>
          <w:r w:rsidR="00911370">
            <w:fldChar w:fldCharType="begin"/>
          </w:r>
          <w:r w:rsidR="00911370">
            <w:instrText xml:space="preserve"> REF _Ref464459946 \h </w:instrText>
          </w:r>
          <w:r w:rsidR="00911370">
            <w:fldChar w:fldCharType="separate"/>
          </w:r>
          <w:r w:rsidR="001B6513">
            <w:t>Figure </w:t>
          </w:r>
          <w:r w:rsidR="001B6513">
            <w:rPr>
              <w:noProof/>
            </w:rPr>
            <w:t>2</w:t>
          </w:r>
          <w:r w:rsidR="00911370">
            <w:fldChar w:fldCharType="end"/>
          </w:r>
          <w:r w:rsidR="00911370">
            <w:t xml:space="preserve"> to observe the effect of the 9.46 am Origin rebid. </w:t>
          </w:r>
        </w:p>
        <w:p w:rsidR="009C113E" w:rsidRDefault="009C113E" w:rsidP="00231CEA">
          <w:pPr>
            <w:pStyle w:val="ListNumber"/>
          </w:pPr>
          <w:r>
            <w:t xml:space="preserve">At 11.06 am, effective from 11.35 am until the end of the trading day, Origin rebid 5 MW of lower regulation </w:t>
          </w:r>
          <w:r w:rsidR="005F59FA">
            <w:t>services</w:t>
          </w:r>
          <w:r>
            <w:t xml:space="preserve"> </w:t>
          </w:r>
          <w:r w:rsidR="00A21422">
            <w:t xml:space="preserve">at its Quarantine Power Station </w:t>
          </w:r>
          <w:r>
            <w:t>from $0/MW to $10 990/MW and above</w:t>
          </w:r>
          <w:r w:rsidR="002F635C">
            <w:t xml:space="preserve"> (the reason </w:t>
          </w:r>
          <w:r w:rsidR="0014109A">
            <w:t>related to a change in demand</w:t>
          </w:r>
          <w:r w:rsidR="00B932D3">
            <w:t>)</w:t>
          </w:r>
          <w:r w:rsidR="00D97A38">
            <w:t>,</w:t>
          </w:r>
          <w:r>
            <w:t xml:space="preserve"> set</w:t>
          </w:r>
          <w:r w:rsidR="00D97A38">
            <w:t>ting</w:t>
          </w:r>
          <w:r>
            <w:t xml:space="preserve"> the price</w:t>
          </w:r>
          <w:r w:rsidR="00D97A38">
            <w:t xml:space="preserve"> until 7.25 pm</w:t>
          </w:r>
          <w:r w:rsidR="003941D9">
            <w:t xml:space="preserve">. The sustained high prices resulted in the </w:t>
          </w:r>
          <w:r w:rsidR="000A61CE">
            <w:t>CPT</w:t>
          </w:r>
          <w:r w:rsidR="003941D9">
            <w:t xml:space="preserve"> being breached at</w:t>
          </w:r>
          <w:r w:rsidR="00D97A38">
            <w:t xml:space="preserve"> 7.</w:t>
          </w:r>
          <w:r w:rsidR="00911370">
            <w:t>25</w:t>
          </w:r>
          <w:r w:rsidR="00D97A38">
            <w:t> pm</w:t>
          </w:r>
          <w:r w:rsidR="00911370">
            <w:t xml:space="preserve"> and </w:t>
          </w:r>
          <w:r w:rsidR="00D97A38">
            <w:t xml:space="preserve">the administered price cap </w:t>
          </w:r>
          <w:r w:rsidR="003941D9">
            <w:t xml:space="preserve">of $300/MW </w:t>
          </w:r>
          <w:r w:rsidR="00D97A38">
            <w:t>was applied</w:t>
          </w:r>
          <w:r w:rsidR="00911370">
            <w:t xml:space="preserve"> during the 7.30 pm dispatch interval</w:t>
          </w:r>
          <w:r w:rsidR="00D7487D">
            <w:t xml:space="preserve"> (s</w:t>
          </w:r>
          <w:r w:rsidR="00911370">
            <w:t xml:space="preserve">ee </w:t>
          </w:r>
          <w:r w:rsidR="00911370">
            <w:fldChar w:fldCharType="begin"/>
          </w:r>
          <w:r w:rsidR="00911370">
            <w:instrText xml:space="preserve"> REF _Ref464459930 \h </w:instrText>
          </w:r>
          <w:r w:rsidR="00911370">
            <w:fldChar w:fldCharType="separate"/>
          </w:r>
          <w:r w:rsidR="001B6513">
            <w:t>Figure </w:t>
          </w:r>
          <w:r w:rsidR="001B6513">
            <w:rPr>
              <w:noProof/>
            </w:rPr>
            <w:t>1</w:t>
          </w:r>
          <w:r w:rsidR="00911370">
            <w:fldChar w:fldCharType="end"/>
          </w:r>
          <w:r w:rsidR="00D7487D">
            <w:t>)</w:t>
          </w:r>
          <w:r w:rsidR="0014109A">
            <w:t xml:space="preserve">. </w:t>
          </w:r>
          <w:r w:rsidR="000A61CE">
            <w:t>The cumulative price threshold is d</w:t>
          </w:r>
          <w:r w:rsidR="00D7487D">
            <w:t>iscussed further in section 3.4.</w:t>
          </w:r>
        </w:p>
        <w:p w:rsidR="00D412DD" w:rsidRDefault="00FA568F" w:rsidP="00231CEA">
          <w:pPr>
            <w:pStyle w:val="ListNumber"/>
          </w:pPr>
          <w:r>
            <w:t>At 11.55 am</w:t>
          </w:r>
          <w:r w:rsidR="003941D9">
            <w:t>,</w:t>
          </w:r>
          <w:r>
            <w:t xml:space="preserve"> effective from 12.35 pm</w:t>
          </w:r>
          <w:r w:rsidR="00F35966" w:rsidRPr="00F35966">
            <w:t xml:space="preserve"> </w:t>
          </w:r>
          <w:r w:rsidR="00F35966">
            <w:t>until the end of the trading day</w:t>
          </w:r>
          <w:r w:rsidR="003941D9">
            <w:t>,</w:t>
          </w:r>
          <w:r>
            <w:t xml:space="preserve"> Origin Energy rebid 5 MW of raise regulation services at Quarantine from $0/MW to $10 990/MW</w:t>
          </w:r>
          <w:r w:rsidR="00A21422">
            <w:t>, setting the price at $10 990/MW until 7.25 pm</w:t>
          </w:r>
          <w:r w:rsidR="00D7487D">
            <w:t xml:space="preserve"> (s</w:t>
          </w:r>
          <w:r w:rsidR="00911370">
            <w:t xml:space="preserve">ee </w:t>
          </w:r>
          <w:r w:rsidR="00911370">
            <w:fldChar w:fldCharType="begin"/>
          </w:r>
          <w:r w:rsidR="00911370">
            <w:instrText xml:space="preserve"> REF _Ref464459946 \h </w:instrText>
          </w:r>
          <w:r w:rsidR="00911370">
            <w:fldChar w:fldCharType="separate"/>
          </w:r>
          <w:r w:rsidR="001B6513">
            <w:t>Figure </w:t>
          </w:r>
          <w:r w:rsidR="001B6513">
            <w:rPr>
              <w:noProof/>
            </w:rPr>
            <w:t>2</w:t>
          </w:r>
          <w:r w:rsidR="00911370">
            <w:fldChar w:fldCharType="end"/>
          </w:r>
          <w:r w:rsidR="00D7487D">
            <w:t>)</w:t>
          </w:r>
          <w:r>
            <w:t xml:space="preserve">. The reason </w:t>
          </w:r>
          <w:r w:rsidR="0014109A">
            <w:t xml:space="preserve">related to the </w:t>
          </w:r>
          <w:r w:rsidR="0028047E">
            <w:t xml:space="preserve">financial </w:t>
          </w:r>
          <w:r w:rsidR="00F35966">
            <w:t xml:space="preserve">optimisation of their </w:t>
          </w:r>
          <w:r w:rsidR="0014109A">
            <w:t>energy</w:t>
          </w:r>
          <w:r w:rsidR="00F35966">
            <w:t xml:space="preserve"> and </w:t>
          </w:r>
          <w:r w:rsidR="0014109A">
            <w:t xml:space="preserve">FCAS </w:t>
          </w:r>
          <w:r w:rsidR="00F35966">
            <w:t>portfolio</w:t>
          </w:r>
          <w:r>
            <w:t xml:space="preserve">. </w:t>
          </w:r>
          <w:r w:rsidR="003941D9">
            <w:t xml:space="preserve">The sustained high prices resulted in the </w:t>
          </w:r>
          <w:r w:rsidR="000A61CE">
            <w:t>CPT</w:t>
          </w:r>
          <w:r w:rsidR="003941D9">
            <w:t xml:space="preserve"> being breached at 7.30 pm, at which time the administered price cap of $300/MW was applied.</w:t>
          </w:r>
          <w:r w:rsidR="00F80A53">
            <w:t xml:space="preserve"> </w:t>
          </w:r>
        </w:p>
        <w:p w:rsidR="006B4888" w:rsidRDefault="00911370" w:rsidP="003A6EF3">
          <w:pPr>
            <w:pStyle w:val="AERbody"/>
          </w:pPr>
          <w:r>
            <w:fldChar w:fldCharType="begin"/>
          </w:r>
          <w:r>
            <w:instrText xml:space="preserve"> REF _Ref464459930 \h </w:instrText>
          </w:r>
          <w:r>
            <w:fldChar w:fldCharType="separate"/>
          </w:r>
          <w:r w:rsidR="001B6513">
            <w:t>Figure </w:t>
          </w:r>
          <w:r w:rsidR="001B6513">
            <w:rPr>
              <w:noProof/>
            </w:rPr>
            <w:t>1</w:t>
          </w:r>
          <w:r>
            <w:fldChar w:fldCharType="end"/>
          </w:r>
          <w:r w:rsidR="00875774">
            <w:t xml:space="preserve"> and </w:t>
          </w:r>
          <w:r>
            <w:fldChar w:fldCharType="begin"/>
          </w:r>
          <w:r>
            <w:instrText xml:space="preserve"> REF _Ref464459946 \h </w:instrText>
          </w:r>
          <w:r>
            <w:fldChar w:fldCharType="separate"/>
          </w:r>
          <w:r w:rsidR="001B6513">
            <w:t>Figure </w:t>
          </w:r>
          <w:r w:rsidR="001B6513">
            <w:rPr>
              <w:noProof/>
            </w:rPr>
            <w:t>2</w:t>
          </w:r>
          <w:r>
            <w:fldChar w:fldCharType="end"/>
          </w:r>
          <w:r w:rsidR="00875774">
            <w:t xml:space="preserve"> show the effect of Origin Energy’s rebidding at Quarantine Power Station. </w:t>
          </w:r>
          <w:r w:rsidR="000605F4">
            <w:t>T</w:t>
          </w:r>
          <w:r w:rsidR="00875774">
            <w:t>he rebidding</w:t>
          </w:r>
          <w:r w:rsidR="006B4888">
            <w:t xml:space="preserve"> reduced the amount of low price capacity (shown by the light blue shaded area)</w:t>
          </w:r>
          <w:r w:rsidR="00875774">
            <w:t xml:space="preserve">, </w:t>
          </w:r>
          <w:r w:rsidR="006B4888">
            <w:t xml:space="preserve">which meant </w:t>
          </w:r>
          <w:r w:rsidR="00875774">
            <w:t xml:space="preserve">the </w:t>
          </w:r>
          <w:r w:rsidR="006B4888">
            <w:t>35 MW requirement (shown by the red line) had to be met by high price capacity (shown by the light orange shaded area), resulting in high prices for the services.</w:t>
          </w:r>
          <w:r w:rsidR="00D40D25">
            <w:t xml:space="preserve">  </w:t>
          </w:r>
        </w:p>
        <w:p w:rsidR="000605F4" w:rsidRDefault="000605F4" w:rsidP="000605F4">
          <w:pPr>
            <w:pStyle w:val="AERbody"/>
          </w:pPr>
          <w:r>
            <w:t xml:space="preserve">Around 9 pm, over an hour after the CPT had triggered, </w:t>
          </w:r>
          <w:r w:rsidR="00B27C6D">
            <w:t xml:space="preserve">a </w:t>
          </w:r>
          <w:r>
            <w:t>rebid</w:t>
          </w:r>
          <w:r w:rsidR="00B27C6D">
            <w:t xml:space="preserve"> of capacity from high to low prices</w:t>
          </w:r>
          <w:r>
            <w:t xml:space="preserve"> by Origin reduced the price to b</w:t>
          </w:r>
          <w:r w:rsidR="00D7487D">
            <w:t xml:space="preserve">elow the administered price cap </w:t>
          </w:r>
          <w:r w:rsidR="00B27C6D">
            <w:t xml:space="preserve">as shown in </w:t>
          </w:r>
          <w:r>
            <w:fldChar w:fldCharType="begin"/>
          </w:r>
          <w:r>
            <w:instrText xml:space="preserve"> REF _Ref464459930 \h </w:instrText>
          </w:r>
          <w:r>
            <w:fldChar w:fldCharType="separate"/>
          </w:r>
          <w:r w:rsidR="001B6513">
            <w:t>Figure </w:t>
          </w:r>
          <w:r w:rsidR="001B6513">
            <w:rPr>
              <w:noProof/>
            </w:rPr>
            <w:t>1</w:t>
          </w:r>
          <w:r>
            <w:fldChar w:fldCharType="end"/>
          </w:r>
          <w:r>
            <w:t xml:space="preserve"> and </w:t>
          </w:r>
          <w:r>
            <w:fldChar w:fldCharType="begin"/>
          </w:r>
          <w:r>
            <w:instrText xml:space="preserve"> REF _Ref464459946 \h </w:instrText>
          </w:r>
          <w:r>
            <w:fldChar w:fldCharType="separate"/>
          </w:r>
          <w:r w:rsidR="001B6513">
            <w:t>Figure </w:t>
          </w:r>
          <w:r w:rsidR="001B6513">
            <w:rPr>
              <w:noProof/>
            </w:rPr>
            <w:t>2</w:t>
          </w:r>
          <w:r>
            <w:fldChar w:fldCharType="end"/>
          </w:r>
          <w:r>
            <w:t>.</w:t>
          </w:r>
        </w:p>
        <w:p w:rsidR="004E6FA8" w:rsidRDefault="000A61CE" w:rsidP="004E6FA8">
          <w:pPr>
            <w:pStyle w:val="Heading2"/>
          </w:pPr>
          <w:bookmarkStart w:id="24" w:name="_Toc464036695"/>
          <w:bookmarkStart w:id="25" w:name="_Toc464036696"/>
          <w:bookmarkStart w:id="26" w:name="_Toc464036697"/>
          <w:bookmarkStart w:id="27" w:name="_Toc464036698"/>
          <w:bookmarkStart w:id="28" w:name="_Toc464036699"/>
          <w:bookmarkStart w:id="29" w:name="_Ref438024823"/>
          <w:bookmarkStart w:id="30" w:name="_Toc467748137"/>
          <w:bookmarkEnd w:id="24"/>
          <w:bookmarkEnd w:id="25"/>
          <w:bookmarkEnd w:id="26"/>
          <w:bookmarkEnd w:id="27"/>
          <w:bookmarkEnd w:id="28"/>
          <w:r>
            <w:t>T</w:t>
          </w:r>
          <w:r w:rsidR="004E6FA8">
            <w:t>he cumulative price threshold</w:t>
          </w:r>
          <w:bookmarkEnd w:id="29"/>
          <w:bookmarkEnd w:id="30"/>
        </w:p>
        <w:p w:rsidR="009C6AA8" w:rsidRDefault="004E6FA8" w:rsidP="003A6EF3">
          <w:pPr>
            <w:pStyle w:val="AERbody"/>
          </w:pPr>
          <w:r>
            <w:t xml:space="preserve">Under the National Electricity </w:t>
          </w:r>
          <w:r w:rsidR="00146D5D">
            <w:t>Rules</w:t>
          </w:r>
          <w:r w:rsidR="000A41A2">
            <w:rPr>
              <w:rStyle w:val="FootnoteReference"/>
            </w:rPr>
            <w:footnoteReference w:id="7"/>
          </w:r>
          <w:r>
            <w:t xml:space="preserve">, if the </w:t>
          </w:r>
          <w:r w:rsidR="0081234F">
            <w:t xml:space="preserve">sum </w:t>
          </w:r>
          <w:r>
            <w:t xml:space="preserve">of the previous 2016 dispatch prices exceeds six times the CPT </w:t>
          </w:r>
          <w:r w:rsidR="0081234F">
            <w:t xml:space="preserve">(currently </w:t>
          </w:r>
          <w:r>
            <w:t>$2</w:t>
          </w:r>
          <w:r w:rsidR="002D15C7">
            <w:t>10</w:t>
          </w:r>
          <w:r>
            <w:t> </w:t>
          </w:r>
          <w:r w:rsidR="002D15C7">
            <w:t>1</w:t>
          </w:r>
          <w:r>
            <w:t>00</w:t>
          </w:r>
          <w:r w:rsidR="0081234F">
            <w:t>)</w:t>
          </w:r>
          <w:r>
            <w:t xml:space="preserve"> for any FCAS</w:t>
          </w:r>
          <w:r w:rsidR="0081234F">
            <w:t>,</w:t>
          </w:r>
          <w:r>
            <w:t xml:space="preserve"> then an administered price cap of $300/MW </w:t>
          </w:r>
          <w:r w:rsidR="00CD1D1A">
            <w:t>is applied to all services where</w:t>
          </w:r>
          <w:r>
            <w:t xml:space="preserve"> the price would exceed the administered price cap. </w:t>
          </w:r>
        </w:p>
        <w:p w:rsidR="004E6FA8" w:rsidRDefault="00C0642A" w:rsidP="003A6EF3">
          <w:pPr>
            <w:pStyle w:val="AERbody"/>
          </w:pPr>
          <w:r>
            <w:fldChar w:fldCharType="begin"/>
          </w:r>
          <w:r>
            <w:instrText xml:space="preserve"> REF _Ref465168988 \h </w:instrText>
          </w:r>
          <w:r>
            <w:fldChar w:fldCharType="separate"/>
          </w:r>
          <w:r w:rsidR="001B6513">
            <w:t>Figure </w:t>
          </w:r>
          <w:r w:rsidR="001B6513">
            <w:rPr>
              <w:noProof/>
            </w:rPr>
            <w:t>3</w:t>
          </w:r>
          <w:r>
            <w:fldChar w:fldCharType="end"/>
          </w:r>
          <w:r>
            <w:t xml:space="preserve"> </w:t>
          </w:r>
          <w:r w:rsidR="004E6FA8">
            <w:t xml:space="preserve">shows the </w:t>
          </w:r>
          <w:r w:rsidR="000A41A2">
            <w:t xml:space="preserve">cumulative </w:t>
          </w:r>
          <w:r w:rsidR="009B4EEA">
            <w:t>price</w:t>
          </w:r>
          <w:r w:rsidR="000A41A2">
            <w:t>s</w:t>
          </w:r>
          <w:r w:rsidR="004E6FA8">
            <w:t xml:space="preserve"> of </w:t>
          </w:r>
          <w:r w:rsidR="000A41A2">
            <w:t xml:space="preserve">both </w:t>
          </w:r>
          <w:r w:rsidR="004E6FA8">
            <w:t>regulation</w:t>
          </w:r>
          <w:r w:rsidR="000A41A2">
            <w:t xml:space="preserve"> services</w:t>
          </w:r>
          <w:r w:rsidR="00E13482">
            <w:t xml:space="preserve"> (dashed red and blue lines</w:t>
          </w:r>
          <w:r w:rsidR="003E1CCD">
            <w:t xml:space="preserve"> for lower and raise respectively</w:t>
          </w:r>
          <w:r w:rsidR="00E13482">
            <w:t>)</w:t>
          </w:r>
          <w:r w:rsidR="004E6FA8">
            <w:t>, the dispatch price</w:t>
          </w:r>
          <w:r w:rsidR="00E13482">
            <w:t>s</w:t>
          </w:r>
          <w:r w:rsidR="004E6FA8">
            <w:t xml:space="preserve"> </w:t>
          </w:r>
          <w:r w:rsidR="00E13482">
            <w:t xml:space="preserve">for both services (solid red </w:t>
          </w:r>
          <w:r w:rsidR="004E6FA8">
            <w:t xml:space="preserve">and </w:t>
          </w:r>
          <w:r w:rsidR="00E13482">
            <w:t>blue lines</w:t>
          </w:r>
          <w:r w:rsidR="003E1CCD">
            <w:t xml:space="preserve"> for lower and raise respectively</w:t>
          </w:r>
          <w:r w:rsidR="00E13482">
            <w:t xml:space="preserve">) </w:t>
          </w:r>
          <w:r w:rsidR="00CD1D1A">
            <w:t xml:space="preserve">and </w:t>
          </w:r>
          <w:r w:rsidR="004E6FA8">
            <w:t>six times the CPT value</w:t>
          </w:r>
          <w:r w:rsidR="003E1CCD">
            <w:t xml:space="preserve"> (solid green line at $1 260 000, or </w:t>
          </w:r>
          <w:r w:rsidR="00816801">
            <w:t>six</w:t>
          </w:r>
          <w:r w:rsidR="003E1CCD">
            <w:t xml:space="preserve"> times $210 000)</w:t>
          </w:r>
          <w:r w:rsidR="004E6FA8">
            <w:t xml:space="preserve">. </w:t>
          </w:r>
          <w:r w:rsidR="000A41A2">
            <w:t xml:space="preserve">The figure shows </w:t>
          </w:r>
          <w:r w:rsidR="004E6FA8">
            <w:t xml:space="preserve">that the </w:t>
          </w:r>
          <w:r w:rsidR="000A41A2">
            <w:t xml:space="preserve">cumulative prices of both services (red and blue dashed lines) exceeded six times the </w:t>
          </w:r>
          <w:r w:rsidR="003E1CCD">
            <w:t>CPT</w:t>
          </w:r>
          <w:r w:rsidR="000A41A2">
            <w:t xml:space="preserve"> </w:t>
          </w:r>
          <w:r w:rsidR="004E6FA8">
            <w:t>on 1</w:t>
          </w:r>
          <w:r w:rsidR="00AF1F59">
            <w:t>1</w:t>
          </w:r>
          <w:r w:rsidR="00862769">
            <w:t> </w:t>
          </w:r>
          <w:r w:rsidR="00AF1F59">
            <w:t>August</w:t>
          </w:r>
          <w:r w:rsidR="000A41A2">
            <w:t xml:space="preserve"> before falling below the threshold </w:t>
          </w:r>
          <w:r w:rsidR="00E13482">
            <w:t xml:space="preserve">again on 18 August. </w:t>
          </w:r>
        </w:p>
        <w:p w:rsidR="004E6FA8" w:rsidRDefault="00C0642A" w:rsidP="00C0642A">
          <w:pPr>
            <w:pStyle w:val="Caption"/>
          </w:pPr>
          <w:bookmarkStart w:id="31" w:name="_Ref465168988"/>
          <w:r>
            <w:lastRenderedPageBreak/>
            <w:t>Figure </w:t>
          </w:r>
          <w:fldSimple w:instr=" SEQ Figure \* ARABIC ">
            <w:r w:rsidR="001B6513">
              <w:rPr>
                <w:noProof/>
              </w:rPr>
              <w:t>3</w:t>
            </w:r>
          </w:fldSimple>
          <w:bookmarkEnd w:id="31"/>
          <w:r>
            <w:t xml:space="preserve">: </w:t>
          </w:r>
          <w:r w:rsidRPr="00E03A99">
            <w:t>South Australian local regulation services price, cumulative price and CPT</w:t>
          </w:r>
        </w:p>
        <w:p w:rsidR="00BE3A1A" w:rsidRDefault="00BE3A1A" w:rsidP="00BE3A1A">
          <w:pPr>
            <w:keepNext/>
          </w:pPr>
          <w:r w:rsidRPr="00BE3A1A">
            <w:rPr>
              <w:noProof/>
              <w:lang w:eastAsia="en-AU"/>
            </w:rPr>
            <w:drawing>
              <wp:inline distT="0" distB="0" distL="0" distR="0" wp14:anchorId="4F815A18" wp14:editId="306A3BC0">
                <wp:extent cx="5382895" cy="3905771"/>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2895" cy="3905771"/>
                        </a:xfrm>
                        <a:prstGeom prst="rect">
                          <a:avLst/>
                        </a:prstGeom>
                        <a:noFill/>
                        <a:ln>
                          <a:noFill/>
                        </a:ln>
                      </pic:spPr>
                    </pic:pic>
                  </a:graphicData>
                </a:graphic>
              </wp:inline>
            </w:drawing>
          </w:r>
        </w:p>
        <w:p w:rsidR="004E6FA8" w:rsidRDefault="009C6AA8" w:rsidP="00C0642A">
          <w:pPr>
            <w:pStyle w:val="AERbody"/>
          </w:pPr>
          <w:r>
            <w:t>During an a</w:t>
          </w:r>
          <w:r w:rsidR="004E6FA8">
            <w:t xml:space="preserve">dministered price period the </w:t>
          </w:r>
          <w:r w:rsidR="00400F5A">
            <w:t xml:space="preserve">cumulative price </w:t>
          </w:r>
          <w:r w:rsidR="004E6FA8">
            <w:t>is calculated using uncapped price</w:t>
          </w:r>
          <w:r w:rsidR="00400F5A">
            <w:t>s</w:t>
          </w:r>
          <w:r w:rsidR="004E6FA8">
            <w:t xml:space="preserve"> based on generator offers</w:t>
          </w:r>
          <w:r w:rsidR="00400F5A">
            <w:t>.</w:t>
          </w:r>
          <w:r w:rsidR="0025020A">
            <w:t xml:space="preserve"> </w:t>
          </w:r>
          <w:r w:rsidR="00400F5A">
            <w:t>In other words the cumulative price is calculated according to what the price would have been</w:t>
          </w:r>
          <w:r w:rsidR="002951BC">
            <w:t>,</w:t>
          </w:r>
          <w:r w:rsidR="00400F5A">
            <w:t xml:space="preserve"> had the administered price cap not been </w:t>
          </w:r>
          <w:proofErr w:type="gramStart"/>
          <w:r w:rsidR="00400F5A">
            <w:t>applied.</w:t>
          </w:r>
          <w:proofErr w:type="gramEnd"/>
          <w:r w:rsidR="00400F5A">
            <w:t xml:space="preserve"> </w:t>
          </w:r>
          <w:r w:rsidR="004E6FA8">
            <w:t xml:space="preserve">The dashed red and blue lines continue above the </w:t>
          </w:r>
          <w:r w:rsidR="00400F5A">
            <w:t xml:space="preserve">green </w:t>
          </w:r>
          <w:r w:rsidR="004E6FA8">
            <w:t xml:space="preserve">line because </w:t>
          </w:r>
          <w:r w:rsidR="00400F5A">
            <w:t xml:space="preserve">prices based on </w:t>
          </w:r>
          <w:r w:rsidR="004E6FA8">
            <w:t xml:space="preserve">generator offers remained high </w:t>
          </w:r>
          <w:r w:rsidR="00400F5A">
            <w:t xml:space="preserve">beyond </w:t>
          </w:r>
          <w:r w:rsidR="00EF7B2F">
            <w:t xml:space="preserve">7.30 pm, </w:t>
          </w:r>
          <w:r w:rsidR="00400F5A">
            <w:t xml:space="preserve">the time the </w:t>
          </w:r>
          <w:r w:rsidR="004E6FA8">
            <w:t>administ</w:t>
          </w:r>
          <w:r w:rsidR="00400F5A">
            <w:t>ered</w:t>
          </w:r>
          <w:r w:rsidR="004E6FA8">
            <w:t xml:space="preserve"> price cap </w:t>
          </w:r>
          <w:r w:rsidR="00400F5A">
            <w:t>(of $300/MW) was</w:t>
          </w:r>
          <w:r w:rsidR="004E6FA8">
            <w:t xml:space="preserve"> imposed.</w:t>
          </w:r>
          <w:r w:rsidR="0025020A">
            <w:t xml:space="preserve"> </w:t>
          </w:r>
        </w:p>
        <w:p w:rsidR="00C7068C" w:rsidRPr="006D5E16" w:rsidRDefault="00C7068C" w:rsidP="00C7068C">
          <w:pPr>
            <w:rPr>
              <w:rStyle w:val="Bold"/>
            </w:rPr>
          </w:pPr>
          <w:bookmarkStart w:id="32" w:name="_Toc437433900"/>
          <w:bookmarkStart w:id="33" w:name="_Toc437433901"/>
          <w:bookmarkStart w:id="34" w:name="_Toc437433903"/>
          <w:bookmarkStart w:id="35" w:name="_Toc437433905"/>
          <w:bookmarkStart w:id="36" w:name="_Toc437433906"/>
          <w:bookmarkStart w:id="37" w:name="_Toc437433907"/>
          <w:bookmarkEnd w:id="32"/>
          <w:bookmarkEnd w:id="33"/>
          <w:bookmarkEnd w:id="34"/>
          <w:bookmarkEnd w:id="35"/>
          <w:bookmarkEnd w:id="36"/>
          <w:bookmarkEnd w:id="37"/>
          <w:r w:rsidRPr="006D5E16">
            <w:rPr>
              <w:rStyle w:val="Bold"/>
            </w:rPr>
            <w:t>Australian Energy Regulator</w:t>
          </w:r>
        </w:p>
        <w:p w:rsidR="00A26B7E" w:rsidRDefault="009611C4" w:rsidP="00A26B7E">
          <w:pPr>
            <w:rPr>
              <w:rStyle w:val="Bold"/>
            </w:rPr>
          </w:pPr>
          <w:r>
            <w:rPr>
              <w:rStyle w:val="Bold"/>
            </w:rPr>
            <w:t>November</w:t>
          </w:r>
          <w:r w:rsidR="00712C6A" w:rsidRPr="006D5E16">
            <w:rPr>
              <w:rStyle w:val="Bold"/>
            </w:rPr>
            <w:t xml:space="preserve"> </w:t>
          </w:r>
          <w:r w:rsidR="00C7068C" w:rsidRPr="006D5E16">
            <w:rPr>
              <w:rStyle w:val="Bold"/>
            </w:rPr>
            <w:t>201</w:t>
          </w:r>
          <w:r w:rsidR="00257E31">
            <w:rPr>
              <w:rStyle w:val="Bold"/>
            </w:rPr>
            <w:t>6</w:t>
          </w:r>
        </w:p>
        <w:p w:rsidR="00A26B7E" w:rsidRDefault="00A26B7E" w:rsidP="00FE5784">
          <w:pPr>
            <w:rPr>
              <w:lang w:eastAsia="en-AU"/>
            </w:rPr>
          </w:pPr>
        </w:p>
        <w:p w:rsidR="00A26B7E" w:rsidRDefault="00A26B7E">
          <w:pPr>
            <w:spacing w:line="240" w:lineRule="auto"/>
            <w:jc w:val="left"/>
            <w:rPr>
              <w:rFonts w:eastAsiaTheme="majorEastAsia" w:cstheme="majorBidi"/>
              <w:b/>
              <w:bCs/>
              <w:color w:val="70635A" w:themeColor="text2"/>
              <w:sz w:val="32"/>
              <w:szCs w:val="26"/>
            </w:rPr>
          </w:pPr>
          <w:r>
            <w:br w:type="page"/>
          </w:r>
        </w:p>
        <w:p w:rsidR="00992010" w:rsidRDefault="00992010" w:rsidP="00992010">
          <w:pPr>
            <w:pStyle w:val="Heading1notnumber"/>
          </w:pPr>
          <w:bookmarkStart w:id="38" w:name="_Toc467748138"/>
          <w:r>
            <w:lastRenderedPageBreak/>
            <w:t xml:space="preserve">Appendix </w:t>
          </w:r>
          <w:proofErr w:type="spellStart"/>
          <w:proofErr w:type="gramStart"/>
          <w:r w:rsidR="00F7693E">
            <w:t>A</w:t>
          </w:r>
          <w:proofErr w:type="spellEnd"/>
          <w:proofErr w:type="gramEnd"/>
          <w:r>
            <w:tab/>
            <w:t>Explanation of FCAS</w:t>
          </w:r>
          <w:bookmarkEnd w:id="38"/>
        </w:p>
        <w:p w:rsidR="00992010" w:rsidRDefault="00992010" w:rsidP="00C0642A">
          <w:pPr>
            <w:pStyle w:val="AERbody"/>
          </w:pPr>
          <w:r>
            <w:t xml:space="preserve">Frequency control ancillary services (FCAS) are required to maintain the frequency of the power system within the frequency operating standards. There are two </w:t>
          </w:r>
          <w:r w:rsidR="001F37F7">
            <w:t xml:space="preserve">general categories </w:t>
          </w:r>
          <w:r>
            <w:t xml:space="preserve">of FCAS: </w:t>
          </w:r>
        </w:p>
        <w:p w:rsidR="00992010" w:rsidRDefault="00992010" w:rsidP="00992010">
          <w:pPr>
            <w:pStyle w:val="Bulletpoint"/>
          </w:pPr>
          <w:r>
            <w:t xml:space="preserve">Regulation services, which continuously </w:t>
          </w:r>
          <w:r w:rsidR="001F37F7">
            <w:t>adjust to</w:t>
          </w:r>
          <w:r>
            <w:t xml:space="preserve"> small changes in demand or supply (changes that cause the frequency to move by only a small amount away from 50</w:t>
          </w:r>
          <w:r w:rsidR="00D623D8">
            <w:t> </w:t>
          </w:r>
          <w:r>
            <w:t>Hz). There are regulation services to increase the frequency (raise regulation or RREG) and services to decrease the frequency (lower regulation or LREG).</w:t>
          </w:r>
        </w:p>
        <w:p w:rsidR="00992010" w:rsidRDefault="00992010" w:rsidP="00992010">
          <w:pPr>
            <w:pStyle w:val="Bulletpoint"/>
          </w:pPr>
          <w:r>
            <w:t xml:space="preserve">Contingency services, which manage large changes in demand or supply that occur relatively rarely and move the frequency by a large amount. </w:t>
          </w:r>
          <w:r w:rsidR="008B66AF">
            <w:t>T</w:t>
          </w:r>
          <w:r>
            <w:t xml:space="preserve">here are </w:t>
          </w:r>
          <w:r w:rsidR="001F37F7">
            <w:t xml:space="preserve">three </w:t>
          </w:r>
          <w:r>
            <w:t xml:space="preserve">contingency services to increase the frequency and </w:t>
          </w:r>
          <w:r w:rsidR="001F37F7">
            <w:t xml:space="preserve">three </w:t>
          </w:r>
          <w:r>
            <w:t>contingency services to decrease the frequency.</w:t>
          </w:r>
          <w:r w:rsidR="008B66AF">
            <w:t xml:space="preserve"> </w:t>
          </w:r>
        </w:p>
        <w:p w:rsidR="00992010" w:rsidRDefault="00992010" w:rsidP="00C0642A">
          <w:pPr>
            <w:pStyle w:val="AERbody"/>
          </w:pPr>
          <w:r>
            <w:t xml:space="preserve">Raise </w:t>
          </w:r>
          <w:r w:rsidR="00F75714">
            <w:t xml:space="preserve">Contingency </w:t>
          </w:r>
          <w:r>
            <w:t>FCAS are required to be available to correct the frequency excursions that have arisen from a credible contingency event that leads to a decrease in frequency. As these contingency events usually involve step reductions in supply</w:t>
          </w:r>
          <w:r w:rsidR="001F37F7">
            <w:t xml:space="preserve"> side</w:t>
          </w:r>
          <w:r>
            <w:t xml:space="preserve">, the Electricity Rules stipulate that generators pay for these services. </w:t>
          </w:r>
        </w:p>
        <w:p w:rsidR="00992010" w:rsidRDefault="00992010" w:rsidP="00C0642A">
          <w:pPr>
            <w:pStyle w:val="AERbody"/>
          </w:pPr>
          <w:r>
            <w:t xml:space="preserve">Lower contingency FCAS are the services required to be available to correct the frequency excursions that arise from a credible contingency event that leads to an increase in frequency. As these contingency events usually involve step reductions in customer demand, the Electricity Rules stipulate that customers pay for these services. </w:t>
          </w:r>
        </w:p>
        <w:p w:rsidR="00F57A15" w:rsidRDefault="00F57A15" w:rsidP="00C0642A">
          <w:pPr>
            <w:pStyle w:val="AERbody"/>
          </w:pPr>
          <w:r>
            <w:t>Participants providing regulation services will receive adjusted dispatch targets every 5 minutes via their automatic generation co</w:t>
          </w:r>
          <w:r w:rsidR="00D623D8">
            <w:t xml:space="preserve">ntrol (AGC) signals from AEMO. </w:t>
          </w:r>
          <w:r>
            <w:t xml:space="preserve">Participants are paid through the FCAS markets in accordance with their offered volumes. Their energy </w:t>
          </w:r>
          <w:proofErr w:type="gramStart"/>
          <w:r>
            <w:t>production</w:t>
          </w:r>
          <w:proofErr w:type="gramEnd"/>
          <w:r w:rsidR="00D623D8">
            <w:t>,</w:t>
          </w:r>
          <w:r>
            <w:t xml:space="preserve"> that may be higher or lower depending on the AGC signals they receive</w:t>
          </w:r>
          <w:r w:rsidR="00D623D8">
            <w:t>,</w:t>
          </w:r>
          <w:r>
            <w:t xml:space="preserve"> are settled in accordance with energy market prices.</w:t>
          </w:r>
        </w:p>
        <w:p w:rsidR="00992010" w:rsidRDefault="00992010" w:rsidP="00C0642A">
          <w:pPr>
            <w:pStyle w:val="AERbody"/>
          </w:pPr>
          <w:r>
            <w:t>There are three lower and three raise contingency services:</w:t>
          </w:r>
        </w:p>
        <w:p w:rsidR="00992010" w:rsidRDefault="00992010" w:rsidP="00992010">
          <w:pPr>
            <w:pStyle w:val="Bulletpoint"/>
          </w:pPr>
          <w:r>
            <w:t>fast services, which arrest a frequency deviation within the first six seconds of a contingent event (L6 and R6);</w:t>
          </w:r>
        </w:p>
        <w:p w:rsidR="00992010" w:rsidRDefault="00992010" w:rsidP="00992010">
          <w:pPr>
            <w:pStyle w:val="Bulletpoint"/>
          </w:pPr>
          <w:r>
            <w:t>slow services, which stabilise frequency deviations within sixty seconds of the event (L60/R60); and</w:t>
          </w:r>
        </w:p>
        <w:p w:rsidR="00992010" w:rsidRDefault="00992010" w:rsidP="00992010">
          <w:pPr>
            <w:pStyle w:val="Bulletpoint"/>
          </w:pPr>
          <w:proofErr w:type="gramStart"/>
          <w:r>
            <w:t>delayed</w:t>
          </w:r>
          <w:proofErr w:type="gramEnd"/>
          <w:r>
            <w:t xml:space="preserve"> services, which stabilise frequency deviations within five minutes of the event (L5/R5).</w:t>
          </w:r>
        </w:p>
        <w:p w:rsidR="00F57A15" w:rsidRDefault="00F57A15" w:rsidP="00C0642A">
          <w:pPr>
            <w:pStyle w:val="AERbody"/>
          </w:pPr>
          <w:r>
            <w:t xml:space="preserve">Participants offering to provide contingency services are enabled in accordance with the “trapezium” </w:t>
          </w:r>
          <w:r w:rsidR="00D623D8">
            <w:t>supplied in their offers.</w:t>
          </w:r>
          <w:r>
            <w:t xml:space="preserve"> While participants will not necessarily be supplying these services until a contingency occurs they are paid in accordance with their enablement.</w:t>
          </w:r>
        </w:p>
        <w:p w:rsidR="00F57A15" w:rsidRDefault="00F57A15">
          <w:pPr>
            <w:spacing w:line="240" w:lineRule="auto"/>
            <w:jc w:val="left"/>
            <w:rPr>
              <w:rFonts w:eastAsia="Times New Roman" w:cs="Times New Roman"/>
              <w:b/>
              <w:bCs/>
              <w:color w:val="70635A" w:themeColor="text2"/>
              <w:sz w:val="28"/>
              <w:szCs w:val="20"/>
            </w:rPr>
          </w:pPr>
          <w:r>
            <w:br w:type="page"/>
          </w:r>
        </w:p>
        <w:p w:rsidR="00992010" w:rsidRDefault="00992010" w:rsidP="00992010">
          <w:pPr>
            <w:pStyle w:val="Heading3notnumbered"/>
            <w:rPr>
              <w:lang w:eastAsia="en-AU"/>
            </w:rPr>
          </w:pPr>
          <w:bookmarkStart w:id="39" w:name="_Toc467748139"/>
          <w:r>
            <w:rPr>
              <w:lang w:eastAsia="en-AU"/>
            </w:rPr>
            <w:lastRenderedPageBreak/>
            <w:t xml:space="preserve">Frequency Control Ancillary Service </w:t>
          </w:r>
          <w:r w:rsidR="00356964">
            <w:rPr>
              <w:lang w:eastAsia="en-AU"/>
            </w:rPr>
            <w:t>settlement and who pays</w:t>
          </w:r>
          <w:bookmarkEnd w:id="39"/>
        </w:p>
        <w:p w:rsidR="00992010" w:rsidRPr="00F014DC" w:rsidRDefault="00992010" w:rsidP="00C0642A">
          <w:pPr>
            <w:pStyle w:val="AERbody"/>
            <w:rPr>
              <w:lang w:eastAsia="en-AU"/>
            </w:rPr>
          </w:pPr>
          <w:r w:rsidRPr="00F014DC">
            <w:rPr>
              <w:lang w:eastAsia="en-AU"/>
            </w:rPr>
            <w:t xml:space="preserve">AEMO </w:t>
          </w:r>
          <w:r>
            <w:rPr>
              <w:lang w:eastAsia="en-AU"/>
            </w:rPr>
            <w:t>settles</w:t>
          </w:r>
          <w:r w:rsidRPr="00F014DC">
            <w:rPr>
              <w:lang w:eastAsia="en-AU"/>
            </w:rPr>
            <w:t xml:space="preserve"> the FCAS markets </w:t>
          </w:r>
          <w:r>
            <w:rPr>
              <w:lang w:eastAsia="en-AU"/>
            </w:rPr>
            <w:t xml:space="preserve">on a </w:t>
          </w:r>
          <w:r w:rsidRPr="00F014DC">
            <w:rPr>
              <w:lang w:eastAsia="en-AU"/>
            </w:rPr>
            <w:t>week</w:t>
          </w:r>
          <w:r>
            <w:rPr>
              <w:lang w:eastAsia="en-AU"/>
            </w:rPr>
            <w:t>ly basis</w:t>
          </w:r>
          <w:r w:rsidRPr="00F014DC">
            <w:rPr>
              <w:lang w:eastAsia="en-AU"/>
            </w:rPr>
            <w:t>, as follows.</w:t>
          </w:r>
        </w:p>
        <w:p w:rsidR="00992010" w:rsidRPr="00F014DC" w:rsidRDefault="00992010" w:rsidP="00992010">
          <w:pPr>
            <w:pStyle w:val="Bulletpoint"/>
            <w:rPr>
              <w:lang w:eastAsia="en-AU"/>
            </w:rPr>
          </w:pPr>
          <w:r w:rsidRPr="00F014DC">
            <w:rPr>
              <w:lang w:eastAsia="en-AU"/>
            </w:rPr>
            <w:t xml:space="preserve">Contingency FCAS: Generators pay for Raise Services and customers pay for Lower Services. </w:t>
          </w:r>
        </w:p>
        <w:p w:rsidR="00992010" w:rsidRPr="00F014DC" w:rsidRDefault="00992010" w:rsidP="00992010">
          <w:pPr>
            <w:pStyle w:val="Bulletpoint"/>
            <w:rPr>
              <w:lang w:eastAsia="en-AU"/>
            </w:rPr>
          </w:pPr>
          <w:r w:rsidRPr="00F014DC">
            <w:rPr>
              <w:lang w:eastAsia="en-AU"/>
            </w:rPr>
            <w:t xml:space="preserve">Regulation FCAS: Cost recovery on a “causer pays” basis using the </w:t>
          </w:r>
          <w:r w:rsidRPr="00772EA1">
            <w:rPr>
              <w:i/>
              <w:lang w:eastAsia="en-AU"/>
            </w:rPr>
            <w:t>Causer Pays Procedure</w:t>
          </w:r>
          <w:r w:rsidRPr="00F014DC">
            <w:rPr>
              <w:lang w:eastAsia="en-AU"/>
            </w:rPr>
            <w:t xml:space="preserve"> developed by AEMO in accordance with the </w:t>
          </w:r>
          <w:r>
            <w:rPr>
              <w:lang w:eastAsia="en-AU"/>
            </w:rPr>
            <w:t xml:space="preserve">appropriate </w:t>
          </w:r>
          <w:r w:rsidR="001D31E4">
            <w:rPr>
              <w:lang w:eastAsia="en-AU"/>
            </w:rPr>
            <w:t>Rules</w:t>
          </w:r>
          <w:r w:rsidR="001D31E4" w:rsidRPr="00F014DC">
            <w:rPr>
              <w:lang w:eastAsia="en-AU"/>
            </w:rPr>
            <w:t xml:space="preserve"> </w:t>
          </w:r>
          <w:r w:rsidRPr="00F014DC">
            <w:rPr>
              <w:lang w:eastAsia="en-AU"/>
            </w:rPr>
            <w:t>procedure</w:t>
          </w:r>
          <w:r>
            <w:rPr>
              <w:lang w:eastAsia="en-AU"/>
            </w:rPr>
            <w:t>s</w:t>
          </w:r>
          <w:r w:rsidRPr="00F014DC">
            <w:rPr>
              <w:lang w:eastAsia="en-AU"/>
            </w:rPr>
            <w:t xml:space="preserve">. </w:t>
          </w:r>
        </w:p>
        <w:p w:rsidR="00992010" w:rsidRPr="00F014DC" w:rsidRDefault="00992010" w:rsidP="00C0642A">
          <w:pPr>
            <w:pStyle w:val="AERbody"/>
            <w:rPr>
              <w:lang w:eastAsia="en-AU"/>
            </w:rPr>
          </w:pPr>
          <w:r w:rsidRPr="00F014DC">
            <w:rPr>
              <w:lang w:eastAsia="en-AU"/>
            </w:rPr>
            <w:t xml:space="preserve">The </w:t>
          </w:r>
          <w:r w:rsidRPr="00772EA1">
            <w:rPr>
              <w:i/>
              <w:lang w:eastAsia="en-AU"/>
            </w:rPr>
            <w:t>Causer Pays Procedure</w:t>
          </w:r>
          <w:r w:rsidRPr="00F014DC">
            <w:rPr>
              <w:lang w:eastAsia="en-AU"/>
            </w:rPr>
            <w:t xml:space="preserve"> allocates </w:t>
          </w:r>
          <w:r w:rsidR="00F75714" w:rsidRPr="00F014DC">
            <w:rPr>
              <w:lang w:eastAsia="en-AU"/>
            </w:rPr>
            <w:t xml:space="preserve">regulation </w:t>
          </w:r>
          <w:r w:rsidRPr="00F014DC">
            <w:rPr>
              <w:lang w:eastAsia="en-AU"/>
            </w:rPr>
            <w:t xml:space="preserve">FCAS costs to those market generators, customers and small generation aggregators with facilities that have the metering capable of determining their contribution to frequency deviations at any time. </w:t>
          </w:r>
        </w:p>
        <w:p w:rsidR="00992010" w:rsidRPr="00F014DC" w:rsidRDefault="00992010" w:rsidP="00C0642A">
          <w:pPr>
            <w:pStyle w:val="AERbody"/>
            <w:rPr>
              <w:lang w:eastAsia="en-AU"/>
            </w:rPr>
          </w:pPr>
          <w:r w:rsidRPr="00F014DC">
            <w:rPr>
              <w:lang w:eastAsia="en-AU"/>
            </w:rPr>
            <w:t xml:space="preserve">Every four weeks based on historical data </w:t>
          </w:r>
          <w:r>
            <w:rPr>
              <w:lang w:eastAsia="en-AU"/>
            </w:rPr>
            <w:t xml:space="preserve">AEMO calculates </w:t>
          </w:r>
          <w:r w:rsidRPr="00F014DC">
            <w:rPr>
              <w:lang w:eastAsia="en-AU"/>
            </w:rPr>
            <w:t xml:space="preserve">a single causer pays contribution factor </w:t>
          </w:r>
          <w:r>
            <w:rPr>
              <w:lang w:eastAsia="en-AU"/>
            </w:rPr>
            <w:t xml:space="preserve">that represents each market participants </w:t>
          </w:r>
          <w:r w:rsidRPr="00F014DC">
            <w:rPr>
              <w:lang w:eastAsia="en-AU"/>
            </w:rPr>
            <w:t xml:space="preserve">aggregate contribution to the need for </w:t>
          </w:r>
          <w:r w:rsidR="001D31E4">
            <w:rPr>
              <w:lang w:eastAsia="en-AU"/>
            </w:rPr>
            <w:t>r</w:t>
          </w:r>
          <w:r w:rsidR="001D31E4" w:rsidRPr="00F014DC">
            <w:rPr>
              <w:lang w:eastAsia="en-AU"/>
            </w:rPr>
            <w:t xml:space="preserve">egulation </w:t>
          </w:r>
          <w:r w:rsidRPr="00F014DC">
            <w:rPr>
              <w:lang w:eastAsia="en-AU"/>
            </w:rPr>
            <w:t>FCAS on a portfolio basis across the NEM</w:t>
          </w:r>
          <w:r>
            <w:rPr>
              <w:lang w:eastAsia="en-AU"/>
            </w:rPr>
            <w:t xml:space="preserve">. </w:t>
          </w:r>
          <w:r w:rsidRPr="00F014DC">
            <w:rPr>
              <w:lang w:eastAsia="en-AU"/>
            </w:rPr>
            <w:t>This contribution factor is not dependent on the amount of energy purchased/consumed by the participant – consequently a generator with a non-zero factor in a particular period will still pay a share of FCAS costs irrespective of how much of its generation is running. Any market generator</w:t>
          </w:r>
          <w:r w:rsidR="00F75714">
            <w:rPr>
              <w:lang w:eastAsia="en-AU"/>
            </w:rPr>
            <w:t>,</w:t>
          </w:r>
          <w:r w:rsidRPr="00F014DC">
            <w:rPr>
              <w:lang w:eastAsia="en-AU"/>
            </w:rPr>
            <w:t xml:space="preserve"> with a non-zero contribution factor </w:t>
          </w:r>
          <w:r w:rsidR="00F75714">
            <w:rPr>
              <w:lang w:eastAsia="en-AU"/>
            </w:rPr>
            <w:t xml:space="preserve">with </w:t>
          </w:r>
          <w:r w:rsidRPr="00F014DC">
            <w:rPr>
              <w:lang w:eastAsia="en-AU"/>
            </w:rPr>
            <w:t>generating units in SA</w:t>
          </w:r>
          <w:r w:rsidR="00F75714">
            <w:rPr>
              <w:lang w:eastAsia="en-AU"/>
            </w:rPr>
            <w:t>,</w:t>
          </w:r>
          <w:r w:rsidRPr="00F014DC">
            <w:rPr>
              <w:lang w:eastAsia="en-AU"/>
            </w:rPr>
            <w:t xml:space="preserve"> will incur </w:t>
          </w:r>
          <w:r>
            <w:rPr>
              <w:lang w:eastAsia="en-AU"/>
            </w:rPr>
            <w:t>r</w:t>
          </w:r>
          <w:r w:rsidRPr="00F014DC">
            <w:rPr>
              <w:lang w:eastAsia="en-AU"/>
            </w:rPr>
            <w:t>egulation FCAS costs.</w:t>
          </w:r>
        </w:p>
        <w:p w:rsidR="00992010" w:rsidRPr="00F014DC" w:rsidRDefault="00992010" w:rsidP="00C0642A">
          <w:pPr>
            <w:pStyle w:val="AERbody"/>
            <w:rPr>
              <w:lang w:eastAsia="en-AU"/>
            </w:rPr>
          </w:pPr>
          <w:r>
            <w:rPr>
              <w:lang w:eastAsia="en-AU"/>
            </w:rPr>
            <w:t xml:space="preserve">Since not all of the costs will be recovered from generators, the </w:t>
          </w:r>
          <w:r w:rsidRPr="00F014DC">
            <w:rPr>
              <w:lang w:eastAsia="en-AU"/>
            </w:rPr>
            <w:t xml:space="preserve">residual costs </w:t>
          </w:r>
          <w:r>
            <w:rPr>
              <w:lang w:eastAsia="en-AU"/>
            </w:rPr>
            <w:t xml:space="preserve">are recovered </w:t>
          </w:r>
          <w:r w:rsidRPr="00F014DC">
            <w:rPr>
              <w:lang w:eastAsia="en-AU"/>
            </w:rPr>
            <w:t>from market customers (including retailers) in the relevant region, based on the amount of energy each market customer is purchasing.</w:t>
          </w:r>
        </w:p>
        <w:p w:rsidR="00963258" w:rsidRDefault="00963258" w:rsidP="00963258">
          <w:pPr>
            <w:pStyle w:val="Heading1notnumber"/>
          </w:pPr>
          <w:bookmarkStart w:id="40" w:name="_Toc467748140"/>
          <w:r>
            <w:lastRenderedPageBreak/>
            <w:t>Appendix B Local Frequency Control Ancillary Services</w:t>
          </w:r>
          <w:bookmarkEnd w:id="40"/>
        </w:p>
        <w:p w:rsidR="00963258" w:rsidRDefault="00963258" w:rsidP="00963258">
          <w:pPr>
            <w:pStyle w:val="AERbody"/>
          </w:pPr>
          <w:r>
            <w:t xml:space="preserve">AEMO sets the requirement for FCAS to ensure that the frequency standard (as set by the Reliability Panel) is maintained in the event of step changes in supply or demand that results from credible contingencies. Where a credible contingency results in the loss of an interconnector it is termed a “separation event”. </w:t>
          </w:r>
        </w:p>
        <w:p w:rsidR="00963258" w:rsidRDefault="00963258" w:rsidP="00963258">
          <w:pPr>
            <w:pStyle w:val="AERbody"/>
          </w:pPr>
          <w:r>
            <w:t xml:space="preserve">The standard states that in the event of a “separation event” the frequency must be contained within 49 to 51 Hz or a wider band notified to AEMO by a relevant </w:t>
          </w:r>
          <w:r w:rsidRPr="00356964">
            <w:t>jurisdictional system security coordinator</w:t>
          </w:r>
          <w:r>
            <w:t xml:space="preserve"> (JSSC). In the case of South Australia the </w:t>
          </w:r>
          <w:r w:rsidRPr="00CC35B8">
            <w:t xml:space="preserve">JSSC </w:t>
          </w:r>
          <w:r>
            <w:t>determined</w:t>
          </w:r>
          <w:r w:rsidRPr="00CC35B8">
            <w:t xml:space="preserve"> the frequency band for separation of the South Australian power system </w:t>
          </w:r>
          <w:r>
            <w:t>to be</w:t>
          </w:r>
          <w:r w:rsidRPr="00CC35B8">
            <w:t xml:space="preserve"> 47 to 52</w:t>
          </w:r>
          <w:r>
            <w:t> </w:t>
          </w:r>
          <w:r w:rsidRPr="00CC35B8">
            <w:t>Hz and that under</w:t>
          </w:r>
          <w:r>
            <w:t>-</w:t>
          </w:r>
          <w:r w:rsidRPr="00CC35B8">
            <w:t>frequency relays will operate at frequency levels in the low end of this range.</w:t>
          </w:r>
        </w:p>
        <w:p w:rsidR="00963258" w:rsidRDefault="00963258" w:rsidP="00963258">
          <w:pPr>
            <w:pStyle w:val="AERbody"/>
          </w:pPr>
          <w:r>
            <w:t xml:space="preserve">When there is a potential separation event caused by the loss of an interconnector “local frequency control ancillary services” are usually required. </w:t>
          </w:r>
        </w:p>
        <w:p w:rsidR="00963258" w:rsidRDefault="00963258" w:rsidP="00963258">
          <w:pPr>
            <w:pStyle w:val="AERbody"/>
          </w:pPr>
          <w:r>
            <w:t>If the region was exporting at the time the interconnector fails, then as a consequence of the immediate over supply situation local contingency “lower” services are required in the islanded region to lower the frequency (typically generators offer to quickly reduce output to lower frequency). In other words, the loss of the Heywood interconnector when power is flowing from South Australia, results in an oversupply of generation, increasing the frequency in South Australia. Contingency lower services are sourced from registered suppliers in South Australia (typically generators) in proportion to the flow across the interconnector from South Australia to Victoria to quickly reduce that over frequency.</w:t>
          </w:r>
        </w:p>
        <w:p w:rsidR="00963258" w:rsidRDefault="00963258" w:rsidP="00963258">
          <w:pPr>
            <w:pStyle w:val="AERbody"/>
          </w:pPr>
          <w:r w:rsidRPr="00CC35B8">
            <w:t>A similar situation exists for contingency “raise” services for all other regions except South Australia where, in accordance with the advice from the JSSC, the raise requirement is covered by under frequency load shedding. In other</w:t>
          </w:r>
          <w:r>
            <w:t xml:space="preserve"> words, the loss of the Heywood interconnector when power is flowing into South Australia, results in an undersupply of generation decreasing the frequency in South Australia. Under frequency load shedding reduces demand in blocks to arrest the falling frequency until supply matches demand and the frequency is restored.</w:t>
          </w:r>
        </w:p>
        <w:p w:rsidR="00963258" w:rsidRDefault="00963258" w:rsidP="00963258">
          <w:pPr>
            <w:pStyle w:val="AERbody"/>
          </w:pPr>
          <w:r w:rsidRPr="005A2081">
            <w:t xml:space="preserve">In either event, in the past, in the period immediately following the separation event AEMO would invoke local regulation services and establish a local regulation reference source to manage frequency until the region can be reconnected to the rest of the NEM. It is this aspect that has been </w:t>
          </w:r>
          <w:r>
            <w:t xml:space="preserve">recently </w:t>
          </w:r>
          <w:r w:rsidRPr="005A2081">
            <w:t>changed by AEMO. AEMO will now impose a requirement for local lower and raise</w:t>
          </w:r>
          <w:r>
            <w:t xml:space="preserve"> regulation services in South Australia prior to the failure of the interconnector so that frequency after an island is formed, and after the contingency services have operated, can be smoothly maintained.</w:t>
          </w:r>
        </w:p>
        <w:p w:rsidR="00963258" w:rsidRDefault="00963258" w:rsidP="00963258">
          <w:pPr>
            <w:spacing w:line="240" w:lineRule="auto"/>
            <w:jc w:val="left"/>
            <w:rPr>
              <w:rFonts w:eastAsia="Times New Roman" w:cs="Times New Roman"/>
              <w:b/>
              <w:bCs/>
              <w:color w:val="70635A" w:themeColor="text2"/>
              <w:sz w:val="28"/>
              <w:szCs w:val="20"/>
              <w:lang w:eastAsia="en-AU"/>
            </w:rPr>
          </w:pPr>
          <w:r>
            <w:rPr>
              <w:lang w:eastAsia="en-AU"/>
            </w:rPr>
            <w:br w:type="page"/>
          </w:r>
        </w:p>
        <w:p w:rsidR="00C7068C" w:rsidRDefault="00F1391C" w:rsidP="00C7068C">
          <w:pPr>
            <w:pStyle w:val="Heading1notnumber"/>
          </w:pPr>
          <w:bookmarkStart w:id="41" w:name="_Toc467748141"/>
          <w:r>
            <w:lastRenderedPageBreak/>
            <w:t xml:space="preserve">Appendix </w:t>
          </w:r>
          <w:r w:rsidR="00963258">
            <w:t>C</w:t>
          </w:r>
          <w:r w:rsidR="00C7068C">
            <w:tab/>
            <w:t>Significant Rebids</w:t>
          </w:r>
          <w:bookmarkEnd w:id="41"/>
        </w:p>
        <w:p w:rsidR="00C7068C" w:rsidRDefault="00C7068C" w:rsidP="00C7068C">
          <w:r w:rsidRPr="003E380F">
            <w:t xml:space="preserve">The rebidding tables highlight the relevant rebids submitted by generators that impacted on market outcomes during the </w:t>
          </w:r>
          <w:r>
            <w:t xml:space="preserve">time of </w:t>
          </w:r>
          <w:r w:rsidRPr="003E380F">
            <w:t>high price</w:t>
          </w:r>
          <w:r>
            <w:t>s. It details</w:t>
          </w:r>
          <w:r w:rsidRPr="003E380F">
            <w:t xml:space="preserve"> the time the rebid was submitted and used by the dispatch process, the capacity involved</w:t>
          </w:r>
          <w:r w:rsidR="00CC65AF">
            <w:t>,</w:t>
          </w:r>
          <w:r w:rsidRPr="003E380F">
            <w:t xml:space="preserve"> the change in the price of the capacity was being offered</w:t>
          </w:r>
          <w:r w:rsidR="00CC65AF">
            <w:t xml:space="preserve"> and</w:t>
          </w:r>
          <w:r w:rsidRPr="003E380F">
            <w:t xml:space="preserve"> </w:t>
          </w:r>
          <w:r w:rsidR="00CC65AF">
            <w:t>t</w:t>
          </w:r>
          <w:r w:rsidRPr="003E380F">
            <w:t xml:space="preserve">he </w:t>
          </w:r>
          <w:r w:rsidR="00CC65AF">
            <w:t>rebid reason</w:t>
          </w:r>
          <w:r w:rsidRPr="003E380F">
            <w:t>.</w:t>
          </w:r>
        </w:p>
        <w:p w:rsidR="00C7068C" w:rsidRDefault="00BE3A1A" w:rsidP="00C7068C">
          <w:pPr>
            <w:pStyle w:val="Caption"/>
          </w:pPr>
          <w:r>
            <w:t xml:space="preserve">Table </w:t>
          </w:r>
          <w:r w:rsidR="009611C4">
            <w:t>C</w:t>
          </w:r>
          <w:r w:rsidR="00EA6B2F">
            <w:t xml:space="preserve"> </w:t>
          </w:r>
          <w:fldSimple w:instr=" SEQ Table_C \* ARABIC ">
            <w:r w:rsidR="001B6513">
              <w:rPr>
                <w:noProof/>
              </w:rPr>
              <w:t>1</w:t>
            </w:r>
          </w:fldSimple>
          <w:r w:rsidR="00EA6B2F">
            <w:t xml:space="preserve">: </w:t>
          </w:r>
          <w:r w:rsidR="00C7068C">
            <w:t xml:space="preserve">Significant </w:t>
          </w:r>
          <w:r w:rsidR="006F3333">
            <w:t xml:space="preserve">rebids </w:t>
          </w:r>
          <w:r w:rsidR="00C7068C">
            <w:t xml:space="preserve">for </w:t>
          </w:r>
          <w:r w:rsidR="00F26E06">
            <w:t xml:space="preserve">11 </w:t>
          </w:r>
          <w:r w:rsidR="005E2AB8">
            <w:t>August</w:t>
          </w:r>
          <w:r w:rsidR="009D1002">
            <w:t xml:space="preserve"> – lower regulation</w:t>
          </w:r>
        </w:p>
        <w:tbl>
          <w:tblPr>
            <w:tblStyle w:val="AERsummarytable"/>
            <w:tblW w:w="8727" w:type="dxa"/>
            <w:tblInd w:w="-34" w:type="dxa"/>
            <w:tblLayout w:type="fixed"/>
            <w:tblLook w:val="04A0" w:firstRow="1" w:lastRow="0" w:firstColumn="1" w:lastColumn="0" w:noHBand="0" w:noVBand="1"/>
          </w:tblPr>
          <w:tblGrid>
            <w:gridCol w:w="968"/>
            <w:gridCol w:w="1017"/>
            <w:gridCol w:w="1153"/>
            <w:gridCol w:w="1148"/>
            <w:gridCol w:w="994"/>
            <w:gridCol w:w="811"/>
            <w:gridCol w:w="896"/>
            <w:gridCol w:w="1740"/>
          </w:tblGrid>
          <w:tr w:rsidR="00056AF9" w:rsidRPr="00FE396E" w:rsidTr="006560B5">
            <w:trPr>
              <w:cnfStyle w:val="100000000000" w:firstRow="1" w:lastRow="0" w:firstColumn="0" w:lastColumn="0" w:oddVBand="0" w:evenVBand="0" w:oddHBand="0" w:evenHBand="0" w:firstRowFirstColumn="0" w:firstRowLastColumn="0" w:lastRowFirstColumn="0" w:lastRowLastColumn="0"/>
              <w:trHeight w:val="780"/>
              <w:tblHeader/>
            </w:trPr>
            <w:tc>
              <w:tcPr>
                <w:tcW w:w="968" w:type="dxa"/>
              </w:tcPr>
              <w:p w:rsidR="00B80409" w:rsidRDefault="00B80409" w:rsidP="00B80409">
                <w:pPr>
                  <w:jc w:val="center"/>
                  <w:textAlignment w:val="top"/>
                  <w:divId w:val="1297251709"/>
                  <w:rPr>
                    <w:sz w:val="2"/>
                    <w:szCs w:val="2"/>
                  </w:rPr>
                </w:pPr>
                <w:r>
                  <w:rPr>
                    <w:rStyle w:val="a531"/>
                  </w:rPr>
                  <w:t>Submit time</w:t>
                </w:r>
              </w:p>
            </w:tc>
            <w:tc>
              <w:tcPr>
                <w:tcW w:w="1017" w:type="dxa"/>
              </w:tcPr>
              <w:p w:rsidR="00B80409" w:rsidRDefault="00B80409">
                <w:pPr>
                  <w:jc w:val="center"/>
                  <w:textAlignment w:val="top"/>
                  <w:divId w:val="330447966"/>
                  <w:rPr>
                    <w:sz w:val="2"/>
                    <w:szCs w:val="2"/>
                  </w:rPr>
                </w:pPr>
                <w:r>
                  <w:rPr>
                    <w:rStyle w:val="a571"/>
                  </w:rPr>
                  <w:t>Time</w:t>
                </w:r>
                <w:r>
                  <w:rPr>
                    <w:rFonts w:cs="Arial"/>
                    <w:color w:val="FFFFFF"/>
                    <w:szCs w:val="18"/>
                  </w:rPr>
                  <w:br/>
                </w:r>
                <w:r>
                  <w:rPr>
                    <w:rStyle w:val="a571"/>
                  </w:rPr>
                  <w:t>effective</w:t>
                </w:r>
              </w:p>
            </w:tc>
            <w:tc>
              <w:tcPr>
                <w:tcW w:w="1153" w:type="dxa"/>
                <w:hideMark/>
              </w:tcPr>
              <w:p w:rsidR="00B80409" w:rsidRDefault="00B80409">
                <w:pPr>
                  <w:jc w:val="center"/>
                  <w:textAlignment w:val="top"/>
                  <w:rPr>
                    <w:rFonts w:cs="Arial"/>
                    <w:color w:val="FFFFFF"/>
                    <w:szCs w:val="18"/>
                  </w:rPr>
                </w:pPr>
                <w:r>
                  <w:rPr>
                    <w:rFonts w:cs="Arial"/>
                    <w:color w:val="FFFFFF"/>
                    <w:szCs w:val="18"/>
                  </w:rPr>
                  <w:t>Participant</w:t>
                </w:r>
              </w:p>
            </w:tc>
            <w:tc>
              <w:tcPr>
                <w:tcW w:w="1148" w:type="dxa"/>
                <w:hideMark/>
              </w:tcPr>
              <w:p w:rsidR="00B80409" w:rsidRDefault="00B80409">
                <w:pPr>
                  <w:jc w:val="center"/>
                  <w:textAlignment w:val="top"/>
                  <w:rPr>
                    <w:rFonts w:cs="Arial"/>
                    <w:color w:val="FFFFFF"/>
                    <w:szCs w:val="18"/>
                  </w:rPr>
                </w:pPr>
                <w:r>
                  <w:rPr>
                    <w:rFonts w:cs="Arial"/>
                    <w:color w:val="FFFFFF"/>
                    <w:szCs w:val="18"/>
                  </w:rPr>
                  <w:t>Station</w:t>
                </w:r>
              </w:p>
            </w:tc>
            <w:tc>
              <w:tcPr>
                <w:tcW w:w="994" w:type="dxa"/>
                <w:hideMark/>
              </w:tcPr>
              <w:p w:rsidR="00B80409" w:rsidRDefault="00B80409">
                <w:pPr>
                  <w:jc w:val="center"/>
                  <w:textAlignment w:val="top"/>
                  <w:divId w:val="1761215993"/>
                  <w:rPr>
                    <w:sz w:val="2"/>
                    <w:szCs w:val="2"/>
                  </w:rPr>
                </w:pPr>
                <w:r>
                  <w:rPr>
                    <w:rStyle w:val="a691"/>
                  </w:rPr>
                  <w:t>Capacity rebid</w:t>
                </w:r>
                <w:r>
                  <w:rPr>
                    <w:rFonts w:cs="Arial"/>
                    <w:color w:val="FFFFFF"/>
                    <w:szCs w:val="18"/>
                  </w:rPr>
                  <w:br/>
                </w:r>
                <w:r>
                  <w:rPr>
                    <w:rStyle w:val="a691"/>
                  </w:rPr>
                  <w:t>(MW)</w:t>
                </w:r>
              </w:p>
            </w:tc>
            <w:tc>
              <w:tcPr>
                <w:tcW w:w="811" w:type="dxa"/>
                <w:hideMark/>
              </w:tcPr>
              <w:p w:rsidR="00B80409" w:rsidRDefault="00B80409" w:rsidP="00432F60">
                <w:pPr>
                  <w:jc w:val="center"/>
                  <w:textAlignment w:val="top"/>
                  <w:divId w:val="161817275"/>
                  <w:rPr>
                    <w:sz w:val="2"/>
                    <w:szCs w:val="2"/>
                  </w:rPr>
                </w:pPr>
                <w:r>
                  <w:rPr>
                    <w:rStyle w:val="a731"/>
                  </w:rPr>
                  <w:t>Price from</w:t>
                </w:r>
                <w:r>
                  <w:rPr>
                    <w:rFonts w:cs="Arial"/>
                    <w:color w:val="FFFFFF"/>
                    <w:szCs w:val="18"/>
                  </w:rPr>
                  <w:br/>
                </w:r>
                <w:r>
                  <w:rPr>
                    <w:rStyle w:val="a731"/>
                  </w:rPr>
                  <w:t>($/MW)</w:t>
                </w:r>
              </w:p>
            </w:tc>
            <w:tc>
              <w:tcPr>
                <w:tcW w:w="896" w:type="dxa"/>
                <w:hideMark/>
              </w:tcPr>
              <w:p w:rsidR="00B80409" w:rsidRDefault="00B80409" w:rsidP="00432F60">
                <w:pPr>
                  <w:jc w:val="center"/>
                  <w:textAlignment w:val="top"/>
                  <w:divId w:val="1395664897"/>
                  <w:rPr>
                    <w:sz w:val="2"/>
                    <w:szCs w:val="2"/>
                  </w:rPr>
                </w:pPr>
                <w:r>
                  <w:rPr>
                    <w:rStyle w:val="a771"/>
                  </w:rPr>
                  <w:t>Price to ($/MW)</w:t>
                </w:r>
              </w:p>
            </w:tc>
            <w:tc>
              <w:tcPr>
                <w:tcW w:w="1740" w:type="dxa"/>
                <w:hideMark/>
              </w:tcPr>
              <w:p w:rsidR="00B80409" w:rsidRDefault="00B80409">
                <w:pPr>
                  <w:jc w:val="center"/>
                  <w:textAlignment w:val="top"/>
                  <w:rPr>
                    <w:rFonts w:cs="Arial"/>
                    <w:color w:val="FFFFFF"/>
                    <w:szCs w:val="18"/>
                  </w:rPr>
                </w:pPr>
                <w:r>
                  <w:rPr>
                    <w:rFonts w:cs="Arial"/>
                    <w:color w:val="FFFFFF"/>
                    <w:szCs w:val="18"/>
                  </w:rPr>
                  <w:t>Rebid reason</w:t>
                </w:r>
              </w:p>
            </w:tc>
          </w:tr>
          <w:tr w:rsidR="00056AF9" w:rsidRPr="00FE396E" w:rsidTr="006560B5">
            <w:trPr>
              <w:cnfStyle w:val="000000100000" w:firstRow="0" w:lastRow="0" w:firstColumn="0" w:lastColumn="0" w:oddVBand="0" w:evenVBand="0" w:oddHBand="1" w:evenHBand="0" w:firstRowFirstColumn="0" w:firstRowLastColumn="0" w:lastRowFirstColumn="0" w:lastRowLastColumn="0"/>
              <w:trHeight w:val="606"/>
            </w:trPr>
            <w:tc>
              <w:tcPr>
                <w:tcW w:w="968" w:type="dxa"/>
                <w:vAlign w:val="center"/>
              </w:tcPr>
              <w:p w:rsidR="00B80409" w:rsidRDefault="005E2AB8" w:rsidP="00F26E06">
                <w:pPr>
                  <w:jc w:val="center"/>
                  <w:textAlignment w:val="center"/>
                  <w:rPr>
                    <w:rFonts w:cs="Arial"/>
                    <w:color w:val="000000"/>
                    <w:szCs w:val="18"/>
                  </w:rPr>
                </w:pPr>
                <w:r>
                  <w:rPr>
                    <w:rFonts w:cs="Arial"/>
                    <w:color w:val="000000"/>
                    <w:szCs w:val="18"/>
                  </w:rPr>
                  <w:t>9.46 am</w:t>
                </w:r>
              </w:p>
            </w:tc>
            <w:tc>
              <w:tcPr>
                <w:tcW w:w="1017" w:type="dxa"/>
                <w:vAlign w:val="center"/>
              </w:tcPr>
              <w:p w:rsidR="00B80409" w:rsidRDefault="005E2AB8" w:rsidP="005E2AB8">
                <w:pPr>
                  <w:jc w:val="center"/>
                  <w:textAlignment w:val="center"/>
                  <w:rPr>
                    <w:sz w:val="24"/>
                    <w:szCs w:val="24"/>
                  </w:rPr>
                </w:pPr>
                <w:r>
                  <w:rPr>
                    <w:rFonts w:cs="Arial"/>
                    <w:color w:val="000000"/>
                    <w:szCs w:val="18"/>
                  </w:rPr>
                  <w:t>10</w:t>
                </w:r>
                <w:r w:rsidR="00F26E06" w:rsidRPr="00F26E06">
                  <w:rPr>
                    <w:rFonts w:cs="Arial"/>
                    <w:color w:val="000000"/>
                    <w:szCs w:val="18"/>
                  </w:rPr>
                  <w:t>.</w:t>
                </w:r>
                <w:r>
                  <w:rPr>
                    <w:rFonts w:cs="Arial"/>
                    <w:color w:val="000000"/>
                    <w:szCs w:val="18"/>
                  </w:rPr>
                  <w:t>35 a</w:t>
                </w:r>
                <w:r w:rsidR="00F26E06" w:rsidRPr="00F26E06">
                  <w:rPr>
                    <w:rFonts w:cs="Arial"/>
                    <w:color w:val="000000"/>
                    <w:szCs w:val="18"/>
                  </w:rPr>
                  <w:t>m</w:t>
                </w:r>
              </w:p>
            </w:tc>
            <w:tc>
              <w:tcPr>
                <w:tcW w:w="1153" w:type="dxa"/>
                <w:vAlign w:val="center"/>
              </w:tcPr>
              <w:p w:rsidR="00B80409" w:rsidRDefault="0073312A">
                <w:pPr>
                  <w:textAlignment w:val="center"/>
                  <w:rPr>
                    <w:rFonts w:cs="Arial"/>
                    <w:color w:val="000000"/>
                    <w:szCs w:val="18"/>
                  </w:rPr>
                </w:pPr>
                <w:r>
                  <w:rPr>
                    <w:rFonts w:cs="Arial"/>
                    <w:color w:val="000000"/>
                    <w:szCs w:val="18"/>
                  </w:rPr>
                  <w:t>Origin</w:t>
                </w:r>
              </w:p>
            </w:tc>
            <w:tc>
              <w:tcPr>
                <w:tcW w:w="1148" w:type="dxa"/>
                <w:vAlign w:val="center"/>
              </w:tcPr>
              <w:p w:rsidR="00B80409" w:rsidRDefault="005E2AB8">
                <w:pPr>
                  <w:textAlignment w:val="center"/>
                  <w:rPr>
                    <w:rFonts w:cs="Arial"/>
                    <w:color w:val="000000"/>
                    <w:szCs w:val="18"/>
                  </w:rPr>
                </w:pPr>
                <w:r>
                  <w:rPr>
                    <w:rFonts w:cs="Arial"/>
                    <w:color w:val="000000"/>
                    <w:szCs w:val="18"/>
                  </w:rPr>
                  <w:t>Quarantine</w:t>
                </w:r>
              </w:p>
            </w:tc>
            <w:tc>
              <w:tcPr>
                <w:tcW w:w="994" w:type="dxa"/>
                <w:vAlign w:val="center"/>
              </w:tcPr>
              <w:p w:rsidR="00B80409" w:rsidRDefault="005E2AB8">
                <w:pPr>
                  <w:jc w:val="center"/>
                  <w:textAlignment w:val="center"/>
                  <w:rPr>
                    <w:rFonts w:cs="Arial"/>
                    <w:color w:val="000000"/>
                    <w:szCs w:val="18"/>
                  </w:rPr>
                </w:pPr>
                <w:r>
                  <w:rPr>
                    <w:rFonts w:cs="Arial"/>
                    <w:color w:val="000000"/>
                    <w:szCs w:val="18"/>
                  </w:rPr>
                  <w:t>5</w:t>
                </w:r>
              </w:p>
            </w:tc>
            <w:tc>
              <w:tcPr>
                <w:tcW w:w="811" w:type="dxa"/>
                <w:vAlign w:val="center"/>
              </w:tcPr>
              <w:p w:rsidR="00B80409" w:rsidRDefault="00F26E06">
                <w:pPr>
                  <w:jc w:val="center"/>
                  <w:textAlignment w:val="center"/>
                  <w:rPr>
                    <w:rFonts w:cs="Arial"/>
                    <w:color w:val="000000"/>
                    <w:szCs w:val="18"/>
                  </w:rPr>
                </w:pPr>
                <w:r>
                  <w:rPr>
                    <w:rFonts w:cs="Arial"/>
                    <w:color w:val="000000"/>
                    <w:szCs w:val="18"/>
                  </w:rPr>
                  <w:t>0</w:t>
                </w:r>
              </w:p>
            </w:tc>
            <w:tc>
              <w:tcPr>
                <w:tcW w:w="896" w:type="dxa"/>
                <w:vAlign w:val="center"/>
              </w:tcPr>
              <w:p w:rsidR="00B80409" w:rsidRDefault="005E2AB8" w:rsidP="005E2AB8">
                <w:pPr>
                  <w:jc w:val="center"/>
                  <w:textAlignment w:val="center"/>
                  <w:rPr>
                    <w:rFonts w:cs="Arial"/>
                    <w:color w:val="000000"/>
                    <w:szCs w:val="18"/>
                  </w:rPr>
                </w:pPr>
                <w:r>
                  <w:rPr>
                    <w:rFonts w:cs="Arial"/>
                    <w:color w:val="000000"/>
                    <w:szCs w:val="18"/>
                  </w:rPr>
                  <w:t>&gt;</w:t>
                </w:r>
                <w:r w:rsidR="00F26E06">
                  <w:rPr>
                    <w:rFonts w:cs="Arial"/>
                    <w:color w:val="000000"/>
                    <w:szCs w:val="18"/>
                  </w:rPr>
                  <w:t>1</w:t>
                </w:r>
                <w:r>
                  <w:rPr>
                    <w:rFonts w:cs="Arial"/>
                    <w:color w:val="000000"/>
                    <w:szCs w:val="18"/>
                  </w:rPr>
                  <w:t>1</w:t>
                </w:r>
                <w:r w:rsidR="00F26E06">
                  <w:rPr>
                    <w:rFonts w:cs="Arial"/>
                    <w:color w:val="000000"/>
                    <w:szCs w:val="18"/>
                  </w:rPr>
                  <w:t xml:space="preserve"> </w:t>
                </w:r>
                <w:r>
                  <w:rPr>
                    <w:rFonts w:cs="Arial"/>
                    <w:color w:val="000000"/>
                    <w:szCs w:val="18"/>
                  </w:rPr>
                  <w:t>9</w:t>
                </w:r>
                <w:r w:rsidR="00F26E06">
                  <w:rPr>
                    <w:rFonts w:cs="Arial"/>
                    <w:color w:val="000000"/>
                    <w:szCs w:val="18"/>
                  </w:rPr>
                  <w:t>00</w:t>
                </w:r>
              </w:p>
            </w:tc>
            <w:tc>
              <w:tcPr>
                <w:tcW w:w="1740" w:type="dxa"/>
                <w:vAlign w:val="center"/>
              </w:tcPr>
              <w:p w:rsidR="00B80409" w:rsidRPr="00D7487D" w:rsidRDefault="005E2AB8" w:rsidP="000B3B13">
                <w:pPr>
                  <w:spacing w:before="120"/>
                  <w:jc w:val="left"/>
                  <w:textAlignment w:val="center"/>
                  <w:rPr>
                    <w:rFonts w:cs="Arial"/>
                    <w:color w:val="000000"/>
                    <w:szCs w:val="18"/>
                  </w:rPr>
                </w:pPr>
                <w:r w:rsidRPr="00D7487D">
                  <w:rPr>
                    <w:rFonts w:cs="Arial"/>
                    <w:szCs w:val="18"/>
                  </w:rPr>
                  <w:t>0942A DEC IN SA DEM - 5PD 1681MW &lt; 30PD 1728MW @ 1000 SL</w:t>
                </w:r>
              </w:p>
            </w:tc>
          </w:tr>
          <w:tr w:rsidR="00056AF9" w:rsidRPr="00FE396E" w:rsidTr="006560B5">
            <w:trPr>
              <w:cnfStyle w:val="000000010000" w:firstRow="0" w:lastRow="0" w:firstColumn="0" w:lastColumn="0" w:oddVBand="0" w:evenVBand="0" w:oddHBand="0" w:evenHBand="1" w:firstRowFirstColumn="0" w:firstRowLastColumn="0" w:lastRowFirstColumn="0" w:lastRowLastColumn="0"/>
              <w:trHeight w:val="606"/>
            </w:trPr>
            <w:tc>
              <w:tcPr>
                <w:tcW w:w="968" w:type="dxa"/>
                <w:vAlign w:val="center"/>
              </w:tcPr>
              <w:p w:rsidR="005E2AB8" w:rsidRDefault="005E2AB8" w:rsidP="00F26E06">
                <w:pPr>
                  <w:jc w:val="center"/>
                  <w:textAlignment w:val="center"/>
                  <w:rPr>
                    <w:rFonts w:cs="Arial"/>
                    <w:color w:val="000000"/>
                    <w:szCs w:val="18"/>
                  </w:rPr>
                </w:pPr>
                <w:r>
                  <w:rPr>
                    <w:rFonts w:cs="Arial"/>
                    <w:color w:val="000000"/>
                    <w:szCs w:val="18"/>
                  </w:rPr>
                  <w:t>11.06 pm</w:t>
                </w:r>
              </w:p>
            </w:tc>
            <w:tc>
              <w:tcPr>
                <w:tcW w:w="1017" w:type="dxa"/>
                <w:vAlign w:val="center"/>
              </w:tcPr>
              <w:p w:rsidR="005E2AB8" w:rsidRDefault="005E2AB8" w:rsidP="005E2AB8">
                <w:pPr>
                  <w:jc w:val="center"/>
                  <w:textAlignment w:val="center"/>
                  <w:rPr>
                    <w:rFonts w:cs="Arial"/>
                    <w:color w:val="000000"/>
                    <w:szCs w:val="18"/>
                  </w:rPr>
                </w:pPr>
                <w:r>
                  <w:rPr>
                    <w:rFonts w:cs="Arial"/>
                    <w:color w:val="000000"/>
                    <w:szCs w:val="18"/>
                  </w:rPr>
                  <w:t>11.35 am</w:t>
                </w:r>
              </w:p>
            </w:tc>
            <w:tc>
              <w:tcPr>
                <w:tcW w:w="1153" w:type="dxa"/>
                <w:vAlign w:val="center"/>
              </w:tcPr>
              <w:p w:rsidR="005E2AB8" w:rsidRDefault="0073312A">
                <w:pPr>
                  <w:textAlignment w:val="center"/>
                  <w:rPr>
                    <w:rFonts w:cs="Arial"/>
                    <w:color w:val="000000"/>
                    <w:szCs w:val="18"/>
                  </w:rPr>
                </w:pPr>
                <w:r>
                  <w:rPr>
                    <w:rFonts w:cs="Arial"/>
                    <w:color w:val="000000"/>
                    <w:szCs w:val="18"/>
                  </w:rPr>
                  <w:t>Origin</w:t>
                </w:r>
              </w:p>
            </w:tc>
            <w:tc>
              <w:tcPr>
                <w:tcW w:w="1148" w:type="dxa"/>
                <w:vAlign w:val="center"/>
              </w:tcPr>
              <w:p w:rsidR="005E2AB8" w:rsidRDefault="005E2AB8">
                <w:pPr>
                  <w:textAlignment w:val="center"/>
                  <w:rPr>
                    <w:rFonts w:cs="Arial"/>
                    <w:color w:val="000000"/>
                    <w:szCs w:val="18"/>
                  </w:rPr>
                </w:pPr>
                <w:r>
                  <w:rPr>
                    <w:rFonts w:cs="Arial"/>
                    <w:color w:val="000000"/>
                    <w:szCs w:val="18"/>
                  </w:rPr>
                  <w:t>Quarantine</w:t>
                </w:r>
              </w:p>
            </w:tc>
            <w:tc>
              <w:tcPr>
                <w:tcW w:w="994" w:type="dxa"/>
                <w:vAlign w:val="center"/>
              </w:tcPr>
              <w:p w:rsidR="005E2AB8" w:rsidRDefault="005E2AB8">
                <w:pPr>
                  <w:jc w:val="center"/>
                  <w:textAlignment w:val="center"/>
                  <w:rPr>
                    <w:rFonts w:cs="Arial"/>
                    <w:color w:val="000000"/>
                    <w:szCs w:val="18"/>
                  </w:rPr>
                </w:pPr>
                <w:r>
                  <w:rPr>
                    <w:rFonts w:cs="Arial"/>
                    <w:color w:val="000000"/>
                    <w:szCs w:val="18"/>
                  </w:rPr>
                  <w:t>5</w:t>
                </w:r>
              </w:p>
            </w:tc>
            <w:tc>
              <w:tcPr>
                <w:tcW w:w="811" w:type="dxa"/>
                <w:vAlign w:val="center"/>
              </w:tcPr>
              <w:p w:rsidR="005E2AB8" w:rsidRDefault="005E2AB8">
                <w:pPr>
                  <w:jc w:val="center"/>
                  <w:textAlignment w:val="center"/>
                  <w:rPr>
                    <w:rFonts w:cs="Arial"/>
                    <w:color w:val="000000"/>
                    <w:szCs w:val="18"/>
                  </w:rPr>
                </w:pPr>
                <w:r>
                  <w:rPr>
                    <w:rFonts w:cs="Arial"/>
                    <w:color w:val="000000"/>
                    <w:szCs w:val="18"/>
                  </w:rPr>
                  <w:t>0</w:t>
                </w:r>
              </w:p>
            </w:tc>
            <w:tc>
              <w:tcPr>
                <w:tcW w:w="896" w:type="dxa"/>
                <w:vAlign w:val="center"/>
              </w:tcPr>
              <w:p w:rsidR="005E2AB8" w:rsidRDefault="005E2AB8" w:rsidP="005E2AB8">
                <w:pPr>
                  <w:jc w:val="center"/>
                  <w:textAlignment w:val="center"/>
                  <w:rPr>
                    <w:rFonts w:cs="Arial"/>
                    <w:color w:val="000000"/>
                    <w:szCs w:val="18"/>
                  </w:rPr>
                </w:pPr>
                <w:r w:rsidRPr="005E2AB8">
                  <w:rPr>
                    <w:rFonts w:cs="Arial"/>
                    <w:color w:val="000000"/>
                    <w:szCs w:val="18"/>
                  </w:rPr>
                  <w:t>≥</w:t>
                </w:r>
                <w:r>
                  <w:rPr>
                    <w:rFonts w:cs="Arial"/>
                    <w:color w:val="000000"/>
                    <w:szCs w:val="18"/>
                  </w:rPr>
                  <w:t>10 990</w:t>
                </w:r>
              </w:p>
            </w:tc>
            <w:tc>
              <w:tcPr>
                <w:tcW w:w="1740" w:type="dxa"/>
                <w:vAlign w:val="center"/>
              </w:tcPr>
              <w:p w:rsidR="005E2AB8" w:rsidRPr="00D7487D" w:rsidRDefault="005E2AB8" w:rsidP="00EA6B2F">
                <w:pPr>
                  <w:keepNext/>
                  <w:spacing w:before="120"/>
                  <w:jc w:val="left"/>
                  <w:textAlignment w:val="center"/>
                  <w:rPr>
                    <w:rFonts w:cs="Arial"/>
                    <w:szCs w:val="18"/>
                  </w:rPr>
                </w:pPr>
                <w:r w:rsidRPr="00D7487D">
                  <w:rPr>
                    <w:rFonts w:cs="Arial"/>
                    <w:szCs w:val="18"/>
                  </w:rPr>
                  <w:t>1055A DEC IN SA DEM - 5PD 1497MW &lt; 30PD 1550MW @ 1130 SL</w:t>
                </w:r>
              </w:p>
            </w:tc>
          </w:tr>
          <w:tr w:rsidR="003E1CCD" w:rsidRPr="00FE396E" w:rsidTr="006560B5">
            <w:trPr>
              <w:cnfStyle w:val="000000100000" w:firstRow="0" w:lastRow="0" w:firstColumn="0" w:lastColumn="0" w:oddVBand="0" w:evenVBand="0" w:oddHBand="1" w:evenHBand="0" w:firstRowFirstColumn="0" w:firstRowLastColumn="0" w:lastRowFirstColumn="0" w:lastRowLastColumn="0"/>
              <w:trHeight w:val="606"/>
            </w:trPr>
            <w:tc>
              <w:tcPr>
                <w:tcW w:w="968" w:type="dxa"/>
                <w:vAlign w:val="center"/>
              </w:tcPr>
              <w:p w:rsidR="003E1CCD" w:rsidRDefault="007B3152" w:rsidP="007B3152">
                <w:pPr>
                  <w:jc w:val="center"/>
                  <w:textAlignment w:val="center"/>
                  <w:rPr>
                    <w:rFonts w:cs="Arial"/>
                    <w:color w:val="000000"/>
                    <w:szCs w:val="18"/>
                  </w:rPr>
                </w:pPr>
                <w:r>
                  <w:rPr>
                    <w:rFonts w:cs="Arial"/>
                    <w:color w:val="000000"/>
                    <w:szCs w:val="18"/>
                  </w:rPr>
                  <w:t>8.48 pm</w:t>
                </w:r>
              </w:p>
            </w:tc>
            <w:tc>
              <w:tcPr>
                <w:tcW w:w="1017" w:type="dxa"/>
                <w:vAlign w:val="center"/>
              </w:tcPr>
              <w:p w:rsidR="003E1CCD" w:rsidRDefault="00243C50" w:rsidP="005E2AB8">
                <w:pPr>
                  <w:jc w:val="center"/>
                  <w:textAlignment w:val="center"/>
                  <w:rPr>
                    <w:rFonts w:cs="Arial"/>
                    <w:color w:val="000000"/>
                    <w:szCs w:val="18"/>
                  </w:rPr>
                </w:pPr>
                <w:r>
                  <w:rPr>
                    <w:rFonts w:cs="Arial"/>
                    <w:color w:val="000000"/>
                    <w:szCs w:val="18"/>
                  </w:rPr>
                  <w:t>8.55 pm</w:t>
                </w:r>
              </w:p>
            </w:tc>
            <w:tc>
              <w:tcPr>
                <w:tcW w:w="1153" w:type="dxa"/>
                <w:vAlign w:val="center"/>
              </w:tcPr>
              <w:p w:rsidR="003E1CCD" w:rsidRDefault="00243C50">
                <w:pPr>
                  <w:textAlignment w:val="center"/>
                  <w:rPr>
                    <w:rFonts w:cs="Arial"/>
                    <w:color w:val="000000"/>
                    <w:szCs w:val="18"/>
                  </w:rPr>
                </w:pPr>
                <w:r>
                  <w:rPr>
                    <w:rFonts w:cs="Arial"/>
                    <w:color w:val="000000"/>
                    <w:szCs w:val="18"/>
                  </w:rPr>
                  <w:t>Origin</w:t>
                </w:r>
              </w:p>
            </w:tc>
            <w:tc>
              <w:tcPr>
                <w:tcW w:w="1148" w:type="dxa"/>
                <w:vAlign w:val="center"/>
              </w:tcPr>
              <w:p w:rsidR="003E1CCD" w:rsidRDefault="00243C50">
                <w:pPr>
                  <w:textAlignment w:val="center"/>
                  <w:rPr>
                    <w:rFonts w:cs="Arial"/>
                    <w:color w:val="000000"/>
                    <w:szCs w:val="18"/>
                  </w:rPr>
                </w:pPr>
                <w:r>
                  <w:rPr>
                    <w:rFonts w:cs="Arial"/>
                    <w:color w:val="000000"/>
                    <w:szCs w:val="18"/>
                  </w:rPr>
                  <w:t>Quarantine</w:t>
                </w:r>
              </w:p>
            </w:tc>
            <w:tc>
              <w:tcPr>
                <w:tcW w:w="994" w:type="dxa"/>
                <w:vAlign w:val="center"/>
              </w:tcPr>
              <w:p w:rsidR="003E1CCD" w:rsidRDefault="00243C50">
                <w:pPr>
                  <w:jc w:val="center"/>
                  <w:textAlignment w:val="center"/>
                  <w:rPr>
                    <w:rFonts w:cs="Arial"/>
                    <w:color w:val="000000"/>
                    <w:szCs w:val="18"/>
                  </w:rPr>
                </w:pPr>
                <w:r>
                  <w:rPr>
                    <w:rFonts w:cs="Arial"/>
                    <w:color w:val="000000"/>
                    <w:szCs w:val="18"/>
                  </w:rPr>
                  <w:t>2</w:t>
                </w:r>
              </w:p>
            </w:tc>
            <w:tc>
              <w:tcPr>
                <w:tcW w:w="811" w:type="dxa"/>
                <w:vAlign w:val="center"/>
              </w:tcPr>
              <w:p w:rsidR="003E1CCD" w:rsidRDefault="00243C50">
                <w:pPr>
                  <w:jc w:val="center"/>
                  <w:textAlignment w:val="center"/>
                  <w:rPr>
                    <w:rFonts w:cs="Arial"/>
                    <w:color w:val="000000"/>
                    <w:szCs w:val="18"/>
                  </w:rPr>
                </w:pPr>
                <w:r>
                  <w:rPr>
                    <w:rFonts w:cs="Arial"/>
                    <w:color w:val="000000"/>
                    <w:szCs w:val="18"/>
                  </w:rPr>
                  <w:t>10</w:t>
                </w:r>
                <w:r w:rsidR="00816801">
                  <w:rPr>
                    <w:rFonts w:cs="Arial"/>
                    <w:color w:val="000000"/>
                    <w:szCs w:val="18"/>
                  </w:rPr>
                  <w:t xml:space="preserve"> </w:t>
                </w:r>
                <w:r>
                  <w:rPr>
                    <w:rFonts w:cs="Arial"/>
                    <w:color w:val="000000"/>
                    <w:szCs w:val="18"/>
                  </w:rPr>
                  <w:t>990</w:t>
                </w:r>
              </w:p>
            </w:tc>
            <w:tc>
              <w:tcPr>
                <w:tcW w:w="896" w:type="dxa"/>
                <w:vAlign w:val="center"/>
              </w:tcPr>
              <w:p w:rsidR="003E1CCD" w:rsidRPr="005E2AB8" w:rsidRDefault="00243C50" w:rsidP="005E2AB8">
                <w:pPr>
                  <w:jc w:val="center"/>
                  <w:textAlignment w:val="center"/>
                  <w:rPr>
                    <w:rFonts w:cs="Arial"/>
                    <w:color w:val="000000"/>
                    <w:szCs w:val="18"/>
                  </w:rPr>
                </w:pPr>
                <w:r>
                  <w:rPr>
                    <w:rFonts w:cs="Arial"/>
                    <w:color w:val="000000"/>
                    <w:szCs w:val="18"/>
                  </w:rPr>
                  <w:t>0</w:t>
                </w:r>
              </w:p>
            </w:tc>
            <w:tc>
              <w:tcPr>
                <w:tcW w:w="1740" w:type="dxa"/>
                <w:vAlign w:val="center"/>
              </w:tcPr>
              <w:p w:rsidR="003E1CCD" w:rsidRPr="00D7487D" w:rsidRDefault="00243C50" w:rsidP="00EA6B2F">
                <w:pPr>
                  <w:keepNext/>
                  <w:spacing w:before="120"/>
                  <w:jc w:val="left"/>
                  <w:textAlignment w:val="center"/>
                  <w:rPr>
                    <w:rFonts w:cs="Arial"/>
                    <w:szCs w:val="18"/>
                  </w:rPr>
                </w:pPr>
                <w:r w:rsidRPr="00D7487D">
                  <w:rPr>
                    <w:rFonts w:cs="Arial"/>
                    <w:szCs w:val="18"/>
                  </w:rPr>
                  <w:t>2045A ENERGY/FCAS TRADEOFF SL</w:t>
                </w:r>
              </w:p>
            </w:tc>
          </w:tr>
        </w:tbl>
        <w:p w:rsidR="002F025A" w:rsidRDefault="002E08EA" w:rsidP="002F025A">
          <w:pPr>
            <w:pStyle w:val="Caption"/>
          </w:pPr>
          <w:r>
            <w:t xml:space="preserve">Table </w:t>
          </w:r>
          <w:r w:rsidR="009611C4">
            <w:t>C</w:t>
          </w:r>
          <w:r>
            <w:t xml:space="preserve"> </w:t>
          </w:r>
          <w:fldSimple w:instr=" SEQ Table_C \* ARABIC ">
            <w:r w:rsidR="001B6513">
              <w:rPr>
                <w:noProof/>
              </w:rPr>
              <w:t>2</w:t>
            </w:r>
          </w:fldSimple>
          <w:r>
            <w:t>:</w:t>
          </w:r>
          <w:r w:rsidR="00EA6B2F">
            <w:t xml:space="preserve"> </w:t>
          </w:r>
          <w:r w:rsidR="002F025A">
            <w:t xml:space="preserve">Significant </w:t>
          </w:r>
          <w:r w:rsidR="006F3333">
            <w:t xml:space="preserve">rebids </w:t>
          </w:r>
          <w:r w:rsidR="002F025A">
            <w:t xml:space="preserve">for </w:t>
          </w:r>
          <w:r w:rsidR="005E2AB8">
            <w:t>11 August</w:t>
          </w:r>
          <w:r w:rsidR="009D1002">
            <w:t xml:space="preserve"> – </w:t>
          </w:r>
          <w:r w:rsidR="00774131">
            <w:t xml:space="preserve">raise </w:t>
          </w:r>
          <w:r w:rsidR="009D1002">
            <w:t>regulation</w:t>
          </w:r>
        </w:p>
        <w:tbl>
          <w:tblPr>
            <w:tblStyle w:val="AERsummarytable"/>
            <w:tblW w:w="8651" w:type="dxa"/>
            <w:tblInd w:w="-34" w:type="dxa"/>
            <w:tblLayout w:type="fixed"/>
            <w:tblLook w:val="04A0" w:firstRow="1" w:lastRow="0" w:firstColumn="1" w:lastColumn="0" w:noHBand="0" w:noVBand="1"/>
          </w:tblPr>
          <w:tblGrid>
            <w:gridCol w:w="982"/>
            <w:gridCol w:w="1008"/>
            <w:gridCol w:w="1134"/>
            <w:gridCol w:w="1134"/>
            <w:gridCol w:w="980"/>
            <w:gridCol w:w="839"/>
            <w:gridCol w:w="896"/>
            <w:gridCol w:w="1678"/>
          </w:tblGrid>
          <w:tr w:rsidR="00056AF9" w:rsidRPr="004D2432" w:rsidTr="00056AF9">
            <w:trPr>
              <w:cnfStyle w:val="100000000000" w:firstRow="1" w:lastRow="0" w:firstColumn="0" w:lastColumn="0" w:oddVBand="0" w:evenVBand="0" w:oddHBand="0" w:evenHBand="0" w:firstRowFirstColumn="0" w:firstRowLastColumn="0" w:lastRowFirstColumn="0" w:lastRowLastColumn="0"/>
              <w:trHeight w:val="780"/>
              <w:tblHeader/>
            </w:trPr>
            <w:tc>
              <w:tcPr>
                <w:tcW w:w="982" w:type="dxa"/>
              </w:tcPr>
              <w:p w:rsidR="00B80409" w:rsidRDefault="00B80409" w:rsidP="00B80409">
                <w:pPr>
                  <w:jc w:val="center"/>
                  <w:textAlignment w:val="top"/>
                  <w:divId w:val="295184323"/>
                  <w:rPr>
                    <w:sz w:val="2"/>
                    <w:szCs w:val="2"/>
                  </w:rPr>
                </w:pPr>
                <w:r>
                  <w:rPr>
                    <w:rStyle w:val="a531"/>
                  </w:rPr>
                  <w:t>Submit</w:t>
                </w:r>
                <w:r>
                  <w:rPr>
                    <w:rFonts w:cs="Arial"/>
                    <w:color w:val="FFFFFF"/>
                    <w:szCs w:val="18"/>
                  </w:rPr>
                  <w:br/>
                </w:r>
                <w:r>
                  <w:rPr>
                    <w:rStyle w:val="a531"/>
                  </w:rPr>
                  <w:t>time</w:t>
                </w:r>
              </w:p>
            </w:tc>
            <w:tc>
              <w:tcPr>
                <w:tcW w:w="1008" w:type="dxa"/>
              </w:tcPr>
              <w:p w:rsidR="00B80409" w:rsidRDefault="00B80409">
                <w:pPr>
                  <w:jc w:val="center"/>
                  <w:textAlignment w:val="top"/>
                  <w:divId w:val="2033143719"/>
                  <w:rPr>
                    <w:sz w:val="2"/>
                    <w:szCs w:val="2"/>
                  </w:rPr>
                </w:pPr>
                <w:r>
                  <w:rPr>
                    <w:rStyle w:val="a571"/>
                  </w:rPr>
                  <w:t>Time</w:t>
                </w:r>
                <w:r>
                  <w:rPr>
                    <w:rFonts w:cs="Arial"/>
                    <w:color w:val="FFFFFF"/>
                    <w:szCs w:val="18"/>
                  </w:rPr>
                  <w:br/>
                </w:r>
                <w:r>
                  <w:rPr>
                    <w:rStyle w:val="a571"/>
                  </w:rPr>
                  <w:t>effective</w:t>
                </w:r>
              </w:p>
            </w:tc>
            <w:tc>
              <w:tcPr>
                <w:tcW w:w="1134" w:type="dxa"/>
                <w:hideMark/>
              </w:tcPr>
              <w:p w:rsidR="00B80409" w:rsidRDefault="00B80409" w:rsidP="000B3B13">
                <w:pPr>
                  <w:jc w:val="left"/>
                  <w:textAlignment w:val="top"/>
                  <w:rPr>
                    <w:rFonts w:cs="Arial"/>
                    <w:color w:val="FFFFFF"/>
                    <w:szCs w:val="18"/>
                  </w:rPr>
                </w:pPr>
                <w:r>
                  <w:rPr>
                    <w:rFonts w:cs="Arial"/>
                    <w:color w:val="FFFFFF"/>
                    <w:szCs w:val="18"/>
                  </w:rPr>
                  <w:t>Participant</w:t>
                </w:r>
              </w:p>
            </w:tc>
            <w:tc>
              <w:tcPr>
                <w:tcW w:w="1134" w:type="dxa"/>
                <w:hideMark/>
              </w:tcPr>
              <w:p w:rsidR="00B80409" w:rsidRDefault="00B80409">
                <w:pPr>
                  <w:jc w:val="center"/>
                  <w:textAlignment w:val="top"/>
                  <w:rPr>
                    <w:rFonts w:cs="Arial"/>
                    <w:color w:val="FFFFFF"/>
                    <w:szCs w:val="18"/>
                  </w:rPr>
                </w:pPr>
                <w:r>
                  <w:rPr>
                    <w:rFonts w:cs="Arial"/>
                    <w:color w:val="FFFFFF"/>
                    <w:szCs w:val="18"/>
                  </w:rPr>
                  <w:t>Station</w:t>
                </w:r>
              </w:p>
            </w:tc>
            <w:tc>
              <w:tcPr>
                <w:tcW w:w="980" w:type="dxa"/>
                <w:hideMark/>
              </w:tcPr>
              <w:p w:rsidR="00B80409" w:rsidRDefault="00B80409">
                <w:pPr>
                  <w:jc w:val="center"/>
                  <w:textAlignment w:val="top"/>
                  <w:divId w:val="1429424888"/>
                  <w:rPr>
                    <w:sz w:val="2"/>
                    <w:szCs w:val="2"/>
                  </w:rPr>
                </w:pPr>
                <w:r>
                  <w:rPr>
                    <w:rStyle w:val="a691"/>
                  </w:rPr>
                  <w:t>Capacity rebid</w:t>
                </w:r>
                <w:r>
                  <w:rPr>
                    <w:rFonts w:cs="Arial"/>
                    <w:color w:val="FFFFFF"/>
                    <w:szCs w:val="18"/>
                  </w:rPr>
                  <w:br/>
                </w:r>
                <w:r>
                  <w:rPr>
                    <w:rStyle w:val="a691"/>
                  </w:rPr>
                  <w:t>(MW)</w:t>
                </w:r>
              </w:p>
            </w:tc>
            <w:tc>
              <w:tcPr>
                <w:tcW w:w="839" w:type="dxa"/>
                <w:hideMark/>
              </w:tcPr>
              <w:p w:rsidR="00B80409" w:rsidRDefault="00B80409" w:rsidP="00432F60">
                <w:pPr>
                  <w:jc w:val="center"/>
                  <w:textAlignment w:val="top"/>
                  <w:divId w:val="2040277009"/>
                  <w:rPr>
                    <w:sz w:val="2"/>
                    <w:szCs w:val="2"/>
                  </w:rPr>
                </w:pPr>
                <w:r>
                  <w:rPr>
                    <w:rStyle w:val="a731"/>
                  </w:rPr>
                  <w:t>Price from</w:t>
                </w:r>
                <w:r>
                  <w:rPr>
                    <w:rFonts w:cs="Arial"/>
                    <w:color w:val="FFFFFF"/>
                    <w:szCs w:val="18"/>
                  </w:rPr>
                  <w:br/>
                </w:r>
                <w:r>
                  <w:rPr>
                    <w:rStyle w:val="a731"/>
                  </w:rPr>
                  <w:t>($/MW)</w:t>
                </w:r>
              </w:p>
            </w:tc>
            <w:tc>
              <w:tcPr>
                <w:tcW w:w="896" w:type="dxa"/>
                <w:hideMark/>
              </w:tcPr>
              <w:p w:rsidR="00B80409" w:rsidRPr="00432F60" w:rsidRDefault="00B80409" w:rsidP="00432F60">
                <w:pPr>
                  <w:jc w:val="center"/>
                  <w:textAlignment w:val="top"/>
                  <w:divId w:val="1152986130"/>
                  <w:rPr>
                    <w:rFonts w:cs="Arial"/>
                    <w:color w:val="FFFFFF"/>
                    <w:szCs w:val="18"/>
                  </w:rPr>
                </w:pPr>
                <w:r>
                  <w:rPr>
                    <w:rStyle w:val="a771"/>
                  </w:rPr>
                  <w:t>Price to</w:t>
                </w:r>
                <w:r>
                  <w:rPr>
                    <w:rFonts w:cs="Arial"/>
                    <w:color w:val="FFFFFF"/>
                    <w:szCs w:val="18"/>
                  </w:rPr>
                  <w:br/>
                </w:r>
                <w:r>
                  <w:rPr>
                    <w:rStyle w:val="a771"/>
                  </w:rPr>
                  <w:t>($/</w:t>
                </w:r>
                <w:r w:rsidR="00432F60">
                  <w:rPr>
                    <w:rStyle w:val="a771"/>
                  </w:rPr>
                  <w:t>MW</w:t>
                </w:r>
                <w:r>
                  <w:rPr>
                    <w:rStyle w:val="a771"/>
                  </w:rPr>
                  <w:t>)</w:t>
                </w:r>
              </w:p>
            </w:tc>
            <w:tc>
              <w:tcPr>
                <w:tcW w:w="1678" w:type="dxa"/>
                <w:hideMark/>
              </w:tcPr>
              <w:p w:rsidR="00B80409" w:rsidRPr="00774131" w:rsidRDefault="00B80409">
                <w:pPr>
                  <w:jc w:val="center"/>
                  <w:textAlignment w:val="top"/>
                  <w:rPr>
                    <w:rFonts w:cs="Arial"/>
                    <w:b w:val="0"/>
                    <w:color w:val="auto"/>
                    <w:szCs w:val="18"/>
                  </w:rPr>
                </w:pPr>
                <w:r w:rsidRPr="008C2CF2">
                  <w:rPr>
                    <w:rStyle w:val="a771"/>
                  </w:rPr>
                  <w:t>Rebid reason</w:t>
                </w:r>
              </w:p>
            </w:tc>
          </w:tr>
          <w:tr w:rsidR="00056AF9" w:rsidRPr="004D2432" w:rsidTr="00056AF9">
            <w:trPr>
              <w:cnfStyle w:val="000000100000" w:firstRow="0" w:lastRow="0" w:firstColumn="0" w:lastColumn="0" w:oddVBand="0" w:evenVBand="0" w:oddHBand="1" w:evenHBand="0" w:firstRowFirstColumn="0" w:firstRowLastColumn="0" w:lastRowFirstColumn="0" w:lastRowLastColumn="0"/>
              <w:trHeight w:val="606"/>
            </w:trPr>
            <w:tc>
              <w:tcPr>
                <w:tcW w:w="982" w:type="dxa"/>
                <w:vAlign w:val="center"/>
              </w:tcPr>
              <w:p w:rsidR="005E2AB8" w:rsidRDefault="005E2AB8" w:rsidP="00D7487D">
                <w:pPr>
                  <w:jc w:val="center"/>
                  <w:textAlignment w:val="center"/>
                  <w:rPr>
                    <w:rFonts w:cs="Arial"/>
                    <w:color w:val="000000"/>
                    <w:szCs w:val="18"/>
                  </w:rPr>
                </w:pPr>
                <w:r>
                  <w:rPr>
                    <w:rFonts w:cs="Arial"/>
                    <w:color w:val="000000"/>
                    <w:szCs w:val="18"/>
                  </w:rPr>
                  <w:t>9.46 am</w:t>
                </w:r>
              </w:p>
            </w:tc>
            <w:tc>
              <w:tcPr>
                <w:tcW w:w="1008" w:type="dxa"/>
                <w:vAlign w:val="center"/>
              </w:tcPr>
              <w:p w:rsidR="005E2AB8" w:rsidRDefault="005E2AB8" w:rsidP="00D7487D">
                <w:pPr>
                  <w:jc w:val="center"/>
                  <w:textAlignment w:val="center"/>
                  <w:rPr>
                    <w:sz w:val="24"/>
                    <w:szCs w:val="24"/>
                  </w:rPr>
                </w:pPr>
                <w:r>
                  <w:rPr>
                    <w:rFonts w:cs="Arial"/>
                    <w:color w:val="000000"/>
                    <w:szCs w:val="18"/>
                  </w:rPr>
                  <w:t>10</w:t>
                </w:r>
                <w:r w:rsidRPr="00F26E06">
                  <w:rPr>
                    <w:rFonts w:cs="Arial"/>
                    <w:color w:val="000000"/>
                    <w:szCs w:val="18"/>
                  </w:rPr>
                  <w:t>.</w:t>
                </w:r>
                <w:r>
                  <w:rPr>
                    <w:rFonts w:cs="Arial"/>
                    <w:color w:val="000000"/>
                    <w:szCs w:val="18"/>
                  </w:rPr>
                  <w:t>35 a</w:t>
                </w:r>
                <w:r w:rsidRPr="00F26E06">
                  <w:rPr>
                    <w:rFonts w:cs="Arial"/>
                    <w:color w:val="000000"/>
                    <w:szCs w:val="18"/>
                  </w:rPr>
                  <w:t>m</w:t>
                </w:r>
              </w:p>
            </w:tc>
            <w:tc>
              <w:tcPr>
                <w:tcW w:w="1134" w:type="dxa"/>
                <w:vAlign w:val="center"/>
              </w:tcPr>
              <w:p w:rsidR="005E2AB8" w:rsidRDefault="0073312A" w:rsidP="00D7487D">
                <w:pPr>
                  <w:textAlignment w:val="center"/>
                  <w:rPr>
                    <w:rFonts w:cs="Arial"/>
                    <w:color w:val="000000"/>
                    <w:szCs w:val="18"/>
                  </w:rPr>
                </w:pPr>
                <w:r>
                  <w:rPr>
                    <w:rFonts w:cs="Arial"/>
                    <w:color w:val="000000"/>
                    <w:szCs w:val="18"/>
                  </w:rPr>
                  <w:t>Origin</w:t>
                </w:r>
              </w:p>
            </w:tc>
            <w:tc>
              <w:tcPr>
                <w:tcW w:w="1134" w:type="dxa"/>
                <w:vAlign w:val="center"/>
              </w:tcPr>
              <w:p w:rsidR="005E2AB8" w:rsidRDefault="005E2AB8" w:rsidP="00D7487D">
                <w:pPr>
                  <w:textAlignment w:val="center"/>
                  <w:rPr>
                    <w:rFonts w:cs="Arial"/>
                    <w:color w:val="000000"/>
                    <w:szCs w:val="18"/>
                  </w:rPr>
                </w:pPr>
                <w:r>
                  <w:rPr>
                    <w:rFonts w:cs="Arial"/>
                    <w:color w:val="000000"/>
                    <w:szCs w:val="18"/>
                  </w:rPr>
                  <w:t>Quarantine</w:t>
                </w:r>
              </w:p>
            </w:tc>
            <w:tc>
              <w:tcPr>
                <w:tcW w:w="980" w:type="dxa"/>
                <w:vAlign w:val="center"/>
              </w:tcPr>
              <w:p w:rsidR="005E2AB8" w:rsidRDefault="005E2AB8" w:rsidP="00D7487D">
                <w:pPr>
                  <w:jc w:val="center"/>
                  <w:textAlignment w:val="center"/>
                  <w:rPr>
                    <w:rFonts w:cs="Arial"/>
                    <w:color w:val="000000"/>
                    <w:szCs w:val="18"/>
                  </w:rPr>
                </w:pPr>
                <w:r>
                  <w:rPr>
                    <w:rFonts w:cs="Arial"/>
                    <w:color w:val="000000"/>
                    <w:szCs w:val="18"/>
                  </w:rPr>
                  <w:t>5</w:t>
                </w:r>
              </w:p>
            </w:tc>
            <w:tc>
              <w:tcPr>
                <w:tcW w:w="839" w:type="dxa"/>
                <w:vAlign w:val="center"/>
              </w:tcPr>
              <w:p w:rsidR="005E2AB8" w:rsidRDefault="005E2AB8" w:rsidP="00D7487D">
                <w:pPr>
                  <w:jc w:val="center"/>
                  <w:textAlignment w:val="center"/>
                  <w:rPr>
                    <w:rFonts w:cs="Arial"/>
                    <w:color w:val="000000"/>
                    <w:szCs w:val="18"/>
                  </w:rPr>
                </w:pPr>
                <w:r>
                  <w:rPr>
                    <w:rFonts w:cs="Arial"/>
                    <w:color w:val="000000"/>
                    <w:szCs w:val="18"/>
                  </w:rPr>
                  <w:t>0</w:t>
                </w:r>
              </w:p>
            </w:tc>
            <w:tc>
              <w:tcPr>
                <w:tcW w:w="896" w:type="dxa"/>
                <w:vAlign w:val="center"/>
              </w:tcPr>
              <w:p w:rsidR="005E2AB8" w:rsidRDefault="005E2AB8" w:rsidP="00D7487D">
                <w:pPr>
                  <w:jc w:val="center"/>
                  <w:textAlignment w:val="center"/>
                  <w:rPr>
                    <w:rFonts w:cs="Arial"/>
                    <w:color w:val="000000"/>
                    <w:szCs w:val="18"/>
                  </w:rPr>
                </w:pPr>
                <w:r>
                  <w:rPr>
                    <w:rFonts w:cs="Arial"/>
                    <w:color w:val="000000"/>
                    <w:szCs w:val="18"/>
                  </w:rPr>
                  <w:t>1</w:t>
                </w:r>
                <w:r w:rsidR="000B3B13">
                  <w:rPr>
                    <w:rFonts w:cs="Arial"/>
                    <w:color w:val="000000"/>
                    <w:szCs w:val="18"/>
                  </w:rPr>
                  <w:t>2 350</w:t>
                </w:r>
              </w:p>
            </w:tc>
            <w:tc>
              <w:tcPr>
                <w:tcW w:w="1678" w:type="dxa"/>
                <w:vAlign w:val="center"/>
              </w:tcPr>
              <w:p w:rsidR="005E2AB8" w:rsidRPr="00F26E06" w:rsidRDefault="005E2AB8" w:rsidP="000B3B13">
                <w:pPr>
                  <w:spacing w:before="120"/>
                  <w:jc w:val="left"/>
                  <w:textAlignment w:val="center"/>
                  <w:rPr>
                    <w:rFonts w:cs="Arial"/>
                    <w:color w:val="000000"/>
                    <w:szCs w:val="18"/>
                  </w:rPr>
                </w:pPr>
                <w:r w:rsidRPr="005E2AB8">
                  <w:rPr>
                    <w:rFonts w:cs="Arial"/>
                    <w:szCs w:val="18"/>
                  </w:rPr>
                  <w:t>0942A DEC IN SA DEM - 5PD 1681MW &lt; 30PD 1728MW @ 1000 SL</w:t>
                </w:r>
              </w:p>
            </w:tc>
          </w:tr>
          <w:tr w:rsidR="00056AF9" w:rsidRPr="004D2432" w:rsidTr="00BE4FE6">
            <w:trPr>
              <w:cnfStyle w:val="000000010000" w:firstRow="0" w:lastRow="0" w:firstColumn="0" w:lastColumn="0" w:oddVBand="0" w:evenVBand="0" w:oddHBand="0" w:evenHBand="1" w:firstRowFirstColumn="0" w:firstRowLastColumn="0" w:lastRowFirstColumn="0" w:lastRowLastColumn="0"/>
              <w:trHeight w:val="606"/>
            </w:trPr>
            <w:tc>
              <w:tcPr>
                <w:tcW w:w="982" w:type="dxa"/>
                <w:vAlign w:val="center"/>
              </w:tcPr>
              <w:p w:rsidR="005E2AB8" w:rsidRPr="005E2AB8" w:rsidRDefault="005E2AB8" w:rsidP="00BE4FE6">
                <w:pPr>
                  <w:jc w:val="center"/>
                  <w:textAlignment w:val="center"/>
                  <w:rPr>
                    <w:rFonts w:cs="Arial"/>
                    <w:color w:val="000000"/>
                    <w:szCs w:val="18"/>
                  </w:rPr>
                </w:pPr>
                <w:r w:rsidRPr="005E2AB8">
                  <w:rPr>
                    <w:rFonts w:cs="Arial"/>
                    <w:color w:val="000000"/>
                    <w:szCs w:val="18"/>
                  </w:rPr>
                  <w:t>11</w:t>
                </w:r>
                <w:r w:rsidR="00056AF9">
                  <w:rPr>
                    <w:rFonts w:cs="Arial"/>
                    <w:color w:val="000000"/>
                    <w:szCs w:val="18"/>
                  </w:rPr>
                  <w:t>.</w:t>
                </w:r>
                <w:r w:rsidRPr="005E2AB8">
                  <w:rPr>
                    <w:rFonts w:cs="Arial"/>
                    <w:color w:val="000000"/>
                    <w:szCs w:val="18"/>
                  </w:rPr>
                  <w:t xml:space="preserve">55 </w:t>
                </w:r>
                <w:r w:rsidR="00056AF9">
                  <w:rPr>
                    <w:rFonts w:cs="Arial"/>
                    <w:color w:val="000000"/>
                    <w:szCs w:val="18"/>
                  </w:rPr>
                  <w:t>am</w:t>
                </w:r>
              </w:p>
            </w:tc>
            <w:tc>
              <w:tcPr>
                <w:tcW w:w="1008" w:type="dxa"/>
                <w:vAlign w:val="center"/>
              </w:tcPr>
              <w:p w:rsidR="005E2AB8" w:rsidRPr="005E2AB8" w:rsidRDefault="005E2AB8" w:rsidP="00BE4FE6">
                <w:pPr>
                  <w:jc w:val="center"/>
                  <w:textAlignment w:val="center"/>
                  <w:rPr>
                    <w:rFonts w:cs="Arial"/>
                    <w:color w:val="000000"/>
                    <w:szCs w:val="18"/>
                  </w:rPr>
                </w:pPr>
                <w:r>
                  <w:rPr>
                    <w:rFonts w:cs="Arial"/>
                    <w:color w:val="000000"/>
                    <w:szCs w:val="18"/>
                  </w:rPr>
                  <w:t xml:space="preserve">12.35 </w:t>
                </w:r>
                <w:r w:rsidRPr="005E2AB8">
                  <w:rPr>
                    <w:rFonts w:cs="Arial"/>
                    <w:color w:val="000000"/>
                    <w:szCs w:val="18"/>
                  </w:rPr>
                  <w:t>pm</w:t>
                </w:r>
              </w:p>
            </w:tc>
            <w:tc>
              <w:tcPr>
                <w:tcW w:w="1134" w:type="dxa"/>
                <w:vAlign w:val="center"/>
              </w:tcPr>
              <w:p w:rsidR="005E2AB8" w:rsidRPr="005E2AB8" w:rsidRDefault="0073312A" w:rsidP="00BE4FE6">
                <w:pPr>
                  <w:textAlignment w:val="center"/>
                  <w:rPr>
                    <w:rFonts w:cs="Arial"/>
                    <w:color w:val="000000"/>
                    <w:szCs w:val="18"/>
                  </w:rPr>
                </w:pPr>
                <w:r>
                  <w:rPr>
                    <w:rFonts w:cs="Arial"/>
                    <w:color w:val="000000"/>
                    <w:szCs w:val="18"/>
                  </w:rPr>
                  <w:t>Origin</w:t>
                </w:r>
              </w:p>
            </w:tc>
            <w:tc>
              <w:tcPr>
                <w:tcW w:w="1134" w:type="dxa"/>
                <w:vAlign w:val="center"/>
              </w:tcPr>
              <w:p w:rsidR="005E2AB8" w:rsidRPr="005E2AB8" w:rsidRDefault="005E2AB8" w:rsidP="00BE4FE6">
                <w:pPr>
                  <w:textAlignment w:val="center"/>
                  <w:rPr>
                    <w:rFonts w:cs="Arial"/>
                    <w:color w:val="000000"/>
                    <w:szCs w:val="18"/>
                  </w:rPr>
                </w:pPr>
                <w:r w:rsidRPr="005E2AB8">
                  <w:rPr>
                    <w:rFonts w:cs="Arial"/>
                    <w:color w:val="000000"/>
                    <w:szCs w:val="18"/>
                  </w:rPr>
                  <w:t>Quarantine</w:t>
                </w:r>
              </w:p>
            </w:tc>
            <w:tc>
              <w:tcPr>
                <w:tcW w:w="980" w:type="dxa"/>
                <w:vAlign w:val="center"/>
              </w:tcPr>
              <w:p w:rsidR="005E2AB8" w:rsidRPr="005E2AB8" w:rsidRDefault="005E2AB8" w:rsidP="00BE4FE6">
                <w:pPr>
                  <w:jc w:val="center"/>
                  <w:textAlignment w:val="center"/>
                  <w:rPr>
                    <w:rFonts w:cs="Arial"/>
                    <w:color w:val="000000"/>
                    <w:szCs w:val="18"/>
                  </w:rPr>
                </w:pPr>
                <w:r w:rsidRPr="005E2AB8">
                  <w:rPr>
                    <w:rFonts w:cs="Arial"/>
                    <w:color w:val="000000"/>
                    <w:szCs w:val="18"/>
                  </w:rPr>
                  <w:t>5</w:t>
                </w:r>
              </w:p>
            </w:tc>
            <w:tc>
              <w:tcPr>
                <w:tcW w:w="839" w:type="dxa"/>
                <w:vAlign w:val="center"/>
              </w:tcPr>
              <w:p w:rsidR="005E2AB8" w:rsidRPr="005E2AB8" w:rsidRDefault="005E2AB8" w:rsidP="00BE4FE6">
                <w:pPr>
                  <w:jc w:val="center"/>
                  <w:textAlignment w:val="center"/>
                  <w:rPr>
                    <w:rFonts w:cs="Arial"/>
                    <w:color w:val="000000"/>
                    <w:szCs w:val="18"/>
                  </w:rPr>
                </w:pPr>
                <w:r w:rsidRPr="005E2AB8">
                  <w:rPr>
                    <w:rFonts w:cs="Arial"/>
                    <w:color w:val="000000"/>
                    <w:szCs w:val="18"/>
                  </w:rPr>
                  <w:t>0</w:t>
                </w:r>
              </w:p>
            </w:tc>
            <w:tc>
              <w:tcPr>
                <w:tcW w:w="896" w:type="dxa"/>
                <w:vAlign w:val="center"/>
              </w:tcPr>
              <w:p w:rsidR="005E2AB8" w:rsidRPr="005E2AB8" w:rsidRDefault="000B3B13" w:rsidP="00BE4FE6">
                <w:pPr>
                  <w:jc w:val="center"/>
                  <w:textAlignment w:val="center"/>
                  <w:rPr>
                    <w:rFonts w:cs="Arial"/>
                    <w:color w:val="000000"/>
                    <w:szCs w:val="18"/>
                  </w:rPr>
                </w:pPr>
                <w:r>
                  <w:rPr>
                    <w:rFonts w:cs="Arial"/>
                    <w:color w:val="000000"/>
                    <w:szCs w:val="18"/>
                  </w:rPr>
                  <w:t>10 </w:t>
                </w:r>
                <w:r w:rsidR="005E2AB8" w:rsidRPr="005E2AB8">
                  <w:rPr>
                    <w:rFonts w:cs="Arial"/>
                    <w:color w:val="000000"/>
                    <w:szCs w:val="18"/>
                  </w:rPr>
                  <w:t>990</w:t>
                </w:r>
              </w:p>
            </w:tc>
            <w:tc>
              <w:tcPr>
                <w:tcW w:w="1678" w:type="dxa"/>
                <w:vAlign w:val="center"/>
              </w:tcPr>
              <w:p w:rsidR="005E2AB8" w:rsidRPr="005E2AB8" w:rsidRDefault="005E2AB8" w:rsidP="000B3B13">
                <w:pPr>
                  <w:spacing w:before="120"/>
                  <w:jc w:val="left"/>
                  <w:textAlignment w:val="center"/>
                  <w:rPr>
                    <w:rFonts w:cs="Arial"/>
                    <w:color w:val="000000"/>
                    <w:szCs w:val="18"/>
                  </w:rPr>
                </w:pPr>
                <w:r w:rsidRPr="005E2AB8">
                  <w:rPr>
                    <w:rFonts w:cs="Arial"/>
                    <w:color w:val="000000"/>
                    <w:szCs w:val="18"/>
                  </w:rPr>
                  <w:t>1151F ENERGY</w:t>
                </w:r>
                <w:r w:rsidR="000B3B13">
                  <w:rPr>
                    <w:rFonts w:cs="Arial"/>
                    <w:color w:val="000000"/>
                    <w:szCs w:val="18"/>
                  </w:rPr>
                  <w:t xml:space="preserve"> </w:t>
                </w:r>
                <w:r w:rsidRPr="005E2AB8">
                  <w:rPr>
                    <w:rFonts w:cs="Arial"/>
                    <w:color w:val="000000"/>
                    <w:szCs w:val="18"/>
                  </w:rPr>
                  <w:t>/</w:t>
                </w:r>
                <w:r w:rsidR="000B3B13">
                  <w:rPr>
                    <w:rFonts w:cs="Arial"/>
                    <w:color w:val="000000"/>
                    <w:szCs w:val="18"/>
                  </w:rPr>
                  <w:t xml:space="preserve"> </w:t>
                </w:r>
                <w:r w:rsidRPr="005E2AB8">
                  <w:rPr>
                    <w:rFonts w:cs="Arial"/>
                    <w:color w:val="000000"/>
                    <w:szCs w:val="18"/>
                  </w:rPr>
                  <w:t>FCAS PORTFOLIO OPTIMISATION SL</w:t>
                </w:r>
              </w:p>
            </w:tc>
          </w:tr>
          <w:tr w:rsidR="00056AF9" w:rsidRPr="004D2432" w:rsidTr="00BE4FE6">
            <w:trPr>
              <w:cnfStyle w:val="000000100000" w:firstRow="0" w:lastRow="0" w:firstColumn="0" w:lastColumn="0" w:oddVBand="0" w:evenVBand="0" w:oddHBand="1" w:evenHBand="0" w:firstRowFirstColumn="0" w:firstRowLastColumn="0" w:lastRowFirstColumn="0" w:lastRowLastColumn="0"/>
              <w:trHeight w:val="606"/>
            </w:trPr>
            <w:tc>
              <w:tcPr>
                <w:tcW w:w="982" w:type="dxa"/>
                <w:vAlign w:val="center"/>
              </w:tcPr>
              <w:p w:rsidR="005E2AB8" w:rsidRPr="00BE4FE6" w:rsidRDefault="005E2AB8" w:rsidP="00BE4FE6">
                <w:pPr>
                  <w:jc w:val="left"/>
                  <w:textAlignment w:val="center"/>
                  <w:rPr>
                    <w:rFonts w:cs="Arial"/>
                    <w:color w:val="000000"/>
                    <w:szCs w:val="18"/>
                  </w:rPr>
                </w:pPr>
                <w:r w:rsidRPr="00BE4FE6">
                  <w:rPr>
                    <w:rFonts w:cs="Arial"/>
                    <w:color w:val="000000"/>
                    <w:szCs w:val="18"/>
                  </w:rPr>
                  <w:t xml:space="preserve">8.48 </w:t>
                </w:r>
                <w:r w:rsidR="00056AF9" w:rsidRPr="00BE4FE6">
                  <w:rPr>
                    <w:rFonts w:cs="Arial"/>
                    <w:color w:val="000000"/>
                    <w:szCs w:val="18"/>
                  </w:rPr>
                  <w:t>pm</w:t>
                </w:r>
              </w:p>
            </w:tc>
            <w:tc>
              <w:tcPr>
                <w:tcW w:w="1008" w:type="dxa"/>
                <w:vAlign w:val="center"/>
              </w:tcPr>
              <w:p w:rsidR="005E2AB8" w:rsidRPr="00BE4FE6" w:rsidRDefault="000B3B13" w:rsidP="00BE4FE6">
                <w:pPr>
                  <w:jc w:val="left"/>
                  <w:textAlignment w:val="center"/>
                  <w:rPr>
                    <w:rFonts w:cs="Arial"/>
                    <w:color w:val="000000"/>
                    <w:szCs w:val="18"/>
                  </w:rPr>
                </w:pPr>
                <w:r w:rsidRPr="00BE4FE6">
                  <w:rPr>
                    <w:rFonts w:cs="Arial"/>
                    <w:color w:val="000000"/>
                    <w:szCs w:val="18"/>
                  </w:rPr>
                  <w:t>8.55</w:t>
                </w:r>
                <w:r w:rsidR="005E2AB8" w:rsidRPr="00BE4FE6">
                  <w:rPr>
                    <w:rFonts w:cs="Arial"/>
                    <w:color w:val="000000"/>
                    <w:szCs w:val="18"/>
                  </w:rPr>
                  <w:t xml:space="preserve"> </w:t>
                </w:r>
                <w:r w:rsidR="00056AF9" w:rsidRPr="00BE4FE6">
                  <w:rPr>
                    <w:rFonts w:cs="Arial"/>
                    <w:color w:val="000000"/>
                    <w:szCs w:val="18"/>
                  </w:rPr>
                  <w:t>pm</w:t>
                </w:r>
              </w:p>
            </w:tc>
            <w:tc>
              <w:tcPr>
                <w:tcW w:w="1134" w:type="dxa"/>
                <w:vAlign w:val="center"/>
              </w:tcPr>
              <w:p w:rsidR="005E2AB8" w:rsidRPr="00BE4FE6" w:rsidRDefault="0073312A" w:rsidP="00BE4FE6">
                <w:pPr>
                  <w:textAlignment w:val="center"/>
                  <w:rPr>
                    <w:rFonts w:cs="Arial"/>
                    <w:color w:val="000000"/>
                    <w:szCs w:val="18"/>
                  </w:rPr>
                </w:pPr>
                <w:r w:rsidRPr="00BE4FE6">
                  <w:rPr>
                    <w:rFonts w:cs="Arial"/>
                    <w:color w:val="000000"/>
                    <w:szCs w:val="18"/>
                  </w:rPr>
                  <w:t>Origin</w:t>
                </w:r>
              </w:p>
            </w:tc>
            <w:tc>
              <w:tcPr>
                <w:tcW w:w="1134" w:type="dxa"/>
                <w:vAlign w:val="center"/>
              </w:tcPr>
              <w:p w:rsidR="005E2AB8" w:rsidRPr="00BE4FE6" w:rsidRDefault="005E2AB8" w:rsidP="00BE4FE6">
                <w:pPr>
                  <w:textAlignment w:val="center"/>
                  <w:rPr>
                    <w:rFonts w:cs="Arial"/>
                    <w:color w:val="000000"/>
                    <w:szCs w:val="18"/>
                  </w:rPr>
                </w:pPr>
                <w:r w:rsidRPr="00BE4FE6">
                  <w:rPr>
                    <w:rFonts w:cs="Arial"/>
                    <w:color w:val="000000"/>
                    <w:szCs w:val="18"/>
                  </w:rPr>
                  <w:t>Quarantine</w:t>
                </w:r>
              </w:p>
            </w:tc>
            <w:tc>
              <w:tcPr>
                <w:tcW w:w="980" w:type="dxa"/>
                <w:vAlign w:val="center"/>
              </w:tcPr>
              <w:p w:rsidR="005E2AB8" w:rsidRPr="00BE4FE6" w:rsidRDefault="005E2AB8" w:rsidP="00BE4FE6">
                <w:pPr>
                  <w:jc w:val="center"/>
                  <w:textAlignment w:val="center"/>
                  <w:rPr>
                    <w:rFonts w:cs="Arial"/>
                    <w:color w:val="000000"/>
                    <w:szCs w:val="18"/>
                  </w:rPr>
                </w:pPr>
                <w:r w:rsidRPr="00BE4FE6">
                  <w:rPr>
                    <w:rFonts w:cs="Arial"/>
                    <w:color w:val="000000"/>
                    <w:szCs w:val="18"/>
                  </w:rPr>
                  <w:t>11</w:t>
                </w:r>
              </w:p>
            </w:tc>
            <w:tc>
              <w:tcPr>
                <w:tcW w:w="839" w:type="dxa"/>
                <w:vAlign w:val="center"/>
              </w:tcPr>
              <w:p w:rsidR="005E2AB8" w:rsidRPr="00BE4FE6" w:rsidRDefault="005E2AB8" w:rsidP="00BE4FE6">
                <w:pPr>
                  <w:jc w:val="center"/>
                  <w:textAlignment w:val="center"/>
                  <w:rPr>
                    <w:rFonts w:cs="Arial"/>
                    <w:color w:val="000000"/>
                    <w:szCs w:val="18"/>
                  </w:rPr>
                </w:pPr>
                <w:r w:rsidRPr="00BE4FE6">
                  <w:rPr>
                    <w:rFonts w:cs="Arial"/>
                    <w:color w:val="000000"/>
                    <w:szCs w:val="18"/>
                  </w:rPr>
                  <w:t>10</w:t>
                </w:r>
                <w:r w:rsidR="00056AF9" w:rsidRPr="00BE4FE6">
                  <w:rPr>
                    <w:rFonts w:cs="Arial"/>
                    <w:color w:val="000000"/>
                    <w:szCs w:val="18"/>
                  </w:rPr>
                  <w:t xml:space="preserve"> </w:t>
                </w:r>
                <w:r w:rsidRPr="00BE4FE6">
                  <w:rPr>
                    <w:rFonts w:cs="Arial"/>
                    <w:color w:val="000000"/>
                    <w:szCs w:val="18"/>
                  </w:rPr>
                  <w:t>990</w:t>
                </w:r>
              </w:p>
            </w:tc>
            <w:tc>
              <w:tcPr>
                <w:tcW w:w="896" w:type="dxa"/>
                <w:vAlign w:val="center"/>
              </w:tcPr>
              <w:p w:rsidR="005E2AB8" w:rsidRPr="00BE4FE6" w:rsidRDefault="005E2AB8" w:rsidP="00BE4FE6">
                <w:pPr>
                  <w:jc w:val="center"/>
                  <w:textAlignment w:val="center"/>
                  <w:rPr>
                    <w:rFonts w:cs="Arial"/>
                    <w:color w:val="000000"/>
                    <w:szCs w:val="18"/>
                  </w:rPr>
                </w:pPr>
                <w:r w:rsidRPr="00BE4FE6">
                  <w:rPr>
                    <w:rFonts w:cs="Arial"/>
                    <w:color w:val="000000"/>
                    <w:szCs w:val="18"/>
                  </w:rPr>
                  <w:t>95</w:t>
                </w:r>
              </w:p>
            </w:tc>
            <w:tc>
              <w:tcPr>
                <w:tcW w:w="1678" w:type="dxa"/>
                <w:vAlign w:val="center"/>
              </w:tcPr>
              <w:p w:rsidR="005E2AB8" w:rsidRPr="005E2AB8" w:rsidRDefault="005E2AB8" w:rsidP="002E08EA">
                <w:pPr>
                  <w:keepNext/>
                  <w:spacing w:before="120"/>
                  <w:jc w:val="left"/>
                  <w:rPr>
                    <w:rFonts w:cs="Arial"/>
                    <w:color w:val="000000"/>
                    <w:szCs w:val="16"/>
                  </w:rPr>
                </w:pPr>
                <w:r w:rsidRPr="005E2AB8">
                  <w:rPr>
                    <w:rFonts w:cs="Arial"/>
                    <w:color w:val="000000"/>
                    <w:szCs w:val="16"/>
                  </w:rPr>
                  <w:t>2045A ENERGY</w:t>
                </w:r>
                <w:r w:rsidR="000B3B13">
                  <w:rPr>
                    <w:rFonts w:cs="Arial"/>
                    <w:color w:val="000000"/>
                    <w:szCs w:val="16"/>
                  </w:rPr>
                  <w:t xml:space="preserve"> </w:t>
                </w:r>
                <w:r w:rsidRPr="005E2AB8">
                  <w:rPr>
                    <w:rFonts w:cs="Arial"/>
                    <w:color w:val="000000"/>
                    <w:szCs w:val="16"/>
                  </w:rPr>
                  <w:t>/</w:t>
                </w:r>
                <w:r w:rsidR="000B3B13">
                  <w:rPr>
                    <w:rFonts w:cs="Arial"/>
                    <w:color w:val="000000"/>
                    <w:szCs w:val="16"/>
                  </w:rPr>
                  <w:t xml:space="preserve"> </w:t>
                </w:r>
                <w:r w:rsidRPr="005E2AB8">
                  <w:rPr>
                    <w:rFonts w:cs="Arial"/>
                    <w:color w:val="000000"/>
                    <w:szCs w:val="16"/>
                  </w:rPr>
                  <w:t>FCAS TRADEOFF SL</w:t>
                </w:r>
              </w:p>
            </w:tc>
          </w:tr>
        </w:tbl>
        <w:p w:rsidR="00992010" w:rsidRDefault="00992010" w:rsidP="00992010">
          <w:pPr>
            <w:pStyle w:val="Heading1notnumber"/>
          </w:pPr>
          <w:bookmarkStart w:id="42" w:name="_Toc467748142"/>
          <w:r>
            <w:lastRenderedPageBreak/>
            <w:t xml:space="preserve">Appendix </w:t>
          </w:r>
          <w:r w:rsidR="00963258">
            <w:t>D</w:t>
          </w:r>
          <w:r>
            <w:tab/>
            <w:t>Closing bids</w:t>
          </w:r>
          <w:bookmarkEnd w:id="42"/>
          <w:r>
            <w:t xml:space="preserve"> </w:t>
          </w:r>
        </w:p>
        <w:p w:rsidR="001E75EC" w:rsidRDefault="00992010" w:rsidP="00992010">
          <w:r w:rsidRPr="00296D34">
            <w:t xml:space="preserve">Figures </w:t>
          </w:r>
          <w:r w:rsidR="009611C4">
            <w:t>D</w:t>
          </w:r>
          <w:r w:rsidRPr="00296D34">
            <w:t xml:space="preserve">1a to </w:t>
          </w:r>
          <w:r w:rsidR="009611C4">
            <w:t>D</w:t>
          </w:r>
          <w:r w:rsidR="004C3634">
            <w:t>6</w:t>
          </w:r>
          <w:r w:rsidR="008B4D01">
            <w:t>b</w:t>
          </w:r>
          <w:r w:rsidRPr="00296D34">
            <w:t xml:space="preserve"> highlight</w:t>
          </w:r>
          <w:r>
            <w:t xml:space="preserve"> for each dispatch interval the lower and raise regulation </w:t>
          </w:r>
          <w:r w:rsidR="003C2B11">
            <w:t>services</w:t>
          </w:r>
          <w:r>
            <w:t xml:space="preserve"> closing bids for </w:t>
          </w:r>
          <w:r w:rsidR="0073312A">
            <w:t>Origin</w:t>
          </w:r>
          <w:r w:rsidR="00EF7B2F">
            <w:t>,</w:t>
          </w:r>
          <w:r>
            <w:t xml:space="preserve"> </w:t>
          </w:r>
          <w:r w:rsidR="00BC4389">
            <w:t>AGL and</w:t>
          </w:r>
          <w:r>
            <w:t xml:space="preserve"> </w:t>
          </w:r>
          <w:proofErr w:type="spellStart"/>
          <w:r w:rsidR="008A5AC2">
            <w:t>Engie</w:t>
          </w:r>
          <w:proofErr w:type="spellEnd"/>
          <w:r>
            <w:t xml:space="preserve"> (the participants in South Australia with </w:t>
          </w:r>
          <w:r w:rsidR="003C2B11">
            <w:t>ancillary service capability</w:t>
          </w:r>
          <w:r>
            <w:t>)</w:t>
          </w:r>
          <w:r w:rsidR="004C3634">
            <w:t>.</w:t>
          </w:r>
          <w:r w:rsidR="00B83164">
            <w:t xml:space="preserve"> </w:t>
          </w:r>
          <w:r>
            <w:t xml:space="preserve">It also shows the dispatch level of the respective services at each station and the dispatch price. </w:t>
          </w:r>
        </w:p>
        <w:p w:rsidR="00A9661C" w:rsidRDefault="001E75EC" w:rsidP="008B4D01">
          <w:r>
            <w:t>FCAS services are co-optimised with energy offers. For example a generator that is operating at its maximum capacity cannot provide raise services so their effective available capacity for raise services would be zero.</w:t>
          </w:r>
          <w:r w:rsidR="009D00E8">
            <w:t xml:space="preserve"> </w:t>
          </w:r>
          <w:r w:rsidR="005F5C0D">
            <w:t xml:space="preserve">Figures denoted with an “a” refer to the quantities offered while those with a “b” refer to the </w:t>
          </w:r>
          <w:r w:rsidR="005F5C0D" w:rsidRPr="00772EA1">
            <w:rPr>
              <w:i/>
            </w:rPr>
            <w:t>effective</w:t>
          </w:r>
          <w:r w:rsidR="005F5C0D">
            <w:t xml:space="preserve"> quantities available to the market after </w:t>
          </w:r>
          <w:r w:rsidR="00992010">
            <w:t>account</w:t>
          </w:r>
          <w:r w:rsidR="005F5C0D">
            <w:t>ing for</w:t>
          </w:r>
          <w:r w:rsidR="00992010">
            <w:t xml:space="preserve"> the interaction </w:t>
          </w:r>
          <w:r w:rsidR="005F5C0D">
            <w:t xml:space="preserve">between </w:t>
          </w:r>
          <w:r w:rsidR="00992010">
            <w:t>energy and FCAS</w:t>
          </w:r>
          <w:r w:rsidR="00F7693E">
            <w:t xml:space="preserve"> (“effective available capacity”)</w:t>
          </w:r>
          <w:r w:rsidR="00992010">
            <w:t>.</w:t>
          </w:r>
          <w:r w:rsidR="008B4D01">
            <w:t xml:space="preserve"> </w:t>
          </w:r>
        </w:p>
        <w:p w:rsidR="00EB6FED" w:rsidRPr="00772EA1" w:rsidRDefault="009D00E8" w:rsidP="008B4D01">
          <w:pPr>
            <w:rPr>
              <w:b/>
              <w:sz w:val="28"/>
              <w:szCs w:val="28"/>
            </w:rPr>
          </w:pPr>
          <w:r w:rsidRPr="00772EA1">
            <w:rPr>
              <w:b/>
              <w:sz w:val="28"/>
              <w:szCs w:val="28"/>
            </w:rPr>
            <w:t>Lower</w:t>
          </w:r>
          <w:r w:rsidR="00EB6FED" w:rsidRPr="00772EA1">
            <w:rPr>
              <w:b/>
              <w:sz w:val="28"/>
              <w:szCs w:val="28"/>
            </w:rPr>
            <w:t xml:space="preserve"> </w:t>
          </w:r>
          <w:r w:rsidRPr="00772EA1">
            <w:rPr>
              <w:b/>
              <w:sz w:val="28"/>
              <w:szCs w:val="28"/>
            </w:rPr>
            <w:t>Regulation</w:t>
          </w:r>
        </w:p>
        <w:p w:rsidR="00992010" w:rsidRDefault="00992010" w:rsidP="00772EA1">
          <w:pPr>
            <w:pStyle w:val="Tabletitle"/>
            <w:keepNext/>
            <w:spacing w:before="120" w:line="240" w:lineRule="auto"/>
          </w:pPr>
          <w:r>
            <w:t xml:space="preserve">Figure </w:t>
          </w:r>
          <w:r w:rsidR="009611C4">
            <w:t>D</w:t>
          </w:r>
          <w:r>
            <w:t xml:space="preserve">1a: </w:t>
          </w:r>
          <w:r w:rsidR="00631126">
            <w:t>Quarantine</w:t>
          </w:r>
          <w:r>
            <w:t xml:space="preserve"> (</w:t>
          </w:r>
          <w:r w:rsidR="0073312A">
            <w:t>Origin</w:t>
          </w:r>
          <w:r w:rsidR="00F7693E">
            <w:t> Energy</w:t>
          </w:r>
          <w:r>
            <w:t xml:space="preserve">) lower regulation service closing bid prices, dispatch and dispatch price </w:t>
          </w:r>
          <w:r w:rsidR="00F141C6">
            <w:t xml:space="preserve">- </w:t>
          </w:r>
          <w:r w:rsidR="00631126">
            <w:t xml:space="preserve">maximum </w:t>
          </w:r>
          <w:r w:rsidR="00AD4AB2">
            <w:t>offers</w:t>
          </w:r>
          <w:r w:rsidR="00EB6FED">
            <w:t>]</w:t>
          </w:r>
        </w:p>
        <w:p w:rsidR="00EB6FED" w:rsidRDefault="00801DA2" w:rsidP="00F7693E">
          <w:pPr>
            <w:pStyle w:val="Tabletitle"/>
            <w:keepNext/>
            <w:spacing w:before="120" w:line="240" w:lineRule="auto"/>
          </w:pPr>
          <w:r w:rsidRPr="00801DA2">
            <w:rPr>
              <w:noProof/>
              <w:lang w:eastAsia="en-AU"/>
            </w:rPr>
            <w:drawing>
              <wp:inline distT="0" distB="0" distL="0" distR="0" wp14:anchorId="7682FBA1" wp14:editId="19FC4940">
                <wp:extent cx="5222123" cy="3788771"/>
                <wp:effectExtent l="0" t="0" r="0" b="2540"/>
                <wp:docPr id="23" name="Picture 23" descr="Quarantine (Origin) lower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25253" cy="3791042"/>
                        </a:xfrm>
                        <a:prstGeom prst="rect">
                          <a:avLst/>
                        </a:prstGeom>
                        <a:noFill/>
                        <a:ln>
                          <a:noFill/>
                        </a:ln>
                      </pic:spPr>
                    </pic:pic>
                  </a:graphicData>
                </a:graphic>
              </wp:inline>
            </w:drawing>
          </w:r>
        </w:p>
        <w:p w:rsidR="00EB6FED" w:rsidRDefault="00EB6FED">
          <w:pPr>
            <w:spacing w:line="240" w:lineRule="auto"/>
            <w:jc w:val="left"/>
            <w:rPr>
              <w:b/>
              <w:color w:val="076A92" w:themeColor="text1"/>
              <w:sz w:val="24"/>
              <w:szCs w:val="20"/>
            </w:rPr>
          </w:pPr>
          <w:r>
            <w:br w:type="page"/>
          </w:r>
        </w:p>
        <w:p w:rsidR="00D7487D" w:rsidRDefault="00992010" w:rsidP="00772EA1">
          <w:pPr>
            <w:pStyle w:val="Tabletitle"/>
            <w:keepNext/>
            <w:spacing w:before="120" w:line="240" w:lineRule="auto"/>
          </w:pPr>
          <w:r>
            <w:lastRenderedPageBreak/>
            <w:t xml:space="preserve">Figure </w:t>
          </w:r>
          <w:r w:rsidR="009611C4">
            <w:t>D</w:t>
          </w:r>
          <w:r>
            <w:t xml:space="preserve">1b: </w:t>
          </w:r>
          <w:r w:rsidR="00631126">
            <w:t>Quarantine (</w:t>
          </w:r>
          <w:r w:rsidR="0073312A">
            <w:t>Origin</w:t>
          </w:r>
          <w:r w:rsidR="00F7693E">
            <w:t> Energy</w:t>
          </w:r>
          <w:r w:rsidR="00631126">
            <w:t xml:space="preserve">) </w:t>
          </w:r>
          <w:r>
            <w:t>lower regulation service closing bid prices, dispatch and dispatch price</w:t>
          </w:r>
          <w:r w:rsidR="00AD4AB2">
            <w:t xml:space="preserve"> - </w:t>
          </w:r>
          <w:r>
            <w:t>effective offers</w:t>
          </w:r>
          <w:r w:rsidR="00AD4AB2">
            <w:t xml:space="preserve"> </w:t>
          </w:r>
        </w:p>
        <w:p w:rsidR="00992010" w:rsidRDefault="00801DA2" w:rsidP="00772EA1">
          <w:pPr>
            <w:pStyle w:val="Tabletitle"/>
            <w:keepNext/>
            <w:spacing w:before="120" w:line="240" w:lineRule="auto"/>
          </w:pPr>
          <w:r w:rsidRPr="00801DA2">
            <w:rPr>
              <w:noProof/>
              <w:lang w:eastAsia="en-AU"/>
            </w:rPr>
            <w:drawing>
              <wp:inline distT="0" distB="0" distL="0" distR="0" wp14:anchorId="7E92D62B" wp14:editId="622F191E">
                <wp:extent cx="5277025" cy="3260035"/>
                <wp:effectExtent l="0" t="0" r="0" b="0"/>
                <wp:docPr id="24" name="Picture 24" descr="Figure D1b: Quarantine (Origin) lower regulation service closing bid prices, dispatch and dispatch price – effective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85715" cy="3265403"/>
                        </a:xfrm>
                        <a:prstGeom prst="rect">
                          <a:avLst/>
                        </a:prstGeom>
                        <a:noFill/>
                        <a:ln>
                          <a:noFill/>
                        </a:ln>
                      </pic:spPr>
                    </pic:pic>
                  </a:graphicData>
                </a:graphic>
              </wp:inline>
            </w:drawing>
          </w:r>
        </w:p>
        <w:p w:rsidR="00992010" w:rsidRDefault="00992010" w:rsidP="00992010">
          <w:pPr>
            <w:pStyle w:val="Tabletitle"/>
            <w:spacing w:before="120" w:line="240" w:lineRule="auto"/>
          </w:pPr>
          <w:r>
            <w:t xml:space="preserve">Figure </w:t>
          </w:r>
          <w:r w:rsidR="009611C4">
            <w:t>D</w:t>
          </w:r>
          <w:r>
            <w:t xml:space="preserve">2a: </w:t>
          </w:r>
          <w:r w:rsidR="00631126">
            <w:t>Torrens Island</w:t>
          </w:r>
          <w:r>
            <w:t xml:space="preserve"> (A</w:t>
          </w:r>
          <w:r w:rsidR="00631126">
            <w:t>GL</w:t>
          </w:r>
          <w:r>
            <w:t>) lower regulation service closing bid prices, disp</w:t>
          </w:r>
          <w:r w:rsidR="00631126">
            <w:t xml:space="preserve">atch and dispatch </w:t>
          </w:r>
          <w:r w:rsidR="00F141C6">
            <w:t>price</w:t>
          </w:r>
          <w:r w:rsidR="00631126">
            <w:t xml:space="preserve"> – maximum offers</w:t>
          </w:r>
        </w:p>
        <w:p w:rsidR="00631126" w:rsidRDefault="00801DA2" w:rsidP="00992010">
          <w:pPr>
            <w:pStyle w:val="Tabletitle"/>
            <w:spacing w:before="120" w:line="240" w:lineRule="auto"/>
          </w:pPr>
          <w:r w:rsidRPr="00801DA2">
            <w:rPr>
              <w:noProof/>
              <w:lang w:eastAsia="en-AU"/>
            </w:rPr>
            <w:drawing>
              <wp:inline distT="0" distB="0" distL="0" distR="0" wp14:anchorId="43E38A83" wp14:editId="0B458BAD">
                <wp:extent cx="5274452" cy="3826737"/>
                <wp:effectExtent l="0" t="0" r="2540" b="2540"/>
                <wp:docPr id="27" name="Picture 27" descr="Torrens Island (AGL) lower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7614" cy="3829031"/>
                        </a:xfrm>
                        <a:prstGeom prst="rect">
                          <a:avLst/>
                        </a:prstGeom>
                        <a:noFill/>
                        <a:ln>
                          <a:noFill/>
                        </a:ln>
                      </pic:spPr>
                    </pic:pic>
                  </a:graphicData>
                </a:graphic>
              </wp:inline>
            </w:drawing>
          </w:r>
        </w:p>
        <w:p w:rsidR="007010BE" w:rsidRDefault="00992010" w:rsidP="00772EA1">
          <w:pPr>
            <w:pStyle w:val="Tabletitle"/>
            <w:keepNext/>
            <w:spacing w:before="120" w:line="240" w:lineRule="auto"/>
          </w:pPr>
          <w:r>
            <w:lastRenderedPageBreak/>
            <w:t xml:space="preserve">Figure </w:t>
          </w:r>
          <w:r w:rsidR="009611C4">
            <w:t>D</w:t>
          </w:r>
          <w:r>
            <w:t xml:space="preserve">2b: </w:t>
          </w:r>
          <w:r w:rsidR="00631126">
            <w:t xml:space="preserve">Torrens Island (AGL) </w:t>
          </w:r>
          <w:r>
            <w:t>lower regulation service closing bid prices, dispatch and dispatch price – effective offers</w:t>
          </w:r>
        </w:p>
        <w:p w:rsidR="00A9661C" w:rsidRDefault="002B68F7" w:rsidP="00772EA1">
          <w:pPr>
            <w:pStyle w:val="Tabletitle"/>
            <w:keepNext/>
          </w:pPr>
          <w:r w:rsidRPr="002B68F7">
            <w:rPr>
              <w:noProof/>
              <w:lang w:eastAsia="en-AU"/>
            </w:rPr>
            <w:drawing>
              <wp:inline distT="0" distB="0" distL="0" distR="0" wp14:anchorId="060C1549" wp14:editId="18995628">
                <wp:extent cx="5237979" cy="3800275"/>
                <wp:effectExtent l="0" t="0" r="1270" b="0"/>
                <wp:docPr id="28" name="Picture 28" descr="Torrens Island (AGL) lower regulation service closing bid prices, dispatch and dispatch price – effective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50546" cy="3809393"/>
                        </a:xfrm>
                        <a:prstGeom prst="rect">
                          <a:avLst/>
                        </a:prstGeom>
                        <a:noFill/>
                        <a:ln>
                          <a:noFill/>
                        </a:ln>
                      </pic:spPr>
                    </pic:pic>
                  </a:graphicData>
                </a:graphic>
              </wp:inline>
            </w:drawing>
          </w:r>
        </w:p>
        <w:p w:rsidR="00816801" w:rsidRDefault="00992010" w:rsidP="00816801">
          <w:pPr>
            <w:pStyle w:val="Tabletitle"/>
            <w:spacing w:before="120" w:line="240" w:lineRule="auto"/>
          </w:pPr>
          <w:r>
            <w:t xml:space="preserve">Figure </w:t>
          </w:r>
          <w:r w:rsidR="009611C4">
            <w:t>D</w:t>
          </w:r>
          <w:r>
            <w:t xml:space="preserve">3a: </w:t>
          </w:r>
          <w:r w:rsidR="00ED6D5A">
            <w:t>Pelican Point</w:t>
          </w:r>
          <w:r>
            <w:t xml:space="preserve"> (</w:t>
          </w:r>
          <w:proofErr w:type="spellStart"/>
          <w:r w:rsidR="008A5AC2">
            <w:t>Engie</w:t>
          </w:r>
          <w:proofErr w:type="spellEnd"/>
          <w:r>
            <w:t xml:space="preserve">) </w:t>
          </w:r>
          <w:r w:rsidR="00ED6D5A">
            <w:t>lower</w:t>
          </w:r>
          <w:r>
            <w:t xml:space="preserve"> regulation service closing bid prices, dis</w:t>
          </w:r>
          <w:r w:rsidR="007A70FB">
            <w:t>patch and dispatch price</w:t>
          </w:r>
          <w:r w:rsidR="00ED6D5A">
            <w:t xml:space="preserve"> – maximum offers</w:t>
          </w:r>
        </w:p>
        <w:p w:rsidR="00816801" w:rsidRDefault="002B68F7" w:rsidP="00816801">
          <w:pPr>
            <w:pStyle w:val="Tabletitle"/>
            <w:spacing w:before="120" w:line="240" w:lineRule="auto"/>
          </w:pPr>
          <w:r w:rsidRPr="002B68F7">
            <w:rPr>
              <w:noProof/>
              <w:lang w:eastAsia="en-AU"/>
            </w:rPr>
            <w:drawing>
              <wp:inline distT="0" distB="0" distL="0" distR="0" wp14:anchorId="4D8AFEB1" wp14:editId="6859B50C">
                <wp:extent cx="5201598" cy="3773882"/>
                <wp:effectExtent l="0" t="0" r="0" b="0"/>
                <wp:docPr id="30" name="Picture 30" descr="Pelican Point (Engie) lower regulation service closing bid prices, dispatch and dispatch price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2778" cy="3781993"/>
                        </a:xfrm>
                        <a:prstGeom prst="rect">
                          <a:avLst/>
                        </a:prstGeom>
                        <a:noFill/>
                        <a:ln>
                          <a:noFill/>
                        </a:ln>
                      </pic:spPr>
                    </pic:pic>
                  </a:graphicData>
                </a:graphic>
              </wp:inline>
            </w:drawing>
          </w:r>
        </w:p>
        <w:p w:rsidR="00992010" w:rsidRDefault="00626BA2" w:rsidP="00772EA1">
          <w:pPr>
            <w:pStyle w:val="Tabletitle"/>
            <w:keepNext/>
            <w:spacing w:before="120" w:line="240" w:lineRule="auto"/>
          </w:pPr>
          <w:r>
            <w:lastRenderedPageBreak/>
            <w:t>Fig</w:t>
          </w:r>
          <w:r w:rsidR="00992010">
            <w:t xml:space="preserve">ure </w:t>
          </w:r>
          <w:r w:rsidR="009611C4">
            <w:t>D</w:t>
          </w:r>
          <w:r w:rsidR="00992010">
            <w:t xml:space="preserve">3b: </w:t>
          </w:r>
          <w:r w:rsidR="00ED6D5A">
            <w:t>Pelican Point (</w:t>
          </w:r>
          <w:proofErr w:type="spellStart"/>
          <w:r w:rsidR="008A5AC2">
            <w:t>Engie</w:t>
          </w:r>
          <w:proofErr w:type="spellEnd"/>
          <w:r w:rsidR="00ED6D5A">
            <w:t>) lower</w:t>
          </w:r>
          <w:r w:rsidR="00992010">
            <w:t xml:space="preserve"> regulation service closing bid prices, dispatch and dispatch price – effective offers</w:t>
          </w:r>
        </w:p>
        <w:p w:rsidR="008533B3" w:rsidRDefault="002B68F7" w:rsidP="00772EA1">
          <w:pPr>
            <w:pStyle w:val="Tabletitle"/>
          </w:pPr>
          <w:r w:rsidRPr="002B68F7">
            <w:rPr>
              <w:b w:val="0"/>
              <w:noProof/>
              <w:lang w:eastAsia="en-AU"/>
            </w:rPr>
            <w:drawing>
              <wp:inline distT="0" distB="0" distL="0" distR="0" wp14:anchorId="54838B03" wp14:editId="5578E361">
                <wp:extent cx="5132268" cy="3723579"/>
                <wp:effectExtent l="0" t="0" r="0" b="0"/>
                <wp:docPr id="31" name="Picture 31" descr="Pelican Point (Engie) lower regulation service closing bid prices, dispatch and dispatch price – effective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146036" cy="3733568"/>
                        </a:xfrm>
                        <a:prstGeom prst="rect">
                          <a:avLst/>
                        </a:prstGeom>
                        <a:noFill/>
                        <a:ln>
                          <a:noFill/>
                        </a:ln>
                      </pic:spPr>
                    </pic:pic>
                  </a:graphicData>
                </a:graphic>
              </wp:inline>
            </w:drawing>
          </w:r>
        </w:p>
        <w:p w:rsidR="00ED2F6D" w:rsidRPr="006E6461" w:rsidRDefault="00243C50" w:rsidP="00ED2F6D">
          <w:pPr>
            <w:rPr>
              <w:b/>
              <w:sz w:val="28"/>
              <w:szCs w:val="28"/>
            </w:rPr>
          </w:pPr>
          <w:r>
            <w:rPr>
              <w:b/>
              <w:sz w:val="28"/>
              <w:szCs w:val="28"/>
            </w:rPr>
            <w:t>Raise</w:t>
          </w:r>
          <w:r w:rsidR="00ED2F6D" w:rsidRPr="006E6461">
            <w:rPr>
              <w:b/>
              <w:sz w:val="28"/>
              <w:szCs w:val="28"/>
            </w:rPr>
            <w:t xml:space="preserve"> Regulation</w:t>
          </w:r>
        </w:p>
        <w:p w:rsidR="00992010" w:rsidRDefault="00992010" w:rsidP="004869D4">
          <w:pPr>
            <w:pStyle w:val="Tabletitle"/>
            <w:spacing w:before="120" w:line="240" w:lineRule="auto"/>
          </w:pPr>
          <w:r>
            <w:t xml:space="preserve">Figure </w:t>
          </w:r>
          <w:r w:rsidR="009611C4">
            <w:t>D</w:t>
          </w:r>
          <w:r>
            <w:t xml:space="preserve">4a: </w:t>
          </w:r>
          <w:r w:rsidR="006A0160">
            <w:t>Quarantine (</w:t>
          </w:r>
          <w:r w:rsidR="0073312A">
            <w:t>Origin</w:t>
          </w:r>
          <w:r w:rsidR="006A0160">
            <w:t>) raise regulation service closing bid prices, dispatch and dispatch price for 11 August - maximum offers</w:t>
          </w:r>
          <w:r w:rsidR="003403AE">
            <w:t xml:space="preserve"> </w:t>
          </w:r>
        </w:p>
        <w:p w:rsidR="00992010" w:rsidRDefault="002B68F7" w:rsidP="004869D4">
          <w:pPr>
            <w:pStyle w:val="Tabletitle"/>
            <w:spacing w:before="120" w:line="240" w:lineRule="auto"/>
          </w:pPr>
          <w:r w:rsidRPr="002B68F7">
            <w:rPr>
              <w:noProof/>
              <w:lang w:eastAsia="en-AU"/>
            </w:rPr>
            <w:drawing>
              <wp:inline distT="0" distB="0" distL="0" distR="0" wp14:anchorId="19B7F2A8" wp14:editId="40E4D885">
                <wp:extent cx="5158854" cy="3742868"/>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58854" cy="3742868"/>
                        </a:xfrm>
                        <a:prstGeom prst="rect">
                          <a:avLst/>
                        </a:prstGeom>
                        <a:noFill/>
                        <a:ln>
                          <a:noFill/>
                        </a:ln>
                      </pic:spPr>
                    </pic:pic>
                  </a:graphicData>
                </a:graphic>
              </wp:inline>
            </w:drawing>
          </w:r>
        </w:p>
        <w:p w:rsidR="00992010" w:rsidRDefault="00992010" w:rsidP="004869D4">
          <w:pPr>
            <w:pStyle w:val="Tabletitle"/>
            <w:keepNext/>
            <w:spacing w:before="120" w:line="240" w:lineRule="auto"/>
          </w:pPr>
          <w:r>
            <w:lastRenderedPageBreak/>
            <w:t xml:space="preserve">Figure </w:t>
          </w:r>
          <w:r w:rsidR="009611C4">
            <w:t>D</w:t>
          </w:r>
          <w:r>
            <w:t xml:space="preserve">4b: </w:t>
          </w:r>
          <w:r w:rsidR="006A0160">
            <w:t>Quarantine (</w:t>
          </w:r>
          <w:r w:rsidR="0073312A">
            <w:t>Origin</w:t>
          </w:r>
          <w:r w:rsidR="006A0160">
            <w:t>) raise regulation service closing bid prices, dispatch and dispatch price for 11 August - effective offers</w:t>
          </w:r>
        </w:p>
        <w:p w:rsidR="002B68F7" w:rsidRDefault="002B68F7" w:rsidP="004869D4">
          <w:pPr>
            <w:pStyle w:val="Tabletitle"/>
            <w:keepNext/>
            <w:spacing w:before="120" w:line="240" w:lineRule="auto"/>
          </w:pPr>
          <w:r w:rsidRPr="002B68F7">
            <w:rPr>
              <w:noProof/>
              <w:lang w:eastAsia="en-AU"/>
            </w:rPr>
            <w:drawing>
              <wp:inline distT="0" distB="0" distL="0" distR="0" wp14:anchorId="265336B7" wp14:editId="6166E07F">
                <wp:extent cx="5216837" cy="3784935"/>
                <wp:effectExtent l="0" t="0" r="3175"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23550" cy="3789805"/>
                        </a:xfrm>
                        <a:prstGeom prst="rect">
                          <a:avLst/>
                        </a:prstGeom>
                        <a:noFill/>
                        <a:ln>
                          <a:noFill/>
                        </a:ln>
                      </pic:spPr>
                    </pic:pic>
                  </a:graphicData>
                </a:graphic>
              </wp:inline>
            </w:drawing>
          </w:r>
        </w:p>
        <w:p w:rsidR="00243C50" w:rsidRDefault="00243C50" w:rsidP="00992010">
          <w:pPr>
            <w:pStyle w:val="Tabletitle"/>
            <w:spacing w:before="120" w:line="240" w:lineRule="auto"/>
          </w:pPr>
        </w:p>
        <w:p w:rsidR="00992010" w:rsidRDefault="00992010" w:rsidP="00992010">
          <w:pPr>
            <w:pStyle w:val="Tabletitle"/>
            <w:spacing w:before="120" w:line="240" w:lineRule="auto"/>
          </w:pPr>
          <w:r>
            <w:t xml:space="preserve">Figure </w:t>
          </w:r>
          <w:r w:rsidR="009611C4">
            <w:t>D</w:t>
          </w:r>
          <w:r>
            <w:t xml:space="preserve">5a: </w:t>
          </w:r>
          <w:r w:rsidR="006A0160">
            <w:t>Torrens Island (AGL) raise regulation service closing bid prices, dispatch and dispatch price for 11 August – maximum offers</w:t>
          </w:r>
        </w:p>
        <w:p w:rsidR="002B68F7" w:rsidRDefault="002B68F7" w:rsidP="00992010">
          <w:pPr>
            <w:pStyle w:val="Tabletitle"/>
            <w:spacing w:before="120" w:line="240" w:lineRule="auto"/>
          </w:pPr>
          <w:r w:rsidRPr="002B68F7">
            <w:rPr>
              <w:noProof/>
              <w:lang w:eastAsia="en-AU"/>
            </w:rPr>
            <w:drawing>
              <wp:inline distT="0" distB="0" distL="0" distR="0" wp14:anchorId="42BF560F" wp14:editId="415542D5">
                <wp:extent cx="5238027" cy="3800310"/>
                <wp:effectExtent l="0" t="0" r="1270" b="0"/>
                <wp:docPr id="34" name="Picture 34" descr="Torrens Island (AGL) raise regulation service closing bid prices, dispatch and dispatch price for 11 August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40960" cy="3802438"/>
                        </a:xfrm>
                        <a:prstGeom prst="rect">
                          <a:avLst/>
                        </a:prstGeom>
                        <a:noFill/>
                        <a:ln>
                          <a:noFill/>
                        </a:ln>
                      </pic:spPr>
                    </pic:pic>
                  </a:graphicData>
                </a:graphic>
              </wp:inline>
            </w:drawing>
          </w:r>
        </w:p>
        <w:p w:rsidR="00992010" w:rsidRDefault="00992010" w:rsidP="004869D4">
          <w:pPr>
            <w:pStyle w:val="Tabletitle"/>
            <w:keepNext/>
            <w:spacing w:before="120" w:line="240" w:lineRule="auto"/>
          </w:pPr>
          <w:r>
            <w:lastRenderedPageBreak/>
            <w:t xml:space="preserve">Figure </w:t>
          </w:r>
          <w:r w:rsidR="009611C4">
            <w:t>D</w:t>
          </w:r>
          <w:r>
            <w:t xml:space="preserve">5b: </w:t>
          </w:r>
          <w:r w:rsidR="006A0160">
            <w:t>Torrens Island (AGL) raise regulation service closing bid prices, dispatch and dispatch price for 11 August – effective offers</w:t>
          </w:r>
        </w:p>
        <w:p w:rsidR="002B68F7" w:rsidRDefault="002B68F7" w:rsidP="004869D4">
          <w:pPr>
            <w:pStyle w:val="Tabletitle"/>
            <w:keepNext/>
            <w:spacing w:before="120" w:line="240" w:lineRule="auto"/>
          </w:pPr>
          <w:r w:rsidRPr="002B68F7">
            <w:rPr>
              <w:noProof/>
              <w:lang w:eastAsia="en-AU"/>
            </w:rPr>
            <w:drawing>
              <wp:inline distT="0" distB="0" distL="0" distR="0" wp14:anchorId="7EF1C6DB" wp14:editId="1C66CBD4">
                <wp:extent cx="5382895" cy="3905415"/>
                <wp:effectExtent l="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2895" cy="3905415"/>
                        </a:xfrm>
                        <a:prstGeom prst="rect">
                          <a:avLst/>
                        </a:prstGeom>
                        <a:noFill/>
                        <a:ln>
                          <a:noFill/>
                        </a:ln>
                      </pic:spPr>
                    </pic:pic>
                  </a:graphicData>
                </a:graphic>
              </wp:inline>
            </w:drawing>
          </w:r>
        </w:p>
        <w:p w:rsidR="00243C50" w:rsidRDefault="00243C50" w:rsidP="004869D4">
          <w:pPr>
            <w:pStyle w:val="Tabletitle"/>
            <w:spacing w:before="120" w:line="240" w:lineRule="auto"/>
          </w:pPr>
        </w:p>
        <w:p w:rsidR="00992010" w:rsidRDefault="00992010" w:rsidP="004869D4">
          <w:pPr>
            <w:pStyle w:val="Tabletitle"/>
            <w:spacing w:before="120" w:line="240" w:lineRule="auto"/>
          </w:pPr>
          <w:r>
            <w:t xml:space="preserve">Figure </w:t>
          </w:r>
          <w:r w:rsidR="009611C4">
            <w:t>D</w:t>
          </w:r>
          <w:r>
            <w:t xml:space="preserve">6a: </w:t>
          </w:r>
          <w:r w:rsidR="006A0160">
            <w:t>Pelican Point (</w:t>
          </w:r>
          <w:proofErr w:type="spellStart"/>
          <w:r w:rsidR="008A5AC2">
            <w:t>Engie</w:t>
          </w:r>
          <w:proofErr w:type="spellEnd"/>
          <w:r w:rsidR="006A0160">
            <w:t>) raise regulation service closing bid prices, dispatch and dispatch price for 11 August – maximum offers</w:t>
          </w:r>
        </w:p>
        <w:p w:rsidR="00243C50" w:rsidRDefault="002B68F7" w:rsidP="00243C50">
          <w:pPr>
            <w:pStyle w:val="Tabletitle"/>
            <w:spacing w:before="120" w:line="240" w:lineRule="auto"/>
          </w:pPr>
          <w:r w:rsidRPr="002B68F7">
            <w:rPr>
              <w:noProof/>
              <w:lang w:eastAsia="en-AU"/>
            </w:rPr>
            <w:drawing>
              <wp:inline distT="0" distB="0" distL="0" distR="0" wp14:anchorId="2EA638B1" wp14:editId="39D9AC60">
                <wp:extent cx="5174553" cy="3754259"/>
                <wp:effectExtent l="0" t="0" r="7620" b="0"/>
                <wp:docPr id="36" name="Picture 36" descr="Pelican Point (Engie) raise regulation service closing bid prices, dispatch and dispatch price for 11 August – maximum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78500" cy="3757123"/>
                        </a:xfrm>
                        <a:prstGeom prst="rect">
                          <a:avLst/>
                        </a:prstGeom>
                        <a:noFill/>
                        <a:ln>
                          <a:noFill/>
                        </a:ln>
                      </pic:spPr>
                    </pic:pic>
                  </a:graphicData>
                </a:graphic>
              </wp:inline>
            </w:drawing>
          </w:r>
        </w:p>
        <w:p w:rsidR="00243C50" w:rsidRDefault="00243C50" w:rsidP="00243C50">
          <w:pPr>
            <w:pStyle w:val="Tabletitle"/>
            <w:spacing w:before="120" w:line="240" w:lineRule="auto"/>
          </w:pPr>
          <w:r>
            <w:lastRenderedPageBreak/>
            <w:t>F</w:t>
          </w:r>
          <w:r w:rsidR="00992010">
            <w:t xml:space="preserve">igure </w:t>
          </w:r>
          <w:r w:rsidR="009611C4">
            <w:t>D</w:t>
          </w:r>
          <w:r w:rsidR="00992010">
            <w:t xml:space="preserve">6b: </w:t>
          </w:r>
          <w:r w:rsidR="00077A54">
            <w:t>Pelican Point (</w:t>
          </w:r>
          <w:proofErr w:type="spellStart"/>
          <w:r w:rsidR="008A5AC2">
            <w:t>Engie</w:t>
          </w:r>
          <w:proofErr w:type="spellEnd"/>
          <w:r w:rsidR="00077A54">
            <w:t>) raise regulation service closing bid prices, dispatch and dispatch price for 11 August – effective offers</w:t>
          </w:r>
          <w:r w:rsidR="002B68F7" w:rsidRPr="002B68F7">
            <w:rPr>
              <w:noProof/>
              <w:lang w:eastAsia="en-AU"/>
            </w:rPr>
            <w:drawing>
              <wp:inline distT="0" distB="0" distL="0" distR="0" wp14:anchorId="6EB6C30D" wp14:editId="7465C44D">
                <wp:extent cx="5382895" cy="3905415"/>
                <wp:effectExtent l="0" t="0" r="8255" b="0"/>
                <wp:docPr id="37" name="Picture 37" descr="Pelican Point (Engie) raise regulation service closing bid prices, dispatch and dispatch price for 11 August – effective off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82895" cy="3905415"/>
                        </a:xfrm>
                        <a:prstGeom prst="rect">
                          <a:avLst/>
                        </a:prstGeom>
                        <a:noFill/>
                        <a:ln>
                          <a:noFill/>
                        </a:ln>
                      </pic:spPr>
                    </pic:pic>
                  </a:graphicData>
                </a:graphic>
              </wp:inline>
            </w:drawing>
          </w:r>
        </w:p>
        <w:p w:rsidR="00992010" w:rsidRDefault="00992010" w:rsidP="00BE3A1A">
          <w:pPr>
            <w:pStyle w:val="Heading1notnumber"/>
          </w:pPr>
          <w:bookmarkStart w:id="43" w:name="_Toc467748143"/>
          <w:r>
            <w:lastRenderedPageBreak/>
            <w:t xml:space="preserve">Appendix </w:t>
          </w:r>
          <w:r w:rsidR="00963258">
            <w:t>E</w:t>
          </w:r>
          <w:r>
            <w:tab/>
            <w:t>Relevant Market Notices</w:t>
          </w:r>
          <w:bookmarkEnd w:id="43"/>
        </w:p>
        <w:p w:rsidR="00ED2F6D" w:rsidRDefault="00ED2F6D" w:rsidP="004869D4">
          <w:pPr>
            <w:spacing w:after="240"/>
          </w:pPr>
          <w:r>
            <w:t xml:space="preserve">AEMO issued the </w:t>
          </w:r>
          <w:r w:rsidR="001C4856">
            <w:t>following market notice</w:t>
          </w:r>
          <w:r>
            <w:t xml:space="preserve"> to </w:t>
          </w:r>
          <w:proofErr w:type="gramStart"/>
          <w:r>
            <w:t>advise</w:t>
          </w:r>
          <w:proofErr w:type="gramEnd"/>
          <w:r>
            <w:t xml:space="preserve"> of the outage</w:t>
          </w:r>
          <w:r w:rsidR="001C4856">
            <w:t>.</w:t>
          </w:r>
        </w:p>
        <w:p w:rsidR="00186C5D" w:rsidRDefault="00186C5D" w:rsidP="00186C5D">
          <w:r>
            <w:t>Market</w:t>
          </w:r>
          <w:r w:rsidRPr="001C4856">
            <w:t xml:space="preserve"> notice </w:t>
          </w:r>
          <w:r>
            <w:t xml:space="preserve">54624 </w:t>
          </w:r>
          <w:r w:rsidRPr="001C4856">
            <w:t xml:space="preserve">was issued on </w:t>
          </w:r>
          <w:r>
            <w:t>27 July 2016.</w:t>
          </w:r>
        </w:p>
        <w:tbl>
          <w:tblPr>
            <w:tblStyle w:val="AERsummarytable"/>
            <w:tblW w:w="0" w:type="auto"/>
            <w:tblLook w:val="04A0" w:firstRow="1" w:lastRow="0" w:firstColumn="1" w:lastColumn="0" w:noHBand="0" w:noVBand="1"/>
          </w:tblPr>
          <w:tblGrid>
            <w:gridCol w:w="2173"/>
            <w:gridCol w:w="2173"/>
            <w:gridCol w:w="2173"/>
            <w:gridCol w:w="2174"/>
          </w:tblGrid>
          <w:tr w:rsidR="00992010" w:rsidTr="00405DEA">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992010" w:rsidRDefault="00992010" w:rsidP="00405DEA">
                <w:r>
                  <w:t>Market Notice</w:t>
                </w:r>
              </w:p>
            </w:tc>
            <w:tc>
              <w:tcPr>
                <w:tcW w:w="2173" w:type="dxa"/>
              </w:tcPr>
              <w:p w:rsidR="00992010" w:rsidRDefault="00992010" w:rsidP="00405DEA">
                <w:r>
                  <w:t>Type</w:t>
                </w:r>
              </w:p>
            </w:tc>
            <w:tc>
              <w:tcPr>
                <w:tcW w:w="2173" w:type="dxa"/>
              </w:tcPr>
              <w:p w:rsidR="00992010" w:rsidRDefault="00992010" w:rsidP="00405DEA">
                <w:r>
                  <w:t>Date of issue</w:t>
                </w:r>
              </w:p>
            </w:tc>
            <w:tc>
              <w:tcPr>
                <w:tcW w:w="2174" w:type="dxa"/>
              </w:tcPr>
              <w:p w:rsidR="00992010" w:rsidRDefault="00992010" w:rsidP="00405DEA">
                <w:r>
                  <w:t>Last Changed</w:t>
                </w:r>
              </w:p>
            </w:tc>
          </w:tr>
          <w:tr w:rsidR="00992010" w:rsidTr="00405DEA">
            <w:trPr>
              <w:cnfStyle w:val="000000100000" w:firstRow="0" w:lastRow="0" w:firstColumn="0" w:lastColumn="0" w:oddVBand="0" w:evenVBand="0" w:oddHBand="1" w:evenHBand="0" w:firstRowFirstColumn="0" w:firstRowLastColumn="0" w:lastRowFirstColumn="0" w:lastRowLastColumn="0"/>
            </w:trPr>
            <w:tc>
              <w:tcPr>
                <w:tcW w:w="2173" w:type="dxa"/>
              </w:tcPr>
              <w:p w:rsidR="00992010" w:rsidRDefault="00992010" w:rsidP="00AC6FC9">
                <w:r>
                  <w:t>5</w:t>
                </w:r>
                <w:r w:rsidR="00AC6FC9">
                  <w:t>4624</w:t>
                </w:r>
              </w:p>
            </w:tc>
            <w:tc>
              <w:tcPr>
                <w:tcW w:w="2173" w:type="dxa"/>
              </w:tcPr>
              <w:p w:rsidR="00992010" w:rsidRDefault="00992010" w:rsidP="00405DEA">
                <w:r>
                  <w:t>General Notice</w:t>
                </w:r>
              </w:p>
            </w:tc>
            <w:tc>
              <w:tcPr>
                <w:tcW w:w="2173" w:type="dxa"/>
              </w:tcPr>
              <w:p w:rsidR="00992010" w:rsidRDefault="00AC6FC9" w:rsidP="00AC6FC9">
                <w:r>
                  <w:t>27</w:t>
                </w:r>
                <w:r w:rsidR="00992010">
                  <w:t>/</w:t>
                </w:r>
                <w:r>
                  <w:t>07</w:t>
                </w:r>
                <w:r w:rsidR="00992010">
                  <w:t>/201</w:t>
                </w:r>
                <w:r>
                  <w:t>6</w:t>
                </w:r>
                <w:r w:rsidR="00992010">
                  <w:t xml:space="preserve"> </w:t>
                </w:r>
                <w:r>
                  <w:t>12</w:t>
                </w:r>
                <w:r w:rsidR="00992010">
                  <w:t>:</w:t>
                </w:r>
                <w:r>
                  <w:t>52</w:t>
                </w:r>
                <w:r w:rsidR="00992010">
                  <w:t>:</w:t>
                </w:r>
                <w:r>
                  <w:t>55</w:t>
                </w:r>
              </w:p>
            </w:tc>
            <w:tc>
              <w:tcPr>
                <w:tcW w:w="2174" w:type="dxa"/>
              </w:tcPr>
              <w:p w:rsidR="00992010" w:rsidRDefault="00905E95" w:rsidP="00405DEA">
                <w:r>
                  <w:t>27/07/2016 12:52:55</w:t>
                </w:r>
              </w:p>
            </w:tc>
          </w:tr>
          <w:tr w:rsidR="00992010" w:rsidRPr="008E53EA" w:rsidTr="00405DEA">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992010" w:rsidRPr="00C701C4" w:rsidRDefault="00992010" w:rsidP="00D26D2A">
                <w:pPr>
                  <w:spacing w:before="240"/>
                  <w:jc w:val="left"/>
                  <w:rPr>
                    <w:b/>
                    <w:color w:val="FFFFFF" w:themeColor="background1"/>
                  </w:rPr>
                </w:pPr>
                <w:r w:rsidRPr="00C701C4">
                  <w:rPr>
                    <w:b/>
                    <w:color w:val="FFFFFF" w:themeColor="background1"/>
                  </w:rPr>
                  <w:t>Reason</w:t>
                </w:r>
              </w:p>
            </w:tc>
          </w:tr>
          <w:tr w:rsidR="00992010" w:rsidTr="00405DEA">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992010" w:rsidRDefault="00AC6FC9" w:rsidP="00D26D2A">
                <w:pPr>
                  <w:jc w:val="left"/>
                </w:pPr>
                <w:r>
                  <w:rPr>
                    <w:rFonts w:cs="Arial"/>
                    <w:szCs w:val="18"/>
                  </w:rPr>
                  <w:t xml:space="preserve">AEMO ELECTRICITY MARKET NOTICE. </w:t>
                </w:r>
                <w:r>
                  <w:rPr>
                    <w:rFonts w:cs="Arial"/>
                    <w:szCs w:val="18"/>
                  </w:rPr>
                  <w:br/>
                </w:r>
                <w:r>
                  <w:rPr>
                    <w:rFonts w:cs="Arial"/>
                    <w:szCs w:val="18"/>
                  </w:rPr>
                  <w:br/>
                  <w:t xml:space="preserve">This market notice is FOR INFORMATION ONLY. </w:t>
                </w:r>
                <w:r>
                  <w:rPr>
                    <w:rFonts w:cs="Arial"/>
                    <w:szCs w:val="18"/>
                  </w:rPr>
                  <w:br/>
                </w:r>
                <w:r>
                  <w:rPr>
                    <w:rFonts w:cs="Arial"/>
                    <w:szCs w:val="18"/>
                  </w:rPr>
                  <w:br/>
                  <w:t xml:space="preserve">The Heywood No.1 500 kV busbar in Victoria Region is planned out of service from 0700 hrs on 10 August 2016 to 1700 hrs on 12 August 2016. During this outage, Heywood 500/275 kV M1 transformer will be off-loaded and Heywood - </w:t>
                </w:r>
                <w:proofErr w:type="spellStart"/>
                <w:r>
                  <w:rPr>
                    <w:rFonts w:cs="Arial"/>
                    <w:szCs w:val="18"/>
                  </w:rPr>
                  <w:t>Tarrone</w:t>
                </w:r>
                <w:proofErr w:type="spellEnd"/>
                <w:r>
                  <w:rPr>
                    <w:rFonts w:cs="Arial"/>
                    <w:szCs w:val="18"/>
                  </w:rPr>
                  <w:t xml:space="preserve"> - Alcoa Portland No.1 500 kV line will be open at Heywood. </w:t>
                </w:r>
                <w:r>
                  <w:rPr>
                    <w:rFonts w:cs="Arial"/>
                    <w:szCs w:val="18"/>
                  </w:rPr>
                  <w:br/>
                </w:r>
                <w:r>
                  <w:rPr>
                    <w:rFonts w:cs="Arial"/>
                    <w:szCs w:val="18"/>
                  </w:rPr>
                  <w:br/>
                  <w:t xml:space="preserve">During this outage, a credible contingency can separate South Australia region from the rest of the NEM. </w:t>
                </w:r>
                <w:r>
                  <w:rPr>
                    <w:rFonts w:cs="Arial"/>
                    <w:szCs w:val="18"/>
                  </w:rPr>
                  <w:br/>
                </w:r>
                <w:r>
                  <w:rPr>
                    <w:rFonts w:cs="Arial"/>
                    <w:szCs w:val="18"/>
                  </w:rPr>
                  <w:br/>
                  <w:t xml:space="preserve">Under these circumstances, 35 MW of Raise and Lower regulation FCAS will be sourced from South Australia for the duration of this outage. In addition, consistent with AEMO existing procedures, adequate contingency FCAS lower requirements will also be sourced from South Australia at times when power transfer is from South Australia to Victoria. </w:t>
                </w:r>
                <w:r>
                  <w:rPr>
                    <w:rFonts w:cs="Arial"/>
                    <w:szCs w:val="18"/>
                  </w:rPr>
                  <w:br/>
                </w:r>
                <w:r>
                  <w:rPr>
                    <w:rFonts w:cs="Arial"/>
                    <w:szCs w:val="18"/>
                  </w:rPr>
                  <w:br/>
                  <w:t xml:space="preserve">The following constraint sets have been invoked for this outage: </w:t>
                </w:r>
                <w:r>
                  <w:rPr>
                    <w:rFonts w:cs="Arial"/>
                    <w:szCs w:val="18"/>
                  </w:rPr>
                  <w:br/>
                </w:r>
                <w:r>
                  <w:rPr>
                    <w:rFonts w:cs="Arial"/>
                    <w:szCs w:val="18"/>
                  </w:rPr>
                  <w:br/>
                  <w:t xml:space="preserve">F-I_HYSE (includes F-S_LREG_0035 and F-S_RREG_0035) </w:t>
                </w:r>
                <w:r>
                  <w:rPr>
                    <w:rFonts w:cs="Arial"/>
                    <w:szCs w:val="18"/>
                  </w:rPr>
                  <w:br/>
                  <w:t xml:space="preserve">S-BOTH_BLKRG_C_OS </w:t>
                </w:r>
                <w:r>
                  <w:rPr>
                    <w:rFonts w:cs="Arial"/>
                    <w:szCs w:val="18"/>
                  </w:rPr>
                  <w:br/>
                  <w:t xml:space="preserve">V-HYTX_M12 </w:t>
                </w:r>
                <w:r>
                  <w:rPr>
                    <w:rFonts w:cs="Arial"/>
                    <w:szCs w:val="18"/>
                  </w:rPr>
                  <w:br/>
                  <w:t xml:space="preserve">V-HY_500BUS </w:t>
                </w:r>
                <w:r>
                  <w:rPr>
                    <w:rFonts w:cs="Arial"/>
                    <w:szCs w:val="18"/>
                  </w:rPr>
                  <w:br/>
                </w:r>
                <w:r>
                  <w:rPr>
                    <w:rFonts w:cs="Arial"/>
                    <w:szCs w:val="18"/>
                  </w:rPr>
                  <w:br/>
                  <w:t xml:space="preserve">Refer AEMO Network Outage Schedule (NOS) for further details. </w:t>
                </w:r>
                <w:r>
                  <w:rPr>
                    <w:rFonts w:cs="Arial"/>
                    <w:szCs w:val="18"/>
                  </w:rPr>
                  <w:br/>
                </w:r>
                <w:r>
                  <w:rPr>
                    <w:rFonts w:cs="Arial"/>
                    <w:szCs w:val="18"/>
                  </w:rPr>
                  <w:br/>
                  <w:t xml:space="preserve">AEMO will continue monitoring this proposed outage and will update the Market accordingly. </w:t>
                </w:r>
                <w:r>
                  <w:rPr>
                    <w:rFonts w:cs="Arial"/>
                    <w:szCs w:val="18"/>
                  </w:rPr>
                  <w:br/>
                </w:r>
                <w:r>
                  <w:rPr>
                    <w:rFonts w:cs="Arial"/>
                    <w:szCs w:val="18"/>
                  </w:rPr>
                  <w:br/>
                  <w:t>Operations Planning</w:t>
                </w:r>
              </w:p>
            </w:tc>
          </w:tr>
        </w:tbl>
        <w:p w:rsidR="00186C5D" w:rsidRDefault="00186C5D" w:rsidP="00186C5D"/>
        <w:p w:rsidR="00186C5D" w:rsidRDefault="00186C5D" w:rsidP="00186C5D"/>
        <w:p w:rsidR="00186C5D" w:rsidRDefault="00186C5D" w:rsidP="00186C5D"/>
        <w:p w:rsidR="00186C5D" w:rsidRDefault="00186C5D" w:rsidP="00186C5D"/>
        <w:p w:rsidR="00186C5D" w:rsidRDefault="00186C5D" w:rsidP="00186C5D"/>
        <w:p w:rsidR="00186C5D" w:rsidRDefault="00186C5D" w:rsidP="00186C5D"/>
        <w:p w:rsidR="00186C5D" w:rsidRDefault="00186C5D" w:rsidP="00186C5D"/>
        <w:p w:rsidR="00186C5D" w:rsidRDefault="00186C5D" w:rsidP="00186C5D"/>
        <w:p w:rsidR="00186C5D" w:rsidRDefault="00186C5D" w:rsidP="00186C5D"/>
        <w:p w:rsidR="00186C5D" w:rsidRDefault="00186C5D" w:rsidP="00186C5D">
          <w:r>
            <w:lastRenderedPageBreak/>
            <w:t>Market</w:t>
          </w:r>
          <w:r w:rsidRPr="001C4856">
            <w:t xml:space="preserve"> notice </w:t>
          </w:r>
          <w:r>
            <w:t xml:space="preserve">54699 </w:t>
          </w:r>
          <w:r w:rsidRPr="001C4856">
            <w:t xml:space="preserve">was issued on </w:t>
          </w:r>
          <w:r>
            <w:t>11 August 2016.</w:t>
          </w:r>
        </w:p>
        <w:tbl>
          <w:tblPr>
            <w:tblStyle w:val="AERsummarytable"/>
            <w:tblW w:w="0" w:type="auto"/>
            <w:tblLook w:val="04A0" w:firstRow="1" w:lastRow="0" w:firstColumn="1" w:lastColumn="0" w:noHBand="0" w:noVBand="1"/>
          </w:tblPr>
          <w:tblGrid>
            <w:gridCol w:w="2173"/>
            <w:gridCol w:w="2173"/>
            <w:gridCol w:w="2173"/>
            <w:gridCol w:w="2174"/>
          </w:tblGrid>
          <w:tr w:rsidR="00186C5D" w:rsidTr="00AC384C">
            <w:trPr>
              <w:cnfStyle w:val="100000000000" w:firstRow="1" w:lastRow="0" w:firstColumn="0" w:lastColumn="0" w:oddVBand="0" w:evenVBand="0" w:oddHBand="0" w:evenHBand="0" w:firstRowFirstColumn="0" w:firstRowLastColumn="0" w:lastRowFirstColumn="0" w:lastRowLastColumn="0"/>
            </w:trPr>
            <w:tc>
              <w:tcPr>
                <w:tcW w:w="2173" w:type="dxa"/>
                <w:shd w:val="clear" w:color="auto" w:fill="076A92" w:themeFill="text1"/>
              </w:tcPr>
              <w:p w:rsidR="00186C5D" w:rsidRDefault="00186C5D" w:rsidP="00AC384C">
                <w:r>
                  <w:t>Market Notice</w:t>
                </w:r>
              </w:p>
            </w:tc>
            <w:tc>
              <w:tcPr>
                <w:tcW w:w="2173" w:type="dxa"/>
              </w:tcPr>
              <w:p w:rsidR="00186C5D" w:rsidRDefault="00186C5D" w:rsidP="00AC384C">
                <w:r>
                  <w:t>Type</w:t>
                </w:r>
              </w:p>
            </w:tc>
            <w:tc>
              <w:tcPr>
                <w:tcW w:w="2173" w:type="dxa"/>
              </w:tcPr>
              <w:p w:rsidR="00186C5D" w:rsidRDefault="00186C5D" w:rsidP="00AC384C">
                <w:r>
                  <w:t>Date of issue</w:t>
                </w:r>
              </w:p>
            </w:tc>
            <w:tc>
              <w:tcPr>
                <w:tcW w:w="2174" w:type="dxa"/>
              </w:tcPr>
              <w:p w:rsidR="00186C5D" w:rsidRDefault="00186C5D" w:rsidP="00AC384C">
                <w:r>
                  <w:t>Last Changed</w:t>
                </w:r>
              </w:p>
            </w:tc>
          </w:tr>
          <w:tr w:rsidR="00186C5D" w:rsidTr="00AC384C">
            <w:trPr>
              <w:cnfStyle w:val="000000100000" w:firstRow="0" w:lastRow="0" w:firstColumn="0" w:lastColumn="0" w:oddVBand="0" w:evenVBand="0" w:oddHBand="1" w:evenHBand="0" w:firstRowFirstColumn="0" w:firstRowLastColumn="0" w:lastRowFirstColumn="0" w:lastRowLastColumn="0"/>
            </w:trPr>
            <w:tc>
              <w:tcPr>
                <w:tcW w:w="2173" w:type="dxa"/>
              </w:tcPr>
              <w:p w:rsidR="00186C5D" w:rsidRDefault="00186C5D" w:rsidP="00AC384C">
                <w:r>
                  <w:t>54699</w:t>
                </w:r>
              </w:p>
            </w:tc>
            <w:tc>
              <w:tcPr>
                <w:tcW w:w="2173" w:type="dxa"/>
              </w:tcPr>
              <w:p w:rsidR="00186C5D" w:rsidRDefault="00186C5D" w:rsidP="00AC384C">
                <w:r>
                  <w:t>Administered price cap</w:t>
                </w:r>
              </w:p>
            </w:tc>
            <w:tc>
              <w:tcPr>
                <w:tcW w:w="2173" w:type="dxa"/>
              </w:tcPr>
              <w:p w:rsidR="00186C5D" w:rsidRDefault="00186C5D" w:rsidP="00186C5D">
                <w:r>
                  <w:t>11/08/2016 19:20:17</w:t>
                </w:r>
              </w:p>
            </w:tc>
            <w:tc>
              <w:tcPr>
                <w:tcW w:w="2174" w:type="dxa"/>
              </w:tcPr>
              <w:p w:rsidR="00186C5D" w:rsidRDefault="00186C5D" w:rsidP="00AC384C">
                <w:r>
                  <w:t>11/08/2016 19:20:17</w:t>
                </w:r>
              </w:p>
            </w:tc>
          </w:tr>
          <w:tr w:rsidR="00186C5D" w:rsidRPr="008E53EA" w:rsidTr="00AC384C">
            <w:trPr>
              <w:cnfStyle w:val="000000010000" w:firstRow="0" w:lastRow="0" w:firstColumn="0" w:lastColumn="0" w:oddVBand="0" w:evenVBand="0" w:oddHBand="0" w:evenHBand="1" w:firstRowFirstColumn="0" w:firstRowLastColumn="0" w:lastRowFirstColumn="0" w:lastRowLastColumn="0"/>
            </w:trPr>
            <w:tc>
              <w:tcPr>
                <w:tcW w:w="8693" w:type="dxa"/>
                <w:gridSpan w:val="4"/>
                <w:shd w:val="clear" w:color="auto" w:fill="076A92" w:themeFill="text1"/>
              </w:tcPr>
              <w:p w:rsidR="00186C5D" w:rsidRPr="00C701C4" w:rsidRDefault="00186C5D" w:rsidP="00AC384C">
                <w:pPr>
                  <w:spacing w:before="240"/>
                  <w:jc w:val="left"/>
                  <w:rPr>
                    <w:b/>
                    <w:color w:val="FFFFFF" w:themeColor="background1"/>
                  </w:rPr>
                </w:pPr>
                <w:r w:rsidRPr="00C701C4">
                  <w:rPr>
                    <w:b/>
                    <w:color w:val="FFFFFF" w:themeColor="background1"/>
                  </w:rPr>
                  <w:t>Reason</w:t>
                </w:r>
              </w:p>
            </w:tc>
          </w:tr>
          <w:tr w:rsidR="00186C5D" w:rsidTr="00AC384C">
            <w:trPr>
              <w:cnfStyle w:val="000000100000" w:firstRow="0" w:lastRow="0" w:firstColumn="0" w:lastColumn="0" w:oddVBand="0" w:evenVBand="0" w:oddHBand="1" w:evenHBand="0" w:firstRowFirstColumn="0" w:firstRowLastColumn="0" w:lastRowFirstColumn="0" w:lastRowLastColumn="0"/>
            </w:trPr>
            <w:tc>
              <w:tcPr>
                <w:tcW w:w="8693" w:type="dxa"/>
                <w:gridSpan w:val="4"/>
              </w:tcPr>
              <w:p w:rsidR="00186C5D" w:rsidRDefault="00186C5D" w:rsidP="00AC384C">
                <w:pPr>
                  <w:jc w:val="left"/>
                </w:pPr>
                <w:r>
                  <w:rPr>
                    <w:rFonts w:cs="Arial"/>
                    <w:szCs w:val="18"/>
                  </w:rPr>
                  <w:t xml:space="preserve">AEMO ELECTRICITY MARKET NOTICE </w:t>
                </w:r>
                <w:r>
                  <w:rPr>
                    <w:rFonts w:cs="Arial"/>
                    <w:szCs w:val="18"/>
                  </w:rPr>
                  <w:br/>
                </w:r>
                <w:r>
                  <w:rPr>
                    <w:rFonts w:cs="Arial"/>
                    <w:szCs w:val="18"/>
                  </w:rPr>
                  <w:br/>
                  <w:t xml:space="preserve">Issued by Australian Energy Market Operator Ltd at 1920 hrs on 11 August 2016 </w:t>
                </w:r>
                <w:r>
                  <w:rPr>
                    <w:rFonts w:cs="Arial"/>
                    <w:szCs w:val="18"/>
                  </w:rPr>
                  <w:br/>
                </w:r>
                <w:r>
                  <w:rPr>
                    <w:rFonts w:cs="Arial"/>
                    <w:szCs w:val="18"/>
                  </w:rPr>
                  <w:br/>
                  <w:t xml:space="preserve">ADMINISTERED PRICE PERIOD DECLARED in SA region. </w:t>
                </w:r>
                <w:r>
                  <w:rPr>
                    <w:rFonts w:cs="Arial"/>
                    <w:szCs w:val="18"/>
                  </w:rPr>
                  <w:br/>
                </w:r>
                <w:r>
                  <w:rPr>
                    <w:rFonts w:cs="Arial"/>
                    <w:szCs w:val="18"/>
                  </w:rPr>
                  <w:br/>
                  <w:t xml:space="preserve">AEMO has determined that the rolling sum of the uncapped market ancillary Lower </w:t>
                </w:r>
                <w:proofErr w:type="spellStart"/>
                <w:r>
                  <w:rPr>
                    <w:rFonts w:cs="Arial"/>
                    <w:szCs w:val="18"/>
                  </w:rPr>
                  <w:t>Reg</w:t>
                </w:r>
                <w:proofErr w:type="spellEnd"/>
                <w:r>
                  <w:rPr>
                    <w:rFonts w:cs="Arial"/>
                    <w:szCs w:val="18"/>
                  </w:rPr>
                  <w:t xml:space="preserve"> services(s) prices for the SA region over the previous 2016 dispatch intervals has exceeded 6 times the cumulative price threshold (CPT) of $210,100.00. </w:t>
                </w:r>
                <w:r>
                  <w:rPr>
                    <w:rFonts w:cs="Arial"/>
                    <w:szCs w:val="18"/>
                  </w:rPr>
                  <w:br/>
                </w:r>
                <w:r>
                  <w:rPr>
                    <w:rFonts w:cs="Arial"/>
                    <w:szCs w:val="18"/>
                  </w:rPr>
                  <w:br/>
                  <w:t xml:space="preserve">In accordance with Clause 3.14 of the National Electricity Rules, AEMO has determined that an administered price period will commence at the dispatch interval starting 1925 hrs on 11 Aug 2016 and will continue through to the end of that trading day. </w:t>
                </w:r>
                <w:r>
                  <w:rPr>
                    <w:rFonts w:cs="Arial"/>
                    <w:szCs w:val="18"/>
                  </w:rPr>
                  <w:br/>
                </w:r>
                <w:r>
                  <w:rPr>
                    <w:rFonts w:cs="Arial"/>
                    <w:szCs w:val="18"/>
                  </w:rPr>
                  <w:br/>
                  <w:t xml:space="preserve">An administered price cap (APC) of 300 $/MWh will apply to all dispatch intervals during this administered price period. This APC will apply to all market ancillary service prices in the SA region. </w:t>
                </w:r>
                <w:r>
                  <w:rPr>
                    <w:rFonts w:cs="Arial"/>
                    <w:szCs w:val="18"/>
                  </w:rPr>
                  <w:br/>
                </w:r>
                <w:r>
                  <w:rPr>
                    <w:rFonts w:cs="Arial"/>
                    <w:szCs w:val="18"/>
                  </w:rPr>
                  <w:br/>
                  <w:t xml:space="preserve">An administered floor price (AFP) of 0 $/MWh AFP will apply to all market ancillary service prices. </w:t>
                </w:r>
                <w:r>
                  <w:rPr>
                    <w:rFonts w:cs="Arial"/>
                    <w:szCs w:val="18"/>
                  </w:rPr>
                  <w:br/>
                </w:r>
                <w:r>
                  <w:rPr>
                    <w:rFonts w:cs="Arial"/>
                    <w:szCs w:val="18"/>
                  </w:rPr>
                  <w:br/>
                  <w:t xml:space="preserve">AEMO will continue to monitor the rolling sum of the uncapped market ancillary service prices and issue further market notices as required. </w:t>
                </w:r>
                <w:r>
                  <w:rPr>
                    <w:rFonts w:cs="Arial"/>
                    <w:szCs w:val="18"/>
                  </w:rPr>
                  <w:br/>
                </w:r>
                <w:r>
                  <w:rPr>
                    <w:rFonts w:cs="Arial"/>
                    <w:szCs w:val="18"/>
                  </w:rPr>
                  <w:br/>
                </w:r>
                <w:r>
                  <w:rPr>
                    <w:rFonts w:cs="Arial"/>
                    <w:szCs w:val="18"/>
                  </w:rPr>
                  <w:br/>
                  <w:t xml:space="preserve">This is an AEMO </w:t>
                </w:r>
                <w:proofErr w:type="spellStart"/>
                <w:r>
                  <w:rPr>
                    <w:rFonts w:cs="Arial"/>
                    <w:szCs w:val="18"/>
                  </w:rPr>
                  <w:t>autogenerated</w:t>
                </w:r>
                <w:proofErr w:type="spellEnd"/>
                <w:r>
                  <w:rPr>
                    <w:rFonts w:cs="Arial"/>
                    <w:szCs w:val="18"/>
                  </w:rPr>
                  <w:t xml:space="preserve"> Market Notice.</w:t>
                </w:r>
              </w:p>
            </w:tc>
          </w:tr>
        </w:tbl>
        <w:p w:rsidR="00992010" w:rsidRDefault="00992010" w:rsidP="00992010">
          <w:pPr>
            <w:spacing w:line="240" w:lineRule="auto"/>
            <w:jc w:val="left"/>
          </w:pPr>
          <w:r>
            <w:br w:type="page"/>
          </w:r>
        </w:p>
        <w:p w:rsidR="00C7068C" w:rsidRDefault="00F1391C" w:rsidP="00296D34">
          <w:pPr>
            <w:pStyle w:val="Heading1notnumber"/>
          </w:pPr>
          <w:bookmarkStart w:id="44" w:name="_Toc467748144"/>
          <w:r>
            <w:lastRenderedPageBreak/>
            <w:t xml:space="preserve">Appendix </w:t>
          </w:r>
          <w:r w:rsidR="00963258">
            <w:t>F</w:t>
          </w:r>
          <w:r w:rsidR="00C7068C">
            <w:tab/>
            <w:t>Price setter</w:t>
          </w:r>
          <w:bookmarkEnd w:id="44"/>
          <w:r w:rsidR="00BC5E4D">
            <w:t xml:space="preserve"> </w:t>
          </w:r>
        </w:p>
        <w:p w:rsidR="00F0248A" w:rsidRDefault="00F0248A" w:rsidP="00F0248A">
          <w:r>
            <w:t xml:space="preserve">The following tables identify for </w:t>
          </w:r>
          <w:r w:rsidR="00E125B3">
            <w:t xml:space="preserve">each </w:t>
          </w:r>
          <w:r>
            <w:t>five-minute</w:t>
          </w:r>
          <w:r w:rsidR="00E125B3">
            <w:t xml:space="preserve"> dispatch interval where</w:t>
          </w:r>
          <w:r>
            <w:t xml:space="preserve"> </w:t>
          </w:r>
          <w:r w:rsidR="00FD6B42">
            <w:t xml:space="preserve">regulation </w:t>
          </w:r>
          <w:r>
            <w:t xml:space="preserve">dispatch prices </w:t>
          </w:r>
          <w:r w:rsidR="003C2B11">
            <w:t xml:space="preserve">were </w:t>
          </w:r>
          <w:r>
            <w:t xml:space="preserve">above $5000/MW, </w:t>
          </w:r>
          <w:r w:rsidR="00E125B3">
            <w:t xml:space="preserve">the </w:t>
          </w:r>
          <w:r>
            <w:t xml:space="preserve">price and the generating units involved in setting the price for each of the lower </w:t>
          </w:r>
          <w:r w:rsidR="00E125B3">
            <w:t>and raise regulation services</w:t>
          </w:r>
          <w:r>
            <w:t xml:space="preserve"> in South Australia. </w:t>
          </w:r>
          <w:r w:rsidRPr="006D5E16">
            <w:t>This information is published by AEMO</w:t>
          </w:r>
          <w:r w:rsidR="00E125B3">
            <w:t>.</w:t>
          </w:r>
          <w:r w:rsidRPr="006D5E16">
            <w:rPr>
              <w:rStyle w:val="FootnoteReference"/>
            </w:rPr>
            <w:footnoteReference w:id="8"/>
          </w:r>
          <w:r>
            <w:t xml:space="preserve"> Also shown </w:t>
          </w:r>
          <w:r w:rsidR="00E125B3">
            <w:t xml:space="preserve">are </w:t>
          </w:r>
          <w:r>
            <w:t>the offer prices involved in determining the dispatch price</w:t>
          </w:r>
          <w:r w:rsidR="00E125B3">
            <w:t>,</w:t>
          </w:r>
          <w:r>
            <w:t xml:space="preserve"> together with the quantity of that service and the contribution to the total</w:t>
          </w:r>
          <w:r w:rsidR="0054243F">
            <w:t xml:space="preserve"> </w:t>
          </w:r>
          <w:r>
            <w:t>price. AEMO reports an increase as a negative marginal change in FCAS price setter. Generator offers which contributed zero to the price have been removed for clarity.</w:t>
          </w:r>
        </w:p>
        <w:p w:rsidR="00EC4A12" w:rsidRDefault="00CF7345" w:rsidP="00EC4A12">
          <w:pPr>
            <w:pStyle w:val="Tabletitle"/>
          </w:pPr>
          <w:r w:rsidRPr="00AD4AB2">
            <w:t>Lower regulation</w:t>
          </w:r>
          <w:r w:rsidR="008315BA" w:rsidRPr="00AD4AB2">
            <w:t xml:space="preserve"> 11 </w:t>
          </w:r>
          <w:r w:rsidR="00D26D2A" w:rsidRPr="00AD4AB2">
            <w:t>August</w:t>
          </w:r>
        </w:p>
        <w:tbl>
          <w:tblPr>
            <w:tblStyle w:val="AERTable-Text1"/>
            <w:tblW w:w="5197" w:type="pct"/>
            <w:tblLayout w:type="fixed"/>
            <w:tblLook w:val="04A0" w:firstRow="1" w:lastRow="0" w:firstColumn="1" w:lastColumn="0" w:noHBand="0" w:noVBand="1"/>
          </w:tblPr>
          <w:tblGrid>
            <w:gridCol w:w="635"/>
            <w:gridCol w:w="1054"/>
            <w:gridCol w:w="1444"/>
            <w:gridCol w:w="1296"/>
            <w:gridCol w:w="1195"/>
            <w:gridCol w:w="1052"/>
            <w:gridCol w:w="983"/>
            <w:gridCol w:w="1377"/>
          </w:tblGrid>
          <w:tr w:rsidR="00EC2107" w:rsidRPr="00DD0001" w:rsidTr="00AD4AB2">
            <w:trPr>
              <w:cnfStyle w:val="100000000000" w:firstRow="1" w:lastRow="0" w:firstColumn="0" w:lastColumn="0" w:oddVBand="0" w:evenVBand="0" w:oddHBand="0" w:evenHBand="0" w:firstRowFirstColumn="0" w:firstRowLastColumn="0" w:lastRowFirstColumn="0" w:lastRowLastColumn="0"/>
              <w:trHeight w:hRule="exact" w:val="754"/>
              <w:tblHeader/>
            </w:trPr>
            <w:tc>
              <w:tcPr>
                <w:tcW w:w="351" w:type="pct"/>
              </w:tcPr>
              <w:p w:rsidR="00094459" w:rsidRPr="00010B1A" w:rsidRDefault="00094459" w:rsidP="00905E95">
                <w:pPr>
                  <w:pStyle w:val="tabletext0"/>
                </w:pPr>
                <w:r>
                  <w:t>DI</w:t>
                </w:r>
              </w:p>
            </w:tc>
            <w:tc>
              <w:tcPr>
                <w:tcW w:w="583" w:type="pct"/>
              </w:tcPr>
              <w:p w:rsidR="00094459" w:rsidRPr="00010B1A" w:rsidRDefault="00094459" w:rsidP="00905E95">
                <w:pPr>
                  <w:pStyle w:val="tabletext0"/>
                </w:pPr>
                <w:r w:rsidRPr="00010B1A">
                  <w:t>Dispatch Price</w:t>
                </w:r>
                <w:r>
                  <w:t xml:space="preserve"> ($/MW)</w:t>
                </w:r>
              </w:p>
            </w:tc>
            <w:tc>
              <w:tcPr>
                <w:tcW w:w="799" w:type="pct"/>
              </w:tcPr>
              <w:p w:rsidR="00094459" w:rsidRPr="00010B1A" w:rsidRDefault="0073312A" w:rsidP="00905E95">
                <w:pPr>
                  <w:pStyle w:val="tabletext0"/>
                </w:pPr>
                <w:r w:rsidRPr="00010B1A">
                  <w:t>Participant</w:t>
                </w:r>
              </w:p>
            </w:tc>
            <w:tc>
              <w:tcPr>
                <w:tcW w:w="717" w:type="pct"/>
              </w:tcPr>
              <w:p w:rsidR="00094459" w:rsidRPr="00010B1A" w:rsidRDefault="00094459" w:rsidP="00905E95">
                <w:pPr>
                  <w:pStyle w:val="tabletext0"/>
                </w:pPr>
                <w:r w:rsidRPr="00010B1A">
                  <w:t>Unit</w:t>
                </w:r>
              </w:p>
            </w:tc>
            <w:tc>
              <w:tcPr>
                <w:tcW w:w="661" w:type="pct"/>
              </w:tcPr>
              <w:p w:rsidR="00094459" w:rsidRPr="00010B1A" w:rsidRDefault="00094459" w:rsidP="00905E95">
                <w:pPr>
                  <w:pStyle w:val="tabletext0"/>
                </w:pPr>
                <w:r w:rsidRPr="00010B1A">
                  <w:t>Service</w:t>
                </w:r>
              </w:p>
            </w:tc>
            <w:tc>
              <w:tcPr>
                <w:tcW w:w="582" w:type="pct"/>
              </w:tcPr>
              <w:p w:rsidR="00094459" w:rsidRPr="00010B1A" w:rsidRDefault="00094459" w:rsidP="00905E95">
                <w:pPr>
                  <w:pStyle w:val="tabletext0"/>
                </w:pPr>
                <w:r>
                  <w:t>Offer price ($/MW)</w:t>
                </w:r>
              </w:p>
            </w:tc>
            <w:tc>
              <w:tcPr>
                <w:tcW w:w="544" w:type="pct"/>
              </w:tcPr>
              <w:p w:rsidR="00094459" w:rsidRPr="00010B1A" w:rsidRDefault="00094459" w:rsidP="00905E95">
                <w:pPr>
                  <w:pStyle w:val="tabletext0"/>
                </w:pPr>
                <w:r w:rsidRPr="00010B1A">
                  <w:t>Margi</w:t>
                </w:r>
                <w:r>
                  <w:t>nal</w:t>
                </w:r>
                <w:r w:rsidRPr="00010B1A">
                  <w:t xml:space="preserve"> change</w:t>
                </w:r>
              </w:p>
            </w:tc>
            <w:tc>
              <w:tcPr>
                <w:tcW w:w="762" w:type="pct"/>
              </w:tcPr>
              <w:p w:rsidR="00094459" w:rsidRPr="00010B1A" w:rsidRDefault="00094459" w:rsidP="00905E95">
                <w:pPr>
                  <w:pStyle w:val="tabletext0"/>
                </w:pPr>
                <w:r w:rsidRPr="003E1CCD">
                  <w:t>Contribution</w:t>
                </w:r>
                <w:r w:rsidR="00BC5E4D" w:rsidRPr="003E1CCD">
                  <w:t xml:space="preserve"> </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10:35</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10:40</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10:45</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10:50</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10:55</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11:00</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11:05</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11:10</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11:15</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11:20</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11:25</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11:30</w:t>
                </w:r>
              </w:p>
            </w:tc>
            <w:tc>
              <w:tcPr>
                <w:tcW w:w="583" w:type="pct"/>
                <w:vAlign w:val="bottom"/>
              </w:tcPr>
              <w:p w:rsidR="00504D50" w:rsidRDefault="00504D50">
                <w:pPr>
                  <w:jc w:val="right"/>
                  <w:rPr>
                    <w:rFonts w:cs="Arial"/>
                    <w:sz w:val="16"/>
                    <w:szCs w:val="16"/>
                  </w:rPr>
                </w:pPr>
                <w:r>
                  <w:rPr>
                    <w:rFonts w:cs="Arial"/>
                    <w:sz w:val="16"/>
                    <w:szCs w:val="16"/>
                  </w:rPr>
                  <w:t>$11469.00</w:t>
                </w:r>
              </w:p>
            </w:tc>
            <w:tc>
              <w:tcPr>
                <w:tcW w:w="799"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$11469.00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11:35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11:40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11:45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11:50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11:55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12:00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12:05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12:10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12:15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12:20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12:25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12:30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12:35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lastRenderedPageBreak/>
                  <w:t>12:40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12:45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12:50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12:55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13:00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13:05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13:10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13:15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13:20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13:25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13:30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13:35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13:40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13:45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13:50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13:55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14:00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14:05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14:10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14:15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14:20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14:25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14:30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14:35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14:40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14:45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14:50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14:55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15:00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15:05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15:10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15:15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15:20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15:25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15:30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15:35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15:40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15:45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lastRenderedPageBreak/>
                  <w:t>15:50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15:55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16:00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16:05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16:10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16:15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16:20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16:25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16:30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16:35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16:40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16:45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16:50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16:55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17:00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17:05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17:10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17:15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17:20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17:25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17:30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17:35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17:40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17:45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17:50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17:55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18:00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18:05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18:10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18:15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18:20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18:25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18:30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18:35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18:40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18:45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18:50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18:55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lastRenderedPageBreak/>
                  <w:t>19:00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19:05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19:10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19:15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19:20</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8"/>
            </w:trPr>
            <w:tc>
              <w:tcPr>
                <w:tcW w:w="351" w:type="pct"/>
                <w:vAlign w:val="bottom"/>
              </w:tcPr>
              <w:p w:rsidR="00504D50" w:rsidRDefault="00504D50">
                <w:pPr>
                  <w:jc w:val="right"/>
                  <w:rPr>
                    <w:rFonts w:cs="Arial"/>
                    <w:sz w:val="16"/>
                    <w:szCs w:val="16"/>
                  </w:rPr>
                </w:pPr>
                <w:r>
                  <w:rPr>
                    <w:rFonts w:cs="Arial"/>
                    <w:sz w:val="16"/>
                    <w:szCs w:val="16"/>
                  </w:rPr>
                  <w:t>19:25</w:t>
                </w:r>
              </w:p>
            </w:tc>
            <w:tc>
              <w:tcPr>
                <w:tcW w:w="583" w:type="pct"/>
                <w:vAlign w:val="bottom"/>
              </w:tcPr>
              <w:p w:rsidR="00504D50" w:rsidRDefault="00504D50">
                <w:pPr>
                  <w:jc w:val="right"/>
                  <w:rPr>
                    <w:rFonts w:cs="Arial"/>
                    <w:sz w:val="16"/>
                    <w:szCs w:val="16"/>
                  </w:rPr>
                </w:pPr>
                <w:r>
                  <w:rPr>
                    <w:rFonts w:cs="Arial"/>
                    <w:sz w:val="16"/>
                    <w:szCs w:val="16"/>
                  </w:rPr>
                  <w:t>$10990.00</w:t>
                </w:r>
              </w:p>
            </w:tc>
            <w:tc>
              <w:tcPr>
                <w:tcW w:w="799"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61" w:type="pct"/>
                <w:vAlign w:val="bottom"/>
              </w:tcPr>
              <w:p w:rsidR="00504D50" w:rsidRDefault="00504D50">
                <w:pPr>
                  <w:rPr>
                    <w:rFonts w:cs="Arial"/>
                    <w:sz w:val="16"/>
                    <w:szCs w:val="16"/>
                  </w:rPr>
                </w:pPr>
                <w:r>
                  <w:rPr>
                    <w:rFonts w:cs="Arial"/>
                    <w:sz w:val="16"/>
                    <w:szCs w:val="16"/>
                  </w:rPr>
                  <w:t xml:space="preserve">Lower </w:t>
                </w:r>
                <w:proofErr w:type="spellStart"/>
                <w:r>
                  <w:rPr>
                    <w:rFonts w:cs="Arial"/>
                    <w:sz w:val="16"/>
                    <w:szCs w:val="16"/>
                  </w:rPr>
                  <w:t>reg</w:t>
                </w:r>
                <w:proofErr w:type="spellEnd"/>
              </w:p>
            </w:tc>
            <w:tc>
              <w:tcPr>
                <w:tcW w:w="582" w:type="pct"/>
                <w:vAlign w:val="bottom"/>
              </w:tcPr>
              <w:p w:rsidR="00504D50" w:rsidRDefault="00504D50">
                <w:pPr>
                  <w:jc w:val="right"/>
                  <w:rPr>
                    <w:rFonts w:cs="Arial"/>
                    <w:sz w:val="16"/>
                    <w:szCs w:val="16"/>
                  </w:rPr>
                </w:pPr>
                <w:r>
                  <w:rPr>
                    <w:rFonts w:cs="Arial"/>
                    <w:sz w:val="16"/>
                    <w:szCs w:val="16"/>
                  </w:rPr>
                  <w:t>$10990.00</w:t>
                </w:r>
              </w:p>
            </w:tc>
            <w:tc>
              <w:tcPr>
                <w:tcW w:w="544"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bl>
        <w:p w:rsidR="000F720B" w:rsidRDefault="000F720B" w:rsidP="00A66985">
          <w:pPr>
            <w:pStyle w:val="Tabletitle"/>
            <w:keepNext/>
          </w:pPr>
          <w:r>
            <w:t xml:space="preserve">Raise regulation </w:t>
          </w:r>
          <w:r w:rsidR="00905E95">
            <w:t>11</w:t>
          </w:r>
          <w:r>
            <w:t xml:space="preserve"> </w:t>
          </w:r>
          <w:r w:rsidR="00905E95">
            <w:t>August</w:t>
          </w:r>
        </w:p>
        <w:tbl>
          <w:tblPr>
            <w:tblStyle w:val="AERTable-Text"/>
            <w:tblW w:w="5197" w:type="pct"/>
            <w:tblLayout w:type="fixed"/>
            <w:tblLook w:val="04A0" w:firstRow="1" w:lastRow="0" w:firstColumn="1" w:lastColumn="0" w:noHBand="0" w:noVBand="1"/>
          </w:tblPr>
          <w:tblGrid>
            <w:gridCol w:w="637"/>
            <w:gridCol w:w="1054"/>
            <w:gridCol w:w="1448"/>
            <w:gridCol w:w="1296"/>
            <w:gridCol w:w="1178"/>
            <w:gridCol w:w="1066"/>
            <w:gridCol w:w="980"/>
            <w:gridCol w:w="1377"/>
          </w:tblGrid>
          <w:tr w:rsidR="000F720B" w:rsidRPr="00DD0001" w:rsidTr="00AD4AB2">
            <w:trPr>
              <w:cnfStyle w:val="100000000000" w:firstRow="1" w:lastRow="0" w:firstColumn="0" w:lastColumn="0" w:oddVBand="0" w:evenVBand="0" w:oddHBand="0" w:evenHBand="0" w:firstRowFirstColumn="0" w:firstRowLastColumn="0" w:lastRowFirstColumn="0" w:lastRowLastColumn="0"/>
              <w:trHeight w:hRule="exact" w:val="737"/>
              <w:tblHeader/>
            </w:trPr>
            <w:tc>
              <w:tcPr>
                <w:tcW w:w="352" w:type="pct"/>
              </w:tcPr>
              <w:p w:rsidR="000F720B" w:rsidRPr="00010B1A" w:rsidRDefault="000F720B" w:rsidP="00AD4AB2">
                <w:pPr>
                  <w:pStyle w:val="tabletext0"/>
                </w:pPr>
                <w:r>
                  <w:t>DI</w:t>
                </w:r>
              </w:p>
            </w:tc>
            <w:tc>
              <w:tcPr>
                <w:tcW w:w="583" w:type="pct"/>
              </w:tcPr>
              <w:p w:rsidR="000F720B" w:rsidRPr="00010B1A" w:rsidRDefault="000F720B" w:rsidP="00AD4AB2">
                <w:pPr>
                  <w:pStyle w:val="tabletext0"/>
                </w:pPr>
                <w:r w:rsidRPr="00010B1A">
                  <w:t>Dispatch Price</w:t>
                </w:r>
                <w:r>
                  <w:t xml:space="preserve"> ($/MW)</w:t>
                </w:r>
              </w:p>
            </w:tc>
            <w:tc>
              <w:tcPr>
                <w:tcW w:w="801" w:type="pct"/>
              </w:tcPr>
              <w:p w:rsidR="000F720B" w:rsidRPr="00010B1A" w:rsidRDefault="000F720B" w:rsidP="00AD4AB2">
                <w:pPr>
                  <w:pStyle w:val="tabletext0"/>
                </w:pPr>
                <w:r w:rsidRPr="00010B1A">
                  <w:t>Participant</w:t>
                </w:r>
              </w:p>
            </w:tc>
            <w:tc>
              <w:tcPr>
                <w:tcW w:w="717" w:type="pct"/>
              </w:tcPr>
              <w:p w:rsidR="000F720B" w:rsidRPr="00010B1A" w:rsidRDefault="000F720B" w:rsidP="00AD4AB2">
                <w:pPr>
                  <w:pStyle w:val="tabletext0"/>
                </w:pPr>
                <w:r w:rsidRPr="00010B1A">
                  <w:t>Unit</w:t>
                </w:r>
              </w:p>
            </w:tc>
            <w:tc>
              <w:tcPr>
                <w:tcW w:w="652" w:type="pct"/>
              </w:tcPr>
              <w:p w:rsidR="000F720B" w:rsidRPr="00010B1A" w:rsidRDefault="000F720B" w:rsidP="00AD4AB2">
                <w:pPr>
                  <w:pStyle w:val="tabletext0"/>
                </w:pPr>
                <w:r w:rsidRPr="00010B1A">
                  <w:t>Service</w:t>
                </w:r>
              </w:p>
            </w:tc>
            <w:tc>
              <w:tcPr>
                <w:tcW w:w="590" w:type="pct"/>
              </w:tcPr>
              <w:p w:rsidR="000F720B" w:rsidRPr="00010B1A" w:rsidRDefault="000F720B" w:rsidP="00AD4AB2">
                <w:pPr>
                  <w:pStyle w:val="tabletext0"/>
                </w:pPr>
                <w:r>
                  <w:t>Offer price ($/MW)</w:t>
                </w:r>
              </w:p>
            </w:tc>
            <w:tc>
              <w:tcPr>
                <w:tcW w:w="542" w:type="pct"/>
              </w:tcPr>
              <w:p w:rsidR="000F720B" w:rsidRPr="00010B1A" w:rsidRDefault="000F720B" w:rsidP="00AD4AB2">
                <w:pPr>
                  <w:pStyle w:val="tabletext0"/>
                </w:pPr>
                <w:r w:rsidRPr="00010B1A">
                  <w:t>Margi</w:t>
                </w:r>
                <w:r>
                  <w:t>nal</w:t>
                </w:r>
                <w:r w:rsidRPr="00010B1A">
                  <w:t xml:space="preserve"> change</w:t>
                </w:r>
              </w:p>
            </w:tc>
            <w:tc>
              <w:tcPr>
                <w:tcW w:w="762" w:type="pct"/>
              </w:tcPr>
              <w:p w:rsidR="000F720B" w:rsidRPr="00010B1A" w:rsidRDefault="000F720B" w:rsidP="00AD4AB2">
                <w:pPr>
                  <w:pStyle w:val="tabletext0"/>
                </w:pPr>
                <w:r>
                  <w:t>Contribution</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10:35</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10:40</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10:45</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10:50</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10:55</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11:00</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11:05</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11:10</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11:15</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247FC3"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11:20</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11:25</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11:30</w:t>
                </w:r>
              </w:p>
            </w:tc>
            <w:tc>
              <w:tcPr>
                <w:tcW w:w="583" w:type="pct"/>
                <w:vAlign w:val="bottom"/>
              </w:tcPr>
              <w:p w:rsidR="00504D50" w:rsidRDefault="00504D50">
                <w:pPr>
                  <w:jc w:val="right"/>
                  <w:rPr>
                    <w:rFonts w:cs="Arial"/>
                    <w:sz w:val="16"/>
                    <w:szCs w:val="16"/>
                  </w:rPr>
                </w:pPr>
                <w:r>
                  <w:rPr>
                    <w:rFonts w:cs="Arial"/>
                    <w:sz w:val="16"/>
                    <w:szCs w:val="16"/>
                  </w:rPr>
                  <w:t>$11469.00</w:t>
                </w:r>
              </w:p>
            </w:tc>
            <w:tc>
              <w:tcPr>
                <w:tcW w:w="801" w:type="pct"/>
                <w:vAlign w:val="bottom"/>
              </w:tcPr>
              <w:p w:rsidR="00504D50" w:rsidRDefault="00504D50">
                <w:pPr>
                  <w:rPr>
                    <w:rFonts w:cs="Arial"/>
                    <w:sz w:val="16"/>
                    <w:szCs w:val="16"/>
                  </w:rPr>
                </w:pPr>
                <w:proofErr w:type="spellStart"/>
                <w:r>
                  <w:rPr>
                    <w:rFonts w:cs="Arial"/>
                    <w:sz w:val="16"/>
                    <w:szCs w:val="16"/>
                  </w:rPr>
                  <w:t>Engie</w:t>
                </w:r>
                <w:proofErr w:type="spellEnd"/>
              </w:p>
            </w:tc>
            <w:tc>
              <w:tcPr>
                <w:tcW w:w="717" w:type="pct"/>
                <w:vAlign w:val="bottom"/>
              </w:tcPr>
              <w:p w:rsidR="00504D50" w:rsidRDefault="00504D50">
                <w:pPr>
                  <w:rPr>
                    <w:rFonts w:cs="Arial"/>
                    <w:sz w:val="16"/>
                    <w:szCs w:val="16"/>
                  </w:rPr>
                </w:pPr>
                <w:r>
                  <w:rPr>
                    <w:rFonts w:cs="Arial"/>
                    <w:sz w:val="16"/>
                    <w:szCs w:val="16"/>
                  </w:rPr>
                  <w:t>PPCCGT</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$11469.00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-$11469.00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12:35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12:40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12:45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12:50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12:55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13:00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13:05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13:10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13:15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13:20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13:25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13:30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13:35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13:40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13:45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13:50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13:55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lastRenderedPageBreak/>
                  <w:t>14:00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14:05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14:10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14:15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14:20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14:25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14:30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14:35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14:40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14:45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14:50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14:55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15:00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15:05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15:10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15:15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15:20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15:25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15:30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15:35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15:40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15:45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15:50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15:55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16:00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16:05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16:10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16:15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16:20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16:25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16:30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16:35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16:40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16:45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16:50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16:55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17:00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17:05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17:10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lastRenderedPageBreak/>
                  <w:t>17:15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17:20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17:25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17:30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17:35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17:40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17:45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17:50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17:55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18:00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18:05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18:10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18:15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18:20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18:25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18:30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18:35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18:40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18:45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18:50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18:55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19:00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19:05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19:10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19:15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010000" w:firstRow="0" w:lastRow="0" w:firstColumn="0" w:lastColumn="0" w:oddVBand="0" w:evenVBand="0" w:oddHBand="0" w:evenHBand="1"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19:20</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r w:rsidR="00504D50" w:rsidRPr="00796046" w:rsidTr="00504D50">
            <w:trPr>
              <w:cnfStyle w:val="000000100000" w:firstRow="0" w:lastRow="0" w:firstColumn="0" w:lastColumn="0" w:oddVBand="0" w:evenVBand="0" w:oddHBand="1" w:evenHBand="0" w:firstRowFirstColumn="0" w:firstRowLastColumn="0" w:lastRowFirstColumn="0" w:lastRowLastColumn="0"/>
              <w:trHeight w:hRule="exact" w:val="340"/>
            </w:trPr>
            <w:tc>
              <w:tcPr>
                <w:tcW w:w="352" w:type="pct"/>
                <w:vAlign w:val="bottom"/>
              </w:tcPr>
              <w:p w:rsidR="00504D50" w:rsidRDefault="00504D50">
                <w:pPr>
                  <w:jc w:val="right"/>
                  <w:rPr>
                    <w:rFonts w:cs="Arial"/>
                    <w:sz w:val="16"/>
                    <w:szCs w:val="16"/>
                  </w:rPr>
                </w:pPr>
                <w:r>
                  <w:rPr>
                    <w:rFonts w:cs="Arial"/>
                    <w:sz w:val="16"/>
                    <w:szCs w:val="16"/>
                  </w:rPr>
                  <w:t>19:25</w:t>
                </w:r>
              </w:p>
            </w:tc>
            <w:tc>
              <w:tcPr>
                <w:tcW w:w="583" w:type="pct"/>
                <w:vAlign w:val="bottom"/>
              </w:tcPr>
              <w:p w:rsidR="00504D50" w:rsidRDefault="00504D50">
                <w:pPr>
                  <w:jc w:val="right"/>
                  <w:rPr>
                    <w:rFonts w:cs="Arial"/>
                    <w:sz w:val="16"/>
                    <w:szCs w:val="16"/>
                  </w:rPr>
                </w:pPr>
                <w:r>
                  <w:rPr>
                    <w:rFonts w:cs="Arial"/>
                    <w:sz w:val="16"/>
                    <w:szCs w:val="16"/>
                  </w:rPr>
                  <w:t>$10990.00</w:t>
                </w:r>
              </w:p>
            </w:tc>
            <w:tc>
              <w:tcPr>
                <w:tcW w:w="801" w:type="pct"/>
                <w:vAlign w:val="bottom"/>
              </w:tcPr>
              <w:p w:rsidR="00504D50" w:rsidRDefault="00504D50">
                <w:pPr>
                  <w:rPr>
                    <w:rFonts w:cs="Arial"/>
                    <w:sz w:val="16"/>
                    <w:szCs w:val="16"/>
                  </w:rPr>
                </w:pPr>
                <w:r>
                  <w:rPr>
                    <w:rFonts w:cs="Arial"/>
                    <w:sz w:val="16"/>
                    <w:szCs w:val="16"/>
                  </w:rPr>
                  <w:t>Origin Energy</w:t>
                </w:r>
              </w:p>
            </w:tc>
            <w:tc>
              <w:tcPr>
                <w:tcW w:w="717" w:type="pct"/>
                <w:vAlign w:val="bottom"/>
              </w:tcPr>
              <w:p w:rsidR="00504D50" w:rsidRDefault="00504D50">
                <w:pPr>
                  <w:rPr>
                    <w:rFonts w:cs="Arial"/>
                    <w:sz w:val="16"/>
                    <w:szCs w:val="16"/>
                  </w:rPr>
                </w:pPr>
                <w:r>
                  <w:rPr>
                    <w:rFonts w:cs="Arial"/>
                    <w:sz w:val="16"/>
                    <w:szCs w:val="16"/>
                  </w:rPr>
                  <w:t>QPS5</w:t>
                </w:r>
              </w:p>
            </w:tc>
            <w:tc>
              <w:tcPr>
                <w:tcW w:w="652" w:type="pct"/>
                <w:vAlign w:val="bottom"/>
              </w:tcPr>
              <w:p w:rsidR="00504D50" w:rsidRDefault="00504D50">
                <w:pPr>
                  <w:rPr>
                    <w:rFonts w:cs="Arial"/>
                    <w:sz w:val="16"/>
                    <w:szCs w:val="16"/>
                  </w:rPr>
                </w:pPr>
                <w:r>
                  <w:rPr>
                    <w:rFonts w:cs="Arial"/>
                    <w:sz w:val="16"/>
                    <w:szCs w:val="16"/>
                  </w:rPr>
                  <w:t xml:space="preserve">Raise </w:t>
                </w:r>
                <w:proofErr w:type="spellStart"/>
                <w:r>
                  <w:rPr>
                    <w:rFonts w:cs="Arial"/>
                    <w:sz w:val="16"/>
                    <w:szCs w:val="16"/>
                  </w:rPr>
                  <w:t>reg</w:t>
                </w:r>
                <w:proofErr w:type="spellEnd"/>
              </w:p>
            </w:tc>
            <w:tc>
              <w:tcPr>
                <w:tcW w:w="590" w:type="pct"/>
                <w:vAlign w:val="bottom"/>
              </w:tcPr>
              <w:p w:rsidR="00504D50" w:rsidRDefault="00504D50">
                <w:pPr>
                  <w:jc w:val="right"/>
                  <w:rPr>
                    <w:rFonts w:cs="Arial"/>
                    <w:sz w:val="16"/>
                    <w:szCs w:val="16"/>
                  </w:rPr>
                </w:pPr>
                <w:r>
                  <w:rPr>
                    <w:rFonts w:cs="Arial"/>
                    <w:sz w:val="16"/>
                    <w:szCs w:val="16"/>
                  </w:rPr>
                  <w:t>$10990.00</w:t>
                </w:r>
              </w:p>
            </w:tc>
            <w:tc>
              <w:tcPr>
                <w:tcW w:w="542" w:type="pct"/>
                <w:vAlign w:val="bottom"/>
              </w:tcPr>
              <w:p w:rsidR="00504D50" w:rsidRDefault="00504D50">
                <w:pPr>
                  <w:jc w:val="right"/>
                  <w:rPr>
                    <w:rFonts w:cs="Arial"/>
                    <w:sz w:val="16"/>
                    <w:szCs w:val="16"/>
                  </w:rPr>
                </w:pPr>
                <w:r>
                  <w:rPr>
                    <w:rFonts w:cs="Arial"/>
                    <w:sz w:val="16"/>
                    <w:szCs w:val="16"/>
                  </w:rPr>
                  <w:t>-1.00</w:t>
                </w:r>
              </w:p>
            </w:tc>
            <w:tc>
              <w:tcPr>
                <w:tcW w:w="762" w:type="pct"/>
                <w:vAlign w:val="bottom"/>
              </w:tcPr>
              <w:p w:rsidR="00504D50" w:rsidRDefault="00504D50">
                <w:pPr>
                  <w:jc w:val="right"/>
                  <w:rPr>
                    <w:rFonts w:cs="Arial"/>
                    <w:sz w:val="16"/>
                    <w:szCs w:val="16"/>
                  </w:rPr>
                </w:pPr>
                <w:r>
                  <w:rPr>
                    <w:rFonts w:cs="Arial"/>
                    <w:sz w:val="16"/>
                    <w:szCs w:val="16"/>
                  </w:rPr>
                  <w:t>-$10990.00</w:t>
                </w:r>
              </w:p>
            </w:tc>
          </w:tr>
        </w:tbl>
      </w:sdtContent>
    </w:sdt>
    <w:p w:rsidR="004D0B56" w:rsidRDefault="004D0B56" w:rsidP="006F290E">
      <w:pPr>
        <w:pStyle w:val="Tabletitle"/>
      </w:pPr>
    </w:p>
    <w:sectPr w:rsidR="004D0B56" w:rsidSect="00F71B0D">
      <w:footerReference w:type="even" r:id="rId28"/>
      <w:footerReference w:type="default" r:id="rId29"/>
      <w:footerReference w:type="first" r:id="rId30"/>
      <w:pgSz w:w="11906" w:h="16838" w:code="9"/>
      <w:pgMar w:top="1134" w:right="1700" w:bottom="1134" w:left="1729"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D9B" w:rsidRDefault="00163D9B">
      <w:pPr>
        <w:spacing w:before="0" w:line="240" w:lineRule="auto"/>
      </w:pPr>
      <w:r>
        <w:separator/>
      </w:r>
    </w:p>
  </w:endnote>
  <w:endnote w:type="continuationSeparator" w:id="0">
    <w:p w:rsidR="00163D9B" w:rsidRDefault="00163D9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9B" w:rsidRPr="007A4D1F" w:rsidRDefault="00163D9B" w:rsidP="003610D1">
    <w:pPr>
      <w:tabs>
        <w:tab w:val="left" w:pos="1623"/>
        <w:tab w:val="center" w:pos="4513"/>
        <w:tab w:val="right" w:pos="9026"/>
      </w:tabs>
      <w:spacing w:after="120"/>
      <w:rPr>
        <w:rFonts w:eastAsia="Arial" w:cs="Times New Roman"/>
        <w:color w:val="076A92" w:themeColor="text1"/>
        <w:sz w:val="18"/>
      </w:rPr>
    </w:pPr>
    <w:r w:rsidRPr="00FC5038">
      <w:rPr>
        <w:rFonts w:eastAsia="Arial" w:cs="Times New Roman"/>
        <w:b/>
        <w:color w:val="076A92" w:themeColor="text1"/>
        <w:sz w:val="18"/>
      </w:rPr>
      <w:fldChar w:fldCharType="begin"/>
    </w:r>
    <w:r w:rsidRPr="00FC5038">
      <w:rPr>
        <w:rFonts w:eastAsia="Arial" w:cs="Times New Roman"/>
        <w:b/>
        <w:color w:val="076A92" w:themeColor="text1"/>
        <w:sz w:val="18"/>
      </w:rPr>
      <w:instrText xml:space="preserve"> STYLEREF  "Report Title"  \* MERGEFORMAT </w:instrText>
    </w:r>
    <w:r w:rsidRPr="00FC5038">
      <w:rPr>
        <w:rFonts w:eastAsia="Arial" w:cs="Times New Roman"/>
        <w:b/>
        <w:color w:val="076A92" w:themeColor="text1"/>
        <w:sz w:val="18"/>
      </w:rPr>
      <w:fldChar w:fldCharType="separate"/>
    </w:r>
    <w:r w:rsidR="00431D37" w:rsidRPr="00431D37">
      <w:rPr>
        <w:rFonts w:eastAsia="Arial" w:cs="Times New Roman"/>
        <w:b/>
        <w:bCs/>
        <w:noProof/>
        <w:color w:val="076A92" w:themeColor="text1"/>
        <w:sz w:val="18"/>
        <w:lang w:val="en-US"/>
      </w:rPr>
      <w:t>Report</w:t>
    </w:r>
    <w:r w:rsidR="00431D37">
      <w:rPr>
        <w:rFonts w:eastAsia="Arial" w:cs="Times New Roman"/>
        <w:b/>
        <w:noProof/>
        <w:color w:val="076A92" w:themeColor="text1"/>
        <w:sz w:val="18"/>
      </w:rPr>
      <w:t xml:space="preserve"> into Market ancillary service prices above $5000/MW</w:t>
    </w:r>
    <w:r w:rsidRPr="00FC5038">
      <w:rPr>
        <w:rFonts w:eastAsia="Arial" w:cs="Times New Roman"/>
        <w:b/>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431D37">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163D9B" w:rsidRDefault="00163D9B" w:rsidP="003610D1">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9B" w:rsidRPr="00A91A9E" w:rsidRDefault="00163D9B" w:rsidP="003610D1">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163D9B" w:rsidRDefault="00163D9B"/>
  <w:p w:rsidR="00163D9B" w:rsidRDefault="00163D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9B" w:rsidRDefault="00431D37" w:rsidP="004869D4">
    <w:pPr>
      <w:pStyle w:val="Footer"/>
    </w:pPr>
    <w:r>
      <w:fldChar w:fldCharType="begin"/>
    </w:r>
    <w:r>
      <w:instrText xml:space="preserve"> STYLEREF  "Report Title"  \* MERGEFORMAT </w:instrText>
    </w:r>
    <w:r>
      <w:fldChar w:fldCharType="separate"/>
    </w:r>
    <w:r w:rsidRPr="00431D37">
      <w:rPr>
        <w:b/>
        <w:bCs/>
        <w:noProof/>
        <w:lang w:val="en-US"/>
      </w:rPr>
      <w:t>Report into Market ancillary service prices above $5000/MW</w:t>
    </w:r>
    <w:r>
      <w:rPr>
        <w:b/>
        <w:bCs/>
        <w:noProof/>
        <w:lang w:val="en-US"/>
      </w:rPr>
      <w:fldChar w:fldCharType="end"/>
    </w:r>
    <w:r w:rsidR="00163D9B">
      <w:tab/>
    </w:r>
    <w:r w:rsidR="00163D9B">
      <w:tab/>
    </w:r>
    <w:r w:rsidR="00163D9B">
      <w:fldChar w:fldCharType="begin"/>
    </w:r>
    <w:r w:rsidR="00163D9B">
      <w:instrText xml:space="preserve"> PAGE   \* MERGEFORMAT </w:instrText>
    </w:r>
    <w:r w:rsidR="00163D9B">
      <w:fldChar w:fldCharType="separate"/>
    </w:r>
    <w:r>
      <w:rPr>
        <w:noProof/>
      </w:rPr>
      <w:t>4</w:t>
    </w:r>
    <w:r w:rsidR="00163D9B">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D9B" w:rsidRDefault="00431D37" w:rsidP="003610D1">
    <w:pPr>
      <w:pStyle w:val="Footer"/>
      <w:tabs>
        <w:tab w:val="clear" w:pos="9026"/>
        <w:tab w:val="right" w:pos="8505"/>
      </w:tabs>
    </w:pPr>
    <w:r>
      <w:fldChar w:fldCharType="begin"/>
    </w:r>
    <w:r>
      <w:instrText xml:space="preserve"> STYLEREF  "Report Title"  \* MERGEFORMAT </w:instrText>
    </w:r>
    <w:r>
      <w:fldChar w:fldCharType="separate"/>
    </w:r>
    <w:r w:rsidR="00163D9B">
      <w:rPr>
        <w:noProof/>
      </w:rPr>
      <w:t>Report into Market ancillary service prices above $5000/MW</w:t>
    </w:r>
    <w:r>
      <w:rPr>
        <w:noProof/>
      </w:rPr>
      <w:fldChar w:fldCharType="end"/>
    </w:r>
    <w:r w:rsidR="00163D9B">
      <w:tab/>
    </w:r>
    <w:r w:rsidR="00163D9B">
      <w:tab/>
    </w:r>
    <w:r w:rsidR="00163D9B">
      <w:fldChar w:fldCharType="begin"/>
    </w:r>
    <w:r w:rsidR="00163D9B">
      <w:instrText xml:space="preserve"> PAGE   \* MERGEFORMAT </w:instrText>
    </w:r>
    <w:r w:rsidR="00163D9B">
      <w:fldChar w:fldCharType="separate"/>
    </w:r>
    <w:r w:rsidR="00163D9B">
      <w:rPr>
        <w:noProof/>
      </w:rPr>
      <w:t>1</w:t>
    </w:r>
    <w:r w:rsidR="00163D9B">
      <w:fldChar w:fldCharType="end"/>
    </w:r>
  </w:p>
  <w:p w:rsidR="00163D9B" w:rsidRDefault="00163D9B">
    <w:pPr>
      <w:pStyle w:val="Footer"/>
    </w:pPr>
  </w:p>
  <w:p w:rsidR="00163D9B" w:rsidRDefault="00163D9B"/>
  <w:p w:rsidR="00163D9B" w:rsidRDefault="00163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D9B" w:rsidRDefault="00163D9B">
      <w:pPr>
        <w:spacing w:before="0" w:line="240" w:lineRule="auto"/>
      </w:pPr>
      <w:r>
        <w:separator/>
      </w:r>
    </w:p>
  </w:footnote>
  <w:footnote w:type="continuationSeparator" w:id="0">
    <w:p w:rsidR="00163D9B" w:rsidRDefault="00163D9B">
      <w:pPr>
        <w:spacing w:before="0" w:line="240" w:lineRule="auto"/>
      </w:pPr>
      <w:r>
        <w:continuationSeparator/>
      </w:r>
    </w:p>
  </w:footnote>
  <w:footnote w:id="1">
    <w:p w:rsidR="00163D9B" w:rsidRDefault="00163D9B">
      <w:pPr>
        <w:pStyle w:val="FootnoteText"/>
      </w:pPr>
      <w:r>
        <w:rPr>
          <w:rStyle w:val="FootnoteReference"/>
        </w:rPr>
        <w:footnoteRef/>
      </w:r>
      <w:r>
        <w:t xml:space="preserve"> </w:t>
      </w:r>
      <w:r>
        <w:tab/>
      </w:r>
      <w:r w:rsidRPr="005412A6">
        <w:t>Appendix A contains a</w:t>
      </w:r>
      <w:r>
        <w:t xml:space="preserve"> more detailed</w:t>
      </w:r>
      <w:r w:rsidRPr="005412A6">
        <w:t xml:space="preserve"> explanation of frequency control ancillary services (FCAS).</w:t>
      </w:r>
    </w:p>
  </w:footnote>
  <w:footnote w:id="2">
    <w:p w:rsidR="00163D9B" w:rsidRDefault="00163D9B">
      <w:pPr>
        <w:pStyle w:val="FootnoteText"/>
      </w:pPr>
      <w:r>
        <w:rPr>
          <w:rStyle w:val="FootnoteReference"/>
        </w:rPr>
        <w:footnoteRef/>
      </w:r>
      <w:r>
        <w:t xml:space="preserve"> </w:t>
      </w:r>
      <w:r>
        <w:tab/>
        <w:t xml:space="preserve">Average costs </w:t>
      </w:r>
      <w:r>
        <w:tab/>
        <w:t>of the 2015/2016 FY.</w:t>
      </w:r>
    </w:p>
  </w:footnote>
  <w:footnote w:id="3">
    <w:p w:rsidR="00163D9B" w:rsidRDefault="00163D9B">
      <w:pPr>
        <w:pStyle w:val="FootnoteText"/>
      </w:pPr>
      <w:r>
        <w:rPr>
          <w:rStyle w:val="FootnoteReference"/>
        </w:rPr>
        <w:footnoteRef/>
      </w:r>
      <w:r>
        <w:t xml:space="preserve"> </w:t>
      </w:r>
      <w:r>
        <w:tab/>
        <w:t>The cumulative price threshold is a price risk safety net</w:t>
      </w:r>
      <w:r w:rsidR="00A52829">
        <w:t>.</w:t>
      </w:r>
      <w:r>
        <w:t xml:space="preserve"> </w:t>
      </w:r>
      <w:r w:rsidR="00A52829">
        <w:t>S</w:t>
      </w:r>
      <w:r>
        <w:t xml:space="preserve">ee section </w:t>
      </w:r>
      <w:r>
        <w:fldChar w:fldCharType="begin"/>
      </w:r>
      <w:r>
        <w:instrText xml:space="preserve"> REF _Ref438024823 \n \h </w:instrText>
      </w:r>
      <w:r>
        <w:fldChar w:fldCharType="separate"/>
      </w:r>
      <w:r>
        <w:t>3.4</w:t>
      </w:r>
      <w:r>
        <w:fldChar w:fldCharType="end"/>
      </w:r>
    </w:p>
  </w:footnote>
  <w:footnote w:id="4">
    <w:p w:rsidR="00163D9B" w:rsidRDefault="00163D9B" w:rsidP="00A52829">
      <w:pPr>
        <w:pStyle w:val="FootnoteText"/>
      </w:pPr>
      <w:r>
        <w:rPr>
          <w:rStyle w:val="FootnoteReference"/>
        </w:rPr>
        <w:footnoteRef/>
      </w:r>
      <w:r>
        <w:t xml:space="preserve"> </w:t>
      </w:r>
      <w:r>
        <w:tab/>
        <w:t xml:space="preserve">In December 2015 Origin Energy registered its Quarantine Power Station to provide 50 MW regulation services, more than offsetting the 20 MW lost when </w:t>
      </w:r>
      <w:proofErr w:type="spellStart"/>
      <w:r>
        <w:t>Alinta</w:t>
      </w:r>
      <w:proofErr w:type="spellEnd"/>
      <w:r>
        <w:t xml:space="preserve"> Energy decommissioned Northern Power station in May 2016. </w:t>
      </w:r>
    </w:p>
  </w:footnote>
  <w:footnote w:id="5">
    <w:p w:rsidR="00163D9B" w:rsidRDefault="00163D9B">
      <w:pPr>
        <w:pStyle w:val="FootnoteText"/>
      </w:pPr>
      <w:r>
        <w:rPr>
          <w:rStyle w:val="FootnoteReference"/>
        </w:rPr>
        <w:footnoteRef/>
      </w:r>
      <w:r>
        <w:t xml:space="preserve"> </w:t>
      </w:r>
      <w:r>
        <w:tab/>
      </w:r>
      <w:r w:rsidRPr="00404CEA">
        <w:t xml:space="preserve">Individual prices are contained in the Price Setter </w:t>
      </w:r>
      <w:r w:rsidRPr="006D5E40">
        <w:t>at Appendix F</w:t>
      </w:r>
    </w:p>
  </w:footnote>
  <w:footnote w:id="6">
    <w:p w:rsidR="00163D9B" w:rsidRDefault="00163D9B">
      <w:pPr>
        <w:pStyle w:val="FootnoteText"/>
      </w:pPr>
      <w:r>
        <w:rPr>
          <w:rStyle w:val="FootnoteReference"/>
        </w:rPr>
        <w:footnoteRef/>
      </w:r>
      <w:r>
        <w:t xml:space="preserve"> </w:t>
      </w:r>
      <w:r>
        <w:tab/>
        <w:t>In fact this capacity was priced under $500/MW.</w:t>
      </w:r>
    </w:p>
  </w:footnote>
  <w:footnote w:id="7">
    <w:p w:rsidR="00163D9B" w:rsidRDefault="00163D9B">
      <w:pPr>
        <w:pStyle w:val="FootnoteText"/>
      </w:pPr>
      <w:r>
        <w:rPr>
          <w:rStyle w:val="FootnoteReference"/>
        </w:rPr>
        <w:footnoteRef/>
      </w:r>
      <w:r>
        <w:t xml:space="preserve"> </w:t>
      </w:r>
      <w:r>
        <w:tab/>
        <w:t>Clause 3.14.2</w:t>
      </w:r>
    </w:p>
  </w:footnote>
  <w:footnote w:id="8">
    <w:p w:rsidR="00163D9B" w:rsidRPr="004D709E" w:rsidRDefault="00163D9B" w:rsidP="00F0248A">
      <w:pPr>
        <w:pStyle w:val="FootnoteText"/>
        <w:rPr>
          <w:sz w:val="18"/>
          <w:szCs w:val="18"/>
          <w:u w:val="single"/>
        </w:rPr>
      </w:pPr>
      <w:r w:rsidRPr="004D709E">
        <w:rPr>
          <w:rStyle w:val="FootnoteReference"/>
          <w:sz w:val="18"/>
          <w:szCs w:val="18"/>
        </w:rPr>
        <w:footnoteRef/>
      </w:r>
      <w:r w:rsidRPr="004D709E">
        <w:rPr>
          <w:sz w:val="18"/>
          <w:szCs w:val="18"/>
        </w:rPr>
        <w:t xml:space="preserve"> </w:t>
      </w:r>
      <w:r>
        <w:rPr>
          <w:sz w:val="18"/>
          <w:szCs w:val="18"/>
        </w:rPr>
        <w:tab/>
      </w:r>
      <w:r w:rsidRPr="00345843">
        <w:t>Details on how the price is determined can be found at</w:t>
      </w:r>
      <w:r w:rsidRPr="00E125B3">
        <w:rPr>
          <w:szCs w:val="16"/>
        </w:rPr>
        <w:t xml:space="preserve"> </w:t>
      </w:r>
      <w:hyperlink r:id="rId1" w:history="1">
        <w:r w:rsidRPr="00E125B3">
          <w:rPr>
            <w:rStyle w:val="Hyperlink"/>
            <w:sz w:val="16"/>
            <w:szCs w:val="16"/>
          </w:rPr>
          <w:t>www.aemo.com.au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07F36BB"/>
    <w:multiLevelType w:val="hybridMultilevel"/>
    <w:tmpl w:val="D8BC2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7A453D4"/>
    <w:multiLevelType w:val="hybridMultilevel"/>
    <w:tmpl w:val="26CE14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7">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38A1409F"/>
    <w:multiLevelType w:val="hybridMultilevel"/>
    <w:tmpl w:val="C52EEFA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34528C"/>
    <w:multiLevelType w:val="hybridMultilevel"/>
    <w:tmpl w:val="32C4D3F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4">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2281ADA"/>
    <w:multiLevelType w:val="multilevel"/>
    <w:tmpl w:val="67EAD97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6726588A"/>
    <w:multiLevelType w:val="hybridMultilevel"/>
    <w:tmpl w:val="CC927964"/>
    <w:lvl w:ilvl="0" w:tplc="0C09000F">
      <w:start w:val="1"/>
      <w:numFmt w:val="bullet"/>
      <w:pStyle w:val="Bulletpoint2"/>
      <w:lvlText w:val="o"/>
      <w:lvlJc w:val="left"/>
      <w:pPr>
        <w:ind w:left="-279" w:hanging="360"/>
      </w:pPr>
      <w:rPr>
        <w:rFonts w:ascii="Courier New" w:hAnsi="Courier New" w:cs="Courier New" w:hint="default"/>
      </w:rPr>
    </w:lvl>
    <w:lvl w:ilvl="1" w:tplc="0C090019" w:tentative="1">
      <w:start w:val="1"/>
      <w:numFmt w:val="bullet"/>
      <w:lvlText w:val="o"/>
      <w:lvlJc w:val="left"/>
      <w:pPr>
        <w:ind w:left="441" w:hanging="360"/>
      </w:pPr>
      <w:rPr>
        <w:rFonts w:ascii="Courier New" w:hAnsi="Courier New" w:cs="Courier New" w:hint="default"/>
      </w:rPr>
    </w:lvl>
    <w:lvl w:ilvl="2" w:tplc="0C09001B" w:tentative="1">
      <w:start w:val="1"/>
      <w:numFmt w:val="bullet"/>
      <w:lvlText w:val=""/>
      <w:lvlJc w:val="left"/>
      <w:pPr>
        <w:ind w:left="1161" w:hanging="360"/>
      </w:pPr>
      <w:rPr>
        <w:rFonts w:ascii="Wingdings" w:hAnsi="Wingdings" w:hint="default"/>
      </w:rPr>
    </w:lvl>
    <w:lvl w:ilvl="3" w:tplc="0C09000F" w:tentative="1">
      <w:start w:val="1"/>
      <w:numFmt w:val="bullet"/>
      <w:lvlText w:val=""/>
      <w:lvlJc w:val="left"/>
      <w:pPr>
        <w:ind w:left="1881" w:hanging="360"/>
      </w:pPr>
      <w:rPr>
        <w:rFonts w:ascii="Symbol" w:hAnsi="Symbol" w:hint="default"/>
      </w:rPr>
    </w:lvl>
    <w:lvl w:ilvl="4" w:tplc="0C090019" w:tentative="1">
      <w:start w:val="1"/>
      <w:numFmt w:val="bullet"/>
      <w:lvlText w:val="o"/>
      <w:lvlJc w:val="left"/>
      <w:pPr>
        <w:ind w:left="2601" w:hanging="360"/>
      </w:pPr>
      <w:rPr>
        <w:rFonts w:ascii="Courier New" w:hAnsi="Courier New" w:cs="Courier New" w:hint="default"/>
      </w:rPr>
    </w:lvl>
    <w:lvl w:ilvl="5" w:tplc="0C09001B" w:tentative="1">
      <w:start w:val="1"/>
      <w:numFmt w:val="bullet"/>
      <w:lvlText w:val=""/>
      <w:lvlJc w:val="left"/>
      <w:pPr>
        <w:ind w:left="3321" w:hanging="360"/>
      </w:pPr>
      <w:rPr>
        <w:rFonts w:ascii="Wingdings" w:hAnsi="Wingdings" w:hint="default"/>
      </w:rPr>
    </w:lvl>
    <w:lvl w:ilvl="6" w:tplc="0C09000F" w:tentative="1">
      <w:start w:val="1"/>
      <w:numFmt w:val="bullet"/>
      <w:lvlText w:val=""/>
      <w:lvlJc w:val="left"/>
      <w:pPr>
        <w:ind w:left="4041" w:hanging="360"/>
      </w:pPr>
      <w:rPr>
        <w:rFonts w:ascii="Symbol" w:hAnsi="Symbol" w:hint="default"/>
      </w:rPr>
    </w:lvl>
    <w:lvl w:ilvl="7" w:tplc="0C090019" w:tentative="1">
      <w:start w:val="1"/>
      <w:numFmt w:val="bullet"/>
      <w:lvlText w:val="o"/>
      <w:lvlJc w:val="left"/>
      <w:pPr>
        <w:ind w:left="4761" w:hanging="360"/>
      </w:pPr>
      <w:rPr>
        <w:rFonts w:ascii="Courier New" w:hAnsi="Courier New" w:cs="Courier New" w:hint="default"/>
      </w:rPr>
    </w:lvl>
    <w:lvl w:ilvl="8" w:tplc="0C09001B" w:tentative="1">
      <w:start w:val="1"/>
      <w:numFmt w:val="bullet"/>
      <w:lvlText w:val=""/>
      <w:lvlJc w:val="left"/>
      <w:pPr>
        <w:ind w:left="5481" w:hanging="360"/>
      </w:pPr>
      <w:rPr>
        <w:rFonts w:ascii="Wingdings" w:hAnsi="Wingdings" w:hint="default"/>
      </w:rPr>
    </w:lvl>
  </w:abstractNum>
  <w:abstractNum w:abstractNumId="31">
    <w:nsid w:val="68D61594"/>
    <w:multiLevelType w:val="hybridMultilevel"/>
    <w:tmpl w:val="0C9AC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B434525"/>
    <w:multiLevelType w:val="hybridMultilevel"/>
    <w:tmpl w:val="E4F42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F7D66BF"/>
    <w:multiLevelType w:val="hybridMultilevel"/>
    <w:tmpl w:val="10CE0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58D6ED8"/>
    <w:multiLevelType w:val="hybridMultilevel"/>
    <w:tmpl w:val="591276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6">
    <w:nsid w:val="76707394"/>
    <w:multiLevelType w:val="multilevel"/>
    <w:tmpl w:val="67EAD97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9114AD3"/>
    <w:multiLevelType w:val="hybridMultilevel"/>
    <w:tmpl w:val="646E3B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E2819EC"/>
    <w:multiLevelType w:val="multilevel"/>
    <w:tmpl w:val="F0D475FE"/>
    <w:lvl w:ilvl="0">
      <w:start w:val="1"/>
      <w:numFmt w:val="bullet"/>
      <w:pStyle w:val="Bulletpoint"/>
      <w:lvlText w:val=""/>
      <w:lvlJc w:val="left"/>
      <w:pPr>
        <w:ind w:left="360" w:hanging="360"/>
      </w:pPr>
      <w:rPr>
        <w:rFonts w:ascii="Symbol" w:hAnsi="Symbol" w:hint="default"/>
      </w:rPr>
    </w:lvl>
    <w:lvl w:ilvl="1">
      <w:start w:val="1"/>
      <w:numFmt w:val="bullet"/>
      <w:pStyle w:val="Bullet2"/>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2"/>
  </w:num>
  <w:num w:numId="14">
    <w:abstractNumId w:val="15"/>
  </w:num>
  <w:num w:numId="15">
    <w:abstractNumId w:val="18"/>
  </w:num>
  <w:num w:numId="16">
    <w:abstractNumId w:val="25"/>
  </w:num>
  <w:num w:numId="17">
    <w:abstractNumId w:val="14"/>
  </w:num>
  <w:num w:numId="18">
    <w:abstractNumId w:val="20"/>
  </w:num>
  <w:num w:numId="19">
    <w:abstractNumId w:val="13"/>
  </w:num>
  <w:num w:numId="20">
    <w:abstractNumId w:val="26"/>
  </w:num>
  <w:num w:numId="21">
    <w:abstractNumId w:val="34"/>
  </w:num>
  <w:num w:numId="22">
    <w:abstractNumId w:val="19"/>
  </w:num>
  <w:num w:numId="23">
    <w:abstractNumId w:val="2"/>
    <w:lvlOverride w:ilvl="0">
      <w:startOverride w:val="1"/>
    </w:lvlOverride>
  </w:num>
  <w:num w:numId="24">
    <w:abstractNumId w:val="20"/>
    <w:lvlOverride w:ilvl="0">
      <w:startOverride w:val="1"/>
    </w:lvlOverride>
  </w:num>
  <w:num w:numId="25">
    <w:abstractNumId w:val="29"/>
  </w:num>
  <w:num w:numId="26">
    <w:abstractNumId w:val="24"/>
  </w:num>
  <w:num w:numId="27">
    <w:abstractNumId w:val="10"/>
  </w:num>
  <w:num w:numId="28">
    <w:abstractNumId w:val="17"/>
  </w:num>
  <w:num w:numId="29">
    <w:abstractNumId w:val="11"/>
  </w:num>
  <w:num w:numId="30">
    <w:abstractNumId w:val="28"/>
  </w:num>
  <w:num w:numId="31">
    <w:abstractNumId w:val="18"/>
  </w:num>
  <w:num w:numId="32">
    <w:abstractNumId w:val="15"/>
  </w:num>
  <w:num w:numId="33">
    <w:abstractNumId w:val="11"/>
  </w:num>
  <w:num w:numId="34">
    <w:abstractNumId w:val="11"/>
  </w:num>
  <w:num w:numId="35">
    <w:abstractNumId w:val="9"/>
  </w:num>
  <w:num w:numId="36">
    <w:abstractNumId w:val="11"/>
  </w:num>
  <w:num w:numId="37">
    <w:abstractNumId w:val="11"/>
  </w:num>
  <w:num w:numId="38">
    <w:abstractNumId w:val="32"/>
  </w:num>
  <w:num w:numId="39">
    <w:abstractNumId w:val="11"/>
  </w:num>
  <w:num w:numId="40">
    <w:abstractNumId w:val="35"/>
  </w:num>
  <w:num w:numId="41">
    <w:abstractNumId w:val="36"/>
  </w:num>
  <w:num w:numId="42">
    <w:abstractNumId w:val="27"/>
  </w:num>
  <w:num w:numId="43">
    <w:abstractNumId w:val="11"/>
  </w:num>
  <w:num w:numId="44">
    <w:abstractNumId w:val="31"/>
  </w:num>
  <w:num w:numId="45">
    <w:abstractNumId w:val="23"/>
  </w:num>
  <w:num w:numId="46">
    <w:abstractNumId w:val="21"/>
  </w:num>
  <w:num w:numId="47">
    <w:abstractNumId w:val="12"/>
  </w:num>
  <w:num w:numId="48">
    <w:abstractNumId w:val="12"/>
  </w:num>
  <w:num w:numId="49">
    <w:abstractNumId w:val="33"/>
  </w:num>
  <w:num w:numId="50">
    <w:abstractNumId w:val="3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39265">
      <o:colormru v:ext="edit" colors="#4bf75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FCAS prices above 5000MWh - 11 August 2016 SA.docx"/>
  </w:docVars>
  <w:rsids>
    <w:rsidRoot w:val="003610D1"/>
    <w:rsid w:val="00001779"/>
    <w:rsid w:val="00010AF6"/>
    <w:rsid w:val="00010B1A"/>
    <w:rsid w:val="00013CDB"/>
    <w:rsid w:val="00013D02"/>
    <w:rsid w:val="00017BF7"/>
    <w:rsid w:val="00021644"/>
    <w:rsid w:val="000221E2"/>
    <w:rsid w:val="00024297"/>
    <w:rsid w:val="00031177"/>
    <w:rsid w:val="000342CE"/>
    <w:rsid w:val="00041065"/>
    <w:rsid w:val="00043F8E"/>
    <w:rsid w:val="0004626C"/>
    <w:rsid w:val="000508E0"/>
    <w:rsid w:val="00051289"/>
    <w:rsid w:val="0005162D"/>
    <w:rsid w:val="00051AA5"/>
    <w:rsid w:val="00053B10"/>
    <w:rsid w:val="000545DD"/>
    <w:rsid w:val="00055385"/>
    <w:rsid w:val="000554BB"/>
    <w:rsid w:val="00056AF9"/>
    <w:rsid w:val="000570C9"/>
    <w:rsid w:val="000605F4"/>
    <w:rsid w:val="00061A48"/>
    <w:rsid w:val="000635D7"/>
    <w:rsid w:val="000653E6"/>
    <w:rsid w:val="000708CF"/>
    <w:rsid w:val="0007263E"/>
    <w:rsid w:val="00077A54"/>
    <w:rsid w:val="000801EF"/>
    <w:rsid w:val="00080C63"/>
    <w:rsid w:val="00083FB8"/>
    <w:rsid w:val="000844CC"/>
    <w:rsid w:val="000851EA"/>
    <w:rsid w:val="00085C6B"/>
    <w:rsid w:val="000872A0"/>
    <w:rsid w:val="000904F1"/>
    <w:rsid w:val="00090DD1"/>
    <w:rsid w:val="00090DE0"/>
    <w:rsid w:val="00090E9D"/>
    <w:rsid w:val="00094459"/>
    <w:rsid w:val="00097FF0"/>
    <w:rsid w:val="000A05FE"/>
    <w:rsid w:val="000A41A2"/>
    <w:rsid w:val="000A434F"/>
    <w:rsid w:val="000A4C4C"/>
    <w:rsid w:val="000A5BD1"/>
    <w:rsid w:val="000A61CE"/>
    <w:rsid w:val="000A6DEE"/>
    <w:rsid w:val="000B1671"/>
    <w:rsid w:val="000B3B13"/>
    <w:rsid w:val="000B5557"/>
    <w:rsid w:val="000B5B24"/>
    <w:rsid w:val="000B5C64"/>
    <w:rsid w:val="000C0941"/>
    <w:rsid w:val="000C0E4B"/>
    <w:rsid w:val="000C3347"/>
    <w:rsid w:val="000C461D"/>
    <w:rsid w:val="000C55AE"/>
    <w:rsid w:val="000C6CDD"/>
    <w:rsid w:val="000D0554"/>
    <w:rsid w:val="000D107C"/>
    <w:rsid w:val="000D4EAE"/>
    <w:rsid w:val="000D557D"/>
    <w:rsid w:val="000E0460"/>
    <w:rsid w:val="000E32A2"/>
    <w:rsid w:val="000E3FA1"/>
    <w:rsid w:val="000F15E7"/>
    <w:rsid w:val="000F4D76"/>
    <w:rsid w:val="000F5D51"/>
    <w:rsid w:val="000F6F30"/>
    <w:rsid w:val="000F720B"/>
    <w:rsid w:val="000F761B"/>
    <w:rsid w:val="000F7A36"/>
    <w:rsid w:val="00101A55"/>
    <w:rsid w:val="00103088"/>
    <w:rsid w:val="00103C36"/>
    <w:rsid w:val="00103D3D"/>
    <w:rsid w:val="001060D2"/>
    <w:rsid w:val="001067B7"/>
    <w:rsid w:val="00107D12"/>
    <w:rsid w:val="00111FF2"/>
    <w:rsid w:val="00112012"/>
    <w:rsid w:val="00113CC5"/>
    <w:rsid w:val="001143C4"/>
    <w:rsid w:val="00114564"/>
    <w:rsid w:val="0011518C"/>
    <w:rsid w:val="0012004B"/>
    <w:rsid w:val="00123B79"/>
    <w:rsid w:val="001251A8"/>
    <w:rsid w:val="00132B65"/>
    <w:rsid w:val="00134063"/>
    <w:rsid w:val="00136845"/>
    <w:rsid w:val="00136AF6"/>
    <w:rsid w:val="00140C95"/>
    <w:rsid w:val="0014109A"/>
    <w:rsid w:val="00141521"/>
    <w:rsid w:val="00141D53"/>
    <w:rsid w:val="00144712"/>
    <w:rsid w:val="00144763"/>
    <w:rsid w:val="00145A16"/>
    <w:rsid w:val="00146D5D"/>
    <w:rsid w:val="00147AD2"/>
    <w:rsid w:val="00151193"/>
    <w:rsid w:val="00151CC0"/>
    <w:rsid w:val="00155CFA"/>
    <w:rsid w:val="0015715D"/>
    <w:rsid w:val="001571AB"/>
    <w:rsid w:val="00157982"/>
    <w:rsid w:val="00157A8F"/>
    <w:rsid w:val="00157B32"/>
    <w:rsid w:val="00163D9B"/>
    <w:rsid w:val="001640AB"/>
    <w:rsid w:val="0016468E"/>
    <w:rsid w:val="00164877"/>
    <w:rsid w:val="001651C0"/>
    <w:rsid w:val="001653F0"/>
    <w:rsid w:val="00165EF5"/>
    <w:rsid w:val="001716FC"/>
    <w:rsid w:val="00174796"/>
    <w:rsid w:val="00177585"/>
    <w:rsid w:val="00183F9A"/>
    <w:rsid w:val="001841B5"/>
    <w:rsid w:val="00185629"/>
    <w:rsid w:val="00186C5D"/>
    <w:rsid w:val="0019021C"/>
    <w:rsid w:val="00197545"/>
    <w:rsid w:val="001A2A92"/>
    <w:rsid w:val="001A2CD9"/>
    <w:rsid w:val="001A34CC"/>
    <w:rsid w:val="001A3B38"/>
    <w:rsid w:val="001B0767"/>
    <w:rsid w:val="001B26A5"/>
    <w:rsid w:val="001B311E"/>
    <w:rsid w:val="001B37EC"/>
    <w:rsid w:val="001B6513"/>
    <w:rsid w:val="001B70FC"/>
    <w:rsid w:val="001C0114"/>
    <w:rsid w:val="001C2CEA"/>
    <w:rsid w:val="001C4856"/>
    <w:rsid w:val="001C5A6F"/>
    <w:rsid w:val="001C6D91"/>
    <w:rsid w:val="001C7099"/>
    <w:rsid w:val="001D0E01"/>
    <w:rsid w:val="001D1B18"/>
    <w:rsid w:val="001D287B"/>
    <w:rsid w:val="001D31E4"/>
    <w:rsid w:val="001D3866"/>
    <w:rsid w:val="001D4960"/>
    <w:rsid w:val="001D6C7A"/>
    <w:rsid w:val="001D6FC5"/>
    <w:rsid w:val="001E1DEB"/>
    <w:rsid w:val="001E4327"/>
    <w:rsid w:val="001E50C3"/>
    <w:rsid w:val="001E5BF5"/>
    <w:rsid w:val="001E75EC"/>
    <w:rsid w:val="001E78DB"/>
    <w:rsid w:val="001E7E6E"/>
    <w:rsid w:val="001F06C0"/>
    <w:rsid w:val="001F36AA"/>
    <w:rsid w:val="001F37F7"/>
    <w:rsid w:val="001F6C30"/>
    <w:rsid w:val="0020041F"/>
    <w:rsid w:val="0020088C"/>
    <w:rsid w:val="00200F0A"/>
    <w:rsid w:val="0020179E"/>
    <w:rsid w:val="00203A30"/>
    <w:rsid w:val="00206817"/>
    <w:rsid w:val="00207783"/>
    <w:rsid w:val="00210172"/>
    <w:rsid w:val="002114E0"/>
    <w:rsid w:val="002114E4"/>
    <w:rsid w:val="002122ED"/>
    <w:rsid w:val="00215179"/>
    <w:rsid w:val="00215FCA"/>
    <w:rsid w:val="00220318"/>
    <w:rsid w:val="00220337"/>
    <w:rsid w:val="00220E2A"/>
    <w:rsid w:val="00221530"/>
    <w:rsid w:val="002219E5"/>
    <w:rsid w:val="002239C4"/>
    <w:rsid w:val="00224DCB"/>
    <w:rsid w:val="00226CB6"/>
    <w:rsid w:val="00231CEA"/>
    <w:rsid w:val="00233351"/>
    <w:rsid w:val="002337E0"/>
    <w:rsid w:val="0023495A"/>
    <w:rsid w:val="00235D6C"/>
    <w:rsid w:val="00236F09"/>
    <w:rsid w:val="00241F02"/>
    <w:rsid w:val="00243C50"/>
    <w:rsid w:val="00247FC3"/>
    <w:rsid w:val="0025020A"/>
    <w:rsid w:val="00251131"/>
    <w:rsid w:val="002518B4"/>
    <w:rsid w:val="00251D61"/>
    <w:rsid w:val="00251F51"/>
    <w:rsid w:val="00254B38"/>
    <w:rsid w:val="00255EEF"/>
    <w:rsid w:val="00257E31"/>
    <w:rsid w:val="002614FF"/>
    <w:rsid w:val="00264398"/>
    <w:rsid w:val="002667D4"/>
    <w:rsid w:val="00271743"/>
    <w:rsid w:val="002743BE"/>
    <w:rsid w:val="00277918"/>
    <w:rsid w:val="0028047E"/>
    <w:rsid w:val="0028085B"/>
    <w:rsid w:val="0028094F"/>
    <w:rsid w:val="002812C2"/>
    <w:rsid w:val="002813D7"/>
    <w:rsid w:val="002817AA"/>
    <w:rsid w:val="00282EAC"/>
    <w:rsid w:val="0028532A"/>
    <w:rsid w:val="002926AC"/>
    <w:rsid w:val="00292726"/>
    <w:rsid w:val="002931DC"/>
    <w:rsid w:val="00293A0A"/>
    <w:rsid w:val="0029452B"/>
    <w:rsid w:val="002951BC"/>
    <w:rsid w:val="002961AE"/>
    <w:rsid w:val="00296D34"/>
    <w:rsid w:val="00297821"/>
    <w:rsid w:val="00297D01"/>
    <w:rsid w:val="002A1142"/>
    <w:rsid w:val="002A5CF9"/>
    <w:rsid w:val="002A6276"/>
    <w:rsid w:val="002A68C4"/>
    <w:rsid w:val="002B1337"/>
    <w:rsid w:val="002B20BA"/>
    <w:rsid w:val="002B2896"/>
    <w:rsid w:val="002B4F2D"/>
    <w:rsid w:val="002B68F7"/>
    <w:rsid w:val="002B6D54"/>
    <w:rsid w:val="002B6EDD"/>
    <w:rsid w:val="002B701C"/>
    <w:rsid w:val="002D0F6E"/>
    <w:rsid w:val="002D15C7"/>
    <w:rsid w:val="002D29E5"/>
    <w:rsid w:val="002D2BAB"/>
    <w:rsid w:val="002D3A96"/>
    <w:rsid w:val="002D41EB"/>
    <w:rsid w:val="002D4EE4"/>
    <w:rsid w:val="002D5D79"/>
    <w:rsid w:val="002E08EA"/>
    <w:rsid w:val="002E0AF3"/>
    <w:rsid w:val="002E1902"/>
    <w:rsid w:val="002E5340"/>
    <w:rsid w:val="002E6ABC"/>
    <w:rsid w:val="002F025A"/>
    <w:rsid w:val="002F48D5"/>
    <w:rsid w:val="002F59A8"/>
    <w:rsid w:val="002F5EE3"/>
    <w:rsid w:val="002F60BE"/>
    <w:rsid w:val="002F635C"/>
    <w:rsid w:val="002F63F2"/>
    <w:rsid w:val="002F7C69"/>
    <w:rsid w:val="0030268F"/>
    <w:rsid w:val="003027C7"/>
    <w:rsid w:val="00302CCE"/>
    <w:rsid w:val="00311066"/>
    <w:rsid w:val="0031159B"/>
    <w:rsid w:val="00311893"/>
    <w:rsid w:val="003126D9"/>
    <w:rsid w:val="00313B2B"/>
    <w:rsid w:val="003168F1"/>
    <w:rsid w:val="00320D07"/>
    <w:rsid w:val="00321D5A"/>
    <w:rsid w:val="00324605"/>
    <w:rsid w:val="00324878"/>
    <w:rsid w:val="00324CCF"/>
    <w:rsid w:val="00326839"/>
    <w:rsid w:val="00327518"/>
    <w:rsid w:val="00330DD6"/>
    <w:rsid w:val="00332AAD"/>
    <w:rsid w:val="003364FF"/>
    <w:rsid w:val="003403AE"/>
    <w:rsid w:val="00346649"/>
    <w:rsid w:val="0035174A"/>
    <w:rsid w:val="00353322"/>
    <w:rsid w:val="00353C34"/>
    <w:rsid w:val="00356964"/>
    <w:rsid w:val="003570BD"/>
    <w:rsid w:val="003610D1"/>
    <w:rsid w:val="00364C7A"/>
    <w:rsid w:val="00370288"/>
    <w:rsid w:val="0037052A"/>
    <w:rsid w:val="003712DE"/>
    <w:rsid w:val="00372443"/>
    <w:rsid w:val="00372D75"/>
    <w:rsid w:val="003741CE"/>
    <w:rsid w:val="003745C3"/>
    <w:rsid w:val="00374AB0"/>
    <w:rsid w:val="00380095"/>
    <w:rsid w:val="00381538"/>
    <w:rsid w:val="00381976"/>
    <w:rsid w:val="00386951"/>
    <w:rsid w:val="003874BC"/>
    <w:rsid w:val="00390216"/>
    <w:rsid w:val="00390B79"/>
    <w:rsid w:val="003913F5"/>
    <w:rsid w:val="003924AD"/>
    <w:rsid w:val="00393A49"/>
    <w:rsid w:val="003941D9"/>
    <w:rsid w:val="003A3C41"/>
    <w:rsid w:val="003A4880"/>
    <w:rsid w:val="003A6EF3"/>
    <w:rsid w:val="003B07C1"/>
    <w:rsid w:val="003B1642"/>
    <w:rsid w:val="003B2283"/>
    <w:rsid w:val="003B2F44"/>
    <w:rsid w:val="003B37A3"/>
    <w:rsid w:val="003B4D22"/>
    <w:rsid w:val="003B6009"/>
    <w:rsid w:val="003C2ADB"/>
    <w:rsid w:val="003C2B11"/>
    <w:rsid w:val="003C4833"/>
    <w:rsid w:val="003C5F95"/>
    <w:rsid w:val="003C77C3"/>
    <w:rsid w:val="003D32A1"/>
    <w:rsid w:val="003D360E"/>
    <w:rsid w:val="003D3B6F"/>
    <w:rsid w:val="003E1CCD"/>
    <w:rsid w:val="003E45D5"/>
    <w:rsid w:val="003E569C"/>
    <w:rsid w:val="003E5F2A"/>
    <w:rsid w:val="003E6DD4"/>
    <w:rsid w:val="003E78F9"/>
    <w:rsid w:val="003F3477"/>
    <w:rsid w:val="003F4971"/>
    <w:rsid w:val="003F4BAB"/>
    <w:rsid w:val="00400746"/>
    <w:rsid w:val="00400AA6"/>
    <w:rsid w:val="00400BE4"/>
    <w:rsid w:val="00400F5A"/>
    <w:rsid w:val="00404CEA"/>
    <w:rsid w:val="00405DEA"/>
    <w:rsid w:val="004075BD"/>
    <w:rsid w:val="004079A7"/>
    <w:rsid w:val="00407B22"/>
    <w:rsid w:val="00407D90"/>
    <w:rsid w:val="004106E9"/>
    <w:rsid w:val="00411EE1"/>
    <w:rsid w:val="00413568"/>
    <w:rsid w:val="00413CE7"/>
    <w:rsid w:val="00416B89"/>
    <w:rsid w:val="004223C1"/>
    <w:rsid w:val="004225A4"/>
    <w:rsid w:val="004300F1"/>
    <w:rsid w:val="00430FFC"/>
    <w:rsid w:val="00431500"/>
    <w:rsid w:val="004317B9"/>
    <w:rsid w:val="004319DA"/>
    <w:rsid w:val="00431D37"/>
    <w:rsid w:val="00432771"/>
    <w:rsid w:val="00432F60"/>
    <w:rsid w:val="004333B7"/>
    <w:rsid w:val="00437D8B"/>
    <w:rsid w:val="00440F08"/>
    <w:rsid w:val="004442C5"/>
    <w:rsid w:val="00445B07"/>
    <w:rsid w:val="00451948"/>
    <w:rsid w:val="004523FB"/>
    <w:rsid w:val="00461394"/>
    <w:rsid w:val="004655C5"/>
    <w:rsid w:val="00465F35"/>
    <w:rsid w:val="00470209"/>
    <w:rsid w:val="004710D5"/>
    <w:rsid w:val="00473253"/>
    <w:rsid w:val="0047378D"/>
    <w:rsid w:val="00473A13"/>
    <w:rsid w:val="00473AAF"/>
    <w:rsid w:val="00473E87"/>
    <w:rsid w:val="00475ED4"/>
    <w:rsid w:val="0048005B"/>
    <w:rsid w:val="0048046D"/>
    <w:rsid w:val="004812E7"/>
    <w:rsid w:val="0048191E"/>
    <w:rsid w:val="004825FE"/>
    <w:rsid w:val="00485BF1"/>
    <w:rsid w:val="00485C9C"/>
    <w:rsid w:val="004869D4"/>
    <w:rsid w:val="0049123B"/>
    <w:rsid w:val="00491319"/>
    <w:rsid w:val="00491930"/>
    <w:rsid w:val="00494F70"/>
    <w:rsid w:val="004954EE"/>
    <w:rsid w:val="0049588F"/>
    <w:rsid w:val="00497C17"/>
    <w:rsid w:val="004A0304"/>
    <w:rsid w:val="004A0C28"/>
    <w:rsid w:val="004A0D3E"/>
    <w:rsid w:val="004A7E7D"/>
    <w:rsid w:val="004B0930"/>
    <w:rsid w:val="004B0A01"/>
    <w:rsid w:val="004B3595"/>
    <w:rsid w:val="004B56EF"/>
    <w:rsid w:val="004C3634"/>
    <w:rsid w:val="004C6120"/>
    <w:rsid w:val="004C61C9"/>
    <w:rsid w:val="004C6FFD"/>
    <w:rsid w:val="004C76E6"/>
    <w:rsid w:val="004D0B56"/>
    <w:rsid w:val="004D2432"/>
    <w:rsid w:val="004D438D"/>
    <w:rsid w:val="004D51D9"/>
    <w:rsid w:val="004D5600"/>
    <w:rsid w:val="004D7BFF"/>
    <w:rsid w:val="004E4D88"/>
    <w:rsid w:val="004E5C29"/>
    <w:rsid w:val="004E6FA8"/>
    <w:rsid w:val="004F5584"/>
    <w:rsid w:val="00504D50"/>
    <w:rsid w:val="00505844"/>
    <w:rsid w:val="005171A9"/>
    <w:rsid w:val="005174A6"/>
    <w:rsid w:val="00517C7C"/>
    <w:rsid w:val="00520BD0"/>
    <w:rsid w:val="0052118A"/>
    <w:rsid w:val="00521216"/>
    <w:rsid w:val="00522217"/>
    <w:rsid w:val="005244F6"/>
    <w:rsid w:val="00530533"/>
    <w:rsid w:val="00532549"/>
    <w:rsid w:val="005366CC"/>
    <w:rsid w:val="0054028F"/>
    <w:rsid w:val="005412A6"/>
    <w:rsid w:val="005421D6"/>
    <w:rsid w:val="0054243F"/>
    <w:rsid w:val="00542497"/>
    <w:rsid w:val="00542CA9"/>
    <w:rsid w:val="00543D9D"/>
    <w:rsid w:val="00544E66"/>
    <w:rsid w:val="0054547A"/>
    <w:rsid w:val="00545DEE"/>
    <w:rsid w:val="005467C2"/>
    <w:rsid w:val="00547484"/>
    <w:rsid w:val="00547A1A"/>
    <w:rsid w:val="00551FD3"/>
    <w:rsid w:val="005551BB"/>
    <w:rsid w:val="0055566B"/>
    <w:rsid w:val="00562CBF"/>
    <w:rsid w:val="00564052"/>
    <w:rsid w:val="00565294"/>
    <w:rsid w:val="005668D7"/>
    <w:rsid w:val="00566B28"/>
    <w:rsid w:val="00571067"/>
    <w:rsid w:val="00571963"/>
    <w:rsid w:val="00572A42"/>
    <w:rsid w:val="0057715F"/>
    <w:rsid w:val="0057735D"/>
    <w:rsid w:val="00581454"/>
    <w:rsid w:val="005860BC"/>
    <w:rsid w:val="00586DCB"/>
    <w:rsid w:val="005961E9"/>
    <w:rsid w:val="005967CC"/>
    <w:rsid w:val="005A0009"/>
    <w:rsid w:val="005A1498"/>
    <w:rsid w:val="005A2081"/>
    <w:rsid w:val="005A2778"/>
    <w:rsid w:val="005A33ED"/>
    <w:rsid w:val="005A7C22"/>
    <w:rsid w:val="005B115B"/>
    <w:rsid w:val="005B12BB"/>
    <w:rsid w:val="005B2572"/>
    <w:rsid w:val="005B49B8"/>
    <w:rsid w:val="005B6B0F"/>
    <w:rsid w:val="005B6E1A"/>
    <w:rsid w:val="005B7713"/>
    <w:rsid w:val="005C1074"/>
    <w:rsid w:val="005C10DA"/>
    <w:rsid w:val="005C139A"/>
    <w:rsid w:val="005C167B"/>
    <w:rsid w:val="005C2E42"/>
    <w:rsid w:val="005C3E6D"/>
    <w:rsid w:val="005C3EC3"/>
    <w:rsid w:val="005C3F69"/>
    <w:rsid w:val="005D0F29"/>
    <w:rsid w:val="005D15E3"/>
    <w:rsid w:val="005D259F"/>
    <w:rsid w:val="005D502B"/>
    <w:rsid w:val="005D581A"/>
    <w:rsid w:val="005D6209"/>
    <w:rsid w:val="005E2AB8"/>
    <w:rsid w:val="005E3561"/>
    <w:rsid w:val="005E385C"/>
    <w:rsid w:val="005E49B6"/>
    <w:rsid w:val="005E51B2"/>
    <w:rsid w:val="005F05B1"/>
    <w:rsid w:val="005F0A20"/>
    <w:rsid w:val="005F52A5"/>
    <w:rsid w:val="005F59FA"/>
    <w:rsid w:val="005F5C0D"/>
    <w:rsid w:val="005F6137"/>
    <w:rsid w:val="005F6785"/>
    <w:rsid w:val="006002DB"/>
    <w:rsid w:val="00606422"/>
    <w:rsid w:val="0060759D"/>
    <w:rsid w:val="00611A92"/>
    <w:rsid w:val="00612500"/>
    <w:rsid w:val="00613D35"/>
    <w:rsid w:val="00616C07"/>
    <w:rsid w:val="00617048"/>
    <w:rsid w:val="00621217"/>
    <w:rsid w:val="00624E14"/>
    <w:rsid w:val="00625E5E"/>
    <w:rsid w:val="00626BA2"/>
    <w:rsid w:val="00627307"/>
    <w:rsid w:val="00630789"/>
    <w:rsid w:val="00631126"/>
    <w:rsid w:val="00631B64"/>
    <w:rsid w:val="00631FA3"/>
    <w:rsid w:val="00633BFF"/>
    <w:rsid w:val="00635929"/>
    <w:rsid w:val="0063775E"/>
    <w:rsid w:val="006412A3"/>
    <w:rsid w:val="00643B62"/>
    <w:rsid w:val="00646207"/>
    <w:rsid w:val="00647695"/>
    <w:rsid w:val="00647F47"/>
    <w:rsid w:val="00651659"/>
    <w:rsid w:val="00652C6E"/>
    <w:rsid w:val="00655E33"/>
    <w:rsid w:val="006560B5"/>
    <w:rsid w:val="00661113"/>
    <w:rsid w:val="00663313"/>
    <w:rsid w:val="00665553"/>
    <w:rsid w:val="00665F5B"/>
    <w:rsid w:val="006673F9"/>
    <w:rsid w:val="0067052C"/>
    <w:rsid w:val="00674962"/>
    <w:rsid w:val="006756DD"/>
    <w:rsid w:val="00685F9B"/>
    <w:rsid w:val="006869C4"/>
    <w:rsid w:val="006869FA"/>
    <w:rsid w:val="00692D1C"/>
    <w:rsid w:val="00694E92"/>
    <w:rsid w:val="00695C84"/>
    <w:rsid w:val="00695FA0"/>
    <w:rsid w:val="006978F9"/>
    <w:rsid w:val="006A0160"/>
    <w:rsid w:val="006A566A"/>
    <w:rsid w:val="006A6BDB"/>
    <w:rsid w:val="006B0099"/>
    <w:rsid w:val="006B038C"/>
    <w:rsid w:val="006B1C05"/>
    <w:rsid w:val="006B1FB3"/>
    <w:rsid w:val="006B46A4"/>
    <w:rsid w:val="006B4888"/>
    <w:rsid w:val="006C0440"/>
    <w:rsid w:val="006C1FFB"/>
    <w:rsid w:val="006C3F71"/>
    <w:rsid w:val="006C4225"/>
    <w:rsid w:val="006D45CA"/>
    <w:rsid w:val="006D5E40"/>
    <w:rsid w:val="006D79CD"/>
    <w:rsid w:val="006D7B96"/>
    <w:rsid w:val="006E3FF1"/>
    <w:rsid w:val="006F0224"/>
    <w:rsid w:val="006F1720"/>
    <w:rsid w:val="006F2091"/>
    <w:rsid w:val="006F2861"/>
    <w:rsid w:val="006F2875"/>
    <w:rsid w:val="006F290E"/>
    <w:rsid w:val="006F3333"/>
    <w:rsid w:val="006F5343"/>
    <w:rsid w:val="006F5F0B"/>
    <w:rsid w:val="006F6E4E"/>
    <w:rsid w:val="00700FDA"/>
    <w:rsid w:val="007010BE"/>
    <w:rsid w:val="00703233"/>
    <w:rsid w:val="00704FF1"/>
    <w:rsid w:val="00712C6A"/>
    <w:rsid w:val="007151A3"/>
    <w:rsid w:val="00716EED"/>
    <w:rsid w:val="0072133C"/>
    <w:rsid w:val="00726D9E"/>
    <w:rsid w:val="007307B0"/>
    <w:rsid w:val="0073081F"/>
    <w:rsid w:val="00730CF1"/>
    <w:rsid w:val="007318F6"/>
    <w:rsid w:val="0073312A"/>
    <w:rsid w:val="00740C0E"/>
    <w:rsid w:val="00743311"/>
    <w:rsid w:val="00743AA7"/>
    <w:rsid w:val="007455D1"/>
    <w:rsid w:val="00745EDF"/>
    <w:rsid w:val="0074623E"/>
    <w:rsid w:val="007462CD"/>
    <w:rsid w:val="00751A5F"/>
    <w:rsid w:val="0075399C"/>
    <w:rsid w:val="007566A7"/>
    <w:rsid w:val="00756B95"/>
    <w:rsid w:val="00757C4B"/>
    <w:rsid w:val="00760D5B"/>
    <w:rsid w:val="0077094F"/>
    <w:rsid w:val="00770A8B"/>
    <w:rsid w:val="00772EA1"/>
    <w:rsid w:val="00774131"/>
    <w:rsid w:val="00775925"/>
    <w:rsid w:val="007762CF"/>
    <w:rsid w:val="00776DF6"/>
    <w:rsid w:val="00777DEE"/>
    <w:rsid w:val="00782108"/>
    <w:rsid w:val="007821EC"/>
    <w:rsid w:val="007853D7"/>
    <w:rsid w:val="00795C03"/>
    <w:rsid w:val="007A0814"/>
    <w:rsid w:val="007A210A"/>
    <w:rsid w:val="007A223D"/>
    <w:rsid w:val="007A23C8"/>
    <w:rsid w:val="007A3970"/>
    <w:rsid w:val="007A49B9"/>
    <w:rsid w:val="007A6D68"/>
    <w:rsid w:val="007A70FB"/>
    <w:rsid w:val="007A7C6D"/>
    <w:rsid w:val="007B1ABD"/>
    <w:rsid w:val="007B1D4F"/>
    <w:rsid w:val="007B2DB3"/>
    <w:rsid w:val="007B3152"/>
    <w:rsid w:val="007B3FCA"/>
    <w:rsid w:val="007B5014"/>
    <w:rsid w:val="007B66DB"/>
    <w:rsid w:val="007B6758"/>
    <w:rsid w:val="007B7BBD"/>
    <w:rsid w:val="007C005E"/>
    <w:rsid w:val="007C31DF"/>
    <w:rsid w:val="007C4AAD"/>
    <w:rsid w:val="007C51E1"/>
    <w:rsid w:val="007C66BE"/>
    <w:rsid w:val="007C781A"/>
    <w:rsid w:val="007C7FCB"/>
    <w:rsid w:val="007D189D"/>
    <w:rsid w:val="007E1D15"/>
    <w:rsid w:val="007E24B2"/>
    <w:rsid w:val="007E29C4"/>
    <w:rsid w:val="007E5792"/>
    <w:rsid w:val="007E7313"/>
    <w:rsid w:val="007E7E05"/>
    <w:rsid w:val="007F4415"/>
    <w:rsid w:val="00800E60"/>
    <w:rsid w:val="00801DA2"/>
    <w:rsid w:val="00803E40"/>
    <w:rsid w:val="00810A0D"/>
    <w:rsid w:val="00810A9C"/>
    <w:rsid w:val="0081234F"/>
    <w:rsid w:val="00813A54"/>
    <w:rsid w:val="00814E82"/>
    <w:rsid w:val="00816801"/>
    <w:rsid w:val="00817300"/>
    <w:rsid w:val="00820444"/>
    <w:rsid w:val="008204FE"/>
    <w:rsid w:val="00822B1B"/>
    <w:rsid w:val="008315BA"/>
    <w:rsid w:val="00832689"/>
    <w:rsid w:val="00834DEF"/>
    <w:rsid w:val="00835A3D"/>
    <w:rsid w:val="00843BA8"/>
    <w:rsid w:val="00850300"/>
    <w:rsid w:val="00850F12"/>
    <w:rsid w:val="008510D7"/>
    <w:rsid w:val="00852168"/>
    <w:rsid w:val="008533B3"/>
    <w:rsid w:val="0085477B"/>
    <w:rsid w:val="00855153"/>
    <w:rsid w:val="00862328"/>
    <w:rsid w:val="00862769"/>
    <w:rsid w:val="0086284F"/>
    <w:rsid w:val="008634F6"/>
    <w:rsid w:val="00867568"/>
    <w:rsid w:val="00867A64"/>
    <w:rsid w:val="00870107"/>
    <w:rsid w:val="00872C3A"/>
    <w:rsid w:val="00874BA5"/>
    <w:rsid w:val="00874E50"/>
    <w:rsid w:val="00875774"/>
    <w:rsid w:val="00877E83"/>
    <w:rsid w:val="008801CE"/>
    <w:rsid w:val="008850C7"/>
    <w:rsid w:val="0088523D"/>
    <w:rsid w:val="0088534B"/>
    <w:rsid w:val="00886B8A"/>
    <w:rsid w:val="00892119"/>
    <w:rsid w:val="008928BC"/>
    <w:rsid w:val="00892FEA"/>
    <w:rsid w:val="00895102"/>
    <w:rsid w:val="00895669"/>
    <w:rsid w:val="00896B0F"/>
    <w:rsid w:val="008A077F"/>
    <w:rsid w:val="008A11D3"/>
    <w:rsid w:val="008A28E4"/>
    <w:rsid w:val="008A2B2A"/>
    <w:rsid w:val="008A481E"/>
    <w:rsid w:val="008A5AC2"/>
    <w:rsid w:val="008A61BD"/>
    <w:rsid w:val="008A7820"/>
    <w:rsid w:val="008B4C96"/>
    <w:rsid w:val="008B4D01"/>
    <w:rsid w:val="008B66AF"/>
    <w:rsid w:val="008B7A19"/>
    <w:rsid w:val="008C2CF2"/>
    <w:rsid w:val="008C3C9E"/>
    <w:rsid w:val="008C3E60"/>
    <w:rsid w:val="008D0F8B"/>
    <w:rsid w:val="008D1606"/>
    <w:rsid w:val="008D16C0"/>
    <w:rsid w:val="008D189C"/>
    <w:rsid w:val="008D1FFC"/>
    <w:rsid w:val="008D2C93"/>
    <w:rsid w:val="008D7D4B"/>
    <w:rsid w:val="008E00B5"/>
    <w:rsid w:val="008E3267"/>
    <w:rsid w:val="008E53EA"/>
    <w:rsid w:val="008E5AED"/>
    <w:rsid w:val="008E626F"/>
    <w:rsid w:val="008F0410"/>
    <w:rsid w:val="008F3083"/>
    <w:rsid w:val="008F3779"/>
    <w:rsid w:val="008F4AE1"/>
    <w:rsid w:val="008F53DD"/>
    <w:rsid w:val="008F56DA"/>
    <w:rsid w:val="008F6E20"/>
    <w:rsid w:val="00901619"/>
    <w:rsid w:val="00905A72"/>
    <w:rsid w:val="00905E95"/>
    <w:rsid w:val="0090736F"/>
    <w:rsid w:val="00907A32"/>
    <w:rsid w:val="009100EB"/>
    <w:rsid w:val="00911370"/>
    <w:rsid w:val="00913476"/>
    <w:rsid w:val="009213C6"/>
    <w:rsid w:val="0092228D"/>
    <w:rsid w:val="00925DDF"/>
    <w:rsid w:val="00931A04"/>
    <w:rsid w:val="00932DA9"/>
    <w:rsid w:val="00936670"/>
    <w:rsid w:val="00936DE7"/>
    <w:rsid w:val="00937BE5"/>
    <w:rsid w:val="00937D26"/>
    <w:rsid w:val="0094213A"/>
    <w:rsid w:val="00943D11"/>
    <w:rsid w:val="00950032"/>
    <w:rsid w:val="00950C3B"/>
    <w:rsid w:val="00953E25"/>
    <w:rsid w:val="009558FE"/>
    <w:rsid w:val="00956522"/>
    <w:rsid w:val="00957629"/>
    <w:rsid w:val="009611C4"/>
    <w:rsid w:val="00962327"/>
    <w:rsid w:val="00962DE8"/>
    <w:rsid w:val="00963258"/>
    <w:rsid w:val="0096495B"/>
    <w:rsid w:val="00964BEA"/>
    <w:rsid w:val="00965C10"/>
    <w:rsid w:val="00971493"/>
    <w:rsid w:val="00973577"/>
    <w:rsid w:val="00975AFF"/>
    <w:rsid w:val="00981107"/>
    <w:rsid w:val="0098584D"/>
    <w:rsid w:val="0098706B"/>
    <w:rsid w:val="00987844"/>
    <w:rsid w:val="009903BA"/>
    <w:rsid w:val="00991247"/>
    <w:rsid w:val="00992010"/>
    <w:rsid w:val="0099408E"/>
    <w:rsid w:val="009A0E05"/>
    <w:rsid w:val="009A3422"/>
    <w:rsid w:val="009A4BCA"/>
    <w:rsid w:val="009A6124"/>
    <w:rsid w:val="009B028C"/>
    <w:rsid w:val="009B2617"/>
    <w:rsid w:val="009B4746"/>
    <w:rsid w:val="009B4EEA"/>
    <w:rsid w:val="009B5488"/>
    <w:rsid w:val="009B5D0A"/>
    <w:rsid w:val="009B5D66"/>
    <w:rsid w:val="009B7798"/>
    <w:rsid w:val="009B77DD"/>
    <w:rsid w:val="009C06A3"/>
    <w:rsid w:val="009C113E"/>
    <w:rsid w:val="009C454F"/>
    <w:rsid w:val="009C5AF3"/>
    <w:rsid w:val="009C6724"/>
    <w:rsid w:val="009C6AA8"/>
    <w:rsid w:val="009C6AAF"/>
    <w:rsid w:val="009D00E8"/>
    <w:rsid w:val="009D1002"/>
    <w:rsid w:val="009D3192"/>
    <w:rsid w:val="009D3582"/>
    <w:rsid w:val="009D44E3"/>
    <w:rsid w:val="009D5039"/>
    <w:rsid w:val="009D59C9"/>
    <w:rsid w:val="009E027D"/>
    <w:rsid w:val="009E1941"/>
    <w:rsid w:val="009E58E4"/>
    <w:rsid w:val="009E7D16"/>
    <w:rsid w:val="009F037A"/>
    <w:rsid w:val="009F095A"/>
    <w:rsid w:val="009F2D79"/>
    <w:rsid w:val="009F54F8"/>
    <w:rsid w:val="009F7A8E"/>
    <w:rsid w:val="00A019E6"/>
    <w:rsid w:val="00A03107"/>
    <w:rsid w:val="00A033A8"/>
    <w:rsid w:val="00A05C26"/>
    <w:rsid w:val="00A10C65"/>
    <w:rsid w:val="00A11DDF"/>
    <w:rsid w:val="00A12CAE"/>
    <w:rsid w:val="00A14EDE"/>
    <w:rsid w:val="00A15502"/>
    <w:rsid w:val="00A21422"/>
    <w:rsid w:val="00A23B15"/>
    <w:rsid w:val="00A26B7E"/>
    <w:rsid w:val="00A30BBF"/>
    <w:rsid w:val="00A344AC"/>
    <w:rsid w:val="00A34B9B"/>
    <w:rsid w:val="00A36187"/>
    <w:rsid w:val="00A375C9"/>
    <w:rsid w:val="00A41576"/>
    <w:rsid w:val="00A41CCE"/>
    <w:rsid w:val="00A46A51"/>
    <w:rsid w:val="00A50591"/>
    <w:rsid w:val="00A50632"/>
    <w:rsid w:val="00A514B2"/>
    <w:rsid w:val="00A52829"/>
    <w:rsid w:val="00A53F5F"/>
    <w:rsid w:val="00A5418A"/>
    <w:rsid w:val="00A61060"/>
    <w:rsid w:val="00A61E01"/>
    <w:rsid w:val="00A62AFE"/>
    <w:rsid w:val="00A6326C"/>
    <w:rsid w:val="00A66985"/>
    <w:rsid w:val="00A70456"/>
    <w:rsid w:val="00A7077C"/>
    <w:rsid w:val="00A771CD"/>
    <w:rsid w:val="00A86749"/>
    <w:rsid w:val="00A912E6"/>
    <w:rsid w:val="00A9530C"/>
    <w:rsid w:val="00A9591D"/>
    <w:rsid w:val="00A9661C"/>
    <w:rsid w:val="00AA2D90"/>
    <w:rsid w:val="00AA36A0"/>
    <w:rsid w:val="00AA40BA"/>
    <w:rsid w:val="00AA44B4"/>
    <w:rsid w:val="00AA55ED"/>
    <w:rsid w:val="00AB0647"/>
    <w:rsid w:val="00AB39C4"/>
    <w:rsid w:val="00AB494E"/>
    <w:rsid w:val="00AB5132"/>
    <w:rsid w:val="00AB58CB"/>
    <w:rsid w:val="00AB6A90"/>
    <w:rsid w:val="00AC06B3"/>
    <w:rsid w:val="00AC4901"/>
    <w:rsid w:val="00AC4911"/>
    <w:rsid w:val="00AC57AB"/>
    <w:rsid w:val="00AC5B65"/>
    <w:rsid w:val="00AC6FC9"/>
    <w:rsid w:val="00AC75BC"/>
    <w:rsid w:val="00AD285D"/>
    <w:rsid w:val="00AD2AFD"/>
    <w:rsid w:val="00AD3071"/>
    <w:rsid w:val="00AD3A94"/>
    <w:rsid w:val="00AD3DAC"/>
    <w:rsid w:val="00AD477A"/>
    <w:rsid w:val="00AD4AB2"/>
    <w:rsid w:val="00AD7592"/>
    <w:rsid w:val="00AE09CE"/>
    <w:rsid w:val="00AE1E9B"/>
    <w:rsid w:val="00AE2502"/>
    <w:rsid w:val="00AE3591"/>
    <w:rsid w:val="00AE6347"/>
    <w:rsid w:val="00AE641A"/>
    <w:rsid w:val="00AE6710"/>
    <w:rsid w:val="00AE7C54"/>
    <w:rsid w:val="00AF09C5"/>
    <w:rsid w:val="00AF1F59"/>
    <w:rsid w:val="00AF28A6"/>
    <w:rsid w:val="00AF2EED"/>
    <w:rsid w:val="00AF4D75"/>
    <w:rsid w:val="00B010B8"/>
    <w:rsid w:val="00B01FE1"/>
    <w:rsid w:val="00B023D7"/>
    <w:rsid w:val="00B02C5A"/>
    <w:rsid w:val="00B04C51"/>
    <w:rsid w:val="00B05AC0"/>
    <w:rsid w:val="00B05AF8"/>
    <w:rsid w:val="00B077AE"/>
    <w:rsid w:val="00B10674"/>
    <w:rsid w:val="00B10EDC"/>
    <w:rsid w:val="00B11FAE"/>
    <w:rsid w:val="00B133B4"/>
    <w:rsid w:val="00B15946"/>
    <w:rsid w:val="00B16BC8"/>
    <w:rsid w:val="00B21C95"/>
    <w:rsid w:val="00B21F58"/>
    <w:rsid w:val="00B26225"/>
    <w:rsid w:val="00B267A3"/>
    <w:rsid w:val="00B27C6D"/>
    <w:rsid w:val="00B27E58"/>
    <w:rsid w:val="00B30077"/>
    <w:rsid w:val="00B319BB"/>
    <w:rsid w:val="00B347E6"/>
    <w:rsid w:val="00B35883"/>
    <w:rsid w:val="00B35AE4"/>
    <w:rsid w:val="00B36A9A"/>
    <w:rsid w:val="00B37F64"/>
    <w:rsid w:val="00B4026C"/>
    <w:rsid w:val="00B40C1B"/>
    <w:rsid w:val="00B41F75"/>
    <w:rsid w:val="00B43A06"/>
    <w:rsid w:val="00B46D3C"/>
    <w:rsid w:val="00B46F0C"/>
    <w:rsid w:val="00B472EC"/>
    <w:rsid w:val="00B479E9"/>
    <w:rsid w:val="00B47D8C"/>
    <w:rsid w:val="00B55407"/>
    <w:rsid w:val="00B57905"/>
    <w:rsid w:val="00B65A1B"/>
    <w:rsid w:val="00B65E5B"/>
    <w:rsid w:val="00B67430"/>
    <w:rsid w:val="00B70ECC"/>
    <w:rsid w:val="00B718C2"/>
    <w:rsid w:val="00B72D11"/>
    <w:rsid w:val="00B72D5C"/>
    <w:rsid w:val="00B73881"/>
    <w:rsid w:val="00B76E1A"/>
    <w:rsid w:val="00B77FC4"/>
    <w:rsid w:val="00B80409"/>
    <w:rsid w:val="00B825A6"/>
    <w:rsid w:val="00B82784"/>
    <w:rsid w:val="00B8287F"/>
    <w:rsid w:val="00B82F0C"/>
    <w:rsid w:val="00B83164"/>
    <w:rsid w:val="00B85679"/>
    <w:rsid w:val="00B861B8"/>
    <w:rsid w:val="00B8689A"/>
    <w:rsid w:val="00B932D3"/>
    <w:rsid w:val="00BA6967"/>
    <w:rsid w:val="00BA741E"/>
    <w:rsid w:val="00BB3C3E"/>
    <w:rsid w:val="00BB4B69"/>
    <w:rsid w:val="00BB54EA"/>
    <w:rsid w:val="00BB6777"/>
    <w:rsid w:val="00BB7F97"/>
    <w:rsid w:val="00BC036D"/>
    <w:rsid w:val="00BC15D5"/>
    <w:rsid w:val="00BC4389"/>
    <w:rsid w:val="00BC452D"/>
    <w:rsid w:val="00BC4C6E"/>
    <w:rsid w:val="00BC5E4D"/>
    <w:rsid w:val="00BC794B"/>
    <w:rsid w:val="00BC7EB6"/>
    <w:rsid w:val="00BD3D5C"/>
    <w:rsid w:val="00BD502A"/>
    <w:rsid w:val="00BD58B9"/>
    <w:rsid w:val="00BD593D"/>
    <w:rsid w:val="00BD7141"/>
    <w:rsid w:val="00BD7D9F"/>
    <w:rsid w:val="00BE09C6"/>
    <w:rsid w:val="00BE0D8B"/>
    <w:rsid w:val="00BE168A"/>
    <w:rsid w:val="00BE3A1A"/>
    <w:rsid w:val="00BE3D09"/>
    <w:rsid w:val="00BE49AA"/>
    <w:rsid w:val="00BE4FE6"/>
    <w:rsid w:val="00BE5B26"/>
    <w:rsid w:val="00BE78A2"/>
    <w:rsid w:val="00BF51F4"/>
    <w:rsid w:val="00BF5A4B"/>
    <w:rsid w:val="00C0059B"/>
    <w:rsid w:val="00C01112"/>
    <w:rsid w:val="00C0159F"/>
    <w:rsid w:val="00C030F7"/>
    <w:rsid w:val="00C045E9"/>
    <w:rsid w:val="00C0477C"/>
    <w:rsid w:val="00C05C2C"/>
    <w:rsid w:val="00C05F4E"/>
    <w:rsid w:val="00C0642A"/>
    <w:rsid w:val="00C06A9C"/>
    <w:rsid w:val="00C0727B"/>
    <w:rsid w:val="00C15B58"/>
    <w:rsid w:val="00C16089"/>
    <w:rsid w:val="00C17F23"/>
    <w:rsid w:val="00C2594F"/>
    <w:rsid w:val="00C27A73"/>
    <w:rsid w:val="00C27FBD"/>
    <w:rsid w:val="00C301DC"/>
    <w:rsid w:val="00C30A3A"/>
    <w:rsid w:val="00C30ACC"/>
    <w:rsid w:val="00C30B5C"/>
    <w:rsid w:val="00C36729"/>
    <w:rsid w:val="00C376CD"/>
    <w:rsid w:val="00C402F8"/>
    <w:rsid w:val="00C424C5"/>
    <w:rsid w:val="00C45908"/>
    <w:rsid w:val="00C47E86"/>
    <w:rsid w:val="00C505AE"/>
    <w:rsid w:val="00C50D21"/>
    <w:rsid w:val="00C50FE2"/>
    <w:rsid w:val="00C5408F"/>
    <w:rsid w:val="00C557F5"/>
    <w:rsid w:val="00C628B0"/>
    <w:rsid w:val="00C66E57"/>
    <w:rsid w:val="00C67A44"/>
    <w:rsid w:val="00C701C4"/>
    <w:rsid w:val="00C7068C"/>
    <w:rsid w:val="00C7072B"/>
    <w:rsid w:val="00C71C07"/>
    <w:rsid w:val="00C75A0E"/>
    <w:rsid w:val="00C76187"/>
    <w:rsid w:val="00C76F8E"/>
    <w:rsid w:val="00C81346"/>
    <w:rsid w:val="00C821CE"/>
    <w:rsid w:val="00C82235"/>
    <w:rsid w:val="00C92A5C"/>
    <w:rsid w:val="00C9343E"/>
    <w:rsid w:val="00C945B1"/>
    <w:rsid w:val="00C95114"/>
    <w:rsid w:val="00CA2626"/>
    <w:rsid w:val="00CA467B"/>
    <w:rsid w:val="00CA7CEA"/>
    <w:rsid w:val="00CA7EAF"/>
    <w:rsid w:val="00CB2BEB"/>
    <w:rsid w:val="00CC29E6"/>
    <w:rsid w:val="00CC3154"/>
    <w:rsid w:val="00CC35B8"/>
    <w:rsid w:val="00CC63CD"/>
    <w:rsid w:val="00CC65AF"/>
    <w:rsid w:val="00CC7EB2"/>
    <w:rsid w:val="00CD1D1A"/>
    <w:rsid w:val="00CD27C1"/>
    <w:rsid w:val="00CD2D44"/>
    <w:rsid w:val="00CD2FDB"/>
    <w:rsid w:val="00CD7596"/>
    <w:rsid w:val="00CE3937"/>
    <w:rsid w:val="00CE3BF3"/>
    <w:rsid w:val="00CE4343"/>
    <w:rsid w:val="00CE4B44"/>
    <w:rsid w:val="00CE634A"/>
    <w:rsid w:val="00CF0BC0"/>
    <w:rsid w:val="00CF2FAC"/>
    <w:rsid w:val="00CF34E2"/>
    <w:rsid w:val="00CF538C"/>
    <w:rsid w:val="00CF69BC"/>
    <w:rsid w:val="00CF7345"/>
    <w:rsid w:val="00D01575"/>
    <w:rsid w:val="00D02FD5"/>
    <w:rsid w:val="00D03922"/>
    <w:rsid w:val="00D057E0"/>
    <w:rsid w:val="00D10573"/>
    <w:rsid w:val="00D160ED"/>
    <w:rsid w:val="00D20EFE"/>
    <w:rsid w:val="00D229F3"/>
    <w:rsid w:val="00D23B84"/>
    <w:rsid w:val="00D24C4B"/>
    <w:rsid w:val="00D26D2A"/>
    <w:rsid w:val="00D31B41"/>
    <w:rsid w:val="00D332B9"/>
    <w:rsid w:val="00D33AA3"/>
    <w:rsid w:val="00D34940"/>
    <w:rsid w:val="00D34B6B"/>
    <w:rsid w:val="00D34CBC"/>
    <w:rsid w:val="00D35BA8"/>
    <w:rsid w:val="00D408C7"/>
    <w:rsid w:val="00D40D25"/>
    <w:rsid w:val="00D412DD"/>
    <w:rsid w:val="00D42B1C"/>
    <w:rsid w:val="00D46AA7"/>
    <w:rsid w:val="00D47BB3"/>
    <w:rsid w:val="00D5707F"/>
    <w:rsid w:val="00D57396"/>
    <w:rsid w:val="00D600FC"/>
    <w:rsid w:val="00D6069F"/>
    <w:rsid w:val="00D60A95"/>
    <w:rsid w:val="00D623D8"/>
    <w:rsid w:val="00D64AB7"/>
    <w:rsid w:val="00D67C0C"/>
    <w:rsid w:val="00D7235C"/>
    <w:rsid w:val="00D72A23"/>
    <w:rsid w:val="00D7487D"/>
    <w:rsid w:val="00D75AEF"/>
    <w:rsid w:val="00D770AB"/>
    <w:rsid w:val="00D80830"/>
    <w:rsid w:val="00D816CB"/>
    <w:rsid w:val="00D81764"/>
    <w:rsid w:val="00D83055"/>
    <w:rsid w:val="00D85AB0"/>
    <w:rsid w:val="00D927FD"/>
    <w:rsid w:val="00D92E7C"/>
    <w:rsid w:val="00D9491D"/>
    <w:rsid w:val="00D94F4D"/>
    <w:rsid w:val="00D97A38"/>
    <w:rsid w:val="00DA0766"/>
    <w:rsid w:val="00DA1B71"/>
    <w:rsid w:val="00DA5553"/>
    <w:rsid w:val="00DA5EEB"/>
    <w:rsid w:val="00DA7635"/>
    <w:rsid w:val="00DB297C"/>
    <w:rsid w:val="00DB4344"/>
    <w:rsid w:val="00DB6425"/>
    <w:rsid w:val="00DB7186"/>
    <w:rsid w:val="00DC0086"/>
    <w:rsid w:val="00DC0473"/>
    <w:rsid w:val="00DC2146"/>
    <w:rsid w:val="00DC5CE8"/>
    <w:rsid w:val="00DC5D0F"/>
    <w:rsid w:val="00DC6A2F"/>
    <w:rsid w:val="00DD1440"/>
    <w:rsid w:val="00DD1C3C"/>
    <w:rsid w:val="00DD20E9"/>
    <w:rsid w:val="00DD5EEB"/>
    <w:rsid w:val="00DE1655"/>
    <w:rsid w:val="00DE165D"/>
    <w:rsid w:val="00DE6540"/>
    <w:rsid w:val="00DE680D"/>
    <w:rsid w:val="00DE7ED9"/>
    <w:rsid w:val="00DF05A0"/>
    <w:rsid w:val="00DF247C"/>
    <w:rsid w:val="00DF392A"/>
    <w:rsid w:val="00DF47DA"/>
    <w:rsid w:val="00DF50B3"/>
    <w:rsid w:val="00DF5E1F"/>
    <w:rsid w:val="00DF7368"/>
    <w:rsid w:val="00E0036B"/>
    <w:rsid w:val="00E019E6"/>
    <w:rsid w:val="00E01FC2"/>
    <w:rsid w:val="00E034B3"/>
    <w:rsid w:val="00E11C68"/>
    <w:rsid w:val="00E1222B"/>
    <w:rsid w:val="00E125B3"/>
    <w:rsid w:val="00E126C3"/>
    <w:rsid w:val="00E12910"/>
    <w:rsid w:val="00E12F97"/>
    <w:rsid w:val="00E13482"/>
    <w:rsid w:val="00E1378E"/>
    <w:rsid w:val="00E13ACC"/>
    <w:rsid w:val="00E13C7D"/>
    <w:rsid w:val="00E13FA6"/>
    <w:rsid w:val="00E150A1"/>
    <w:rsid w:val="00E2254B"/>
    <w:rsid w:val="00E315A0"/>
    <w:rsid w:val="00E33279"/>
    <w:rsid w:val="00E34012"/>
    <w:rsid w:val="00E34093"/>
    <w:rsid w:val="00E3436A"/>
    <w:rsid w:val="00E34784"/>
    <w:rsid w:val="00E36CA0"/>
    <w:rsid w:val="00E42071"/>
    <w:rsid w:val="00E42DF8"/>
    <w:rsid w:val="00E4508C"/>
    <w:rsid w:val="00E46574"/>
    <w:rsid w:val="00E5211B"/>
    <w:rsid w:val="00E54160"/>
    <w:rsid w:val="00E54195"/>
    <w:rsid w:val="00E5528A"/>
    <w:rsid w:val="00E55476"/>
    <w:rsid w:val="00E64375"/>
    <w:rsid w:val="00E6653D"/>
    <w:rsid w:val="00E715BB"/>
    <w:rsid w:val="00E73F72"/>
    <w:rsid w:val="00E77196"/>
    <w:rsid w:val="00E811A4"/>
    <w:rsid w:val="00E83B16"/>
    <w:rsid w:val="00E86251"/>
    <w:rsid w:val="00E90FB3"/>
    <w:rsid w:val="00E914FA"/>
    <w:rsid w:val="00EA0C2B"/>
    <w:rsid w:val="00EA2A70"/>
    <w:rsid w:val="00EA3AB4"/>
    <w:rsid w:val="00EA51EA"/>
    <w:rsid w:val="00EA67B9"/>
    <w:rsid w:val="00EA6B2F"/>
    <w:rsid w:val="00EB02BE"/>
    <w:rsid w:val="00EB0409"/>
    <w:rsid w:val="00EB2A7A"/>
    <w:rsid w:val="00EB389D"/>
    <w:rsid w:val="00EB421C"/>
    <w:rsid w:val="00EB551D"/>
    <w:rsid w:val="00EB55A1"/>
    <w:rsid w:val="00EB620E"/>
    <w:rsid w:val="00EB6FED"/>
    <w:rsid w:val="00EB75F7"/>
    <w:rsid w:val="00EC2107"/>
    <w:rsid w:val="00EC4A12"/>
    <w:rsid w:val="00ED1616"/>
    <w:rsid w:val="00ED2383"/>
    <w:rsid w:val="00ED2F6D"/>
    <w:rsid w:val="00ED4F25"/>
    <w:rsid w:val="00ED6060"/>
    <w:rsid w:val="00ED6CBD"/>
    <w:rsid w:val="00ED6D5A"/>
    <w:rsid w:val="00EE1A85"/>
    <w:rsid w:val="00EE3C5B"/>
    <w:rsid w:val="00EE5BF7"/>
    <w:rsid w:val="00EE60CF"/>
    <w:rsid w:val="00EE6E03"/>
    <w:rsid w:val="00EE71EE"/>
    <w:rsid w:val="00EF5A84"/>
    <w:rsid w:val="00EF7B2F"/>
    <w:rsid w:val="00F003BE"/>
    <w:rsid w:val="00F004F3"/>
    <w:rsid w:val="00F014DC"/>
    <w:rsid w:val="00F0248A"/>
    <w:rsid w:val="00F05C2E"/>
    <w:rsid w:val="00F10069"/>
    <w:rsid w:val="00F11DDE"/>
    <w:rsid w:val="00F1218E"/>
    <w:rsid w:val="00F12B6C"/>
    <w:rsid w:val="00F1391C"/>
    <w:rsid w:val="00F141C6"/>
    <w:rsid w:val="00F14A68"/>
    <w:rsid w:val="00F2160A"/>
    <w:rsid w:val="00F23835"/>
    <w:rsid w:val="00F23DD9"/>
    <w:rsid w:val="00F25465"/>
    <w:rsid w:val="00F266D1"/>
    <w:rsid w:val="00F26E06"/>
    <w:rsid w:val="00F35966"/>
    <w:rsid w:val="00F37732"/>
    <w:rsid w:val="00F44184"/>
    <w:rsid w:val="00F449DD"/>
    <w:rsid w:val="00F452E7"/>
    <w:rsid w:val="00F46007"/>
    <w:rsid w:val="00F468BE"/>
    <w:rsid w:val="00F53AE6"/>
    <w:rsid w:val="00F5612E"/>
    <w:rsid w:val="00F56B0F"/>
    <w:rsid w:val="00F57A15"/>
    <w:rsid w:val="00F60A70"/>
    <w:rsid w:val="00F6329E"/>
    <w:rsid w:val="00F6401E"/>
    <w:rsid w:val="00F657A7"/>
    <w:rsid w:val="00F659DE"/>
    <w:rsid w:val="00F65A31"/>
    <w:rsid w:val="00F67E33"/>
    <w:rsid w:val="00F70DD1"/>
    <w:rsid w:val="00F71B0D"/>
    <w:rsid w:val="00F72ECD"/>
    <w:rsid w:val="00F75714"/>
    <w:rsid w:val="00F758CE"/>
    <w:rsid w:val="00F7693E"/>
    <w:rsid w:val="00F80A53"/>
    <w:rsid w:val="00F815D2"/>
    <w:rsid w:val="00F841AF"/>
    <w:rsid w:val="00F87A7C"/>
    <w:rsid w:val="00F9060A"/>
    <w:rsid w:val="00F9096B"/>
    <w:rsid w:val="00F91452"/>
    <w:rsid w:val="00F92702"/>
    <w:rsid w:val="00F93E26"/>
    <w:rsid w:val="00F946AC"/>
    <w:rsid w:val="00F95AE5"/>
    <w:rsid w:val="00F97A85"/>
    <w:rsid w:val="00FA5670"/>
    <w:rsid w:val="00FA568F"/>
    <w:rsid w:val="00FA6096"/>
    <w:rsid w:val="00FA78BF"/>
    <w:rsid w:val="00FA79D1"/>
    <w:rsid w:val="00FB018B"/>
    <w:rsid w:val="00FB0E8B"/>
    <w:rsid w:val="00FB1E4E"/>
    <w:rsid w:val="00FB57D9"/>
    <w:rsid w:val="00FB7A65"/>
    <w:rsid w:val="00FC08E8"/>
    <w:rsid w:val="00FC1A2C"/>
    <w:rsid w:val="00FC5038"/>
    <w:rsid w:val="00FC687D"/>
    <w:rsid w:val="00FC77CC"/>
    <w:rsid w:val="00FD1F7F"/>
    <w:rsid w:val="00FD331D"/>
    <w:rsid w:val="00FD4EDA"/>
    <w:rsid w:val="00FD5F26"/>
    <w:rsid w:val="00FD6B42"/>
    <w:rsid w:val="00FE03FD"/>
    <w:rsid w:val="00FE2CF9"/>
    <w:rsid w:val="00FE3312"/>
    <w:rsid w:val="00FE396E"/>
    <w:rsid w:val="00FE48CE"/>
    <w:rsid w:val="00FE5583"/>
    <w:rsid w:val="00FE5784"/>
    <w:rsid w:val="00FE6075"/>
    <w:rsid w:val="00FE6F18"/>
    <w:rsid w:val="00FE7816"/>
    <w:rsid w:val="00FE7BD4"/>
    <w:rsid w:val="00FF0A2D"/>
    <w:rsid w:val="00FF1093"/>
    <w:rsid w:val="00FF2BBB"/>
    <w:rsid w:val="00FF3E5B"/>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colormru v:ext="edit" colors="#4bf7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link w:val="ListBulletChar"/>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body">
    <w:name w:val="AER body"/>
    <w:basedOn w:val="Normal"/>
    <w:link w:val="AERbodyChar"/>
    <w:qFormat/>
    <w:rsid w:val="00EA51EA"/>
  </w:style>
  <w:style w:type="character" w:customStyle="1" w:styleId="AERbodyChar">
    <w:name w:val="AER body Char"/>
    <w:basedOn w:val="DefaultParagraphFont"/>
    <w:link w:val="AERbody"/>
    <w:rsid w:val="00EA51EA"/>
    <w:rPr>
      <w:rFonts w:ascii="Arial" w:hAnsi="Arial"/>
    </w:rPr>
  </w:style>
  <w:style w:type="paragraph" w:customStyle="1" w:styleId="Bullet2">
    <w:name w:val="Bullet 2"/>
    <w:basedOn w:val="Bulletpoint"/>
    <w:link w:val="Bullet2Char"/>
    <w:qFormat/>
    <w:rsid w:val="00AC5B65"/>
    <w:pPr>
      <w:numPr>
        <w:ilvl w:val="1"/>
      </w:numPr>
    </w:pPr>
  </w:style>
  <w:style w:type="character" w:customStyle="1" w:styleId="ListBulletChar">
    <w:name w:val="List Bullet Char"/>
    <w:basedOn w:val="DefaultParagraphFont"/>
    <w:link w:val="ListBullet"/>
    <w:uiPriority w:val="99"/>
    <w:rsid w:val="00AC5B65"/>
    <w:rPr>
      <w:rFonts w:ascii="Arial" w:hAnsi="Arial"/>
    </w:rPr>
  </w:style>
  <w:style w:type="character" w:customStyle="1" w:styleId="BulletpointChar">
    <w:name w:val="Bullet point Char"/>
    <w:basedOn w:val="ListBulletChar"/>
    <w:link w:val="Bulletpoint"/>
    <w:rsid w:val="00AC5B65"/>
    <w:rPr>
      <w:rFonts w:ascii="Arial" w:hAnsi="Arial" w:cs="Times New Roman"/>
    </w:rPr>
  </w:style>
  <w:style w:type="character" w:customStyle="1" w:styleId="Bullet2Char">
    <w:name w:val="Bullet 2 Char"/>
    <w:basedOn w:val="BulletpointChar"/>
    <w:link w:val="Bullet2"/>
    <w:rsid w:val="00AC5B65"/>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5E385C"/>
    <w:pPr>
      <w:spacing w:line="276" w:lineRule="auto"/>
      <w:jc w:val="both"/>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5A2081"/>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qFormat/>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link w:val="BulletpointChar"/>
    <w:qFormat/>
    <w:rsid w:val="00FE64AE"/>
    <w:pPr>
      <w:numPr>
        <w:numId w:val="2"/>
      </w:numPr>
    </w:pPr>
    <w:rPr>
      <w:rFonts w:cs="Times New Roman"/>
    </w:rPr>
  </w:style>
  <w:style w:type="paragraph" w:styleId="ListBullet">
    <w:name w:val="List Bullet"/>
    <w:basedOn w:val="Normal"/>
    <w:link w:val="ListBulletChar"/>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8F53DD"/>
    <w:pPr>
      <w:tabs>
        <w:tab w:val="left" w:pos="426"/>
        <w:tab w:val="left" w:pos="1701"/>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C95114"/>
    <w:pPr>
      <w:keepNext/>
      <w:spacing w:before="240" w:after="120"/>
      <w:jc w:val="left"/>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A86749"/>
    <w:pPr>
      <w:spacing w:before="240" w:after="120"/>
      <w:jc w:val="center"/>
    </w:pPr>
    <w:rPr>
      <w:b/>
      <w:color w:val="FFFFFF" w:themeColor="background1"/>
      <w:sz w:val="20"/>
      <w:szCs w:val="20"/>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A86749"/>
    <w:rPr>
      <w:rFonts w:ascii="Arial" w:hAnsi="Arial"/>
      <w:b/>
      <w:color w:val="FFFFFF" w:themeColor="background1"/>
      <w:sz w:val="20"/>
      <w:szCs w:val="20"/>
    </w:rPr>
  </w:style>
  <w:style w:type="character" w:customStyle="1" w:styleId="TableHeading-rightChar">
    <w:name w:val="Table Heading - right Char"/>
    <w:basedOn w:val="TableHeadingChar"/>
    <w:link w:val="TableHeading-right"/>
    <w:rsid w:val="00185CB9"/>
    <w:rPr>
      <w:rFonts w:ascii="Arial" w:eastAsia="Times New Roman" w:hAnsi="Arial" w:cs="Times New Roman"/>
      <w:b/>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rPr>
      <w:rFonts w:eastAsia="Times New Roman" w:cs="Times New Roman"/>
      <w:bCs/>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86749"/>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NormalWeb">
    <w:name w:val="Normal (Web)"/>
    <w:basedOn w:val="Normal"/>
    <w:uiPriority w:val="99"/>
    <w:unhideWhenUsed/>
    <w:rsid w:val="003E380F"/>
    <w:pPr>
      <w:spacing w:before="150" w:after="150" w:line="240" w:lineRule="auto"/>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semiHidden/>
    <w:unhideWhenUsed/>
    <w:rsid w:val="00A551FA"/>
    <w:pPr>
      <w:spacing w:line="240" w:lineRule="auto"/>
    </w:pPr>
    <w:rPr>
      <w:sz w:val="20"/>
      <w:szCs w:val="20"/>
    </w:rPr>
  </w:style>
  <w:style w:type="character" w:customStyle="1" w:styleId="CommentTextChar">
    <w:name w:val="Comment Text Char"/>
    <w:basedOn w:val="DefaultParagraphFont"/>
    <w:link w:val="CommentText"/>
    <w:uiPriority w:val="99"/>
    <w:semiHidden/>
    <w:rsid w:val="00A551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551FA"/>
    <w:rPr>
      <w:b/>
      <w:bCs/>
    </w:rPr>
  </w:style>
  <w:style w:type="character" w:customStyle="1" w:styleId="CommentSubjectChar">
    <w:name w:val="Comment Subject Char"/>
    <w:basedOn w:val="CommentTextChar"/>
    <w:link w:val="CommentSubject"/>
    <w:uiPriority w:val="99"/>
    <w:semiHidden/>
    <w:rsid w:val="00A551FA"/>
    <w:rPr>
      <w:rFonts w:ascii="Arial" w:hAnsi="Arial"/>
      <w:b/>
      <w:bCs/>
      <w:sz w:val="20"/>
      <w:szCs w:val="20"/>
    </w:rPr>
  </w:style>
  <w:style w:type="paragraph" w:customStyle="1" w:styleId="tablebody">
    <w:name w:val="table body"/>
    <w:basedOn w:val="Normal"/>
    <w:link w:val="tablebodyChar"/>
    <w:qFormat/>
    <w:rsid w:val="00A86749"/>
    <w:pPr>
      <w:spacing w:before="120" w:after="120"/>
    </w:pPr>
    <w:rPr>
      <w:sz w:val="18"/>
    </w:rPr>
  </w:style>
  <w:style w:type="paragraph" w:customStyle="1" w:styleId="tablebodycentered">
    <w:name w:val="table body centered"/>
    <w:basedOn w:val="tablebody"/>
    <w:link w:val="tablebodycenteredChar"/>
    <w:qFormat/>
    <w:rsid w:val="00A86749"/>
    <w:pPr>
      <w:jc w:val="center"/>
    </w:pPr>
  </w:style>
  <w:style w:type="character" w:customStyle="1" w:styleId="tablebodyChar">
    <w:name w:val="table body Char"/>
    <w:basedOn w:val="DefaultParagraphFont"/>
    <w:link w:val="tablebody"/>
    <w:rsid w:val="00A86749"/>
    <w:rPr>
      <w:rFonts w:ascii="Arial" w:hAnsi="Arial"/>
      <w:sz w:val="18"/>
    </w:rPr>
  </w:style>
  <w:style w:type="character" w:customStyle="1" w:styleId="tablebodycenteredChar">
    <w:name w:val="table body centered Char"/>
    <w:basedOn w:val="tablebodyChar"/>
    <w:link w:val="tablebodycentered"/>
    <w:rsid w:val="00A86749"/>
    <w:rPr>
      <w:rFonts w:ascii="Arial" w:hAnsi="Arial"/>
      <w:sz w:val="18"/>
    </w:rPr>
  </w:style>
  <w:style w:type="table" w:customStyle="1" w:styleId="AERTable-Text1">
    <w:name w:val="AER Table - Text1"/>
    <w:basedOn w:val="TableNormal"/>
    <w:uiPriority w:val="99"/>
    <w:rsid w:val="007C4AAD"/>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0"/>
      </w:rPr>
      <w:tblPr/>
      <w:tcPr>
        <w:shd w:val="clear" w:color="auto" w:fill="076A92"/>
      </w:tcPr>
    </w:tblStylePr>
    <w:tblStylePr w:type="lastRow">
      <w:rPr>
        <w:b/>
      </w:rPr>
    </w:tblStylePr>
    <w:tblStylePr w:type="band1Horz">
      <w:rPr>
        <w:rFonts w:asciiTheme="minorHAnsi" w:hAnsiTheme="minorHAnsi"/>
        <w:sz w:val="18"/>
      </w:rPr>
    </w:tblStylePr>
    <w:tblStylePr w:type="band2Horz">
      <w:rPr>
        <w:rFonts w:asciiTheme="minorHAnsi" w:hAnsiTheme="minorHAnsi"/>
        <w:sz w:val="20"/>
      </w:rPr>
      <w:tblPr/>
      <w:tcPr>
        <w:shd w:val="clear" w:color="auto" w:fill="DBE5F1"/>
      </w:tcPr>
    </w:tblStylePr>
  </w:style>
  <w:style w:type="paragraph" w:customStyle="1" w:styleId="Tablesumline">
    <w:name w:val="Table sum line"/>
    <w:basedOn w:val="Normal"/>
    <w:link w:val="TablesumlineChar"/>
    <w:qFormat/>
    <w:rsid w:val="00C9343E"/>
    <w:pPr>
      <w:spacing w:before="120" w:after="120"/>
      <w:jc w:val="left"/>
    </w:pPr>
    <w:rPr>
      <w:b/>
      <w:sz w:val="20"/>
    </w:rPr>
  </w:style>
  <w:style w:type="table" w:customStyle="1" w:styleId="AERsummarytable">
    <w:name w:val="AER summary table"/>
    <w:basedOn w:val="TableNormal"/>
    <w:uiPriority w:val="99"/>
    <w:rsid w:val="00C9343E"/>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C9343E"/>
    <w:rPr>
      <w:rFonts w:ascii="Arial" w:hAnsi="Arial"/>
      <w:b/>
      <w:sz w:val="20"/>
    </w:rPr>
  </w:style>
  <w:style w:type="character" w:customStyle="1" w:styleId="a531">
    <w:name w:val="a5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B80409"/>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B80409"/>
    <w:rPr>
      <w:rFonts w:ascii="Arial" w:hAnsi="Arial" w:cs="Arial" w:hint="default"/>
      <w:b w:val="0"/>
      <w:bCs w:val="0"/>
      <w:i w:val="0"/>
      <w:iCs w:val="0"/>
      <w:strike w:val="0"/>
      <w:dstrike w:val="0"/>
      <w:color w:val="FFFFFF"/>
      <w:sz w:val="18"/>
      <w:szCs w:val="18"/>
      <w:u w:val="none"/>
      <w:effect w:val="none"/>
    </w:rPr>
  </w:style>
  <w:style w:type="paragraph" w:customStyle="1" w:styleId="Default">
    <w:name w:val="Default"/>
    <w:rsid w:val="00950032"/>
    <w:pPr>
      <w:autoSpaceDE w:val="0"/>
      <w:autoSpaceDN w:val="0"/>
      <w:adjustRightInd w:val="0"/>
      <w:spacing w:before="0"/>
    </w:pPr>
    <w:rPr>
      <w:rFonts w:ascii="Arial" w:hAnsi="Arial" w:cs="Arial"/>
      <w:color w:val="000000"/>
      <w:sz w:val="24"/>
      <w:szCs w:val="24"/>
    </w:rPr>
  </w:style>
  <w:style w:type="paragraph" w:customStyle="1" w:styleId="tabletext0">
    <w:name w:val="table text"/>
    <w:basedOn w:val="Normal"/>
    <w:link w:val="tabletextChar0"/>
    <w:qFormat/>
    <w:rsid w:val="00FF3E5B"/>
    <w:pPr>
      <w:spacing w:before="60" w:after="60"/>
      <w:jc w:val="left"/>
    </w:pPr>
    <w:rPr>
      <w:sz w:val="18"/>
    </w:rPr>
  </w:style>
  <w:style w:type="character" w:customStyle="1" w:styleId="tabletextChar0">
    <w:name w:val="table text Char"/>
    <w:basedOn w:val="DefaultParagraphFont"/>
    <w:link w:val="tabletext0"/>
    <w:rsid w:val="00FF3E5B"/>
    <w:rPr>
      <w:rFonts w:ascii="Arial" w:hAnsi="Arial"/>
      <w:sz w:val="18"/>
    </w:rPr>
  </w:style>
  <w:style w:type="paragraph" w:customStyle="1" w:styleId="AERbody">
    <w:name w:val="AER body"/>
    <w:basedOn w:val="Normal"/>
    <w:link w:val="AERbodyChar"/>
    <w:qFormat/>
    <w:rsid w:val="00EA51EA"/>
  </w:style>
  <w:style w:type="character" w:customStyle="1" w:styleId="AERbodyChar">
    <w:name w:val="AER body Char"/>
    <w:basedOn w:val="DefaultParagraphFont"/>
    <w:link w:val="AERbody"/>
    <w:rsid w:val="00EA51EA"/>
    <w:rPr>
      <w:rFonts w:ascii="Arial" w:hAnsi="Arial"/>
    </w:rPr>
  </w:style>
  <w:style w:type="paragraph" w:customStyle="1" w:styleId="Bullet2">
    <w:name w:val="Bullet 2"/>
    <w:basedOn w:val="Bulletpoint"/>
    <w:link w:val="Bullet2Char"/>
    <w:qFormat/>
    <w:rsid w:val="00AC5B65"/>
    <w:pPr>
      <w:numPr>
        <w:ilvl w:val="1"/>
      </w:numPr>
    </w:pPr>
  </w:style>
  <w:style w:type="character" w:customStyle="1" w:styleId="ListBulletChar">
    <w:name w:val="List Bullet Char"/>
    <w:basedOn w:val="DefaultParagraphFont"/>
    <w:link w:val="ListBullet"/>
    <w:uiPriority w:val="99"/>
    <w:rsid w:val="00AC5B65"/>
    <w:rPr>
      <w:rFonts w:ascii="Arial" w:hAnsi="Arial"/>
    </w:rPr>
  </w:style>
  <w:style w:type="character" w:customStyle="1" w:styleId="BulletpointChar">
    <w:name w:val="Bullet point Char"/>
    <w:basedOn w:val="ListBulletChar"/>
    <w:link w:val="Bulletpoint"/>
    <w:rsid w:val="00AC5B65"/>
    <w:rPr>
      <w:rFonts w:ascii="Arial" w:hAnsi="Arial" w:cs="Times New Roman"/>
    </w:rPr>
  </w:style>
  <w:style w:type="character" w:customStyle="1" w:styleId="Bullet2Char">
    <w:name w:val="Bullet 2 Char"/>
    <w:basedOn w:val="BulletpointChar"/>
    <w:link w:val="Bullet2"/>
    <w:rsid w:val="00AC5B65"/>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5081">
      <w:bodyDiv w:val="1"/>
      <w:marLeft w:val="0"/>
      <w:marRight w:val="0"/>
      <w:marTop w:val="0"/>
      <w:marBottom w:val="0"/>
      <w:divBdr>
        <w:top w:val="none" w:sz="0" w:space="0" w:color="auto"/>
        <w:left w:val="none" w:sz="0" w:space="0" w:color="auto"/>
        <w:bottom w:val="none" w:sz="0" w:space="0" w:color="auto"/>
        <w:right w:val="none" w:sz="0" w:space="0" w:color="auto"/>
      </w:divBdr>
    </w:div>
    <w:div w:id="104887922">
      <w:bodyDiv w:val="1"/>
      <w:marLeft w:val="0"/>
      <w:marRight w:val="0"/>
      <w:marTop w:val="0"/>
      <w:marBottom w:val="0"/>
      <w:divBdr>
        <w:top w:val="none" w:sz="0" w:space="0" w:color="auto"/>
        <w:left w:val="none" w:sz="0" w:space="0" w:color="auto"/>
        <w:bottom w:val="none" w:sz="0" w:space="0" w:color="auto"/>
        <w:right w:val="none" w:sz="0" w:space="0" w:color="auto"/>
      </w:divBdr>
    </w:div>
    <w:div w:id="189955646">
      <w:bodyDiv w:val="1"/>
      <w:marLeft w:val="0"/>
      <w:marRight w:val="0"/>
      <w:marTop w:val="0"/>
      <w:marBottom w:val="0"/>
      <w:divBdr>
        <w:top w:val="none" w:sz="0" w:space="0" w:color="auto"/>
        <w:left w:val="none" w:sz="0" w:space="0" w:color="auto"/>
        <w:bottom w:val="none" w:sz="0" w:space="0" w:color="auto"/>
        <w:right w:val="none" w:sz="0" w:space="0" w:color="auto"/>
      </w:divBdr>
    </w:div>
    <w:div w:id="236139022">
      <w:bodyDiv w:val="1"/>
      <w:marLeft w:val="0"/>
      <w:marRight w:val="0"/>
      <w:marTop w:val="0"/>
      <w:marBottom w:val="0"/>
      <w:divBdr>
        <w:top w:val="none" w:sz="0" w:space="0" w:color="auto"/>
        <w:left w:val="none" w:sz="0" w:space="0" w:color="auto"/>
        <w:bottom w:val="none" w:sz="0" w:space="0" w:color="auto"/>
        <w:right w:val="none" w:sz="0" w:space="0" w:color="auto"/>
      </w:divBdr>
    </w:div>
    <w:div w:id="251208130">
      <w:bodyDiv w:val="1"/>
      <w:marLeft w:val="0"/>
      <w:marRight w:val="0"/>
      <w:marTop w:val="0"/>
      <w:marBottom w:val="0"/>
      <w:divBdr>
        <w:top w:val="none" w:sz="0" w:space="0" w:color="auto"/>
        <w:left w:val="none" w:sz="0" w:space="0" w:color="auto"/>
        <w:bottom w:val="none" w:sz="0" w:space="0" w:color="auto"/>
        <w:right w:val="none" w:sz="0" w:space="0" w:color="auto"/>
      </w:divBdr>
    </w:div>
    <w:div w:id="290325334">
      <w:bodyDiv w:val="1"/>
      <w:marLeft w:val="0"/>
      <w:marRight w:val="0"/>
      <w:marTop w:val="0"/>
      <w:marBottom w:val="0"/>
      <w:divBdr>
        <w:top w:val="none" w:sz="0" w:space="0" w:color="auto"/>
        <w:left w:val="none" w:sz="0" w:space="0" w:color="auto"/>
        <w:bottom w:val="none" w:sz="0" w:space="0" w:color="auto"/>
        <w:right w:val="none" w:sz="0" w:space="0" w:color="auto"/>
      </w:divBdr>
    </w:div>
    <w:div w:id="295793403">
      <w:bodyDiv w:val="1"/>
      <w:marLeft w:val="0"/>
      <w:marRight w:val="0"/>
      <w:marTop w:val="0"/>
      <w:marBottom w:val="0"/>
      <w:divBdr>
        <w:top w:val="none" w:sz="0" w:space="0" w:color="auto"/>
        <w:left w:val="none" w:sz="0" w:space="0" w:color="auto"/>
        <w:bottom w:val="none" w:sz="0" w:space="0" w:color="auto"/>
        <w:right w:val="none" w:sz="0" w:space="0" w:color="auto"/>
      </w:divBdr>
    </w:div>
    <w:div w:id="308898767">
      <w:bodyDiv w:val="1"/>
      <w:marLeft w:val="0"/>
      <w:marRight w:val="0"/>
      <w:marTop w:val="0"/>
      <w:marBottom w:val="0"/>
      <w:divBdr>
        <w:top w:val="none" w:sz="0" w:space="0" w:color="auto"/>
        <w:left w:val="none" w:sz="0" w:space="0" w:color="auto"/>
        <w:bottom w:val="none" w:sz="0" w:space="0" w:color="auto"/>
        <w:right w:val="none" w:sz="0" w:space="0" w:color="auto"/>
      </w:divBdr>
    </w:div>
    <w:div w:id="316080404">
      <w:bodyDiv w:val="1"/>
      <w:marLeft w:val="0"/>
      <w:marRight w:val="0"/>
      <w:marTop w:val="0"/>
      <w:marBottom w:val="0"/>
      <w:divBdr>
        <w:top w:val="none" w:sz="0" w:space="0" w:color="auto"/>
        <w:left w:val="none" w:sz="0" w:space="0" w:color="auto"/>
        <w:bottom w:val="none" w:sz="0" w:space="0" w:color="auto"/>
        <w:right w:val="none" w:sz="0" w:space="0" w:color="auto"/>
      </w:divBdr>
    </w:div>
    <w:div w:id="405885437">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07670050">
      <w:bodyDiv w:val="1"/>
      <w:marLeft w:val="0"/>
      <w:marRight w:val="0"/>
      <w:marTop w:val="0"/>
      <w:marBottom w:val="0"/>
      <w:divBdr>
        <w:top w:val="none" w:sz="0" w:space="0" w:color="auto"/>
        <w:left w:val="none" w:sz="0" w:space="0" w:color="auto"/>
        <w:bottom w:val="none" w:sz="0" w:space="0" w:color="auto"/>
        <w:right w:val="none" w:sz="0" w:space="0" w:color="auto"/>
      </w:divBdr>
      <w:divsChild>
        <w:div w:id="2083259863">
          <w:marLeft w:val="0"/>
          <w:marRight w:val="0"/>
          <w:marTop w:val="0"/>
          <w:marBottom w:val="0"/>
          <w:divBdr>
            <w:top w:val="none" w:sz="0" w:space="0" w:color="auto"/>
            <w:left w:val="none" w:sz="0" w:space="0" w:color="auto"/>
            <w:bottom w:val="none" w:sz="0" w:space="0" w:color="auto"/>
            <w:right w:val="none" w:sz="0" w:space="0" w:color="auto"/>
          </w:divBdr>
          <w:divsChild>
            <w:div w:id="237248040">
              <w:marLeft w:val="0"/>
              <w:marRight w:val="0"/>
              <w:marTop w:val="0"/>
              <w:marBottom w:val="0"/>
              <w:divBdr>
                <w:top w:val="none" w:sz="0" w:space="0" w:color="auto"/>
                <w:left w:val="none" w:sz="0" w:space="0" w:color="auto"/>
                <w:bottom w:val="none" w:sz="0" w:space="0" w:color="auto"/>
                <w:right w:val="none" w:sz="0" w:space="0" w:color="auto"/>
              </w:divBdr>
              <w:divsChild>
                <w:div w:id="752122960">
                  <w:marLeft w:val="0"/>
                  <w:marRight w:val="0"/>
                  <w:marTop w:val="0"/>
                  <w:marBottom w:val="0"/>
                  <w:divBdr>
                    <w:top w:val="none" w:sz="0" w:space="0" w:color="auto"/>
                    <w:left w:val="none" w:sz="0" w:space="0" w:color="auto"/>
                    <w:bottom w:val="none" w:sz="0" w:space="0" w:color="auto"/>
                    <w:right w:val="none" w:sz="0" w:space="0" w:color="auto"/>
                  </w:divBdr>
                  <w:divsChild>
                    <w:div w:id="162669854">
                      <w:marLeft w:val="0"/>
                      <w:marRight w:val="0"/>
                      <w:marTop w:val="0"/>
                      <w:marBottom w:val="0"/>
                      <w:divBdr>
                        <w:top w:val="none" w:sz="0" w:space="0" w:color="auto"/>
                        <w:left w:val="none" w:sz="0" w:space="0" w:color="auto"/>
                        <w:bottom w:val="none" w:sz="0" w:space="0" w:color="auto"/>
                        <w:right w:val="none" w:sz="0" w:space="0" w:color="auto"/>
                      </w:divBdr>
                      <w:divsChild>
                        <w:div w:id="295184323">
                          <w:marLeft w:val="0"/>
                          <w:marRight w:val="0"/>
                          <w:marTop w:val="0"/>
                          <w:marBottom w:val="0"/>
                          <w:divBdr>
                            <w:top w:val="none" w:sz="0" w:space="0" w:color="auto"/>
                            <w:left w:val="none" w:sz="0" w:space="0" w:color="auto"/>
                            <w:bottom w:val="none" w:sz="0" w:space="0" w:color="auto"/>
                            <w:right w:val="none" w:sz="0" w:space="0" w:color="auto"/>
                          </w:divBdr>
                        </w:div>
                      </w:divsChild>
                    </w:div>
                    <w:div w:id="1389959522">
                      <w:marLeft w:val="0"/>
                      <w:marRight w:val="0"/>
                      <w:marTop w:val="0"/>
                      <w:marBottom w:val="0"/>
                      <w:divBdr>
                        <w:top w:val="none" w:sz="0" w:space="0" w:color="auto"/>
                        <w:left w:val="none" w:sz="0" w:space="0" w:color="auto"/>
                        <w:bottom w:val="none" w:sz="0" w:space="0" w:color="auto"/>
                        <w:right w:val="none" w:sz="0" w:space="0" w:color="auto"/>
                      </w:divBdr>
                      <w:divsChild>
                        <w:div w:id="2033143719">
                          <w:marLeft w:val="0"/>
                          <w:marRight w:val="0"/>
                          <w:marTop w:val="0"/>
                          <w:marBottom w:val="0"/>
                          <w:divBdr>
                            <w:top w:val="none" w:sz="0" w:space="0" w:color="auto"/>
                            <w:left w:val="none" w:sz="0" w:space="0" w:color="auto"/>
                            <w:bottom w:val="none" w:sz="0" w:space="0" w:color="auto"/>
                            <w:right w:val="none" w:sz="0" w:space="0" w:color="auto"/>
                          </w:divBdr>
                        </w:div>
                      </w:divsChild>
                    </w:div>
                    <w:div w:id="475993509">
                      <w:marLeft w:val="0"/>
                      <w:marRight w:val="0"/>
                      <w:marTop w:val="0"/>
                      <w:marBottom w:val="0"/>
                      <w:divBdr>
                        <w:top w:val="none" w:sz="0" w:space="0" w:color="auto"/>
                        <w:left w:val="none" w:sz="0" w:space="0" w:color="auto"/>
                        <w:bottom w:val="none" w:sz="0" w:space="0" w:color="auto"/>
                        <w:right w:val="none" w:sz="0" w:space="0" w:color="auto"/>
                      </w:divBdr>
                      <w:divsChild>
                        <w:div w:id="1429424888">
                          <w:marLeft w:val="0"/>
                          <w:marRight w:val="0"/>
                          <w:marTop w:val="0"/>
                          <w:marBottom w:val="0"/>
                          <w:divBdr>
                            <w:top w:val="none" w:sz="0" w:space="0" w:color="auto"/>
                            <w:left w:val="none" w:sz="0" w:space="0" w:color="auto"/>
                            <w:bottom w:val="none" w:sz="0" w:space="0" w:color="auto"/>
                            <w:right w:val="none" w:sz="0" w:space="0" w:color="auto"/>
                          </w:divBdr>
                        </w:div>
                      </w:divsChild>
                    </w:div>
                    <w:div w:id="535701048">
                      <w:marLeft w:val="0"/>
                      <w:marRight w:val="0"/>
                      <w:marTop w:val="0"/>
                      <w:marBottom w:val="0"/>
                      <w:divBdr>
                        <w:top w:val="none" w:sz="0" w:space="0" w:color="auto"/>
                        <w:left w:val="none" w:sz="0" w:space="0" w:color="auto"/>
                        <w:bottom w:val="none" w:sz="0" w:space="0" w:color="auto"/>
                        <w:right w:val="none" w:sz="0" w:space="0" w:color="auto"/>
                      </w:divBdr>
                      <w:divsChild>
                        <w:div w:id="2040277009">
                          <w:marLeft w:val="0"/>
                          <w:marRight w:val="0"/>
                          <w:marTop w:val="0"/>
                          <w:marBottom w:val="0"/>
                          <w:divBdr>
                            <w:top w:val="none" w:sz="0" w:space="0" w:color="auto"/>
                            <w:left w:val="none" w:sz="0" w:space="0" w:color="auto"/>
                            <w:bottom w:val="none" w:sz="0" w:space="0" w:color="auto"/>
                            <w:right w:val="none" w:sz="0" w:space="0" w:color="auto"/>
                          </w:divBdr>
                        </w:div>
                      </w:divsChild>
                    </w:div>
                    <w:div w:id="1209680039">
                      <w:marLeft w:val="0"/>
                      <w:marRight w:val="0"/>
                      <w:marTop w:val="0"/>
                      <w:marBottom w:val="0"/>
                      <w:divBdr>
                        <w:top w:val="none" w:sz="0" w:space="0" w:color="auto"/>
                        <w:left w:val="none" w:sz="0" w:space="0" w:color="auto"/>
                        <w:bottom w:val="none" w:sz="0" w:space="0" w:color="auto"/>
                        <w:right w:val="none" w:sz="0" w:space="0" w:color="auto"/>
                      </w:divBdr>
                      <w:divsChild>
                        <w:div w:id="115298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40427">
      <w:bodyDiv w:val="1"/>
      <w:marLeft w:val="0"/>
      <w:marRight w:val="0"/>
      <w:marTop w:val="0"/>
      <w:marBottom w:val="0"/>
      <w:divBdr>
        <w:top w:val="none" w:sz="0" w:space="0" w:color="auto"/>
        <w:left w:val="none" w:sz="0" w:space="0" w:color="auto"/>
        <w:bottom w:val="none" w:sz="0" w:space="0" w:color="auto"/>
        <w:right w:val="none" w:sz="0" w:space="0" w:color="auto"/>
      </w:divBdr>
    </w:div>
    <w:div w:id="562958343">
      <w:bodyDiv w:val="1"/>
      <w:marLeft w:val="0"/>
      <w:marRight w:val="0"/>
      <w:marTop w:val="0"/>
      <w:marBottom w:val="0"/>
      <w:divBdr>
        <w:top w:val="none" w:sz="0" w:space="0" w:color="auto"/>
        <w:left w:val="none" w:sz="0" w:space="0" w:color="auto"/>
        <w:bottom w:val="none" w:sz="0" w:space="0" w:color="auto"/>
        <w:right w:val="none" w:sz="0" w:space="0" w:color="auto"/>
      </w:divBdr>
    </w:div>
    <w:div w:id="593981018">
      <w:bodyDiv w:val="1"/>
      <w:marLeft w:val="0"/>
      <w:marRight w:val="0"/>
      <w:marTop w:val="0"/>
      <w:marBottom w:val="0"/>
      <w:divBdr>
        <w:top w:val="none" w:sz="0" w:space="0" w:color="auto"/>
        <w:left w:val="none" w:sz="0" w:space="0" w:color="auto"/>
        <w:bottom w:val="none" w:sz="0" w:space="0" w:color="auto"/>
        <w:right w:val="none" w:sz="0" w:space="0" w:color="auto"/>
      </w:divBdr>
    </w:div>
    <w:div w:id="665325922">
      <w:bodyDiv w:val="1"/>
      <w:marLeft w:val="0"/>
      <w:marRight w:val="0"/>
      <w:marTop w:val="0"/>
      <w:marBottom w:val="0"/>
      <w:divBdr>
        <w:top w:val="none" w:sz="0" w:space="0" w:color="auto"/>
        <w:left w:val="none" w:sz="0" w:space="0" w:color="auto"/>
        <w:bottom w:val="none" w:sz="0" w:space="0" w:color="auto"/>
        <w:right w:val="none" w:sz="0" w:space="0" w:color="auto"/>
      </w:divBdr>
    </w:div>
    <w:div w:id="796533202">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47551596">
      <w:bodyDiv w:val="1"/>
      <w:marLeft w:val="0"/>
      <w:marRight w:val="0"/>
      <w:marTop w:val="0"/>
      <w:marBottom w:val="0"/>
      <w:divBdr>
        <w:top w:val="none" w:sz="0" w:space="0" w:color="auto"/>
        <w:left w:val="none" w:sz="0" w:space="0" w:color="auto"/>
        <w:bottom w:val="none" w:sz="0" w:space="0" w:color="auto"/>
        <w:right w:val="none" w:sz="0" w:space="0" w:color="auto"/>
      </w:divBdr>
      <w:divsChild>
        <w:div w:id="447701881">
          <w:marLeft w:val="0"/>
          <w:marRight w:val="0"/>
          <w:marTop w:val="0"/>
          <w:marBottom w:val="0"/>
          <w:divBdr>
            <w:top w:val="none" w:sz="0" w:space="0" w:color="auto"/>
            <w:left w:val="none" w:sz="0" w:space="0" w:color="auto"/>
            <w:bottom w:val="none" w:sz="0" w:space="0" w:color="auto"/>
            <w:right w:val="none" w:sz="0" w:space="0" w:color="auto"/>
          </w:divBdr>
          <w:divsChild>
            <w:div w:id="1651204183">
              <w:marLeft w:val="0"/>
              <w:marRight w:val="0"/>
              <w:marTop w:val="0"/>
              <w:marBottom w:val="0"/>
              <w:divBdr>
                <w:top w:val="none" w:sz="0" w:space="0" w:color="auto"/>
                <w:left w:val="none" w:sz="0" w:space="0" w:color="auto"/>
                <w:bottom w:val="none" w:sz="0" w:space="0" w:color="auto"/>
                <w:right w:val="none" w:sz="0" w:space="0" w:color="auto"/>
              </w:divBdr>
              <w:divsChild>
                <w:div w:id="1343816545">
                  <w:marLeft w:val="0"/>
                  <w:marRight w:val="0"/>
                  <w:marTop w:val="0"/>
                  <w:marBottom w:val="0"/>
                  <w:divBdr>
                    <w:top w:val="none" w:sz="0" w:space="0" w:color="auto"/>
                    <w:left w:val="none" w:sz="0" w:space="0" w:color="auto"/>
                    <w:bottom w:val="none" w:sz="0" w:space="0" w:color="auto"/>
                    <w:right w:val="none" w:sz="0" w:space="0" w:color="auto"/>
                  </w:divBdr>
                  <w:divsChild>
                    <w:div w:id="1177774301">
                      <w:marLeft w:val="0"/>
                      <w:marRight w:val="0"/>
                      <w:marTop w:val="0"/>
                      <w:marBottom w:val="0"/>
                      <w:divBdr>
                        <w:top w:val="none" w:sz="0" w:space="0" w:color="auto"/>
                        <w:left w:val="none" w:sz="0" w:space="0" w:color="auto"/>
                        <w:bottom w:val="none" w:sz="0" w:space="0" w:color="auto"/>
                        <w:right w:val="none" w:sz="0" w:space="0" w:color="auto"/>
                      </w:divBdr>
                      <w:divsChild>
                        <w:div w:id="1297251709">
                          <w:marLeft w:val="0"/>
                          <w:marRight w:val="0"/>
                          <w:marTop w:val="0"/>
                          <w:marBottom w:val="0"/>
                          <w:divBdr>
                            <w:top w:val="none" w:sz="0" w:space="0" w:color="auto"/>
                            <w:left w:val="none" w:sz="0" w:space="0" w:color="auto"/>
                            <w:bottom w:val="none" w:sz="0" w:space="0" w:color="auto"/>
                            <w:right w:val="none" w:sz="0" w:space="0" w:color="auto"/>
                          </w:divBdr>
                        </w:div>
                      </w:divsChild>
                    </w:div>
                    <w:div w:id="239826818">
                      <w:marLeft w:val="0"/>
                      <w:marRight w:val="0"/>
                      <w:marTop w:val="0"/>
                      <w:marBottom w:val="0"/>
                      <w:divBdr>
                        <w:top w:val="none" w:sz="0" w:space="0" w:color="auto"/>
                        <w:left w:val="none" w:sz="0" w:space="0" w:color="auto"/>
                        <w:bottom w:val="none" w:sz="0" w:space="0" w:color="auto"/>
                        <w:right w:val="none" w:sz="0" w:space="0" w:color="auto"/>
                      </w:divBdr>
                      <w:divsChild>
                        <w:div w:id="330447966">
                          <w:marLeft w:val="0"/>
                          <w:marRight w:val="0"/>
                          <w:marTop w:val="0"/>
                          <w:marBottom w:val="0"/>
                          <w:divBdr>
                            <w:top w:val="none" w:sz="0" w:space="0" w:color="auto"/>
                            <w:left w:val="none" w:sz="0" w:space="0" w:color="auto"/>
                            <w:bottom w:val="none" w:sz="0" w:space="0" w:color="auto"/>
                            <w:right w:val="none" w:sz="0" w:space="0" w:color="auto"/>
                          </w:divBdr>
                        </w:div>
                      </w:divsChild>
                    </w:div>
                    <w:div w:id="461774774">
                      <w:marLeft w:val="0"/>
                      <w:marRight w:val="0"/>
                      <w:marTop w:val="0"/>
                      <w:marBottom w:val="0"/>
                      <w:divBdr>
                        <w:top w:val="none" w:sz="0" w:space="0" w:color="auto"/>
                        <w:left w:val="none" w:sz="0" w:space="0" w:color="auto"/>
                        <w:bottom w:val="none" w:sz="0" w:space="0" w:color="auto"/>
                        <w:right w:val="none" w:sz="0" w:space="0" w:color="auto"/>
                      </w:divBdr>
                      <w:divsChild>
                        <w:div w:id="1761215993">
                          <w:marLeft w:val="0"/>
                          <w:marRight w:val="0"/>
                          <w:marTop w:val="0"/>
                          <w:marBottom w:val="0"/>
                          <w:divBdr>
                            <w:top w:val="none" w:sz="0" w:space="0" w:color="auto"/>
                            <w:left w:val="none" w:sz="0" w:space="0" w:color="auto"/>
                            <w:bottom w:val="none" w:sz="0" w:space="0" w:color="auto"/>
                            <w:right w:val="none" w:sz="0" w:space="0" w:color="auto"/>
                          </w:divBdr>
                        </w:div>
                      </w:divsChild>
                    </w:div>
                    <w:div w:id="1646858427">
                      <w:marLeft w:val="0"/>
                      <w:marRight w:val="0"/>
                      <w:marTop w:val="0"/>
                      <w:marBottom w:val="0"/>
                      <w:divBdr>
                        <w:top w:val="none" w:sz="0" w:space="0" w:color="auto"/>
                        <w:left w:val="none" w:sz="0" w:space="0" w:color="auto"/>
                        <w:bottom w:val="none" w:sz="0" w:space="0" w:color="auto"/>
                        <w:right w:val="none" w:sz="0" w:space="0" w:color="auto"/>
                      </w:divBdr>
                      <w:divsChild>
                        <w:div w:id="161817275">
                          <w:marLeft w:val="0"/>
                          <w:marRight w:val="0"/>
                          <w:marTop w:val="0"/>
                          <w:marBottom w:val="0"/>
                          <w:divBdr>
                            <w:top w:val="none" w:sz="0" w:space="0" w:color="auto"/>
                            <w:left w:val="none" w:sz="0" w:space="0" w:color="auto"/>
                            <w:bottom w:val="none" w:sz="0" w:space="0" w:color="auto"/>
                            <w:right w:val="none" w:sz="0" w:space="0" w:color="auto"/>
                          </w:divBdr>
                        </w:div>
                      </w:divsChild>
                    </w:div>
                    <w:div w:id="1403718951">
                      <w:marLeft w:val="0"/>
                      <w:marRight w:val="0"/>
                      <w:marTop w:val="0"/>
                      <w:marBottom w:val="0"/>
                      <w:divBdr>
                        <w:top w:val="none" w:sz="0" w:space="0" w:color="auto"/>
                        <w:left w:val="none" w:sz="0" w:space="0" w:color="auto"/>
                        <w:bottom w:val="none" w:sz="0" w:space="0" w:color="auto"/>
                        <w:right w:val="none" w:sz="0" w:space="0" w:color="auto"/>
                      </w:divBdr>
                      <w:divsChild>
                        <w:div w:id="139566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621488">
      <w:bodyDiv w:val="1"/>
      <w:marLeft w:val="0"/>
      <w:marRight w:val="0"/>
      <w:marTop w:val="0"/>
      <w:marBottom w:val="0"/>
      <w:divBdr>
        <w:top w:val="none" w:sz="0" w:space="0" w:color="auto"/>
        <w:left w:val="none" w:sz="0" w:space="0" w:color="auto"/>
        <w:bottom w:val="none" w:sz="0" w:space="0" w:color="auto"/>
        <w:right w:val="none" w:sz="0" w:space="0" w:color="auto"/>
      </w:divBdr>
    </w:div>
    <w:div w:id="1407023878">
      <w:bodyDiv w:val="1"/>
      <w:marLeft w:val="0"/>
      <w:marRight w:val="0"/>
      <w:marTop w:val="0"/>
      <w:marBottom w:val="0"/>
      <w:divBdr>
        <w:top w:val="none" w:sz="0" w:space="0" w:color="auto"/>
        <w:left w:val="none" w:sz="0" w:space="0" w:color="auto"/>
        <w:bottom w:val="none" w:sz="0" w:space="0" w:color="auto"/>
        <w:right w:val="none" w:sz="0" w:space="0" w:color="auto"/>
      </w:divBdr>
    </w:div>
    <w:div w:id="1434401382">
      <w:bodyDiv w:val="1"/>
      <w:marLeft w:val="0"/>
      <w:marRight w:val="0"/>
      <w:marTop w:val="0"/>
      <w:marBottom w:val="0"/>
      <w:divBdr>
        <w:top w:val="none" w:sz="0" w:space="0" w:color="auto"/>
        <w:left w:val="none" w:sz="0" w:space="0" w:color="auto"/>
        <w:bottom w:val="none" w:sz="0" w:space="0" w:color="auto"/>
        <w:right w:val="none" w:sz="0" w:space="0" w:color="auto"/>
      </w:divBdr>
    </w:div>
    <w:div w:id="1453477818">
      <w:bodyDiv w:val="1"/>
      <w:marLeft w:val="0"/>
      <w:marRight w:val="0"/>
      <w:marTop w:val="0"/>
      <w:marBottom w:val="0"/>
      <w:divBdr>
        <w:top w:val="none" w:sz="0" w:space="0" w:color="auto"/>
        <w:left w:val="none" w:sz="0" w:space="0" w:color="auto"/>
        <w:bottom w:val="none" w:sz="0" w:space="0" w:color="auto"/>
        <w:right w:val="none" w:sz="0" w:space="0" w:color="auto"/>
      </w:divBdr>
    </w:div>
    <w:div w:id="1476408221">
      <w:bodyDiv w:val="1"/>
      <w:marLeft w:val="0"/>
      <w:marRight w:val="0"/>
      <w:marTop w:val="0"/>
      <w:marBottom w:val="0"/>
      <w:divBdr>
        <w:top w:val="none" w:sz="0" w:space="0" w:color="auto"/>
        <w:left w:val="none" w:sz="0" w:space="0" w:color="auto"/>
        <w:bottom w:val="none" w:sz="0" w:space="0" w:color="auto"/>
        <w:right w:val="none" w:sz="0" w:space="0" w:color="auto"/>
      </w:divBdr>
    </w:div>
    <w:div w:id="1537615568">
      <w:bodyDiv w:val="1"/>
      <w:marLeft w:val="0"/>
      <w:marRight w:val="0"/>
      <w:marTop w:val="0"/>
      <w:marBottom w:val="0"/>
      <w:divBdr>
        <w:top w:val="none" w:sz="0" w:space="0" w:color="auto"/>
        <w:left w:val="none" w:sz="0" w:space="0" w:color="auto"/>
        <w:bottom w:val="none" w:sz="0" w:space="0" w:color="auto"/>
        <w:right w:val="none" w:sz="0" w:space="0" w:color="auto"/>
      </w:divBdr>
      <w:divsChild>
        <w:div w:id="1899050333">
          <w:marLeft w:val="0"/>
          <w:marRight w:val="0"/>
          <w:marTop w:val="0"/>
          <w:marBottom w:val="0"/>
          <w:divBdr>
            <w:top w:val="none" w:sz="0" w:space="0" w:color="auto"/>
            <w:left w:val="none" w:sz="0" w:space="0" w:color="auto"/>
            <w:bottom w:val="none" w:sz="0" w:space="0" w:color="auto"/>
            <w:right w:val="none" w:sz="0" w:space="0" w:color="auto"/>
          </w:divBdr>
          <w:divsChild>
            <w:div w:id="195123276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1556043076">
      <w:bodyDiv w:val="1"/>
      <w:marLeft w:val="0"/>
      <w:marRight w:val="0"/>
      <w:marTop w:val="0"/>
      <w:marBottom w:val="0"/>
      <w:divBdr>
        <w:top w:val="none" w:sz="0" w:space="0" w:color="auto"/>
        <w:left w:val="none" w:sz="0" w:space="0" w:color="auto"/>
        <w:bottom w:val="none" w:sz="0" w:space="0" w:color="auto"/>
        <w:right w:val="none" w:sz="0" w:space="0" w:color="auto"/>
      </w:divBdr>
    </w:div>
    <w:div w:id="1641691738">
      <w:bodyDiv w:val="1"/>
      <w:marLeft w:val="0"/>
      <w:marRight w:val="0"/>
      <w:marTop w:val="0"/>
      <w:marBottom w:val="0"/>
      <w:divBdr>
        <w:top w:val="none" w:sz="0" w:space="0" w:color="auto"/>
        <w:left w:val="none" w:sz="0" w:space="0" w:color="auto"/>
        <w:bottom w:val="none" w:sz="0" w:space="0" w:color="auto"/>
        <w:right w:val="none" w:sz="0" w:space="0" w:color="auto"/>
      </w:divBdr>
    </w:div>
    <w:div w:id="1657605344">
      <w:bodyDiv w:val="1"/>
      <w:marLeft w:val="0"/>
      <w:marRight w:val="0"/>
      <w:marTop w:val="0"/>
      <w:marBottom w:val="0"/>
      <w:divBdr>
        <w:top w:val="none" w:sz="0" w:space="0" w:color="auto"/>
        <w:left w:val="none" w:sz="0" w:space="0" w:color="auto"/>
        <w:bottom w:val="none" w:sz="0" w:space="0" w:color="auto"/>
        <w:right w:val="none" w:sz="0" w:space="0" w:color="auto"/>
      </w:divBdr>
    </w:div>
    <w:div w:id="1986622760">
      <w:bodyDiv w:val="1"/>
      <w:marLeft w:val="0"/>
      <w:marRight w:val="0"/>
      <w:marTop w:val="0"/>
      <w:marBottom w:val="0"/>
      <w:divBdr>
        <w:top w:val="none" w:sz="0" w:space="0" w:color="auto"/>
        <w:left w:val="none" w:sz="0" w:space="0" w:color="auto"/>
        <w:bottom w:val="none" w:sz="0" w:space="0" w:color="auto"/>
        <w:right w:val="none" w:sz="0" w:space="0" w:color="auto"/>
      </w:divBdr>
    </w:div>
    <w:div w:id="2029063127">
      <w:bodyDiv w:val="1"/>
      <w:marLeft w:val="0"/>
      <w:marRight w:val="0"/>
      <w:marTop w:val="0"/>
      <w:marBottom w:val="0"/>
      <w:divBdr>
        <w:top w:val="none" w:sz="0" w:space="0" w:color="auto"/>
        <w:left w:val="none" w:sz="0" w:space="0" w:color="auto"/>
        <w:bottom w:val="none" w:sz="0" w:space="0" w:color="auto"/>
        <w:right w:val="none" w:sz="0" w:space="0" w:color="auto"/>
      </w:divBdr>
    </w:div>
    <w:div w:id="2056346230">
      <w:bodyDiv w:val="1"/>
      <w:marLeft w:val="0"/>
      <w:marRight w:val="0"/>
      <w:marTop w:val="0"/>
      <w:marBottom w:val="0"/>
      <w:divBdr>
        <w:top w:val="none" w:sz="0" w:space="0" w:color="auto"/>
        <w:left w:val="none" w:sz="0" w:space="0" w:color="auto"/>
        <w:bottom w:val="none" w:sz="0" w:space="0" w:color="auto"/>
        <w:right w:val="none" w:sz="0" w:space="0" w:color="auto"/>
      </w:divBdr>
    </w:div>
    <w:div w:id="2076270568">
      <w:bodyDiv w:val="1"/>
      <w:marLeft w:val="0"/>
      <w:marRight w:val="0"/>
      <w:marTop w:val="0"/>
      <w:marBottom w:val="0"/>
      <w:divBdr>
        <w:top w:val="none" w:sz="0" w:space="0" w:color="auto"/>
        <w:left w:val="none" w:sz="0" w:space="0" w:color="auto"/>
        <w:bottom w:val="none" w:sz="0" w:space="0" w:color="auto"/>
        <w:right w:val="none" w:sz="0" w:space="0" w:color="auto"/>
      </w:divBdr>
    </w:div>
    <w:div w:id="2108230327">
      <w:bodyDiv w:val="1"/>
      <w:marLeft w:val="0"/>
      <w:marRight w:val="0"/>
      <w:marTop w:val="0"/>
      <w:marBottom w:val="0"/>
      <w:divBdr>
        <w:top w:val="none" w:sz="0" w:space="0" w:color="auto"/>
        <w:left w:val="none" w:sz="0" w:space="0" w:color="auto"/>
        <w:bottom w:val="none" w:sz="0" w:space="0" w:color="auto"/>
        <w:right w:val="none" w:sz="0" w:space="0" w:color="auto"/>
      </w:divBdr>
      <w:divsChild>
        <w:div w:id="496501867">
          <w:marLeft w:val="0"/>
          <w:marRight w:val="0"/>
          <w:marTop w:val="0"/>
          <w:marBottom w:val="0"/>
          <w:divBdr>
            <w:top w:val="none" w:sz="0" w:space="0" w:color="auto"/>
            <w:left w:val="none" w:sz="0" w:space="0" w:color="auto"/>
            <w:bottom w:val="none" w:sz="0" w:space="0" w:color="auto"/>
            <w:right w:val="none" w:sz="0" w:space="0" w:color="auto"/>
          </w:divBdr>
          <w:divsChild>
            <w:div w:id="888608580">
              <w:marLeft w:val="0"/>
              <w:marRight w:val="0"/>
              <w:marTop w:val="0"/>
              <w:marBottom w:val="0"/>
              <w:divBdr>
                <w:top w:val="none" w:sz="0" w:space="0" w:color="auto"/>
                <w:left w:val="none" w:sz="0" w:space="0" w:color="auto"/>
                <w:bottom w:val="none" w:sz="0" w:space="0" w:color="auto"/>
                <w:right w:val="none" w:sz="0" w:space="0" w:color="auto"/>
              </w:divBdr>
              <w:divsChild>
                <w:div w:id="1116830303">
                  <w:marLeft w:val="0"/>
                  <w:marRight w:val="0"/>
                  <w:marTop w:val="0"/>
                  <w:marBottom w:val="0"/>
                  <w:divBdr>
                    <w:top w:val="none" w:sz="0" w:space="0" w:color="auto"/>
                    <w:left w:val="none" w:sz="0" w:space="0" w:color="auto"/>
                    <w:bottom w:val="none" w:sz="0" w:space="0" w:color="auto"/>
                    <w:right w:val="none" w:sz="0" w:space="0" w:color="auto"/>
                  </w:divBdr>
                  <w:divsChild>
                    <w:div w:id="1923100593">
                      <w:marLeft w:val="0"/>
                      <w:marRight w:val="0"/>
                      <w:marTop w:val="0"/>
                      <w:marBottom w:val="0"/>
                      <w:divBdr>
                        <w:top w:val="none" w:sz="0" w:space="0" w:color="auto"/>
                        <w:left w:val="none" w:sz="0" w:space="0" w:color="auto"/>
                        <w:bottom w:val="none" w:sz="0" w:space="0" w:color="auto"/>
                        <w:right w:val="none" w:sz="0" w:space="0" w:color="auto"/>
                      </w:divBdr>
                      <w:divsChild>
                        <w:div w:id="1773092394">
                          <w:marLeft w:val="0"/>
                          <w:marRight w:val="0"/>
                          <w:marTop w:val="0"/>
                          <w:marBottom w:val="0"/>
                          <w:divBdr>
                            <w:top w:val="none" w:sz="0" w:space="0" w:color="auto"/>
                            <w:left w:val="none" w:sz="0" w:space="0" w:color="auto"/>
                            <w:bottom w:val="none" w:sz="0" w:space="0" w:color="auto"/>
                            <w:right w:val="none" w:sz="0" w:space="0" w:color="auto"/>
                          </w:divBdr>
                          <w:divsChild>
                            <w:div w:id="1369796438">
                              <w:marLeft w:val="0"/>
                              <w:marRight w:val="0"/>
                              <w:marTop w:val="0"/>
                              <w:marBottom w:val="0"/>
                              <w:divBdr>
                                <w:top w:val="none" w:sz="0" w:space="0" w:color="auto"/>
                                <w:left w:val="none" w:sz="0" w:space="0" w:color="auto"/>
                                <w:bottom w:val="none" w:sz="0" w:space="0" w:color="auto"/>
                                <w:right w:val="none" w:sz="0" w:space="0" w:color="auto"/>
                              </w:divBdr>
                              <w:divsChild>
                                <w:div w:id="1363674888">
                                  <w:marLeft w:val="0"/>
                                  <w:marRight w:val="0"/>
                                  <w:marTop w:val="0"/>
                                  <w:marBottom w:val="0"/>
                                  <w:divBdr>
                                    <w:top w:val="none" w:sz="0" w:space="0" w:color="auto"/>
                                    <w:left w:val="none" w:sz="0" w:space="0" w:color="auto"/>
                                    <w:bottom w:val="none" w:sz="0" w:space="0" w:color="auto"/>
                                    <w:right w:val="none" w:sz="0" w:space="0" w:color="auto"/>
                                  </w:divBdr>
                                  <w:divsChild>
                                    <w:div w:id="1167016623">
                                      <w:marLeft w:val="0"/>
                                      <w:marRight w:val="0"/>
                                      <w:marTop w:val="0"/>
                                      <w:marBottom w:val="0"/>
                                      <w:divBdr>
                                        <w:top w:val="none" w:sz="0" w:space="0" w:color="auto"/>
                                        <w:left w:val="none" w:sz="0" w:space="0" w:color="auto"/>
                                        <w:bottom w:val="none" w:sz="0" w:space="0" w:color="auto"/>
                                        <w:right w:val="none" w:sz="0" w:space="0" w:color="auto"/>
                                      </w:divBdr>
                                      <w:divsChild>
                                        <w:div w:id="1487165555">
                                          <w:marLeft w:val="0"/>
                                          <w:marRight w:val="0"/>
                                          <w:marTop w:val="0"/>
                                          <w:marBottom w:val="0"/>
                                          <w:divBdr>
                                            <w:top w:val="none" w:sz="0" w:space="0" w:color="auto"/>
                                            <w:left w:val="none" w:sz="0" w:space="0" w:color="auto"/>
                                            <w:bottom w:val="none" w:sz="0" w:space="0" w:color="auto"/>
                                            <w:right w:val="none" w:sz="0" w:space="0" w:color="auto"/>
                                          </w:divBdr>
                                          <w:divsChild>
                                            <w:div w:id="1365979395">
                                              <w:marLeft w:val="0"/>
                                              <w:marRight w:val="0"/>
                                              <w:marTop w:val="0"/>
                                              <w:marBottom w:val="0"/>
                                              <w:divBdr>
                                                <w:top w:val="single" w:sz="12" w:space="2" w:color="FFFFCC"/>
                                                <w:left w:val="single" w:sz="12" w:space="2" w:color="FFFFCC"/>
                                                <w:bottom w:val="single" w:sz="12" w:space="2" w:color="FFFFCC"/>
                                                <w:right w:val="single" w:sz="12" w:space="0" w:color="FFFFCC"/>
                                              </w:divBdr>
                                              <w:divsChild>
                                                <w:div w:id="886528919">
                                                  <w:marLeft w:val="0"/>
                                                  <w:marRight w:val="0"/>
                                                  <w:marTop w:val="0"/>
                                                  <w:marBottom w:val="0"/>
                                                  <w:divBdr>
                                                    <w:top w:val="none" w:sz="0" w:space="0" w:color="auto"/>
                                                    <w:left w:val="none" w:sz="0" w:space="0" w:color="auto"/>
                                                    <w:bottom w:val="none" w:sz="0" w:space="0" w:color="auto"/>
                                                    <w:right w:val="none" w:sz="0" w:space="0" w:color="auto"/>
                                                  </w:divBdr>
                                                  <w:divsChild>
                                                    <w:div w:id="1837458944">
                                                      <w:marLeft w:val="0"/>
                                                      <w:marRight w:val="0"/>
                                                      <w:marTop w:val="0"/>
                                                      <w:marBottom w:val="0"/>
                                                      <w:divBdr>
                                                        <w:top w:val="none" w:sz="0" w:space="0" w:color="auto"/>
                                                        <w:left w:val="none" w:sz="0" w:space="0" w:color="auto"/>
                                                        <w:bottom w:val="none" w:sz="0" w:space="0" w:color="auto"/>
                                                        <w:right w:val="none" w:sz="0" w:space="0" w:color="auto"/>
                                                      </w:divBdr>
                                                      <w:divsChild>
                                                        <w:div w:id="1268275716">
                                                          <w:marLeft w:val="0"/>
                                                          <w:marRight w:val="0"/>
                                                          <w:marTop w:val="0"/>
                                                          <w:marBottom w:val="0"/>
                                                          <w:divBdr>
                                                            <w:top w:val="none" w:sz="0" w:space="0" w:color="auto"/>
                                                            <w:left w:val="none" w:sz="0" w:space="0" w:color="auto"/>
                                                            <w:bottom w:val="none" w:sz="0" w:space="0" w:color="auto"/>
                                                            <w:right w:val="none" w:sz="0" w:space="0" w:color="auto"/>
                                                          </w:divBdr>
                                                          <w:divsChild>
                                                            <w:div w:id="780221663">
                                                              <w:marLeft w:val="0"/>
                                                              <w:marRight w:val="0"/>
                                                              <w:marTop w:val="0"/>
                                                              <w:marBottom w:val="0"/>
                                                              <w:divBdr>
                                                                <w:top w:val="none" w:sz="0" w:space="0" w:color="auto"/>
                                                                <w:left w:val="none" w:sz="0" w:space="0" w:color="auto"/>
                                                                <w:bottom w:val="none" w:sz="0" w:space="0" w:color="auto"/>
                                                                <w:right w:val="none" w:sz="0" w:space="0" w:color="auto"/>
                                                              </w:divBdr>
                                                              <w:divsChild>
                                                                <w:div w:id="109663746">
                                                                  <w:marLeft w:val="0"/>
                                                                  <w:marRight w:val="0"/>
                                                                  <w:marTop w:val="0"/>
                                                                  <w:marBottom w:val="0"/>
                                                                  <w:divBdr>
                                                                    <w:top w:val="none" w:sz="0" w:space="0" w:color="auto"/>
                                                                    <w:left w:val="none" w:sz="0" w:space="0" w:color="auto"/>
                                                                    <w:bottom w:val="none" w:sz="0" w:space="0" w:color="auto"/>
                                                                    <w:right w:val="none" w:sz="0" w:space="0" w:color="auto"/>
                                                                  </w:divBdr>
                                                                  <w:divsChild>
                                                                    <w:div w:id="241916149">
                                                                      <w:marLeft w:val="0"/>
                                                                      <w:marRight w:val="0"/>
                                                                      <w:marTop w:val="0"/>
                                                                      <w:marBottom w:val="0"/>
                                                                      <w:divBdr>
                                                                        <w:top w:val="none" w:sz="0" w:space="0" w:color="auto"/>
                                                                        <w:left w:val="none" w:sz="0" w:space="0" w:color="auto"/>
                                                                        <w:bottom w:val="none" w:sz="0" w:space="0" w:color="auto"/>
                                                                        <w:right w:val="none" w:sz="0" w:space="0" w:color="auto"/>
                                                                      </w:divBdr>
                                                                      <w:divsChild>
                                                                        <w:div w:id="486284067">
                                                                          <w:marLeft w:val="0"/>
                                                                          <w:marRight w:val="0"/>
                                                                          <w:marTop w:val="0"/>
                                                                          <w:marBottom w:val="0"/>
                                                                          <w:divBdr>
                                                                            <w:top w:val="none" w:sz="0" w:space="0" w:color="auto"/>
                                                                            <w:left w:val="none" w:sz="0" w:space="0" w:color="auto"/>
                                                                            <w:bottom w:val="none" w:sz="0" w:space="0" w:color="auto"/>
                                                                            <w:right w:val="none" w:sz="0" w:space="0" w:color="auto"/>
                                                                          </w:divBdr>
                                                                          <w:divsChild>
                                                                            <w:div w:id="292446596">
                                                                              <w:marLeft w:val="0"/>
                                                                              <w:marRight w:val="0"/>
                                                                              <w:marTop w:val="0"/>
                                                                              <w:marBottom w:val="0"/>
                                                                              <w:divBdr>
                                                                                <w:top w:val="none" w:sz="0" w:space="0" w:color="auto"/>
                                                                                <w:left w:val="none" w:sz="0" w:space="0" w:color="auto"/>
                                                                                <w:bottom w:val="none" w:sz="0" w:space="0" w:color="auto"/>
                                                                                <w:right w:val="none" w:sz="0" w:space="0" w:color="auto"/>
                                                                              </w:divBdr>
                                                                              <w:divsChild>
                                                                                <w:div w:id="2068336379">
                                                                                  <w:marLeft w:val="0"/>
                                                                                  <w:marRight w:val="0"/>
                                                                                  <w:marTop w:val="0"/>
                                                                                  <w:marBottom w:val="0"/>
                                                                                  <w:divBdr>
                                                                                    <w:top w:val="none" w:sz="0" w:space="0" w:color="auto"/>
                                                                                    <w:left w:val="none" w:sz="0" w:space="0" w:color="auto"/>
                                                                                    <w:bottom w:val="none" w:sz="0" w:space="0" w:color="auto"/>
                                                                                    <w:right w:val="none" w:sz="0" w:space="0" w:color="auto"/>
                                                                                  </w:divBdr>
                                                                                  <w:divsChild>
                                                                                    <w:div w:id="1951934473">
                                                                                      <w:marLeft w:val="0"/>
                                                                                      <w:marRight w:val="0"/>
                                                                                      <w:marTop w:val="0"/>
                                                                                      <w:marBottom w:val="0"/>
                                                                                      <w:divBdr>
                                                                                        <w:top w:val="none" w:sz="0" w:space="0" w:color="auto"/>
                                                                                        <w:left w:val="none" w:sz="0" w:space="0" w:color="auto"/>
                                                                                        <w:bottom w:val="none" w:sz="0" w:space="0" w:color="auto"/>
                                                                                        <w:right w:val="none" w:sz="0" w:space="0" w:color="auto"/>
                                                                                      </w:divBdr>
                                                                                      <w:divsChild>
                                                                                        <w:div w:id="1447895519">
                                                                                          <w:marLeft w:val="0"/>
                                                                                          <w:marRight w:val="120"/>
                                                                                          <w:marTop w:val="0"/>
                                                                                          <w:marBottom w:val="150"/>
                                                                                          <w:divBdr>
                                                                                            <w:top w:val="single" w:sz="2" w:space="0" w:color="EFEFEF"/>
                                                                                            <w:left w:val="single" w:sz="6" w:space="0" w:color="EFEFEF"/>
                                                                                            <w:bottom w:val="single" w:sz="6" w:space="0" w:color="E2E2E2"/>
                                                                                            <w:right w:val="single" w:sz="6" w:space="0" w:color="EFEFEF"/>
                                                                                          </w:divBdr>
                                                                                          <w:divsChild>
                                                                                            <w:div w:id="1581594697">
                                                                                              <w:marLeft w:val="0"/>
                                                                                              <w:marRight w:val="0"/>
                                                                                              <w:marTop w:val="0"/>
                                                                                              <w:marBottom w:val="0"/>
                                                                                              <w:divBdr>
                                                                                                <w:top w:val="none" w:sz="0" w:space="0" w:color="auto"/>
                                                                                                <w:left w:val="none" w:sz="0" w:space="0" w:color="auto"/>
                                                                                                <w:bottom w:val="none" w:sz="0" w:space="0" w:color="auto"/>
                                                                                                <w:right w:val="none" w:sz="0" w:space="0" w:color="auto"/>
                                                                                              </w:divBdr>
                                                                                              <w:divsChild>
                                                                                                <w:div w:id="1895660532">
                                                                                                  <w:marLeft w:val="0"/>
                                                                                                  <w:marRight w:val="0"/>
                                                                                                  <w:marTop w:val="0"/>
                                                                                                  <w:marBottom w:val="0"/>
                                                                                                  <w:divBdr>
                                                                                                    <w:top w:val="none" w:sz="0" w:space="0" w:color="auto"/>
                                                                                                    <w:left w:val="none" w:sz="0" w:space="0" w:color="auto"/>
                                                                                                    <w:bottom w:val="none" w:sz="0" w:space="0" w:color="auto"/>
                                                                                                    <w:right w:val="none" w:sz="0" w:space="0" w:color="auto"/>
                                                                                                  </w:divBdr>
                                                                                                  <w:divsChild>
                                                                                                    <w:div w:id="802697346">
                                                                                                      <w:marLeft w:val="0"/>
                                                                                                      <w:marRight w:val="0"/>
                                                                                                      <w:marTop w:val="0"/>
                                                                                                      <w:marBottom w:val="0"/>
                                                                                                      <w:divBdr>
                                                                                                        <w:top w:val="none" w:sz="0" w:space="0" w:color="auto"/>
                                                                                                        <w:left w:val="none" w:sz="0" w:space="0" w:color="auto"/>
                                                                                                        <w:bottom w:val="none" w:sz="0" w:space="0" w:color="auto"/>
                                                                                                        <w:right w:val="none" w:sz="0" w:space="0" w:color="auto"/>
                                                                                                      </w:divBdr>
                                                                                                      <w:divsChild>
                                                                                                        <w:div w:id="884294098">
                                                                                                          <w:marLeft w:val="0"/>
                                                                                                          <w:marRight w:val="0"/>
                                                                                                          <w:marTop w:val="0"/>
                                                                                                          <w:marBottom w:val="0"/>
                                                                                                          <w:divBdr>
                                                                                                            <w:top w:val="none" w:sz="0" w:space="0" w:color="auto"/>
                                                                                                            <w:left w:val="none" w:sz="0" w:space="0" w:color="auto"/>
                                                                                                            <w:bottom w:val="none" w:sz="0" w:space="0" w:color="auto"/>
                                                                                                            <w:right w:val="none" w:sz="0" w:space="0" w:color="auto"/>
                                                                                                          </w:divBdr>
                                                                                                          <w:divsChild>
                                                                                                            <w:div w:id="238901702">
                                                                                                              <w:marLeft w:val="0"/>
                                                                                                              <w:marRight w:val="0"/>
                                                                                                              <w:marTop w:val="0"/>
                                                                                                              <w:marBottom w:val="0"/>
                                                                                                              <w:divBdr>
                                                                                                                <w:top w:val="single" w:sz="2" w:space="4" w:color="D8D8D8"/>
                                                                                                                <w:left w:val="single" w:sz="2" w:space="0" w:color="D8D8D8"/>
                                                                                                                <w:bottom w:val="single" w:sz="2" w:space="4" w:color="D8D8D8"/>
                                                                                                                <w:right w:val="single" w:sz="2" w:space="0" w:color="D8D8D8"/>
                                                                                                              </w:divBdr>
                                                                                                              <w:divsChild>
                                                                                                                <w:div w:id="1226068945">
                                                                                                                  <w:marLeft w:val="225"/>
                                                                                                                  <w:marRight w:val="225"/>
                                                                                                                  <w:marTop w:val="75"/>
                                                                                                                  <w:marBottom w:val="75"/>
                                                                                                                  <w:divBdr>
                                                                                                                    <w:top w:val="none" w:sz="0" w:space="0" w:color="auto"/>
                                                                                                                    <w:left w:val="none" w:sz="0" w:space="0" w:color="auto"/>
                                                                                                                    <w:bottom w:val="none" w:sz="0" w:space="0" w:color="auto"/>
                                                                                                                    <w:right w:val="none" w:sz="0" w:space="0" w:color="auto"/>
                                                                                                                  </w:divBdr>
                                                                                                                  <w:divsChild>
                                                                                                                    <w:div w:id="1933006472">
                                                                                                                      <w:marLeft w:val="0"/>
                                                                                                                      <w:marRight w:val="0"/>
                                                                                                                      <w:marTop w:val="0"/>
                                                                                                                      <w:marBottom w:val="0"/>
                                                                                                                      <w:divBdr>
                                                                                                                        <w:top w:val="single" w:sz="6" w:space="0" w:color="auto"/>
                                                                                                                        <w:left w:val="single" w:sz="6" w:space="0" w:color="auto"/>
                                                                                                                        <w:bottom w:val="single" w:sz="6" w:space="0" w:color="auto"/>
                                                                                                                        <w:right w:val="single" w:sz="6" w:space="0" w:color="auto"/>
                                                                                                                      </w:divBdr>
                                                                                                                      <w:divsChild>
                                                                                                                        <w:div w:id="620692847">
                                                                                                                          <w:marLeft w:val="0"/>
                                                                                                                          <w:marRight w:val="0"/>
                                                                                                                          <w:marTop w:val="0"/>
                                                                                                                          <w:marBottom w:val="0"/>
                                                                                                                          <w:divBdr>
                                                                                                                            <w:top w:val="none" w:sz="0" w:space="0" w:color="auto"/>
                                                                                                                            <w:left w:val="none" w:sz="0" w:space="0" w:color="auto"/>
                                                                                                                            <w:bottom w:val="none" w:sz="0" w:space="0" w:color="auto"/>
                                                                                                                            <w:right w:val="none" w:sz="0" w:space="0" w:color="auto"/>
                                                                                                                          </w:divBdr>
                                                                                                                          <w:divsChild>
                                                                                                                            <w:div w:id="6576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image" Target="media/image10.emf"/><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13.emf"/><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aemo.com.au"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5106B1-1A06-4134-A632-2D042D80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ECC0FB9E</Template>
  <TotalTime>0</TotalTime>
  <Pages>29</Pages>
  <Words>6498</Words>
  <Characters>37042</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2016-11-29T02:39:00Z</dcterms:created>
  <dcterms:modified xsi:type="dcterms:W3CDTF">2016-11-29T02:39:00Z</dcterms:modified>
</cp:coreProperties>
</file>