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BA14FE" w:rsidP="00290C63">
          <w:r w:rsidRPr="00BA14FE">
            <w:rPr>
              <w:noProof/>
              <w:lang w:eastAsia="en-AU"/>
            </w:rPr>
            <w:drawing>
              <wp:anchor distT="0" distB="0" distL="114300" distR="114300" simplePos="0" relativeHeight="251659264" behindDoc="1" locked="0" layoutInCell="1" allowOverlap="1" wp14:anchorId="235C172A" wp14:editId="1EF15ADC">
                <wp:simplePos x="0" y="0"/>
                <wp:positionH relativeFrom="column">
                  <wp:posOffset>-1098341</wp:posOffset>
                </wp:positionH>
                <wp:positionV relativeFrom="paragraph">
                  <wp:posOffset>-919584</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8F24D9" w:rsidRDefault="008F24D9" w:rsidP="008F24D9">
          <w:pPr>
            <w:pStyle w:val="ReportTitle"/>
          </w:pPr>
          <w:r>
            <w:t>EXPLANATORY STATEMENT</w:t>
          </w:r>
        </w:p>
        <w:p w:rsidR="00415F31" w:rsidRPr="008F24D9" w:rsidRDefault="008F24D9" w:rsidP="008F24D9">
          <w:pPr>
            <w:pStyle w:val="ReportTitle"/>
          </w:pPr>
          <w:r w:rsidRPr="008F24D9">
            <w:t xml:space="preserve">Draft </w:t>
          </w:r>
          <w:r w:rsidR="000F6BCE">
            <w:t>D</w:t>
          </w:r>
          <w:r w:rsidRPr="008F24D9">
            <w:t xml:space="preserve">istribution </w:t>
          </w:r>
          <w:r w:rsidR="00C94815">
            <w:t>R</w:t>
          </w:r>
          <w:r w:rsidRPr="008F24D9">
            <w:t>elia</w:t>
          </w:r>
          <w:r w:rsidR="00C94815">
            <w:t>b</w:t>
          </w:r>
          <w:r w:rsidRPr="008F24D9">
            <w:t>ility Measures Guidelines</w:t>
          </w:r>
        </w:p>
        <w:p w:rsidR="008F07A3" w:rsidRPr="000A6C7B" w:rsidRDefault="008F07A3" w:rsidP="008F07A3">
          <w:pPr>
            <w:pStyle w:val="ReportSubtitle"/>
          </w:pPr>
        </w:p>
        <w:p w:rsidR="000A6C7B" w:rsidRPr="00327A1E" w:rsidRDefault="006B0E19" w:rsidP="00327A1E">
          <w:pPr>
            <w:pStyle w:val="ReportDate"/>
          </w:pPr>
          <w:r>
            <w:t>June</w:t>
          </w:r>
          <w:r w:rsidR="005C0A7F">
            <w:t xml:space="preserve"> </w:t>
          </w:r>
          <w:r w:rsidR="00BA14FE">
            <w:t>2017</w:t>
          </w:r>
        </w:p>
      </w:sdtContent>
    </w:sdt>
    <w:p w:rsidR="00327A1E" w:rsidRPr="00290C63" w:rsidRDefault="00327A1E" w:rsidP="00290C63">
      <w:r>
        <w:br w:type="page"/>
      </w:r>
    </w:p>
    <w:p w:rsidR="000A6C7B" w:rsidRDefault="00BA14FE" w:rsidP="00961A4A">
      <w:pPr>
        <w:pStyle w:val="Copyright"/>
      </w:pPr>
      <w:r>
        <w:lastRenderedPageBreak/>
        <w:t>© Commonwealth of Australia 2017</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D03395" w:rsidRDefault="000A6C7B" w:rsidP="00B9562D">
      <w:pPr>
        <w:pStyle w:val="Copyright"/>
      </w:pPr>
      <w:r>
        <w:t>Tel:</w:t>
      </w:r>
      <w:r w:rsidR="00E6079C">
        <w:t xml:space="preserve"> 1300 585 165</w:t>
      </w:r>
      <w:r w:rsidR="00951978">
        <w:br/>
      </w:r>
      <w:r>
        <w:t xml:space="preserve">Email: </w:t>
      </w:r>
      <w:hyperlink r:id="rId11" w:history="1">
        <w:r w:rsidRPr="00D64888">
          <w:rPr>
            <w:rStyle w:val="Hyperlink"/>
          </w:rPr>
          <w:t>AERInquiry@aer.gov.au</w:t>
        </w:r>
      </w:hyperlink>
      <w:r w:rsidR="00951978">
        <w:rPr>
          <w:rStyle w:val="Hyperlink"/>
        </w:rPr>
        <w:br/>
      </w:r>
    </w:p>
    <w:p w:rsidR="00D03395" w:rsidRDefault="00D03395">
      <w:pPr>
        <w:spacing w:line="240" w:lineRule="auto"/>
        <w:rPr>
          <w:sz w:val="20"/>
          <w:szCs w:val="20"/>
        </w:rPr>
      </w:pPr>
      <w:r>
        <w:br w:type="page"/>
      </w:r>
    </w:p>
    <w:p w:rsidR="008F24D9" w:rsidRPr="008A6D43" w:rsidRDefault="008F24D9" w:rsidP="008A6D43">
      <w:pPr>
        <w:pStyle w:val="Heading1"/>
        <w:rPr>
          <w:rStyle w:val="Strong"/>
          <w:b/>
          <w:bCs/>
        </w:rPr>
      </w:pPr>
      <w:bookmarkStart w:id="1" w:name="_Toc470005473"/>
      <w:bookmarkStart w:id="2" w:name="_Toc485812893"/>
      <w:bookmarkStart w:id="3" w:name="_Toc432083534"/>
      <w:bookmarkStart w:id="4" w:name="_Toc433787709"/>
      <w:bookmarkStart w:id="5" w:name="_Toc462823940"/>
      <w:bookmarkStart w:id="6" w:name="_Toc404354899"/>
      <w:bookmarkStart w:id="7" w:name="_Toc404353070"/>
      <w:bookmarkStart w:id="8" w:name="_Toc404684201"/>
      <w:bookmarkStart w:id="9" w:name="_Toc404700923"/>
      <w:r w:rsidRPr="008A6D43">
        <w:rPr>
          <w:rStyle w:val="Strong"/>
          <w:b/>
          <w:bCs/>
        </w:rPr>
        <w:lastRenderedPageBreak/>
        <w:t>About this consultation</w:t>
      </w:r>
      <w:bookmarkEnd w:id="1"/>
      <w:bookmarkEnd w:id="2"/>
    </w:p>
    <w:p w:rsidR="008F24D9" w:rsidRPr="008F24D9" w:rsidRDefault="008F24D9" w:rsidP="008F24D9">
      <w:pPr>
        <w:rPr>
          <w:rStyle w:val="CommentReference"/>
        </w:rPr>
      </w:pPr>
      <w:r w:rsidRPr="008F24D9">
        <w:t>This explanatory statement represents our second consultation with stakeholders on</w:t>
      </w:r>
      <w:r w:rsidR="000F6BCE">
        <w:t xml:space="preserve"> the</w:t>
      </w:r>
      <w:r w:rsidRPr="008F24D9">
        <w:t xml:space="preserve"> development of a Distribution Reliability Measures Guidelines</w:t>
      </w:r>
      <w:r w:rsidR="000F6BCE">
        <w:t xml:space="preserve"> (Guideline)</w:t>
      </w:r>
      <w:r w:rsidRPr="008F24D9">
        <w:t>.</w:t>
      </w:r>
      <w:r w:rsidRPr="008F24D9" w:rsidDel="00E86E7A">
        <w:rPr>
          <w:rStyle w:val="CommentReference"/>
        </w:rPr>
        <w:t xml:space="preserve"> </w:t>
      </w:r>
    </w:p>
    <w:p w:rsidR="008F24D9" w:rsidRPr="008F24D9" w:rsidRDefault="008F24D9" w:rsidP="008F24D9">
      <w:r w:rsidRPr="008F24D9">
        <w:t xml:space="preserve">The purpose of the </w:t>
      </w:r>
      <w:r w:rsidR="000F6BCE">
        <w:t>G</w:t>
      </w:r>
      <w:r w:rsidRPr="008F24D9">
        <w:t xml:space="preserve">uideline is to specify a set of common definitions of </w:t>
      </w:r>
      <w:r w:rsidR="000F6BCE">
        <w:t xml:space="preserve">distribution </w:t>
      </w:r>
      <w:r w:rsidRPr="008F24D9">
        <w:t>reliability measures that can be used to assess and compare the reliability performance of distributors.</w:t>
      </w:r>
      <w:r w:rsidRPr="008F24D9">
        <w:rPr>
          <w:rStyle w:val="FootnoteReference"/>
        </w:rPr>
        <w:footnoteReference w:id="1"/>
      </w:r>
      <w:r w:rsidRPr="008F24D9">
        <w:t xml:space="preserve"> We are developing the </w:t>
      </w:r>
      <w:r w:rsidR="00904074">
        <w:t>G</w:t>
      </w:r>
      <w:r w:rsidRPr="008F24D9">
        <w:t xml:space="preserve">uideline in response to </w:t>
      </w:r>
      <w:r w:rsidR="00F94ADE">
        <w:t xml:space="preserve">a new NER requirement (rule 6.28) following the </w:t>
      </w:r>
      <w:r w:rsidRPr="008F24D9">
        <w:t xml:space="preserve">recommendations made by the Australian Energy Market Commission </w:t>
      </w:r>
      <w:r w:rsidR="00E60FE1">
        <w:t>(AEMC)</w:t>
      </w:r>
      <w:r w:rsidR="00F94ADE">
        <w:t xml:space="preserve"> to</w:t>
      </w:r>
      <w:r w:rsidRPr="008F24D9">
        <w:t xml:space="preserve"> the Council of Australian Governments Energy Council.</w:t>
      </w:r>
      <w:r w:rsidRPr="008F24D9">
        <w:rPr>
          <w:rStyle w:val="FootnoteReference"/>
        </w:rPr>
        <w:footnoteReference w:id="2"/>
      </w:r>
      <w:r w:rsidRPr="008F24D9" w:rsidDel="006C7F40">
        <w:t xml:space="preserve"> </w:t>
      </w:r>
      <w:r w:rsidRPr="008F24D9">
        <w:t xml:space="preserve"> </w:t>
      </w:r>
    </w:p>
    <w:p w:rsidR="008F24D9" w:rsidRPr="008F24D9" w:rsidRDefault="008F24D9" w:rsidP="008F24D9">
      <w:r w:rsidRPr="008F24D9">
        <w:t xml:space="preserve">In developing the </w:t>
      </w:r>
      <w:r w:rsidR="000F6BCE">
        <w:t>G</w:t>
      </w:r>
      <w:r w:rsidRPr="008F24D9">
        <w:t>uideline, we must have regard to</w:t>
      </w:r>
      <w:r w:rsidR="000F6BCE">
        <w:t xml:space="preserve"> the AEMC's recommendations and</w:t>
      </w:r>
      <w:r w:rsidRPr="008F24D9">
        <w:t xml:space="preserve"> our service target performance incentive scheme (STPIS)</w:t>
      </w:r>
      <w:r w:rsidR="00E60FE1">
        <w:t xml:space="preserve"> </w:t>
      </w:r>
      <w:r w:rsidRPr="008F24D9">
        <w:t>because</w:t>
      </w:r>
      <w:r w:rsidR="00E60FE1">
        <w:t xml:space="preserve"> the STPIS has significant influence on distributors' performance outcomes.</w:t>
      </w:r>
      <w:r w:rsidRPr="008F24D9">
        <w:t xml:space="preserve"> </w:t>
      </w:r>
      <w:r w:rsidR="00E60FE1">
        <w:t xml:space="preserve"> </w:t>
      </w:r>
    </w:p>
    <w:p w:rsidR="008F24D9" w:rsidRPr="008F24D9" w:rsidRDefault="008F24D9" w:rsidP="008F24D9">
      <w:r w:rsidRPr="008F24D9">
        <w:t xml:space="preserve">Our proposed timelines are set out Section </w:t>
      </w:r>
      <w:r w:rsidRPr="008F24D9">
        <w:fldChar w:fldCharType="begin"/>
      </w:r>
      <w:r w:rsidRPr="008F24D9">
        <w:instrText xml:space="preserve"> REF _Ref470003290 \r \h </w:instrText>
      </w:r>
      <w:r w:rsidRPr="008F24D9">
        <w:fldChar w:fldCharType="separate"/>
      </w:r>
      <w:r w:rsidR="001C7706">
        <w:t>1.2</w:t>
      </w:r>
      <w:r w:rsidRPr="008F24D9">
        <w:fldChar w:fldCharType="end"/>
      </w:r>
      <w:r w:rsidRPr="008F24D9">
        <w:t xml:space="preserve"> below. </w:t>
      </w:r>
    </w:p>
    <w:p w:rsidR="008F24D9" w:rsidRPr="008A6D43" w:rsidRDefault="008F24D9" w:rsidP="008A6D43">
      <w:pPr>
        <w:pStyle w:val="Heading2"/>
        <w:rPr>
          <w:rStyle w:val="Strong"/>
          <w:b/>
          <w:bCs/>
        </w:rPr>
      </w:pPr>
      <w:bookmarkStart w:id="10" w:name="_Toc470005474"/>
      <w:bookmarkStart w:id="11" w:name="_Toc485812894"/>
      <w:r w:rsidRPr="008A6D43">
        <w:rPr>
          <w:rStyle w:val="Strong"/>
          <w:b/>
          <w:bCs/>
        </w:rPr>
        <w:t>How to make a submission</w:t>
      </w:r>
      <w:bookmarkEnd w:id="10"/>
      <w:bookmarkEnd w:id="11"/>
    </w:p>
    <w:p w:rsidR="008F24D9" w:rsidRPr="00575E43" w:rsidRDefault="008F24D9" w:rsidP="008F24D9">
      <w:pPr>
        <w:rPr>
          <w:rStyle w:val="AERbody"/>
        </w:rPr>
      </w:pPr>
      <w:r w:rsidRPr="008F24D9">
        <w:t xml:space="preserve">Energy consumers and </w:t>
      </w:r>
      <w:r w:rsidRPr="008F24D9">
        <w:rPr>
          <w:rStyle w:val="AERbody"/>
        </w:rPr>
        <w:t xml:space="preserve">other interested parties are invited to make submissions on this </w:t>
      </w:r>
      <w:r w:rsidR="00EA2707">
        <w:rPr>
          <w:rStyle w:val="AERbody"/>
        </w:rPr>
        <w:t>Draft Guideline</w:t>
      </w:r>
      <w:r w:rsidRPr="00575E43">
        <w:rPr>
          <w:rStyle w:val="AERbody"/>
        </w:rPr>
        <w:t xml:space="preserve"> by </w:t>
      </w:r>
      <w:r w:rsidR="00E60FE1" w:rsidRPr="00575E43">
        <w:rPr>
          <w:rStyle w:val="AERbody"/>
        </w:rPr>
        <w:t>1</w:t>
      </w:r>
      <w:r w:rsidR="007859B7">
        <w:rPr>
          <w:rStyle w:val="AERbody"/>
        </w:rPr>
        <w:t>1</w:t>
      </w:r>
      <w:r w:rsidR="00E60FE1" w:rsidRPr="00575E43">
        <w:rPr>
          <w:rStyle w:val="AERbody"/>
        </w:rPr>
        <w:t xml:space="preserve"> August</w:t>
      </w:r>
      <w:r w:rsidRPr="00575E43">
        <w:rPr>
          <w:rStyle w:val="AERbody"/>
        </w:rPr>
        <w:t xml:space="preserve"> 2017. </w:t>
      </w:r>
    </w:p>
    <w:p w:rsidR="008F24D9" w:rsidRPr="008F24D9" w:rsidRDefault="008F24D9" w:rsidP="008F24D9">
      <w:pPr>
        <w:rPr>
          <w:rStyle w:val="AERbody"/>
        </w:rPr>
      </w:pPr>
      <w:r w:rsidRPr="008F24D9">
        <w:rPr>
          <w:rStyle w:val="AERbody"/>
        </w:rPr>
        <w:t>In each section</w:t>
      </w:r>
      <w:r w:rsidR="000F6BCE">
        <w:rPr>
          <w:rStyle w:val="AERbody"/>
        </w:rPr>
        <w:t xml:space="preserve"> below</w:t>
      </w:r>
      <w:r w:rsidRPr="008F24D9">
        <w:rPr>
          <w:rStyle w:val="AERbody"/>
        </w:rPr>
        <w:t xml:space="preserve">, we outline our reasoning to support or to depart </w:t>
      </w:r>
      <w:r w:rsidR="000F6BCE">
        <w:rPr>
          <w:rStyle w:val="AERbody"/>
        </w:rPr>
        <w:t xml:space="preserve">from </w:t>
      </w:r>
      <w:r w:rsidRPr="008F24D9">
        <w:rPr>
          <w:rStyle w:val="AERbody"/>
        </w:rPr>
        <w:t xml:space="preserve">the AEMC's recommended definitions on </w:t>
      </w:r>
      <w:r w:rsidR="00904074">
        <w:rPr>
          <w:rStyle w:val="AERbody"/>
        </w:rPr>
        <w:t xml:space="preserve">distribution </w:t>
      </w:r>
      <w:r w:rsidRPr="008F24D9">
        <w:rPr>
          <w:rStyle w:val="AERbody"/>
        </w:rPr>
        <w:t xml:space="preserve">reliability measures. On these issues we seek and encourage you to address any matters of relevance. </w:t>
      </w:r>
    </w:p>
    <w:p w:rsidR="008F24D9" w:rsidRPr="008F24D9" w:rsidRDefault="008F24D9" w:rsidP="008F24D9">
      <w:r w:rsidRPr="008F24D9">
        <w:t xml:space="preserve">We prefer that all submissions are in Microsoft Word or another text readable document format. Submissions on our </w:t>
      </w:r>
      <w:r w:rsidR="00EA2707">
        <w:t>Draft Guideline</w:t>
      </w:r>
      <w:r w:rsidRPr="008F24D9">
        <w:t xml:space="preserve"> should be sent to:  </w:t>
      </w:r>
      <w:hyperlink r:id="rId12" w:history="1">
        <w:r w:rsidRPr="008F24D9">
          <w:rPr>
            <w:rStyle w:val="Hyperlink"/>
          </w:rPr>
          <w:t>AERInquiry@aer.gov.au</w:t>
        </w:r>
      </w:hyperlink>
      <w:r w:rsidRPr="008F24D9">
        <w:rPr>
          <w:rStyle w:val="Hyperlink"/>
        </w:rPr>
        <w:t>.</w:t>
      </w:r>
    </w:p>
    <w:p w:rsidR="008F24D9" w:rsidRPr="008F24D9" w:rsidRDefault="008F24D9" w:rsidP="008F24D9">
      <w:r w:rsidRPr="008F24D9">
        <w:t>Alternatively, submissions can be sent to:</w:t>
      </w:r>
    </w:p>
    <w:p w:rsidR="008F24D9" w:rsidRPr="008F24D9" w:rsidRDefault="008F24D9" w:rsidP="008F24D9">
      <w:r w:rsidRPr="008F24D9">
        <w:t>Mr Chris Pattas</w:t>
      </w:r>
      <w:r w:rsidRPr="008F24D9">
        <w:br/>
        <w:t>General Manager</w:t>
      </w:r>
      <w:r w:rsidRPr="008F24D9">
        <w:br/>
        <w:t>Australian Energy Reg</w:t>
      </w:r>
      <w:r w:rsidR="009E03F8">
        <w:t>ulator</w:t>
      </w:r>
      <w:r w:rsidR="009E03F8">
        <w:br/>
        <w:t>GPO Box 520</w:t>
      </w:r>
      <w:r w:rsidR="009E03F8">
        <w:br/>
        <w:t>Melbourne VIC</w:t>
      </w:r>
      <w:r w:rsidRPr="008F24D9">
        <w:t xml:space="preserve"> 3001</w:t>
      </w:r>
    </w:p>
    <w:p w:rsidR="008F24D9" w:rsidRPr="008F24D9" w:rsidRDefault="008F24D9" w:rsidP="008F24D9">
      <w:r w:rsidRPr="008F24D9">
        <w:t>We prefer that all submissions be publicly available to facilitate an informed and transparent consultative process. Submissions will be treated as public documents unless otherwise requested. Parties wishing to submit confidential information should:</w:t>
      </w:r>
    </w:p>
    <w:p w:rsidR="008F24D9" w:rsidRPr="008F24D9" w:rsidRDefault="008F24D9" w:rsidP="008A6D43">
      <w:pPr>
        <w:pStyle w:val="ListNumber"/>
      </w:pPr>
      <w:r w:rsidRPr="008F24D9">
        <w:t>clearly identify the information that is the subject of the confidentiality claim</w:t>
      </w:r>
    </w:p>
    <w:p w:rsidR="008F24D9" w:rsidRPr="008F24D9" w:rsidRDefault="008F24D9" w:rsidP="008A6D43">
      <w:pPr>
        <w:pStyle w:val="ListNumber"/>
      </w:pPr>
      <w:r w:rsidRPr="008F24D9">
        <w:lastRenderedPageBreak/>
        <w:t>provide a non-confidential version of the submission in a form suitable for publication.</w:t>
      </w:r>
    </w:p>
    <w:p w:rsidR="008F24D9" w:rsidRPr="008F24D9" w:rsidRDefault="008F24D9" w:rsidP="008F24D9">
      <w:r w:rsidRPr="008F24D9">
        <w:t>All non-confidential submissions will be placed on our website. For further information regarding our use and disclosure of information provided to us, see the ACCC/AER Information Policy (October 2008), which is available on our website.</w:t>
      </w:r>
    </w:p>
    <w:p w:rsidR="008F24D9" w:rsidRPr="008F24D9" w:rsidRDefault="008F24D9" w:rsidP="008F24D9">
      <w:pPr>
        <w:pStyle w:val="Heading2"/>
      </w:pPr>
      <w:r w:rsidRPr="008F24D9">
        <w:t xml:space="preserve"> </w:t>
      </w:r>
      <w:bookmarkStart w:id="12" w:name="_Ref470003290"/>
      <w:bookmarkStart w:id="13" w:name="_Toc470005475"/>
      <w:bookmarkStart w:id="14" w:name="_Toc485812895"/>
      <w:r w:rsidRPr="008F24D9">
        <w:t>Timelines</w:t>
      </w:r>
      <w:bookmarkEnd w:id="12"/>
      <w:bookmarkEnd w:id="13"/>
      <w:bookmarkEnd w:id="14"/>
      <w:r w:rsidRPr="008F24D9">
        <w:t xml:space="preserve">  </w:t>
      </w:r>
    </w:p>
    <w:p w:rsidR="008F24D9" w:rsidRPr="008F24D9" w:rsidRDefault="008F24D9" w:rsidP="008F24D9">
      <w:pPr>
        <w:pStyle w:val="Tabletitle"/>
      </w:pPr>
      <w:r w:rsidRPr="008F24D9">
        <w:t xml:space="preserve">Table 1.1 Timeline for establishing a Distribution Reliability Measures Guidelines </w:t>
      </w:r>
    </w:p>
    <w:tbl>
      <w:tblPr>
        <w:tblStyle w:val="AERtable-text0"/>
        <w:tblW w:w="5000" w:type="pct"/>
        <w:tblLook w:val="04A0" w:firstRow="1" w:lastRow="0" w:firstColumn="1" w:lastColumn="0" w:noHBand="0" w:noVBand="1"/>
      </w:tblPr>
      <w:tblGrid>
        <w:gridCol w:w="4593"/>
        <w:gridCol w:w="4100"/>
      </w:tblGrid>
      <w:tr w:rsidR="008F24D9" w:rsidRPr="00C103CD" w:rsidTr="00A343CD">
        <w:trPr>
          <w:cnfStyle w:val="100000000000" w:firstRow="1" w:lastRow="0" w:firstColumn="0" w:lastColumn="0" w:oddVBand="0" w:evenVBand="0" w:oddHBand="0" w:evenHBand="0" w:firstRowFirstColumn="0" w:firstRowLastColumn="0" w:lastRowFirstColumn="0" w:lastRowLastColumn="0"/>
        </w:trPr>
        <w:tc>
          <w:tcPr>
            <w:tcW w:w="2642" w:type="pct"/>
          </w:tcPr>
          <w:p w:rsidR="008F24D9" w:rsidRPr="008F24D9" w:rsidRDefault="008F24D9" w:rsidP="008F24D9">
            <w:r w:rsidRPr="008F24D9">
              <w:t xml:space="preserve">Project steps for establishing the </w:t>
            </w:r>
            <w:r w:rsidR="00B3579C">
              <w:t>Guideline</w:t>
            </w:r>
          </w:p>
        </w:tc>
        <w:tc>
          <w:tcPr>
            <w:tcW w:w="2358" w:type="pct"/>
          </w:tcPr>
          <w:p w:rsidR="008F24D9" w:rsidRPr="008F24D9" w:rsidRDefault="008F24D9" w:rsidP="008F24D9">
            <w:r w:rsidRPr="008F24D9">
              <w:t>Date</w:t>
            </w:r>
          </w:p>
        </w:tc>
      </w:tr>
      <w:tr w:rsidR="008F24D9" w:rsidRPr="00C103CD" w:rsidTr="00A343CD">
        <w:tc>
          <w:tcPr>
            <w:tcW w:w="2642" w:type="pct"/>
          </w:tcPr>
          <w:p w:rsidR="008F24D9" w:rsidRPr="008F24D9" w:rsidRDefault="008F24D9" w:rsidP="000F6BCE">
            <w:r w:rsidRPr="008F24D9">
              <w:t xml:space="preserve">Draft </w:t>
            </w:r>
            <w:r w:rsidR="000F6BCE">
              <w:t>G</w:t>
            </w:r>
            <w:r w:rsidRPr="008F24D9">
              <w:t xml:space="preserve">uideline with </w:t>
            </w:r>
            <w:r w:rsidR="00E27360">
              <w:t xml:space="preserve">an </w:t>
            </w:r>
            <w:r w:rsidRPr="008F24D9">
              <w:t>Explanatory Statement</w:t>
            </w:r>
          </w:p>
        </w:tc>
        <w:tc>
          <w:tcPr>
            <w:tcW w:w="2358" w:type="pct"/>
          </w:tcPr>
          <w:p w:rsidR="008F24D9" w:rsidRPr="008F24D9" w:rsidRDefault="000F6BCE" w:rsidP="008F24D9">
            <w:r>
              <w:t xml:space="preserve">23 </w:t>
            </w:r>
            <w:r w:rsidR="008F24D9" w:rsidRPr="008F24D9">
              <w:t xml:space="preserve">June 2017 </w:t>
            </w:r>
          </w:p>
        </w:tc>
      </w:tr>
      <w:tr w:rsidR="008F24D9" w:rsidRPr="00C103CD" w:rsidTr="00A343CD">
        <w:trPr>
          <w:cnfStyle w:val="000000010000" w:firstRow="0" w:lastRow="0" w:firstColumn="0" w:lastColumn="0" w:oddVBand="0" w:evenVBand="0" w:oddHBand="0" w:evenHBand="1" w:firstRowFirstColumn="0" w:firstRowLastColumn="0" w:lastRowFirstColumn="0" w:lastRowLastColumn="0"/>
        </w:trPr>
        <w:tc>
          <w:tcPr>
            <w:tcW w:w="2642" w:type="pct"/>
          </w:tcPr>
          <w:p w:rsidR="008F24D9" w:rsidRPr="008F24D9" w:rsidRDefault="008F24D9" w:rsidP="000F6BCE">
            <w:r w:rsidRPr="008F24D9">
              <w:t xml:space="preserve">Submissions on </w:t>
            </w:r>
            <w:r w:rsidR="00EA2707">
              <w:t>Draft Guideline</w:t>
            </w:r>
            <w:r w:rsidRPr="008F24D9">
              <w:t xml:space="preserve"> close</w:t>
            </w:r>
          </w:p>
        </w:tc>
        <w:tc>
          <w:tcPr>
            <w:tcW w:w="2358" w:type="pct"/>
          </w:tcPr>
          <w:p w:rsidR="008F24D9" w:rsidRPr="008F24D9" w:rsidRDefault="000F6BCE" w:rsidP="007859B7">
            <w:r>
              <w:t>1</w:t>
            </w:r>
            <w:r w:rsidR="007859B7">
              <w:t>1</w:t>
            </w:r>
            <w:r>
              <w:t xml:space="preserve"> </w:t>
            </w:r>
            <w:r w:rsidR="008F24D9" w:rsidRPr="008F24D9">
              <w:t>August 2017</w:t>
            </w:r>
          </w:p>
        </w:tc>
      </w:tr>
      <w:tr w:rsidR="008F24D9" w:rsidRPr="00C103CD" w:rsidTr="00A343CD">
        <w:tc>
          <w:tcPr>
            <w:tcW w:w="2642" w:type="pct"/>
          </w:tcPr>
          <w:p w:rsidR="008F24D9" w:rsidRPr="008F24D9" w:rsidRDefault="008F24D9" w:rsidP="000F6BCE">
            <w:r w:rsidRPr="008F24D9">
              <w:t xml:space="preserve">Final </w:t>
            </w:r>
            <w:r w:rsidR="000F6BCE">
              <w:t>G</w:t>
            </w:r>
            <w:r w:rsidR="009B7FC2">
              <w:t>uideline</w:t>
            </w:r>
            <w:r w:rsidRPr="008F24D9">
              <w:t xml:space="preserve"> published with </w:t>
            </w:r>
            <w:r w:rsidR="000F6BCE">
              <w:t>a Final Decision</w:t>
            </w:r>
          </w:p>
        </w:tc>
        <w:tc>
          <w:tcPr>
            <w:tcW w:w="2358" w:type="pct"/>
          </w:tcPr>
          <w:p w:rsidR="008F24D9" w:rsidRPr="008F24D9" w:rsidRDefault="008F24D9" w:rsidP="008F24D9">
            <w:r w:rsidRPr="008F24D9">
              <w:t xml:space="preserve">October 2017 </w:t>
            </w:r>
          </w:p>
        </w:tc>
      </w:tr>
    </w:tbl>
    <w:p w:rsidR="00E60FE1" w:rsidRPr="008F24D9" w:rsidRDefault="00E60FE1" w:rsidP="00E60FE1">
      <w:pPr>
        <w:pStyle w:val="Heading2"/>
      </w:pPr>
      <w:bookmarkStart w:id="15" w:name="_Toc485812896"/>
      <w:r w:rsidRPr="008F24D9">
        <w:t>NER requirements</w:t>
      </w:r>
      <w:bookmarkEnd w:id="15"/>
      <w:r w:rsidRPr="008F24D9">
        <w:t xml:space="preserve"> </w:t>
      </w:r>
    </w:p>
    <w:p w:rsidR="00BF4D13" w:rsidRDefault="00E60FE1" w:rsidP="00E60FE1">
      <w:r>
        <w:t>We must follow t</w:t>
      </w:r>
      <w:r w:rsidRPr="008F24D9">
        <w:t>he distribution consultation procedures in clause 6.16 of the NER</w:t>
      </w:r>
      <w:r>
        <w:t xml:space="preserve"> to consult with stakeholder prior to finalising the </w:t>
      </w:r>
      <w:r w:rsidR="000F6BCE">
        <w:t>G</w:t>
      </w:r>
      <w:r>
        <w:t xml:space="preserve">uideline. This process </w:t>
      </w:r>
      <w:r w:rsidRPr="008F24D9">
        <w:t>require</w:t>
      </w:r>
      <w:r w:rsidR="00BF4D13">
        <w:t>s</w:t>
      </w:r>
      <w:r w:rsidR="00904074">
        <w:t xml:space="preserve"> us to publish a </w:t>
      </w:r>
      <w:r w:rsidR="00EA2707">
        <w:t>Draft Guideline</w:t>
      </w:r>
      <w:r w:rsidR="00BF4D13">
        <w:t xml:space="preserve"> and this</w:t>
      </w:r>
      <w:r w:rsidRPr="008F24D9">
        <w:t xml:space="preserve"> accompanying explanatory statement</w:t>
      </w:r>
      <w:r w:rsidR="00BF4D13">
        <w:t xml:space="preserve"> to inform stakeholders </w:t>
      </w:r>
      <w:r w:rsidR="000F6BCE">
        <w:t xml:space="preserve">of </w:t>
      </w:r>
      <w:r w:rsidR="00BF4D13">
        <w:t xml:space="preserve">our reasons for the proposed </w:t>
      </w:r>
      <w:r w:rsidR="00B3579C">
        <w:t>Guideline</w:t>
      </w:r>
      <w:r w:rsidR="00BF4D13">
        <w:t>.</w:t>
      </w:r>
    </w:p>
    <w:p w:rsidR="00E60FE1" w:rsidRPr="008F24D9" w:rsidRDefault="00BF4D13" w:rsidP="00E60FE1">
      <w:r>
        <w:t xml:space="preserve">The rules also require that </w:t>
      </w:r>
      <w:r w:rsidR="00904074">
        <w:t>we publish the final G</w:t>
      </w:r>
      <w:r w:rsidR="00E60FE1" w:rsidRPr="008F24D9">
        <w:t>uideline and an accompanying final decision</w:t>
      </w:r>
      <w:r>
        <w:t xml:space="preserve"> w</w:t>
      </w:r>
      <w:r w:rsidRPr="008F24D9">
        <w:t>ithin 80 business</w:t>
      </w:r>
      <w:r w:rsidR="00904074">
        <w:t xml:space="preserve"> days of publishing a proposed G</w:t>
      </w:r>
      <w:r w:rsidRPr="008F24D9">
        <w:t>uideline</w:t>
      </w:r>
      <w:r>
        <w:t>.</w:t>
      </w:r>
    </w:p>
    <w:p w:rsidR="00E60FE1" w:rsidRDefault="00E60FE1" w:rsidP="00E60FE1">
      <w:r w:rsidRPr="008F24D9">
        <w:t>We may extend the time within which it is required to publish our final decision if the consultation involves issues of unusual complexity or difficulty.</w:t>
      </w:r>
    </w:p>
    <w:p w:rsidR="008F24D9" w:rsidRPr="008F24D9" w:rsidRDefault="008F24D9" w:rsidP="008F24D9"/>
    <w:p w:rsidR="00DE563D" w:rsidRPr="00A72B34" w:rsidRDefault="00DE563D" w:rsidP="00DE772C">
      <w:pPr>
        <w:pStyle w:val="UnnumberedHeading"/>
        <w:numPr>
          <w:ilvl w:val="0"/>
          <w:numId w:val="23"/>
        </w:numPr>
      </w:pPr>
      <w:bookmarkStart w:id="16" w:name="_Toc403144133"/>
      <w:bookmarkStart w:id="17" w:name="_Toc485812897"/>
      <w:bookmarkEnd w:id="3"/>
      <w:bookmarkEnd w:id="4"/>
      <w:bookmarkEnd w:id="5"/>
      <w:bookmarkEnd w:id="6"/>
      <w:bookmarkEnd w:id="7"/>
      <w:bookmarkEnd w:id="8"/>
      <w:bookmarkEnd w:id="9"/>
      <w:r>
        <w:lastRenderedPageBreak/>
        <w:t>Contents</w:t>
      </w:r>
      <w:bookmarkEnd w:id="16"/>
      <w:bookmarkEnd w:id="1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4C1FD3"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85812893" w:history="1">
            <w:r w:rsidR="004C1FD3" w:rsidRPr="00EE5B40">
              <w:rPr>
                <w:rStyle w:val="Hyperlink"/>
              </w:rPr>
              <w:t>1</w:t>
            </w:r>
            <w:r w:rsidR="004C1FD3">
              <w:rPr>
                <w:rFonts w:asciiTheme="minorHAnsi" w:eastAsiaTheme="minorEastAsia" w:hAnsiTheme="minorHAnsi"/>
                <w:b w:val="0"/>
                <w:color w:val="auto"/>
                <w:sz w:val="22"/>
                <w:lang w:val="en-AU" w:eastAsia="en-AU"/>
              </w:rPr>
              <w:tab/>
            </w:r>
            <w:r w:rsidR="004C1FD3" w:rsidRPr="00EE5B40">
              <w:rPr>
                <w:rStyle w:val="Hyperlink"/>
              </w:rPr>
              <w:t>About this consultation</w:t>
            </w:r>
            <w:r w:rsidR="004C1FD3">
              <w:rPr>
                <w:webHidden/>
              </w:rPr>
              <w:tab/>
            </w:r>
            <w:r w:rsidR="004C1FD3">
              <w:rPr>
                <w:webHidden/>
              </w:rPr>
              <w:fldChar w:fldCharType="begin"/>
            </w:r>
            <w:r w:rsidR="004C1FD3">
              <w:rPr>
                <w:webHidden/>
              </w:rPr>
              <w:instrText xml:space="preserve"> PAGEREF _Toc485812893 \h </w:instrText>
            </w:r>
            <w:r w:rsidR="004C1FD3">
              <w:rPr>
                <w:webHidden/>
              </w:rPr>
            </w:r>
            <w:r w:rsidR="004C1FD3">
              <w:rPr>
                <w:webHidden/>
              </w:rPr>
              <w:fldChar w:fldCharType="separate"/>
            </w:r>
            <w:r w:rsidR="001C7706">
              <w:rPr>
                <w:webHidden/>
              </w:rPr>
              <w:t>2</w:t>
            </w:r>
            <w:r w:rsidR="004C1FD3">
              <w:rPr>
                <w:webHidden/>
              </w:rPr>
              <w:fldChar w:fldCharType="end"/>
            </w:r>
          </w:hyperlink>
        </w:p>
        <w:p w:rsidR="004C1FD3" w:rsidRDefault="00913964">
          <w:pPr>
            <w:pStyle w:val="TOC2"/>
            <w:rPr>
              <w:rFonts w:asciiTheme="minorHAnsi" w:eastAsiaTheme="minorEastAsia" w:hAnsiTheme="minorHAnsi"/>
              <w:b w:val="0"/>
              <w:color w:val="auto"/>
              <w:sz w:val="22"/>
              <w:lang w:eastAsia="en-AU"/>
            </w:rPr>
          </w:pPr>
          <w:hyperlink w:anchor="_Toc485812894" w:history="1">
            <w:r w:rsidR="004C1FD3" w:rsidRPr="00EE5B40">
              <w:rPr>
                <w:rStyle w:val="Hyperlink"/>
              </w:rPr>
              <w:t>1.1</w:t>
            </w:r>
            <w:r w:rsidR="004C1FD3">
              <w:rPr>
                <w:rFonts w:asciiTheme="minorHAnsi" w:eastAsiaTheme="minorEastAsia" w:hAnsiTheme="minorHAnsi"/>
                <w:b w:val="0"/>
                <w:color w:val="auto"/>
                <w:sz w:val="22"/>
                <w:lang w:eastAsia="en-AU"/>
              </w:rPr>
              <w:tab/>
            </w:r>
            <w:r w:rsidR="004C1FD3" w:rsidRPr="00EE5B40">
              <w:rPr>
                <w:rStyle w:val="Hyperlink"/>
              </w:rPr>
              <w:t>How to make a submission</w:t>
            </w:r>
            <w:r w:rsidR="004C1FD3">
              <w:rPr>
                <w:webHidden/>
              </w:rPr>
              <w:tab/>
            </w:r>
            <w:r w:rsidR="004C1FD3">
              <w:rPr>
                <w:webHidden/>
              </w:rPr>
              <w:fldChar w:fldCharType="begin"/>
            </w:r>
            <w:r w:rsidR="004C1FD3">
              <w:rPr>
                <w:webHidden/>
              </w:rPr>
              <w:instrText xml:space="preserve"> PAGEREF _Toc485812894 \h </w:instrText>
            </w:r>
            <w:r w:rsidR="004C1FD3">
              <w:rPr>
                <w:webHidden/>
              </w:rPr>
            </w:r>
            <w:r w:rsidR="004C1FD3">
              <w:rPr>
                <w:webHidden/>
              </w:rPr>
              <w:fldChar w:fldCharType="separate"/>
            </w:r>
            <w:r w:rsidR="001C7706">
              <w:rPr>
                <w:webHidden/>
              </w:rPr>
              <w:t>2</w:t>
            </w:r>
            <w:r w:rsidR="004C1FD3">
              <w:rPr>
                <w:webHidden/>
              </w:rPr>
              <w:fldChar w:fldCharType="end"/>
            </w:r>
          </w:hyperlink>
        </w:p>
        <w:p w:rsidR="004C1FD3" w:rsidRDefault="00913964">
          <w:pPr>
            <w:pStyle w:val="TOC2"/>
            <w:rPr>
              <w:rFonts w:asciiTheme="minorHAnsi" w:eastAsiaTheme="minorEastAsia" w:hAnsiTheme="minorHAnsi"/>
              <w:b w:val="0"/>
              <w:color w:val="auto"/>
              <w:sz w:val="22"/>
              <w:lang w:eastAsia="en-AU"/>
            </w:rPr>
          </w:pPr>
          <w:hyperlink w:anchor="_Toc485812895" w:history="1">
            <w:r w:rsidR="004C1FD3" w:rsidRPr="00EE5B40">
              <w:rPr>
                <w:rStyle w:val="Hyperlink"/>
              </w:rPr>
              <w:t>1.2</w:t>
            </w:r>
            <w:r w:rsidR="004C1FD3">
              <w:rPr>
                <w:rFonts w:asciiTheme="minorHAnsi" w:eastAsiaTheme="minorEastAsia" w:hAnsiTheme="minorHAnsi"/>
                <w:b w:val="0"/>
                <w:color w:val="auto"/>
                <w:sz w:val="22"/>
                <w:lang w:eastAsia="en-AU"/>
              </w:rPr>
              <w:tab/>
            </w:r>
            <w:r w:rsidR="004C1FD3" w:rsidRPr="00EE5B40">
              <w:rPr>
                <w:rStyle w:val="Hyperlink"/>
              </w:rPr>
              <w:t>Timelines</w:t>
            </w:r>
            <w:r w:rsidR="004C1FD3">
              <w:rPr>
                <w:webHidden/>
              </w:rPr>
              <w:tab/>
            </w:r>
            <w:r w:rsidR="004C1FD3">
              <w:rPr>
                <w:webHidden/>
              </w:rPr>
              <w:fldChar w:fldCharType="begin"/>
            </w:r>
            <w:r w:rsidR="004C1FD3">
              <w:rPr>
                <w:webHidden/>
              </w:rPr>
              <w:instrText xml:space="preserve"> PAGEREF _Toc485812895 \h </w:instrText>
            </w:r>
            <w:r w:rsidR="004C1FD3">
              <w:rPr>
                <w:webHidden/>
              </w:rPr>
            </w:r>
            <w:r w:rsidR="004C1FD3">
              <w:rPr>
                <w:webHidden/>
              </w:rPr>
              <w:fldChar w:fldCharType="separate"/>
            </w:r>
            <w:r w:rsidR="001C7706">
              <w:rPr>
                <w:webHidden/>
              </w:rPr>
              <w:t>3</w:t>
            </w:r>
            <w:r w:rsidR="004C1FD3">
              <w:rPr>
                <w:webHidden/>
              </w:rPr>
              <w:fldChar w:fldCharType="end"/>
            </w:r>
          </w:hyperlink>
        </w:p>
        <w:p w:rsidR="004C1FD3" w:rsidRDefault="00913964">
          <w:pPr>
            <w:pStyle w:val="TOC2"/>
            <w:rPr>
              <w:rFonts w:asciiTheme="minorHAnsi" w:eastAsiaTheme="minorEastAsia" w:hAnsiTheme="minorHAnsi"/>
              <w:b w:val="0"/>
              <w:color w:val="auto"/>
              <w:sz w:val="22"/>
              <w:lang w:eastAsia="en-AU"/>
            </w:rPr>
          </w:pPr>
          <w:hyperlink w:anchor="_Toc485812896" w:history="1">
            <w:r w:rsidR="004C1FD3" w:rsidRPr="00EE5B40">
              <w:rPr>
                <w:rStyle w:val="Hyperlink"/>
              </w:rPr>
              <w:t>1.3</w:t>
            </w:r>
            <w:r w:rsidR="004C1FD3">
              <w:rPr>
                <w:rFonts w:asciiTheme="minorHAnsi" w:eastAsiaTheme="minorEastAsia" w:hAnsiTheme="minorHAnsi"/>
                <w:b w:val="0"/>
                <w:color w:val="auto"/>
                <w:sz w:val="22"/>
                <w:lang w:eastAsia="en-AU"/>
              </w:rPr>
              <w:tab/>
            </w:r>
            <w:r w:rsidR="004C1FD3" w:rsidRPr="00EE5B40">
              <w:rPr>
                <w:rStyle w:val="Hyperlink"/>
              </w:rPr>
              <w:t>NER requirements</w:t>
            </w:r>
            <w:r w:rsidR="004C1FD3">
              <w:rPr>
                <w:webHidden/>
              </w:rPr>
              <w:tab/>
            </w:r>
            <w:r w:rsidR="004C1FD3">
              <w:rPr>
                <w:webHidden/>
              </w:rPr>
              <w:fldChar w:fldCharType="begin"/>
            </w:r>
            <w:r w:rsidR="004C1FD3">
              <w:rPr>
                <w:webHidden/>
              </w:rPr>
              <w:instrText xml:space="preserve"> PAGEREF _Toc485812896 \h </w:instrText>
            </w:r>
            <w:r w:rsidR="004C1FD3">
              <w:rPr>
                <w:webHidden/>
              </w:rPr>
            </w:r>
            <w:r w:rsidR="004C1FD3">
              <w:rPr>
                <w:webHidden/>
              </w:rPr>
              <w:fldChar w:fldCharType="separate"/>
            </w:r>
            <w:r w:rsidR="001C7706">
              <w:rPr>
                <w:webHidden/>
              </w:rPr>
              <w:t>3</w:t>
            </w:r>
            <w:r w:rsidR="004C1FD3">
              <w:rPr>
                <w:webHidden/>
              </w:rPr>
              <w:fldChar w:fldCharType="end"/>
            </w:r>
          </w:hyperlink>
        </w:p>
        <w:p w:rsidR="004C1FD3" w:rsidRDefault="00913964">
          <w:pPr>
            <w:pStyle w:val="TOC1"/>
            <w:rPr>
              <w:rFonts w:asciiTheme="minorHAnsi" w:eastAsiaTheme="minorEastAsia" w:hAnsiTheme="minorHAnsi"/>
              <w:b w:val="0"/>
              <w:color w:val="auto"/>
              <w:sz w:val="22"/>
              <w:lang w:val="en-AU" w:eastAsia="en-AU"/>
            </w:rPr>
          </w:pPr>
          <w:hyperlink w:anchor="_Toc485812897" w:history="1">
            <w:r w:rsidR="004C1FD3" w:rsidRPr="00EE5B40">
              <w:rPr>
                <w:rStyle w:val="Hyperlink"/>
              </w:rPr>
              <w:t>Contents</w:t>
            </w:r>
            <w:r w:rsidR="004C1FD3">
              <w:rPr>
                <w:webHidden/>
              </w:rPr>
              <w:tab/>
            </w:r>
            <w:r w:rsidR="004C1FD3">
              <w:rPr>
                <w:webHidden/>
              </w:rPr>
              <w:fldChar w:fldCharType="begin"/>
            </w:r>
            <w:r w:rsidR="004C1FD3">
              <w:rPr>
                <w:webHidden/>
              </w:rPr>
              <w:instrText xml:space="preserve"> PAGEREF _Toc485812897 \h </w:instrText>
            </w:r>
            <w:r w:rsidR="004C1FD3">
              <w:rPr>
                <w:webHidden/>
              </w:rPr>
            </w:r>
            <w:r w:rsidR="004C1FD3">
              <w:rPr>
                <w:webHidden/>
              </w:rPr>
              <w:fldChar w:fldCharType="separate"/>
            </w:r>
            <w:r w:rsidR="001C7706">
              <w:rPr>
                <w:webHidden/>
              </w:rPr>
              <w:t>4</w:t>
            </w:r>
            <w:r w:rsidR="004C1FD3">
              <w:rPr>
                <w:webHidden/>
              </w:rPr>
              <w:fldChar w:fldCharType="end"/>
            </w:r>
          </w:hyperlink>
        </w:p>
        <w:p w:rsidR="004C1FD3" w:rsidRDefault="00913964">
          <w:pPr>
            <w:pStyle w:val="TOC1"/>
            <w:rPr>
              <w:rFonts w:asciiTheme="minorHAnsi" w:eastAsiaTheme="minorEastAsia" w:hAnsiTheme="minorHAnsi"/>
              <w:b w:val="0"/>
              <w:color w:val="auto"/>
              <w:sz w:val="22"/>
              <w:lang w:val="en-AU" w:eastAsia="en-AU"/>
            </w:rPr>
          </w:pPr>
          <w:hyperlink w:anchor="_Toc485812898" w:history="1">
            <w:r w:rsidR="004C1FD3" w:rsidRPr="00EE5B40">
              <w:rPr>
                <w:rStyle w:val="Hyperlink"/>
              </w:rPr>
              <w:t>Shortened forms</w:t>
            </w:r>
            <w:r w:rsidR="004C1FD3">
              <w:rPr>
                <w:webHidden/>
              </w:rPr>
              <w:tab/>
            </w:r>
            <w:r w:rsidR="004C1FD3">
              <w:rPr>
                <w:webHidden/>
              </w:rPr>
              <w:fldChar w:fldCharType="begin"/>
            </w:r>
            <w:r w:rsidR="004C1FD3">
              <w:rPr>
                <w:webHidden/>
              </w:rPr>
              <w:instrText xml:space="preserve"> PAGEREF _Toc485812898 \h </w:instrText>
            </w:r>
            <w:r w:rsidR="004C1FD3">
              <w:rPr>
                <w:webHidden/>
              </w:rPr>
            </w:r>
            <w:r w:rsidR="004C1FD3">
              <w:rPr>
                <w:webHidden/>
              </w:rPr>
              <w:fldChar w:fldCharType="separate"/>
            </w:r>
            <w:r w:rsidR="001C7706">
              <w:rPr>
                <w:webHidden/>
              </w:rPr>
              <w:t>5</w:t>
            </w:r>
            <w:r w:rsidR="004C1FD3">
              <w:rPr>
                <w:webHidden/>
              </w:rPr>
              <w:fldChar w:fldCharType="end"/>
            </w:r>
          </w:hyperlink>
        </w:p>
        <w:p w:rsidR="004C1FD3" w:rsidRDefault="00913964">
          <w:pPr>
            <w:pStyle w:val="TOC1"/>
            <w:rPr>
              <w:rFonts w:asciiTheme="minorHAnsi" w:eastAsiaTheme="minorEastAsia" w:hAnsiTheme="minorHAnsi"/>
              <w:b w:val="0"/>
              <w:color w:val="auto"/>
              <w:sz w:val="22"/>
              <w:lang w:val="en-AU" w:eastAsia="en-AU"/>
            </w:rPr>
          </w:pPr>
          <w:hyperlink w:anchor="_Toc485812899" w:history="1">
            <w:r w:rsidR="004C1FD3" w:rsidRPr="00EE5B40">
              <w:rPr>
                <w:rStyle w:val="Hyperlink"/>
              </w:rPr>
              <w:t>2</w:t>
            </w:r>
            <w:r w:rsidR="004C1FD3">
              <w:rPr>
                <w:rFonts w:asciiTheme="minorHAnsi" w:eastAsiaTheme="minorEastAsia" w:hAnsiTheme="minorHAnsi"/>
                <w:b w:val="0"/>
                <w:color w:val="auto"/>
                <w:sz w:val="22"/>
                <w:lang w:val="en-AU" w:eastAsia="en-AU"/>
              </w:rPr>
              <w:tab/>
            </w:r>
            <w:r w:rsidR="004C1FD3" w:rsidRPr="00EE5B40">
              <w:rPr>
                <w:rStyle w:val="Hyperlink"/>
              </w:rPr>
              <w:t>Summary</w:t>
            </w:r>
            <w:r w:rsidR="004C1FD3">
              <w:rPr>
                <w:webHidden/>
              </w:rPr>
              <w:tab/>
            </w:r>
            <w:r w:rsidR="004C1FD3">
              <w:rPr>
                <w:webHidden/>
              </w:rPr>
              <w:fldChar w:fldCharType="begin"/>
            </w:r>
            <w:r w:rsidR="004C1FD3">
              <w:rPr>
                <w:webHidden/>
              </w:rPr>
              <w:instrText xml:space="preserve"> PAGEREF _Toc485812899 \h </w:instrText>
            </w:r>
            <w:r w:rsidR="004C1FD3">
              <w:rPr>
                <w:webHidden/>
              </w:rPr>
            </w:r>
            <w:r w:rsidR="004C1FD3">
              <w:rPr>
                <w:webHidden/>
              </w:rPr>
              <w:fldChar w:fldCharType="separate"/>
            </w:r>
            <w:r w:rsidR="001C7706">
              <w:rPr>
                <w:webHidden/>
              </w:rPr>
              <w:t>6</w:t>
            </w:r>
            <w:r w:rsidR="004C1FD3">
              <w:rPr>
                <w:webHidden/>
              </w:rPr>
              <w:fldChar w:fldCharType="end"/>
            </w:r>
          </w:hyperlink>
        </w:p>
        <w:p w:rsidR="004C1FD3" w:rsidRDefault="00913964">
          <w:pPr>
            <w:pStyle w:val="TOC2"/>
            <w:rPr>
              <w:rFonts w:asciiTheme="minorHAnsi" w:eastAsiaTheme="minorEastAsia" w:hAnsiTheme="minorHAnsi"/>
              <w:b w:val="0"/>
              <w:color w:val="auto"/>
              <w:sz w:val="22"/>
              <w:lang w:eastAsia="en-AU"/>
            </w:rPr>
          </w:pPr>
          <w:hyperlink w:anchor="_Toc485812900" w:history="1">
            <w:r w:rsidR="004C1FD3" w:rsidRPr="00EE5B40">
              <w:rPr>
                <w:rStyle w:val="Hyperlink"/>
              </w:rPr>
              <w:t>2.1</w:t>
            </w:r>
            <w:r w:rsidR="004C1FD3">
              <w:rPr>
                <w:rFonts w:asciiTheme="minorHAnsi" w:eastAsiaTheme="minorEastAsia" w:hAnsiTheme="minorHAnsi"/>
                <w:b w:val="0"/>
                <w:color w:val="auto"/>
                <w:sz w:val="22"/>
                <w:lang w:eastAsia="en-AU"/>
              </w:rPr>
              <w:tab/>
            </w:r>
            <w:r w:rsidR="004C1FD3" w:rsidRPr="00EE5B40">
              <w:rPr>
                <w:rStyle w:val="Hyperlink"/>
              </w:rPr>
              <w:t>Developing a Distribution Reliability Measures Guidelines</w:t>
            </w:r>
            <w:r w:rsidR="004C1FD3">
              <w:rPr>
                <w:webHidden/>
              </w:rPr>
              <w:tab/>
            </w:r>
            <w:r w:rsidR="004C1FD3">
              <w:rPr>
                <w:webHidden/>
              </w:rPr>
              <w:fldChar w:fldCharType="begin"/>
            </w:r>
            <w:r w:rsidR="004C1FD3">
              <w:rPr>
                <w:webHidden/>
              </w:rPr>
              <w:instrText xml:space="preserve"> PAGEREF _Toc485812900 \h </w:instrText>
            </w:r>
            <w:r w:rsidR="004C1FD3">
              <w:rPr>
                <w:webHidden/>
              </w:rPr>
            </w:r>
            <w:r w:rsidR="004C1FD3">
              <w:rPr>
                <w:webHidden/>
              </w:rPr>
              <w:fldChar w:fldCharType="separate"/>
            </w:r>
            <w:r w:rsidR="001C7706">
              <w:rPr>
                <w:webHidden/>
              </w:rPr>
              <w:t>6</w:t>
            </w:r>
            <w:r w:rsidR="004C1FD3">
              <w:rPr>
                <w:webHidden/>
              </w:rPr>
              <w:fldChar w:fldCharType="end"/>
            </w:r>
          </w:hyperlink>
        </w:p>
        <w:p w:rsidR="004C1FD3" w:rsidRDefault="00913964">
          <w:pPr>
            <w:pStyle w:val="TOC2"/>
            <w:rPr>
              <w:rFonts w:asciiTheme="minorHAnsi" w:eastAsiaTheme="minorEastAsia" w:hAnsiTheme="minorHAnsi"/>
              <w:b w:val="0"/>
              <w:color w:val="auto"/>
              <w:sz w:val="22"/>
              <w:lang w:eastAsia="en-AU"/>
            </w:rPr>
          </w:pPr>
          <w:hyperlink w:anchor="_Toc485812901" w:history="1">
            <w:r w:rsidR="004C1FD3" w:rsidRPr="00EE5B40">
              <w:rPr>
                <w:rStyle w:val="Hyperlink"/>
              </w:rPr>
              <w:t>2.2</w:t>
            </w:r>
            <w:r w:rsidR="004C1FD3">
              <w:rPr>
                <w:rFonts w:asciiTheme="minorHAnsi" w:eastAsiaTheme="minorEastAsia" w:hAnsiTheme="minorHAnsi"/>
                <w:b w:val="0"/>
                <w:color w:val="auto"/>
                <w:sz w:val="22"/>
                <w:lang w:eastAsia="en-AU"/>
              </w:rPr>
              <w:tab/>
            </w:r>
            <w:r w:rsidR="004C1FD3" w:rsidRPr="00EE5B40">
              <w:rPr>
                <w:rStyle w:val="Hyperlink"/>
              </w:rPr>
              <w:t>Our issues paper on STPIS and the Guideline</w:t>
            </w:r>
            <w:r w:rsidR="004C1FD3">
              <w:rPr>
                <w:webHidden/>
              </w:rPr>
              <w:tab/>
            </w:r>
            <w:r w:rsidR="004C1FD3">
              <w:rPr>
                <w:webHidden/>
              </w:rPr>
              <w:fldChar w:fldCharType="begin"/>
            </w:r>
            <w:r w:rsidR="004C1FD3">
              <w:rPr>
                <w:webHidden/>
              </w:rPr>
              <w:instrText xml:space="preserve"> PAGEREF _Toc485812901 \h </w:instrText>
            </w:r>
            <w:r w:rsidR="004C1FD3">
              <w:rPr>
                <w:webHidden/>
              </w:rPr>
            </w:r>
            <w:r w:rsidR="004C1FD3">
              <w:rPr>
                <w:webHidden/>
              </w:rPr>
              <w:fldChar w:fldCharType="separate"/>
            </w:r>
            <w:r w:rsidR="001C7706">
              <w:rPr>
                <w:webHidden/>
              </w:rPr>
              <w:t>7</w:t>
            </w:r>
            <w:r w:rsidR="004C1FD3">
              <w:rPr>
                <w:webHidden/>
              </w:rPr>
              <w:fldChar w:fldCharType="end"/>
            </w:r>
          </w:hyperlink>
        </w:p>
        <w:p w:rsidR="004C1FD3" w:rsidRDefault="00913964">
          <w:pPr>
            <w:pStyle w:val="TOC2"/>
            <w:rPr>
              <w:rFonts w:asciiTheme="minorHAnsi" w:eastAsiaTheme="minorEastAsia" w:hAnsiTheme="minorHAnsi"/>
              <w:b w:val="0"/>
              <w:color w:val="auto"/>
              <w:sz w:val="22"/>
              <w:lang w:eastAsia="en-AU"/>
            </w:rPr>
          </w:pPr>
          <w:hyperlink w:anchor="_Toc485812902" w:history="1">
            <w:r w:rsidR="004C1FD3" w:rsidRPr="00EE5B40">
              <w:rPr>
                <w:rStyle w:val="Hyperlink"/>
              </w:rPr>
              <w:t>2.3</w:t>
            </w:r>
            <w:r w:rsidR="004C1FD3">
              <w:rPr>
                <w:rFonts w:asciiTheme="minorHAnsi" w:eastAsiaTheme="minorEastAsia" w:hAnsiTheme="minorHAnsi"/>
                <w:b w:val="0"/>
                <w:color w:val="auto"/>
                <w:sz w:val="22"/>
                <w:lang w:eastAsia="en-AU"/>
              </w:rPr>
              <w:tab/>
            </w:r>
            <w:r w:rsidR="004C1FD3" w:rsidRPr="00EE5B40">
              <w:rPr>
                <w:rStyle w:val="Hyperlink"/>
              </w:rPr>
              <w:t>Structure of this explanatory statement</w:t>
            </w:r>
            <w:r w:rsidR="004C1FD3">
              <w:rPr>
                <w:webHidden/>
              </w:rPr>
              <w:tab/>
            </w:r>
            <w:r w:rsidR="004C1FD3">
              <w:rPr>
                <w:webHidden/>
              </w:rPr>
              <w:fldChar w:fldCharType="begin"/>
            </w:r>
            <w:r w:rsidR="004C1FD3">
              <w:rPr>
                <w:webHidden/>
              </w:rPr>
              <w:instrText xml:space="preserve"> PAGEREF _Toc485812902 \h </w:instrText>
            </w:r>
            <w:r w:rsidR="004C1FD3">
              <w:rPr>
                <w:webHidden/>
              </w:rPr>
            </w:r>
            <w:r w:rsidR="004C1FD3">
              <w:rPr>
                <w:webHidden/>
              </w:rPr>
              <w:fldChar w:fldCharType="separate"/>
            </w:r>
            <w:r w:rsidR="001C7706">
              <w:rPr>
                <w:webHidden/>
              </w:rPr>
              <w:t>7</w:t>
            </w:r>
            <w:r w:rsidR="004C1FD3">
              <w:rPr>
                <w:webHidden/>
              </w:rPr>
              <w:fldChar w:fldCharType="end"/>
            </w:r>
          </w:hyperlink>
        </w:p>
        <w:p w:rsidR="004C1FD3" w:rsidRDefault="00913964">
          <w:pPr>
            <w:pStyle w:val="TOC1"/>
            <w:rPr>
              <w:rFonts w:asciiTheme="minorHAnsi" w:eastAsiaTheme="minorEastAsia" w:hAnsiTheme="minorHAnsi"/>
              <w:b w:val="0"/>
              <w:color w:val="auto"/>
              <w:sz w:val="22"/>
              <w:lang w:val="en-AU" w:eastAsia="en-AU"/>
            </w:rPr>
          </w:pPr>
          <w:hyperlink w:anchor="_Toc485812903" w:history="1">
            <w:r w:rsidR="004C1FD3" w:rsidRPr="00EE5B40">
              <w:rPr>
                <w:rStyle w:val="Hyperlink"/>
              </w:rPr>
              <w:t>3</w:t>
            </w:r>
            <w:r w:rsidR="004C1FD3">
              <w:rPr>
                <w:rFonts w:asciiTheme="minorHAnsi" w:eastAsiaTheme="minorEastAsia" w:hAnsiTheme="minorHAnsi"/>
                <w:b w:val="0"/>
                <w:color w:val="auto"/>
                <w:sz w:val="22"/>
                <w:lang w:val="en-AU" w:eastAsia="en-AU"/>
              </w:rPr>
              <w:tab/>
            </w:r>
            <w:r w:rsidR="004C1FD3" w:rsidRPr="00EE5B40">
              <w:rPr>
                <w:rStyle w:val="Hyperlink"/>
              </w:rPr>
              <w:t>Overview of key distribution reliability measures</w:t>
            </w:r>
            <w:r w:rsidR="004C1FD3">
              <w:rPr>
                <w:webHidden/>
              </w:rPr>
              <w:tab/>
            </w:r>
            <w:r w:rsidR="004C1FD3">
              <w:rPr>
                <w:webHidden/>
              </w:rPr>
              <w:fldChar w:fldCharType="begin"/>
            </w:r>
            <w:r w:rsidR="004C1FD3">
              <w:rPr>
                <w:webHidden/>
              </w:rPr>
              <w:instrText xml:space="preserve"> PAGEREF _Toc485812903 \h </w:instrText>
            </w:r>
            <w:r w:rsidR="004C1FD3">
              <w:rPr>
                <w:webHidden/>
              </w:rPr>
            </w:r>
            <w:r w:rsidR="004C1FD3">
              <w:rPr>
                <w:webHidden/>
              </w:rPr>
              <w:fldChar w:fldCharType="separate"/>
            </w:r>
            <w:r w:rsidR="001C7706">
              <w:rPr>
                <w:webHidden/>
              </w:rPr>
              <w:t>8</w:t>
            </w:r>
            <w:r w:rsidR="004C1FD3">
              <w:rPr>
                <w:webHidden/>
              </w:rPr>
              <w:fldChar w:fldCharType="end"/>
            </w:r>
          </w:hyperlink>
        </w:p>
        <w:p w:rsidR="004C1FD3" w:rsidRDefault="00913964">
          <w:pPr>
            <w:pStyle w:val="TOC1"/>
            <w:rPr>
              <w:rFonts w:asciiTheme="minorHAnsi" w:eastAsiaTheme="minorEastAsia" w:hAnsiTheme="minorHAnsi"/>
              <w:b w:val="0"/>
              <w:color w:val="auto"/>
              <w:sz w:val="22"/>
              <w:lang w:val="en-AU" w:eastAsia="en-AU"/>
            </w:rPr>
          </w:pPr>
          <w:hyperlink w:anchor="_Toc485812904" w:history="1">
            <w:r w:rsidR="004C1FD3" w:rsidRPr="00EE5B40">
              <w:rPr>
                <w:rStyle w:val="Hyperlink"/>
              </w:rPr>
              <w:t>4</w:t>
            </w:r>
            <w:r w:rsidR="004C1FD3">
              <w:rPr>
                <w:rFonts w:asciiTheme="minorHAnsi" w:eastAsiaTheme="minorEastAsia" w:hAnsiTheme="minorHAnsi"/>
                <w:b w:val="0"/>
                <w:color w:val="auto"/>
                <w:sz w:val="22"/>
                <w:lang w:val="en-AU" w:eastAsia="en-AU"/>
              </w:rPr>
              <w:tab/>
            </w:r>
            <w:r w:rsidR="004C1FD3" w:rsidRPr="00EE5B40">
              <w:rPr>
                <w:rStyle w:val="Hyperlink"/>
              </w:rPr>
              <w:t>Our consideration and decision on key performance measures</w:t>
            </w:r>
            <w:r w:rsidR="004C1FD3">
              <w:rPr>
                <w:webHidden/>
              </w:rPr>
              <w:tab/>
            </w:r>
            <w:r w:rsidR="004C1FD3">
              <w:rPr>
                <w:webHidden/>
              </w:rPr>
              <w:fldChar w:fldCharType="begin"/>
            </w:r>
            <w:r w:rsidR="004C1FD3">
              <w:rPr>
                <w:webHidden/>
              </w:rPr>
              <w:instrText xml:space="preserve"> PAGEREF _Toc485812904 \h </w:instrText>
            </w:r>
            <w:r w:rsidR="004C1FD3">
              <w:rPr>
                <w:webHidden/>
              </w:rPr>
            </w:r>
            <w:r w:rsidR="004C1FD3">
              <w:rPr>
                <w:webHidden/>
              </w:rPr>
              <w:fldChar w:fldCharType="separate"/>
            </w:r>
            <w:r w:rsidR="001C7706">
              <w:rPr>
                <w:webHidden/>
              </w:rPr>
              <w:t>11</w:t>
            </w:r>
            <w:r w:rsidR="004C1FD3">
              <w:rPr>
                <w:webHidden/>
              </w:rPr>
              <w:fldChar w:fldCharType="end"/>
            </w:r>
          </w:hyperlink>
        </w:p>
        <w:p w:rsidR="004C1FD3" w:rsidRDefault="00913964">
          <w:pPr>
            <w:pStyle w:val="TOC2"/>
            <w:rPr>
              <w:rFonts w:asciiTheme="minorHAnsi" w:eastAsiaTheme="minorEastAsia" w:hAnsiTheme="minorHAnsi"/>
              <w:b w:val="0"/>
              <w:color w:val="auto"/>
              <w:sz w:val="22"/>
              <w:lang w:eastAsia="en-AU"/>
            </w:rPr>
          </w:pPr>
          <w:hyperlink w:anchor="_Toc485812905" w:history="1">
            <w:r w:rsidR="004C1FD3" w:rsidRPr="00EE5B40">
              <w:rPr>
                <w:rStyle w:val="Hyperlink"/>
              </w:rPr>
              <w:t>4.1</w:t>
            </w:r>
            <w:r w:rsidR="004C1FD3">
              <w:rPr>
                <w:rFonts w:asciiTheme="minorHAnsi" w:eastAsiaTheme="minorEastAsia" w:hAnsiTheme="minorHAnsi"/>
                <w:b w:val="0"/>
                <w:color w:val="auto"/>
                <w:sz w:val="22"/>
                <w:lang w:eastAsia="en-AU"/>
              </w:rPr>
              <w:tab/>
            </w:r>
            <w:r w:rsidR="004C1FD3" w:rsidRPr="00EE5B40">
              <w:rPr>
                <w:rStyle w:val="Hyperlink"/>
              </w:rPr>
              <w:t>Changing the definition of a momentary interruption</w:t>
            </w:r>
            <w:r w:rsidR="004C1FD3">
              <w:rPr>
                <w:webHidden/>
              </w:rPr>
              <w:tab/>
            </w:r>
            <w:r w:rsidR="004C1FD3">
              <w:rPr>
                <w:webHidden/>
              </w:rPr>
              <w:fldChar w:fldCharType="begin"/>
            </w:r>
            <w:r w:rsidR="004C1FD3">
              <w:rPr>
                <w:webHidden/>
              </w:rPr>
              <w:instrText xml:space="preserve"> PAGEREF _Toc485812905 \h </w:instrText>
            </w:r>
            <w:r w:rsidR="004C1FD3">
              <w:rPr>
                <w:webHidden/>
              </w:rPr>
            </w:r>
            <w:r w:rsidR="004C1FD3">
              <w:rPr>
                <w:webHidden/>
              </w:rPr>
              <w:fldChar w:fldCharType="separate"/>
            </w:r>
            <w:r w:rsidR="001C7706">
              <w:rPr>
                <w:webHidden/>
              </w:rPr>
              <w:t>11</w:t>
            </w:r>
            <w:r w:rsidR="004C1FD3">
              <w:rPr>
                <w:webHidden/>
              </w:rPr>
              <w:fldChar w:fldCharType="end"/>
            </w:r>
          </w:hyperlink>
        </w:p>
        <w:p w:rsidR="004C1FD3" w:rsidRDefault="00913964">
          <w:pPr>
            <w:pStyle w:val="TOC2"/>
            <w:rPr>
              <w:rFonts w:asciiTheme="minorHAnsi" w:eastAsiaTheme="minorEastAsia" w:hAnsiTheme="minorHAnsi"/>
              <w:b w:val="0"/>
              <w:color w:val="auto"/>
              <w:sz w:val="22"/>
              <w:lang w:eastAsia="en-AU"/>
            </w:rPr>
          </w:pPr>
          <w:hyperlink w:anchor="_Toc485812909" w:history="1">
            <w:r w:rsidR="004C1FD3" w:rsidRPr="00EE5B40">
              <w:rPr>
                <w:rStyle w:val="Hyperlink"/>
              </w:rPr>
              <w:t>4.2</w:t>
            </w:r>
            <w:r w:rsidR="004C1FD3">
              <w:rPr>
                <w:rFonts w:asciiTheme="minorHAnsi" w:eastAsiaTheme="minorEastAsia" w:hAnsiTheme="minorHAnsi"/>
                <w:b w:val="0"/>
                <w:color w:val="auto"/>
                <w:sz w:val="22"/>
                <w:lang w:eastAsia="en-AU"/>
              </w:rPr>
              <w:tab/>
            </w:r>
            <w:r w:rsidR="004C1FD3" w:rsidRPr="00EE5B40">
              <w:rPr>
                <w:rStyle w:val="Hyperlink"/>
              </w:rPr>
              <w:t>Broadening exclusion conditions</w:t>
            </w:r>
            <w:r w:rsidR="004C1FD3">
              <w:rPr>
                <w:webHidden/>
              </w:rPr>
              <w:tab/>
            </w:r>
            <w:r w:rsidR="004C1FD3">
              <w:rPr>
                <w:webHidden/>
              </w:rPr>
              <w:fldChar w:fldCharType="begin"/>
            </w:r>
            <w:r w:rsidR="004C1FD3">
              <w:rPr>
                <w:webHidden/>
              </w:rPr>
              <w:instrText xml:space="preserve"> PAGEREF _Toc485812909 \h </w:instrText>
            </w:r>
            <w:r w:rsidR="004C1FD3">
              <w:rPr>
                <w:webHidden/>
              </w:rPr>
            </w:r>
            <w:r w:rsidR="004C1FD3">
              <w:rPr>
                <w:webHidden/>
              </w:rPr>
              <w:fldChar w:fldCharType="separate"/>
            </w:r>
            <w:r w:rsidR="001C7706">
              <w:rPr>
                <w:webHidden/>
              </w:rPr>
              <w:t>13</w:t>
            </w:r>
            <w:r w:rsidR="004C1FD3">
              <w:rPr>
                <w:webHidden/>
              </w:rPr>
              <w:fldChar w:fldCharType="end"/>
            </w:r>
          </w:hyperlink>
        </w:p>
        <w:p w:rsidR="004C1FD3" w:rsidRDefault="00913964">
          <w:pPr>
            <w:pStyle w:val="TOC2"/>
            <w:rPr>
              <w:rFonts w:asciiTheme="minorHAnsi" w:eastAsiaTheme="minorEastAsia" w:hAnsiTheme="minorHAnsi"/>
              <w:b w:val="0"/>
              <w:color w:val="auto"/>
              <w:sz w:val="22"/>
              <w:lang w:eastAsia="en-AU"/>
            </w:rPr>
          </w:pPr>
          <w:hyperlink w:anchor="_Toc485812914" w:history="1">
            <w:r w:rsidR="004C1FD3" w:rsidRPr="00EE5B40">
              <w:rPr>
                <w:rStyle w:val="Hyperlink"/>
              </w:rPr>
              <w:t>4.3</w:t>
            </w:r>
            <w:r w:rsidR="004C1FD3">
              <w:rPr>
                <w:rFonts w:asciiTheme="minorHAnsi" w:eastAsiaTheme="minorEastAsia" w:hAnsiTheme="minorHAnsi"/>
                <w:b w:val="0"/>
                <w:color w:val="auto"/>
                <w:sz w:val="22"/>
                <w:lang w:eastAsia="en-AU"/>
              </w:rPr>
              <w:tab/>
            </w:r>
            <w:r w:rsidR="004C1FD3" w:rsidRPr="00EE5B40">
              <w:rPr>
                <w:rStyle w:val="Hyperlink"/>
              </w:rPr>
              <w:t>Broadening the definition of CBD and Urban feeders</w:t>
            </w:r>
            <w:r w:rsidR="004C1FD3">
              <w:rPr>
                <w:webHidden/>
              </w:rPr>
              <w:tab/>
            </w:r>
            <w:r w:rsidR="004C1FD3">
              <w:rPr>
                <w:webHidden/>
              </w:rPr>
              <w:fldChar w:fldCharType="begin"/>
            </w:r>
            <w:r w:rsidR="004C1FD3">
              <w:rPr>
                <w:webHidden/>
              </w:rPr>
              <w:instrText xml:space="preserve"> PAGEREF _Toc485812914 \h </w:instrText>
            </w:r>
            <w:r w:rsidR="004C1FD3">
              <w:rPr>
                <w:webHidden/>
              </w:rPr>
            </w:r>
            <w:r w:rsidR="004C1FD3">
              <w:rPr>
                <w:webHidden/>
              </w:rPr>
              <w:fldChar w:fldCharType="separate"/>
            </w:r>
            <w:r w:rsidR="001C7706">
              <w:rPr>
                <w:webHidden/>
              </w:rPr>
              <w:t>17</w:t>
            </w:r>
            <w:r w:rsidR="004C1FD3">
              <w:rPr>
                <w:webHidden/>
              </w:rPr>
              <w:fldChar w:fldCharType="end"/>
            </w:r>
          </w:hyperlink>
        </w:p>
        <w:p w:rsidR="004C1FD3" w:rsidRDefault="00913964">
          <w:pPr>
            <w:pStyle w:val="TOC2"/>
            <w:rPr>
              <w:rFonts w:asciiTheme="minorHAnsi" w:eastAsiaTheme="minorEastAsia" w:hAnsiTheme="minorHAnsi"/>
              <w:b w:val="0"/>
              <w:color w:val="auto"/>
              <w:sz w:val="22"/>
              <w:lang w:eastAsia="en-AU"/>
            </w:rPr>
          </w:pPr>
          <w:hyperlink w:anchor="_Toc485812915" w:history="1">
            <w:r w:rsidR="004C1FD3" w:rsidRPr="00EE5B40">
              <w:rPr>
                <w:rStyle w:val="Hyperlink"/>
              </w:rPr>
              <w:t>4.4</w:t>
            </w:r>
            <w:r w:rsidR="004C1FD3">
              <w:rPr>
                <w:rFonts w:asciiTheme="minorHAnsi" w:eastAsiaTheme="minorEastAsia" w:hAnsiTheme="minorHAnsi"/>
                <w:b w:val="0"/>
                <w:color w:val="auto"/>
                <w:sz w:val="22"/>
                <w:lang w:eastAsia="en-AU"/>
              </w:rPr>
              <w:tab/>
            </w:r>
            <w:r w:rsidR="004C1FD3" w:rsidRPr="00EE5B40">
              <w:rPr>
                <w:rStyle w:val="Hyperlink"/>
              </w:rPr>
              <w:t>Whether unmetered supply should be included for measuring reliability indicators</w:t>
            </w:r>
            <w:r w:rsidR="004C1FD3">
              <w:rPr>
                <w:webHidden/>
              </w:rPr>
              <w:tab/>
            </w:r>
            <w:r w:rsidR="004C1FD3">
              <w:rPr>
                <w:webHidden/>
              </w:rPr>
              <w:fldChar w:fldCharType="begin"/>
            </w:r>
            <w:r w:rsidR="004C1FD3">
              <w:rPr>
                <w:webHidden/>
              </w:rPr>
              <w:instrText xml:space="preserve"> PAGEREF _Toc485812915 \h </w:instrText>
            </w:r>
            <w:r w:rsidR="004C1FD3">
              <w:rPr>
                <w:webHidden/>
              </w:rPr>
            </w:r>
            <w:r w:rsidR="004C1FD3">
              <w:rPr>
                <w:webHidden/>
              </w:rPr>
              <w:fldChar w:fldCharType="separate"/>
            </w:r>
            <w:r w:rsidR="001C7706">
              <w:rPr>
                <w:webHidden/>
              </w:rPr>
              <w:t>18</w:t>
            </w:r>
            <w:r w:rsidR="004C1FD3">
              <w:rPr>
                <w:webHidden/>
              </w:rPr>
              <w:fldChar w:fldCharType="end"/>
            </w:r>
          </w:hyperlink>
        </w:p>
        <w:p w:rsidR="004C1FD3" w:rsidRDefault="00913964">
          <w:pPr>
            <w:pStyle w:val="TOC2"/>
            <w:rPr>
              <w:rFonts w:asciiTheme="minorHAnsi" w:eastAsiaTheme="minorEastAsia" w:hAnsiTheme="minorHAnsi"/>
              <w:b w:val="0"/>
              <w:color w:val="auto"/>
              <w:sz w:val="22"/>
              <w:lang w:eastAsia="en-AU"/>
            </w:rPr>
          </w:pPr>
          <w:hyperlink w:anchor="_Toc485812916" w:history="1">
            <w:r w:rsidR="004C1FD3" w:rsidRPr="00EE5B40">
              <w:rPr>
                <w:rStyle w:val="Hyperlink"/>
              </w:rPr>
              <w:t>4.5</w:t>
            </w:r>
            <w:r w:rsidR="004C1FD3">
              <w:rPr>
                <w:rFonts w:asciiTheme="minorHAnsi" w:eastAsiaTheme="minorEastAsia" w:hAnsiTheme="minorHAnsi"/>
                <w:b w:val="0"/>
                <w:color w:val="auto"/>
                <w:sz w:val="22"/>
                <w:lang w:eastAsia="en-AU"/>
              </w:rPr>
              <w:tab/>
            </w:r>
            <w:r w:rsidR="004C1FD3" w:rsidRPr="00EE5B40">
              <w:rPr>
                <w:rStyle w:val="Hyperlink"/>
              </w:rPr>
              <w:t>Improving consistency of measurement methods</w:t>
            </w:r>
            <w:r w:rsidR="004C1FD3">
              <w:rPr>
                <w:webHidden/>
              </w:rPr>
              <w:tab/>
            </w:r>
            <w:r w:rsidR="004C1FD3">
              <w:rPr>
                <w:webHidden/>
              </w:rPr>
              <w:fldChar w:fldCharType="begin"/>
            </w:r>
            <w:r w:rsidR="004C1FD3">
              <w:rPr>
                <w:webHidden/>
              </w:rPr>
              <w:instrText xml:space="preserve"> PAGEREF _Toc485812916 \h </w:instrText>
            </w:r>
            <w:r w:rsidR="004C1FD3">
              <w:rPr>
                <w:webHidden/>
              </w:rPr>
            </w:r>
            <w:r w:rsidR="004C1FD3">
              <w:rPr>
                <w:webHidden/>
              </w:rPr>
              <w:fldChar w:fldCharType="separate"/>
            </w:r>
            <w:r w:rsidR="001C7706">
              <w:rPr>
                <w:webHidden/>
              </w:rPr>
              <w:t>20</w:t>
            </w:r>
            <w:r w:rsidR="004C1FD3">
              <w:rPr>
                <w:webHidden/>
              </w:rPr>
              <w:fldChar w:fldCharType="end"/>
            </w:r>
          </w:hyperlink>
        </w:p>
        <w:p w:rsidR="004C1FD3" w:rsidRDefault="00913964">
          <w:pPr>
            <w:pStyle w:val="TOC2"/>
            <w:rPr>
              <w:rFonts w:asciiTheme="minorHAnsi" w:eastAsiaTheme="minorEastAsia" w:hAnsiTheme="minorHAnsi"/>
              <w:b w:val="0"/>
              <w:color w:val="auto"/>
              <w:sz w:val="22"/>
              <w:lang w:eastAsia="en-AU"/>
            </w:rPr>
          </w:pPr>
          <w:hyperlink w:anchor="_Toc485812917" w:history="1">
            <w:r w:rsidR="004C1FD3" w:rsidRPr="00EE5B40">
              <w:rPr>
                <w:rStyle w:val="Hyperlink"/>
              </w:rPr>
              <w:t>4.6</w:t>
            </w:r>
            <w:r w:rsidR="004C1FD3">
              <w:rPr>
                <w:rFonts w:asciiTheme="minorHAnsi" w:eastAsiaTheme="minorEastAsia" w:hAnsiTheme="minorHAnsi"/>
                <w:b w:val="0"/>
                <w:color w:val="auto"/>
                <w:sz w:val="22"/>
                <w:lang w:eastAsia="en-AU"/>
              </w:rPr>
              <w:tab/>
            </w:r>
            <w:r w:rsidR="004C1FD3" w:rsidRPr="00EE5B40">
              <w:rPr>
                <w:rStyle w:val="Hyperlink"/>
              </w:rPr>
              <w:t>Supply outages due to malfunction of energy meters</w:t>
            </w:r>
            <w:r w:rsidR="004C1FD3">
              <w:rPr>
                <w:webHidden/>
              </w:rPr>
              <w:tab/>
            </w:r>
            <w:r w:rsidR="004C1FD3">
              <w:rPr>
                <w:webHidden/>
              </w:rPr>
              <w:fldChar w:fldCharType="begin"/>
            </w:r>
            <w:r w:rsidR="004C1FD3">
              <w:rPr>
                <w:webHidden/>
              </w:rPr>
              <w:instrText xml:space="preserve"> PAGEREF _Toc485812917 \h </w:instrText>
            </w:r>
            <w:r w:rsidR="004C1FD3">
              <w:rPr>
                <w:webHidden/>
              </w:rPr>
            </w:r>
            <w:r w:rsidR="004C1FD3">
              <w:rPr>
                <w:webHidden/>
              </w:rPr>
              <w:fldChar w:fldCharType="separate"/>
            </w:r>
            <w:r w:rsidR="001C7706">
              <w:rPr>
                <w:webHidden/>
              </w:rPr>
              <w:t>21</w:t>
            </w:r>
            <w:r w:rsidR="004C1FD3">
              <w:rPr>
                <w:webHidden/>
              </w:rPr>
              <w:fldChar w:fldCharType="end"/>
            </w:r>
          </w:hyperlink>
        </w:p>
        <w:p w:rsidR="004C1FD3" w:rsidRDefault="00913964">
          <w:pPr>
            <w:pStyle w:val="TOC2"/>
            <w:rPr>
              <w:rFonts w:asciiTheme="minorHAnsi" w:eastAsiaTheme="minorEastAsia" w:hAnsiTheme="minorHAnsi"/>
              <w:b w:val="0"/>
              <w:color w:val="auto"/>
              <w:sz w:val="22"/>
              <w:lang w:eastAsia="en-AU"/>
            </w:rPr>
          </w:pPr>
          <w:hyperlink w:anchor="_Toc485812918" w:history="1">
            <w:r w:rsidR="004C1FD3" w:rsidRPr="00EE5B40">
              <w:rPr>
                <w:rStyle w:val="Hyperlink"/>
              </w:rPr>
              <w:t>4.7</w:t>
            </w:r>
            <w:r w:rsidR="004C1FD3">
              <w:rPr>
                <w:rFonts w:asciiTheme="minorHAnsi" w:eastAsiaTheme="minorEastAsia" w:hAnsiTheme="minorHAnsi"/>
                <w:b w:val="0"/>
                <w:color w:val="auto"/>
                <w:sz w:val="22"/>
                <w:lang w:eastAsia="en-AU"/>
              </w:rPr>
              <w:tab/>
            </w:r>
            <w:r w:rsidR="004C1FD3" w:rsidRPr="00EE5B40">
              <w:rPr>
                <w:rStyle w:val="Hyperlink"/>
              </w:rPr>
              <w:t>Adding a reliability measure to identify customers with unsatisfactory reliability levels outcomes</w:t>
            </w:r>
            <w:r w:rsidR="004C1FD3">
              <w:rPr>
                <w:webHidden/>
              </w:rPr>
              <w:tab/>
            </w:r>
            <w:r w:rsidR="004C1FD3">
              <w:rPr>
                <w:webHidden/>
              </w:rPr>
              <w:fldChar w:fldCharType="begin"/>
            </w:r>
            <w:r w:rsidR="004C1FD3">
              <w:rPr>
                <w:webHidden/>
              </w:rPr>
              <w:instrText xml:space="preserve"> PAGEREF _Toc485812918 \h </w:instrText>
            </w:r>
            <w:r w:rsidR="004C1FD3">
              <w:rPr>
                <w:webHidden/>
              </w:rPr>
            </w:r>
            <w:r w:rsidR="004C1FD3">
              <w:rPr>
                <w:webHidden/>
              </w:rPr>
              <w:fldChar w:fldCharType="separate"/>
            </w:r>
            <w:r w:rsidR="001C7706">
              <w:rPr>
                <w:webHidden/>
              </w:rPr>
              <w:t>22</w:t>
            </w:r>
            <w:r w:rsidR="004C1FD3">
              <w:rPr>
                <w:webHidden/>
              </w:rPr>
              <w:fldChar w:fldCharType="end"/>
            </w:r>
          </w:hyperlink>
        </w:p>
        <w:p w:rsidR="004C1FD3" w:rsidRDefault="00913964">
          <w:pPr>
            <w:pStyle w:val="TOC1"/>
            <w:rPr>
              <w:rFonts w:asciiTheme="minorHAnsi" w:eastAsiaTheme="minorEastAsia" w:hAnsiTheme="minorHAnsi"/>
              <w:b w:val="0"/>
              <w:color w:val="auto"/>
              <w:sz w:val="22"/>
              <w:lang w:val="en-AU" w:eastAsia="en-AU"/>
            </w:rPr>
          </w:pPr>
          <w:hyperlink w:anchor="_Toc485812919" w:history="1">
            <w:r w:rsidR="004C1FD3" w:rsidRPr="00EE5B40">
              <w:rPr>
                <w:rStyle w:val="Hyperlink"/>
              </w:rPr>
              <w:t>5</w:t>
            </w:r>
            <w:r w:rsidR="004C1FD3">
              <w:rPr>
                <w:rFonts w:asciiTheme="minorHAnsi" w:eastAsiaTheme="minorEastAsia" w:hAnsiTheme="minorHAnsi"/>
                <w:b w:val="0"/>
                <w:color w:val="auto"/>
                <w:sz w:val="22"/>
                <w:lang w:val="en-AU" w:eastAsia="en-AU"/>
              </w:rPr>
              <w:tab/>
            </w:r>
            <w:r w:rsidR="004C1FD3" w:rsidRPr="00EE5B40">
              <w:rPr>
                <w:rStyle w:val="Hyperlink"/>
              </w:rPr>
              <w:t>Implementation and reporting</w:t>
            </w:r>
            <w:r w:rsidR="004C1FD3">
              <w:rPr>
                <w:webHidden/>
              </w:rPr>
              <w:tab/>
            </w:r>
            <w:r w:rsidR="004C1FD3">
              <w:rPr>
                <w:webHidden/>
              </w:rPr>
              <w:fldChar w:fldCharType="begin"/>
            </w:r>
            <w:r w:rsidR="004C1FD3">
              <w:rPr>
                <w:webHidden/>
              </w:rPr>
              <w:instrText xml:space="preserve"> PAGEREF _Toc485812919 \h </w:instrText>
            </w:r>
            <w:r w:rsidR="004C1FD3">
              <w:rPr>
                <w:webHidden/>
              </w:rPr>
            </w:r>
            <w:r w:rsidR="004C1FD3">
              <w:rPr>
                <w:webHidden/>
              </w:rPr>
              <w:fldChar w:fldCharType="separate"/>
            </w:r>
            <w:r w:rsidR="001C7706">
              <w:rPr>
                <w:webHidden/>
              </w:rPr>
              <w:t>25</w:t>
            </w:r>
            <w:r w:rsidR="004C1FD3">
              <w:rPr>
                <w:webHidden/>
              </w:rPr>
              <w:fldChar w:fldCharType="end"/>
            </w:r>
          </w:hyperlink>
        </w:p>
        <w:p w:rsidR="004C1FD3" w:rsidRDefault="00913964">
          <w:pPr>
            <w:pStyle w:val="TOC2"/>
            <w:rPr>
              <w:rFonts w:asciiTheme="minorHAnsi" w:eastAsiaTheme="minorEastAsia" w:hAnsiTheme="minorHAnsi"/>
              <w:b w:val="0"/>
              <w:color w:val="auto"/>
              <w:sz w:val="22"/>
              <w:lang w:eastAsia="en-AU"/>
            </w:rPr>
          </w:pPr>
          <w:hyperlink w:anchor="_Toc485812920" w:history="1">
            <w:r w:rsidR="004C1FD3" w:rsidRPr="00EE5B40">
              <w:rPr>
                <w:rStyle w:val="Hyperlink"/>
              </w:rPr>
              <w:t>A.1</w:t>
            </w:r>
            <w:r w:rsidR="004C1FD3">
              <w:rPr>
                <w:rFonts w:asciiTheme="minorHAnsi" w:eastAsiaTheme="minorEastAsia" w:hAnsiTheme="minorHAnsi"/>
                <w:b w:val="0"/>
                <w:color w:val="auto"/>
                <w:sz w:val="22"/>
                <w:lang w:eastAsia="en-AU"/>
              </w:rPr>
              <w:tab/>
            </w:r>
            <w:r w:rsidR="004C1FD3" w:rsidRPr="00EE5B40">
              <w:rPr>
                <w:rStyle w:val="Hyperlink"/>
              </w:rPr>
              <w:t>IEEE 1366 2.5 beta method</w:t>
            </w:r>
            <w:r w:rsidR="004C1FD3">
              <w:rPr>
                <w:webHidden/>
              </w:rPr>
              <w:tab/>
            </w:r>
            <w:r w:rsidR="004C1FD3">
              <w:rPr>
                <w:webHidden/>
              </w:rPr>
              <w:fldChar w:fldCharType="begin"/>
            </w:r>
            <w:r w:rsidR="004C1FD3">
              <w:rPr>
                <w:webHidden/>
              </w:rPr>
              <w:instrText xml:space="preserve"> PAGEREF _Toc485812920 \h </w:instrText>
            </w:r>
            <w:r w:rsidR="004C1FD3">
              <w:rPr>
                <w:webHidden/>
              </w:rPr>
            </w:r>
            <w:r w:rsidR="004C1FD3">
              <w:rPr>
                <w:webHidden/>
              </w:rPr>
              <w:fldChar w:fldCharType="separate"/>
            </w:r>
            <w:r w:rsidR="001C7706">
              <w:rPr>
                <w:webHidden/>
              </w:rPr>
              <w:t>26</w:t>
            </w:r>
            <w:r w:rsidR="004C1FD3">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18" w:name="_Toc404700925"/>
      <w:bookmarkStart w:id="19" w:name="_Toc485812898"/>
      <w:r>
        <w:lastRenderedPageBreak/>
        <w:t>Shortened forms</w:t>
      </w:r>
      <w:bookmarkEnd w:id="18"/>
      <w:bookmarkEnd w:id="19"/>
    </w:p>
    <w:tbl>
      <w:tblPr>
        <w:tblStyle w:val="AERtable-numbers"/>
        <w:tblW w:w="0" w:type="auto"/>
        <w:tblLook w:val="04A0" w:firstRow="1" w:lastRow="0" w:firstColumn="1" w:lastColumn="0" w:noHBand="0" w:noVBand="1"/>
      </w:tblPr>
      <w:tblGrid>
        <w:gridCol w:w="3652"/>
        <w:gridCol w:w="5041"/>
      </w:tblGrid>
      <w:tr w:rsidR="00E7494F" w:rsidTr="000B15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E7494F" w:rsidRDefault="00E7494F" w:rsidP="00E7494F">
            <w:pPr>
              <w:numPr>
                <w:ilvl w:val="0"/>
                <w:numId w:val="24"/>
              </w:numPr>
            </w:pPr>
            <w:r>
              <w:t>Shortened form</w:t>
            </w:r>
          </w:p>
        </w:tc>
        <w:tc>
          <w:tcPr>
            <w:tcW w:w="5041" w:type="dxa"/>
          </w:tcPr>
          <w:p w:rsidR="00E7494F" w:rsidRDefault="00E7494F" w:rsidP="00E7494F">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671A17" w:rsidTr="000B15BF">
        <w:tc>
          <w:tcPr>
            <w:cnfStyle w:val="001000000000" w:firstRow="0" w:lastRow="0" w:firstColumn="1" w:lastColumn="0" w:oddVBand="0" w:evenVBand="0" w:oddHBand="0" w:evenHBand="0" w:firstRowFirstColumn="0" w:firstRowLastColumn="0" w:lastRowFirstColumn="0" w:lastRowLastColumn="0"/>
            <w:tcW w:w="3652" w:type="dxa"/>
          </w:tcPr>
          <w:p w:rsidR="00671A17" w:rsidRPr="00671A17" w:rsidRDefault="00671A17" w:rsidP="00671A17">
            <w:pPr>
              <w:pStyle w:val="AERtabletextleft"/>
              <w:rPr>
                <w:rStyle w:val="AERtextsize8"/>
              </w:rPr>
            </w:pPr>
            <w:r w:rsidRPr="00712239">
              <w:rPr>
                <w:rStyle w:val="AERtextsize8"/>
              </w:rPr>
              <w:t>AEMC</w:t>
            </w:r>
          </w:p>
        </w:tc>
        <w:tc>
          <w:tcPr>
            <w:tcW w:w="5041" w:type="dxa"/>
          </w:tcPr>
          <w:p w:rsidR="00671A17" w:rsidRPr="00671A17" w:rsidRDefault="00671A17" w:rsidP="00671A17">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Australian Energy Market Commission</w:t>
            </w:r>
          </w:p>
        </w:tc>
      </w:tr>
      <w:tr w:rsidR="00671A17" w:rsidTr="000B15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71A17" w:rsidRPr="00671A17" w:rsidRDefault="00671A17" w:rsidP="00671A17">
            <w:pPr>
              <w:pStyle w:val="AERtabletextleft"/>
              <w:rPr>
                <w:rStyle w:val="AERtextsize8"/>
              </w:rPr>
            </w:pPr>
            <w:r w:rsidRPr="00712239">
              <w:rPr>
                <w:rStyle w:val="AERtextsize8"/>
              </w:rPr>
              <w:t>AER</w:t>
            </w:r>
          </w:p>
        </w:tc>
        <w:tc>
          <w:tcPr>
            <w:tcW w:w="5041" w:type="dxa"/>
          </w:tcPr>
          <w:p w:rsidR="00671A17" w:rsidRPr="00671A17" w:rsidRDefault="00671A17" w:rsidP="00671A17">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 xml:space="preserve">Australian Energy </w:t>
            </w:r>
            <w:r w:rsidRPr="00671A17">
              <w:rPr>
                <w:rStyle w:val="AERtextsize8"/>
              </w:rPr>
              <w:t>Regulator</w:t>
            </w:r>
          </w:p>
        </w:tc>
      </w:tr>
      <w:tr w:rsidR="00671A17" w:rsidTr="000B15BF">
        <w:tc>
          <w:tcPr>
            <w:cnfStyle w:val="001000000000" w:firstRow="0" w:lastRow="0" w:firstColumn="1" w:lastColumn="0" w:oddVBand="0" w:evenVBand="0" w:oddHBand="0" w:evenHBand="0" w:firstRowFirstColumn="0" w:firstRowLastColumn="0" w:lastRowFirstColumn="0" w:lastRowLastColumn="0"/>
            <w:tcW w:w="3652" w:type="dxa"/>
          </w:tcPr>
          <w:p w:rsidR="00671A17" w:rsidRPr="00671A17" w:rsidRDefault="00671A17" w:rsidP="00671A17">
            <w:pPr>
              <w:pStyle w:val="AERtabletextleft"/>
              <w:rPr>
                <w:rStyle w:val="AERtextsize8"/>
              </w:rPr>
            </w:pPr>
            <w:r w:rsidRPr="00712239">
              <w:rPr>
                <w:rStyle w:val="AERtextsize8"/>
              </w:rPr>
              <w:t>distributor</w:t>
            </w:r>
          </w:p>
        </w:tc>
        <w:tc>
          <w:tcPr>
            <w:tcW w:w="5041" w:type="dxa"/>
          </w:tcPr>
          <w:p w:rsidR="00671A17" w:rsidRPr="00671A17" w:rsidRDefault="00671A17" w:rsidP="00671A17">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distribution network service provider</w:t>
            </w:r>
          </w:p>
        </w:tc>
      </w:tr>
      <w:tr w:rsidR="00671A17" w:rsidTr="000B15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71A17" w:rsidRPr="00712239" w:rsidRDefault="00671A17" w:rsidP="00671A17">
            <w:pPr>
              <w:pStyle w:val="AERtabletextleft"/>
              <w:rPr>
                <w:rStyle w:val="AERtextsize8"/>
              </w:rPr>
            </w:pPr>
            <w:r>
              <w:rPr>
                <w:rStyle w:val="AERtextsize8"/>
              </w:rPr>
              <w:t>MAIFI</w:t>
            </w:r>
          </w:p>
        </w:tc>
        <w:tc>
          <w:tcPr>
            <w:tcW w:w="5041" w:type="dxa"/>
          </w:tcPr>
          <w:p w:rsidR="00671A17" w:rsidRPr="00712239" w:rsidRDefault="00671A17" w:rsidP="00671A17">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r>
              <w:rPr>
                <w:rStyle w:val="AERtextsize8"/>
              </w:rPr>
              <w:t>m</w:t>
            </w:r>
            <w:r w:rsidRPr="00671A17">
              <w:rPr>
                <w:rStyle w:val="AERtextsize8"/>
              </w:rPr>
              <w:t>omentary average interruption frequency index</w:t>
            </w:r>
          </w:p>
        </w:tc>
      </w:tr>
      <w:tr w:rsidR="00671A17" w:rsidTr="000B15BF">
        <w:tc>
          <w:tcPr>
            <w:cnfStyle w:val="001000000000" w:firstRow="0" w:lastRow="0" w:firstColumn="1" w:lastColumn="0" w:oddVBand="0" w:evenVBand="0" w:oddHBand="0" w:evenHBand="0" w:firstRowFirstColumn="0" w:firstRowLastColumn="0" w:lastRowFirstColumn="0" w:lastRowLastColumn="0"/>
            <w:tcW w:w="3652" w:type="dxa"/>
          </w:tcPr>
          <w:p w:rsidR="00671A17" w:rsidRPr="00671A17" w:rsidRDefault="00671A17" w:rsidP="00671A17">
            <w:pPr>
              <w:pStyle w:val="AERtabletextleft"/>
              <w:rPr>
                <w:rStyle w:val="AERtextsize8"/>
              </w:rPr>
            </w:pPr>
            <w:r w:rsidRPr="00712239">
              <w:rPr>
                <w:rStyle w:val="AERtextsize8"/>
              </w:rPr>
              <w:t>NEL</w:t>
            </w:r>
          </w:p>
        </w:tc>
        <w:tc>
          <w:tcPr>
            <w:tcW w:w="5041" w:type="dxa"/>
          </w:tcPr>
          <w:p w:rsidR="00671A17" w:rsidRPr="00671A17" w:rsidRDefault="00671A17" w:rsidP="00671A17">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national electricity law</w:t>
            </w:r>
          </w:p>
        </w:tc>
      </w:tr>
      <w:tr w:rsidR="00251E5F" w:rsidTr="000B15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251E5F" w:rsidRPr="00712239" w:rsidRDefault="00251E5F" w:rsidP="00671A17">
            <w:pPr>
              <w:pStyle w:val="AERtabletextleft"/>
              <w:rPr>
                <w:rStyle w:val="AERtextsize8"/>
              </w:rPr>
            </w:pPr>
            <w:r>
              <w:rPr>
                <w:rStyle w:val="AERtextsize8"/>
              </w:rPr>
              <w:t>MAIFIe</w:t>
            </w:r>
          </w:p>
        </w:tc>
        <w:tc>
          <w:tcPr>
            <w:tcW w:w="5041" w:type="dxa"/>
          </w:tcPr>
          <w:p w:rsidR="00251E5F" w:rsidRPr="00712239" w:rsidRDefault="00251E5F" w:rsidP="00671A17">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r>
              <w:rPr>
                <w:rStyle w:val="AERtextsize8"/>
              </w:rPr>
              <w:t>m</w:t>
            </w:r>
            <w:r w:rsidRPr="00251E5F">
              <w:rPr>
                <w:rStyle w:val="AERtextsize8"/>
              </w:rPr>
              <w:t>omentary average interruption frequency index</w:t>
            </w:r>
            <w:r>
              <w:rPr>
                <w:rStyle w:val="AERtextsize8"/>
              </w:rPr>
              <w:t xml:space="preserve"> event</w:t>
            </w:r>
          </w:p>
        </w:tc>
      </w:tr>
      <w:tr w:rsidR="00671A17" w:rsidTr="000B15BF">
        <w:tc>
          <w:tcPr>
            <w:cnfStyle w:val="001000000000" w:firstRow="0" w:lastRow="0" w:firstColumn="1" w:lastColumn="0" w:oddVBand="0" w:evenVBand="0" w:oddHBand="0" w:evenHBand="0" w:firstRowFirstColumn="0" w:firstRowLastColumn="0" w:lastRowFirstColumn="0" w:lastRowLastColumn="0"/>
            <w:tcW w:w="3652" w:type="dxa"/>
          </w:tcPr>
          <w:p w:rsidR="00671A17" w:rsidRPr="00671A17" w:rsidRDefault="00671A17" w:rsidP="00671A17">
            <w:pPr>
              <w:pStyle w:val="AERtabletextleft"/>
              <w:rPr>
                <w:rStyle w:val="AERtextsize8"/>
              </w:rPr>
            </w:pPr>
            <w:r w:rsidRPr="00712239">
              <w:rPr>
                <w:rStyle w:val="AERtextsize8"/>
              </w:rPr>
              <w:t>NER</w:t>
            </w:r>
          </w:p>
        </w:tc>
        <w:tc>
          <w:tcPr>
            <w:tcW w:w="5041" w:type="dxa"/>
          </w:tcPr>
          <w:p w:rsidR="00671A17" w:rsidRPr="00671A17" w:rsidRDefault="00671A17" w:rsidP="00671A17">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national electricity rules</w:t>
            </w:r>
          </w:p>
        </w:tc>
      </w:tr>
      <w:tr w:rsidR="00671A17" w:rsidTr="000B15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71A17" w:rsidRPr="00671A17" w:rsidRDefault="00671A17" w:rsidP="00671A17">
            <w:pPr>
              <w:pStyle w:val="AERtabletextleft"/>
              <w:rPr>
                <w:rStyle w:val="AERtextsize8"/>
              </w:rPr>
            </w:pPr>
            <w:r w:rsidRPr="00712239">
              <w:rPr>
                <w:rStyle w:val="AERtextsize8"/>
              </w:rPr>
              <w:t>RIN</w:t>
            </w:r>
          </w:p>
        </w:tc>
        <w:tc>
          <w:tcPr>
            <w:tcW w:w="5041" w:type="dxa"/>
          </w:tcPr>
          <w:p w:rsidR="00671A17" w:rsidRPr="00671A17" w:rsidRDefault="00671A17" w:rsidP="00671A17">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regulatory information notice</w:t>
            </w:r>
          </w:p>
        </w:tc>
      </w:tr>
      <w:tr w:rsidR="00671A17" w:rsidTr="000B15BF">
        <w:tc>
          <w:tcPr>
            <w:cnfStyle w:val="001000000000" w:firstRow="0" w:lastRow="0" w:firstColumn="1" w:lastColumn="0" w:oddVBand="0" w:evenVBand="0" w:oddHBand="0" w:evenHBand="0" w:firstRowFirstColumn="0" w:firstRowLastColumn="0" w:lastRowFirstColumn="0" w:lastRowLastColumn="0"/>
            <w:tcW w:w="3652" w:type="dxa"/>
          </w:tcPr>
          <w:p w:rsidR="00671A17" w:rsidRPr="00671A17" w:rsidRDefault="00671A17" w:rsidP="00671A17">
            <w:pPr>
              <w:pStyle w:val="AERtabletextleft"/>
              <w:rPr>
                <w:rStyle w:val="AERtextsize8"/>
              </w:rPr>
            </w:pPr>
            <w:r w:rsidRPr="00712239">
              <w:rPr>
                <w:rStyle w:val="AERtextsize8"/>
              </w:rPr>
              <w:t>SAIDI</w:t>
            </w:r>
          </w:p>
        </w:tc>
        <w:tc>
          <w:tcPr>
            <w:tcW w:w="5041" w:type="dxa"/>
          </w:tcPr>
          <w:p w:rsidR="00671A17" w:rsidRPr="00671A17" w:rsidRDefault="00671A17" w:rsidP="00671A17">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 xml:space="preserve">system average </w:t>
            </w:r>
            <w:r w:rsidRPr="00671A17">
              <w:rPr>
                <w:rStyle w:val="AERtextsize8"/>
              </w:rPr>
              <w:t>interruption duration index</w:t>
            </w:r>
          </w:p>
        </w:tc>
      </w:tr>
      <w:tr w:rsidR="00671A17" w:rsidTr="000B15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71A17" w:rsidRPr="00671A17" w:rsidRDefault="00671A17" w:rsidP="00671A17">
            <w:pPr>
              <w:pStyle w:val="AERtabletextleft"/>
              <w:rPr>
                <w:rStyle w:val="AERtextsize8"/>
              </w:rPr>
            </w:pPr>
            <w:r w:rsidRPr="00712239">
              <w:rPr>
                <w:rStyle w:val="AERtextsize8"/>
              </w:rPr>
              <w:t>SAIFI</w:t>
            </w:r>
          </w:p>
        </w:tc>
        <w:tc>
          <w:tcPr>
            <w:tcW w:w="5041" w:type="dxa"/>
          </w:tcPr>
          <w:p w:rsidR="00671A17" w:rsidRPr="00671A17" w:rsidRDefault="00671A17" w:rsidP="00671A17">
            <w:pPr>
              <w:pStyle w:val="AERtabletextleft"/>
              <w:cnfStyle w:val="000000010000" w:firstRow="0" w:lastRow="0" w:firstColumn="0" w:lastColumn="0" w:oddVBand="0" w:evenVBand="0" w:oddHBand="0" w:evenHBand="1" w:firstRowFirstColumn="0" w:firstRowLastColumn="0" w:lastRowFirstColumn="0" w:lastRowLastColumn="0"/>
              <w:rPr>
                <w:rStyle w:val="AERtextsize8"/>
              </w:rPr>
            </w:pPr>
            <w:r w:rsidRPr="00712239">
              <w:rPr>
                <w:rStyle w:val="AERtextsize8"/>
              </w:rPr>
              <w:t>system average interruption frequency index</w:t>
            </w:r>
          </w:p>
        </w:tc>
      </w:tr>
      <w:tr w:rsidR="00671A17" w:rsidTr="000B15BF">
        <w:tc>
          <w:tcPr>
            <w:cnfStyle w:val="001000000000" w:firstRow="0" w:lastRow="0" w:firstColumn="1" w:lastColumn="0" w:oddVBand="0" w:evenVBand="0" w:oddHBand="0" w:evenHBand="0" w:firstRowFirstColumn="0" w:firstRowLastColumn="0" w:lastRowFirstColumn="0" w:lastRowLastColumn="0"/>
            <w:tcW w:w="3652" w:type="dxa"/>
          </w:tcPr>
          <w:p w:rsidR="00671A17" w:rsidRPr="00671A17" w:rsidRDefault="00671A17" w:rsidP="00671A17">
            <w:pPr>
              <w:pStyle w:val="AERtabletextleft"/>
              <w:rPr>
                <w:rStyle w:val="AERtextsize8"/>
              </w:rPr>
            </w:pPr>
            <w:r w:rsidRPr="00712239">
              <w:rPr>
                <w:rStyle w:val="AERtextsize8"/>
              </w:rPr>
              <w:t>STPIS</w:t>
            </w:r>
          </w:p>
        </w:tc>
        <w:tc>
          <w:tcPr>
            <w:tcW w:w="5041" w:type="dxa"/>
          </w:tcPr>
          <w:p w:rsidR="00671A17" w:rsidRPr="00671A17" w:rsidRDefault="00671A17" w:rsidP="00671A17">
            <w:pPr>
              <w:pStyle w:val="AERtabletextleft"/>
              <w:cnfStyle w:val="000000000000" w:firstRow="0" w:lastRow="0" w:firstColumn="0" w:lastColumn="0" w:oddVBand="0" w:evenVBand="0" w:oddHBand="0" w:evenHBand="0" w:firstRowFirstColumn="0" w:firstRowLastColumn="0" w:lastRowFirstColumn="0" w:lastRowLastColumn="0"/>
              <w:rPr>
                <w:rStyle w:val="AERtextsize8"/>
              </w:rPr>
            </w:pPr>
            <w:r w:rsidRPr="00712239">
              <w:rPr>
                <w:rStyle w:val="AERtextsize8"/>
              </w:rPr>
              <w:t>service target performance incentive scheme</w:t>
            </w:r>
          </w:p>
        </w:tc>
      </w:tr>
    </w:tbl>
    <w:p w:rsidR="00185A92" w:rsidRPr="00185A92" w:rsidRDefault="00185A92" w:rsidP="00185A92">
      <w:bookmarkStart w:id="20" w:name="_Toc470005394"/>
      <w:bookmarkStart w:id="21" w:name="_Toc470005478"/>
      <w:bookmarkStart w:id="22" w:name="_Toc470005395"/>
      <w:bookmarkStart w:id="23" w:name="_Toc470005479"/>
      <w:bookmarkStart w:id="24" w:name="_Toc470005396"/>
      <w:bookmarkStart w:id="25" w:name="_Toc470005480"/>
      <w:bookmarkStart w:id="26" w:name="_Toc470005397"/>
      <w:bookmarkStart w:id="27" w:name="_Toc470005481"/>
      <w:bookmarkStart w:id="28" w:name="_Toc470005398"/>
      <w:bookmarkStart w:id="29" w:name="_Toc470005482"/>
      <w:bookmarkStart w:id="30" w:name="_Toc470005399"/>
      <w:bookmarkStart w:id="31" w:name="_Toc470005483"/>
      <w:bookmarkStart w:id="32" w:name="_Toc470005400"/>
      <w:bookmarkStart w:id="33" w:name="_Toc470005484"/>
      <w:bookmarkStart w:id="34" w:name="_Toc470005401"/>
      <w:bookmarkStart w:id="35" w:name="_Toc470005485"/>
      <w:bookmarkStart w:id="36" w:name="_Toc470005402"/>
      <w:bookmarkStart w:id="37" w:name="_Toc470005486"/>
      <w:bookmarkStart w:id="38" w:name="_Toc470005403"/>
      <w:bookmarkStart w:id="39" w:name="_Toc470005487"/>
      <w:bookmarkStart w:id="40" w:name="_Toc470005404"/>
      <w:bookmarkStart w:id="41" w:name="_Toc470005488"/>
      <w:bookmarkStart w:id="42" w:name="_Toc470005405"/>
      <w:bookmarkStart w:id="43" w:name="_Toc470005489"/>
      <w:bookmarkStart w:id="44" w:name="_Toc470005406"/>
      <w:bookmarkStart w:id="45" w:name="_Toc470005490"/>
      <w:bookmarkStart w:id="46" w:name="_Toc470005407"/>
      <w:bookmarkStart w:id="47" w:name="_Toc470005491"/>
      <w:bookmarkStart w:id="48" w:name="_Toc470005408"/>
      <w:bookmarkStart w:id="49" w:name="_Toc470005492"/>
      <w:bookmarkStart w:id="50" w:name="_Toc430002782"/>
      <w:bookmarkStart w:id="51" w:name="_Toc43604616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8F24D9" w:rsidRDefault="008F0E11" w:rsidP="008F24D9">
      <w:pPr>
        <w:pStyle w:val="Heading1"/>
      </w:pPr>
      <w:bookmarkStart w:id="52" w:name="_Toc485812899"/>
      <w:r>
        <w:lastRenderedPageBreak/>
        <w:t>Summary</w:t>
      </w:r>
      <w:bookmarkEnd w:id="52"/>
    </w:p>
    <w:p w:rsidR="00904074" w:rsidRPr="00904074" w:rsidRDefault="00904074" w:rsidP="00904074">
      <w:r w:rsidRPr="00904074">
        <w:t>We are required to publish, administer and maintain a Distribution Reliability Measures Guidelines in accordance with rule 6.28 of the National Electricity Rules (NER) with the purpose of prescribing a set of common definitions and parameters to assess and compare the reliability performance of distributors.</w:t>
      </w:r>
    </w:p>
    <w:p w:rsidR="00904074" w:rsidRPr="00904074" w:rsidRDefault="00904074" w:rsidP="00904074">
      <w:r w:rsidRPr="00904074">
        <w:t xml:space="preserve">Accompanying the </w:t>
      </w:r>
      <w:r w:rsidR="00EA2707">
        <w:t>Draft Guideline</w:t>
      </w:r>
      <w:r w:rsidRPr="00904074">
        <w:t xml:space="preserve"> is an explanatory statement outlining our reasons for implementing distribution reliability measures and seeks stakeholders’ responses on adopting these measures.</w:t>
      </w:r>
    </w:p>
    <w:p w:rsidR="00BF4D13" w:rsidRDefault="00904074" w:rsidP="008F24D9">
      <w:r>
        <w:t>In developing the G</w:t>
      </w:r>
      <w:r w:rsidR="00BF4D13" w:rsidRPr="008F24D9">
        <w:t xml:space="preserve">uideline, we must have regard to </w:t>
      </w:r>
      <w:r w:rsidR="000F6BCE">
        <w:t>the AEMC's recommendations</w:t>
      </w:r>
      <w:r w:rsidR="000F6BCE" w:rsidRPr="008F24D9">
        <w:t xml:space="preserve"> </w:t>
      </w:r>
      <w:r w:rsidR="000F6BCE">
        <w:t xml:space="preserve">and </w:t>
      </w:r>
      <w:r w:rsidR="00BF4D13" w:rsidRPr="008F24D9">
        <w:t>our service target performance incentive scheme (STPIS)</w:t>
      </w:r>
      <w:r w:rsidR="005A40FD">
        <w:t>.</w:t>
      </w:r>
      <w:r w:rsidR="00BF4D13">
        <w:t xml:space="preserve"> </w:t>
      </w:r>
      <w:r w:rsidR="005A40FD">
        <w:t>Relevantly,</w:t>
      </w:r>
      <w:r w:rsidR="00BF4D13">
        <w:t xml:space="preserve"> the STPIS has </w:t>
      </w:r>
      <w:r w:rsidR="005A40FD">
        <w:t xml:space="preserve">a </w:t>
      </w:r>
      <w:r w:rsidR="00BF4D13">
        <w:t xml:space="preserve">significant influence on distributors' performance outcomes. </w:t>
      </w:r>
    </w:p>
    <w:p w:rsidR="00EA2707" w:rsidRPr="00EA2707" w:rsidRDefault="00EA2707" w:rsidP="00EA2707">
      <w:r w:rsidRPr="00EA2707">
        <w:t xml:space="preserve">On 5 January 2017, we published an Issues Paper that outlined our intention to review the Service Target Performance Incentive Scheme (STPIS) and the establishment of this </w:t>
      </w:r>
      <w:r>
        <w:t>G</w:t>
      </w:r>
      <w:r w:rsidRPr="00EA2707">
        <w:t>uideline. The Issues Paper sought stakeholders’ feedback on issues we have identified in implementing the STPIS since 2009 and outlined our position on creating uniform distribution reliability measures across all jurisdictions.</w:t>
      </w:r>
    </w:p>
    <w:p w:rsidR="00EA2707" w:rsidRPr="00EA2707" w:rsidRDefault="00EA2707" w:rsidP="00EA2707">
      <w:r w:rsidRPr="00EA2707">
        <w:t xml:space="preserve">The SPTIS review is still being progressed. Position papers covering the STPIS matters will be published separately. As indicated in the Issues Paper, we will separately develop a </w:t>
      </w:r>
      <w:r>
        <w:t>Draft Guideline</w:t>
      </w:r>
      <w:r w:rsidRPr="00EA2707">
        <w:t xml:space="preserve"> and revised STPIS, taking into consideration stakeholders' submissions to that process.  </w:t>
      </w:r>
    </w:p>
    <w:p w:rsidR="008F24D9" w:rsidRPr="008F24D9" w:rsidRDefault="008F24D9" w:rsidP="008F24D9">
      <w:pPr>
        <w:pStyle w:val="Heading2"/>
      </w:pPr>
      <w:bookmarkStart w:id="53" w:name="_Toc485812900"/>
      <w:r w:rsidRPr="008F24D9">
        <w:t xml:space="preserve">Developing </w:t>
      </w:r>
      <w:r w:rsidR="00B56406">
        <w:t xml:space="preserve">a </w:t>
      </w:r>
      <w:r w:rsidRPr="008F24D9">
        <w:t>Distribution Reliability Measures Guidelines</w:t>
      </w:r>
      <w:bookmarkEnd w:id="53"/>
    </w:p>
    <w:p w:rsidR="008F24D9" w:rsidRPr="008F24D9" w:rsidRDefault="008F24D9" w:rsidP="008F24D9">
      <w:r w:rsidRPr="008F24D9">
        <w:t>In 2016 the AEMC reviewed the framework for measuring reliability performance and noted the inconsistencies in measuring reliability across the NEM</w:t>
      </w:r>
      <w:r w:rsidR="005A40FD">
        <w:t>,</w:t>
      </w:r>
      <w:r w:rsidRPr="008F24D9">
        <w:t xml:space="preserve"> partly due to jurisdictional definitions. The AEMC's review resulted in a rule change that required us to publish th</w:t>
      </w:r>
      <w:r w:rsidR="00251E5F">
        <w:t>is</w:t>
      </w:r>
      <w:r w:rsidRPr="008F24D9">
        <w:t xml:space="preserve"> </w:t>
      </w:r>
      <w:r w:rsidR="00B56406">
        <w:t>G</w:t>
      </w:r>
      <w:r w:rsidRPr="008F24D9">
        <w:t xml:space="preserve">uideline. </w:t>
      </w:r>
    </w:p>
    <w:p w:rsidR="008F24D9" w:rsidRPr="008F24D9" w:rsidRDefault="008F24D9" w:rsidP="008F24D9">
      <w:r w:rsidRPr="008F24D9">
        <w:t>In accordance with the NER</w:t>
      </w:r>
      <w:r w:rsidR="005A40FD">
        <w:t>,</w:t>
      </w:r>
      <w:r w:rsidRPr="008F24D9">
        <w:t xml:space="preserve"> we have developed a </w:t>
      </w:r>
      <w:r w:rsidR="00EA2707">
        <w:t>Draft Guideline</w:t>
      </w:r>
      <w:r w:rsidRPr="008F24D9">
        <w:t xml:space="preserve"> and explanatory statement for consultation. This explanatory statement sets our reasons for: </w:t>
      </w:r>
    </w:p>
    <w:p w:rsidR="008F24D9" w:rsidRPr="008F24D9" w:rsidRDefault="008F24D9" w:rsidP="00B81778">
      <w:pPr>
        <w:pStyle w:val="AERbulletlistsecondstyle"/>
      </w:pPr>
      <w:r w:rsidRPr="008F24D9">
        <w:tab/>
        <w:t xml:space="preserve">developing this </w:t>
      </w:r>
      <w:r w:rsidR="00B56406">
        <w:t>G</w:t>
      </w:r>
      <w:r w:rsidRPr="008F24D9">
        <w:t xml:space="preserve">uideline </w:t>
      </w:r>
    </w:p>
    <w:p w:rsidR="008F24D9" w:rsidRPr="008F24D9" w:rsidRDefault="008F24D9" w:rsidP="00B81778">
      <w:pPr>
        <w:pStyle w:val="AERbulletlistsecondstyle"/>
      </w:pPr>
      <w:r w:rsidRPr="008F24D9">
        <w:tab/>
        <w:t>the issues we identified with several reliability measures and stakeholders' comments</w:t>
      </w:r>
    </w:p>
    <w:p w:rsidR="008F24D9" w:rsidRPr="008F24D9" w:rsidRDefault="008F24D9" w:rsidP="00B81778">
      <w:pPr>
        <w:pStyle w:val="AERbulletlistsecondstyle"/>
      </w:pPr>
      <w:r w:rsidRPr="008F24D9">
        <w:tab/>
        <w:t xml:space="preserve">supporting the AEMC's </w:t>
      </w:r>
      <w:r w:rsidR="00B56406">
        <w:t xml:space="preserve">recommendation on </w:t>
      </w:r>
      <w:r w:rsidR="005A40FD">
        <w:t>most</w:t>
      </w:r>
      <w:r w:rsidR="00B56406">
        <w:t xml:space="preserve"> of its proposed distribution reliability measures definitions </w:t>
      </w:r>
    </w:p>
    <w:p w:rsidR="008F24D9" w:rsidRPr="008F24D9" w:rsidRDefault="008F24D9" w:rsidP="00B81778">
      <w:pPr>
        <w:pStyle w:val="AERbulletlistsecondstyle"/>
      </w:pPr>
      <w:r w:rsidRPr="008F24D9">
        <w:tab/>
        <w:t xml:space="preserve">departing from the AEMC's recommendation </w:t>
      </w:r>
      <w:r w:rsidR="006E4B37">
        <w:t xml:space="preserve">for an additional exclusion for </w:t>
      </w:r>
      <w:r w:rsidRPr="008F24D9">
        <w:t>catastrophic events</w:t>
      </w:r>
      <w:r w:rsidR="006E4B37">
        <w:t xml:space="preserve"> </w:t>
      </w:r>
      <w:r w:rsidR="005A40FD">
        <w:t xml:space="preserve">(which would be </w:t>
      </w:r>
      <w:r w:rsidR="006E4B37">
        <w:t xml:space="preserve">in addition to the current statistical Major Event Days </w:t>
      </w:r>
      <w:r w:rsidR="00077397">
        <w:t xml:space="preserve">exclusion </w:t>
      </w:r>
      <w:r w:rsidR="006E4B37">
        <w:t>framework</w:t>
      </w:r>
      <w:r w:rsidR="005A40FD">
        <w:t>)</w:t>
      </w:r>
      <w:r w:rsidR="006E4B37">
        <w:t>.</w:t>
      </w:r>
    </w:p>
    <w:p w:rsidR="008F24D9" w:rsidRPr="008F24D9" w:rsidRDefault="008F24D9" w:rsidP="008F24D9">
      <w:r w:rsidRPr="008F24D9">
        <w:lastRenderedPageBreak/>
        <w:t xml:space="preserve">The explanatory </w:t>
      </w:r>
      <w:r w:rsidR="00172648" w:rsidRPr="008F24D9">
        <w:t>statement also outline</w:t>
      </w:r>
      <w:r w:rsidR="007B7D12">
        <w:t>s</w:t>
      </w:r>
      <w:r w:rsidRPr="008F24D9">
        <w:t xml:space="preserve"> </w:t>
      </w:r>
      <w:r w:rsidR="006E4B37">
        <w:t>the process for the staged implementation of the Guideline</w:t>
      </w:r>
      <w:r w:rsidRPr="008F24D9">
        <w:t>.</w:t>
      </w:r>
    </w:p>
    <w:p w:rsidR="00D84CF6" w:rsidRDefault="00D84CF6" w:rsidP="00D84CF6">
      <w:pPr>
        <w:pStyle w:val="Heading2"/>
      </w:pPr>
      <w:bookmarkStart w:id="54" w:name="_Toc485812901"/>
      <w:r>
        <w:t xml:space="preserve">Our issues paper on STPIS and </w:t>
      </w:r>
      <w:r w:rsidR="00077397">
        <w:t xml:space="preserve">the </w:t>
      </w:r>
      <w:r w:rsidR="00EA2707">
        <w:t>G</w:t>
      </w:r>
      <w:r>
        <w:t>uideline</w:t>
      </w:r>
      <w:bookmarkEnd w:id="54"/>
    </w:p>
    <w:p w:rsidR="00B642F6" w:rsidRDefault="00B56406" w:rsidP="00D84CF6">
      <w:r>
        <w:t>Our</w:t>
      </w:r>
      <w:r w:rsidR="00D84CF6">
        <w:t xml:space="preserve"> issues paper sought inputs from stakeholders on the measurement</w:t>
      </w:r>
      <w:r w:rsidR="00EF7B61">
        <w:t xml:space="preserve"> </w:t>
      </w:r>
      <w:r w:rsidR="00D84CF6">
        <w:t xml:space="preserve">of key reliability measures </w:t>
      </w:r>
      <w:r w:rsidR="00EF7B61">
        <w:t>including</w:t>
      </w:r>
      <w:r w:rsidR="00B642F6">
        <w:t>:</w:t>
      </w:r>
    </w:p>
    <w:p w:rsidR="00B642F6" w:rsidRDefault="00B56406" w:rsidP="00E60FE1">
      <w:pPr>
        <w:pStyle w:val="AERbulletlistsecondstyle"/>
      </w:pPr>
      <w:r>
        <w:t>C</w:t>
      </w:r>
      <w:r w:rsidR="008F0E11">
        <w:t xml:space="preserve">hanges to how </w:t>
      </w:r>
      <w:r w:rsidR="00D84CF6">
        <w:t>SAIDI</w:t>
      </w:r>
      <w:r w:rsidR="00B642F6">
        <w:t xml:space="preserve">, </w:t>
      </w:r>
      <w:r w:rsidR="00D84CF6">
        <w:t>SAIFI</w:t>
      </w:r>
      <w:r w:rsidR="00B642F6">
        <w:t xml:space="preserve">, </w:t>
      </w:r>
      <w:r w:rsidR="00D84CF6">
        <w:t>MAIFI</w:t>
      </w:r>
      <w:r w:rsidR="00B642F6">
        <w:t xml:space="preserve"> and </w:t>
      </w:r>
      <w:r w:rsidR="00CF5D41">
        <w:t>MAIFIe</w:t>
      </w:r>
      <w:r w:rsidR="008F0E11">
        <w:t xml:space="preserve"> are measured under the proposed 3-minute threshold definition for momentary </w:t>
      </w:r>
      <w:r w:rsidR="00172648">
        <w:t>interruptions</w:t>
      </w:r>
      <w:r w:rsidR="008F0E11">
        <w:t>.</w:t>
      </w:r>
    </w:p>
    <w:p w:rsidR="00B642F6" w:rsidRDefault="00B56406">
      <w:pPr>
        <w:pStyle w:val="AERbulletlistsecondstyle"/>
      </w:pPr>
      <w:r>
        <w:t>T</w:t>
      </w:r>
      <w:r w:rsidR="00EF7B61">
        <w:t>he criteria for excluding</w:t>
      </w:r>
      <w:r w:rsidR="00B642F6">
        <w:t xml:space="preserve"> certain events from the calculation SAIDI, MAIFI, SAIFI and MAIFIe. For example</w:t>
      </w:r>
      <w:r w:rsidR="00077397">
        <w:t>,</w:t>
      </w:r>
      <w:r w:rsidR="00B642F6">
        <w:t xml:space="preserve"> outages caused by </w:t>
      </w:r>
      <w:r w:rsidR="00077397">
        <w:t xml:space="preserve">the transmission network </w:t>
      </w:r>
      <w:r w:rsidR="00B642F6">
        <w:t>are usually not included in reliability measures SAIDI, SAIFI etc because they are beyond the control of distributors</w:t>
      </w:r>
      <w:r w:rsidR="00077397">
        <w:t xml:space="preserve">. </w:t>
      </w:r>
      <w:r w:rsidR="00077397" w:rsidRPr="0078365F">
        <w:rPr>
          <w:rStyle w:val="AERtexthighlight"/>
          <w:shd w:val="clear" w:color="auto" w:fill="auto"/>
        </w:rPr>
        <w:t xml:space="preserve">However, distributors should be </w:t>
      </w:r>
      <w:r w:rsidR="00CD3E8B" w:rsidRPr="00496022">
        <w:rPr>
          <w:rStyle w:val="AERtexthighlight"/>
          <w:shd w:val="clear" w:color="auto" w:fill="auto"/>
        </w:rPr>
        <w:t xml:space="preserve">held </w:t>
      </w:r>
      <w:r w:rsidR="00077397" w:rsidRPr="00F82F92">
        <w:rPr>
          <w:rStyle w:val="AERtexthighlight"/>
          <w:shd w:val="clear" w:color="auto" w:fill="auto"/>
        </w:rPr>
        <w:t>accountable for supply interruption</w:t>
      </w:r>
      <w:r w:rsidR="00CD3E8B" w:rsidRPr="00E27360">
        <w:rPr>
          <w:rStyle w:val="AERtexthighlight"/>
          <w:shd w:val="clear" w:color="auto" w:fill="auto"/>
        </w:rPr>
        <w:t>s</w:t>
      </w:r>
      <w:r w:rsidR="00077397" w:rsidRPr="00E27360">
        <w:rPr>
          <w:rStyle w:val="AERtexthighlight"/>
          <w:shd w:val="clear" w:color="auto" w:fill="auto"/>
        </w:rPr>
        <w:t xml:space="preserve"> due to their actions or inactions that do not conform to good industry practices</w:t>
      </w:r>
      <w:r w:rsidR="00077397" w:rsidRPr="00CD3E8B">
        <w:t>.</w:t>
      </w:r>
      <w:r w:rsidR="00B642F6">
        <w:t xml:space="preserve"> </w:t>
      </w:r>
    </w:p>
    <w:p w:rsidR="00B642F6" w:rsidRDefault="00B56406" w:rsidP="00E60FE1">
      <w:pPr>
        <w:pStyle w:val="AERbulletlistsecondstyle"/>
      </w:pPr>
      <w:r>
        <w:t>The c</w:t>
      </w:r>
      <w:r w:rsidR="00B642F6">
        <w:t xml:space="preserve">lassification of </w:t>
      </w:r>
      <w:r w:rsidR="00D84CF6">
        <w:t>feeders</w:t>
      </w:r>
      <w:r>
        <w:t>.</w:t>
      </w:r>
      <w:r w:rsidR="00B642F6">
        <w:t xml:space="preserve"> </w:t>
      </w:r>
    </w:p>
    <w:p w:rsidR="00B642F6" w:rsidRDefault="00B56406" w:rsidP="00E60FE1">
      <w:pPr>
        <w:pStyle w:val="AERbulletlistsecondstyle"/>
      </w:pPr>
      <w:r>
        <w:t>H</w:t>
      </w:r>
      <w:r w:rsidR="00B642F6">
        <w:t xml:space="preserve">ow to identify customers with reliability levels that </w:t>
      </w:r>
      <w:r w:rsidR="00EA2707">
        <w:t>are</w:t>
      </w:r>
      <w:r w:rsidR="00F72F14">
        <w:t xml:space="preserve"> severely below </w:t>
      </w:r>
      <w:r w:rsidR="00B642F6">
        <w:t>the</w:t>
      </w:r>
      <w:r w:rsidR="00F72F14">
        <w:t xml:space="preserve"> national average</w:t>
      </w:r>
      <w:r>
        <w:t>—</w:t>
      </w:r>
      <w:r w:rsidR="008F0E11">
        <w:t>the worst served customers</w:t>
      </w:r>
      <w:r w:rsidR="00F72F14">
        <w:t>.</w:t>
      </w:r>
      <w:r w:rsidR="00B642F6">
        <w:t xml:space="preserve">  </w:t>
      </w:r>
    </w:p>
    <w:p w:rsidR="00DF5CAE" w:rsidRDefault="00D84CF6" w:rsidP="00DF5CAE">
      <w:r w:rsidRPr="00DF5CAE">
        <w:t>We have reviewed stakeholders' responses to this issues paper and our considerations are outlined in the following chapters.</w:t>
      </w:r>
    </w:p>
    <w:p w:rsidR="008F24D9" w:rsidRPr="00DF5CAE" w:rsidRDefault="008F24D9" w:rsidP="00675C6D">
      <w:pPr>
        <w:pStyle w:val="Heading2"/>
      </w:pPr>
      <w:bookmarkStart w:id="55" w:name="_Toc485812902"/>
      <w:r w:rsidRPr="00DF5CAE">
        <w:t>Structure of this explanatory statement</w:t>
      </w:r>
      <w:bookmarkEnd w:id="55"/>
    </w:p>
    <w:p w:rsidR="008F24D9" w:rsidRPr="008F24D9" w:rsidRDefault="008F24D9" w:rsidP="008F24D9">
      <w:r w:rsidRPr="008F24D9">
        <w:t xml:space="preserve">The remainder of the explanatory statement is structured as follows: </w:t>
      </w:r>
    </w:p>
    <w:p w:rsidR="008F24D9" w:rsidRPr="008F24D9" w:rsidRDefault="008F24D9" w:rsidP="00E60FE1">
      <w:pPr>
        <w:pStyle w:val="AERbulletlistsecondstyle"/>
      </w:pPr>
      <w:r w:rsidRPr="008F24D9">
        <w:t xml:space="preserve">Chapter </w:t>
      </w:r>
      <w:r w:rsidR="000B642A">
        <w:t>3</w:t>
      </w:r>
      <w:r w:rsidR="00045AC1">
        <w:t>:</w:t>
      </w:r>
      <w:r w:rsidRPr="008F24D9">
        <w:t xml:space="preserve"> </w:t>
      </w:r>
      <w:r w:rsidR="00F7168B">
        <w:t>Outline</w:t>
      </w:r>
      <w:r w:rsidR="008F0E11">
        <w:t xml:space="preserve"> an overview of the</w:t>
      </w:r>
      <w:r w:rsidR="00F7168B">
        <w:t xml:space="preserve"> key distribution measures</w:t>
      </w:r>
      <w:r w:rsidR="009E03F8">
        <w:t>.</w:t>
      </w:r>
    </w:p>
    <w:p w:rsidR="008F0E11" w:rsidRDefault="008F24D9" w:rsidP="00E60FE1">
      <w:pPr>
        <w:pStyle w:val="AERbulletlistsecondstyle"/>
      </w:pPr>
      <w:r w:rsidRPr="008F24D9">
        <w:t xml:space="preserve">Chapter </w:t>
      </w:r>
      <w:r w:rsidR="000B642A">
        <w:t>4</w:t>
      </w:r>
      <w:r w:rsidR="00045AC1">
        <w:t>:</w:t>
      </w:r>
      <w:r w:rsidRPr="008F24D9">
        <w:t xml:space="preserve"> </w:t>
      </w:r>
      <w:r w:rsidR="008F0E11">
        <w:t>Explain our decision on the proposed reliability measurement methods and approaches.</w:t>
      </w:r>
    </w:p>
    <w:p w:rsidR="008F24D9" w:rsidRPr="008F24D9" w:rsidRDefault="008F0E11" w:rsidP="00E60FE1">
      <w:pPr>
        <w:pStyle w:val="AERbulletlistsecondstyle"/>
      </w:pPr>
      <w:r>
        <w:t xml:space="preserve">Chapter 5: Explain how we will </w:t>
      </w:r>
      <w:r w:rsidR="00B56406">
        <w:t xml:space="preserve">administer and </w:t>
      </w:r>
      <w:r>
        <w:t>implement the new Guideline</w:t>
      </w:r>
      <w:r w:rsidR="007025F6">
        <w:t>.</w:t>
      </w:r>
    </w:p>
    <w:p w:rsidR="008F24D9" w:rsidRPr="008F24D9" w:rsidRDefault="008F0E11" w:rsidP="008F24D9">
      <w:pPr>
        <w:pStyle w:val="Heading1"/>
      </w:pPr>
      <w:bookmarkStart w:id="56" w:name="_Ref484700644"/>
      <w:bookmarkStart w:id="57" w:name="_Toc485812903"/>
      <w:r>
        <w:lastRenderedPageBreak/>
        <w:t>Overview of k</w:t>
      </w:r>
      <w:r w:rsidR="008F24D9" w:rsidRPr="008F24D9">
        <w:t>ey distribution reliability measures</w:t>
      </w:r>
      <w:bookmarkEnd w:id="56"/>
      <w:bookmarkEnd w:id="57"/>
    </w:p>
    <w:p w:rsidR="00C3670F" w:rsidRDefault="007B7D12" w:rsidP="008F24D9">
      <w:r>
        <w:t>T</w:t>
      </w:r>
      <w:r w:rsidR="003E5644">
        <w:t xml:space="preserve">he reliability of power supply to customers </w:t>
      </w:r>
      <w:r>
        <w:t xml:space="preserve">is measured in terms of </w:t>
      </w:r>
      <w:r w:rsidR="003E5644">
        <w:t>it</w:t>
      </w:r>
      <w:r>
        <w:t>s</w:t>
      </w:r>
      <w:r w:rsidR="003E5644">
        <w:t xml:space="preserve"> </w:t>
      </w:r>
      <w:r w:rsidR="00575E43">
        <w:t>unavailability</w:t>
      </w:r>
      <w:r w:rsidR="003E5644">
        <w:t xml:space="preserve"> (</w:t>
      </w:r>
      <w:r>
        <w:t xml:space="preserve">number and duration of </w:t>
      </w:r>
      <w:r w:rsidR="003E5644">
        <w:t>interruptions) rather than when it is available</w:t>
      </w:r>
      <w:r>
        <w:t>,</w:t>
      </w:r>
      <w:r w:rsidR="00DF51B7">
        <w:t xml:space="preserve"> because </w:t>
      </w:r>
      <w:r w:rsidR="00F72F14">
        <w:t xml:space="preserve">power supply is mostly reliable and available </w:t>
      </w:r>
      <w:r w:rsidR="00077397">
        <w:t xml:space="preserve">more than </w:t>
      </w:r>
      <w:r w:rsidR="00F72F14">
        <w:t>99 per cent of the time.</w:t>
      </w:r>
      <w:r w:rsidR="003E5644">
        <w:t xml:space="preserve"> </w:t>
      </w:r>
    </w:p>
    <w:p w:rsidR="008F24D9" w:rsidRPr="008F24D9" w:rsidRDefault="008F24D9" w:rsidP="008F24D9">
      <w:r w:rsidRPr="008F24D9">
        <w:t xml:space="preserve">Interruptions are classified </w:t>
      </w:r>
      <w:r w:rsidR="00B56406">
        <w:t>as</w:t>
      </w:r>
      <w:r w:rsidRPr="008F24D9">
        <w:t xml:space="preserve"> either a momentary interruption (short-duration) or sustained interruptions (long-duration). </w:t>
      </w:r>
    </w:p>
    <w:p w:rsidR="008F24D9" w:rsidRPr="008F24D9" w:rsidRDefault="008F24D9" w:rsidP="008F24D9">
      <w:r w:rsidRPr="008F24D9">
        <w:t xml:space="preserve">The brief loss of electricity supply, momentary interruption, to a customer is the result </w:t>
      </w:r>
      <w:r w:rsidR="007B7D12">
        <w:t>of</w:t>
      </w:r>
      <w:r w:rsidRPr="008F24D9">
        <w:t xml:space="preserve"> reclosing circuit breakers</w:t>
      </w:r>
      <w:r w:rsidR="00F72F14">
        <w:t>,</w:t>
      </w:r>
      <w:r w:rsidRPr="008F24D9">
        <w:t xml:space="preserve"> or reclosers</w:t>
      </w:r>
      <w:r w:rsidR="00F72F14">
        <w:t>,</w:t>
      </w:r>
      <w:r w:rsidRPr="008F24D9">
        <w:t xml:space="preserve"> attempting to clear non-permanent faults</w:t>
      </w:r>
      <w:r w:rsidR="00F72F14">
        <w:t>—by</w:t>
      </w:r>
      <w:r w:rsidRPr="008F24D9">
        <w:t xml:space="preserve"> first opening and then reclosing after a short time delay. Alternatively, sustained interruptions are much longer in duration and require distributor's intervention for restoration. </w:t>
      </w:r>
    </w:p>
    <w:p w:rsidR="008F24D9" w:rsidRPr="008F24D9" w:rsidRDefault="008F24D9" w:rsidP="008F24D9">
      <w:r w:rsidRPr="008F24D9">
        <w:t xml:space="preserve">Sustained interruptions are typically caused by faults </w:t>
      </w:r>
      <w:r w:rsidR="005065FD">
        <w:t>such as</w:t>
      </w:r>
      <w:r w:rsidR="005065FD" w:rsidRPr="008F24D9">
        <w:t xml:space="preserve"> </w:t>
      </w:r>
      <w:r w:rsidRPr="008F24D9">
        <w:t xml:space="preserve">lightning </w:t>
      </w:r>
      <w:r w:rsidR="005065FD">
        <w:t>damages</w:t>
      </w:r>
      <w:r w:rsidRPr="008F24D9">
        <w:t xml:space="preserve">, trees striking </w:t>
      </w:r>
      <w:r w:rsidR="005065FD">
        <w:t>power</w:t>
      </w:r>
      <w:r w:rsidRPr="008F24D9">
        <w:t>lines</w:t>
      </w:r>
      <w:r w:rsidR="005065FD">
        <w:t xml:space="preserve"> and</w:t>
      </w:r>
      <w:r w:rsidRPr="008F24D9">
        <w:t xml:space="preserve"> equipment failure</w:t>
      </w:r>
      <w:r w:rsidR="005065FD">
        <w:t>s</w:t>
      </w:r>
      <w:r w:rsidRPr="008F24D9">
        <w:t>. The impact of a sustained interruption on customers is usually significantly greater than that of a momentary interruption</w:t>
      </w:r>
      <w:r w:rsidR="005065FD">
        <w:t xml:space="preserve"> because of the much longer duration.</w:t>
      </w:r>
    </w:p>
    <w:p w:rsidR="00077397" w:rsidRDefault="008F24D9" w:rsidP="00F72F14">
      <w:r w:rsidRPr="008F24D9">
        <w:t xml:space="preserve">We </w:t>
      </w:r>
      <w:r w:rsidR="003E5644">
        <w:t xml:space="preserve">currently </w:t>
      </w:r>
      <w:r w:rsidRPr="008F24D9">
        <w:t xml:space="preserve">measure the impact of customers' supply outages (both sustained and momentary) using </w:t>
      </w:r>
      <w:r w:rsidR="00E605A9">
        <w:t>traditional</w:t>
      </w:r>
      <w:r w:rsidRPr="008F24D9">
        <w:t xml:space="preserve"> distribution reliability measures known as SAIDI, SAIFI and MAIFI</w:t>
      </w:r>
      <w:r w:rsidR="00F72F14">
        <w:t xml:space="preserve"> and</w:t>
      </w:r>
      <w:r w:rsidR="001056C1">
        <w:t xml:space="preserve"> MAIFIe</w:t>
      </w:r>
      <w:r w:rsidR="00B56406">
        <w:t>:</w:t>
      </w:r>
      <w:r w:rsidR="00F72F14">
        <w:t xml:space="preserve"> </w:t>
      </w:r>
    </w:p>
    <w:p w:rsidR="00077397" w:rsidRPr="00077397" w:rsidRDefault="00077397" w:rsidP="00733FDF">
      <w:pPr>
        <w:pStyle w:val="AERbulletlistsecondstyle"/>
      </w:pPr>
      <w:r w:rsidRPr="00077397">
        <w:t>SAIDI (System</w:t>
      </w:r>
      <w:r>
        <w:t xml:space="preserve"> </w:t>
      </w:r>
      <w:r w:rsidRPr="00077397">
        <w:t>Average Interruption Duration</w:t>
      </w:r>
      <w:r>
        <w:t xml:space="preserve"> </w:t>
      </w:r>
      <w:r w:rsidRPr="00077397">
        <w:t>Index)</w:t>
      </w:r>
      <w:r>
        <w:t>: Represents t</w:t>
      </w:r>
      <w:r w:rsidRPr="00077397">
        <w:t>he sum of the duration of each unplanned sustained customer</w:t>
      </w:r>
      <w:r>
        <w:t xml:space="preserve"> </w:t>
      </w:r>
      <w:r w:rsidRPr="00077397">
        <w:t>interruption (in minutes) divided by the total number of distribution</w:t>
      </w:r>
      <w:r>
        <w:t xml:space="preserve"> </w:t>
      </w:r>
      <w:r w:rsidRPr="00077397">
        <w:t>customers. SAIDI</w:t>
      </w:r>
      <w:r>
        <w:t xml:space="preserve"> measures are </w:t>
      </w:r>
      <w:r w:rsidR="0045522C">
        <w:t>grouped into planned and unplanned outages, both</w:t>
      </w:r>
      <w:r w:rsidRPr="00077397">
        <w:t xml:space="preserve"> exclude momentary</w:t>
      </w:r>
      <w:r>
        <w:t xml:space="preserve"> </w:t>
      </w:r>
      <w:r w:rsidRPr="00077397">
        <w:t>interruptions.</w:t>
      </w:r>
    </w:p>
    <w:p w:rsidR="00077397" w:rsidRPr="00D83109" w:rsidRDefault="00077397" w:rsidP="00733FDF">
      <w:pPr>
        <w:pStyle w:val="AERbulletlistsecondstyle"/>
      </w:pPr>
      <w:r w:rsidRPr="00D83109">
        <w:t>SAIFI (System</w:t>
      </w:r>
      <w:r w:rsidR="0045522C" w:rsidRPr="00D83109">
        <w:t xml:space="preserve"> </w:t>
      </w:r>
      <w:r w:rsidRPr="00D83109">
        <w:t>Average Interruption Frequency</w:t>
      </w:r>
      <w:r w:rsidR="0045522C" w:rsidRPr="00D83109">
        <w:t xml:space="preserve"> </w:t>
      </w:r>
      <w:r w:rsidRPr="00D83109">
        <w:t>Index)</w:t>
      </w:r>
      <w:r w:rsidR="0045522C" w:rsidRPr="00D83109">
        <w:t>: Represents t</w:t>
      </w:r>
      <w:r w:rsidRPr="00D83109">
        <w:t>he total number of unplanned sustained customer interruptions</w:t>
      </w:r>
      <w:r w:rsidR="0045522C" w:rsidRPr="00D83109">
        <w:t xml:space="preserve"> </w:t>
      </w:r>
      <w:r w:rsidRPr="00D83109">
        <w:t xml:space="preserve">divided by the total number of distribution customers. SAIFI </w:t>
      </w:r>
      <w:r w:rsidR="0045522C" w:rsidRPr="00D83109">
        <w:t xml:space="preserve">measures are grouped into planned and unplanned outages, both </w:t>
      </w:r>
      <w:r w:rsidRPr="00D83109">
        <w:t>exclude momentary interruptions.</w:t>
      </w:r>
    </w:p>
    <w:p w:rsidR="00077397" w:rsidRPr="00D83109" w:rsidRDefault="00077397" w:rsidP="00733FDF">
      <w:pPr>
        <w:pStyle w:val="AERbulletlistsecondstyle"/>
      </w:pPr>
      <w:r w:rsidRPr="00D83109">
        <w:t>MAIFI (Momentary Average</w:t>
      </w:r>
      <w:r w:rsidR="0045522C" w:rsidRPr="00D83109">
        <w:t xml:space="preserve"> </w:t>
      </w:r>
      <w:r w:rsidRPr="00D83109">
        <w:t>Interruption Frequency Index)</w:t>
      </w:r>
      <w:r w:rsidR="0045522C" w:rsidRPr="00D83109">
        <w:t>: Represents th</w:t>
      </w:r>
      <w:r w:rsidRPr="00D83109">
        <w:t xml:space="preserve">e total number of customer interruptions of </w:t>
      </w:r>
      <w:r w:rsidR="0045522C" w:rsidRPr="00D83109">
        <w:t>momentary nature</w:t>
      </w:r>
      <w:r w:rsidRPr="00D83109">
        <w:t>,</w:t>
      </w:r>
      <w:r w:rsidR="0045522C" w:rsidRPr="00D83109">
        <w:t xml:space="preserve"> </w:t>
      </w:r>
      <w:r w:rsidRPr="00D83109">
        <w:t>divided by the total number of distribution customers.</w:t>
      </w:r>
    </w:p>
    <w:p w:rsidR="0045522C" w:rsidRPr="00D83109" w:rsidRDefault="0045522C" w:rsidP="00733FDF">
      <w:pPr>
        <w:pStyle w:val="AERbulletlistsecondstyle"/>
      </w:pPr>
      <w:r w:rsidRPr="00D83109">
        <w:t>MAIFIe (Momentary Average Interruption Frequency Index event): means the total number of Momentary Interruption Events divided by the total number of customers.</w:t>
      </w:r>
    </w:p>
    <w:p w:rsidR="00D83109" w:rsidRPr="00D83109" w:rsidRDefault="0045522C" w:rsidP="00733FDF">
      <w:pPr>
        <w:pStyle w:val="AERbulletlistsecondstyle"/>
      </w:pPr>
      <w:r w:rsidRPr="00D83109">
        <w:t>Momentary Interruption Event</w:t>
      </w:r>
      <w:r w:rsidR="00D83109" w:rsidRPr="00D83109">
        <w:t>:</w:t>
      </w:r>
      <w:r w:rsidRPr="00D83109">
        <w:t xml:space="preserve"> means </w:t>
      </w:r>
      <w:r w:rsidR="00D83109" w:rsidRPr="00D83109">
        <w:t>each even</w:t>
      </w:r>
      <w:r w:rsidR="007B7D12">
        <w:t>t</w:t>
      </w:r>
      <w:r w:rsidR="00D83109" w:rsidRPr="00D83109">
        <w:t xml:space="preserve"> during which a distributor makes single o</w:t>
      </w:r>
      <w:r w:rsidR="007B7D12">
        <w:t>r</w:t>
      </w:r>
      <w:r w:rsidR="00D83109" w:rsidRPr="00D83109">
        <w:t xml:space="preserve"> multiple attempts to restore supply through the use of an auto-recloser. While there may be more than one </w:t>
      </w:r>
      <w:r w:rsidR="007B7D12">
        <w:t xml:space="preserve">restoration </w:t>
      </w:r>
      <w:r w:rsidR="00D83109" w:rsidRPr="00D83109">
        <w:t>attempt during the event, the MAIFIe is counted as one even</w:t>
      </w:r>
      <w:r w:rsidR="007B7D12">
        <w:t>t</w:t>
      </w:r>
      <w:r w:rsidR="00D83109" w:rsidRPr="00D83109">
        <w:t>.</w:t>
      </w:r>
    </w:p>
    <w:p w:rsidR="005065FD" w:rsidRDefault="00D83109" w:rsidP="00F72F14">
      <w:r>
        <w:lastRenderedPageBreak/>
        <w:t>T</w:t>
      </w:r>
      <w:r w:rsidR="00F72F14">
        <w:t xml:space="preserve">hese </w:t>
      </w:r>
      <w:r w:rsidR="005C36E8">
        <w:t>outage</w:t>
      </w:r>
      <w:r>
        <w:t xml:space="preserve"> measure</w:t>
      </w:r>
      <w:r w:rsidR="005C36E8">
        <w:t xml:space="preserve">s are </w:t>
      </w:r>
      <w:r>
        <w:t xml:space="preserve">further </w:t>
      </w:r>
      <w:r w:rsidR="005C36E8">
        <w:t xml:space="preserve">grouped </w:t>
      </w:r>
      <w:r>
        <w:t>by feeder</w:t>
      </w:r>
      <w:r w:rsidR="005C36E8">
        <w:t xml:space="preserve"> categories (feeder classification) at the </w:t>
      </w:r>
      <w:r w:rsidR="001056C1">
        <w:t>CBD, Urban, Short and Long Rural</w:t>
      </w:r>
      <w:r w:rsidR="00F72F14">
        <w:t xml:space="preserve"> </w:t>
      </w:r>
      <w:r w:rsidR="005065FD">
        <w:t>segments</w:t>
      </w:r>
      <w:r w:rsidR="005C36E8">
        <w:t xml:space="preserve">. However, outages that </w:t>
      </w:r>
      <w:r w:rsidR="00E605A9">
        <w:t xml:space="preserve">are </w:t>
      </w:r>
      <w:r w:rsidR="005C36E8">
        <w:t xml:space="preserve">caused by </w:t>
      </w:r>
      <w:r w:rsidR="00172648">
        <w:t xml:space="preserve">the following </w:t>
      </w:r>
      <w:r w:rsidR="005C36E8">
        <w:t xml:space="preserve">events </w:t>
      </w:r>
      <w:r w:rsidR="00172648">
        <w:t>are not included for the purposes of measuring the underlying reliability outcomes</w:t>
      </w:r>
      <w:r w:rsidR="005065FD">
        <w:t>:</w:t>
      </w:r>
    </w:p>
    <w:p w:rsidR="005065FD" w:rsidRDefault="005C36E8" w:rsidP="00733FDF">
      <w:pPr>
        <w:pStyle w:val="AERbulletlistsecondstyle"/>
      </w:pPr>
      <w:r>
        <w:t xml:space="preserve">beyond the control of the </w:t>
      </w:r>
      <w:r w:rsidR="00E605A9">
        <w:t>distributors</w:t>
      </w:r>
    </w:p>
    <w:p w:rsidR="005065FD" w:rsidRDefault="005065FD" w:rsidP="00733FDF">
      <w:pPr>
        <w:pStyle w:val="AERbulletlistsecondstyle"/>
        <w:rPr>
          <w:rStyle w:val="AERbody"/>
        </w:rPr>
      </w:pPr>
      <w:r w:rsidRPr="007C441C">
        <w:rPr>
          <w:rStyle w:val="AERbody"/>
        </w:rPr>
        <w:t xml:space="preserve">extreme </w:t>
      </w:r>
      <w:r>
        <w:rPr>
          <w:rStyle w:val="AERbody"/>
        </w:rPr>
        <w:t xml:space="preserve">in </w:t>
      </w:r>
      <w:r w:rsidR="007B7D12">
        <w:rPr>
          <w:rStyle w:val="AERbody"/>
        </w:rPr>
        <w:t>nature, such as unusually large</w:t>
      </w:r>
      <w:r>
        <w:rPr>
          <w:rStyle w:val="AERbody"/>
        </w:rPr>
        <w:t xml:space="preserve"> storms</w:t>
      </w:r>
      <w:r w:rsidR="00B56406">
        <w:rPr>
          <w:rStyle w:val="AERbody"/>
        </w:rPr>
        <w:t>.</w:t>
      </w:r>
    </w:p>
    <w:p w:rsidR="003E5644" w:rsidRDefault="00FC2DB0" w:rsidP="008F24D9">
      <w:r>
        <w:t>T</w:t>
      </w:r>
      <w:r w:rsidR="001056C1">
        <w:t xml:space="preserve">o harmonise with international reliability standards, the AEMC recommended minor amendment </w:t>
      </w:r>
      <w:r w:rsidR="00B56406">
        <w:t xml:space="preserve">to </w:t>
      </w:r>
      <w:r w:rsidR="001056C1">
        <w:t>t</w:t>
      </w:r>
      <w:r>
        <w:t xml:space="preserve">hese measures </w:t>
      </w:r>
      <w:r w:rsidR="001056C1">
        <w:t xml:space="preserve">and to include an additional measure </w:t>
      </w:r>
      <w:r w:rsidR="00B56406">
        <w:t>to</w:t>
      </w:r>
      <w:r w:rsidR="001056C1">
        <w:t xml:space="preserve"> </w:t>
      </w:r>
      <w:r w:rsidR="00E605A9">
        <w:t>identify customers experiencing reliability level</w:t>
      </w:r>
      <w:r w:rsidR="007B7D12">
        <w:t>s</w:t>
      </w:r>
      <w:r w:rsidR="00E605A9">
        <w:t xml:space="preserve"> severely below the national average</w:t>
      </w:r>
      <w:r w:rsidR="001056C1">
        <w:t>. Broadly</w:t>
      </w:r>
      <w:r w:rsidR="0041771D">
        <w:t>,</w:t>
      </w:r>
      <w:r w:rsidR="001056C1">
        <w:t xml:space="preserve"> </w:t>
      </w:r>
      <w:r w:rsidR="00B56406">
        <w:t xml:space="preserve">the </w:t>
      </w:r>
      <w:r w:rsidR="001056C1">
        <w:t>AEMC's recommendation included:</w:t>
      </w:r>
      <w:r w:rsidR="00EF3DDE">
        <w:rPr>
          <w:rStyle w:val="FootnoteReference"/>
        </w:rPr>
        <w:footnoteReference w:id="3"/>
      </w:r>
    </w:p>
    <w:p w:rsidR="001056C1" w:rsidRDefault="00B56406" w:rsidP="00E60FE1">
      <w:pPr>
        <w:pStyle w:val="AERbulletlistsecondstyle"/>
      </w:pPr>
      <w:r>
        <w:t>C</w:t>
      </w:r>
      <w:r w:rsidR="001056C1">
        <w:t xml:space="preserve">hanging </w:t>
      </w:r>
      <w:r w:rsidR="001056C1" w:rsidRPr="001056C1">
        <w:t>the definition of a momentary interruption and a momentary interruption event from less than one minute to less than three minutes</w:t>
      </w:r>
      <w:r w:rsidR="0041771D">
        <w:t xml:space="preserve"> in duration</w:t>
      </w:r>
      <w:r w:rsidR="00E7344A">
        <w:t xml:space="preserve">. That is, the threshold to determine a momentary interruption </w:t>
      </w:r>
      <w:r w:rsidR="007B7D12">
        <w:t>should be</w:t>
      </w:r>
      <w:r w:rsidR="00E7344A">
        <w:t xml:space="preserve"> three minutes.</w:t>
      </w:r>
    </w:p>
    <w:p w:rsidR="00CF5D41" w:rsidRDefault="00B56406" w:rsidP="00E60FE1">
      <w:pPr>
        <w:pStyle w:val="AERbulletlistsecondstyle"/>
      </w:pPr>
      <w:r>
        <w:t>T</w:t>
      </w:r>
      <w:r w:rsidR="000B642A" w:rsidRPr="000B642A">
        <w:t xml:space="preserve">he use of MAIFI and MAIFIe </w:t>
      </w:r>
      <w:r w:rsidR="00E605A9">
        <w:t xml:space="preserve">as reliability measures for </w:t>
      </w:r>
      <w:r w:rsidR="000B642A" w:rsidRPr="000B642A">
        <w:t>benchmarking and economic incentive schemes</w:t>
      </w:r>
      <w:r>
        <w:t>.</w:t>
      </w:r>
    </w:p>
    <w:p w:rsidR="0041771D" w:rsidRDefault="00B56406" w:rsidP="00E60FE1">
      <w:pPr>
        <w:pStyle w:val="AERbulletlistsecondstyle"/>
      </w:pPr>
      <w:r>
        <w:t>B</w:t>
      </w:r>
      <w:r w:rsidR="00016E90">
        <w:t xml:space="preserve">roadening definition exclusions to include </w:t>
      </w:r>
      <w:r w:rsidR="00E605A9">
        <w:t>load interruption caused by the exercise of regulatory or legal obligation</w:t>
      </w:r>
      <w:r w:rsidR="0041771D">
        <w:t xml:space="preserve"> and</w:t>
      </w:r>
      <w:r w:rsidR="00E7344A">
        <w:t xml:space="preserve"> load interruptions directed by emergency services</w:t>
      </w:r>
      <w:r>
        <w:t>.</w:t>
      </w:r>
    </w:p>
    <w:p w:rsidR="00016E90" w:rsidRDefault="00B56406" w:rsidP="00E60FE1">
      <w:pPr>
        <w:pStyle w:val="AERbulletlistsecondstyle"/>
      </w:pPr>
      <w:r>
        <w:t>The</w:t>
      </w:r>
      <w:r w:rsidR="0041771D">
        <w:t xml:space="preserve"> </w:t>
      </w:r>
      <w:r w:rsidR="003C16BC">
        <w:t>remov</w:t>
      </w:r>
      <w:r>
        <w:t>al of</w:t>
      </w:r>
      <w:r w:rsidR="003C16BC">
        <w:t xml:space="preserve"> "</w:t>
      </w:r>
      <w:r w:rsidR="00E605A9">
        <w:t>catastrophic event</w:t>
      </w:r>
      <w:r w:rsidR="0041771D">
        <w:t xml:space="preserve"> day</w:t>
      </w:r>
      <w:r w:rsidR="00E605A9">
        <w:t>s</w:t>
      </w:r>
      <w:r w:rsidR="003C16BC">
        <w:t>"</w:t>
      </w:r>
      <w:r w:rsidR="0041771D">
        <w:t xml:space="preserve"> from distributors' </w:t>
      </w:r>
      <w:r w:rsidR="003C16BC">
        <w:t xml:space="preserve">annual </w:t>
      </w:r>
      <w:r w:rsidR="0041771D">
        <w:t>daily performance data set</w:t>
      </w:r>
      <w:r w:rsidR="003C16BC">
        <w:t xml:space="preserve"> before setting</w:t>
      </w:r>
      <w:r w:rsidR="0041771D">
        <w:t xml:space="preserve"> the Major Event Day</w:t>
      </w:r>
      <w:r w:rsidR="003C16BC">
        <w:t xml:space="preserve"> (MED)</w:t>
      </w:r>
      <w:r w:rsidR="0041771D">
        <w:t xml:space="preserve"> threshold values</w:t>
      </w:r>
      <w:r>
        <w:t>—</w:t>
      </w:r>
      <w:r w:rsidR="0041771D">
        <w:t>that is</w:t>
      </w:r>
      <w:r w:rsidR="003C16BC">
        <w:t xml:space="preserve"> </w:t>
      </w:r>
      <w:r w:rsidR="00ED0FC3">
        <w:t>increasing</w:t>
      </w:r>
      <w:r w:rsidR="003C16BC">
        <w:t xml:space="preserve"> the level of extreme event exclusions </w:t>
      </w:r>
      <w:r w:rsidR="00ED0FC3">
        <w:t>i</w:t>
      </w:r>
      <w:r w:rsidR="003C16BC">
        <w:t>n a year when a catastrophic event occurs</w:t>
      </w:r>
      <w:r w:rsidR="00E7344A">
        <w:t>.</w:t>
      </w:r>
    </w:p>
    <w:p w:rsidR="00016E90" w:rsidRDefault="00B56406" w:rsidP="00E60FE1">
      <w:pPr>
        <w:pStyle w:val="AERbulletlistsecondstyle"/>
      </w:pPr>
      <w:r>
        <w:t>B</w:t>
      </w:r>
      <w:r w:rsidR="00016E90">
        <w:t xml:space="preserve">roadening the definition of CBD and Urban feeders to allow for </w:t>
      </w:r>
      <w:r w:rsidR="00016E90" w:rsidRPr="00016E90">
        <w:t>more intuitive feeder classifications</w:t>
      </w:r>
      <w:r>
        <w:t>.</w:t>
      </w:r>
    </w:p>
    <w:p w:rsidR="001056C1" w:rsidRDefault="00B56406" w:rsidP="00E60FE1">
      <w:pPr>
        <w:pStyle w:val="AERbulletlistsecondstyle"/>
      </w:pPr>
      <w:r>
        <w:t>A</w:t>
      </w:r>
      <w:r w:rsidR="00016E90">
        <w:t xml:space="preserve">dding a reliability measure to </w:t>
      </w:r>
      <w:r w:rsidR="00BC411B">
        <w:t xml:space="preserve">identify customers with unsatisfactory reliability outcomes. </w:t>
      </w:r>
    </w:p>
    <w:p w:rsidR="007D737B" w:rsidRDefault="00B56406" w:rsidP="00E60FE1">
      <w:pPr>
        <w:pStyle w:val="AERbulletlistsecondstyle"/>
      </w:pPr>
      <w:r>
        <w:t>R</w:t>
      </w:r>
      <w:r w:rsidR="007D737B">
        <w:t>e</w:t>
      </w:r>
      <w:r w:rsidR="007D737B" w:rsidRPr="007D737B">
        <w:t>moving unmetered supply from the definition of distribution customer</w:t>
      </w:r>
      <w:r w:rsidR="007D737B">
        <w:t>.</w:t>
      </w:r>
    </w:p>
    <w:p w:rsidR="00297C20" w:rsidRPr="008F24D9" w:rsidRDefault="003C16BC" w:rsidP="00733FDF">
      <w:pPr>
        <w:pStyle w:val="Tabletitle"/>
      </w:pPr>
      <w:r>
        <w:t>Overview of s</w:t>
      </w:r>
      <w:r w:rsidR="00297C20" w:rsidRPr="008F24D9">
        <w:t>takeholder</w:t>
      </w:r>
      <w:r w:rsidR="00BC411B">
        <w:t>s'</w:t>
      </w:r>
      <w:r w:rsidR="00297C20" w:rsidRPr="008F24D9">
        <w:t xml:space="preserve"> comments </w:t>
      </w:r>
    </w:p>
    <w:p w:rsidR="00297C20" w:rsidRPr="008F24D9" w:rsidRDefault="00297C20" w:rsidP="00297C20">
      <w:r w:rsidRPr="008F24D9">
        <w:t xml:space="preserve">Submissions from </w:t>
      </w:r>
      <w:r>
        <w:t xml:space="preserve">thirteen </w:t>
      </w:r>
      <w:r w:rsidRPr="008F24D9">
        <w:t xml:space="preserve">distributors supported the AEMC's definitions on key distribution reliability measures. Some distributors submissions commented that they could not provide MAIFIe data without </w:t>
      </w:r>
      <w:r>
        <w:t xml:space="preserve">additional infrastructure or </w:t>
      </w:r>
      <w:r w:rsidRPr="008F24D9">
        <w:t>significant investment</w:t>
      </w:r>
      <w:r>
        <w:rPr>
          <w:rStyle w:val="FootnoteReference"/>
        </w:rPr>
        <w:footnoteReference w:id="4"/>
      </w:r>
      <w:r w:rsidRPr="008F24D9">
        <w:t xml:space="preserve">, and the AER must take this into consideration when requiring DNSPs to apply </w:t>
      </w:r>
      <w:r w:rsidR="00EA2707">
        <w:t xml:space="preserve">the </w:t>
      </w:r>
      <w:r w:rsidRPr="008F24D9">
        <w:t xml:space="preserve">MAIFIe measurement. </w:t>
      </w:r>
    </w:p>
    <w:p w:rsidR="00297C20" w:rsidRDefault="00297C20" w:rsidP="00297C20">
      <w:r w:rsidRPr="008F24D9">
        <w:lastRenderedPageBreak/>
        <w:t>The submission from S</w:t>
      </w:r>
      <w:r w:rsidR="00E27360">
        <w:t>&amp;</w:t>
      </w:r>
      <w:r w:rsidRPr="008F24D9">
        <w:t xml:space="preserve">C Electric Company stated that there are additional costs incurred to industrial and commercial customers for durations of 3 minutes compared to 1 minute and these should not become a hidden cost. </w:t>
      </w:r>
      <w:r w:rsidR="00BC411B">
        <w:t>It</w:t>
      </w:r>
      <w:r w:rsidRPr="008F24D9">
        <w:t xml:space="preserve"> also stated that increasing the momentary interruption to 3 minutes would affect SAIFI performance, reducing the incentive for distributors to improve reliability.</w:t>
      </w:r>
      <w:r w:rsidR="00EF3DDE">
        <w:rPr>
          <w:rStyle w:val="FootnoteReference"/>
        </w:rPr>
        <w:footnoteReference w:id="5"/>
      </w:r>
      <w:r w:rsidRPr="008F24D9">
        <w:t xml:space="preserve"> </w:t>
      </w:r>
    </w:p>
    <w:p w:rsidR="003C16BC" w:rsidRPr="008F24D9" w:rsidRDefault="003C16BC" w:rsidP="003C16BC">
      <w:pPr>
        <w:pStyle w:val="Tabletitle"/>
      </w:pPr>
      <w:r>
        <w:t>Overview of our positions</w:t>
      </w:r>
      <w:r w:rsidRPr="008F24D9">
        <w:t xml:space="preserve"> </w:t>
      </w:r>
    </w:p>
    <w:p w:rsidR="003C16BC" w:rsidRDefault="003C16BC" w:rsidP="003C16BC">
      <w:r>
        <w:t xml:space="preserve">We support the AEMC's position on </w:t>
      </w:r>
      <w:r w:rsidR="00EF3DDE">
        <w:t xml:space="preserve">nearly </w:t>
      </w:r>
      <w:r>
        <w:t xml:space="preserve">all key </w:t>
      </w:r>
      <w:r w:rsidR="00BC411B">
        <w:t xml:space="preserve">distribution </w:t>
      </w:r>
      <w:r>
        <w:t>reliability measures, except for the further exclusion of catastrophic events from setting the MED threshold. T</w:t>
      </w:r>
      <w:r w:rsidRPr="008F24D9">
        <w:t xml:space="preserve">his </w:t>
      </w:r>
      <w:r>
        <w:t xml:space="preserve">explanatory statement </w:t>
      </w:r>
      <w:r w:rsidRPr="008F24D9">
        <w:t>set</w:t>
      </w:r>
      <w:r>
        <w:t>s</w:t>
      </w:r>
      <w:r w:rsidRPr="008F24D9">
        <w:t xml:space="preserve"> out our consideration on th</w:t>
      </w:r>
      <w:r>
        <w:t xml:space="preserve">e AEMC's proposed changes to </w:t>
      </w:r>
      <w:r w:rsidRPr="008F24D9">
        <w:t>key distribution reliability measures</w:t>
      </w:r>
      <w:r>
        <w:t>, after reviewing and considering stakeholders' feedbacks</w:t>
      </w:r>
      <w:r w:rsidRPr="008F24D9">
        <w:t>.</w:t>
      </w:r>
    </w:p>
    <w:p w:rsidR="003C16BC" w:rsidRDefault="00172648" w:rsidP="00172648">
      <w:pPr>
        <w:pStyle w:val="Heading1"/>
      </w:pPr>
      <w:bookmarkStart w:id="58" w:name="_Toc485633939"/>
      <w:bookmarkStart w:id="59" w:name="_Toc485812904"/>
      <w:bookmarkEnd w:id="58"/>
      <w:r>
        <w:lastRenderedPageBreak/>
        <w:t>Our consideration and decision on key performance measures</w:t>
      </w:r>
      <w:bookmarkEnd w:id="59"/>
    </w:p>
    <w:p w:rsidR="002C0F63" w:rsidRPr="008F24D9" w:rsidRDefault="002C0F63" w:rsidP="00E60FE1">
      <w:pPr>
        <w:pStyle w:val="Heading2"/>
      </w:pPr>
      <w:bookmarkStart w:id="60" w:name="_Toc485812905"/>
      <w:r>
        <w:t>C</w:t>
      </w:r>
      <w:r w:rsidRPr="002C0F63">
        <w:t>hanging the definition of a momentary interruption</w:t>
      </w:r>
      <w:bookmarkEnd w:id="60"/>
      <w:r w:rsidRPr="002C0F63">
        <w:t xml:space="preserve"> </w:t>
      </w:r>
    </w:p>
    <w:p w:rsidR="00297C20" w:rsidRPr="00312460" w:rsidRDefault="00297C20" w:rsidP="00297C20">
      <w:r>
        <w:t>We support the chang</w:t>
      </w:r>
      <w:r w:rsidR="00092E53">
        <w:t>e</w:t>
      </w:r>
      <w:r>
        <w:t xml:space="preserve"> </w:t>
      </w:r>
      <w:r w:rsidR="00092E53">
        <w:t>to</w:t>
      </w:r>
      <w:r>
        <w:t xml:space="preserve"> the threshold of momentary interruption and momentary interruption event from less than </w:t>
      </w:r>
      <w:r w:rsidR="00092E53">
        <w:t>1</w:t>
      </w:r>
      <w:r>
        <w:t xml:space="preserve"> minute to less than </w:t>
      </w:r>
      <w:r w:rsidR="00092E53">
        <w:t>3</w:t>
      </w:r>
      <w:r>
        <w:t xml:space="preserve"> minutes</w:t>
      </w:r>
      <w:r w:rsidR="00092E53">
        <w:t>. We believe this change will</w:t>
      </w:r>
      <w:r>
        <w:t xml:space="preserve"> </w:t>
      </w:r>
      <w:r w:rsidRPr="00312460">
        <w:t>encourage investment in automation facilities to restore supply more quickly after a network fault.</w:t>
      </w:r>
      <w:r w:rsidR="00EF3DDE">
        <w:rPr>
          <w:rStyle w:val="FootnoteReference"/>
        </w:rPr>
        <w:footnoteReference w:id="6"/>
      </w:r>
      <w:r w:rsidRPr="00312460">
        <w:t xml:space="preserve"> </w:t>
      </w:r>
    </w:p>
    <w:p w:rsidR="00297C20" w:rsidRDefault="00297C20" w:rsidP="00297C20">
      <w:r w:rsidRPr="00312460">
        <w:t xml:space="preserve">In recommending a shift to </w:t>
      </w:r>
      <w:r>
        <w:t xml:space="preserve">a </w:t>
      </w:r>
      <w:r w:rsidRPr="00312460">
        <w:t xml:space="preserve">3 minutes </w:t>
      </w:r>
      <w:r>
        <w:t xml:space="preserve">threshold </w:t>
      </w:r>
      <w:r w:rsidRPr="00312460">
        <w:t>for sustained outage duration</w:t>
      </w:r>
      <w:r w:rsidR="00ED0FC3">
        <w:t>,</w:t>
      </w:r>
      <w:r w:rsidRPr="00312460">
        <w:t xml:space="preserve"> the AEMC reviewed international best practice. They found that the </w:t>
      </w:r>
      <w:r w:rsidR="00092E53" w:rsidRPr="00092E53">
        <w:t xml:space="preserve">Institute of Electrical and Electronic Engineers </w:t>
      </w:r>
      <w:r w:rsidRPr="00312460">
        <w:t>(US) had moved to 5 minutes, and Europe and the UK to three minutes. The basis of the change was to provide incentive to distributors to invest in feeder automation.</w:t>
      </w:r>
      <w:r w:rsidR="0085700D">
        <w:rPr>
          <w:rStyle w:val="FootnoteReference"/>
        </w:rPr>
        <w:footnoteReference w:id="7"/>
      </w:r>
    </w:p>
    <w:p w:rsidR="00297C20" w:rsidRDefault="00297C20" w:rsidP="00297C20">
      <w:r>
        <w:t>The submissions from nine distributors</w:t>
      </w:r>
      <w:r>
        <w:rPr>
          <w:rStyle w:val="FootnoteReference"/>
        </w:rPr>
        <w:footnoteReference w:id="8"/>
      </w:r>
      <w:r>
        <w:t xml:space="preserve"> and from Energy Networks Australia</w:t>
      </w:r>
      <w:r w:rsidR="009E03F8">
        <w:t xml:space="preserve"> (ENA)</w:t>
      </w:r>
      <w:r>
        <w:t xml:space="preserve"> in response to our issues paper all supported the change to a </w:t>
      </w:r>
      <w:r w:rsidR="00092E53">
        <w:t>3</w:t>
      </w:r>
      <w:r>
        <w:t xml:space="preserve"> minute</w:t>
      </w:r>
      <w:r w:rsidR="00092E53">
        <w:t>s</w:t>
      </w:r>
      <w:r>
        <w:t xml:space="preserve"> momentary interruption. </w:t>
      </w:r>
    </w:p>
    <w:p w:rsidR="00CF5D41" w:rsidRPr="008F24D9" w:rsidRDefault="002C0F63" w:rsidP="00CF5D41">
      <w:r>
        <w:t>Th</w:t>
      </w:r>
      <w:r w:rsidR="00ED0FC3">
        <w:t>at</w:t>
      </w:r>
      <w:r>
        <w:t xml:space="preserve"> sa</w:t>
      </w:r>
      <w:r w:rsidR="00297C20">
        <w:t>id, w</w:t>
      </w:r>
      <w:r w:rsidR="00CF5D41">
        <w:t>e recognise that i</w:t>
      </w:r>
      <w:r w:rsidR="00CF5D41" w:rsidRPr="008F24D9">
        <w:t xml:space="preserve">n applying the AEMC's recommended changes to key distribution reliability measures </w:t>
      </w:r>
      <w:r w:rsidR="00CF5D41">
        <w:t>there is a need</w:t>
      </w:r>
      <w:r w:rsidR="00CF5D41" w:rsidRPr="008F24D9">
        <w:t xml:space="preserve"> to address the following issues:</w:t>
      </w:r>
    </w:p>
    <w:p w:rsidR="00CF5D41" w:rsidRPr="008F24D9" w:rsidRDefault="00CF5D41" w:rsidP="00E60FE1">
      <w:pPr>
        <w:pStyle w:val="AERbulletlistsecondstyle"/>
      </w:pPr>
      <w:r w:rsidRPr="008F24D9">
        <w:tab/>
        <w:t xml:space="preserve">The potential negative effects on large customers of moving to </w:t>
      </w:r>
      <w:r w:rsidR="00533852">
        <w:t>a 3</w:t>
      </w:r>
      <w:r w:rsidRPr="008F24D9">
        <w:t xml:space="preserve"> minutes</w:t>
      </w:r>
      <w:r w:rsidRPr="00F9103B">
        <w:t xml:space="preserve"> </w:t>
      </w:r>
      <w:r w:rsidRPr="008F24D9">
        <w:t>definition of a momentary interruption as outlined by the S</w:t>
      </w:r>
      <w:r w:rsidR="00533852">
        <w:t>&amp;</w:t>
      </w:r>
      <w:r w:rsidRPr="008F24D9">
        <w:t>C</w:t>
      </w:r>
      <w:r w:rsidR="00533852">
        <w:t xml:space="preserve"> Electric</w:t>
      </w:r>
      <w:r w:rsidRPr="008F24D9">
        <w:t xml:space="preserve"> Company</w:t>
      </w:r>
      <w:r w:rsidR="00533852">
        <w:t>'s</w:t>
      </w:r>
      <w:r w:rsidRPr="008F24D9">
        <w:t xml:space="preserve"> submission. </w:t>
      </w:r>
    </w:p>
    <w:p w:rsidR="00CF5D41" w:rsidRDefault="00533852" w:rsidP="00E60FE1">
      <w:pPr>
        <w:pStyle w:val="AERbulletlistsecondstyle"/>
      </w:pPr>
      <w:r>
        <w:t>The inability of some DNSPs to report MAIFIe data</w:t>
      </w:r>
      <w:r w:rsidR="00CF5D41" w:rsidRPr="008F24D9">
        <w:t xml:space="preserve">—some distributors </w:t>
      </w:r>
      <w:r w:rsidR="00CF5D41">
        <w:t>were</w:t>
      </w:r>
      <w:r w:rsidR="00CF5D41" w:rsidRPr="008F24D9">
        <w:t xml:space="preserve"> concern</w:t>
      </w:r>
      <w:r w:rsidR="00CF5D41">
        <w:t>ed</w:t>
      </w:r>
      <w:r w:rsidR="00CF5D41" w:rsidRPr="008F24D9">
        <w:t xml:space="preserve"> that they are unable to report this data because their current systems does not collect this information.</w:t>
      </w:r>
    </w:p>
    <w:p w:rsidR="00297C20" w:rsidRPr="00ED41FC" w:rsidRDefault="00DF5CAE" w:rsidP="00E60FE1">
      <w:pPr>
        <w:pStyle w:val="AERbulletlistsecondstyle"/>
      </w:pPr>
      <w:r>
        <w:t>P</w:t>
      </w:r>
      <w:r w:rsidR="00ED0FC3">
        <w:t>otential concerns</w:t>
      </w:r>
      <w:r w:rsidR="00297C20" w:rsidRPr="00ED41FC">
        <w:t xml:space="preserve"> relating to notification</w:t>
      </w:r>
      <w:r w:rsidR="000B642A" w:rsidRPr="00ED41FC">
        <w:t xml:space="preserve"> </w:t>
      </w:r>
      <w:r w:rsidR="00E07BAD">
        <w:t xml:space="preserve">of planned outages </w:t>
      </w:r>
      <w:r w:rsidR="000B642A" w:rsidRPr="00ED41FC">
        <w:t>sent to</w:t>
      </w:r>
      <w:r w:rsidR="00297C20" w:rsidRPr="00ED41FC">
        <w:t xml:space="preserve"> customer</w:t>
      </w:r>
      <w:r w:rsidR="00E07BAD">
        <w:t>s on life support equipment</w:t>
      </w:r>
      <w:r w:rsidR="00297C20" w:rsidRPr="00ED41FC">
        <w:t>.</w:t>
      </w:r>
    </w:p>
    <w:p w:rsidR="008F24D9" w:rsidRPr="008F24D9" w:rsidRDefault="008F24D9" w:rsidP="008F24D9">
      <w:pPr>
        <w:pStyle w:val="Heading3"/>
      </w:pPr>
      <w:bookmarkStart w:id="61" w:name="_Toc485633942"/>
      <w:bookmarkStart w:id="62" w:name="_Toc485812906"/>
      <w:bookmarkEnd w:id="50"/>
      <w:bookmarkEnd w:id="51"/>
      <w:r w:rsidRPr="008F24D9">
        <w:t xml:space="preserve">Effects of 3 minutes </w:t>
      </w:r>
      <w:r w:rsidR="00E07BAD">
        <w:t xml:space="preserve">MAIFI threshold </w:t>
      </w:r>
      <w:r w:rsidRPr="008F24D9">
        <w:t xml:space="preserve">change on </w:t>
      </w:r>
      <w:r>
        <w:t xml:space="preserve">industrial and commercial </w:t>
      </w:r>
      <w:r w:rsidRPr="008F24D9">
        <w:t>customers</w:t>
      </w:r>
      <w:bookmarkEnd w:id="61"/>
      <w:bookmarkEnd w:id="62"/>
    </w:p>
    <w:p w:rsidR="008F24D9" w:rsidRPr="008F24D9" w:rsidRDefault="008F24D9" w:rsidP="008F24D9">
      <w:r w:rsidRPr="008F24D9">
        <w:t xml:space="preserve">The S&amp;C Electric Company submission stated that there may be additional costs incurred </w:t>
      </w:r>
      <w:r w:rsidR="00ED0FC3">
        <w:t>by</w:t>
      </w:r>
      <w:r w:rsidR="00ED0FC3" w:rsidRPr="008F24D9">
        <w:t xml:space="preserve"> </w:t>
      </w:r>
      <w:r w:rsidRPr="008F24D9">
        <w:t xml:space="preserve">industrial and commercial customers </w:t>
      </w:r>
      <w:r w:rsidR="00ED0FC3">
        <w:t>in</w:t>
      </w:r>
      <w:r w:rsidR="00ED0FC3" w:rsidRPr="008F24D9">
        <w:t xml:space="preserve"> </w:t>
      </w:r>
      <w:r w:rsidRPr="008F24D9">
        <w:t xml:space="preserve">moving to 3 minutes and these should not become a hidden cost. It also </w:t>
      </w:r>
      <w:r w:rsidR="00533852">
        <w:t>submitted</w:t>
      </w:r>
      <w:r w:rsidRPr="008F24D9">
        <w:t xml:space="preserve"> that increasing the momentary </w:t>
      </w:r>
      <w:r w:rsidRPr="008F24D9">
        <w:lastRenderedPageBreak/>
        <w:t>interruption to 3 minutes would affect SAIFI performance, reducing the incentive for distributors to improve reliability.</w:t>
      </w:r>
      <w:r>
        <w:rPr>
          <w:rStyle w:val="FootnoteReference"/>
        </w:rPr>
        <w:footnoteReference w:id="9"/>
      </w:r>
      <w:r w:rsidRPr="008F24D9">
        <w:t xml:space="preserve">   </w:t>
      </w:r>
    </w:p>
    <w:p w:rsidR="008F24D9" w:rsidRPr="008F24D9" w:rsidRDefault="008F24D9" w:rsidP="008F24D9">
      <w:r w:rsidRPr="008F24D9">
        <w:t>We consider the effect of this change is unlikely to be significant for commercial or industrial customers. The purpose for this change is to provide additional incentive</w:t>
      </w:r>
      <w:r w:rsidR="00ED0FC3">
        <w:t>s</w:t>
      </w:r>
      <w:r w:rsidRPr="008F24D9">
        <w:t xml:space="preserve"> to restore supply quickly, where the benefit outweighs the cost. More precisely, the additional incentive is to convert some of the longer sustained unplanned outages into short-term momentary outages.</w:t>
      </w:r>
    </w:p>
    <w:p w:rsidR="008F24D9" w:rsidRPr="008F24D9" w:rsidRDefault="008F24D9" w:rsidP="008F24D9">
      <w:r w:rsidRPr="008F24D9">
        <w:t>This approach should benefit all customers, including industrial and commercial customers. This change in the measurement method should not be interpreted as meaning that those supply outages currently can be restored within one minute will be purposely delayed by two more minutes before the distributor will restore power supply.</w:t>
      </w:r>
    </w:p>
    <w:p w:rsidR="008F24D9" w:rsidRPr="008F24D9" w:rsidRDefault="008F24D9" w:rsidP="008F24D9">
      <w:r w:rsidRPr="008F24D9">
        <w:t>More importantly, as identified in the AEMC Final Report</w:t>
      </w:r>
      <w:r w:rsidR="00570BA1">
        <w:t>,</w:t>
      </w:r>
      <w:r w:rsidRPr="008F24D9">
        <w:t xml:space="preserve"> it is not economically feasible or even possible to eliminate </w:t>
      </w:r>
      <w:r w:rsidR="00F9103B">
        <w:t xml:space="preserve">all </w:t>
      </w:r>
      <w:r w:rsidRPr="008F24D9">
        <w:t>sustained interruptions. All network users need to take their own necessary precautions against unplanned supply interruptions.</w:t>
      </w:r>
      <w:r>
        <w:rPr>
          <w:rStyle w:val="FootnoteReference"/>
        </w:rPr>
        <w:footnoteReference w:id="10"/>
      </w:r>
    </w:p>
    <w:p w:rsidR="008F24D9" w:rsidRDefault="00ED0FC3" w:rsidP="008F24D9">
      <w:r>
        <w:t>In</w:t>
      </w:r>
      <w:r w:rsidR="008F24D9" w:rsidRPr="008F24D9">
        <w:t xml:space="preserve"> setting up future STPIS performance targets, we consider that all pre-existing sub-three-minutes interruptions must be removed from the historical data set to ensure that distributors do not receive a windfall gain from this change. This is the standard performance target setting method and </w:t>
      </w:r>
      <w:r w:rsidR="00F9103B">
        <w:t>should</w:t>
      </w:r>
      <w:r w:rsidR="00F9103B" w:rsidRPr="008F24D9">
        <w:t xml:space="preserve"> </w:t>
      </w:r>
      <w:r w:rsidR="008F24D9" w:rsidRPr="008F24D9">
        <w:t>address the concerns expressed by S</w:t>
      </w:r>
      <w:r w:rsidR="00533852">
        <w:t>&amp;</w:t>
      </w:r>
      <w:r w:rsidR="008F24D9" w:rsidRPr="008F24D9">
        <w:t>C Electric Company.</w:t>
      </w:r>
    </w:p>
    <w:p w:rsidR="007D737B" w:rsidRDefault="007D737B" w:rsidP="00E60FE1">
      <w:pPr>
        <w:pStyle w:val="Heading3"/>
      </w:pPr>
      <w:bookmarkStart w:id="63" w:name="_Toc485633943"/>
      <w:bookmarkStart w:id="64" w:name="_Toc485812907"/>
      <w:r w:rsidRPr="000B642A">
        <w:t>The use of MAIFI and MAIFIe</w:t>
      </w:r>
      <w:bookmarkEnd w:id="63"/>
      <w:bookmarkEnd w:id="64"/>
      <w:r w:rsidRPr="000B642A">
        <w:t xml:space="preserve"> </w:t>
      </w:r>
    </w:p>
    <w:p w:rsidR="007D737B" w:rsidRPr="008F24D9" w:rsidRDefault="007D737B" w:rsidP="007D737B">
      <w:r>
        <w:t xml:space="preserve">We support the AEMC's recommendation to use MAIFIe as the preferable measure </w:t>
      </w:r>
      <w:r w:rsidR="00807F81">
        <w:t>for</w:t>
      </w:r>
      <w:r>
        <w:t xml:space="preserve"> reporting </w:t>
      </w:r>
      <w:r w:rsidR="003865FD">
        <w:t xml:space="preserve">purposes </w:t>
      </w:r>
      <w:r>
        <w:t>and in our STPIS</w:t>
      </w:r>
      <w:r w:rsidRPr="000B642A">
        <w:t>.</w:t>
      </w:r>
      <w:r>
        <w:t xml:space="preserve"> This said, </w:t>
      </w:r>
      <w:r w:rsidRPr="008F24D9">
        <w:t>we recognise that some DNSPs cannot provide MAIFIe data without significant investment</w:t>
      </w:r>
      <w:r w:rsidR="00807F81">
        <w:t xml:space="preserve"> to capture this data</w:t>
      </w:r>
      <w:r w:rsidRPr="008F24D9">
        <w:t>.</w:t>
      </w:r>
      <w:r>
        <w:rPr>
          <w:rStyle w:val="FootnoteReference"/>
        </w:rPr>
        <w:footnoteReference w:id="11"/>
      </w:r>
      <w:r w:rsidRPr="008F24D9">
        <w:t xml:space="preserve"> </w:t>
      </w:r>
    </w:p>
    <w:p w:rsidR="007D737B" w:rsidRDefault="007D737B" w:rsidP="007D737B">
      <w:r w:rsidRPr="008F24D9">
        <w:t xml:space="preserve">Consequently, we </w:t>
      </w:r>
      <w:r>
        <w:t xml:space="preserve">consider that MAIFIe be applied where DNSPs have the capability to capture this data. Alternatively, MAIFI will be applied where DNSPs are unable to capture MAIFIe data.  </w:t>
      </w:r>
    </w:p>
    <w:p w:rsidR="00477EA5" w:rsidRDefault="00477EA5" w:rsidP="007D737B"/>
    <w:p w:rsidR="00E07BAD" w:rsidRDefault="00E07BAD" w:rsidP="00E60FE1">
      <w:pPr>
        <w:pStyle w:val="Heading3"/>
      </w:pPr>
      <w:bookmarkStart w:id="65" w:name="_Toc485633944"/>
      <w:bookmarkStart w:id="66" w:name="_Toc485812908"/>
      <w:r w:rsidRPr="008F24D9">
        <w:lastRenderedPageBreak/>
        <w:t>Notification under N</w:t>
      </w:r>
      <w:r w:rsidR="00D83109">
        <w:t xml:space="preserve">ational </w:t>
      </w:r>
      <w:r w:rsidRPr="008F24D9">
        <w:t>E</w:t>
      </w:r>
      <w:r w:rsidR="00D83109">
        <w:t xml:space="preserve">nergy </w:t>
      </w:r>
      <w:r w:rsidRPr="008F24D9">
        <w:t>R</w:t>
      </w:r>
      <w:r w:rsidR="00D83109">
        <w:t xml:space="preserve">etail </w:t>
      </w:r>
      <w:r w:rsidRPr="008F24D9">
        <w:t>R</w:t>
      </w:r>
      <w:r w:rsidR="00D83109">
        <w:t>ules</w:t>
      </w:r>
      <w:r w:rsidRPr="008F24D9">
        <w:t xml:space="preserve"> for life support customers</w:t>
      </w:r>
      <w:bookmarkEnd w:id="65"/>
      <w:bookmarkEnd w:id="66"/>
    </w:p>
    <w:p w:rsidR="00533852" w:rsidRPr="008F24D9" w:rsidRDefault="00533852" w:rsidP="00533852">
      <w:r w:rsidRPr="008F24D9">
        <w:t>Under clause 90 of the NERR, distributors must provide a minimum of 4 business days notice for all planned interruptions of any duration, including momentary interruptions.</w:t>
      </w:r>
    </w:p>
    <w:p w:rsidR="00533852" w:rsidRPr="00533852" w:rsidRDefault="00533852" w:rsidP="00733FDF">
      <w:r>
        <w:t xml:space="preserve">We consider the change to 3 minutes for unplanned </w:t>
      </w:r>
      <w:r w:rsidR="00477EA5">
        <w:t xml:space="preserve">interruptions </w:t>
      </w:r>
      <w:r>
        <w:t>may</w:t>
      </w:r>
      <w:r w:rsidR="00477EA5">
        <w:t xml:space="preserve"> </w:t>
      </w:r>
      <w:r>
        <w:t xml:space="preserve">be misinterpreted as applying to planned interruptions. </w:t>
      </w:r>
      <w:r w:rsidRPr="00F11C80">
        <w:rPr>
          <w:rStyle w:val="AERtextunderline"/>
        </w:rPr>
        <w:t xml:space="preserve">The change to </w:t>
      </w:r>
      <w:r>
        <w:rPr>
          <w:rStyle w:val="AERtextunderline"/>
        </w:rPr>
        <w:t xml:space="preserve">3 </w:t>
      </w:r>
      <w:r w:rsidRPr="00F11C80">
        <w:rPr>
          <w:rStyle w:val="AERtextunderline"/>
        </w:rPr>
        <w:t>minutes only applies to unplanned outages.</w:t>
      </w:r>
    </w:p>
    <w:p w:rsidR="00E07BAD" w:rsidRPr="00E07BAD" w:rsidRDefault="00E07BAD" w:rsidP="00E07BAD">
      <w:r>
        <w:t>We consider that a</w:t>
      </w:r>
      <w:r w:rsidRPr="00FE71DF">
        <w:t>dopting the 3 minutes definition will not affect customers on life support</w:t>
      </w:r>
      <w:r>
        <w:t xml:space="preserve"> equipment</w:t>
      </w:r>
      <w:r w:rsidRPr="00FE71DF">
        <w:t xml:space="preserve">. Rather, changing the definition has the potential to improve supply restoration time </w:t>
      </w:r>
      <w:r w:rsidRPr="00E07BAD">
        <w:t>for unplanned outages to some of these customers because of the additional financial incentive.</w:t>
      </w:r>
    </w:p>
    <w:p w:rsidR="00E07BAD" w:rsidRPr="00E07BAD" w:rsidRDefault="00E07BAD" w:rsidP="00E07BAD">
      <w:r>
        <w:t xml:space="preserve">More precisely, the additional incentive </w:t>
      </w:r>
      <w:r w:rsidRPr="00E07BAD">
        <w:t>is to convert some of the longer sustained unplanned outages into short-term momentary outages.</w:t>
      </w:r>
    </w:p>
    <w:p w:rsidR="00E07BAD" w:rsidRPr="00E07BAD" w:rsidRDefault="00E07BAD" w:rsidP="00E07BAD">
      <w:r>
        <w:t>In its Final Report, the AEMC concluded that:</w:t>
      </w:r>
      <w:r w:rsidRPr="00E07BAD">
        <w:rPr>
          <w:rStyle w:val="FootnoteReference"/>
        </w:rPr>
        <w:footnoteReference w:id="12"/>
      </w:r>
    </w:p>
    <w:p w:rsidR="00D83109" w:rsidRDefault="00E07BAD" w:rsidP="00477EA5">
      <w:pPr>
        <w:pStyle w:val="AERquote"/>
      </w:pPr>
      <w:r>
        <w:t>As shown in our State of the Energy Market 2015 report,</w:t>
      </w:r>
      <w:r w:rsidRPr="00E07BAD">
        <w:rPr>
          <w:rStyle w:val="FootnoteReference"/>
        </w:rPr>
        <w:footnoteReference w:id="13"/>
      </w:r>
      <w:r w:rsidRPr="00E07BAD">
        <w:t xml:space="preserve"> currently, urban customers (including those on life support equipment) experience about two unplanned interruptions a year, the average duration of these unplanned outages is about 100 minutes. The frequency and duration of unplanned outages are longer in rural areas. While the current rules cannot protect customers on life support equipment against unplanned outages, there are existing rules that require distributors to provide at least 4 days warning to these customers ahead of any planned outages. </w:t>
      </w:r>
    </w:p>
    <w:p w:rsidR="00E07BAD" w:rsidRDefault="00D83109" w:rsidP="00E07BAD">
      <w:r>
        <w:t>W</w:t>
      </w:r>
      <w:r w:rsidRPr="00E07BAD">
        <w:t xml:space="preserve">hile the recommended change is likely to reduce the number of sustained interruptions, it is important to acknowledge that it is not economically feasible or even possible to eliminate sustained interruptions. This needs to be taken into account when determining the level of backup provided by life support equipment. </w:t>
      </w:r>
      <w:r w:rsidR="00533852">
        <w:rPr>
          <w:rStyle w:val="AERtextunderline"/>
        </w:rPr>
        <w:t>As stated above, t</w:t>
      </w:r>
      <w:r w:rsidR="00E07BAD" w:rsidRPr="00F11C80">
        <w:rPr>
          <w:rStyle w:val="AERtextunderline"/>
        </w:rPr>
        <w:t>he change to three minutes only applies to unplanned outages.</w:t>
      </w:r>
      <w:r w:rsidR="00E07BAD" w:rsidRPr="008F24D9">
        <w:t xml:space="preserve"> We </w:t>
      </w:r>
      <w:r w:rsidR="00E07BAD">
        <w:t xml:space="preserve">therefore </w:t>
      </w:r>
      <w:r w:rsidR="00E07BAD" w:rsidRPr="008F24D9">
        <w:t>urge distributors to be aware of their obligation under the NERR. Additionally, to avoid any misconception of the matter, we will be writing to all distributors to remind them their obligations under NERR.</w:t>
      </w:r>
    </w:p>
    <w:p w:rsidR="00ED41FC" w:rsidRDefault="007D737B" w:rsidP="00E60FE1">
      <w:pPr>
        <w:pStyle w:val="Heading2"/>
      </w:pPr>
      <w:bookmarkStart w:id="67" w:name="_Toc485812909"/>
      <w:r>
        <w:t>Broadening exclusion</w:t>
      </w:r>
      <w:r w:rsidR="00D83109">
        <w:t xml:space="preserve"> condition</w:t>
      </w:r>
      <w:r>
        <w:t>s</w:t>
      </w:r>
      <w:bookmarkEnd w:id="67"/>
      <w:r>
        <w:t xml:space="preserve"> </w:t>
      </w:r>
    </w:p>
    <w:p w:rsidR="007D737B" w:rsidRDefault="007D737B">
      <w:r w:rsidRPr="00ED41FC">
        <w:t xml:space="preserve">This section discusses the treatment of exclusions and major event days when calculating distribution reliability measures. </w:t>
      </w:r>
    </w:p>
    <w:p w:rsidR="005C74FF" w:rsidRDefault="00E07BAD" w:rsidP="005C74FF">
      <w:r w:rsidRPr="005C74FF">
        <w:lastRenderedPageBreak/>
        <w:t>Our STPIS allow the removal of some types of interruptions from the set of reliability data being considered when calculating distribution reliability measures</w:t>
      </w:r>
      <w:r w:rsidR="00EC5D99" w:rsidRPr="005C74FF">
        <w:t xml:space="preserve"> for SAIDI, SAIFI, MAIFI and MAIFIe</w:t>
      </w:r>
      <w:r w:rsidR="0085700D">
        <w:t>.</w:t>
      </w:r>
      <w:r w:rsidRPr="005C74FF">
        <w:t xml:space="preserve"> </w:t>
      </w:r>
      <w:r w:rsidR="0085700D">
        <w:t>T</w:t>
      </w:r>
      <w:r w:rsidRPr="005C74FF">
        <w:t xml:space="preserve">hese interruptions are </w:t>
      </w:r>
      <w:r w:rsidR="0085700D">
        <w:t xml:space="preserve">removed because they are </w:t>
      </w:r>
      <w:r w:rsidR="00B41D44" w:rsidRPr="005C74FF">
        <w:t xml:space="preserve">either </w:t>
      </w:r>
      <w:r w:rsidR="00704CB9" w:rsidRPr="005C74FF">
        <w:t xml:space="preserve">beyond the control of the distributors (exclusions) or are not representative of a </w:t>
      </w:r>
      <w:r w:rsidR="00B41D44" w:rsidRPr="005C74FF">
        <w:t xml:space="preserve">normal day in terms of reasonable network resource availability, the Major Even Day </w:t>
      </w:r>
      <w:r w:rsidR="00704CB9" w:rsidRPr="005C74FF">
        <w:t>(MED).</w:t>
      </w:r>
      <w:r w:rsidR="005C74FF">
        <w:rPr>
          <w:rStyle w:val="FootnoteReference"/>
        </w:rPr>
        <w:footnoteReference w:id="14"/>
      </w:r>
    </w:p>
    <w:p w:rsidR="007D737B" w:rsidRDefault="007D737B" w:rsidP="005C74FF">
      <w:pPr>
        <w:pStyle w:val="Heading3"/>
      </w:pPr>
      <w:bookmarkStart w:id="68" w:name="_Toc485633946"/>
      <w:bookmarkStart w:id="69" w:name="_Toc485812910"/>
      <w:r>
        <w:t>Exclusions</w:t>
      </w:r>
      <w:bookmarkEnd w:id="68"/>
      <w:bookmarkEnd w:id="69"/>
    </w:p>
    <w:p w:rsidR="00A93F19" w:rsidRDefault="007D737B" w:rsidP="007D737B">
      <w:r w:rsidRPr="001B5E49">
        <w:t xml:space="preserve">We support the AEMC's recommendation on </w:t>
      </w:r>
      <w:r w:rsidR="00A93F19">
        <w:t xml:space="preserve">two additional </w:t>
      </w:r>
      <w:r w:rsidRPr="001B5E49">
        <w:t>exclusions</w:t>
      </w:r>
      <w:r w:rsidR="00A93F19">
        <w:t xml:space="preserve"> for:</w:t>
      </w:r>
    </w:p>
    <w:p w:rsidR="00A93F19" w:rsidRPr="00A93F19" w:rsidRDefault="00A93F19" w:rsidP="00E60FE1">
      <w:pPr>
        <w:pStyle w:val="AERbulletlistsecondstyle"/>
      </w:pPr>
      <w:r w:rsidRPr="00A93F19">
        <w:t xml:space="preserve">Load interruptions caused by the exercise of any obligation, right or discretion imposed upon or provided for under jurisdictional electricity legislation and national electricity legislation applying to a Distribution Network Service Provider. </w:t>
      </w:r>
    </w:p>
    <w:p w:rsidR="00A93F19" w:rsidRPr="00A93F19" w:rsidRDefault="00A93F19" w:rsidP="00E60FE1">
      <w:pPr>
        <w:pStyle w:val="AERbulletlistsecondstyle"/>
      </w:pPr>
      <w:r w:rsidRPr="00A93F19">
        <w:t>Load interruptions caused or extended by a direction from state or federal emergency services, provided that a fault in, or the operation of, the network did not cause, in whole or part, the event giving rise to the direction.</w:t>
      </w:r>
      <w:r w:rsidR="0085700D">
        <w:rPr>
          <w:rStyle w:val="FootnoteReference"/>
        </w:rPr>
        <w:footnoteReference w:id="15"/>
      </w:r>
      <w:r w:rsidRPr="00A93F19">
        <w:t xml:space="preserve"> </w:t>
      </w:r>
    </w:p>
    <w:p w:rsidR="007D737B" w:rsidRDefault="007D737B" w:rsidP="007D737B">
      <w:pPr>
        <w:pStyle w:val="Heading3"/>
      </w:pPr>
      <w:bookmarkStart w:id="70" w:name="_Toc485633947"/>
      <w:bookmarkStart w:id="71" w:name="_Toc485812911"/>
      <w:r>
        <w:t>Treatment of major event days</w:t>
      </w:r>
      <w:bookmarkEnd w:id="70"/>
      <w:bookmarkEnd w:id="71"/>
    </w:p>
    <w:p w:rsidR="007D737B" w:rsidRDefault="007D737B" w:rsidP="007D737B">
      <w:r>
        <w:t xml:space="preserve">Under our STPIS, </w:t>
      </w:r>
      <w:r w:rsidRPr="001B5E49">
        <w:t xml:space="preserve">distributors exclude </w:t>
      </w:r>
      <w:r>
        <w:t>interruptions resulting from major</w:t>
      </w:r>
      <w:r w:rsidRPr="001B5E49">
        <w:t xml:space="preserve"> events from their reliability statistics because storms and other </w:t>
      </w:r>
      <w:r>
        <w:t xml:space="preserve">major events </w:t>
      </w:r>
      <w:r w:rsidRPr="001B5E49">
        <w:t xml:space="preserve">are </w:t>
      </w:r>
      <w:r>
        <w:t>uncommon</w:t>
      </w:r>
      <w:r w:rsidRPr="001B5E49">
        <w:t xml:space="preserve"> and </w:t>
      </w:r>
      <w:r>
        <w:t xml:space="preserve">random </w:t>
      </w:r>
      <w:r w:rsidRPr="001B5E49">
        <w:t>so including them can lead to a distorted perception of the distributor’s underlying reli</w:t>
      </w:r>
      <w:r>
        <w:t>ability performance. By normalis</w:t>
      </w:r>
      <w:r w:rsidRPr="001B5E49">
        <w:t xml:space="preserve">ing the reliability data (i.e. removing </w:t>
      </w:r>
      <w:r>
        <w:t>interruptions</w:t>
      </w:r>
      <w:r w:rsidRPr="001B5E49">
        <w:t xml:space="preserve"> related to </w:t>
      </w:r>
      <w:r>
        <w:t>m</w:t>
      </w:r>
      <w:r w:rsidRPr="001B5E49">
        <w:t xml:space="preserve">ajor </w:t>
      </w:r>
      <w:r>
        <w:t>e</w:t>
      </w:r>
      <w:r w:rsidRPr="001B5E49">
        <w:t xml:space="preserve">vents), </w:t>
      </w:r>
      <w:r>
        <w:t xml:space="preserve">we </w:t>
      </w:r>
      <w:r w:rsidRPr="001B5E49">
        <w:t>can review data that more closely represents typical service conditions</w:t>
      </w:r>
      <w:r>
        <w:t>.</w:t>
      </w:r>
    </w:p>
    <w:p w:rsidR="002A13A2" w:rsidRDefault="00A93F19" w:rsidP="00172648">
      <w:r>
        <w:t>The methodology used</w:t>
      </w:r>
      <w:r w:rsidR="002A13A2">
        <w:t>,</w:t>
      </w:r>
      <w:r>
        <w:t xml:space="preserve"> in our STPIS </w:t>
      </w:r>
      <w:r w:rsidR="002A13A2">
        <w:t xml:space="preserve">and the AEMC's recommendation, </w:t>
      </w:r>
      <w:r>
        <w:t xml:space="preserve">to identify major events days is outlined in </w:t>
      </w:r>
      <w:r w:rsidR="007D737B" w:rsidRPr="003A021A">
        <w:t>Institute for Electrical and Electronic</w:t>
      </w:r>
      <w:r w:rsidR="007D737B">
        <w:t xml:space="preserve"> </w:t>
      </w:r>
      <w:r w:rsidR="007D737B" w:rsidRPr="003A021A">
        <w:t>Engineers</w:t>
      </w:r>
      <w:r w:rsidR="007D737B">
        <w:t xml:space="preserve"> (IEEE) 1366 </w:t>
      </w:r>
      <w:r w:rsidR="002A13A2">
        <w:t xml:space="preserve">and called the </w:t>
      </w:r>
      <w:r w:rsidR="007D737B">
        <w:t xml:space="preserve">2.5 beta method. </w:t>
      </w:r>
      <w:r w:rsidR="00172648" w:rsidRPr="00172648">
        <w:t xml:space="preserve">The main steps for identifying a major event day under Standard 1366 are </w:t>
      </w:r>
      <w:r w:rsidR="00172648">
        <w:t>shown in</w:t>
      </w:r>
      <w:r w:rsidR="00172648" w:rsidRPr="00172648">
        <w:t xml:space="preserve"> attachment A.</w:t>
      </w:r>
      <w:r w:rsidR="00172648">
        <w:t xml:space="preserve">  </w:t>
      </w:r>
    </w:p>
    <w:p w:rsidR="007D737B" w:rsidRDefault="002A13A2" w:rsidP="002A13A2">
      <w:r>
        <w:t xml:space="preserve">Prior to applying the 2.5 beta method, the AEMC also </w:t>
      </w:r>
      <w:r w:rsidR="00B41D44">
        <w:t xml:space="preserve">suggested that we consider the </w:t>
      </w:r>
      <w:r>
        <w:t>need to remove interruptions caused</w:t>
      </w:r>
      <w:r w:rsidR="003865FD">
        <w:t xml:space="preserve"> by</w:t>
      </w:r>
      <w:r>
        <w:t xml:space="preserve"> catastrophic events from reliability measures. The AEMC's recommendation</w:t>
      </w:r>
      <w:r w:rsidR="00807F81">
        <w:t>s</w:t>
      </w:r>
      <w:r>
        <w:t xml:space="preserve"> included a definition of catastrophic events and a method to identify catastrophic events interruptions.</w:t>
      </w:r>
      <w:r w:rsidR="00DF1D99">
        <w:rPr>
          <w:rStyle w:val="FootnoteReference"/>
        </w:rPr>
        <w:footnoteReference w:id="16"/>
      </w:r>
      <w:r>
        <w:t xml:space="preserve">  </w:t>
      </w:r>
      <w:r w:rsidR="007D737B">
        <w:t xml:space="preserve"> </w:t>
      </w:r>
    </w:p>
    <w:p w:rsidR="007D737B" w:rsidRDefault="007D737B" w:rsidP="007D737B">
      <w:r>
        <w:t>We do no support this proposition</w:t>
      </w:r>
      <w:r w:rsidR="002A13A2">
        <w:t xml:space="preserve"> </w:t>
      </w:r>
      <w:r w:rsidR="00B41D44">
        <w:t xml:space="preserve">because of the following </w:t>
      </w:r>
      <w:r w:rsidR="002A13A2">
        <w:t>reason</w:t>
      </w:r>
      <w:r w:rsidR="00B41D44">
        <w:t>s</w:t>
      </w:r>
      <w:r>
        <w:t xml:space="preserve">.  </w:t>
      </w:r>
    </w:p>
    <w:p w:rsidR="00DF1D99" w:rsidRDefault="00DF1D99" w:rsidP="007D737B"/>
    <w:p w:rsidR="00DF1D99" w:rsidRDefault="00DF1D99" w:rsidP="007D737B"/>
    <w:p w:rsidR="007D737B" w:rsidRDefault="007D737B" w:rsidP="00E60FE1">
      <w:pPr>
        <w:pStyle w:val="Heading3"/>
      </w:pPr>
      <w:bookmarkStart w:id="72" w:name="_Toc485633948"/>
      <w:bookmarkStart w:id="73" w:name="_Toc485812912"/>
      <w:r w:rsidRPr="00C44229">
        <w:lastRenderedPageBreak/>
        <w:t>Catastrophic events</w:t>
      </w:r>
      <w:bookmarkEnd w:id="72"/>
      <w:bookmarkEnd w:id="73"/>
    </w:p>
    <w:p w:rsidR="007D737B" w:rsidRDefault="007D737B" w:rsidP="007D737B">
      <w:r w:rsidRPr="007E39BF">
        <w:t xml:space="preserve">The AEMC recommended </w:t>
      </w:r>
      <w:r>
        <w:t xml:space="preserve">we </w:t>
      </w:r>
      <w:r w:rsidRPr="007E39BF">
        <w:t>consider allowing catastrophic events to be excluded from the statistical method used to calculate the thresholds for MED</w:t>
      </w:r>
      <w:r w:rsidR="00EC5D99">
        <w:t>. D</w:t>
      </w:r>
      <w:r w:rsidRPr="007E39BF">
        <w:t>istributor</w:t>
      </w:r>
      <w:r>
        <w:t>s'</w:t>
      </w:r>
      <w:r w:rsidRPr="007E39BF">
        <w:t xml:space="preserve"> submissions supported </w:t>
      </w:r>
      <w:r w:rsidR="00EC5D99">
        <w:t>this approach</w:t>
      </w:r>
      <w:r w:rsidRPr="007E39BF">
        <w:t xml:space="preserve">.  </w:t>
      </w:r>
    </w:p>
    <w:p w:rsidR="007D737B" w:rsidRDefault="007D737B" w:rsidP="007D737B">
      <w:r>
        <w:t xml:space="preserve">We do no support this proposition because: </w:t>
      </w:r>
    </w:p>
    <w:p w:rsidR="007D737B" w:rsidRPr="007E39BF" w:rsidRDefault="007D737B" w:rsidP="00E60FE1">
      <w:pPr>
        <w:pStyle w:val="AERbulletlistsecondstyle"/>
      </w:pPr>
      <w:r w:rsidRPr="007E39BF">
        <w:tab/>
      </w:r>
      <w:r>
        <w:t>T</w:t>
      </w:r>
      <w:r w:rsidRPr="007E39BF">
        <w:t xml:space="preserve">here is no </w:t>
      </w:r>
      <w:r>
        <w:t xml:space="preserve">current </w:t>
      </w:r>
      <w:r w:rsidRPr="007E39BF">
        <w:t xml:space="preserve">objective </w:t>
      </w:r>
      <w:r>
        <w:t xml:space="preserve">or definitive </w:t>
      </w:r>
      <w:r w:rsidRPr="007E39BF">
        <w:t>method to identify catastrophic events</w:t>
      </w:r>
      <w:r>
        <w:t xml:space="preserve"> as outlined by the AEMC.  </w:t>
      </w:r>
    </w:p>
    <w:p w:rsidR="007D737B" w:rsidRPr="007E39BF" w:rsidRDefault="007D737B" w:rsidP="00E60FE1">
      <w:pPr>
        <w:pStyle w:val="AERbulletlistsecondstyle"/>
      </w:pPr>
      <w:r w:rsidRPr="007E39BF">
        <w:tab/>
        <w:t xml:space="preserve">There are </w:t>
      </w:r>
      <w:r>
        <w:t xml:space="preserve">material </w:t>
      </w:r>
      <w:r w:rsidRPr="007E39BF">
        <w:t>differences between network characteristics in Australia, ranging from localised urban network such as CitiPower, to physically diverse and geographically large networks such as SA Power Networks and Ergon Energy, so any definition of catastrophic events and their measurement methods are not likely to be uniform across all distributors.</w:t>
      </w:r>
    </w:p>
    <w:p w:rsidR="007D737B" w:rsidRPr="007E39BF" w:rsidRDefault="007D737B" w:rsidP="00E60FE1">
      <w:pPr>
        <w:pStyle w:val="AERbulletlistsecondstyle"/>
      </w:pPr>
      <w:r w:rsidRPr="007E39BF">
        <w:tab/>
        <w:t>Despite the majority of stakeholder submissions supporting exclusion of catastrophic days, there was no clear agreement amongst stakeholders on how to define catastrophic days.</w:t>
      </w:r>
    </w:p>
    <w:p w:rsidR="007D737B" w:rsidRPr="007E39BF" w:rsidRDefault="007D737B" w:rsidP="00E60FE1">
      <w:pPr>
        <w:pStyle w:val="AERbulletlistsecondstyle"/>
      </w:pPr>
      <w:r w:rsidRPr="007E39BF">
        <w:tab/>
      </w:r>
      <w:r>
        <w:t>S</w:t>
      </w:r>
      <w:r w:rsidRPr="007E39BF">
        <w:t xml:space="preserve">ubmissions </w:t>
      </w:r>
      <w:r>
        <w:t>from</w:t>
      </w:r>
      <w:r w:rsidR="003865FD">
        <w:t xml:space="preserve"> some</w:t>
      </w:r>
      <w:r>
        <w:t xml:space="preserve"> distributors </w:t>
      </w:r>
      <w:r w:rsidRPr="007E39BF">
        <w:t>supported using the 4.15 beta method</w:t>
      </w:r>
      <w:r>
        <w:t xml:space="preserve"> identify catastrophic events. </w:t>
      </w:r>
      <w:r w:rsidRPr="007E39BF">
        <w:t xml:space="preserve"> </w:t>
      </w:r>
      <w:r>
        <w:t xml:space="preserve">We consider </w:t>
      </w:r>
      <w:r w:rsidRPr="007E39BF">
        <w:t>that 4.15 beta (or 4.15 standard deviations from the mean) represents a probability of 0.000167, or a less than 1 in 163 years event. Hence, further exclusion of such extremely rare event</w:t>
      </w:r>
      <w:r>
        <w:t>s</w:t>
      </w:r>
      <w:r w:rsidRPr="007E39BF">
        <w:t xml:space="preserve"> should not have material impact on the MED threshold calculations.</w:t>
      </w:r>
    </w:p>
    <w:p w:rsidR="007D737B" w:rsidRDefault="007D737B" w:rsidP="00E60FE1">
      <w:pPr>
        <w:pStyle w:val="AERbulletlistsecondstyle"/>
      </w:pPr>
      <w:r w:rsidRPr="007E39BF">
        <w:tab/>
        <w:t>Any event likely to be identified as a ‘catastrophic event’ will coincide with the current 2.5 beta threshold for M</w:t>
      </w:r>
      <w:r>
        <w:t>ED</w:t>
      </w:r>
      <w:r w:rsidRPr="007E39BF">
        <w:t xml:space="preserve">, </w:t>
      </w:r>
      <w:r>
        <w:t xml:space="preserve">so </w:t>
      </w:r>
      <w:r w:rsidRPr="007E39BF">
        <w:t xml:space="preserve">a 4.15 beta catastrophic day event need not be separately identified and excluded from </w:t>
      </w:r>
      <w:r>
        <w:t xml:space="preserve">reliability </w:t>
      </w:r>
      <w:r w:rsidRPr="007E39BF">
        <w:t>measures.</w:t>
      </w:r>
      <w:r>
        <w:t xml:space="preserve"> As such, these events are already recognised as advocated by the submission from S&amp;C </w:t>
      </w:r>
      <w:r w:rsidR="003865FD">
        <w:t xml:space="preserve">Electric </w:t>
      </w:r>
      <w:r>
        <w:t>Company.</w:t>
      </w:r>
      <w:r>
        <w:rPr>
          <w:rStyle w:val="FootnoteReference"/>
        </w:rPr>
        <w:footnoteReference w:id="17"/>
      </w:r>
    </w:p>
    <w:p w:rsidR="007D737B" w:rsidRDefault="007D737B" w:rsidP="007D737B">
      <w:r>
        <w:t xml:space="preserve">The Submission from the </w:t>
      </w:r>
      <w:r w:rsidRPr="002B017C">
        <w:t>Minister for Energy,</w:t>
      </w:r>
      <w:r>
        <w:t xml:space="preserve"> Environment and Climate change of Victoria supported our position stating that:</w:t>
      </w:r>
    </w:p>
    <w:p w:rsidR="007D737B" w:rsidRDefault="007D737B" w:rsidP="007D737B">
      <w:pPr>
        <w:pStyle w:val="AERquote"/>
      </w:pPr>
      <w:r>
        <w:t xml:space="preserve">As outlined above, it is appropriate to preserve the </w:t>
      </w:r>
      <w:r w:rsidR="00172648">
        <w:t>tension</w:t>
      </w:r>
      <w:r>
        <w:t xml:space="preserve"> between the incentives provided by the f-actor and STPIS. This tension reflects the operational challenge of maintaining the correct balance between supply reliability and community safety on days of heightened bushfire risk. For that reason, the AER's intent not to modify the current exclusion methods by adding "catastrophic events" is supported</w:t>
      </w:r>
      <w:r w:rsidRPr="002B017C">
        <w:t>.</w:t>
      </w:r>
      <w:r>
        <w:rPr>
          <w:rStyle w:val="FootnoteReference"/>
        </w:rPr>
        <w:footnoteReference w:id="18"/>
      </w:r>
    </w:p>
    <w:p w:rsidR="00733FDF" w:rsidRDefault="00733FDF" w:rsidP="00733FDF"/>
    <w:p w:rsidR="00161423" w:rsidRDefault="00127273" w:rsidP="00127273">
      <w:pPr>
        <w:pStyle w:val="Heading3"/>
      </w:pPr>
      <w:bookmarkStart w:id="74" w:name="_Toc485633949"/>
      <w:bookmarkStart w:id="75" w:name="_Toc485812913"/>
      <w:r>
        <w:lastRenderedPageBreak/>
        <w:t>Outage of transmission connection assets due to the actions of a distributor</w:t>
      </w:r>
      <w:bookmarkEnd w:id="74"/>
      <w:bookmarkEnd w:id="75"/>
    </w:p>
    <w:p w:rsidR="00127273" w:rsidRDefault="003865FD" w:rsidP="00161423">
      <w:r>
        <w:t>T</w:t>
      </w:r>
      <w:r w:rsidR="00127273">
        <w:t xml:space="preserve">he Issues Paper, identified an issue regarding supply outages due to </w:t>
      </w:r>
      <w:r w:rsidR="00161423" w:rsidRPr="00161423">
        <w:t>a failure of transmission connection assets</w:t>
      </w:r>
      <w:r w:rsidR="00127273">
        <w:t>. We consider</w:t>
      </w:r>
      <w:r w:rsidR="00786E17">
        <w:t>ed</w:t>
      </w:r>
      <w:r w:rsidR="00127273">
        <w:t xml:space="preserve"> that </w:t>
      </w:r>
      <w:r w:rsidR="00127273" w:rsidRPr="00127273">
        <w:t xml:space="preserve">the </w:t>
      </w:r>
      <w:r w:rsidR="00127273">
        <w:t xml:space="preserve">current </w:t>
      </w:r>
      <w:r w:rsidR="00127273" w:rsidRPr="00127273">
        <w:t>exclusion criterion for "load interruptions caused by a failure of transmission connection assets except where the interruptions were due to inadequate planning of transmission connections and the distributor is responsible for transmission connection planning</w:t>
      </w:r>
      <w:r w:rsidR="00161423" w:rsidRPr="00161423">
        <w:t xml:space="preserve"> except where the interruptions were due to inadequate planning of transmission connections and the distributor is responsible for transmission connection planning" need</w:t>
      </w:r>
      <w:r>
        <w:t>ed</w:t>
      </w:r>
      <w:r w:rsidR="00161423" w:rsidRPr="00161423">
        <w:t xml:space="preserve"> further clarification. </w:t>
      </w:r>
    </w:p>
    <w:p w:rsidR="00161423" w:rsidRDefault="00786E17" w:rsidP="00161423">
      <w:r>
        <w:t>We consider d</w:t>
      </w:r>
      <w:r w:rsidR="00161423" w:rsidRPr="00161423">
        <w:t xml:space="preserve">istributors' control over </w:t>
      </w:r>
      <w:r w:rsidR="00127273">
        <w:t xml:space="preserve">the correct operation of the transmission connection assets </w:t>
      </w:r>
      <w:r w:rsidR="00161423" w:rsidRPr="00161423">
        <w:t xml:space="preserve">extend beyond the planning input. </w:t>
      </w:r>
      <w:r w:rsidR="00127273">
        <w:t>For example, w</w:t>
      </w:r>
      <w:r w:rsidR="00161423" w:rsidRPr="00161423">
        <w:t xml:space="preserve">e are aware of an incident that a distributor failed to take the well-established network operation procedures, which resulted in triggering a protection relay operation to shut down a transmission connection transformer and a number of high voltage feeders. </w:t>
      </w:r>
      <w:r w:rsidR="00127273">
        <w:t>Hence, w</w:t>
      </w:r>
      <w:r w:rsidR="00161423" w:rsidRPr="00161423">
        <w:t>e propose</w:t>
      </w:r>
      <w:r w:rsidR="00127273">
        <w:t>d</w:t>
      </w:r>
      <w:r w:rsidR="00161423" w:rsidRPr="00161423">
        <w:t xml:space="preserve"> to add a further test to ensure that the primary cause of outages was due to any act or omission by the distributor</w:t>
      </w:r>
      <w:r w:rsidR="00127273">
        <w:t xml:space="preserve"> in the issues paper</w:t>
      </w:r>
      <w:r w:rsidR="00161423" w:rsidRPr="00161423">
        <w:t>.</w:t>
      </w:r>
    </w:p>
    <w:p w:rsidR="00C831D3" w:rsidRDefault="00C831D3" w:rsidP="00161423">
      <w:r>
        <w:t>Submissions from ENA, distributors and S</w:t>
      </w:r>
      <w:r w:rsidR="003865FD">
        <w:t>&amp;</w:t>
      </w:r>
      <w:r>
        <w:t xml:space="preserve"> C Electric Company, generally supported </w:t>
      </w:r>
      <w:r w:rsidRPr="00465EB6">
        <w:t>the principle that DNSPs should not be permitted to exclude a transmission outage event if the event is caused by the action, or inaction of that DNSP</w:t>
      </w:r>
      <w:r>
        <w:t>. That said, they considered that a c</w:t>
      </w:r>
      <w:r w:rsidRPr="00465EB6">
        <w:t>lear approach to defining the “primary cause”</w:t>
      </w:r>
      <w:r>
        <w:t xml:space="preserve"> should be established else it </w:t>
      </w:r>
      <w:r w:rsidRPr="00465EB6">
        <w:t>could create lengthy dispute resolution processes</w:t>
      </w:r>
      <w:r>
        <w:t>.</w:t>
      </w:r>
      <w:r>
        <w:rPr>
          <w:rStyle w:val="FootnoteReference"/>
        </w:rPr>
        <w:footnoteReference w:id="19"/>
      </w:r>
    </w:p>
    <w:p w:rsidR="00C831D3" w:rsidRDefault="00786E17" w:rsidP="00161423">
      <w:r>
        <w:t xml:space="preserve">We do not agree with the ENA's submission regarding the </w:t>
      </w:r>
      <w:r w:rsidR="006B40FD">
        <w:t>need for a pre</w:t>
      </w:r>
      <w:r w:rsidR="00807F81">
        <w:t>s</w:t>
      </w:r>
      <w:r w:rsidR="006B40FD">
        <w:t>cripti</w:t>
      </w:r>
      <w:r w:rsidR="00807F81">
        <w:t>ve</w:t>
      </w:r>
      <w:r w:rsidR="00733FDF">
        <w:t xml:space="preserve"> </w:t>
      </w:r>
      <w:r w:rsidR="006B40FD">
        <w:t xml:space="preserve">definition on what is the </w:t>
      </w:r>
      <w:r>
        <w:t xml:space="preserve">primary cause of the outage. </w:t>
      </w:r>
      <w:r w:rsidR="00C831D3">
        <w:t>We consider that both the distributor and the auditor reviewing distributor</w:t>
      </w:r>
      <w:r>
        <w:t>'</w:t>
      </w:r>
      <w:r w:rsidR="00C831D3">
        <w:t xml:space="preserve">s annual </w:t>
      </w:r>
      <w:r>
        <w:t>regulatory information notice</w:t>
      </w:r>
      <w:r w:rsidR="006B40FD">
        <w:t xml:space="preserve"> (RIN)</w:t>
      </w:r>
      <w:r>
        <w:t xml:space="preserve"> </w:t>
      </w:r>
      <w:r w:rsidR="00C831D3">
        <w:t xml:space="preserve">responses are more than capable </w:t>
      </w:r>
      <w:r>
        <w:t xml:space="preserve">of </w:t>
      </w:r>
      <w:r w:rsidR="00C831D3">
        <w:t>distinguish</w:t>
      </w:r>
      <w:r>
        <w:t>ing</w:t>
      </w:r>
      <w:r w:rsidR="00C831D3">
        <w:t xml:space="preserve"> the differences between:</w:t>
      </w:r>
    </w:p>
    <w:p w:rsidR="00C831D3" w:rsidRDefault="00C831D3" w:rsidP="00733FDF">
      <w:pPr>
        <w:pStyle w:val="AERbulletlistsecondstyle"/>
      </w:pPr>
      <w:r>
        <w:lastRenderedPageBreak/>
        <w:t>Whether a distributor have adequately planned for the necessary power transfer capacity of transmission connection assets under the existing exclusion crit</w:t>
      </w:r>
      <w:r w:rsidR="00786E17">
        <w:t>e</w:t>
      </w:r>
      <w:r w:rsidR="00DF1D99">
        <w:t>rion,</w:t>
      </w:r>
      <w:r>
        <w:t xml:space="preserve"> and</w:t>
      </w:r>
    </w:p>
    <w:p w:rsidR="00C831D3" w:rsidRDefault="00DF1D99" w:rsidP="00733FDF">
      <w:pPr>
        <w:pStyle w:val="AERbulletlistsecondstyle"/>
      </w:pPr>
      <w:r>
        <w:t>The new criterion—</w:t>
      </w:r>
      <w:r w:rsidR="00C831D3">
        <w:t>whether a transmission connection asset's outage was due to inappropriate actions or inactions of the distributor</w:t>
      </w:r>
      <w:r w:rsidR="00786E17">
        <w:t xml:space="preserve"> that are inconsistent with </w:t>
      </w:r>
      <w:r w:rsidR="00786E17" w:rsidRPr="00786E17">
        <w:t>good industry practice</w:t>
      </w:r>
      <w:r w:rsidR="00C831D3">
        <w:t>.</w:t>
      </w:r>
    </w:p>
    <w:p w:rsidR="007D737B" w:rsidRPr="00ED41FC" w:rsidRDefault="007D737B" w:rsidP="00E60FE1">
      <w:pPr>
        <w:pStyle w:val="Heading2"/>
      </w:pPr>
      <w:bookmarkStart w:id="76" w:name="_Toc485300322"/>
      <w:bookmarkStart w:id="77" w:name="_Toc485300966"/>
      <w:bookmarkStart w:id="78" w:name="_Toc485812914"/>
      <w:bookmarkEnd w:id="76"/>
      <w:bookmarkEnd w:id="77"/>
      <w:r w:rsidRPr="007D737B">
        <w:t>Broadening the definition of CBD and Urban</w:t>
      </w:r>
      <w:r w:rsidRPr="00ED41FC">
        <w:t xml:space="preserve"> feeders</w:t>
      </w:r>
      <w:bookmarkEnd w:id="78"/>
      <w:r w:rsidRPr="00ED41FC">
        <w:t xml:space="preserve"> </w:t>
      </w:r>
    </w:p>
    <w:p w:rsidR="007D737B" w:rsidRPr="002E106F" w:rsidRDefault="007D737B" w:rsidP="007D737B">
      <w:r w:rsidRPr="002E106F">
        <w:t>When measuring distribution reliability, it is common to distinguish between different parts of a distribution network by classifying the feeders. The AER and most jurisdictions currently classify feeders as CBD, urban, short rural and long rural feeders.</w:t>
      </w:r>
    </w:p>
    <w:p w:rsidR="007D737B" w:rsidRDefault="007D737B" w:rsidP="007D737B">
      <w:r>
        <w:t>The AEMC Fi</w:t>
      </w:r>
      <w:r w:rsidRPr="002E106F">
        <w:t xml:space="preserve">nal report identified a number of issues with the current feeder </w:t>
      </w:r>
      <w:r>
        <w:t>classification and recommended two incremental changes:</w:t>
      </w:r>
    </w:p>
    <w:p w:rsidR="007D737B" w:rsidRPr="002E106F" w:rsidRDefault="007D737B" w:rsidP="00B81778">
      <w:pPr>
        <w:pStyle w:val="AERbulletlistsecondstyle"/>
      </w:pPr>
      <w:r>
        <w:t xml:space="preserve">Amending the current definition of </w:t>
      </w:r>
      <w:r w:rsidRPr="002E106F">
        <w:t>urban feeder to give the option to use a temperature adjusted historical maximum demand to reduce variations due to the weather in a given year.</w:t>
      </w:r>
    </w:p>
    <w:p w:rsidR="007D737B" w:rsidRDefault="007D737B" w:rsidP="00B81778">
      <w:pPr>
        <w:pStyle w:val="AERbulletlistsecondstyle"/>
      </w:pPr>
      <w:r>
        <w:t xml:space="preserve">Amending the </w:t>
      </w:r>
      <w:r w:rsidRPr="002E106F">
        <w:t>definition of CBD feeder to include one or more geographic areas that are determined by the relevant jurisdiction.</w:t>
      </w:r>
      <w:r>
        <w:rPr>
          <w:rStyle w:val="FootnoteReference"/>
        </w:rPr>
        <w:footnoteReference w:id="20"/>
      </w:r>
      <w:r>
        <w:t xml:space="preserve"> </w:t>
      </w:r>
    </w:p>
    <w:p w:rsidR="00B915D5" w:rsidRPr="00E60FE1" w:rsidRDefault="007D737B" w:rsidP="00477EA5">
      <w:pPr>
        <w:rPr>
          <w:rStyle w:val="AERtexthighlight"/>
        </w:rPr>
      </w:pPr>
      <w:r w:rsidRPr="00733FDF">
        <w:t xml:space="preserve">We support the AEMC's </w:t>
      </w:r>
      <w:r w:rsidR="00B915D5" w:rsidRPr="00733FDF">
        <w:t xml:space="preserve">proposed </w:t>
      </w:r>
      <w:r w:rsidRPr="00733FDF">
        <w:t>amendment for CBD feeders</w:t>
      </w:r>
      <w:r w:rsidR="00EC5D99" w:rsidRPr="00733FDF">
        <w:t>. W</w:t>
      </w:r>
      <w:r w:rsidRPr="00733FDF">
        <w:t xml:space="preserve">e have historically </w:t>
      </w:r>
      <w:r w:rsidR="00B915D5" w:rsidRPr="00733FDF">
        <w:t xml:space="preserve">applied </w:t>
      </w:r>
      <w:r w:rsidRPr="00733FDF">
        <w:t>the relevant jurisdiction</w:t>
      </w:r>
      <w:r w:rsidR="00EC5D99" w:rsidRPr="00733FDF">
        <w:t>al</w:t>
      </w:r>
      <w:r w:rsidRPr="00733FDF">
        <w:t xml:space="preserve"> </w:t>
      </w:r>
      <w:r w:rsidR="00B915D5" w:rsidRPr="00733FDF">
        <w:t xml:space="preserve">feeder </w:t>
      </w:r>
      <w:r w:rsidRPr="00733FDF">
        <w:t>definition</w:t>
      </w:r>
      <w:r w:rsidR="00B915D5" w:rsidRPr="00733FDF">
        <w:t>s when</w:t>
      </w:r>
      <w:r w:rsidRPr="00733FDF">
        <w:t xml:space="preserve"> apply</w:t>
      </w:r>
      <w:r w:rsidR="00B915D5" w:rsidRPr="00733FDF">
        <w:t>ing</w:t>
      </w:r>
      <w:r w:rsidRPr="00733FDF">
        <w:t xml:space="preserve"> STPIS</w:t>
      </w:r>
      <w:r w:rsidR="00786E17" w:rsidRPr="00733FDF">
        <w:t xml:space="preserve"> such as in Tasmania</w:t>
      </w:r>
      <w:r w:rsidR="00B915D5" w:rsidRPr="00733FDF">
        <w:t xml:space="preserve">. </w:t>
      </w:r>
      <w:r w:rsidR="00786E17" w:rsidRPr="00733FDF">
        <w:t>For</w:t>
      </w:r>
      <w:r w:rsidR="00B41D44" w:rsidRPr="00733FDF">
        <w:t xml:space="preserve"> </w:t>
      </w:r>
      <w:r w:rsidR="00B915D5" w:rsidRPr="00733FDF">
        <w:t>Tasmania</w:t>
      </w:r>
      <w:r w:rsidR="00786E17" w:rsidRPr="00733FDF">
        <w:t>,</w:t>
      </w:r>
      <w:r w:rsidR="00B41D44" w:rsidRPr="00733FDF">
        <w:t xml:space="preserve"> </w:t>
      </w:r>
      <w:r w:rsidR="00786E17" w:rsidRPr="00733FDF">
        <w:t xml:space="preserve">the </w:t>
      </w:r>
      <w:r w:rsidR="00B41D44" w:rsidRPr="00733FDF">
        <w:t>jurisdictional regulator</w:t>
      </w:r>
      <w:r w:rsidR="00B915D5" w:rsidRPr="00733FDF">
        <w:t xml:space="preserve"> classifies feeders into critical infrastructure, high density commercial, urban, high density rural and low density rural categories.</w:t>
      </w:r>
    </w:p>
    <w:p w:rsidR="007D737B" w:rsidRDefault="007D737B" w:rsidP="007D737B">
      <w:r>
        <w:t xml:space="preserve">For urban feeders, our approach in applying this definition in STPIS is almost similar to the AEMC's definition but </w:t>
      </w:r>
      <w:r w:rsidR="00B41D44">
        <w:t xml:space="preserve">with a fixed annual threshold value for the </w:t>
      </w:r>
      <w:r w:rsidRPr="00F37AB9">
        <w:t>actual maximum demand</w:t>
      </w:r>
      <w:r>
        <w:t xml:space="preserve"> </w:t>
      </w:r>
      <w:r w:rsidRPr="00F37AB9">
        <w:t>over the reporting period per total feeder route length greater than</w:t>
      </w:r>
      <w:r>
        <w:t xml:space="preserve"> </w:t>
      </w:r>
      <w:r w:rsidRPr="00F37AB9">
        <w:t>0.3 MVA/km</w:t>
      </w:r>
      <w:r w:rsidRPr="002E106F">
        <w:t>.</w:t>
      </w:r>
    </w:p>
    <w:p w:rsidR="007D737B" w:rsidRDefault="007D737B" w:rsidP="007D737B">
      <w:r w:rsidRPr="002E106F">
        <w:t>We also agree that, for maintain</w:t>
      </w:r>
      <w:r>
        <w:t>ing</w:t>
      </w:r>
      <w:r w:rsidRPr="002E106F">
        <w:t xml:space="preserve"> consistency purposes, urban and rural feeders’ classification should be based on a longer term average demand level, rather than based on one year’s variation. Hence, we propose that the feeder classification should be based on a 3-year average maximum demand level. </w:t>
      </w:r>
    </w:p>
    <w:p w:rsidR="007D737B" w:rsidRDefault="007D737B" w:rsidP="007D737B">
      <w:r>
        <w:t>In response to our issues papers stakeholders raised several issues for our consideration</w:t>
      </w:r>
      <w:r w:rsidR="00786E17">
        <w:t>s</w:t>
      </w:r>
      <w:r w:rsidR="006B40FD">
        <w:t>. O</w:t>
      </w:r>
      <w:r w:rsidR="00786E17">
        <w:t>ur responses are:</w:t>
      </w:r>
    </w:p>
    <w:p w:rsidR="007D737B" w:rsidRDefault="007D737B" w:rsidP="00733FDF">
      <w:pPr>
        <w:pStyle w:val="AERbulletlistsecondstyle"/>
      </w:pPr>
      <w:r>
        <w:t>The submission from CitiPower and Powercor considered that the d</w:t>
      </w:r>
      <w:r w:rsidRPr="00C2338D">
        <w:t xml:space="preserve">etermination of the CBD area should be made by the relevant distributor </w:t>
      </w:r>
      <w:r>
        <w:lastRenderedPageBreak/>
        <w:t>rather than jurisdictional regulators.</w:t>
      </w:r>
      <w:r>
        <w:rPr>
          <w:rStyle w:val="FootnoteReference"/>
        </w:rPr>
        <w:footnoteReference w:id="21"/>
      </w:r>
      <w:r>
        <w:t xml:space="preserve"> </w:t>
      </w:r>
      <w:r w:rsidRPr="00C2338D">
        <w:t xml:space="preserve">We currently classify feeders supplying the CBD of the capital cities of each jurisdiction under the CBD category. The only exception is </w:t>
      </w:r>
      <w:r w:rsidR="008D0386">
        <w:t>in</w:t>
      </w:r>
      <w:r w:rsidRPr="00C2338D">
        <w:t xml:space="preserve"> Tasmania</w:t>
      </w:r>
      <w:r w:rsidR="008D0386">
        <w:t>,</w:t>
      </w:r>
      <w:r w:rsidRPr="00C2338D">
        <w:t xml:space="preserve"> </w:t>
      </w:r>
      <w:r w:rsidR="008D0386">
        <w:t xml:space="preserve">where </w:t>
      </w:r>
      <w:r w:rsidRPr="00C2338D">
        <w:t>feeder classification</w:t>
      </w:r>
      <w:r w:rsidR="008D0386">
        <w:t>s</w:t>
      </w:r>
      <w:r w:rsidRPr="00C2338D">
        <w:t xml:space="preserve"> </w:t>
      </w:r>
      <w:r w:rsidR="008D0386">
        <w:t xml:space="preserve">are </w:t>
      </w:r>
      <w:r w:rsidRPr="00C2338D">
        <w:t xml:space="preserve">specified by the jurisdictional regulator. </w:t>
      </w:r>
      <w:r w:rsidR="008D0386">
        <w:t>W</w:t>
      </w:r>
      <w:r>
        <w:t xml:space="preserve">e </w:t>
      </w:r>
      <w:r w:rsidR="008D0386">
        <w:t xml:space="preserve">consider </w:t>
      </w:r>
      <w:r w:rsidRPr="00C2338D">
        <w:t>jurisdictional regulators are th</w:t>
      </w:r>
      <w:r>
        <w:t>e appropriate bodies to specify</w:t>
      </w:r>
      <w:r w:rsidRPr="00C2338D">
        <w:t xml:space="preserve"> which areas should have higher reliability standards rather than the distributors.</w:t>
      </w:r>
      <w:r w:rsidR="008D0386">
        <w:t xml:space="preserve"> </w:t>
      </w:r>
    </w:p>
    <w:p w:rsidR="00EC5D99" w:rsidRDefault="00EC5D99" w:rsidP="00733FDF">
      <w:pPr>
        <w:pStyle w:val="AERbulletlistsecondstyle"/>
      </w:pPr>
      <w:r>
        <w:t>We note the ENA</w:t>
      </w:r>
      <w:r w:rsidR="00807F81">
        <w:t>'s</w:t>
      </w:r>
      <w:r>
        <w:t xml:space="preserve"> submission regarding how the grouping of feeders may affect the incentive but consider </w:t>
      </w:r>
      <w:r w:rsidRPr="00C2338D">
        <w:t>jurisdictional regulators are th</w:t>
      </w:r>
      <w:r>
        <w:t>e appropriate bodies to specify</w:t>
      </w:r>
      <w:r w:rsidRPr="00C2338D">
        <w:t xml:space="preserve"> which areas should have higher reliability standards rather than the distributors.</w:t>
      </w:r>
      <w:r>
        <w:rPr>
          <w:rStyle w:val="FootnoteReference"/>
        </w:rPr>
        <w:footnoteReference w:id="22"/>
      </w:r>
    </w:p>
    <w:p w:rsidR="007D737B" w:rsidRDefault="007D737B" w:rsidP="00733FDF">
      <w:pPr>
        <w:pStyle w:val="AERbulletlistsecondstyle"/>
      </w:pPr>
      <w:r>
        <w:t xml:space="preserve">The submission from </w:t>
      </w:r>
      <w:r w:rsidRPr="00CC6844">
        <w:t xml:space="preserve">SA Power Networks </w:t>
      </w:r>
      <w:r>
        <w:t xml:space="preserve">stated that </w:t>
      </w:r>
      <w:r w:rsidRPr="00CC6844">
        <w:t>feeders located in Metropolitan Areas that are classified as Short Rural (due to their maximum demand), should be classified as Urban</w:t>
      </w:r>
      <w:r>
        <w:t xml:space="preserve"> due to their characteristics.</w:t>
      </w:r>
      <w:r>
        <w:rPr>
          <w:rStyle w:val="FootnoteReference"/>
        </w:rPr>
        <w:footnoteReference w:id="23"/>
      </w:r>
      <w:r>
        <w:t xml:space="preserve"> </w:t>
      </w:r>
      <w:r w:rsidRPr="00CC6844">
        <w:t xml:space="preserve">We cannot accept </w:t>
      </w:r>
      <w:r w:rsidR="008D0386">
        <w:t xml:space="preserve">this </w:t>
      </w:r>
      <w:r w:rsidRPr="00CC6844">
        <w:t xml:space="preserve">proposal because feeder classifications are based on energy density, rather than </w:t>
      </w:r>
      <w:r w:rsidR="00EC5D99">
        <w:t xml:space="preserve">location </w:t>
      </w:r>
      <w:r w:rsidR="0057714E">
        <w:t xml:space="preserve">and the </w:t>
      </w:r>
      <w:r w:rsidR="00EC5D99">
        <w:t xml:space="preserve">level of </w:t>
      </w:r>
      <w:r w:rsidRPr="00CC6844">
        <w:t>interconnectivity.</w:t>
      </w:r>
    </w:p>
    <w:p w:rsidR="007D737B" w:rsidRDefault="007D737B" w:rsidP="00733FDF">
      <w:pPr>
        <w:pStyle w:val="AERbulletlistsecondstyle"/>
      </w:pPr>
      <w:r>
        <w:t xml:space="preserve">The submission from Ausgrid considered distributors </w:t>
      </w:r>
      <w:r w:rsidR="008D0386">
        <w:t xml:space="preserve">should have </w:t>
      </w:r>
      <w:r>
        <w:t>the flexibility to manually allocate a particular feeder to a classification with agreement from the AER.</w:t>
      </w:r>
      <w:r>
        <w:rPr>
          <w:rStyle w:val="FootnoteReference"/>
        </w:rPr>
        <w:footnoteReference w:id="24"/>
      </w:r>
      <w:r>
        <w:t xml:space="preserve"> We do not agree because the purpose of having common definitions </w:t>
      </w:r>
      <w:r w:rsidR="00675C27">
        <w:t xml:space="preserve">is </w:t>
      </w:r>
      <w:r>
        <w:t>to provide distributors regulatory certainty</w:t>
      </w:r>
      <w:r w:rsidR="00675C27">
        <w:t xml:space="preserve">, </w:t>
      </w:r>
      <w:r>
        <w:t>provide consistency for reporting purposes</w:t>
      </w:r>
      <w:r w:rsidR="00675C27">
        <w:t xml:space="preserve"> and to limit gaming</w:t>
      </w:r>
      <w:r>
        <w:t xml:space="preserve">. </w:t>
      </w:r>
    </w:p>
    <w:p w:rsidR="00C945EB" w:rsidRDefault="00C945EB" w:rsidP="00E60FE1">
      <w:pPr>
        <w:pStyle w:val="Heading2"/>
      </w:pPr>
      <w:bookmarkStart w:id="79" w:name="_Toc484703727"/>
      <w:bookmarkStart w:id="80" w:name="_Toc484703728"/>
      <w:bookmarkStart w:id="81" w:name="_Toc485812915"/>
      <w:bookmarkEnd w:id="79"/>
      <w:bookmarkEnd w:id="80"/>
      <w:r>
        <w:t xml:space="preserve">Whether unmetered supply should be </w:t>
      </w:r>
      <w:r w:rsidR="007F2D44">
        <w:t xml:space="preserve">included </w:t>
      </w:r>
      <w:r w:rsidR="00B915D5">
        <w:t xml:space="preserve">for </w:t>
      </w:r>
      <w:r>
        <w:t>measur</w:t>
      </w:r>
      <w:r w:rsidR="00B915D5">
        <w:t>ing reliability indicators</w:t>
      </w:r>
      <w:bookmarkEnd w:id="81"/>
      <w:r>
        <w:t xml:space="preserve"> </w:t>
      </w:r>
    </w:p>
    <w:p w:rsidR="004056BC" w:rsidRPr="004056BC" w:rsidRDefault="004056BC" w:rsidP="004056BC">
      <w:r w:rsidRPr="004056BC">
        <w:t>Unmetered electricity supplies include a large number of typically small connections including street lighting, traffic lights, telephone box illumination, illuminated street and advertising signs, tram/bus shelter lights, ice warning lamps, security lights noise monitoring station, electronic parking meter, ticket dispensing machine, microcells for cellular phone networks, sprinkler control systems, cathode protection units, flow monitoring equipment, telemetry stations, traffic counter stations, weather stations, and cable amplifiers.</w:t>
      </w:r>
    </w:p>
    <w:p w:rsidR="004056BC" w:rsidRPr="004056BC" w:rsidRDefault="004056BC" w:rsidP="004056BC">
      <w:r w:rsidRPr="004056BC">
        <w:t xml:space="preserve">While some of these are quite small, the potential impact of an outage can be important – particularly in the case of traffic lights, security lights and safety warning systems. </w:t>
      </w:r>
    </w:p>
    <w:p w:rsidR="004056BC" w:rsidRPr="004056BC" w:rsidRDefault="004056BC" w:rsidP="004056BC">
      <w:r w:rsidRPr="004056BC">
        <w:lastRenderedPageBreak/>
        <w:t xml:space="preserve">Our national STPIS, with the exception of public lighting, currently allow distributors the option of whether to include unmetered loads in calculating the SAIFI, SAIDI and MAIFI performance measures. Currently, public lighting </w:t>
      </w:r>
      <w:r w:rsidR="0028121F">
        <w:t>is</w:t>
      </w:r>
      <w:r w:rsidRPr="004056BC">
        <w:t xml:space="preserve"> excluded from STPIS performance reporting.</w:t>
      </w:r>
      <w:r>
        <w:rPr>
          <w:rStyle w:val="FootnoteReference"/>
        </w:rPr>
        <w:footnoteReference w:id="25"/>
      </w:r>
    </w:p>
    <w:p w:rsidR="004056BC" w:rsidRDefault="004056BC" w:rsidP="004056BC">
      <w:r w:rsidRPr="004056BC">
        <w:t>The AEMC recommended that the definition of distribution customer exclude all unmetered connection supply points, so unmetered supply points are not considered in the calculation of performance measures, as this would be simpler to apply. They note that reliability incentive schemes do not generally target unmetered supplies, as the reliability of unmetered supplies, such as public lighting, are generally considered separately.</w:t>
      </w:r>
      <w:r>
        <w:rPr>
          <w:rStyle w:val="FootnoteReference"/>
        </w:rPr>
        <w:footnoteReference w:id="26"/>
      </w:r>
    </w:p>
    <w:p w:rsidR="00C94815" w:rsidRPr="004056BC" w:rsidRDefault="00C94815" w:rsidP="00C94815">
      <w:r>
        <w:t>We support the AEMCs' definition for distribution customer because it is consistent with our STPIS</w:t>
      </w:r>
      <w:r w:rsidRPr="004056BC">
        <w:t>.</w:t>
      </w:r>
      <w:r>
        <w:t xml:space="preserve"> That said, our issues paper sought stakeholders' comments on whether unmetered supply should be included as a reliability measure.</w:t>
      </w:r>
    </w:p>
    <w:p w:rsidR="004056BC" w:rsidRPr="004056BC" w:rsidRDefault="004056BC" w:rsidP="004056BC">
      <w:r w:rsidRPr="004056BC">
        <w:t>Our issues paper sought submission</w:t>
      </w:r>
      <w:r w:rsidR="00C94815">
        <w:t>s</w:t>
      </w:r>
      <w:r w:rsidRPr="004056BC">
        <w:t xml:space="preserve"> from stakeholders on whether unmetered supply should be included in the performance measure. Except for Endeavour Energy,</w:t>
      </w:r>
      <w:r w:rsidR="008D0386">
        <w:t xml:space="preserve"> </w:t>
      </w:r>
      <w:r w:rsidRPr="004056BC">
        <w:t xml:space="preserve">distributors expressed support </w:t>
      </w:r>
      <w:r w:rsidR="00C94815">
        <w:t xml:space="preserve">to exclude </w:t>
      </w:r>
      <w:r w:rsidRPr="004056BC">
        <w:t>unmetered suppl</w:t>
      </w:r>
      <w:r w:rsidR="00C94815">
        <w:t>y</w:t>
      </w:r>
      <w:r w:rsidRPr="004056BC">
        <w:t xml:space="preserve"> in performance measures</w:t>
      </w:r>
      <w:r w:rsidR="008D0386">
        <w:t xml:space="preserve"> </w:t>
      </w:r>
      <w:r w:rsidR="006B40FD">
        <w:t>because</w:t>
      </w:r>
      <w:r w:rsidR="008D0386">
        <w:t xml:space="preserve"> the costs outweighing the</w:t>
      </w:r>
      <w:r w:rsidRPr="004056BC">
        <w:t xml:space="preserve"> benefits.</w:t>
      </w:r>
      <w:r>
        <w:rPr>
          <w:rStyle w:val="FootnoteReference"/>
        </w:rPr>
        <w:footnoteReference w:id="27"/>
      </w:r>
      <w:r w:rsidRPr="004056BC">
        <w:t xml:space="preserve">  </w:t>
      </w:r>
    </w:p>
    <w:p w:rsidR="004056BC" w:rsidRPr="004056BC" w:rsidRDefault="004056BC" w:rsidP="004056BC">
      <w:r w:rsidRPr="004056BC">
        <w:t>Endeavour Energy submitted that unmetered supplies should be included and that it included unmetered supplies when they have a N</w:t>
      </w:r>
      <w:r w:rsidR="0081326F">
        <w:t xml:space="preserve">ational </w:t>
      </w:r>
      <w:r w:rsidRPr="004056BC">
        <w:t>M</w:t>
      </w:r>
      <w:r w:rsidR="0081326F">
        <w:t xml:space="preserve">etering </w:t>
      </w:r>
      <w:r w:rsidRPr="004056BC">
        <w:t>I</w:t>
      </w:r>
      <w:r w:rsidR="0081326F">
        <w:t>dentifier</w:t>
      </w:r>
      <w:r w:rsidRPr="004056BC">
        <w:t xml:space="preserve">, but it provided no </w:t>
      </w:r>
      <w:r>
        <w:t xml:space="preserve">reasons </w:t>
      </w:r>
      <w:r w:rsidRPr="004056BC">
        <w:t>indicating why unmetered supplies should be included.</w:t>
      </w:r>
      <w:r w:rsidR="001975E8">
        <w:rPr>
          <w:rStyle w:val="FootnoteReference"/>
        </w:rPr>
        <w:footnoteReference w:id="28"/>
      </w:r>
    </w:p>
    <w:p w:rsidR="004056BC" w:rsidRPr="004056BC" w:rsidRDefault="004056BC" w:rsidP="004056BC">
      <w:r>
        <w:t xml:space="preserve">We received submissions from several NSW councils </w:t>
      </w:r>
      <w:r w:rsidR="008D0386">
        <w:t xml:space="preserve">that </w:t>
      </w:r>
      <w:r w:rsidRPr="004056BC">
        <w:t xml:space="preserve">supported unmetered supplies being included in performance measures. The focus of their submissions was on street lighting and public lighting, and they </w:t>
      </w:r>
      <w:r>
        <w:t xml:space="preserve">submitted </w:t>
      </w:r>
      <w:r w:rsidRPr="004056BC">
        <w:t xml:space="preserve">that such lighting is excluded from a variety of performance measures, including STPIS. They </w:t>
      </w:r>
      <w:r>
        <w:t xml:space="preserve">also outlined </w:t>
      </w:r>
      <w:r w:rsidRPr="004056BC">
        <w:t xml:space="preserve">that </w:t>
      </w:r>
      <w:r w:rsidRPr="004056BC">
        <w:lastRenderedPageBreak/>
        <w:t>street lighting outages can last for long periods of time and street lighting is held to a substantially lower reliability standard than for all other classes of customer</w:t>
      </w:r>
      <w:r>
        <w:t>s</w:t>
      </w:r>
      <w:r w:rsidRPr="004056BC">
        <w:t>.</w:t>
      </w:r>
      <w:r w:rsidR="003D3565">
        <w:rPr>
          <w:rStyle w:val="FootnoteReference"/>
        </w:rPr>
        <w:footnoteReference w:id="29"/>
      </w:r>
      <w:r w:rsidRPr="004056BC">
        <w:t xml:space="preserve"> </w:t>
      </w:r>
    </w:p>
    <w:p w:rsidR="004056BC" w:rsidRPr="004056BC" w:rsidRDefault="004056BC" w:rsidP="004056BC">
      <w:r>
        <w:t xml:space="preserve">We </w:t>
      </w:r>
      <w:r w:rsidRPr="004056BC">
        <w:t>accept the importance of maintaining high reliability standards for street lighting, but do not consider including unmetered supplies in the definition of distribution customers will effectively contribute to this goal. This conclusion is based on:</w:t>
      </w:r>
    </w:p>
    <w:p w:rsidR="004056BC" w:rsidRPr="004056BC" w:rsidRDefault="004056BC" w:rsidP="00E60FE1">
      <w:pPr>
        <w:pStyle w:val="AERbulletlistsecondstyle"/>
      </w:pPr>
      <w:r w:rsidRPr="004056BC">
        <w:t xml:space="preserve">The council's concerns about very long duration lighting outages </w:t>
      </w:r>
      <w:r w:rsidR="00733FDF">
        <w:t>are</w:t>
      </w:r>
      <w:r w:rsidRPr="004056BC">
        <w:t xml:space="preserve"> understandable, but it is very unlikely </w:t>
      </w:r>
      <w:r w:rsidR="008D0386">
        <w:t xml:space="preserve">that </w:t>
      </w:r>
      <w:r w:rsidRPr="004056BC">
        <w:t xml:space="preserve">long outages will be due to electricity supply issues. Unless the lighting was supplied by part of the network without any metered customers, any long outage will be identified, captured in performance reliability measures and addressed by the relevant distributor. Very long street light outages appear more likely to be the result of maintenance issues than power supply outages, so this issue is out of scope for the development of the </w:t>
      </w:r>
      <w:r w:rsidR="00B3579C">
        <w:t>Guideline</w:t>
      </w:r>
      <w:r w:rsidRPr="004056BC">
        <w:t>.</w:t>
      </w:r>
    </w:p>
    <w:p w:rsidR="004056BC" w:rsidRPr="004056BC" w:rsidRDefault="004056BC" w:rsidP="00E60FE1">
      <w:pPr>
        <w:pStyle w:val="AERbulletlistsecondstyle"/>
      </w:pPr>
      <w:r w:rsidRPr="004056BC">
        <w:t xml:space="preserve">The service standard for public lighting a matter that is likely to be resolved by changes to the NSW public lightning code. </w:t>
      </w:r>
      <w:r>
        <w:t xml:space="preserve">We </w:t>
      </w:r>
      <w:r w:rsidRPr="004056BC">
        <w:t>understand</w:t>
      </w:r>
      <w:r>
        <w:t xml:space="preserve"> </w:t>
      </w:r>
      <w:r w:rsidRPr="004056BC">
        <w:t>that the NSW government is currently reviewing its public lighting code to address the councils’ concerns.</w:t>
      </w:r>
    </w:p>
    <w:p w:rsidR="004056BC" w:rsidRPr="004056BC" w:rsidRDefault="004056BC" w:rsidP="00E60FE1">
      <w:pPr>
        <w:pStyle w:val="AERbulletlistsecondstyle"/>
      </w:pPr>
      <w:r w:rsidRPr="004056BC">
        <w:t xml:space="preserve">The reliability performance of metered load should also reflect the reliability performance provided to unmetered loads. </w:t>
      </w:r>
    </w:p>
    <w:p w:rsidR="004056BC" w:rsidRPr="004056BC" w:rsidRDefault="004056BC" w:rsidP="00E60FE1">
      <w:pPr>
        <w:pStyle w:val="AERbulletlistsecondstyle"/>
      </w:pPr>
      <w:r w:rsidRPr="004056BC">
        <w:t>Including unmetered load in the overall performance reporting does not provide further clarity on street lighting service outcomes.</w:t>
      </w:r>
    </w:p>
    <w:p w:rsidR="004056BC" w:rsidRDefault="004056BC" w:rsidP="00E60FE1">
      <w:pPr>
        <w:pStyle w:val="AERbulletlistsecondstyle"/>
      </w:pPr>
      <w:r w:rsidRPr="004056BC">
        <w:t>Similarly</w:t>
      </w:r>
      <w:r w:rsidR="0057714E">
        <w:t>,</w:t>
      </w:r>
      <w:r w:rsidRPr="004056BC">
        <w:t xml:space="preserve"> the quantity of unmetered connections other than street lights </w:t>
      </w:r>
      <w:r w:rsidR="00C94815">
        <w:t>are</w:t>
      </w:r>
      <w:r w:rsidRPr="004056BC">
        <w:t xml:space="preserve"> not significant compared with metered connections</w:t>
      </w:r>
      <w:r w:rsidR="00C94815">
        <w:t>. I</w:t>
      </w:r>
      <w:r w:rsidRPr="004056BC">
        <w:t xml:space="preserve">ncluding such loads in the overall performance reporting </w:t>
      </w:r>
      <w:r w:rsidR="00C94815">
        <w:t>may n</w:t>
      </w:r>
      <w:r w:rsidRPr="004056BC">
        <w:t>ot provide further clarity on the service level to such loads.</w:t>
      </w:r>
    </w:p>
    <w:p w:rsidR="00593CA8" w:rsidRDefault="00593CA8" w:rsidP="00593CA8">
      <w:pPr>
        <w:pStyle w:val="Heading2"/>
      </w:pPr>
      <w:bookmarkStart w:id="82" w:name="_Toc462051149"/>
      <w:bookmarkStart w:id="83" w:name="_Toc465339621"/>
      <w:bookmarkStart w:id="84" w:name="_Toc470005510"/>
      <w:bookmarkStart w:id="85" w:name="_Toc485812916"/>
      <w:r>
        <w:t>Improving consistency of m</w:t>
      </w:r>
      <w:r w:rsidRPr="00C06CD6">
        <w:t>easure</w:t>
      </w:r>
      <w:r>
        <w:t>ment methods</w:t>
      </w:r>
      <w:bookmarkEnd w:id="82"/>
      <w:bookmarkEnd w:id="83"/>
      <w:bookmarkEnd w:id="84"/>
      <w:bookmarkEnd w:id="85"/>
    </w:p>
    <w:p w:rsidR="00593CA8" w:rsidRDefault="00593CA8" w:rsidP="00593CA8">
      <w:r>
        <w:t>In the Issues Paper, we identified that capturing and reporting of electrical interruption data varie</w:t>
      </w:r>
      <w:r w:rsidR="00807F81">
        <w:t>d</w:t>
      </w:r>
      <w:r>
        <w:t xml:space="preserve"> across the NEM to reflect the systems and processes of the different distributors.</w:t>
      </w:r>
      <w:r>
        <w:rPr>
          <w:rStyle w:val="FootnoteReference"/>
        </w:rPr>
        <w:footnoteReference w:id="30"/>
      </w:r>
    </w:p>
    <w:p w:rsidR="00593CA8" w:rsidRDefault="00593CA8" w:rsidP="00593CA8">
      <w:r>
        <w:t>In order to improve the level of consistency in reporting performance, we proposed the following additional reporting approaches</w:t>
      </w:r>
      <w:r w:rsidR="008D0386">
        <w:t>—</w:t>
      </w:r>
      <w:r>
        <w:t xml:space="preserve">in addition to the current reporting </w:t>
      </w:r>
      <w:r>
        <w:lastRenderedPageBreak/>
        <w:t>specifications</w:t>
      </w:r>
      <w:r w:rsidR="008D0386">
        <w:t>—</w:t>
      </w:r>
      <w:r>
        <w:t>to provide greater clarity on the capture and reporting of specific events.</w:t>
      </w:r>
      <w:r>
        <w:rPr>
          <w:rStyle w:val="FootnoteReference"/>
        </w:rPr>
        <w:footnoteReference w:id="31"/>
      </w:r>
      <w:r>
        <w:t xml:space="preserve">  </w:t>
      </w:r>
    </w:p>
    <w:p w:rsidR="00593CA8" w:rsidRPr="0031692D" w:rsidRDefault="00593CA8" w:rsidP="00733FDF">
      <w:pPr>
        <w:pStyle w:val="AERbulletlistsecondstyle"/>
      </w:pPr>
      <w:r>
        <w:t>National Metering Identifiers––clarifying which</w:t>
      </w:r>
      <w:r w:rsidRPr="0031692D">
        <w:t xml:space="preserve"> NMI status codes should be reported (</w:t>
      </w:r>
      <w:r>
        <w:t xml:space="preserve">e.g. </w:t>
      </w:r>
      <w:r w:rsidRPr="0031692D">
        <w:t>active, not energised, extinct, greenfield)</w:t>
      </w:r>
      <w:r w:rsidR="00997784">
        <w:t>.</w:t>
      </w:r>
    </w:p>
    <w:p w:rsidR="00593CA8" w:rsidRPr="00074B8D" w:rsidRDefault="00593CA8" w:rsidP="00733FDF">
      <w:pPr>
        <w:pStyle w:val="AERbulletlistsecondstyle"/>
      </w:pPr>
      <w:r w:rsidRPr="00074B8D">
        <w:t>Single premises outages</w:t>
      </w:r>
      <w:r>
        <w:t xml:space="preserve">––Standardising on the reporting of single premises interruptions </w:t>
      </w:r>
      <w:r w:rsidRPr="00074B8D">
        <w:t xml:space="preserve">as a network </w:t>
      </w:r>
      <w:r>
        <w:t xml:space="preserve">interruption </w:t>
      </w:r>
      <w:r w:rsidRPr="00074B8D">
        <w:t xml:space="preserve">unless </w:t>
      </w:r>
      <w:r w:rsidR="00997784">
        <w:t xml:space="preserve">the </w:t>
      </w:r>
      <w:r w:rsidRPr="00074B8D">
        <w:t>customer</w:t>
      </w:r>
      <w:r w:rsidR="00997784">
        <w:t>'s</w:t>
      </w:r>
      <w:r w:rsidRPr="00074B8D">
        <w:t xml:space="preserve"> fault is actively identified. </w:t>
      </w:r>
    </w:p>
    <w:p w:rsidR="00593CA8" w:rsidRDefault="00593CA8" w:rsidP="00733FDF">
      <w:pPr>
        <w:pStyle w:val="AERbulletlistsecondstyle"/>
      </w:pPr>
      <w:r>
        <w:t>For partial network failure, where more accurate (i.e. smart meter) information is absent:</w:t>
      </w:r>
    </w:p>
    <w:p w:rsidR="00593CA8" w:rsidRPr="005F3608" w:rsidRDefault="00593CA8" w:rsidP="00733FDF">
      <w:pPr>
        <w:pStyle w:val="AERbulletlistsecondstyle"/>
      </w:pPr>
      <w:r w:rsidRPr="00074B8D">
        <w:t>HV single phase outage</w:t>
      </w:r>
      <w:r w:rsidR="00997784">
        <w:t>—</w:t>
      </w:r>
      <w:r w:rsidRPr="005F3608">
        <w:t>Standardising on the reporting of 67</w:t>
      </w:r>
      <w:r w:rsidR="00997784">
        <w:t xml:space="preserve"> per cent</w:t>
      </w:r>
      <w:r w:rsidRPr="005F3608">
        <w:t xml:space="preserve"> of all downstream customers for a single-phase HV outage on a three phase network.</w:t>
      </w:r>
      <w:r w:rsidRPr="005F3608">
        <w:rPr>
          <w:rStyle w:val="FootnoteReference"/>
        </w:rPr>
        <w:footnoteReference w:id="32"/>
      </w:r>
      <w:r w:rsidRPr="005F3608">
        <w:t xml:space="preserve"> Reporting of 100</w:t>
      </w:r>
      <w:r w:rsidR="00997784">
        <w:t xml:space="preserve"> per cent</w:t>
      </w:r>
      <w:r w:rsidRPr="005F3608">
        <w:t xml:space="preserve"> of customers for all other HV outages, for example; when there is a single HV phase outage on a two phase</w:t>
      </w:r>
      <w:r w:rsidR="00997784">
        <w:t>s</w:t>
      </w:r>
      <w:r w:rsidRPr="005F3608">
        <w:t xml:space="preserve"> or single phase HV system. </w:t>
      </w:r>
    </w:p>
    <w:p w:rsidR="00593CA8" w:rsidRPr="005F3608" w:rsidRDefault="00593CA8" w:rsidP="00733FDF">
      <w:pPr>
        <w:pStyle w:val="AERbulletlistsecondstyle"/>
      </w:pPr>
      <w:r w:rsidRPr="00074B8D">
        <w:t>LV single phase outage</w:t>
      </w:r>
      <w:r w:rsidR="00997784">
        <w:t>—</w:t>
      </w:r>
      <w:r w:rsidRPr="005F3608">
        <w:t>Standardising on the reporting of 33</w:t>
      </w:r>
      <w:r w:rsidR="00997784">
        <w:t xml:space="preserve"> per cent</w:t>
      </w:r>
      <w:r w:rsidRPr="005F3608">
        <w:t xml:space="preserve"> of all downstream customers for a single phase outage.</w:t>
      </w:r>
    </w:p>
    <w:p w:rsidR="00593CA8" w:rsidRDefault="008D0386">
      <w:r w:rsidRPr="00733FDF">
        <w:t>The submission</w:t>
      </w:r>
      <w:r w:rsidR="00B10240">
        <w:t>s</w:t>
      </w:r>
      <w:r w:rsidRPr="00733FDF">
        <w:t xml:space="preserve"> from </w:t>
      </w:r>
      <w:r w:rsidR="0078365F">
        <w:t xml:space="preserve">distributors generally supported </w:t>
      </w:r>
      <w:r w:rsidR="000A592A" w:rsidRPr="00733FDF">
        <w:t xml:space="preserve">the standardisation of </w:t>
      </w:r>
      <w:r w:rsidR="00B10240">
        <w:t xml:space="preserve">measurement methods to provide more clarity for </w:t>
      </w:r>
      <w:r w:rsidR="000A592A" w:rsidRPr="00733FDF">
        <w:t>reporting</w:t>
      </w:r>
      <w:r w:rsidR="00B10240">
        <w:t xml:space="preserve"> purposes</w:t>
      </w:r>
      <w:r w:rsidR="000A592A" w:rsidRPr="00733FDF">
        <w:t>.</w:t>
      </w:r>
      <w:r w:rsidR="000A592A">
        <w:rPr>
          <w:rStyle w:val="FootnoteReference"/>
        </w:rPr>
        <w:footnoteReference w:id="33"/>
      </w:r>
      <w:r w:rsidR="000A592A" w:rsidRPr="00477EA5" w:rsidDel="008D0386">
        <w:t xml:space="preserve"> </w:t>
      </w:r>
      <w:r w:rsidR="00B10240">
        <w:t xml:space="preserve">To accommodate this change, some distributors submitted that there may be additional costs in upgrading their outage management system to capture the revised data. </w:t>
      </w:r>
    </w:p>
    <w:p w:rsidR="00B10240" w:rsidRPr="00733FDF" w:rsidRDefault="00B10240">
      <w:r>
        <w:t xml:space="preserve">We </w:t>
      </w:r>
      <w:r w:rsidR="00315073">
        <w:t xml:space="preserve">do not </w:t>
      </w:r>
      <w:r>
        <w:t>consider the costs of transitioning to these standard</w:t>
      </w:r>
      <w:r w:rsidR="00315073">
        <w:t xml:space="preserve"> recording method</w:t>
      </w:r>
      <w:r>
        <w:t>s</w:t>
      </w:r>
      <w:r w:rsidR="00315073">
        <w:t xml:space="preserve"> significant</w:t>
      </w:r>
      <w:r w:rsidR="00997784">
        <w:t>. Furthermore, we consider this</w:t>
      </w:r>
      <w:r w:rsidR="002B6599">
        <w:t xml:space="preserve"> is a cost effective way to record outages where accurate individual customer's supply information is not available. </w:t>
      </w:r>
    </w:p>
    <w:p w:rsidR="00733FDF" w:rsidRDefault="0057714E" w:rsidP="00733FDF">
      <w:pPr>
        <w:pStyle w:val="Heading2"/>
      </w:pPr>
      <w:bookmarkStart w:id="86" w:name="_Toc485812917"/>
      <w:r>
        <w:t>S</w:t>
      </w:r>
      <w:r w:rsidR="00161423" w:rsidRPr="00161423">
        <w:t>upply outages due to malfunction of energy meters</w:t>
      </w:r>
      <w:bookmarkEnd w:id="86"/>
    </w:p>
    <w:p w:rsidR="00161423" w:rsidRPr="00161423" w:rsidRDefault="00161423" w:rsidP="00161423">
      <w:r w:rsidRPr="00161423">
        <w:t>Due to practicality considerations, energy meters are not place at the point of supply. Distributors’ points of supply to customers are:</w:t>
      </w:r>
    </w:p>
    <w:p w:rsidR="00161423" w:rsidRPr="00161423" w:rsidRDefault="00161423" w:rsidP="00733FDF">
      <w:pPr>
        <w:pStyle w:val="AERbulletlistsecondstyle"/>
      </w:pPr>
      <w:r w:rsidRPr="00161423">
        <w:tab/>
        <w:t>For overhead services, at the junction box</w:t>
      </w:r>
      <w:r>
        <w:t>es</w:t>
      </w:r>
      <w:r w:rsidRPr="00161423">
        <w:t xml:space="preserve"> at the eaves</w:t>
      </w:r>
      <w:r w:rsidR="000A592A">
        <w:t>.</w:t>
      </w:r>
    </w:p>
    <w:p w:rsidR="00161423" w:rsidRPr="00161423" w:rsidRDefault="00161423" w:rsidP="00733FDF">
      <w:pPr>
        <w:pStyle w:val="AERbulletlistsecondstyle"/>
      </w:pPr>
      <w:r w:rsidRPr="00161423">
        <w:tab/>
        <w:t>For underground services, at the service pit just outside the front fence.</w:t>
      </w:r>
    </w:p>
    <w:p w:rsidR="000A592A" w:rsidRDefault="00161423" w:rsidP="00161423">
      <w:r w:rsidRPr="00161423">
        <w:t>The energy meters are installed inside the metering cubicles locat</w:t>
      </w:r>
      <w:r w:rsidR="000A592A">
        <w:t>ed</w:t>
      </w:r>
      <w:r w:rsidRPr="00161423">
        <w:t xml:space="preserve"> between the point of supply and the customers’ main switch boards.</w:t>
      </w:r>
      <w:r w:rsidR="000A592A">
        <w:t xml:space="preserve"> </w:t>
      </w:r>
      <w:r w:rsidRPr="00161423">
        <w:t xml:space="preserve">Hence, technically speaking, supply </w:t>
      </w:r>
      <w:r w:rsidRPr="00161423">
        <w:lastRenderedPageBreak/>
        <w:t>losses to a customer’s installation due to malfunction of energy meters are not supply outages, because there still is power available at the point of supply.</w:t>
      </w:r>
    </w:p>
    <w:p w:rsidR="000A592A" w:rsidRDefault="000A592A" w:rsidP="00477EA5">
      <w:r>
        <w:t>We</w:t>
      </w:r>
      <w:r w:rsidRPr="00161423">
        <w:t xml:space="preserve"> sought advi</w:t>
      </w:r>
      <w:r>
        <w:t>c</w:t>
      </w:r>
      <w:r w:rsidRPr="00161423">
        <w:t>e</w:t>
      </w:r>
      <w:r>
        <w:t xml:space="preserve"> from distributors</w:t>
      </w:r>
      <w:r w:rsidRPr="00161423">
        <w:t xml:space="preserve"> </w:t>
      </w:r>
      <w:r>
        <w:t xml:space="preserve">on </w:t>
      </w:r>
      <w:r w:rsidRPr="00161423">
        <w:t>whether they currently report supply outages due to malfunction</w:t>
      </w:r>
      <w:r>
        <w:t xml:space="preserve"> of standard energy </w:t>
      </w:r>
      <w:r w:rsidRPr="00161423">
        <w:t>meter</w:t>
      </w:r>
      <w:r>
        <w:t>s they provide to typical customers</w:t>
      </w:r>
      <w:r w:rsidRPr="00161423">
        <w:t>.</w:t>
      </w:r>
      <w:r>
        <w:rPr>
          <w:rStyle w:val="FootnoteReference"/>
        </w:rPr>
        <w:footnoteReference w:id="34"/>
      </w:r>
      <w:r w:rsidRPr="00161423">
        <w:t xml:space="preserve"> </w:t>
      </w:r>
      <w:r>
        <w:t xml:space="preserve">The responses were mixed because some distributors did not classify </w:t>
      </w:r>
      <w:r w:rsidR="00477EA5">
        <w:t xml:space="preserve">meter malfunctions </w:t>
      </w:r>
      <w:r>
        <w:t>as outage</w:t>
      </w:r>
      <w:r w:rsidR="00477EA5">
        <w:t>s</w:t>
      </w:r>
      <w:r w:rsidR="00161423" w:rsidRPr="00161423">
        <w:t>.</w:t>
      </w:r>
      <w:r>
        <w:t xml:space="preserve"> In </w:t>
      </w:r>
      <w:r w:rsidRPr="00161423">
        <w:t>December 2017</w:t>
      </w:r>
      <w:r>
        <w:t xml:space="preserve">, </w:t>
      </w:r>
      <w:r w:rsidRPr="00161423">
        <w:t>meter services will become contestable</w:t>
      </w:r>
      <w:r>
        <w:t xml:space="preserve"> thereby further complicating the reporting of these malfunctions because the responsible owner may not be known. </w:t>
      </w:r>
    </w:p>
    <w:p w:rsidR="000A592A" w:rsidRDefault="000A592A" w:rsidP="00161423">
      <w:r>
        <w:t>Consequently, f</w:t>
      </w:r>
      <w:r w:rsidR="00161423" w:rsidRPr="00161423">
        <w:t xml:space="preserve">or consistency purposes and in consideration that there will be third party meters in </w:t>
      </w:r>
      <w:r w:rsidR="00477EA5">
        <w:t xml:space="preserve">the </w:t>
      </w:r>
      <w:r w:rsidR="00161423" w:rsidRPr="00161423">
        <w:t xml:space="preserve">future, supply outages due to meter malfunctions should be excluded from the definition of “outage” in the </w:t>
      </w:r>
      <w:r w:rsidR="00477EA5">
        <w:t>G</w:t>
      </w:r>
      <w:r w:rsidR="00161423" w:rsidRPr="00161423">
        <w:t xml:space="preserve">uideline. Hence, </w:t>
      </w:r>
      <w:r w:rsidR="00161423">
        <w:t>we</w:t>
      </w:r>
      <w:r w:rsidR="00161423" w:rsidRPr="00161423">
        <w:t xml:space="preserve"> propose to define supply interruption should be measured at the point of supply.</w:t>
      </w:r>
    </w:p>
    <w:p w:rsidR="0057714E" w:rsidRPr="00ED41FC" w:rsidRDefault="0057714E" w:rsidP="0057714E">
      <w:pPr>
        <w:pStyle w:val="Heading2"/>
      </w:pPr>
      <w:bookmarkStart w:id="87" w:name="_Toc485812918"/>
      <w:r>
        <w:t>A</w:t>
      </w:r>
      <w:r w:rsidRPr="007D737B">
        <w:t xml:space="preserve">dding a reliability measure </w:t>
      </w:r>
      <w:r>
        <w:t>to identify customers with unsatisfactory reliability levels outcomes</w:t>
      </w:r>
      <w:bookmarkEnd w:id="87"/>
      <w:r w:rsidRPr="00ED41FC">
        <w:t xml:space="preserve"> </w:t>
      </w:r>
    </w:p>
    <w:p w:rsidR="0057714E" w:rsidRPr="00484027" w:rsidRDefault="0057714E" w:rsidP="0057714E">
      <w:r w:rsidRPr="00484027">
        <w:t xml:space="preserve">The current incentives in our STPIS are based on the average performance results of each feeder type of the entire network. This measurement method may lead to more focus on </w:t>
      </w:r>
      <w:r>
        <w:t xml:space="preserve">reliability supply restoration in </w:t>
      </w:r>
      <w:r w:rsidRPr="00484027">
        <w:t>the more populated areas. This is because the repair of a network fault in higher customer density areas will result in supply restoration to more customers than that for a similar fault in much less populated areas. As a result, supply improvement effort</w:t>
      </w:r>
      <w:r>
        <w:t>s</w:t>
      </w:r>
      <w:r w:rsidRPr="00484027">
        <w:t xml:space="preserve"> and supply restoration time to remote area</w:t>
      </w:r>
      <w:r>
        <w:t>s</w:t>
      </w:r>
      <w:r w:rsidRPr="00484027">
        <w:t xml:space="preserve"> may suffer. </w:t>
      </w:r>
    </w:p>
    <w:p w:rsidR="0057714E" w:rsidRPr="00484027" w:rsidRDefault="0057714E" w:rsidP="0057714E">
      <w:r w:rsidRPr="00484027">
        <w:t>In terms of network connectivity, remote areas are generally located on the end of long feeders and on remote parts of the networks. Typically, only limited alternative</w:t>
      </w:r>
      <w:r>
        <w:t>s</w:t>
      </w:r>
      <w:r w:rsidRPr="00484027">
        <w:t xml:space="preserve"> are available to provide supplies when faults occur</w:t>
      </w:r>
      <w:r>
        <w:t xml:space="preserve"> and supply issues are further</w:t>
      </w:r>
      <w:r w:rsidRPr="00484027">
        <w:t xml:space="preserve"> compounded by the higher number of faults </w:t>
      </w:r>
      <w:r>
        <w:t xml:space="preserve">that occur </w:t>
      </w:r>
      <w:r w:rsidRPr="00484027">
        <w:t>because of the long feeder length</w:t>
      </w:r>
      <w:r>
        <w:t>s</w:t>
      </w:r>
      <w:r w:rsidRPr="00484027">
        <w:t xml:space="preserve">. </w:t>
      </w:r>
    </w:p>
    <w:p w:rsidR="0057714E" w:rsidRPr="00484027" w:rsidRDefault="0057714E" w:rsidP="0057714E">
      <w:r w:rsidRPr="00484027">
        <w:t xml:space="preserve">The current reliability measures </w:t>
      </w:r>
      <w:r>
        <w:t>do not identify customers that have unsatisfactory reliability levels</w:t>
      </w:r>
      <w:r w:rsidRPr="00484027">
        <w:t>.</w:t>
      </w:r>
      <w:r>
        <w:t xml:space="preserve"> The AEMC's termed these customers "Worst Served Customers".</w:t>
      </w:r>
      <w:r w:rsidRPr="00484027">
        <w:t xml:space="preserve"> Hence, </w:t>
      </w:r>
      <w:r>
        <w:t>consistent with the AEMC's recommendation we</w:t>
      </w:r>
      <w:r w:rsidRPr="00484027">
        <w:t xml:space="preserve"> consider greater emphasis is needed to </w:t>
      </w:r>
      <w:r>
        <w:t>monitor and r</w:t>
      </w:r>
      <w:r w:rsidRPr="00484027">
        <w:t>eport on outages faced by the</w:t>
      </w:r>
      <w:r>
        <w:t>se</w:t>
      </w:r>
      <w:r w:rsidRPr="00484027">
        <w:t xml:space="preserve"> c</w:t>
      </w:r>
      <w:r>
        <w:t>ustomers</w:t>
      </w:r>
      <w:r w:rsidRPr="00484027">
        <w:t xml:space="preserve">. </w:t>
      </w:r>
    </w:p>
    <w:p w:rsidR="0057714E" w:rsidRPr="00484027" w:rsidRDefault="0057714E" w:rsidP="0057714E">
      <w:r w:rsidRPr="00484027">
        <w:t>The purpose of such monitoring is to identify whether the service level to the “worst served customers” is improving, deteriorating, or steady over time.</w:t>
      </w:r>
      <w:r>
        <w:t xml:space="preserve"> </w:t>
      </w:r>
      <w:r w:rsidRPr="00484027">
        <w:t>The question is how to define “worst served customers”. The AEMC Final Report noted that:</w:t>
      </w:r>
      <w:r w:rsidRPr="00484027">
        <w:rPr>
          <w:rStyle w:val="FootnoteReference"/>
        </w:rPr>
        <w:footnoteReference w:id="35"/>
      </w:r>
    </w:p>
    <w:p w:rsidR="0057714E" w:rsidRPr="00484027" w:rsidRDefault="0057714E" w:rsidP="0057714E">
      <w:pPr>
        <w:pStyle w:val="AERquotebullet1"/>
      </w:pPr>
      <w:r w:rsidRPr="00484027">
        <w:t xml:space="preserve">The interruptions experienced by customers are somewhat random in nature. This is because the root cause of some interruptions, like lightning, bushfires and faults caused by animals, occur randomly. Consequently, it </w:t>
      </w:r>
      <w:r w:rsidRPr="00484027">
        <w:lastRenderedPageBreak/>
        <w:t xml:space="preserve">is possible that the customers that experience the lowest reliability in one year may not have such low reliability in the next year. </w:t>
      </w:r>
    </w:p>
    <w:p w:rsidR="0057714E" w:rsidRPr="00484027" w:rsidRDefault="0057714E" w:rsidP="0057714E">
      <w:pPr>
        <w:pStyle w:val="AERquotebullet1"/>
      </w:pPr>
      <w:r w:rsidRPr="00484027">
        <w:t>Therefore, the process to identify the</w:t>
      </w:r>
      <w:r>
        <w:t xml:space="preserve"> customers receiving the</w:t>
      </w:r>
      <w:r w:rsidRPr="00484027">
        <w:t xml:space="preserve"> lowest reliability </w:t>
      </w:r>
      <w:r>
        <w:t>service</w:t>
      </w:r>
      <w:r w:rsidRPr="00484027">
        <w:t xml:space="preserve"> needs to consider whether the low reliability is due to an unfortunate set of outcomes in a given year, or whether there is a systemic issue with the reliability experienced by certain customers. This can be achieved by considering customers that have low reliability for several consecutive years, or by applying a moving average over several years to the customers' annual reliability. </w:t>
      </w:r>
    </w:p>
    <w:p w:rsidR="0057714E" w:rsidRPr="00484027" w:rsidRDefault="0057714E" w:rsidP="0057714E">
      <w:r w:rsidRPr="00484027">
        <w:t>In terms of performance measurement methods, the AEMC Final Report suggested two methods:</w:t>
      </w:r>
      <w:r w:rsidRPr="00484027">
        <w:rPr>
          <w:rStyle w:val="FootnoteReference"/>
        </w:rPr>
        <w:footnoteReference w:id="36"/>
      </w:r>
    </w:p>
    <w:p w:rsidR="0057714E" w:rsidRPr="0057714E" w:rsidRDefault="0057714E" w:rsidP="00733FDF">
      <w:pPr>
        <w:pStyle w:val="AERbulletlistsecondstyle"/>
      </w:pPr>
      <w:r w:rsidRPr="0057714E">
        <w:t xml:space="preserve">identify the actual customers with lowest reliability; and </w:t>
      </w:r>
    </w:p>
    <w:p w:rsidR="00733FDF" w:rsidRDefault="0057714E" w:rsidP="00733FDF">
      <w:pPr>
        <w:pStyle w:val="AERbulletlistsecondstyle"/>
      </w:pPr>
      <w:r w:rsidRPr="0057714E">
        <w:t>apply network wide measures of lowest reliability outcomes.</w:t>
      </w:r>
    </w:p>
    <w:p w:rsidR="0057714E" w:rsidRDefault="0057714E" w:rsidP="0057714E">
      <w:r>
        <w:t xml:space="preserve">The submission from Essential Energy </w:t>
      </w:r>
      <w:r w:rsidR="00477EA5">
        <w:t xml:space="preserve">proposed its current method to determine these customers. It </w:t>
      </w:r>
      <w:r>
        <w:t>stated that it appl</w:t>
      </w:r>
      <w:r w:rsidR="00477EA5">
        <w:t>ies</w:t>
      </w:r>
      <w:r>
        <w:t xml:space="preserve"> </w:t>
      </w:r>
      <w:r w:rsidRPr="006B1BC8">
        <w:t>fixed feeder category SAIFI thresholds at the feeder segment level</w:t>
      </w:r>
      <w:r>
        <w:t xml:space="preserve"> to </w:t>
      </w:r>
      <w:r w:rsidRPr="006B1BC8">
        <w:t xml:space="preserve">capture customers experiencing </w:t>
      </w:r>
      <w:r>
        <w:t>the worst 1 per cent</w:t>
      </w:r>
      <w:r w:rsidRPr="006B1BC8">
        <w:t xml:space="preserve"> of network reliability</w:t>
      </w:r>
      <w:r>
        <w:t xml:space="preserve"> under the STPIS</w:t>
      </w:r>
      <w:r w:rsidRPr="006B1BC8">
        <w:t>.</w:t>
      </w:r>
      <w:r>
        <w:t xml:space="preserve"> We consider this method not appropriate because excluded major event days will be captured by this methodology as it uses SAIDI rather than SAIFI to identify these events. </w:t>
      </w:r>
    </w:p>
    <w:p w:rsidR="00477EA5" w:rsidRDefault="00477EA5" w:rsidP="00477EA5">
      <w:r w:rsidRPr="004F65FD">
        <w:t xml:space="preserve">Distributors' submissions </w:t>
      </w:r>
      <w:r>
        <w:t xml:space="preserve">and </w:t>
      </w:r>
      <w:r w:rsidR="00997784">
        <w:t xml:space="preserve">the </w:t>
      </w:r>
      <w:r>
        <w:t>ENA</w:t>
      </w:r>
      <w:r w:rsidR="00997784">
        <w:t xml:space="preserve"> submission</w:t>
      </w:r>
      <w:r>
        <w:t xml:space="preserve"> </w:t>
      </w:r>
      <w:r w:rsidRPr="004F65FD">
        <w:t>considered that the definition of worst served should have regard to the current minimum service standards prescribed in the relevant jurisdiction.</w:t>
      </w:r>
      <w:r>
        <w:rPr>
          <w:rStyle w:val="FootnoteReference"/>
        </w:rPr>
        <w:footnoteReference w:id="37"/>
      </w:r>
      <w:r>
        <w:t xml:space="preserve"> </w:t>
      </w:r>
    </w:p>
    <w:p w:rsidR="0057714E" w:rsidRDefault="0057714E" w:rsidP="0057714E">
      <w:r>
        <w:t xml:space="preserve">We </w:t>
      </w:r>
      <w:r w:rsidRPr="00484027">
        <w:t>consider that the jurisdictional minimum service level standards are the minimum average standard to be achiev</w:t>
      </w:r>
      <w:r>
        <w:t>ed. Such levels may not necessarily reflect the</w:t>
      </w:r>
      <w:r w:rsidRPr="00484027">
        <w:t xml:space="preserve"> </w:t>
      </w:r>
      <w:r>
        <w:t>severity of the reliability faced by these customers as the level of reliability may fall below the minimum standard</w:t>
      </w:r>
      <w:r w:rsidRPr="00484027">
        <w:t xml:space="preserve">. </w:t>
      </w:r>
    </w:p>
    <w:p w:rsidR="0057714E" w:rsidRPr="00484027" w:rsidRDefault="0057714E" w:rsidP="0057714E">
      <w:r>
        <w:t>G</w:t>
      </w:r>
      <w:r w:rsidRPr="00484027">
        <w:t>iven the differences between network characteristics in Australia, ranging from localised urban network such as CitiPower, to physically diverse and geographically large networks such as SA Power Networks and Ergon Energy, there cannot be a single threshold SAIDI and SAIFI criterion that can identify who is “worst served”.</w:t>
      </w:r>
    </w:p>
    <w:p w:rsidR="0057714E" w:rsidRDefault="0057714E" w:rsidP="0057714E">
      <w:pPr>
        <w:rPr>
          <w:rStyle w:val="AERbody"/>
        </w:rPr>
      </w:pPr>
      <w:r>
        <w:t>Consequently, we</w:t>
      </w:r>
      <w:r w:rsidRPr="00484027">
        <w:t xml:space="preserve"> consider </w:t>
      </w:r>
      <w:r>
        <w:t xml:space="preserve">the method to identify these customers </w:t>
      </w:r>
      <w:r w:rsidRPr="00484027">
        <w:t>should be based on a network</w:t>
      </w:r>
      <w:r>
        <w:t xml:space="preserve"> and locational wide </w:t>
      </w:r>
      <w:r w:rsidRPr="00484027">
        <w:t xml:space="preserve">approach. </w:t>
      </w:r>
      <w:r>
        <w:t>Thus we p</w:t>
      </w:r>
      <w:r w:rsidRPr="00484027">
        <w:t>ropose to define “</w:t>
      </w:r>
      <w:r>
        <w:t>w</w:t>
      </w:r>
      <w:r w:rsidRPr="00484027">
        <w:t xml:space="preserve">orst </w:t>
      </w:r>
      <w:r>
        <w:t>s</w:t>
      </w:r>
      <w:r w:rsidRPr="00484027">
        <w:t xml:space="preserve">erved </w:t>
      </w:r>
      <w:r>
        <w:t>c</w:t>
      </w:r>
      <w:r w:rsidRPr="00484027">
        <w:t xml:space="preserve">ustomers” as, customers who suffer from a disproportionate number of faults, </w:t>
      </w:r>
      <w:r w:rsidRPr="00484027">
        <w:lastRenderedPageBreak/>
        <w:t>compared with the network average customer, as greater than four times of the Network average for unplanned SAIDI on a three-year rolling average basis</w:t>
      </w:r>
      <w:r>
        <w:t>.</w:t>
      </w:r>
      <w:r w:rsidRPr="00484027">
        <w:t xml:space="preserve"> </w:t>
      </w:r>
      <w:r>
        <w:t xml:space="preserve">We </w:t>
      </w:r>
      <w:r w:rsidR="00904074" w:rsidRPr="00904074">
        <w:t>consider that this threshold level should capture approximately 10</w:t>
      </w:r>
      <w:r w:rsidR="00B3579C">
        <w:t xml:space="preserve"> per cent</w:t>
      </w:r>
      <w:r w:rsidR="00904074" w:rsidRPr="00904074">
        <w:t xml:space="preserve"> of all customers. These customers experience the most unsatisfactory reliability levels.</w:t>
      </w:r>
    </w:p>
    <w:p w:rsidR="0057714E" w:rsidRDefault="0057714E" w:rsidP="0057714E">
      <w:r>
        <w:t>This definition accounts for Ausgrid's submission that it should account for reliability outcomes that may vary from year to year.</w:t>
      </w:r>
      <w:r>
        <w:rPr>
          <w:rStyle w:val="FootnoteReference"/>
        </w:rPr>
        <w:footnoteReference w:id="38"/>
      </w:r>
      <w:r>
        <w:t xml:space="preserve"> </w:t>
      </w:r>
    </w:p>
    <w:p w:rsidR="0057714E" w:rsidRPr="004F65FD" w:rsidRDefault="00477EA5" w:rsidP="0057714E">
      <w:r>
        <w:t>We consider t</w:t>
      </w:r>
      <w:r w:rsidR="0057714E" w:rsidRPr="004F65FD">
        <w:t xml:space="preserve">his definition is likely to identify the actual feeders (or feeder sections) that supply the customers with the lowest reliability. Our definition has been informed by our analysis of DNSPs' historical </w:t>
      </w:r>
      <w:r w:rsidR="0057714E">
        <w:t xml:space="preserve">aggregated </w:t>
      </w:r>
      <w:r w:rsidR="0057714E" w:rsidRPr="004F65FD">
        <w:t xml:space="preserve">reliability data. </w:t>
      </w:r>
    </w:p>
    <w:p w:rsidR="0057714E" w:rsidRPr="00484027" w:rsidRDefault="0057714E" w:rsidP="0057714E">
      <w:r>
        <w:t>In order to monitor the outages of these customers, we propose that d</w:t>
      </w:r>
      <w:r w:rsidRPr="00484027">
        <w:t>istributors report:</w:t>
      </w:r>
    </w:p>
    <w:p w:rsidR="0057714E" w:rsidRPr="00484027" w:rsidRDefault="0057714E" w:rsidP="00B81778">
      <w:pPr>
        <w:pStyle w:val="AERbulletlistsecondstyle"/>
      </w:pPr>
      <w:r w:rsidRPr="00484027">
        <w:t>the average SAIDI of the worst-served customers</w:t>
      </w:r>
    </w:p>
    <w:p w:rsidR="0057714E" w:rsidRPr="00484027" w:rsidRDefault="0057714E" w:rsidP="00B81778">
      <w:pPr>
        <w:pStyle w:val="AERbulletlistsecondstyle"/>
      </w:pPr>
      <w:r w:rsidRPr="00484027">
        <w:t>the average SAIFI of the worst-served customers</w:t>
      </w:r>
    </w:p>
    <w:p w:rsidR="0057714E" w:rsidRPr="00484027" w:rsidRDefault="0057714E" w:rsidP="00B81778">
      <w:pPr>
        <w:pStyle w:val="AERbulletlistsecondstyle"/>
      </w:pPr>
      <w:r w:rsidRPr="00484027">
        <w:t>the top five feeders with the most worst-served customers</w:t>
      </w:r>
    </w:p>
    <w:p w:rsidR="0057714E" w:rsidRDefault="0057714E" w:rsidP="00B81778">
      <w:pPr>
        <w:pStyle w:val="AERbulletlistsecondstyle"/>
      </w:pPr>
      <w:r w:rsidRPr="00484027">
        <w:t>the number of worst-served customers of the above five feeders.</w:t>
      </w:r>
    </w:p>
    <w:p w:rsidR="0057714E" w:rsidRPr="007E39BF" w:rsidRDefault="0057714E" w:rsidP="00161423"/>
    <w:p w:rsidR="00C94815" w:rsidRDefault="00105E19" w:rsidP="00C94815">
      <w:pPr>
        <w:pStyle w:val="Heading1"/>
      </w:pPr>
      <w:bookmarkStart w:id="88" w:name="_Toc485812919"/>
      <w:r>
        <w:lastRenderedPageBreak/>
        <w:t>Implementation and reporting</w:t>
      </w:r>
      <w:bookmarkEnd w:id="88"/>
    </w:p>
    <w:p w:rsidR="00A47583" w:rsidRDefault="00105E19" w:rsidP="00105E19">
      <w:r w:rsidRPr="00105E19">
        <w:t xml:space="preserve">The </w:t>
      </w:r>
      <w:r w:rsidR="00B3579C">
        <w:t>Guideline</w:t>
      </w:r>
      <w:r w:rsidRPr="00105E19">
        <w:t xml:space="preserve"> is the mean</w:t>
      </w:r>
      <w:r>
        <w:t>s</w:t>
      </w:r>
      <w:r w:rsidRPr="00105E19">
        <w:t xml:space="preserve"> to implement reporting standardisation. However, to </w:t>
      </w:r>
      <w:r w:rsidR="00477EA5" w:rsidRPr="00105E19">
        <w:t>operationali</w:t>
      </w:r>
      <w:r w:rsidR="00477EA5">
        <w:t>z</w:t>
      </w:r>
      <w:r w:rsidR="00477EA5" w:rsidRPr="00105E19">
        <w:t>e</w:t>
      </w:r>
      <w:r w:rsidRPr="00105E19">
        <w:t xml:space="preserve"> the </w:t>
      </w:r>
      <w:r w:rsidR="00B3579C">
        <w:t>Guideline</w:t>
      </w:r>
      <w:r w:rsidRPr="00105E19">
        <w:t xml:space="preserve">, we need to modify our </w:t>
      </w:r>
      <w:r>
        <w:t>Regulatory Information Notice</w:t>
      </w:r>
      <w:r w:rsidRPr="00105E19">
        <w:t xml:space="preserve"> instructions </w:t>
      </w:r>
      <w:r>
        <w:t xml:space="preserve">for </w:t>
      </w:r>
      <w:r w:rsidRPr="00105E19">
        <w:t>each distributor</w:t>
      </w:r>
      <w:r w:rsidR="00477EA5">
        <w:t xml:space="preserve"> for reporting purposes</w:t>
      </w:r>
      <w:r w:rsidRPr="00105E19">
        <w:t xml:space="preserve">. </w:t>
      </w:r>
    </w:p>
    <w:p w:rsidR="00105E19" w:rsidRDefault="00105E19" w:rsidP="00105E19">
      <w:r w:rsidRPr="00105E19">
        <w:t xml:space="preserve">Hence, the earliest stage that we </w:t>
      </w:r>
      <w:r w:rsidR="00A47583">
        <w:t xml:space="preserve">may </w:t>
      </w:r>
      <w:r w:rsidRPr="00105E19">
        <w:t xml:space="preserve">implement </w:t>
      </w:r>
      <w:r w:rsidR="00A47583">
        <w:t xml:space="preserve">and apply these distribution reliability measures </w:t>
      </w:r>
      <w:r w:rsidRPr="00105E19">
        <w:t xml:space="preserve">is when we issue the new RINs for the next regulatory control period </w:t>
      </w:r>
      <w:r w:rsidR="00A47583">
        <w:t>for</w:t>
      </w:r>
      <w:r w:rsidRPr="00105E19">
        <w:t xml:space="preserve"> individual distributors. This is also subject to adequate record management systems be</w:t>
      </w:r>
      <w:r w:rsidR="00A47583">
        <w:t>ing</w:t>
      </w:r>
      <w:r w:rsidRPr="00105E19">
        <w:t xml:space="preserve"> available at that time</w:t>
      </w:r>
      <w:r w:rsidR="00A47583">
        <w:t xml:space="preserve"> in order for us to collect this data</w:t>
      </w:r>
      <w:r w:rsidRPr="00105E19">
        <w:t>.</w:t>
      </w:r>
    </w:p>
    <w:p w:rsidR="000A6165" w:rsidRDefault="000A6165" w:rsidP="00105E19">
      <w:r>
        <w:t xml:space="preserve">That said, the existing reporting requirement will remain in place until </w:t>
      </w:r>
      <w:r w:rsidR="00DF3B97">
        <w:t xml:space="preserve">such time. </w:t>
      </w:r>
      <w:r>
        <w:t xml:space="preserve">We will </w:t>
      </w:r>
      <w:r w:rsidR="00DF3B97">
        <w:t xml:space="preserve">also </w:t>
      </w:r>
      <w:r>
        <w:t>continue to collect the following information</w:t>
      </w:r>
      <w:r w:rsidR="00DF3B97">
        <w:t xml:space="preserve"> on the key performance indicators for STPIS; </w:t>
      </w:r>
      <w:r w:rsidRPr="000A6165">
        <w:t>SAIDI</w:t>
      </w:r>
      <w:r w:rsidR="00DF3B97">
        <w:t>;</w:t>
      </w:r>
      <w:r w:rsidR="0057714E">
        <w:t xml:space="preserve"> </w:t>
      </w:r>
      <w:r w:rsidRPr="000A6165">
        <w:t>SAIFI</w:t>
      </w:r>
      <w:r w:rsidR="00DF3B97">
        <w:t>;</w:t>
      </w:r>
      <w:r w:rsidR="0057714E">
        <w:t xml:space="preserve"> </w:t>
      </w:r>
      <w:r w:rsidRPr="000A6165">
        <w:t>MAIFI</w:t>
      </w:r>
      <w:r w:rsidR="00DF3B97">
        <w:t xml:space="preserve">. </w:t>
      </w:r>
    </w:p>
    <w:p w:rsidR="000A6165" w:rsidRDefault="000A6165" w:rsidP="00105E19"/>
    <w:p w:rsidR="000A6165" w:rsidRPr="00105E19" w:rsidRDefault="000A6165" w:rsidP="00105E19"/>
    <w:p w:rsidR="003A021A" w:rsidRDefault="003A021A" w:rsidP="003A021A"/>
    <w:p w:rsidR="003A021A" w:rsidRDefault="003A021A" w:rsidP="003A021A"/>
    <w:p w:rsidR="003A021A" w:rsidRDefault="003A021A" w:rsidP="003A021A"/>
    <w:p w:rsidR="003A021A" w:rsidRDefault="003A021A" w:rsidP="003A021A"/>
    <w:p w:rsidR="003A021A" w:rsidRDefault="003A021A" w:rsidP="003A021A"/>
    <w:p w:rsidR="003A021A" w:rsidRDefault="003A021A" w:rsidP="003A021A"/>
    <w:p w:rsidR="003A021A" w:rsidRDefault="003A021A" w:rsidP="003A021A"/>
    <w:p w:rsidR="003A021A" w:rsidRDefault="003A021A" w:rsidP="003A021A"/>
    <w:p w:rsidR="003A021A" w:rsidRDefault="003A021A" w:rsidP="003A021A"/>
    <w:p w:rsidR="003A021A" w:rsidRDefault="003A021A" w:rsidP="003A021A"/>
    <w:p w:rsidR="003A021A" w:rsidRDefault="003A021A" w:rsidP="003A021A"/>
    <w:p w:rsidR="003A021A" w:rsidRDefault="003A021A" w:rsidP="003A021A"/>
    <w:p w:rsidR="003A021A" w:rsidRDefault="003A021A" w:rsidP="003A021A"/>
    <w:p w:rsidR="003A021A" w:rsidRDefault="003A021A" w:rsidP="003A021A"/>
    <w:p w:rsidR="003A021A" w:rsidRDefault="003A021A" w:rsidP="003A021A"/>
    <w:p w:rsidR="003A021A" w:rsidRDefault="003A021A" w:rsidP="003A021A"/>
    <w:p w:rsidR="003A021A" w:rsidRDefault="003A021A" w:rsidP="003A021A"/>
    <w:p w:rsidR="003A021A" w:rsidRDefault="003A021A" w:rsidP="003A021A">
      <w:pPr>
        <w:pStyle w:val="Heading8"/>
      </w:pPr>
      <w:bookmarkStart w:id="89" w:name="_Toc485812920"/>
      <w:r>
        <w:lastRenderedPageBreak/>
        <w:t>IEEE 1366 2.5 beta method</w:t>
      </w:r>
      <w:bookmarkEnd w:id="89"/>
    </w:p>
    <w:p w:rsidR="003A021A" w:rsidRPr="003A021A" w:rsidRDefault="003A021A" w:rsidP="003A021A">
      <w:r w:rsidRPr="003A021A">
        <w:t>The main steps for identifying an major event day under Standard 1366 are the following:</w:t>
      </w:r>
    </w:p>
    <w:p w:rsidR="003A021A" w:rsidRPr="003A021A" w:rsidRDefault="003A021A" w:rsidP="00B81778">
      <w:pPr>
        <w:pStyle w:val="AERbulletlistsecondstyle"/>
      </w:pPr>
      <w:r w:rsidRPr="003A021A">
        <w:t>A major event day is a day in which daily SAIDI exceeds a threshold value T</w:t>
      </w:r>
      <w:r w:rsidR="00D13F3D" w:rsidRPr="00D13F3D">
        <w:rPr>
          <w:rFonts w:eastAsiaTheme="minorEastAsia"/>
        </w:rPr>
        <w:t>MED</w:t>
      </w:r>
    </w:p>
    <w:p w:rsidR="003A021A" w:rsidRPr="003A021A" w:rsidRDefault="003A021A" w:rsidP="00B81778">
      <w:pPr>
        <w:pStyle w:val="AERbulletlistsecondstyle"/>
      </w:pPr>
      <w:r w:rsidRPr="003A021A">
        <w:t>In calculating daily SAIDI, interruption durations that extend into subsequent days are</w:t>
      </w:r>
      <w:r>
        <w:t xml:space="preserve"> </w:t>
      </w:r>
      <w:r w:rsidRPr="003A021A">
        <w:t>assigned to the day on which the interruption begins. This technique ties the</w:t>
      </w:r>
      <w:r>
        <w:t xml:space="preserve"> </w:t>
      </w:r>
      <w:r w:rsidRPr="003A021A">
        <w:t>customer</w:t>
      </w:r>
      <w:r>
        <w:t xml:space="preserve"> </w:t>
      </w:r>
      <w:r w:rsidRPr="003A021A">
        <w:t>minutes</w:t>
      </w:r>
      <w:r>
        <w:t xml:space="preserve"> </w:t>
      </w:r>
      <w:r w:rsidRPr="003A021A">
        <w:t>of interruption to the instigating events.</w:t>
      </w:r>
    </w:p>
    <w:p w:rsidR="003A021A" w:rsidRPr="003A021A" w:rsidRDefault="003A021A" w:rsidP="00B81778">
      <w:pPr>
        <w:pStyle w:val="AERbulletlistsecondstyle"/>
      </w:pPr>
      <w:r w:rsidRPr="003A021A">
        <w:t>The major event day identification threshold value TMED is calculated at the end of each</w:t>
      </w:r>
      <w:r>
        <w:t xml:space="preserve"> </w:t>
      </w:r>
      <w:r w:rsidRPr="003A021A">
        <w:t>reporting period for use during the next reporting period. For utilities that have six years</w:t>
      </w:r>
      <w:r>
        <w:t xml:space="preserve"> </w:t>
      </w:r>
      <w:r w:rsidRPr="003A021A">
        <w:t>of reliability data, the first five are used to determine TMED and that threshold is applied</w:t>
      </w:r>
      <w:r>
        <w:t xml:space="preserve"> </w:t>
      </w:r>
      <w:r w:rsidRPr="003A021A">
        <w:t>during the sixth year.</w:t>
      </w:r>
    </w:p>
    <w:p w:rsidR="003A021A" w:rsidRPr="003A021A" w:rsidRDefault="003A021A" w:rsidP="00B81778">
      <w:pPr>
        <w:pStyle w:val="AERbulletlistsecondstyle"/>
      </w:pPr>
      <w:r w:rsidRPr="003A021A">
        <w:t>The methodology for calculating TMED is as follows:</w:t>
      </w:r>
    </w:p>
    <w:p w:rsidR="003A021A" w:rsidRPr="003A021A" w:rsidRDefault="003A021A" w:rsidP="00B81778">
      <w:pPr>
        <w:pStyle w:val="AERbulletlistthirdstyle"/>
      </w:pPr>
      <w:r w:rsidRPr="003A021A">
        <w:t>Values of daily SAIDI for a number of sequential years, ending on the last day</w:t>
      </w:r>
      <w:r>
        <w:t xml:space="preserve"> </w:t>
      </w:r>
      <w:r w:rsidRPr="003A021A">
        <w:t>of the last complete reporting period, are collected.</w:t>
      </w:r>
    </w:p>
    <w:p w:rsidR="003A021A" w:rsidRPr="003A021A" w:rsidRDefault="003A021A" w:rsidP="00B81778">
      <w:pPr>
        <w:pStyle w:val="AERbulletlistthirdstyle"/>
      </w:pPr>
      <w:r w:rsidRPr="003A021A">
        <w:t>If any day in the data set has a value of zero for SAIDI, those SAIDI data are</w:t>
      </w:r>
      <w:r>
        <w:t xml:space="preserve"> </w:t>
      </w:r>
      <w:r w:rsidRPr="003A021A">
        <w:t>excluded from the analysis.</w:t>
      </w:r>
    </w:p>
    <w:p w:rsidR="003A021A" w:rsidRPr="003A021A" w:rsidRDefault="003A021A" w:rsidP="00B81778">
      <w:pPr>
        <w:pStyle w:val="AERbulletlistthirdstyle"/>
      </w:pPr>
      <w:r w:rsidRPr="003A021A">
        <w:t>The natural logarithm of each daily SAIDI value in the data set is calculated.</w:t>
      </w:r>
    </w:p>
    <w:p w:rsidR="003A021A" w:rsidRPr="003A021A" w:rsidRDefault="003A021A" w:rsidP="00B81778">
      <w:pPr>
        <w:pStyle w:val="AERbulletlistthirdstyle"/>
      </w:pPr>
      <w:r w:rsidRPr="003A021A">
        <w:t>The average of the logarithms,α, of the data set is calculated.</w:t>
      </w:r>
    </w:p>
    <w:p w:rsidR="003A021A" w:rsidRPr="003A021A" w:rsidRDefault="003A021A" w:rsidP="00B81778">
      <w:pPr>
        <w:pStyle w:val="AERbulletlistthirdstyle"/>
      </w:pPr>
      <w:r w:rsidRPr="003A021A">
        <w:t>The standard deviation of the logarithms, β, of the data set is calculated.</w:t>
      </w:r>
    </w:p>
    <w:p w:rsidR="003A021A" w:rsidRPr="003A021A" w:rsidRDefault="003A021A" w:rsidP="00B81778">
      <w:pPr>
        <w:pStyle w:val="AERbulletlistthirdstyle"/>
      </w:pPr>
      <w:r w:rsidRPr="003A021A">
        <w:t>The major event day threshold, TMED, is calculated by using the equation (this</w:t>
      </w:r>
      <w:r>
        <w:t xml:space="preserve"> </w:t>
      </w:r>
      <w:r w:rsidRPr="003A021A">
        <w:t>value should in theory give an average of 2.3 major event days per year)</w:t>
      </w:r>
    </w:p>
    <w:p w:rsidR="003A021A" w:rsidRPr="003A021A" w:rsidRDefault="003A021A" w:rsidP="00B81778">
      <w:pPr>
        <w:pStyle w:val="AERbulletlistthirdstyle"/>
      </w:pPr>
      <w:r>
        <w:t>Any day with d</w:t>
      </w:r>
      <w:r w:rsidRPr="003A021A">
        <w:t>aily SAIDI greater than the threshold value TMED is designated a</w:t>
      </w:r>
      <w:r>
        <w:t xml:space="preserve"> </w:t>
      </w:r>
      <w:r w:rsidRPr="003A021A">
        <w:t>major event day, and data for this day is removed from SAIFI and SAIDI</w:t>
      </w:r>
      <w:r>
        <w:t xml:space="preserve"> </w:t>
      </w:r>
      <w:r w:rsidRPr="003A021A">
        <w:t>performance to provide a “normalized” measure of performance.</w:t>
      </w:r>
    </w:p>
    <w:sectPr w:rsidR="003A021A" w:rsidRPr="003A021A" w:rsidSect="000B79FF">
      <w:headerReference w:type="even" r:id="rId13"/>
      <w:footerReference w:type="even" r:id="rId14"/>
      <w:footerReference w:type="default" r:id="rId15"/>
      <w:headerReference w:type="first" r:id="rId16"/>
      <w:pgSz w:w="11906" w:h="16838" w:code="9"/>
      <w:pgMar w:top="1440" w:right="1700" w:bottom="1582" w:left="1729" w:header="720" w:footer="0" w:gutter="0"/>
      <w:pgNumType w:start="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074" w:rsidRPr="00290C63" w:rsidRDefault="00904074" w:rsidP="00290C63">
      <w:r>
        <w:separator/>
      </w:r>
    </w:p>
    <w:p w:rsidR="00904074" w:rsidRDefault="00904074"/>
  </w:endnote>
  <w:endnote w:type="continuationSeparator" w:id="0">
    <w:p w:rsidR="00904074" w:rsidRPr="00290C63" w:rsidRDefault="00904074" w:rsidP="00290C63">
      <w:r>
        <w:continuationSeparator/>
      </w:r>
    </w:p>
    <w:p w:rsidR="00904074" w:rsidRDefault="00904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074" w:rsidRDefault="0090407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904074" w:rsidRDefault="00904074">
    <w:pPr>
      <w:pStyle w:val="Footer"/>
    </w:pPr>
  </w:p>
  <w:p w:rsidR="00904074" w:rsidRDefault="00904074">
    <w:pPr>
      <w:pStyle w:val="Footer"/>
    </w:pPr>
    <w:r>
      <w:fldChar w:fldCharType="begin"/>
    </w:r>
    <w:r>
      <w:instrText xml:space="preserve"> DOCPROPERTY DocumentID \* MERGEFORMAT </w:instrText>
    </w:r>
    <w:r>
      <w:fldChar w:fldCharType="separate"/>
    </w:r>
    <w:r w:rsidR="001C7706">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904074" w:rsidRPr="00CA52A2" w:rsidRDefault="00904074" w:rsidP="00CA52A2">
        <w:pPr>
          <w:pStyle w:val="Footer"/>
        </w:pPr>
        <w:r w:rsidRPr="00CA52A2">
          <w:fldChar w:fldCharType="begin"/>
        </w:r>
        <w:r>
          <w:instrText xml:space="preserve"> PAGE   \* MERGEFORMAT </w:instrText>
        </w:r>
        <w:r w:rsidRPr="00CA52A2">
          <w:fldChar w:fldCharType="separate"/>
        </w:r>
        <w:r w:rsidR="00913964">
          <w:rPr>
            <w:noProof/>
          </w:rPr>
          <w:t>0</w:t>
        </w:r>
        <w:r w:rsidRPr="00CA52A2">
          <w:fldChar w:fldCharType="end"/>
        </w:r>
        <w:r w:rsidRPr="00CA52A2">
          <w:t xml:space="preserve">          </w:t>
        </w:r>
        <w:r>
          <w:t xml:space="preserve">Explanatory Statement </w:t>
        </w:r>
        <w:r w:rsidRPr="00CA52A2">
          <w:t xml:space="preserve">| </w:t>
        </w:r>
        <w:r>
          <w:t>Draft Distribution Reliability Measures Guidelines</w:t>
        </w:r>
      </w:p>
    </w:sdtContent>
  </w:sdt>
  <w:p w:rsidR="00904074" w:rsidRDefault="00904074">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074" w:rsidRPr="00290C63" w:rsidRDefault="00904074" w:rsidP="00290C63">
      <w:r>
        <w:separator/>
      </w:r>
    </w:p>
    <w:p w:rsidR="00904074" w:rsidRDefault="00904074"/>
  </w:footnote>
  <w:footnote w:type="continuationSeparator" w:id="0">
    <w:p w:rsidR="00904074" w:rsidRPr="00290C63" w:rsidRDefault="00904074" w:rsidP="00290C63">
      <w:r>
        <w:continuationSeparator/>
      </w:r>
    </w:p>
    <w:p w:rsidR="00904074" w:rsidRDefault="00904074"/>
  </w:footnote>
  <w:footnote w:id="1">
    <w:p w:rsidR="00904074" w:rsidRDefault="00904074" w:rsidP="008F24D9">
      <w:pPr>
        <w:pStyle w:val="FootnoteText"/>
      </w:pPr>
      <w:r>
        <w:rPr>
          <w:rStyle w:val="FootnoteReference"/>
        </w:rPr>
        <w:footnoteRef/>
      </w:r>
      <w:r>
        <w:t xml:space="preserve"> </w:t>
      </w:r>
      <w:r>
        <w:tab/>
        <w:t>NER, rules 6.28(a).</w:t>
      </w:r>
    </w:p>
  </w:footnote>
  <w:footnote w:id="2">
    <w:p w:rsidR="00904074" w:rsidRDefault="00904074" w:rsidP="008F24D9">
      <w:pPr>
        <w:pStyle w:val="FootnoteText"/>
      </w:pPr>
      <w:r>
        <w:rPr>
          <w:rStyle w:val="FootnoteReference"/>
        </w:rPr>
        <w:footnoteRef/>
      </w:r>
      <w:r>
        <w:t xml:space="preserve"> </w:t>
      </w:r>
      <w:r>
        <w:tab/>
        <w:t>AEMC</w:t>
      </w:r>
      <w:r w:rsidRPr="006C7F40">
        <w:t xml:space="preserve">, </w:t>
      </w:r>
      <w:r w:rsidRPr="00B3579C">
        <w:rPr>
          <w:rStyle w:val="AERtextitalic"/>
        </w:rPr>
        <w:t>Review of Distribution Reliability Measures</w:t>
      </w:r>
      <w:r w:rsidRPr="006C7F40">
        <w:t>, Final Report, 5 September 2014.</w:t>
      </w:r>
    </w:p>
  </w:footnote>
  <w:footnote w:id="3">
    <w:p w:rsidR="00EF3DDE" w:rsidRDefault="00EF3DDE">
      <w:pPr>
        <w:pStyle w:val="FootnoteText"/>
      </w:pPr>
      <w:r>
        <w:rPr>
          <w:rStyle w:val="FootnoteReference"/>
        </w:rPr>
        <w:footnoteRef/>
      </w:r>
      <w:r>
        <w:t xml:space="preserve"> </w:t>
      </w:r>
      <w:r>
        <w:tab/>
      </w:r>
      <w:r w:rsidRPr="00EF3DDE">
        <w:t xml:space="preserve">AEMC, </w:t>
      </w:r>
      <w:r w:rsidRPr="00EF3DDE">
        <w:rPr>
          <w:rStyle w:val="AERtextitalic"/>
        </w:rPr>
        <w:t>Review of Distribution Reliability Measures</w:t>
      </w:r>
      <w:r w:rsidRPr="00EF3DDE">
        <w:t>, Final Report, 5 September 2014, p</w:t>
      </w:r>
      <w:r>
        <w:t>p, i–v and 17–18.</w:t>
      </w:r>
    </w:p>
  </w:footnote>
  <w:footnote w:id="4">
    <w:p w:rsidR="00904074" w:rsidRDefault="00904074" w:rsidP="00297C20">
      <w:pPr>
        <w:pStyle w:val="FootnoteText"/>
      </w:pPr>
      <w:r>
        <w:rPr>
          <w:rStyle w:val="FootnoteReference"/>
        </w:rPr>
        <w:footnoteRef/>
      </w:r>
      <w:r>
        <w:t xml:space="preserve"> </w:t>
      </w:r>
      <w:r>
        <w:tab/>
      </w:r>
      <w:r w:rsidRPr="00BC411B">
        <w:t xml:space="preserve">ENA, </w:t>
      </w:r>
      <w:r w:rsidRPr="00EA2707">
        <w:rPr>
          <w:rStyle w:val="AERtextitalic"/>
        </w:rPr>
        <w:t>Service Target Performance Incentive Scheme and Distribution Reliability Measures Guidelines</w:t>
      </w:r>
      <w:r w:rsidRPr="00BC411B">
        <w:t>, 1 March 2017, p</w:t>
      </w:r>
      <w:r>
        <w:t>p</w:t>
      </w:r>
      <w:r w:rsidRPr="00BC411B">
        <w:t xml:space="preserve">. </w:t>
      </w:r>
      <w:r>
        <w:t>7–</w:t>
      </w:r>
      <w:r w:rsidRPr="00BC411B">
        <w:t>8</w:t>
      </w:r>
      <w:r>
        <w:t xml:space="preserve">; </w:t>
      </w:r>
      <w:r w:rsidRPr="00BC411B">
        <w:t xml:space="preserve">Ausgrid, </w:t>
      </w:r>
      <w:r w:rsidRPr="00EA2707">
        <w:rPr>
          <w:rStyle w:val="AERtextitalic"/>
        </w:rPr>
        <w:t>Issues paper: Reviewing the Service Target Performance Incentive Scheme and Establishing a new Distribution Reliability Measures Guideline</w:t>
      </w:r>
      <w:r w:rsidRPr="00BC411B">
        <w:t xml:space="preserve">, 23 February 2017, p. </w:t>
      </w:r>
      <w:r>
        <w:t xml:space="preserve">7; </w:t>
      </w:r>
      <w:r w:rsidRPr="00092E53">
        <w:t xml:space="preserve">SA PowerNetworks, </w:t>
      </w:r>
      <w:r w:rsidRPr="00EA2707">
        <w:rPr>
          <w:rStyle w:val="AERtextitalic"/>
        </w:rPr>
        <w:t>Issues Paper – Reviewing the Service Target Performance Incentive Scheme and Establishing a new Distribution Reliability Measures Guideline</w:t>
      </w:r>
      <w:r w:rsidR="00EF3DDE">
        <w:rPr>
          <w:rStyle w:val="AERtextitalic"/>
        </w:rPr>
        <w:t>s</w:t>
      </w:r>
      <w:r w:rsidRPr="00092E53">
        <w:t xml:space="preserve">, 24 February 2017, p. </w:t>
      </w:r>
      <w:r>
        <w:t>9</w:t>
      </w:r>
      <w:r w:rsidRPr="00092E53">
        <w:t>.</w:t>
      </w:r>
    </w:p>
  </w:footnote>
  <w:footnote w:id="5">
    <w:p w:rsidR="00EF3DDE" w:rsidRDefault="00EF3DDE">
      <w:pPr>
        <w:pStyle w:val="FootnoteText"/>
      </w:pPr>
      <w:r>
        <w:rPr>
          <w:rStyle w:val="FootnoteReference"/>
        </w:rPr>
        <w:footnoteRef/>
      </w:r>
      <w:r>
        <w:t xml:space="preserve"> </w:t>
      </w:r>
      <w:r>
        <w:tab/>
      </w:r>
      <w:r w:rsidRPr="00EF3DDE">
        <w:t xml:space="preserve">S&amp;C Electric Company, </w:t>
      </w:r>
      <w:r w:rsidRPr="00EF3DDE">
        <w:rPr>
          <w:rStyle w:val="AERtextitalic"/>
        </w:rPr>
        <w:t>Submission to the Reviewing the Service Target Performance Incentive Scheme and Establishing a new Distribution Reliability Measures Guidelines</w:t>
      </w:r>
      <w:r w:rsidRPr="00EF3DDE">
        <w:t>, 24 February 2017, p. 4.</w:t>
      </w:r>
    </w:p>
  </w:footnote>
  <w:footnote w:id="6">
    <w:p w:rsidR="00EF3DDE" w:rsidRDefault="00EF3DDE">
      <w:pPr>
        <w:pStyle w:val="FootnoteText"/>
      </w:pPr>
      <w:r>
        <w:rPr>
          <w:rStyle w:val="FootnoteReference"/>
        </w:rPr>
        <w:footnoteRef/>
      </w:r>
      <w:r>
        <w:t xml:space="preserve"> </w:t>
      </w:r>
      <w:r>
        <w:tab/>
      </w:r>
      <w:r w:rsidRPr="00EF3DDE">
        <w:t xml:space="preserve">AEMC, </w:t>
      </w:r>
      <w:r w:rsidRPr="00EF3DDE">
        <w:rPr>
          <w:rStyle w:val="AERtextitalic"/>
        </w:rPr>
        <w:t>Review of Distribution Reliability Measures</w:t>
      </w:r>
      <w:r w:rsidRPr="00EF3DDE">
        <w:t>, Fina</w:t>
      </w:r>
      <w:r>
        <w:t>l Report, 5 September 2014, p.</w:t>
      </w:r>
      <w:r w:rsidR="0085700D">
        <w:t xml:space="preserve"> </w:t>
      </w:r>
      <w:r>
        <w:t>ii.</w:t>
      </w:r>
    </w:p>
  </w:footnote>
  <w:footnote w:id="7">
    <w:p w:rsidR="0085700D" w:rsidRDefault="0085700D">
      <w:pPr>
        <w:pStyle w:val="FootnoteText"/>
      </w:pPr>
      <w:r>
        <w:rPr>
          <w:rStyle w:val="FootnoteReference"/>
        </w:rPr>
        <w:footnoteRef/>
      </w:r>
      <w:r>
        <w:t xml:space="preserve"> </w:t>
      </w:r>
      <w:r>
        <w:tab/>
      </w:r>
      <w:r w:rsidRPr="0085700D">
        <w:t xml:space="preserve">AEMC, </w:t>
      </w:r>
      <w:r w:rsidRPr="0085700D">
        <w:rPr>
          <w:rStyle w:val="AERtextitalic"/>
        </w:rPr>
        <w:t>Review of Distribution Reliability Measures</w:t>
      </w:r>
      <w:r w:rsidRPr="0085700D">
        <w:t>, Final</w:t>
      </w:r>
      <w:r>
        <w:t xml:space="preserve"> Report, 5 September 2014, p. 13.</w:t>
      </w:r>
    </w:p>
  </w:footnote>
  <w:footnote w:id="8">
    <w:p w:rsidR="00904074" w:rsidRDefault="00904074" w:rsidP="00297C20">
      <w:pPr>
        <w:pStyle w:val="FootnoteText"/>
      </w:pPr>
      <w:r>
        <w:rPr>
          <w:rStyle w:val="FootnoteReference"/>
        </w:rPr>
        <w:footnoteRef/>
      </w:r>
      <w:r>
        <w:t xml:space="preserve"> </w:t>
      </w:r>
      <w:r>
        <w:tab/>
        <w:t>The nine distributor submissio</w:t>
      </w:r>
      <w:r w:rsidR="00EF3DDE">
        <w:t xml:space="preserve">ns were from Ausgrid, Citipower, </w:t>
      </w:r>
      <w:r>
        <w:t>Powercor, Endeavour Energy, Energex, Ergon, Essential Energy, Jemena, SA Power Network and United Energy.</w:t>
      </w:r>
    </w:p>
  </w:footnote>
  <w:footnote w:id="9">
    <w:p w:rsidR="00904074" w:rsidRDefault="00904074">
      <w:pPr>
        <w:pStyle w:val="FootnoteText"/>
      </w:pPr>
      <w:r>
        <w:rPr>
          <w:rStyle w:val="FootnoteReference"/>
        </w:rPr>
        <w:footnoteRef/>
      </w:r>
      <w:r>
        <w:t xml:space="preserve"> </w:t>
      </w:r>
      <w:r>
        <w:tab/>
      </w:r>
      <w:r w:rsidRPr="0028121F">
        <w:t>S&amp;C Electric Company</w:t>
      </w:r>
      <w:r>
        <w:t>,</w:t>
      </w:r>
      <w:r w:rsidRPr="0028121F">
        <w:t xml:space="preserve"> </w:t>
      </w:r>
      <w:r w:rsidRPr="0028121F">
        <w:rPr>
          <w:rStyle w:val="AERtextitalic"/>
        </w:rPr>
        <w:t>Submission to the Reviewing the Service Target Performance Incentive Scheme and Establishing a new Distribution Reliability Measures Guidelines</w:t>
      </w:r>
      <w:r>
        <w:t xml:space="preserve">, 24 February 2017, p. 4. </w:t>
      </w:r>
    </w:p>
  </w:footnote>
  <w:footnote w:id="10">
    <w:p w:rsidR="00904074" w:rsidRDefault="00904074">
      <w:pPr>
        <w:pStyle w:val="FootnoteText"/>
      </w:pPr>
      <w:r>
        <w:rPr>
          <w:rStyle w:val="FootnoteReference"/>
        </w:rPr>
        <w:footnoteRef/>
      </w:r>
      <w:r>
        <w:t xml:space="preserve"> </w:t>
      </w:r>
      <w:r>
        <w:tab/>
        <w:t xml:space="preserve">AEMC, </w:t>
      </w:r>
      <w:r w:rsidRPr="0028121F">
        <w:rPr>
          <w:rStyle w:val="AERtextitalic"/>
        </w:rPr>
        <w:t>Review of Distribution Reliability Measures, Final Report</w:t>
      </w:r>
      <w:r>
        <w:t>, 5 September 2014, p.14.</w:t>
      </w:r>
    </w:p>
  </w:footnote>
  <w:footnote w:id="11">
    <w:p w:rsidR="00904074" w:rsidRDefault="00904074" w:rsidP="007D737B">
      <w:pPr>
        <w:pStyle w:val="FootnoteText"/>
      </w:pPr>
      <w:r>
        <w:rPr>
          <w:rStyle w:val="FootnoteReference"/>
        </w:rPr>
        <w:footnoteRef/>
      </w:r>
      <w:r>
        <w:t xml:space="preserve"> </w:t>
      </w:r>
      <w:r>
        <w:tab/>
      </w:r>
      <w:r w:rsidRPr="00570BA1">
        <w:t xml:space="preserve">ENA, </w:t>
      </w:r>
      <w:r w:rsidRPr="0085700D">
        <w:rPr>
          <w:rStyle w:val="AERtextitalic"/>
        </w:rPr>
        <w:t>Service Target Performance Incentive Scheme and Distribution Reliability Measures Guidelines</w:t>
      </w:r>
      <w:r w:rsidRPr="00570BA1">
        <w:t>, 1 March 2017</w:t>
      </w:r>
      <w:r>
        <w:t xml:space="preserve">, p. 8; </w:t>
      </w:r>
      <w:r w:rsidRPr="00570BA1">
        <w:t xml:space="preserve">Essential Energy, </w:t>
      </w:r>
      <w:r w:rsidR="0085700D" w:rsidRPr="0085700D">
        <w:rPr>
          <w:rStyle w:val="AERtextitalic"/>
        </w:rPr>
        <w:t>S</w:t>
      </w:r>
      <w:r w:rsidRPr="0085700D">
        <w:rPr>
          <w:rStyle w:val="AERtextitalic"/>
        </w:rPr>
        <w:t>ubmission on the issues paper for Reviewing the Service Target Performance Incentive Scheme and Establishing New Distribution Reliability Measures Guidelines</w:t>
      </w:r>
      <w:r w:rsidRPr="00570BA1">
        <w:t>, February 2017</w:t>
      </w:r>
      <w:r>
        <w:t xml:space="preserve">, p. 3; </w:t>
      </w:r>
      <w:r w:rsidRPr="00570BA1">
        <w:t xml:space="preserve">Ausgrid, </w:t>
      </w:r>
      <w:r w:rsidRPr="0085700D">
        <w:rPr>
          <w:rStyle w:val="AERtextitalic"/>
        </w:rPr>
        <w:t>Issues paper: Reviewing the Service Target Performance Incentive Scheme and Establishing a new Distribution Reliability Measures Guideline</w:t>
      </w:r>
      <w:r w:rsidR="0085700D" w:rsidRPr="0085700D">
        <w:rPr>
          <w:rStyle w:val="AERtextitalic"/>
        </w:rPr>
        <w:t>s</w:t>
      </w:r>
      <w:r w:rsidRPr="00570BA1">
        <w:t>, 23 February 2017</w:t>
      </w:r>
      <w:r>
        <w:t xml:space="preserve">, p. 2; SA PowerNetworks, </w:t>
      </w:r>
      <w:r w:rsidRPr="0085700D">
        <w:rPr>
          <w:rStyle w:val="AERtextitalic"/>
        </w:rPr>
        <w:t>Issues Paper – Reviewing the Service Target Performance Incentive Scheme and Establishing a new Distribution Reliability Measures Guideline</w:t>
      </w:r>
      <w:r>
        <w:t>, 24 February 2017, p. 8.</w:t>
      </w:r>
    </w:p>
  </w:footnote>
  <w:footnote w:id="12">
    <w:p w:rsidR="00904074" w:rsidRDefault="00904074" w:rsidP="00E07BAD">
      <w:pPr>
        <w:pStyle w:val="FootnoteText"/>
      </w:pPr>
      <w:r>
        <w:rPr>
          <w:rStyle w:val="FootnoteReference"/>
        </w:rPr>
        <w:footnoteRef/>
      </w:r>
      <w:r>
        <w:t xml:space="preserve"> </w:t>
      </w:r>
      <w:r>
        <w:tab/>
        <w:t>AEMC</w:t>
      </w:r>
      <w:r w:rsidR="0085700D">
        <w:t>,</w:t>
      </w:r>
      <w:r>
        <w:t xml:space="preserve"> </w:t>
      </w:r>
      <w:r w:rsidR="0085700D" w:rsidRPr="0085700D">
        <w:rPr>
          <w:rStyle w:val="AERtextitalic"/>
        </w:rPr>
        <w:t>Review of Distribution Reliability Measures</w:t>
      </w:r>
      <w:r w:rsidR="0085700D" w:rsidRPr="0085700D">
        <w:t xml:space="preserve">, Final Report, 5 September 2014, </w:t>
      </w:r>
      <w:r>
        <w:t>p.</w:t>
      </w:r>
      <w:r w:rsidR="0085700D">
        <w:t xml:space="preserve"> </w:t>
      </w:r>
      <w:r>
        <w:t>14</w:t>
      </w:r>
      <w:r w:rsidR="0085700D">
        <w:t>.</w:t>
      </w:r>
    </w:p>
  </w:footnote>
  <w:footnote w:id="13">
    <w:p w:rsidR="00904074" w:rsidRDefault="00904074" w:rsidP="00E07BAD">
      <w:pPr>
        <w:pStyle w:val="FootnoteText"/>
      </w:pPr>
      <w:r>
        <w:rPr>
          <w:rStyle w:val="FootnoteReference"/>
        </w:rPr>
        <w:footnoteRef/>
      </w:r>
      <w:r>
        <w:t xml:space="preserve"> </w:t>
      </w:r>
      <w:r>
        <w:tab/>
        <w:t xml:space="preserve">AER, </w:t>
      </w:r>
      <w:r w:rsidRPr="0085700D">
        <w:rPr>
          <w:rStyle w:val="AERtextitalic"/>
        </w:rPr>
        <w:t>State of Energy Market 2015</w:t>
      </w:r>
      <w:r>
        <w:t>, pp.</w:t>
      </w:r>
      <w:r w:rsidR="0085700D">
        <w:t xml:space="preserve"> </w:t>
      </w:r>
      <w:r>
        <w:t>83</w:t>
      </w:r>
      <w:r w:rsidR="0085700D">
        <w:t>–</w:t>
      </w:r>
      <w:r>
        <w:t>84. The average SAIDI is 200 minutes; the majority of SAIFI is about two interruptions per year. The average supply restoration (CAIDI=SAIDI/SAIFI=100 minutes).</w:t>
      </w:r>
    </w:p>
  </w:footnote>
  <w:footnote w:id="14">
    <w:p w:rsidR="00904074" w:rsidRDefault="00904074">
      <w:pPr>
        <w:pStyle w:val="FootnoteText"/>
      </w:pPr>
      <w:r>
        <w:rPr>
          <w:rStyle w:val="FootnoteReference"/>
        </w:rPr>
        <w:footnoteRef/>
      </w:r>
      <w:r>
        <w:t xml:space="preserve"> </w:t>
      </w:r>
      <w:r>
        <w:tab/>
      </w:r>
      <w:r w:rsidRPr="005C74FF">
        <w:t>Major event days  are typically caused by severe weather conditions.</w:t>
      </w:r>
    </w:p>
  </w:footnote>
  <w:footnote w:id="15">
    <w:p w:rsidR="0085700D" w:rsidRDefault="0085700D">
      <w:pPr>
        <w:pStyle w:val="FootnoteText"/>
      </w:pPr>
      <w:r>
        <w:rPr>
          <w:rStyle w:val="FootnoteReference"/>
        </w:rPr>
        <w:footnoteRef/>
      </w:r>
      <w:r>
        <w:t xml:space="preserve"> </w:t>
      </w:r>
      <w:r>
        <w:tab/>
      </w:r>
      <w:r w:rsidR="00DF1D99" w:rsidRPr="00DF1D99">
        <w:t xml:space="preserve">AEMC, </w:t>
      </w:r>
      <w:r w:rsidR="00DF1D99" w:rsidRPr="00DF1D99">
        <w:rPr>
          <w:rStyle w:val="AERtextitalic"/>
        </w:rPr>
        <w:t>Review of Distribution Reliability Measures</w:t>
      </w:r>
      <w:r w:rsidR="00DF1D99" w:rsidRPr="00DF1D99">
        <w:t>, Final Report, 5 September 2014, p.</w:t>
      </w:r>
      <w:r w:rsidR="00DF1D99">
        <w:t xml:space="preserve"> 22</w:t>
      </w:r>
      <w:r w:rsidR="00DF1D99" w:rsidRPr="00DF1D99">
        <w:t>.</w:t>
      </w:r>
    </w:p>
  </w:footnote>
  <w:footnote w:id="16">
    <w:p w:rsidR="00DF1D99" w:rsidRDefault="00DF1D99">
      <w:pPr>
        <w:pStyle w:val="FootnoteText"/>
      </w:pPr>
      <w:r>
        <w:rPr>
          <w:rStyle w:val="FootnoteReference"/>
        </w:rPr>
        <w:footnoteRef/>
      </w:r>
      <w:r>
        <w:t xml:space="preserve"> </w:t>
      </w:r>
      <w:r>
        <w:tab/>
      </w:r>
      <w:r w:rsidRPr="00DF1D99">
        <w:t xml:space="preserve">AEMC, </w:t>
      </w:r>
      <w:r w:rsidRPr="00DF1D99">
        <w:rPr>
          <w:rStyle w:val="AERtextitalic"/>
        </w:rPr>
        <w:t>Review of Distribution Reliability Measures</w:t>
      </w:r>
      <w:r w:rsidRPr="00DF1D99">
        <w:t>, Final Report, 5 September 2014, p</w:t>
      </w:r>
      <w:r>
        <w:t>p</w:t>
      </w:r>
      <w:r w:rsidRPr="00DF1D99">
        <w:t>.</w:t>
      </w:r>
      <w:r>
        <w:t xml:space="preserve"> 28–31.</w:t>
      </w:r>
    </w:p>
  </w:footnote>
  <w:footnote w:id="17">
    <w:p w:rsidR="00904074" w:rsidRDefault="00904074" w:rsidP="007D737B">
      <w:pPr>
        <w:pStyle w:val="FootnoteText"/>
      </w:pPr>
      <w:r>
        <w:rPr>
          <w:rStyle w:val="FootnoteReference"/>
        </w:rPr>
        <w:footnoteRef/>
      </w:r>
      <w:r>
        <w:t xml:space="preserve"> </w:t>
      </w:r>
      <w:r>
        <w:tab/>
      </w:r>
      <w:r w:rsidRPr="00F37AB9">
        <w:t xml:space="preserve">S&amp;C Electric Company, </w:t>
      </w:r>
      <w:r w:rsidRPr="00DF1D99">
        <w:rPr>
          <w:rStyle w:val="AERtextitalic"/>
        </w:rPr>
        <w:t>Submission to the Reviewing the Service Target Performance Incentive Scheme and Establishing a new Distribution Reliability Measures Guidelines</w:t>
      </w:r>
      <w:r w:rsidRPr="00F37AB9">
        <w:t>, 24 February 2017, p. 4.</w:t>
      </w:r>
    </w:p>
  </w:footnote>
  <w:footnote w:id="18">
    <w:p w:rsidR="00904074" w:rsidRDefault="00904074" w:rsidP="007D737B">
      <w:pPr>
        <w:pStyle w:val="FootnoteText"/>
      </w:pPr>
      <w:r>
        <w:rPr>
          <w:rStyle w:val="FootnoteReference"/>
        </w:rPr>
        <w:footnoteRef/>
      </w:r>
      <w:r>
        <w:t xml:space="preserve"> </w:t>
      </w:r>
      <w:r>
        <w:tab/>
        <w:t xml:space="preserve">Victorian Government, </w:t>
      </w:r>
      <w:r w:rsidRPr="00DF1D99">
        <w:rPr>
          <w:rStyle w:val="AERtextitalic"/>
        </w:rPr>
        <w:t>Submission to the AER's review of the service target performance incentive scheme</w:t>
      </w:r>
      <w:r>
        <w:t>, 5 Ma</w:t>
      </w:r>
      <w:r w:rsidR="00DF1D99">
        <w:t>y</w:t>
      </w:r>
      <w:r>
        <w:t xml:space="preserve"> 2017, p. 2.</w:t>
      </w:r>
    </w:p>
  </w:footnote>
  <w:footnote w:id="19">
    <w:p w:rsidR="00904074" w:rsidRDefault="00904074" w:rsidP="00C831D3">
      <w:pPr>
        <w:pStyle w:val="FootnoteText"/>
      </w:pPr>
      <w:r>
        <w:rPr>
          <w:rStyle w:val="FootnoteReference"/>
        </w:rPr>
        <w:footnoteRef/>
      </w:r>
      <w:r>
        <w:t xml:space="preserve"> </w:t>
      </w:r>
      <w:r>
        <w:tab/>
      </w:r>
      <w:r w:rsidRPr="00465EB6">
        <w:t xml:space="preserve">ENA, </w:t>
      </w:r>
      <w:r w:rsidRPr="00DF1D99">
        <w:rPr>
          <w:rStyle w:val="AERtextitalic"/>
        </w:rPr>
        <w:t>Service Target Performance Incentive Scheme and Distribution Reliability Measures Guidelines</w:t>
      </w:r>
      <w:r w:rsidRPr="00465EB6">
        <w:t>, 1 March 2017</w:t>
      </w:r>
      <w:r>
        <w:t xml:space="preserve">, p. 10; </w:t>
      </w:r>
      <w:r w:rsidRPr="00465EB6">
        <w:t xml:space="preserve">Ausgrid, </w:t>
      </w:r>
      <w:r w:rsidRPr="00DF1D99">
        <w:rPr>
          <w:rStyle w:val="AERtextitalic"/>
        </w:rPr>
        <w:t>Issues paper: Reviewing the Service Target Performance Incentive Scheme and Establishing a new Distribution Reliability Measures Guideline</w:t>
      </w:r>
      <w:r w:rsidRPr="00465EB6">
        <w:t>, 23 February 2017</w:t>
      </w:r>
      <w:r>
        <w:t xml:space="preserve">, p. 9; </w:t>
      </w:r>
      <w:r w:rsidRPr="00465EB6">
        <w:t xml:space="preserve">CitiPower and Powercor, </w:t>
      </w:r>
      <w:r w:rsidRPr="00DF1D99">
        <w:rPr>
          <w:rStyle w:val="AERtextitalic"/>
        </w:rPr>
        <w:t>Issues Paper Reviewing the Service Target Performance Incentive Scheme and Establishing a new Distribution Reliability Measures Guideline</w:t>
      </w:r>
      <w:r w:rsidRPr="00465EB6">
        <w:t xml:space="preserve">, 24 February 2017, p. </w:t>
      </w:r>
      <w:r>
        <w:t xml:space="preserve">10; </w:t>
      </w:r>
      <w:r w:rsidR="00DF1D99">
        <w:t>Essential Energy</w:t>
      </w:r>
      <w:r w:rsidR="00DF1D99" w:rsidRPr="00DF1D99">
        <w:rPr>
          <w:rStyle w:val="AERtextitalic"/>
        </w:rPr>
        <w:t>, S</w:t>
      </w:r>
      <w:r w:rsidRPr="00DF1D99">
        <w:rPr>
          <w:rStyle w:val="AERtextitalic"/>
        </w:rPr>
        <w:t>ubmission on the issues paper for Reviewing the Service Target Performance Incentive Scheme and Establishing New Distribution Reliability Measures Guidelines</w:t>
      </w:r>
      <w:r w:rsidRPr="00F33730">
        <w:t xml:space="preserve">, February 2017, p. </w:t>
      </w:r>
      <w:r>
        <w:t xml:space="preserve">3; </w:t>
      </w:r>
      <w:r w:rsidRPr="00F33730">
        <w:t xml:space="preserve">Endeavour Energy, </w:t>
      </w:r>
      <w:r w:rsidRPr="00DF1D99">
        <w:rPr>
          <w:rStyle w:val="AERtextitalic"/>
        </w:rPr>
        <w:t>AER Issues Paper - Reviewing the Service Target Performance Incentive Scheme and Establishing a new Distribution Reliability Measures Guidelines</w:t>
      </w:r>
      <w:r w:rsidR="00DF1D99">
        <w:rPr>
          <w:rStyle w:val="AERtextitalic"/>
        </w:rPr>
        <w:t>,</w:t>
      </w:r>
      <w:r>
        <w:t xml:space="preserve"> January 2017, p. 3; </w:t>
      </w:r>
      <w:r w:rsidRPr="00F33730">
        <w:t>Energex</w:t>
      </w:r>
      <w:r w:rsidR="00DF1D99">
        <w:t>,</w:t>
      </w:r>
      <w:r w:rsidRPr="00F33730">
        <w:t xml:space="preserve"> </w:t>
      </w:r>
      <w:r w:rsidRPr="00DF1D99">
        <w:rPr>
          <w:rStyle w:val="AERtextitalic"/>
        </w:rPr>
        <w:t>Issues paper: Reviewing the Service Target Performance Incentive Scheme and Establishing a new Distribution Reliability Measures Guideline</w:t>
      </w:r>
      <w:r w:rsidRPr="00F33730">
        <w:t xml:space="preserve">, February 2017, p. </w:t>
      </w:r>
      <w:r>
        <w:t xml:space="preserve">7; </w:t>
      </w:r>
      <w:r w:rsidRPr="00F33730">
        <w:t xml:space="preserve">Ergon Energy, </w:t>
      </w:r>
      <w:r w:rsidRPr="00DF1D99">
        <w:rPr>
          <w:rStyle w:val="AERtextitalic"/>
        </w:rPr>
        <w:t>Reviewing the Service Target Performance Incentive Scheme and Establishing a new Distribution Reliability Measures Guideline</w:t>
      </w:r>
      <w:r>
        <w:t xml:space="preserve">, 24 February 2017, p. 6; </w:t>
      </w:r>
      <w:r w:rsidRPr="00F33730">
        <w:t xml:space="preserve">Jemena Electricity Networks, </w:t>
      </w:r>
      <w:r w:rsidRPr="00DF1D99">
        <w:rPr>
          <w:rStyle w:val="AERtextitalic"/>
        </w:rPr>
        <w:t>Submission on AER Issues Paper Reviewing the Service Target Performance Incentive Scheme and Establishing a new Distribution Reliability Measures Guideline</w:t>
      </w:r>
      <w:r w:rsidRPr="00F33730">
        <w:t xml:space="preserve">, 24 February 2017, p. </w:t>
      </w:r>
      <w:r>
        <w:t xml:space="preserve">8; </w:t>
      </w:r>
      <w:r w:rsidRPr="00F33730">
        <w:t xml:space="preserve">S&amp;C Electric Company, </w:t>
      </w:r>
      <w:r w:rsidRPr="00DF1D99">
        <w:rPr>
          <w:rStyle w:val="AERtextitalic"/>
        </w:rPr>
        <w:t>Submission to the Reviewing the Service Target Performance Incentive Scheme and Establishing a new Distribution Reliability Measures Guidelines</w:t>
      </w:r>
      <w:r w:rsidRPr="00F33730">
        <w:t xml:space="preserve">, 24 February 2017, p. </w:t>
      </w:r>
      <w:r>
        <w:t>6</w:t>
      </w:r>
      <w:r w:rsidRPr="00F33730">
        <w:t>.</w:t>
      </w:r>
    </w:p>
  </w:footnote>
  <w:footnote w:id="20">
    <w:p w:rsidR="00904074" w:rsidRDefault="00904074" w:rsidP="007D737B">
      <w:pPr>
        <w:pStyle w:val="FootnoteText"/>
      </w:pPr>
      <w:r>
        <w:rPr>
          <w:rStyle w:val="FootnoteReference"/>
        </w:rPr>
        <w:footnoteRef/>
      </w:r>
      <w:r>
        <w:t xml:space="preserve"> </w:t>
      </w:r>
      <w:r>
        <w:tab/>
      </w:r>
      <w:r w:rsidRPr="0028121F">
        <w:t xml:space="preserve">AEMC, </w:t>
      </w:r>
      <w:r w:rsidRPr="0028121F">
        <w:rPr>
          <w:rStyle w:val="AERtextitalic"/>
        </w:rPr>
        <w:t>Review of Distribution Reliability Measures, Final Report</w:t>
      </w:r>
      <w:r w:rsidRPr="0028121F">
        <w:t>, 5 September 2014, p.</w:t>
      </w:r>
      <w:r>
        <w:t>35</w:t>
      </w:r>
      <w:r w:rsidRPr="0028121F">
        <w:t>.</w:t>
      </w:r>
    </w:p>
  </w:footnote>
  <w:footnote w:id="21">
    <w:p w:rsidR="00904074" w:rsidRDefault="00904074" w:rsidP="007D737B">
      <w:pPr>
        <w:pStyle w:val="FootnoteText"/>
      </w:pPr>
      <w:r>
        <w:rPr>
          <w:rStyle w:val="FootnoteReference"/>
        </w:rPr>
        <w:footnoteRef/>
      </w:r>
      <w:r>
        <w:t xml:space="preserve"> </w:t>
      </w:r>
      <w:r>
        <w:tab/>
      </w:r>
      <w:r w:rsidRPr="00CC6844">
        <w:t xml:space="preserve">CitiPower and Powercor, </w:t>
      </w:r>
      <w:r w:rsidRPr="00DF1D99">
        <w:rPr>
          <w:rStyle w:val="AERtextitalic"/>
        </w:rPr>
        <w:t>Issues Paper Reviewing the Service Target Performance Incentive Scheme and Establishing a new Distribution Reliability Measures Guideline</w:t>
      </w:r>
      <w:r w:rsidRPr="00CC6844">
        <w:t>, 24 February 2017, p.</w:t>
      </w:r>
      <w:r>
        <w:t>7</w:t>
      </w:r>
      <w:r w:rsidRPr="00CC6844">
        <w:t>.</w:t>
      </w:r>
    </w:p>
  </w:footnote>
  <w:footnote w:id="22">
    <w:p w:rsidR="00904074" w:rsidRDefault="00904074" w:rsidP="00EC5D99">
      <w:pPr>
        <w:pStyle w:val="FootnoteText"/>
      </w:pPr>
      <w:r>
        <w:rPr>
          <w:rStyle w:val="FootnoteReference"/>
        </w:rPr>
        <w:footnoteRef/>
      </w:r>
      <w:r>
        <w:t xml:space="preserve"> </w:t>
      </w:r>
      <w:r>
        <w:tab/>
      </w:r>
      <w:r w:rsidRPr="00A45104">
        <w:t xml:space="preserve">ENA, </w:t>
      </w:r>
      <w:r w:rsidRPr="00DF1D99">
        <w:rPr>
          <w:rStyle w:val="AERtextitalic"/>
        </w:rPr>
        <w:t>Service Target Performance Incentive Scheme and Distribution Reliability Measures Guidelines</w:t>
      </w:r>
      <w:r w:rsidRPr="00A45104">
        <w:t>, 1 March 2017, p. 1</w:t>
      </w:r>
      <w:r>
        <w:t>0.</w:t>
      </w:r>
    </w:p>
  </w:footnote>
  <w:footnote w:id="23">
    <w:p w:rsidR="00904074" w:rsidRDefault="00904074" w:rsidP="007D737B">
      <w:pPr>
        <w:pStyle w:val="FootnoteText"/>
      </w:pPr>
      <w:r>
        <w:rPr>
          <w:rStyle w:val="FootnoteReference"/>
        </w:rPr>
        <w:footnoteRef/>
      </w:r>
      <w:r>
        <w:t xml:space="preserve"> </w:t>
      </w:r>
      <w:r>
        <w:tab/>
      </w:r>
      <w:r w:rsidRPr="00CC6844">
        <w:t>SA PowerNetworks</w:t>
      </w:r>
      <w:r w:rsidRPr="00DF1D99">
        <w:rPr>
          <w:rStyle w:val="AERtextitalic"/>
        </w:rPr>
        <w:t>, Issues Paper – Reviewing the Service Target Performance Incentive Scheme and Establishing a new Distribution Reliability Measures Guideline</w:t>
      </w:r>
      <w:r w:rsidRPr="00CC6844">
        <w:t>, 24 February 2017, p. 1</w:t>
      </w:r>
      <w:r>
        <w:t>0</w:t>
      </w:r>
    </w:p>
  </w:footnote>
  <w:footnote w:id="24">
    <w:p w:rsidR="00904074" w:rsidRDefault="00904074" w:rsidP="007D737B">
      <w:pPr>
        <w:pStyle w:val="FootnoteText"/>
      </w:pPr>
      <w:r>
        <w:rPr>
          <w:rStyle w:val="FootnoteReference"/>
        </w:rPr>
        <w:footnoteRef/>
      </w:r>
      <w:r>
        <w:t xml:space="preserve"> </w:t>
      </w:r>
      <w:r>
        <w:tab/>
      </w:r>
      <w:r w:rsidRPr="00CC6844">
        <w:t xml:space="preserve">Ausgrid, </w:t>
      </w:r>
      <w:r w:rsidRPr="00DF1D99">
        <w:rPr>
          <w:rStyle w:val="AERtextitalic"/>
        </w:rPr>
        <w:t>Issues paper: Reviewing the Service Target Performance Incentive Scheme and Establishing a new Distribution Reliability Measures Guideline</w:t>
      </w:r>
      <w:r w:rsidRPr="00CC6844">
        <w:t xml:space="preserve">, 23 February 2017, p. </w:t>
      </w:r>
      <w:r>
        <w:t>4.</w:t>
      </w:r>
    </w:p>
  </w:footnote>
  <w:footnote w:id="25">
    <w:p w:rsidR="00904074" w:rsidRDefault="00904074" w:rsidP="0028121F">
      <w:pPr>
        <w:pStyle w:val="FootnoteText"/>
      </w:pPr>
      <w:r>
        <w:rPr>
          <w:rStyle w:val="FootnoteReference"/>
        </w:rPr>
        <w:footnoteRef/>
      </w:r>
      <w:r>
        <w:t xml:space="preserve"> </w:t>
      </w:r>
      <w:r>
        <w:tab/>
        <w:t xml:space="preserve">AER, </w:t>
      </w:r>
      <w:r w:rsidRPr="00C267B8">
        <w:rPr>
          <w:rStyle w:val="AERtextitalic"/>
        </w:rPr>
        <w:t>Electricity distribution network service providers Service target performance incentive scheme</w:t>
      </w:r>
      <w:r>
        <w:t>, November 2009, p. 23.</w:t>
      </w:r>
      <w:r>
        <w:tab/>
      </w:r>
    </w:p>
  </w:footnote>
  <w:footnote w:id="26">
    <w:p w:rsidR="00904074" w:rsidRDefault="00904074">
      <w:pPr>
        <w:pStyle w:val="FootnoteText"/>
      </w:pPr>
      <w:r>
        <w:rPr>
          <w:rStyle w:val="FootnoteReference"/>
        </w:rPr>
        <w:footnoteRef/>
      </w:r>
      <w:r>
        <w:t xml:space="preserve"> </w:t>
      </w:r>
      <w:r>
        <w:tab/>
      </w:r>
      <w:r w:rsidRPr="00C267B8">
        <w:t>AEMC</w:t>
      </w:r>
      <w:r w:rsidRPr="00C267B8">
        <w:rPr>
          <w:rStyle w:val="AERtextitalic"/>
        </w:rPr>
        <w:t>, Review of Distribution Reliability Measures, Final Report</w:t>
      </w:r>
      <w:r w:rsidRPr="00C267B8">
        <w:t>, 5 September 2014, p.</w:t>
      </w:r>
      <w:r>
        <w:t>18</w:t>
      </w:r>
      <w:r w:rsidRPr="00C267B8">
        <w:t>.</w:t>
      </w:r>
    </w:p>
  </w:footnote>
  <w:footnote w:id="27">
    <w:p w:rsidR="00904074" w:rsidRDefault="00904074">
      <w:pPr>
        <w:pStyle w:val="FootnoteText"/>
      </w:pPr>
      <w:r>
        <w:rPr>
          <w:rStyle w:val="FootnoteReference"/>
        </w:rPr>
        <w:footnoteRef/>
      </w:r>
      <w:r>
        <w:t xml:space="preserve"> </w:t>
      </w:r>
      <w:r>
        <w:tab/>
      </w:r>
      <w:r w:rsidRPr="001975E8">
        <w:t>Energex</w:t>
      </w:r>
      <w:r w:rsidR="00DF1D99">
        <w:t>,</w:t>
      </w:r>
      <w:r w:rsidRPr="001975E8">
        <w:t xml:space="preserve"> </w:t>
      </w:r>
      <w:r w:rsidRPr="00DF1D99">
        <w:rPr>
          <w:rStyle w:val="AERtextitalic"/>
        </w:rPr>
        <w:t>Issues paper: Reviewing the Service Target Performance Incentive Scheme and Establishing a new Distribution Reliability Measures Guideline</w:t>
      </w:r>
      <w:r w:rsidRPr="001975E8">
        <w:t>, February 2017</w:t>
      </w:r>
      <w:r>
        <w:t xml:space="preserve">, p. 9; </w:t>
      </w:r>
      <w:r w:rsidRPr="001975E8">
        <w:t>Essential Energy</w:t>
      </w:r>
      <w:r w:rsidRPr="00DF1D99">
        <w:rPr>
          <w:rStyle w:val="AERtextitalic"/>
        </w:rPr>
        <w:t>, submission on the issues paper for Reviewing the Service Target Performance Incentive Scheme and Establishing New Distribution Reliability Measures Guidelines</w:t>
      </w:r>
      <w:r w:rsidRPr="001975E8">
        <w:t>, February 2017</w:t>
      </w:r>
      <w:r>
        <w:t xml:space="preserve">, p. 5; </w:t>
      </w:r>
      <w:r w:rsidRPr="001975E8">
        <w:t xml:space="preserve">Ausgrid, </w:t>
      </w:r>
      <w:r w:rsidRPr="00DF1D99">
        <w:rPr>
          <w:rStyle w:val="AERtextitalic"/>
        </w:rPr>
        <w:t>Issues paper: Reviewing the Service Target Performance Incentive Scheme and Establishing a new Distribution Reliability Measures Guideline</w:t>
      </w:r>
      <w:r w:rsidRPr="001975E8">
        <w:t>, 23 February 2017</w:t>
      </w:r>
      <w:r>
        <w:t xml:space="preserve">, p. 7; </w:t>
      </w:r>
      <w:r w:rsidRPr="001975E8">
        <w:t xml:space="preserve">ENA, </w:t>
      </w:r>
      <w:r w:rsidRPr="00DF1D99">
        <w:rPr>
          <w:rStyle w:val="AERtextitalic"/>
        </w:rPr>
        <w:t>Service Target Performance Incentive Scheme and Distribution Reliability Measures Guidelines</w:t>
      </w:r>
      <w:r w:rsidRPr="001975E8">
        <w:t>, 1 March 2017</w:t>
      </w:r>
      <w:r>
        <w:t xml:space="preserve">, p. 13; </w:t>
      </w:r>
      <w:r w:rsidRPr="001975E8">
        <w:t xml:space="preserve">Ergon Energy, </w:t>
      </w:r>
      <w:r w:rsidRPr="00DF1D99">
        <w:rPr>
          <w:rStyle w:val="AERtextitalic"/>
        </w:rPr>
        <w:t>Reviewing the Service Target Performance Incentive Scheme and Establishing a new Distribution Reliability Measures Guideline</w:t>
      </w:r>
      <w:r w:rsidRPr="001975E8">
        <w:t>, 24 February 2017</w:t>
      </w:r>
      <w:r>
        <w:t xml:space="preserve">, p. 9; </w:t>
      </w:r>
      <w:r w:rsidRPr="001975E8">
        <w:t xml:space="preserve">Jemena Electricity Networks, </w:t>
      </w:r>
      <w:r w:rsidRPr="00DF1D99">
        <w:rPr>
          <w:rStyle w:val="AERtextitalic"/>
        </w:rPr>
        <w:t>Submission on AER Issues Paper Reviewing the Service Target Performance Incentive Scheme and Establishing a new Distribution Reliability Measures Guideline</w:t>
      </w:r>
      <w:r w:rsidRPr="001975E8">
        <w:t>, 24 February 2017</w:t>
      </w:r>
      <w:r>
        <w:t xml:space="preserve">, p. 2; </w:t>
      </w:r>
      <w:r w:rsidRPr="001975E8">
        <w:t xml:space="preserve">SA PowerNetworks, </w:t>
      </w:r>
      <w:r w:rsidRPr="00DF1D99">
        <w:rPr>
          <w:rStyle w:val="AERtextitalic"/>
        </w:rPr>
        <w:t>Issues Paper – Reviewing the Service Target Performance Incentive Scheme and Establishing a new Distribution Reliability Measures Guideline</w:t>
      </w:r>
      <w:r w:rsidRPr="001975E8">
        <w:t>, 24 February 2017, p. 1</w:t>
      </w:r>
      <w:r>
        <w:t xml:space="preserve">2; CitiPower and Powercor, </w:t>
      </w:r>
      <w:r w:rsidRPr="00DF1D99">
        <w:rPr>
          <w:rStyle w:val="AERtextitalic"/>
        </w:rPr>
        <w:t>Issues Paper Reviewing the Service Target Performance Incentive Scheme and Establishing a new Distribution Reliability Measures Guideline</w:t>
      </w:r>
      <w:r>
        <w:t>, 24 February 2017, p. 8.</w:t>
      </w:r>
    </w:p>
  </w:footnote>
  <w:footnote w:id="28">
    <w:p w:rsidR="00904074" w:rsidRDefault="00904074">
      <w:pPr>
        <w:pStyle w:val="FootnoteText"/>
      </w:pPr>
      <w:r>
        <w:rPr>
          <w:rStyle w:val="FootnoteReference"/>
        </w:rPr>
        <w:footnoteRef/>
      </w:r>
      <w:r>
        <w:t xml:space="preserve"> </w:t>
      </w:r>
      <w:r>
        <w:tab/>
      </w:r>
      <w:r w:rsidRPr="001975E8">
        <w:t xml:space="preserve">Endeavour Energy, </w:t>
      </w:r>
      <w:r w:rsidRPr="00DF1D99">
        <w:rPr>
          <w:rStyle w:val="AERtextitalic"/>
        </w:rPr>
        <w:t>AER Issues Paper - Reviewing the Service Target Performance Incentive Scheme and Establishing a new Distribution Reliability Measures Guidelines</w:t>
      </w:r>
      <w:r w:rsidR="00DF1D99">
        <w:rPr>
          <w:rStyle w:val="AERtextitalic"/>
        </w:rPr>
        <w:t>,</w:t>
      </w:r>
      <w:r w:rsidRPr="001975E8">
        <w:t xml:space="preserve"> January 2017, p. 2.</w:t>
      </w:r>
    </w:p>
  </w:footnote>
  <w:footnote w:id="29">
    <w:p w:rsidR="00904074" w:rsidRDefault="00904074" w:rsidP="003D3565">
      <w:pPr>
        <w:pStyle w:val="FootnoteText"/>
      </w:pPr>
      <w:r>
        <w:rPr>
          <w:rStyle w:val="FootnoteReference"/>
        </w:rPr>
        <w:footnoteRef/>
      </w:r>
      <w:r>
        <w:t xml:space="preserve"> </w:t>
      </w:r>
      <w:r>
        <w:tab/>
      </w:r>
      <w:r w:rsidRPr="003D3565">
        <w:t>Central NSW Councils</w:t>
      </w:r>
      <w:r>
        <w:t xml:space="preserve"> submission, 10 March 2017; </w:t>
      </w:r>
      <w:r w:rsidRPr="003D3565">
        <w:t>SSROC</w:t>
      </w:r>
      <w:r>
        <w:t>,</w:t>
      </w:r>
      <w:r w:rsidRPr="003D3565">
        <w:t xml:space="preserve"> </w:t>
      </w:r>
      <w:r w:rsidRPr="00DF1D99">
        <w:rPr>
          <w:rStyle w:val="AERtextitalic"/>
        </w:rPr>
        <w:t>Submission on Service Target Performance Incentive Scheme (STPIS) Review &amp; Distribution Reliability Measures Guidelines</w:t>
      </w:r>
      <w:r>
        <w:t xml:space="preserve">, 23 February 2017; </w:t>
      </w:r>
      <w:r w:rsidRPr="003D3565">
        <w:t>Western Sydney Regional Organisation of Councils</w:t>
      </w:r>
      <w:r w:rsidRPr="00B3579C">
        <w:rPr>
          <w:rStyle w:val="AERtextitalic"/>
        </w:rPr>
        <w:t>, email to AER Submission on Service Target Performance Incentive Scheme (STPIS) Review &amp; Distribution Reliability Measures Guidelines</w:t>
      </w:r>
      <w:r>
        <w:t xml:space="preserve">, 10 March 2017; Local Government NSW, </w:t>
      </w:r>
      <w:r w:rsidRPr="00B3579C">
        <w:rPr>
          <w:rStyle w:val="AERtextitalic"/>
        </w:rPr>
        <w:t>AER review of Service Target Performance Incentive Scheme</w:t>
      </w:r>
      <w:r>
        <w:t>, 22 March 2017.</w:t>
      </w:r>
    </w:p>
  </w:footnote>
  <w:footnote w:id="30">
    <w:p w:rsidR="00904074" w:rsidRDefault="00904074">
      <w:pPr>
        <w:pStyle w:val="FootnoteText"/>
      </w:pPr>
      <w:r>
        <w:rPr>
          <w:rStyle w:val="FootnoteReference"/>
        </w:rPr>
        <w:footnoteRef/>
      </w:r>
      <w:r>
        <w:t xml:space="preserve"> </w:t>
      </w:r>
      <w:r>
        <w:tab/>
        <w:t xml:space="preserve">AER, </w:t>
      </w:r>
      <w:r w:rsidRPr="00F7168B">
        <w:rPr>
          <w:rStyle w:val="AERtextitalic"/>
        </w:rPr>
        <w:t>Issues paper Reviewing the Service Target Performance Incentive Scheme and Establishing a new Distribution Reliability Measures Guidelines</w:t>
      </w:r>
      <w:r>
        <w:t>, January 2017, p.29.</w:t>
      </w:r>
    </w:p>
  </w:footnote>
  <w:footnote w:id="31">
    <w:p w:rsidR="00904074" w:rsidRDefault="00904074">
      <w:pPr>
        <w:pStyle w:val="FootnoteText"/>
      </w:pPr>
      <w:r>
        <w:rPr>
          <w:rStyle w:val="FootnoteReference"/>
        </w:rPr>
        <w:footnoteRef/>
      </w:r>
      <w:r>
        <w:t xml:space="preserve"> </w:t>
      </w:r>
      <w:r>
        <w:tab/>
      </w:r>
      <w:r w:rsidR="00B3579C" w:rsidRPr="00B3579C">
        <w:t xml:space="preserve">AER, </w:t>
      </w:r>
      <w:r w:rsidR="00B3579C" w:rsidRPr="00B3579C">
        <w:rPr>
          <w:rStyle w:val="AERtextitalic"/>
        </w:rPr>
        <w:t>Issues paper Reviewing the Service Target Performance Incentive Scheme and Establishing a new Distribution Reliability Measures Guidelines</w:t>
      </w:r>
      <w:r w:rsidR="00B3579C" w:rsidRPr="00B3579C">
        <w:t>, January 2017, p.</w:t>
      </w:r>
      <w:r w:rsidR="00B3579C">
        <w:t xml:space="preserve"> </w:t>
      </w:r>
      <w:r>
        <w:t>30</w:t>
      </w:r>
      <w:r w:rsidR="00B3579C">
        <w:t>.</w:t>
      </w:r>
    </w:p>
  </w:footnote>
  <w:footnote w:id="32">
    <w:p w:rsidR="00904074" w:rsidRDefault="00904074" w:rsidP="00593CA8">
      <w:pPr>
        <w:pStyle w:val="FootnoteText"/>
      </w:pPr>
      <w:r>
        <w:rPr>
          <w:rStyle w:val="FootnoteReference"/>
        </w:rPr>
        <w:footnoteRef/>
      </w:r>
      <w:r>
        <w:t xml:space="preserve"> </w:t>
      </w:r>
      <w:r>
        <w:tab/>
        <w:t xml:space="preserve">A single phase outage on a typical three phase system will result in low-voltage being supplied across two of the three low voltage phases. </w:t>
      </w:r>
    </w:p>
  </w:footnote>
  <w:footnote w:id="33">
    <w:p w:rsidR="00904074" w:rsidRDefault="00904074">
      <w:pPr>
        <w:pStyle w:val="FootnoteText"/>
      </w:pPr>
      <w:r>
        <w:rPr>
          <w:rStyle w:val="FootnoteReference"/>
        </w:rPr>
        <w:footnoteRef/>
      </w:r>
      <w:r>
        <w:t xml:space="preserve"> </w:t>
      </w:r>
      <w:r>
        <w:tab/>
      </w:r>
      <w:r w:rsidRPr="000A592A">
        <w:t xml:space="preserve">Endeavour Energy, </w:t>
      </w:r>
      <w:r w:rsidRPr="00B3579C">
        <w:rPr>
          <w:rStyle w:val="AERtextitalic"/>
        </w:rPr>
        <w:t>AER Issues Paper - Reviewing the Service Target Performance Incentive Scheme and Establishing a new Distribution Reliability Measures Guidelines</w:t>
      </w:r>
      <w:r w:rsidR="00B3579C">
        <w:rPr>
          <w:rStyle w:val="AERtextitalic"/>
        </w:rPr>
        <w:t>,</w:t>
      </w:r>
      <w:r w:rsidRPr="000A592A">
        <w:t xml:space="preserve"> January 2017, p. 4.</w:t>
      </w:r>
    </w:p>
  </w:footnote>
  <w:footnote w:id="34">
    <w:p w:rsidR="00904074" w:rsidRDefault="00904074" w:rsidP="000A592A">
      <w:pPr>
        <w:pStyle w:val="FootnoteText"/>
      </w:pPr>
      <w:r>
        <w:rPr>
          <w:rStyle w:val="FootnoteReference"/>
        </w:rPr>
        <w:footnoteRef/>
      </w:r>
      <w:r>
        <w:t xml:space="preserve"> </w:t>
      </w:r>
      <w:r>
        <w:tab/>
        <w:t>Types 5 and 6 meters under chapter 7 of the NER.</w:t>
      </w:r>
    </w:p>
  </w:footnote>
  <w:footnote w:id="35">
    <w:p w:rsidR="00904074" w:rsidRDefault="00904074" w:rsidP="0057714E">
      <w:pPr>
        <w:pStyle w:val="FootnoteText"/>
      </w:pPr>
      <w:r>
        <w:rPr>
          <w:rStyle w:val="FootnoteReference"/>
        </w:rPr>
        <w:footnoteRef/>
      </w:r>
      <w:r>
        <w:t xml:space="preserve"> </w:t>
      </w:r>
      <w:r>
        <w:tab/>
        <w:t>AEMC</w:t>
      </w:r>
      <w:r w:rsidRPr="0028121F">
        <w:t xml:space="preserve">, </w:t>
      </w:r>
      <w:r w:rsidRPr="0028121F">
        <w:rPr>
          <w:rStyle w:val="AERtextitalic"/>
        </w:rPr>
        <w:t>Review of Distribution Reliability Measures, Final Report</w:t>
      </w:r>
      <w:r w:rsidRPr="0028121F">
        <w:t>, 5 September 2014</w:t>
      </w:r>
      <w:r>
        <w:t>, p.42.</w:t>
      </w:r>
    </w:p>
  </w:footnote>
  <w:footnote w:id="36">
    <w:p w:rsidR="00904074" w:rsidRDefault="00904074" w:rsidP="0057714E">
      <w:pPr>
        <w:pStyle w:val="FootnoteText"/>
      </w:pPr>
      <w:r>
        <w:rPr>
          <w:rStyle w:val="FootnoteReference"/>
        </w:rPr>
        <w:footnoteRef/>
      </w:r>
      <w:r>
        <w:t xml:space="preserve"> </w:t>
      </w:r>
      <w:r>
        <w:tab/>
      </w:r>
      <w:r w:rsidRPr="0028121F">
        <w:t xml:space="preserve">AEMC, </w:t>
      </w:r>
      <w:r w:rsidRPr="0028121F">
        <w:rPr>
          <w:rStyle w:val="AERtextitalic"/>
        </w:rPr>
        <w:t>Review of Distribution Reliability Measures, Final Report</w:t>
      </w:r>
      <w:r w:rsidRPr="0028121F">
        <w:t>, 5 September 2014, p.42.</w:t>
      </w:r>
    </w:p>
  </w:footnote>
  <w:footnote w:id="37">
    <w:p w:rsidR="00904074" w:rsidRDefault="00904074" w:rsidP="00477EA5">
      <w:pPr>
        <w:pStyle w:val="FootnoteText"/>
      </w:pPr>
      <w:r>
        <w:rPr>
          <w:rStyle w:val="FootnoteReference"/>
        </w:rPr>
        <w:footnoteRef/>
      </w:r>
      <w:r>
        <w:t xml:space="preserve"> </w:t>
      </w:r>
      <w:r>
        <w:tab/>
      </w:r>
      <w:r w:rsidRPr="006B1BC8">
        <w:t xml:space="preserve">ENA, </w:t>
      </w:r>
      <w:r w:rsidRPr="00B3579C">
        <w:rPr>
          <w:rStyle w:val="AERtextitalic"/>
        </w:rPr>
        <w:t>Service Target Performance Incentive Scheme and Distribution Reliability Measures Guidelines</w:t>
      </w:r>
      <w:r w:rsidRPr="006B1BC8">
        <w:t>, 1 March 2017</w:t>
      </w:r>
      <w:r>
        <w:t xml:space="preserve">, pp. 11–12; </w:t>
      </w:r>
      <w:r w:rsidRPr="006B1BC8">
        <w:t xml:space="preserve">Essential Energy, </w:t>
      </w:r>
      <w:r w:rsidRPr="00B3579C">
        <w:rPr>
          <w:rStyle w:val="AERtextitalic"/>
        </w:rPr>
        <w:t>submission on the issues paper for Reviewing the Service Target Performance Incentive Scheme and Establishing New Distribution Reliability Measures Guidelines</w:t>
      </w:r>
      <w:r w:rsidRPr="006B1BC8">
        <w:t>, February 2017, p.</w:t>
      </w:r>
      <w:r>
        <w:t xml:space="preserve"> 4–5</w:t>
      </w:r>
      <w:r w:rsidRPr="006B1BC8">
        <w:t>; Ausgrid</w:t>
      </w:r>
      <w:r w:rsidRPr="00B3579C">
        <w:rPr>
          <w:rStyle w:val="AERtextitalic"/>
        </w:rPr>
        <w:t>, Issues paper: Reviewing the Service Target Performance Incentive Scheme and Establishing a new Distribution Reliability Measures Guideline</w:t>
      </w:r>
      <w:r w:rsidRPr="006B1BC8">
        <w:t xml:space="preserve">, 23 February 2017, p. </w:t>
      </w:r>
      <w:r>
        <w:t>6</w:t>
      </w:r>
      <w:r w:rsidRPr="006B1BC8">
        <w:t xml:space="preserve">; SA PowerNetworks, </w:t>
      </w:r>
      <w:r w:rsidRPr="00B3579C">
        <w:rPr>
          <w:rStyle w:val="AERtextitalic"/>
        </w:rPr>
        <w:t>Issues Paper – Reviewing the Service Target Performance Incentive Scheme and Establishing a new Distribution Reliability Measures Guideline</w:t>
      </w:r>
      <w:r w:rsidRPr="006B1BC8">
        <w:t xml:space="preserve">, 24 February 2017, p. </w:t>
      </w:r>
      <w:r>
        <w:t>11</w:t>
      </w:r>
      <w:r w:rsidRPr="006B1BC8">
        <w:t>.</w:t>
      </w:r>
    </w:p>
  </w:footnote>
  <w:footnote w:id="38">
    <w:p w:rsidR="00904074" w:rsidRDefault="00904074" w:rsidP="0057714E">
      <w:pPr>
        <w:pStyle w:val="FootnoteText"/>
      </w:pPr>
      <w:r>
        <w:rPr>
          <w:rStyle w:val="FootnoteReference"/>
        </w:rPr>
        <w:footnoteRef/>
      </w:r>
      <w:r>
        <w:t xml:space="preserve"> </w:t>
      </w:r>
      <w:r>
        <w:tab/>
      </w:r>
      <w:r w:rsidRPr="009C4E65">
        <w:t>Ausgrid</w:t>
      </w:r>
      <w:r w:rsidRPr="00B3579C">
        <w:rPr>
          <w:rStyle w:val="AERtextitalic"/>
        </w:rPr>
        <w:t>, Issues paper: Reviewing the Service Target Performance Incentive Scheme and Establishing a new Distribution Reliability Measures Guideline</w:t>
      </w:r>
      <w:r w:rsidRPr="009C4E65">
        <w:t>, 23 February 2017, p.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074" w:rsidRDefault="00913964">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904074">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074" w:rsidRDefault="00913964">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9ED0ADE"/>
    <w:multiLevelType w:val="hybridMultilevel"/>
    <w:tmpl w:val="1C9C1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CBD5AD1"/>
    <w:multiLevelType w:val="hybridMultilevel"/>
    <w:tmpl w:val="AE56A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DDF4573"/>
    <w:multiLevelType w:val="hybridMultilevel"/>
    <w:tmpl w:val="1436C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FA852DE"/>
    <w:multiLevelType w:val="hybridMultilevel"/>
    <w:tmpl w:val="A882F1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B0D4D56"/>
    <w:multiLevelType w:val="hybridMultilevel"/>
    <w:tmpl w:val="42761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4">
    <w:nsid w:val="3D2B5DD4"/>
    <w:multiLevelType w:val="hybridMultilevel"/>
    <w:tmpl w:val="B29A4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8">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5ECE4384"/>
    <w:multiLevelType w:val="multilevel"/>
    <w:tmpl w:val="97681AA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2">
    <w:nsid w:val="67AF7308"/>
    <w:multiLevelType w:val="hybridMultilevel"/>
    <w:tmpl w:val="AC84D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9193208"/>
    <w:multiLevelType w:val="hybridMultilevel"/>
    <w:tmpl w:val="54E67E2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6">
    <w:nsid w:val="7AEF67FF"/>
    <w:multiLevelType w:val="multilevel"/>
    <w:tmpl w:val="AACE20AA"/>
    <w:lvl w:ilvl="0">
      <w:start w:val="1"/>
      <w:numFmt w:val="bullet"/>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2"/>
  </w:num>
  <w:num w:numId="14">
    <w:abstractNumId w:val="12"/>
  </w:num>
  <w:num w:numId="15">
    <w:abstractNumId w:val="16"/>
  </w:num>
  <w:num w:numId="16">
    <w:abstractNumId w:val="25"/>
  </w:num>
  <w:num w:numId="17">
    <w:abstractNumId w:val="10"/>
  </w:num>
  <w:num w:numId="18">
    <w:abstractNumId w:val="18"/>
  </w:num>
  <w:num w:numId="19">
    <w:abstractNumId w:val="26"/>
  </w:num>
  <w:num w:numId="20">
    <w:abstractNumId w:val="34"/>
  </w:num>
  <w:num w:numId="21">
    <w:abstractNumId w:val="29"/>
  </w:num>
  <w:num w:numId="22">
    <w:abstractNumId w:val="27"/>
  </w:num>
  <w:num w:numId="23">
    <w:abstractNumId w:val="20"/>
  </w:num>
  <w:num w:numId="24">
    <w:abstractNumId w:val="28"/>
  </w:num>
  <w:num w:numId="25">
    <w:abstractNumId w:val="30"/>
  </w:num>
  <w:num w:numId="26">
    <w:abstractNumId w:val="21"/>
  </w:num>
  <w:num w:numId="27">
    <w:abstractNumId w:val="17"/>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3"/>
  </w:num>
  <w:num w:numId="35">
    <w:abstractNumId w:val="32"/>
  </w:num>
  <w:num w:numId="36">
    <w:abstractNumId w:val="11"/>
  </w:num>
  <w:num w:numId="37">
    <w:abstractNumId w:val="9"/>
  </w:num>
  <w:num w:numId="38">
    <w:abstractNumId w:val="35"/>
  </w:num>
  <w:num w:numId="39">
    <w:abstractNumId w:val="14"/>
  </w:num>
  <w:num w:numId="40">
    <w:abstractNumId w:val="19"/>
  </w:num>
  <w:num w:numId="41">
    <w:abstractNumId w:val="36"/>
  </w:num>
  <w:num w:numId="42">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lETK+Ob5P/sakdGaZ4P2c4ZOvP+0SMvYKUp5588rzW8=" w:saltValue="Ntk9G+FMoRan80gGLzxh7A=="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s://www.aer.gov.au/system/files/Explanatory statement to draft distribution reliability measures guidelines.DOCX"/>
  </w:docVars>
  <w:rsids>
    <w:rsidRoot w:val="00961A4A"/>
    <w:rsid w:val="0000053D"/>
    <w:rsid w:val="00001273"/>
    <w:rsid w:val="00004633"/>
    <w:rsid w:val="00010286"/>
    <w:rsid w:val="0001187C"/>
    <w:rsid w:val="00012EBE"/>
    <w:rsid w:val="00014861"/>
    <w:rsid w:val="00016E90"/>
    <w:rsid w:val="0001749A"/>
    <w:rsid w:val="00021202"/>
    <w:rsid w:val="00021C2B"/>
    <w:rsid w:val="0002517F"/>
    <w:rsid w:val="00025430"/>
    <w:rsid w:val="00025A83"/>
    <w:rsid w:val="00026495"/>
    <w:rsid w:val="00031716"/>
    <w:rsid w:val="00032B1A"/>
    <w:rsid w:val="0003578C"/>
    <w:rsid w:val="00035AB1"/>
    <w:rsid w:val="000401AF"/>
    <w:rsid w:val="00041DDA"/>
    <w:rsid w:val="00045AC1"/>
    <w:rsid w:val="0005219D"/>
    <w:rsid w:val="00063247"/>
    <w:rsid w:val="00063A92"/>
    <w:rsid w:val="000650CF"/>
    <w:rsid w:val="00065E6F"/>
    <w:rsid w:val="0006654A"/>
    <w:rsid w:val="00070F9F"/>
    <w:rsid w:val="0007137B"/>
    <w:rsid w:val="00071545"/>
    <w:rsid w:val="00077397"/>
    <w:rsid w:val="000774D7"/>
    <w:rsid w:val="00080EE8"/>
    <w:rsid w:val="000827F1"/>
    <w:rsid w:val="000833E5"/>
    <w:rsid w:val="00085663"/>
    <w:rsid w:val="00085906"/>
    <w:rsid w:val="00085EBF"/>
    <w:rsid w:val="00085F93"/>
    <w:rsid w:val="0008639C"/>
    <w:rsid w:val="000906A3"/>
    <w:rsid w:val="00091B15"/>
    <w:rsid w:val="00092E53"/>
    <w:rsid w:val="000A1E7C"/>
    <w:rsid w:val="000A22BD"/>
    <w:rsid w:val="000A3020"/>
    <w:rsid w:val="000A3520"/>
    <w:rsid w:val="000A592A"/>
    <w:rsid w:val="000A6165"/>
    <w:rsid w:val="000A6319"/>
    <w:rsid w:val="000A6C7B"/>
    <w:rsid w:val="000A6FE8"/>
    <w:rsid w:val="000A7103"/>
    <w:rsid w:val="000B0360"/>
    <w:rsid w:val="000B15BF"/>
    <w:rsid w:val="000B492D"/>
    <w:rsid w:val="000B642A"/>
    <w:rsid w:val="000B6614"/>
    <w:rsid w:val="000B79FF"/>
    <w:rsid w:val="000C18EC"/>
    <w:rsid w:val="000C1C49"/>
    <w:rsid w:val="000C2B40"/>
    <w:rsid w:val="000C4C77"/>
    <w:rsid w:val="000D01F4"/>
    <w:rsid w:val="000D06C1"/>
    <w:rsid w:val="000D122C"/>
    <w:rsid w:val="000D3016"/>
    <w:rsid w:val="000D3203"/>
    <w:rsid w:val="000D64F2"/>
    <w:rsid w:val="000D7EBB"/>
    <w:rsid w:val="000D7F32"/>
    <w:rsid w:val="000E06A7"/>
    <w:rsid w:val="000E1819"/>
    <w:rsid w:val="000E23CD"/>
    <w:rsid w:val="000E4274"/>
    <w:rsid w:val="000E4821"/>
    <w:rsid w:val="000E6C72"/>
    <w:rsid w:val="000E7ED0"/>
    <w:rsid w:val="000F0B2B"/>
    <w:rsid w:val="000F2FA7"/>
    <w:rsid w:val="000F366A"/>
    <w:rsid w:val="000F3E72"/>
    <w:rsid w:val="000F48B1"/>
    <w:rsid w:val="000F6BCE"/>
    <w:rsid w:val="000F723D"/>
    <w:rsid w:val="000F7CB9"/>
    <w:rsid w:val="00102DEC"/>
    <w:rsid w:val="00103A67"/>
    <w:rsid w:val="00103A6F"/>
    <w:rsid w:val="001056C1"/>
    <w:rsid w:val="00105E19"/>
    <w:rsid w:val="001105B4"/>
    <w:rsid w:val="00110872"/>
    <w:rsid w:val="00112FF6"/>
    <w:rsid w:val="001169C8"/>
    <w:rsid w:val="00116EB2"/>
    <w:rsid w:val="00117927"/>
    <w:rsid w:val="0012185D"/>
    <w:rsid w:val="00122031"/>
    <w:rsid w:val="00122B85"/>
    <w:rsid w:val="00124609"/>
    <w:rsid w:val="00126A4C"/>
    <w:rsid w:val="00127273"/>
    <w:rsid w:val="00132C48"/>
    <w:rsid w:val="00132DFA"/>
    <w:rsid w:val="00142AB6"/>
    <w:rsid w:val="001432DD"/>
    <w:rsid w:val="0014573B"/>
    <w:rsid w:val="00147E70"/>
    <w:rsid w:val="00155A4E"/>
    <w:rsid w:val="00155D13"/>
    <w:rsid w:val="00156DCC"/>
    <w:rsid w:val="001573E4"/>
    <w:rsid w:val="00157A02"/>
    <w:rsid w:val="00160756"/>
    <w:rsid w:val="00161423"/>
    <w:rsid w:val="00161690"/>
    <w:rsid w:val="00172235"/>
    <w:rsid w:val="0017232E"/>
    <w:rsid w:val="00172648"/>
    <w:rsid w:val="00174102"/>
    <w:rsid w:val="0017480F"/>
    <w:rsid w:val="001754EE"/>
    <w:rsid w:val="00180157"/>
    <w:rsid w:val="00182467"/>
    <w:rsid w:val="00182B2B"/>
    <w:rsid w:val="00183423"/>
    <w:rsid w:val="001850E3"/>
    <w:rsid w:val="00185A92"/>
    <w:rsid w:val="00185CB9"/>
    <w:rsid w:val="00186483"/>
    <w:rsid w:val="00186F77"/>
    <w:rsid w:val="00187DC4"/>
    <w:rsid w:val="00191A4F"/>
    <w:rsid w:val="001926A4"/>
    <w:rsid w:val="00192AD5"/>
    <w:rsid w:val="00196820"/>
    <w:rsid w:val="001975E8"/>
    <w:rsid w:val="001A0ADE"/>
    <w:rsid w:val="001A337B"/>
    <w:rsid w:val="001A584F"/>
    <w:rsid w:val="001B24B8"/>
    <w:rsid w:val="001B3F62"/>
    <w:rsid w:val="001B45A0"/>
    <w:rsid w:val="001B45C0"/>
    <w:rsid w:val="001B5E49"/>
    <w:rsid w:val="001B60E3"/>
    <w:rsid w:val="001B6F2E"/>
    <w:rsid w:val="001B7D00"/>
    <w:rsid w:val="001B7D63"/>
    <w:rsid w:val="001C17E7"/>
    <w:rsid w:val="001C3A63"/>
    <w:rsid w:val="001C7706"/>
    <w:rsid w:val="001D0232"/>
    <w:rsid w:val="001D055E"/>
    <w:rsid w:val="001D0E90"/>
    <w:rsid w:val="001D1066"/>
    <w:rsid w:val="001D3B8A"/>
    <w:rsid w:val="001D735E"/>
    <w:rsid w:val="001E009C"/>
    <w:rsid w:val="001E5FE2"/>
    <w:rsid w:val="001F05A4"/>
    <w:rsid w:val="001F2DE8"/>
    <w:rsid w:val="001F2E11"/>
    <w:rsid w:val="001F4583"/>
    <w:rsid w:val="001F492E"/>
    <w:rsid w:val="001F6DA3"/>
    <w:rsid w:val="002010BC"/>
    <w:rsid w:val="002016E7"/>
    <w:rsid w:val="00201F98"/>
    <w:rsid w:val="00202E03"/>
    <w:rsid w:val="00203CE8"/>
    <w:rsid w:val="0020478D"/>
    <w:rsid w:val="0020492C"/>
    <w:rsid w:val="00205A33"/>
    <w:rsid w:val="002146AD"/>
    <w:rsid w:val="002148EC"/>
    <w:rsid w:val="0021715C"/>
    <w:rsid w:val="00223AAD"/>
    <w:rsid w:val="0022444D"/>
    <w:rsid w:val="00224DB9"/>
    <w:rsid w:val="002279EF"/>
    <w:rsid w:val="00227DCE"/>
    <w:rsid w:val="0023276C"/>
    <w:rsid w:val="00233775"/>
    <w:rsid w:val="00250DC2"/>
    <w:rsid w:val="00251745"/>
    <w:rsid w:val="00251E5F"/>
    <w:rsid w:val="00252F33"/>
    <w:rsid w:val="00256C0E"/>
    <w:rsid w:val="0026099B"/>
    <w:rsid w:val="00262129"/>
    <w:rsid w:val="00263AC0"/>
    <w:rsid w:val="00264264"/>
    <w:rsid w:val="0026772D"/>
    <w:rsid w:val="00277554"/>
    <w:rsid w:val="00277C0F"/>
    <w:rsid w:val="0028121F"/>
    <w:rsid w:val="00281B89"/>
    <w:rsid w:val="00286874"/>
    <w:rsid w:val="00290C63"/>
    <w:rsid w:val="00295B7B"/>
    <w:rsid w:val="00296B65"/>
    <w:rsid w:val="0029724D"/>
    <w:rsid w:val="00297C20"/>
    <w:rsid w:val="002A13A2"/>
    <w:rsid w:val="002A6688"/>
    <w:rsid w:val="002A7DEF"/>
    <w:rsid w:val="002B017C"/>
    <w:rsid w:val="002B1003"/>
    <w:rsid w:val="002B10BF"/>
    <w:rsid w:val="002B47F5"/>
    <w:rsid w:val="002B573C"/>
    <w:rsid w:val="002B6599"/>
    <w:rsid w:val="002B7E04"/>
    <w:rsid w:val="002C0F63"/>
    <w:rsid w:val="002C233C"/>
    <w:rsid w:val="002D2243"/>
    <w:rsid w:val="002D72E8"/>
    <w:rsid w:val="002E106F"/>
    <w:rsid w:val="002E2847"/>
    <w:rsid w:val="002E6B07"/>
    <w:rsid w:val="002E7B22"/>
    <w:rsid w:val="002F1DCD"/>
    <w:rsid w:val="002F7222"/>
    <w:rsid w:val="002F7986"/>
    <w:rsid w:val="00301B40"/>
    <w:rsid w:val="00301F1F"/>
    <w:rsid w:val="003029A5"/>
    <w:rsid w:val="003029EE"/>
    <w:rsid w:val="00302CDC"/>
    <w:rsid w:val="0030370B"/>
    <w:rsid w:val="00305CC8"/>
    <w:rsid w:val="00307F6D"/>
    <w:rsid w:val="00311FD9"/>
    <w:rsid w:val="00312460"/>
    <w:rsid w:val="003130C9"/>
    <w:rsid w:val="00315073"/>
    <w:rsid w:val="003177A2"/>
    <w:rsid w:val="00320869"/>
    <w:rsid w:val="00326B1D"/>
    <w:rsid w:val="003271B5"/>
    <w:rsid w:val="00327532"/>
    <w:rsid w:val="00327A1E"/>
    <w:rsid w:val="00330609"/>
    <w:rsid w:val="00331264"/>
    <w:rsid w:val="00331B75"/>
    <w:rsid w:val="003338A2"/>
    <w:rsid w:val="00333D7A"/>
    <w:rsid w:val="00333E00"/>
    <w:rsid w:val="00334C8D"/>
    <w:rsid w:val="0033548E"/>
    <w:rsid w:val="00335EC4"/>
    <w:rsid w:val="00343A18"/>
    <w:rsid w:val="00344473"/>
    <w:rsid w:val="00344D08"/>
    <w:rsid w:val="003455B6"/>
    <w:rsid w:val="003457F9"/>
    <w:rsid w:val="00346308"/>
    <w:rsid w:val="00347114"/>
    <w:rsid w:val="0034779C"/>
    <w:rsid w:val="003518B3"/>
    <w:rsid w:val="003578CD"/>
    <w:rsid w:val="00357DAD"/>
    <w:rsid w:val="0036371D"/>
    <w:rsid w:val="00364D50"/>
    <w:rsid w:val="003666F2"/>
    <w:rsid w:val="003704BF"/>
    <w:rsid w:val="003705DD"/>
    <w:rsid w:val="003717D8"/>
    <w:rsid w:val="003846F1"/>
    <w:rsid w:val="003865FD"/>
    <w:rsid w:val="003903D4"/>
    <w:rsid w:val="00390D17"/>
    <w:rsid w:val="00391B03"/>
    <w:rsid w:val="00391BF0"/>
    <w:rsid w:val="003931A7"/>
    <w:rsid w:val="00393646"/>
    <w:rsid w:val="003A016B"/>
    <w:rsid w:val="003A021A"/>
    <w:rsid w:val="003A7761"/>
    <w:rsid w:val="003B30BA"/>
    <w:rsid w:val="003B484F"/>
    <w:rsid w:val="003B7FBA"/>
    <w:rsid w:val="003C16BC"/>
    <w:rsid w:val="003C2F9B"/>
    <w:rsid w:val="003C46EA"/>
    <w:rsid w:val="003D3565"/>
    <w:rsid w:val="003D636E"/>
    <w:rsid w:val="003E5644"/>
    <w:rsid w:val="003F174D"/>
    <w:rsid w:val="003F2BE7"/>
    <w:rsid w:val="003F572D"/>
    <w:rsid w:val="003F69A4"/>
    <w:rsid w:val="003F7442"/>
    <w:rsid w:val="003F78E7"/>
    <w:rsid w:val="0040454D"/>
    <w:rsid w:val="004056BC"/>
    <w:rsid w:val="00413B18"/>
    <w:rsid w:val="00415B74"/>
    <w:rsid w:val="00415F31"/>
    <w:rsid w:val="0041771D"/>
    <w:rsid w:val="0042205D"/>
    <w:rsid w:val="00423969"/>
    <w:rsid w:val="00423A77"/>
    <w:rsid w:val="00434A75"/>
    <w:rsid w:val="00436ECD"/>
    <w:rsid w:val="004457A4"/>
    <w:rsid w:val="0044658A"/>
    <w:rsid w:val="00452473"/>
    <w:rsid w:val="004531AD"/>
    <w:rsid w:val="0045522C"/>
    <w:rsid w:val="0045777E"/>
    <w:rsid w:val="00461B0F"/>
    <w:rsid w:val="00461C29"/>
    <w:rsid w:val="00465DD3"/>
    <w:rsid w:val="00471975"/>
    <w:rsid w:val="00474EC7"/>
    <w:rsid w:val="00477EA5"/>
    <w:rsid w:val="00480B4B"/>
    <w:rsid w:val="00481926"/>
    <w:rsid w:val="00484027"/>
    <w:rsid w:val="004853A3"/>
    <w:rsid w:val="00485DC4"/>
    <w:rsid w:val="0048741D"/>
    <w:rsid w:val="004914D1"/>
    <w:rsid w:val="0049447C"/>
    <w:rsid w:val="004956CF"/>
    <w:rsid w:val="00496022"/>
    <w:rsid w:val="004A0A5E"/>
    <w:rsid w:val="004A0EF7"/>
    <w:rsid w:val="004A272A"/>
    <w:rsid w:val="004A43D1"/>
    <w:rsid w:val="004A44D5"/>
    <w:rsid w:val="004A4AF5"/>
    <w:rsid w:val="004B32EC"/>
    <w:rsid w:val="004B355D"/>
    <w:rsid w:val="004B4412"/>
    <w:rsid w:val="004B68C3"/>
    <w:rsid w:val="004C0C43"/>
    <w:rsid w:val="004C1FD3"/>
    <w:rsid w:val="004C348C"/>
    <w:rsid w:val="004C3CD2"/>
    <w:rsid w:val="004C4A73"/>
    <w:rsid w:val="004C5D5D"/>
    <w:rsid w:val="004C6A30"/>
    <w:rsid w:val="004D1A96"/>
    <w:rsid w:val="004D55BA"/>
    <w:rsid w:val="004E0179"/>
    <w:rsid w:val="004E132C"/>
    <w:rsid w:val="004E22EC"/>
    <w:rsid w:val="004E2A4C"/>
    <w:rsid w:val="004F1CC0"/>
    <w:rsid w:val="004F4BEC"/>
    <w:rsid w:val="004F65FD"/>
    <w:rsid w:val="004F6A0E"/>
    <w:rsid w:val="0050383F"/>
    <w:rsid w:val="005065FD"/>
    <w:rsid w:val="00507991"/>
    <w:rsid w:val="00513106"/>
    <w:rsid w:val="0051437C"/>
    <w:rsid w:val="00514BF7"/>
    <w:rsid w:val="005164B4"/>
    <w:rsid w:val="005200D7"/>
    <w:rsid w:val="0052047B"/>
    <w:rsid w:val="00520BD7"/>
    <w:rsid w:val="0052374C"/>
    <w:rsid w:val="00524CF7"/>
    <w:rsid w:val="0052623A"/>
    <w:rsid w:val="00530097"/>
    <w:rsid w:val="00530128"/>
    <w:rsid w:val="00531FA9"/>
    <w:rsid w:val="0053218A"/>
    <w:rsid w:val="00532467"/>
    <w:rsid w:val="005327E0"/>
    <w:rsid w:val="00533852"/>
    <w:rsid w:val="00537FD6"/>
    <w:rsid w:val="005410F6"/>
    <w:rsid w:val="00551014"/>
    <w:rsid w:val="00564A4D"/>
    <w:rsid w:val="0056588A"/>
    <w:rsid w:val="00565FAC"/>
    <w:rsid w:val="00567BA5"/>
    <w:rsid w:val="005701DE"/>
    <w:rsid w:val="00570BA1"/>
    <w:rsid w:val="00571B35"/>
    <w:rsid w:val="00571D57"/>
    <w:rsid w:val="005730D4"/>
    <w:rsid w:val="00575E43"/>
    <w:rsid w:val="005766DB"/>
    <w:rsid w:val="0057714E"/>
    <w:rsid w:val="00577A09"/>
    <w:rsid w:val="00580C0C"/>
    <w:rsid w:val="0058236E"/>
    <w:rsid w:val="005829C2"/>
    <w:rsid w:val="0058321D"/>
    <w:rsid w:val="00584D8F"/>
    <w:rsid w:val="00585A4E"/>
    <w:rsid w:val="0058680D"/>
    <w:rsid w:val="00586819"/>
    <w:rsid w:val="00592FE1"/>
    <w:rsid w:val="00593664"/>
    <w:rsid w:val="00593CA8"/>
    <w:rsid w:val="0059704C"/>
    <w:rsid w:val="005A1C74"/>
    <w:rsid w:val="005A1F2F"/>
    <w:rsid w:val="005A4034"/>
    <w:rsid w:val="005A404D"/>
    <w:rsid w:val="005A40FD"/>
    <w:rsid w:val="005A4641"/>
    <w:rsid w:val="005B1E3C"/>
    <w:rsid w:val="005B3737"/>
    <w:rsid w:val="005B3FB7"/>
    <w:rsid w:val="005B4D33"/>
    <w:rsid w:val="005B5EC5"/>
    <w:rsid w:val="005B704A"/>
    <w:rsid w:val="005C0A7F"/>
    <w:rsid w:val="005C26CC"/>
    <w:rsid w:val="005C36E8"/>
    <w:rsid w:val="005C4C9C"/>
    <w:rsid w:val="005C4F32"/>
    <w:rsid w:val="005C6218"/>
    <w:rsid w:val="005C74FF"/>
    <w:rsid w:val="005D03B1"/>
    <w:rsid w:val="005D03DF"/>
    <w:rsid w:val="005D4DE5"/>
    <w:rsid w:val="005D6171"/>
    <w:rsid w:val="005D7159"/>
    <w:rsid w:val="005D7BA2"/>
    <w:rsid w:val="005E0C91"/>
    <w:rsid w:val="005E36C2"/>
    <w:rsid w:val="005E3D14"/>
    <w:rsid w:val="005F0183"/>
    <w:rsid w:val="005F2EB0"/>
    <w:rsid w:val="005F3250"/>
    <w:rsid w:val="005F5C4B"/>
    <w:rsid w:val="005F7133"/>
    <w:rsid w:val="005F727F"/>
    <w:rsid w:val="006007DE"/>
    <w:rsid w:val="00601638"/>
    <w:rsid w:val="00610EF9"/>
    <w:rsid w:val="00612F4F"/>
    <w:rsid w:val="00613988"/>
    <w:rsid w:val="00614C7C"/>
    <w:rsid w:val="00615C6B"/>
    <w:rsid w:val="00620DC3"/>
    <w:rsid w:val="00621DCE"/>
    <w:rsid w:val="00632D6D"/>
    <w:rsid w:val="00640812"/>
    <w:rsid w:val="00642C3E"/>
    <w:rsid w:val="0064509B"/>
    <w:rsid w:val="00645932"/>
    <w:rsid w:val="00646F9A"/>
    <w:rsid w:val="0064797F"/>
    <w:rsid w:val="00650422"/>
    <w:rsid w:val="00651C3A"/>
    <w:rsid w:val="00651CB2"/>
    <w:rsid w:val="006560CA"/>
    <w:rsid w:val="0066104A"/>
    <w:rsid w:val="00663DAD"/>
    <w:rsid w:val="00665649"/>
    <w:rsid w:val="00666E20"/>
    <w:rsid w:val="006672AA"/>
    <w:rsid w:val="00671A17"/>
    <w:rsid w:val="00673CAC"/>
    <w:rsid w:val="00675C27"/>
    <w:rsid w:val="00675C6D"/>
    <w:rsid w:val="00675E20"/>
    <w:rsid w:val="00676679"/>
    <w:rsid w:val="0068011C"/>
    <w:rsid w:val="0068051B"/>
    <w:rsid w:val="006812E7"/>
    <w:rsid w:val="00683C89"/>
    <w:rsid w:val="00684C16"/>
    <w:rsid w:val="00691D9A"/>
    <w:rsid w:val="0069402C"/>
    <w:rsid w:val="00696423"/>
    <w:rsid w:val="006A11DD"/>
    <w:rsid w:val="006A2410"/>
    <w:rsid w:val="006A7A91"/>
    <w:rsid w:val="006A7CB9"/>
    <w:rsid w:val="006A7D76"/>
    <w:rsid w:val="006B0E0F"/>
    <w:rsid w:val="006B0E19"/>
    <w:rsid w:val="006B1BC8"/>
    <w:rsid w:val="006B2395"/>
    <w:rsid w:val="006B40FD"/>
    <w:rsid w:val="006B45A4"/>
    <w:rsid w:val="006B4CF9"/>
    <w:rsid w:val="006B785B"/>
    <w:rsid w:val="006B7AC8"/>
    <w:rsid w:val="006C1736"/>
    <w:rsid w:val="006C4798"/>
    <w:rsid w:val="006C774D"/>
    <w:rsid w:val="006D22F2"/>
    <w:rsid w:val="006D550F"/>
    <w:rsid w:val="006E0A66"/>
    <w:rsid w:val="006E3F76"/>
    <w:rsid w:val="006E40A4"/>
    <w:rsid w:val="006E4B37"/>
    <w:rsid w:val="006F1F83"/>
    <w:rsid w:val="006F3AD1"/>
    <w:rsid w:val="006F3FC8"/>
    <w:rsid w:val="006F6183"/>
    <w:rsid w:val="0070011E"/>
    <w:rsid w:val="00701CAB"/>
    <w:rsid w:val="007025F6"/>
    <w:rsid w:val="00704CB9"/>
    <w:rsid w:val="00707563"/>
    <w:rsid w:val="00715D21"/>
    <w:rsid w:val="0072348C"/>
    <w:rsid w:val="00724A37"/>
    <w:rsid w:val="00725CC3"/>
    <w:rsid w:val="007303C3"/>
    <w:rsid w:val="00731A60"/>
    <w:rsid w:val="007326E2"/>
    <w:rsid w:val="00733FDF"/>
    <w:rsid w:val="00734B44"/>
    <w:rsid w:val="007358EF"/>
    <w:rsid w:val="00741C46"/>
    <w:rsid w:val="00741D2D"/>
    <w:rsid w:val="00741E23"/>
    <w:rsid w:val="007429BE"/>
    <w:rsid w:val="00743223"/>
    <w:rsid w:val="00744486"/>
    <w:rsid w:val="00746074"/>
    <w:rsid w:val="00746E01"/>
    <w:rsid w:val="00747EEA"/>
    <w:rsid w:val="007524D3"/>
    <w:rsid w:val="00752C8D"/>
    <w:rsid w:val="00753511"/>
    <w:rsid w:val="00753CD8"/>
    <w:rsid w:val="0075514A"/>
    <w:rsid w:val="007566F1"/>
    <w:rsid w:val="00757364"/>
    <w:rsid w:val="00757BDF"/>
    <w:rsid w:val="007609D0"/>
    <w:rsid w:val="00761C61"/>
    <w:rsid w:val="00763618"/>
    <w:rsid w:val="00763E5D"/>
    <w:rsid w:val="007642D9"/>
    <w:rsid w:val="00767740"/>
    <w:rsid w:val="00777EE6"/>
    <w:rsid w:val="00782EEA"/>
    <w:rsid w:val="0078365F"/>
    <w:rsid w:val="007859B7"/>
    <w:rsid w:val="00786E17"/>
    <w:rsid w:val="00795194"/>
    <w:rsid w:val="007967D1"/>
    <w:rsid w:val="007A0B5D"/>
    <w:rsid w:val="007A7002"/>
    <w:rsid w:val="007A7136"/>
    <w:rsid w:val="007A7F63"/>
    <w:rsid w:val="007B011C"/>
    <w:rsid w:val="007B186E"/>
    <w:rsid w:val="007B2C72"/>
    <w:rsid w:val="007B4AB9"/>
    <w:rsid w:val="007B6945"/>
    <w:rsid w:val="007B6C52"/>
    <w:rsid w:val="007B7D12"/>
    <w:rsid w:val="007C030C"/>
    <w:rsid w:val="007C0FBC"/>
    <w:rsid w:val="007C1C53"/>
    <w:rsid w:val="007C364F"/>
    <w:rsid w:val="007C74BB"/>
    <w:rsid w:val="007D456E"/>
    <w:rsid w:val="007D737B"/>
    <w:rsid w:val="007E39BF"/>
    <w:rsid w:val="007E42F4"/>
    <w:rsid w:val="007E4904"/>
    <w:rsid w:val="007E4CB5"/>
    <w:rsid w:val="007F066B"/>
    <w:rsid w:val="007F213A"/>
    <w:rsid w:val="007F2AAE"/>
    <w:rsid w:val="007F2D44"/>
    <w:rsid w:val="007F376B"/>
    <w:rsid w:val="007F75C4"/>
    <w:rsid w:val="00800FCA"/>
    <w:rsid w:val="008033C4"/>
    <w:rsid w:val="008055C2"/>
    <w:rsid w:val="008057DE"/>
    <w:rsid w:val="00806C88"/>
    <w:rsid w:val="00807F81"/>
    <w:rsid w:val="00810070"/>
    <w:rsid w:val="0081034E"/>
    <w:rsid w:val="00812B03"/>
    <w:rsid w:val="0081326F"/>
    <w:rsid w:val="00814B73"/>
    <w:rsid w:val="00815CAC"/>
    <w:rsid w:val="008168E7"/>
    <w:rsid w:val="00821004"/>
    <w:rsid w:val="008221F2"/>
    <w:rsid w:val="00822763"/>
    <w:rsid w:val="00824761"/>
    <w:rsid w:val="00825985"/>
    <w:rsid w:val="008301A7"/>
    <w:rsid w:val="008301B2"/>
    <w:rsid w:val="008344F6"/>
    <w:rsid w:val="0083510F"/>
    <w:rsid w:val="00836977"/>
    <w:rsid w:val="00836F4C"/>
    <w:rsid w:val="008408C5"/>
    <w:rsid w:val="008414FC"/>
    <w:rsid w:val="00844EA9"/>
    <w:rsid w:val="00847887"/>
    <w:rsid w:val="00851209"/>
    <w:rsid w:val="0085700D"/>
    <w:rsid w:val="0085722A"/>
    <w:rsid w:val="0086018C"/>
    <w:rsid w:val="0086226E"/>
    <w:rsid w:val="00862B19"/>
    <w:rsid w:val="00864B35"/>
    <w:rsid w:val="00866D99"/>
    <w:rsid w:val="00867CF6"/>
    <w:rsid w:val="008749E0"/>
    <w:rsid w:val="00874CD0"/>
    <w:rsid w:val="00881228"/>
    <w:rsid w:val="00882481"/>
    <w:rsid w:val="008837AC"/>
    <w:rsid w:val="00885457"/>
    <w:rsid w:val="0089307F"/>
    <w:rsid w:val="00893162"/>
    <w:rsid w:val="008971E7"/>
    <w:rsid w:val="008A13E2"/>
    <w:rsid w:val="008A587D"/>
    <w:rsid w:val="008A6D43"/>
    <w:rsid w:val="008A7D7D"/>
    <w:rsid w:val="008B35CD"/>
    <w:rsid w:val="008B5FCC"/>
    <w:rsid w:val="008B7544"/>
    <w:rsid w:val="008C11CE"/>
    <w:rsid w:val="008C3374"/>
    <w:rsid w:val="008C39F0"/>
    <w:rsid w:val="008C5486"/>
    <w:rsid w:val="008C63DF"/>
    <w:rsid w:val="008C708B"/>
    <w:rsid w:val="008D0386"/>
    <w:rsid w:val="008D1661"/>
    <w:rsid w:val="008D6800"/>
    <w:rsid w:val="008E0D5B"/>
    <w:rsid w:val="008E7031"/>
    <w:rsid w:val="008E705A"/>
    <w:rsid w:val="008E77DE"/>
    <w:rsid w:val="008F07A3"/>
    <w:rsid w:val="008F0E11"/>
    <w:rsid w:val="008F16B3"/>
    <w:rsid w:val="008F24D9"/>
    <w:rsid w:val="008F34DD"/>
    <w:rsid w:val="009001B6"/>
    <w:rsid w:val="00900E1B"/>
    <w:rsid w:val="00901C3C"/>
    <w:rsid w:val="009038ED"/>
    <w:rsid w:val="00904074"/>
    <w:rsid w:val="00913964"/>
    <w:rsid w:val="00916AD8"/>
    <w:rsid w:val="009200B8"/>
    <w:rsid w:val="00920610"/>
    <w:rsid w:val="00922746"/>
    <w:rsid w:val="009233EE"/>
    <w:rsid w:val="00923CFC"/>
    <w:rsid w:val="00923FA9"/>
    <w:rsid w:val="00926867"/>
    <w:rsid w:val="009272AD"/>
    <w:rsid w:val="009277DC"/>
    <w:rsid w:val="00935BF4"/>
    <w:rsid w:val="00941E3E"/>
    <w:rsid w:val="009460AA"/>
    <w:rsid w:val="0094641C"/>
    <w:rsid w:val="00951978"/>
    <w:rsid w:val="00952109"/>
    <w:rsid w:val="0095297B"/>
    <w:rsid w:val="00953FA9"/>
    <w:rsid w:val="00961115"/>
    <w:rsid w:val="00961A4A"/>
    <w:rsid w:val="009661DE"/>
    <w:rsid w:val="009814B6"/>
    <w:rsid w:val="00983C25"/>
    <w:rsid w:val="009856B7"/>
    <w:rsid w:val="00985C86"/>
    <w:rsid w:val="009861C3"/>
    <w:rsid w:val="00996BAF"/>
    <w:rsid w:val="009972D8"/>
    <w:rsid w:val="00997784"/>
    <w:rsid w:val="009A4FAA"/>
    <w:rsid w:val="009A5113"/>
    <w:rsid w:val="009A539D"/>
    <w:rsid w:val="009A5FC3"/>
    <w:rsid w:val="009B163E"/>
    <w:rsid w:val="009B5DC8"/>
    <w:rsid w:val="009B6F84"/>
    <w:rsid w:val="009B728E"/>
    <w:rsid w:val="009B7343"/>
    <w:rsid w:val="009B74B0"/>
    <w:rsid w:val="009B7FC2"/>
    <w:rsid w:val="009C229E"/>
    <w:rsid w:val="009C4E65"/>
    <w:rsid w:val="009C5661"/>
    <w:rsid w:val="009C5FB2"/>
    <w:rsid w:val="009C6611"/>
    <w:rsid w:val="009C691D"/>
    <w:rsid w:val="009C7829"/>
    <w:rsid w:val="009D0670"/>
    <w:rsid w:val="009D2B38"/>
    <w:rsid w:val="009D2DDF"/>
    <w:rsid w:val="009D3906"/>
    <w:rsid w:val="009D435E"/>
    <w:rsid w:val="009D6B46"/>
    <w:rsid w:val="009E03F8"/>
    <w:rsid w:val="009E0603"/>
    <w:rsid w:val="009F35BC"/>
    <w:rsid w:val="009F4940"/>
    <w:rsid w:val="009F5BA1"/>
    <w:rsid w:val="009F61B7"/>
    <w:rsid w:val="009F61D8"/>
    <w:rsid w:val="00A02A88"/>
    <w:rsid w:val="00A03718"/>
    <w:rsid w:val="00A0562E"/>
    <w:rsid w:val="00A06085"/>
    <w:rsid w:val="00A0726D"/>
    <w:rsid w:val="00A13D03"/>
    <w:rsid w:val="00A16596"/>
    <w:rsid w:val="00A1781E"/>
    <w:rsid w:val="00A17E80"/>
    <w:rsid w:val="00A21487"/>
    <w:rsid w:val="00A2303E"/>
    <w:rsid w:val="00A32FBB"/>
    <w:rsid w:val="00A343CD"/>
    <w:rsid w:val="00A36FB8"/>
    <w:rsid w:val="00A40790"/>
    <w:rsid w:val="00A427FC"/>
    <w:rsid w:val="00A428EE"/>
    <w:rsid w:val="00A43C2D"/>
    <w:rsid w:val="00A4478A"/>
    <w:rsid w:val="00A44852"/>
    <w:rsid w:val="00A45104"/>
    <w:rsid w:val="00A4650A"/>
    <w:rsid w:val="00A47583"/>
    <w:rsid w:val="00A50502"/>
    <w:rsid w:val="00A51DC1"/>
    <w:rsid w:val="00A54FE5"/>
    <w:rsid w:val="00A57D04"/>
    <w:rsid w:val="00A60A26"/>
    <w:rsid w:val="00A61598"/>
    <w:rsid w:val="00A643EB"/>
    <w:rsid w:val="00A7177E"/>
    <w:rsid w:val="00A7259C"/>
    <w:rsid w:val="00A84A99"/>
    <w:rsid w:val="00A84F46"/>
    <w:rsid w:val="00A871F4"/>
    <w:rsid w:val="00A90AA4"/>
    <w:rsid w:val="00A923BF"/>
    <w:rsid w:val="00A93F19"/>
    <w:rsid w:val="00A96586"/>
    <w:rsid w:val="00AA56C3"/>
    <w:rsid w:val="00AA6AB6"/>
    <w:rsid w:val="00AB1896"/>
    <w:rsid w:val="00AB47E1"/>
    <w:rsid w:val="00AB7311"/>
    <w:rsid w:val="00AC1B2C"/>
    <w:rsid w:val="00AC3264"/>
    <w:rsid w:val="00AD3884"/>
    <w:rsid w:val="00AD52B1"/>
    <w:rsid w:val="00AD5D92"/>
    <w:rsid w:val="00AD7B56"/>
    <w:rsid w:val="00AE059C"/>
    <w:rsid w:val="00AE0CB1"/>
    <w:rsid w:val="00AE1BF1"/>
    <w:rsid w:val="00AE4C20"/>
    <w:rsid w:val="00AF0DD2"/>
    <w:rsid w:val="00AF2B03"/>
    <w:rsid w:val="00AF725E"/>
    <w:rsid w:val="00B0209D"/>
    <w:rsid w:val="00B02165"/>
    <w:rsid w:val="00B02961"/>
    <w:rsid w:val="00B02CF8"/>
    <w:rsid w:val="00B03583"/>
    <w:rsid w:val="00B04908"/>
    <w:rsid w:val="00B04B4C"/>
    <w:rsid w:val="00B07CEA"/>
    <w:rsid w:val="00B10240"/>
    <w:rsid w:val="00B13048"/>
    <w:rsid w:val="00B1716D"/>
    <w:rsid w:val="00B17A1D"/>
    <w:rsid w:val="00B2027C"/>
    <w:rsid w:val="00B207A0"/>
    <w:rsid w:val="00B2361D"/>
    <w:rsid w:val="00B3517B"/>
    <w:rsid w:val="00B3579C"/>
    <w:rsid w:val="00B40CAA"/>
    <w:rsid w:val="00B41D44"/>
    <w:rsid w:val="00B514DD"/>
    <w:rsid w:val="00B51F3F"/>
    <w:rsid w:val="00B522A3"/>
    <w:rsid w:val="00B52AF0"/>
    <w:rsid w:val="00B561BD"/>
    <w:rsid w:val="00B56406"/>
    <w:rsid w:val="00B56E03"/>
    <w:rsid w:val="00B61EDF"/>
    <w:rsid w:val="00B642F6"/>
    <w:rsid w:val="00B71B56"/>
    <w:rsid w:val="00B71F03"/>
    <w:rsid w:val="00B74AC5"/>
    <w:rsid w:val="00B757A6"/>
    <w:rsid w:val="00B8080B"/>
    <w:rsid w:val="00B81778"/>
    <w:rsid w:val="00B82223"/>
    <w:rsid w:val="00B83B12"/>
    <w:rsid w:val="00B85A07"/>
    <w:rsid w:val="00B87BA5"/>
    <w:rsid w:val="00B87C39"/>
    <w:rsid w:val="00B915D5"/>
    <w:rsid w:val="00B9562D"/>
    <w:rsid w:val="00B973CC"/>
    <w:rsid w:val="00BA0731"/>
    <w:rsid w:val="00BA14FE"/>
    <w:rsid w:val="00BA20B7"/>
    <w:rsid w:val="00BA4665"/>
    <w:rsid w:val="00BA47EE"/>
    <w:rsid w:val="00BA4BE3"/>
    <w:rsid w:val="00BA53F0"/>
    <w:rsid w:val="00BA6DB8"/>
    <w:rsid w:val="00BB1F30"/>
    <w:rsid w:val="00BB2FB2"/>
    <w:rsid w:val="00BB3304"/>
    <w:rsid w:val="00BB3FD7"/>
    <w:rsid w:val="00BB4FC7"/>
    <w:rsid w:val="00BB5935"/>
    <w:rsid w:val="00BB6848"/>
    <w:rsid w:val="00BB7528"/>
    <w:rsid w:val="00BC18DE"/>
    <w:rsid w:val="00BC2937"/>
    <w:rsid w:val="00BC2FAF"/>
    <w:rsid w:val="00BC411B"/>
    <w:rsid w:val="00BC42EF"/>
    <w:rsid w:val="00BD0920"/>
    <w:rsid w:val="00BD0C45"/>
    <w:rsid w:val="00BD12CE"/>
    <w:rsid w:val="00BD1F65"/>
    <w:rsid w:val="00BD310B"/>
    <w:rsid w:val="00BD3446"/>
    <w:rsid w:val="00BE1F1B"/>
    <w:rsid w:val="00BE4591"/>
    <w:rsid w:val="00BE47B5"/>
    <w:rsid w:val="00BE4AAD"/>
    <w:rsid w:val="00BF0C8F"/>
    <w:rsid w:val="00BF0CD7"/>
    <w:rsid w:val="00BF3AD7"/>
    <w:rsid w:val="00BF4730"/>
    <w:rsid w:val="00BF4D13"/>
    <w:rsid w:val="00C04223"/>
    <w:rsid w:val="00C11781"/>
    <w:rsid w:val="00C128A6"/>
    <w:rsid w:val="00C140F2"/>
    <w:rsid w:val="00C14A9A"/>
    <w:rsid w:val="00C155E2"/>
    <w:rsid w:val="00C15D3D"/>
    <w:rsid w:val="00C2338D"/>
    <w:rsid w:val="00C25FA6"/>
    <w:rsid w:val="00C26245"/>
    <w:rsid w:val="00C267B8"/>
    <w:rsid w:val="00C275C4"/>
    <w:rsid w:val="00C30637"/>
    <w:rsid w:val="00C351BA"/>
    <w:rsid w:val="00C3670F"/>
    <w:rsid w:val="00C36F19"/>
    <w:rsid w:val="00C42ACA"/>
    <w:rsid w:val="00C433CA"/>
    <w:rsid w:val="00C43CBD"/>
    <w:rsid w:val="00C44229"/>
    <w:rsid w:val="00C44AAF"/>
    <w:rsid w:val="00C5122C"/>
    <w:rsid w:val="00C51A6D"/>
    <w:rsid w:val="00C538A9"/>
    <w:rsid w:val="00C53B5A"/>
    <w:rsid w:val="00C54434"/>
    <w:rsid w:val="00C54F5A"/>
    <w:rsid w:val="00C55211"/>
    <w:rsid w:val="00C569B4"/>
    <w:rsid w:val="00C56A01"/>
    <w:rsid w:val="00C56A3E"/>
    <w:rsid w:val="00C6104A"/>
    <w:rsid w:val="00C610B8"/>
    <w:rsid w:val="00C61E1C"/>
    <w:rsid w:val="00C61E88"/>
    <w:rsid w:val="00C64730"/>
    <w:rsid w:val="00C64AC3"/>
    <w:rsid w:val="00C67A92"/>
    <w:rsid w:val="00C74404"/>
    <w:rsid w:val="00C7497E"/>
    <w:rsid w:val="00C74D43"/>
    <w:rsid w:val="00C80752"/>
    <w:rsid w:val="00C81568"/>
    <w:rsid w:val="00C831D3"/>
    <w:rsid w:val="00C84560"/>
    <w:rsid w:val="00C84F52"/>
    <w:rsid w:val="00C86065"/>
    <w:rsid w:val="00C86679"/>
    <w:rsid w:val="00C945EB"/>
    <w:rsid w:val="00C94815"/>
    <w:rsid w:val="00C97CDF"/>
    <w:rsid w:val="00CA2ABF"/>
    <w:rsid w:val="00CA2C1D"/>
    <w:rsid w:val="00CA489E"/>
    <w:rsid w:val="00CA52A2"/>
    <w:rsid w:val="00CB0279"/>
    <w:rsid w:val="00CB55AF"/>
    <w:rsid w:val="00CB666B"/>
    <w:rsid w:val="00CC6844"/>
    <w:rsid w:val="00CC7F1D"/>
    <w:rsid w:val="00CD19EE"/>
    <w:rsid w:val="00CD1ECC"/>
    <w:rsid w:val="00CD3E8B"/>
    <w:rsid w:val="00CD47A0"/>
    <w:rsid w:val="00CE484B"/>
    <w:rsid w:val="00CE4900"/>
    <w:rsid w:val="00CF0DEE"/>
    <w:rsid w:val="00CF2C05"/>
    <w:rsid w:val="00CF426B"/>
    <w:rsid w:val="00CF544E"/>
    <w:rsid w:val="00CF5D41"/>
    <w:rsid w:val="00CF6EDE"/>
    <w:rsid w:val="00CF736D"/>
    <w:rsid w:val="00CF78F3"/>
    <w:rsid w:val="00D006AE"/>
    <w:rsid w:val="00D00BCE"/>
    <w:rsid w:val="00D01CF0"/>
    <w:rsid w:val="00D01EFD"/>
    <w:rsid w:val="00D03395"/>
    <w:rsid w:val="00D0442A"/>
    <w:rsid w:val="00D04C65"/>
    <w:rsid w:val="00D06055"/>
    <w:rsid w:val="00D066B7"/>
    <w:rsid w:val="00D06D0F"/>
    <w:rsid w:val="00D071F7"/>
    <w:rsid w:val="00D13F3D"/>
    <w:rsid w:val="00D17683"/>
    <w:rsid w:val="00D348CC"/>
    <w:rsid w:val="00D36FCC"/>
    <w:rsid w:val="00D40808"/>
    <w:rsid w:val="00D41E80"/>
    <w:rsid w:val="00D45694"/>
    <w:rsid w:val="00D46BD3"/>
    <w:rsid w:val="00D544B0"/>
    <w:rsid w:val="00D546FD"/>
    <w:rsid w:val="00D55D86"/>
    <w:rsid w:val="00D608F6"/>
    <w:rsid w:val="00D60EFF"/>
    <w:rsid w:val="00D61388"/>
    <w:rsid w:val="00D61A54"/>
    <w:rsid w:val="00D636DD"/>
    <w:rsid w:val="00D64275"/>
    <w:rsid w:val="00D64DEA"/>
    <w:rsid w:val="00D65292"/>
    <w:rsid w:val="00D71243"/>
    <w:rsid w:val="00D7168E"/>
    <w:rsid w:val="00D71D6D"/>
    <w:rsid w:val="00D71E57"/>
    <w:rsid w:val="00D7518C"/>
    <w:rsid w:val="00D75AA2"/>
    <w:rsid w:val="00D7645E"/>
    <w:rsid w:val="00D80893"/>
    <w:rsid w:val="00D83109"/>
    <w:rsid w:val="00D84854"/>
    <w:rsid w:val="00D848B4"/>
    <w:rsid w:val="00D84CF6"/>
    <w:rsid w:val="00D86B06"/>
    <w:rsid w:val="00D90419"/>
    <w:rsid w:val="00D91389"/>
    <w:rsid w:val="00D92CF1"/>
    <w:rsid w:val="00D92D38"/>
    <w:rsid w:val="00D93D92"/>
    <w:rsid w:val="00D950F5"/>
    <w:rsid w:val="00D95A75"/>
    <w:rsid w:val="00DA0BCC"/>
    <w:rsid w:val="00DA4752"/>
    <w:rsid w:val="00DA61F3"/>
    <w:rsid w:val="00DA6B93"/>
    <w:rsid w:val="00DA6F94"/>
    <w:rsid w:val="00DA7C7D"/>
    <w:rsid w:val="00DB0F93"/>
    <w:rsid w:val="00DB15CC"/>
    <w:rsid w:val="00DB1A67"/>
    <w:rsid w:val="00DB483C"/>
    <w:rsid w:val="00DB5074"/>
    <w:rsid w:val="00DB5B21"/>
    <w:rsid w:val="00DB658C"/>
    <w:rsid w:val="00DB6612"/>
    <w:rsid w:val="00DC7981"/>
    <w:rsid w:val="00DD1C15"/>
    <w:rsid w:val="00DD3A47"/>
    <w:rsid w:val="00DE1093"/>
    <w:rsid w:val="00DE14D6"/>
    <w:rsid w:val="00DE4EFA"/>
    <w:rsid w:val="00DE5520"/>
    <w:rsid w:val="00DE563D"/>
    <w:rsid w:val="00DE5E2E"/>
    <w:rsid w:val="00DE772C"/>
    <w:rsid w:val="00DF1D99"/>
    <w:rsid w:val="00DF1D9A"/>
    <w:rsid w:val="00DF296C"/>
    <w:rsid w:val="00DF312A"/>
    <w:rsid w:val="00DF336E"/>
    <w:rsid w:val="00DF3B97"/>
    <w:rsid w:val="00DF51B7"/>
    <w:rsid w:val="00DF5CAE"/>
    <w:rsid w:val="00E00021"/>
    <w:rsid w:val="00E04818"/>
    <w:rsid w:val="00E0546E"/>
    <w:rsid w:val="00E06442"/>
    <w:rsid w:val="00E06A9F"/>
    <w:rsid w:val="00E06BCF"/>
    <w:rsid w:val="00E076BD"/>
    <w:rsid w:val="00E07BAD"/>
    <w:rsid w:val="00E1001C"/>
    <w:rsid w:val="00E11949"/>
    <w:rsid w:val="00E12097"/>
    <w:rsid w:val="00E15EF2"/>
    <w:rsid w:val="00E225C0"/>
    <w:rsid w:val="00E23993"/>
    <w:rsid w:val="00E23A1E"/>
    <w:rsid w:val="00E25203"/>
    <w:rsid w:val="00E257D6"/>
    <w:rsid w:val="00E25B8C"/>
    <w:rsid w:val="00E27360"/>
    <w:rsid w:val="00E3544F"/>
    <w:rsid w:val="00E40FAA"/>
    <w:rsid w:val="00E45728"/>
    <w:rsid w:val="00E466F4"/>
    <w:rsid w:val="00E51D65"/>
    <w:rsid w:val="00E534A4"/>
    <w:rsid w:val="00E54D46"/>
    <w:rsid w:val="00E55A0F"/>
    <w:rsid w:val="00E605A9"/>
    <w:rsid w:val="00E6079C"/>
    <w:rsid w:val="00E60FE1"/>
    <w:rsid w:val="00E6200B"/>
    <w:rsid w:val="00E65C85"/>
    <w:rsid w:val="00E65F11"/>
    <w:rsid w:val="00E66199"/>
    <w:rsid w:val="00E711C7"/>
    <w:rsid w:val="00E7285F"/>
    <w:rsid w:val="00E7344A"/>
    <w:rsid w:val="00E737D4"/>
    <w:rsid w:val="00E7494F"/>
    <w:rsid w:val="00E755EC"/>
    <w:rsid w:val="00E75F4D"/>
    <w:rsid w:val="00E7624D"/>
    <w:rsid w:val="00E807D1"/>
    <w:rsid w:val="00E83D67"/>
    <w:rsid w:val="00E86B5C"/>
    <w:rsid w:val="00E9411D"/>
    <w:rsid w:val="00E97242"/>
    <w:rsid w:val="00EA1CB5"/>
    <w:rsid w:val="00EA2707"/>
    <w:rsid w:val="00EA38F3"/>
    <w:rsid w:val="00EA3BF2"/>
    <w:rsid w:val="00EA3D42"/>
    <w:rsid w:val="00EA406D"/>
    <w:rsid w:val="00EA6B1B"/>
    <w:rsid w:val="00EB5BC8"/>
    <w:rsid w:val="00EB606C"/>
    <w:rsid w:val="00EC04F1"/>
    <w:rsid w:val="00EC1B2B"/>
    <w:rsid w:val="00EC222F"/>
    <w:rsid w:val="00EC32E5"/>
    <w:rsid w:val="00EC3ACE"/>
    <w:rsid w:val="00EC3E9B"/>
    <w:rsid w:val="00EC5D99"/>
    <w:rsid w:val="00EC6F05"/>
    <w:rsid w:val="00ED0EC2"/>
    <w:rsid w:val="00ED0FC3"/>
    <w:rsid w:val="00ED2DEF"/>
    <w:rsid w:val="00ED3474"/>
    <w:rsid w:val="00ED41FC"/>
    <w:rsid w:val="00ED7323"/>
    <w:rsid w:val="00EE196E"/>
    <w:rsid w:val="00EE28F3"/>
    <w:rsid w:val="00EE50D1"/>
    <w:rsid w:val="00EE5A65"/>
    <w:rsid w:val="00EE77FA"/>
    <w:rsid w:val="00EE7A83"/>
    <w:rsid w:val="00EF1B7A"/>
    <w:rsid w:val="00EF3DDE"/>
    <w:rsid w:val="00EF5110"/>
    <w:rsid w:val="00EF7B61"/>
    <w:rsid w:val="00F02F8F"/>
    <w:rsid w:val="00F0334E"/>
    <w:rsid w:val="00F07967"/>
    <w:rsid w:val="00F10411"/>
    <w:rsid w:val="00F11C80"/>
    <w:rsid w:val="00F15882"/>
    <w:rsid w:val="00F171E0"/>
    <w:rsid w:val="00F20BD3"/>
    <w:rsid w:val="00F2356B"/>
    <w:rsid w:val="00F2526A"/>
    <w:rsid w:val="00F25BC2"/>
    <w:rsid w:val="00F2674B"/>
    <w:rsid w:val="00F26A41"/>
    <w:rsid w:val="00F2740A"/>
    <w:rsid w:val="00F34FFC"/>
    <w:rsid w:val="00F35081"/>
    <w:rsid w:val="00F373A5"/>
    <w:rsid w:val="00F37AB9"/>
    <w:rsid w:val="00F425A6"/>
    <w:rsid w:val="00F42E08"/>
    <w:rsid w:val="00F46F8F"/>
    <w:rsid w:val="00F47559"/>
    <w:rsid w:val="00F56D86"/>
    <w:rsid w:val="00F57907"/>
    <w:rsid w:val="00F57FF0"/>
    <w:rsid w:val="00F608CD"/>
    <w:rsid w:val="00F61176"/>
    <w:rsid w:val="00F621D1"/>
    <w:rsid w:val="00F6223B"/>
    <w:rsid w:val="00F62A30"/>
    <w:rsid w:val="00F64C7B"/>
    <w:rsid w:val="00F65B25"/>
    <w:rsid w:val="00F676DD"/>
    <w:rsid w:val="00F71667"/>
    <w:rsid w:val="00F7168B"/>
    <w:rsid w:val="00F72F14"/>
    <w:rsid w:val="00F73895"/>
    <w:rsid w:val="00F75A26"/>
    <w:rsid w:val="00F76706"/>
    <w:rsid w:val="00F768C8"/>
    <w:rsid w:val="00F77C37"/>
    <w:rsid w:val="00F81028"/>
    <w:rsid w:val="00F81B8D"/>
    <w:rsid w:val="00F82F92"/>
    <w:rsid w:val="00F83FAD"/>
    <w:rsid w:val="00F8653A"/>
    <w:rsid w:val="00F87462"/>
    <w:rsid w:val="00F87EE7"/>
    <w:rsid w:val="00F9103B"/>
    <w:rsid w:val="00F91F55"/>
    <w:rsid w:val="00F92349"/>
    <w:rsid w:val="00F92C0B"/>
    <w:rsid w:val="00F93B21"/>
    <w:rsid w:val="00F94ADE"/>
    <w:rsid w:val="00F952A0"/>
    <w:rsid w:val="00F96123"/>
    <w:rsid w:val="00FA3469"/>
    <w:rsid w:val="00FA3C7F"/>
    <w:rsid w:val="00FA5A27"/>
    <w:rsid w:val="00FB0729"/>
    <w:rsid w:val="00FB080F"/>
    <w:rsid w:val="00FB1BF3"/>
    <w:rsid w:val="00FB4402"/>
    <w:rsid w:val="00FB5FEC"/>
    <w:rsid w:val="00FB60FE"/>
    <w:rsid w:val="00FB6603"/>
    <w:rsid w:val="00FB74E2"/>
    <w:rsid w:val="00FC2DB0"/>
    <w:rsid w:val="00FC60BA"/>
    <w:rsid w:val="00FC71DC"/>
    <w:rsid w:val="00FD067E"/>
    <w:rsid w:val="00FD2ED2"/>
    <w:rsid w:val="00FD5614"/>
    <w:rsid w:val="00FD5E78"/>
    <w:rsid w:val="00FE0BE1"/>
    <w:rsid w:val="00FE1DE9"/>
    <w:rsid w:val="00FE36AF"/>
    <w:rsid w:val="00FE39C2"/>
    <w:rsid w:val="00FE3C32"/>
    <w:rsid w:val="00FE4F90"/>
    <w:rsid w:val="00FE5E1A"/>
    <w:rsid w:val="00FE64AE"/>
    <w:rsid w:val="00FF2807"/>
    <w:rsid w:val="00FF50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60"/>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60"/>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440AF1-6538-48FD-BD1C-CC3FCF6F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5AA80C0F</Template>
  <TotalTime>1</TotalTime>
  <Pages>27</Pages>
  <Words>7091</Words>
  <Characters>40422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47419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Vu.Lam@aer.gov.au</dc:creator>
  <cp:lastModifiedBy>Stevens-Downie, Tom</cp:lastModifiedBy>
  <cp:revision>3</cp:revision>
  <cp:lastPrinted>2017-06-22T05:36:00Z</cp:lastPrinted>
  <dcterms:created xsi:type="dcterms:W3CDTF">2017-06-23T00:51:00Z</dcterms:created>
  <dcterms:modified xsi:type="dcterms:W3CDTF">2017-06-23T01:36:00Z</dcterms:modified>
</cp:coreProperties>
</file>