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EFA8" w14:textId="77777777" w:rsidR="00141259" w:rsidRPr="0086724A" w:rsidRDefault="00141259" w:rsidP="00141259">
      <w:pPr>
        <w:pStyle w:val="Tableheading"/>
        <w:rPr>
          <w:color w:val="8B8D8D"/>
          <w:sz w:val="20"/>
          <w:szCs w:val="20"/>
        </w:rPr>
      </w:pPr>
      <w:bookmarkStart w:id="0" w:name="_Toc126671786"/>
      <w:r w:rsidRPr="0086724A">
        <w:rPr>
          <w:color w:val="8B8D8D"/>
        </w:rPr>
        <w:t xml:space="preserve">Table </w:t>
      </w:r>
      <w:r w:rsidRPr="0086724A">
        <w:rPr>
          <w:color w:val="8B8D8D"/>
        </w:rPr>
        <w:fldChar w:fldCharType="begin"/>
      </w:r>
      <w:r w:rsidRPr="0086724A">
        <w:rPr>
          <w:color w:val="8B8D8D"/>
        </w:rPr>
        <w:instrText>STYLEREF  \s "Heading 1 (numbered)"</w:instrText>
      </w:r>
      <w:r w:rsidRPr="0086724A">
        <w:rPr>
          <w:color w:val="8B8D8D"/>
        </w:rPr>
        <w:fldChar w:fldCharType="separate"/>
      </w:r>
      <w:r w:rsidRPr="0086724A">
        <w:rPr>
          <w:noProof/>
          <w:color w:val="8B8D8D"/>
        </w:rPr>
        <w:t>1</w:t>
      </w:r>
      <w:r w:rsidRPr="0086724A">
        <w:rPr>
          <w:color w:val="8B8D8D"/>
        </w:rPr>
        <w:fldChar w:fldCharType="end"/>
      </w:r>
      <w:r w:rsidRPr="0086724A">
        <w:rPr>
          <w:noProof/>
          <w:color w:val="8B8D8D"/>
        </w:rPr>
        <w:t xml:space="preserve"> Confidentiality claim</w:t>
      </w:r>
      <w:bookmarkEnd w:id="0"/>
    </w:p>
    <w:tbl>
      <w:tblPr>
        <w:tblStyle w:val="GridTable4-Accent2"/>
        <w:tblW w:w="5724" w:type="pct"/>
        <w:tblBorders>
          <w:top w:val="single" w:sz="4" w:space="0" w:color="141B4D"/>
          <w:left w:val="single" w:sz="4" w:space="0" w:color="141B4D"/>
          <w:bottom w:val="single" w:sz="4" w:space="0" w:color="141B4D"/>
          <w:right w:val="single" w:sz="4" w:space="0" w:color="141B4D"/>
          <w:insideH w:val="single" w:sz="4" w:space="0" w:color="141B4D"/>
          <w:insideV w:val="single" w:sz="4" w:space="0" w:color="141B4D"/>
        </w:tblBorders>
        <w:tblLook w:val="04A0" w:firstRow="1" w:lastRow="0" w:firstColumn="1" w:lastColumn="0" w:noHBand="0" w:noVBand="1"/>
      </w:tblPr>
      <w:tblGrid>
        <w:gridCol w:w="2165"/>
        <w:gridCol w:w="1596"/>
        <w:gridCol w:w="1287"/>
        <w:gridCol w:w="1552"/>
        <w:gridCol w:w="2813"/>
        <w:gridCol w:w="2116"/>
        <w:gridCol w:w="2357"/>
      </w:tblGrid>
      <w:tr w:rsidR="002D4801" w:rsidRPr="00ED72E8" w14:paraId="7B684139" w14:textId="77777777" w:rsidTr="002D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3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pct"/>
            <w:tcBorders>
              <w:top w:val="single" w:sz="4" w:space="0" w:color="002060"/>
              <w:left w:val="single" w:sz="4" w:space="0" w:color="002060"/>
            </w:tcBorders>
            <w:shd w:val="clear" w:color="auto" w:fill="141B4D"/>
          </w:tcPr>
          <w:p w14:paraId="2695BD6C" w14:textId="756F05A9" w:rsidR="00636F16" w:rsidRPr="00ED72E8" w:rsidRDefault="004D6FCF" w:rsidP="000120BF">
            <w:pPr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Title,</w:t>
            </w:r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gramStart"/>
            <w:r w:rsidR="00862AD3" w:rsidRPr="00ED72E8">
              <w:rPr>
                <w:b w:val="0"/>
                <w:bCs w:val="0"/>
                <w:sz w:val="20"/>
                <w:szCs w:val="20"/>
              </w:rPr>
              <w:t>page</w:t>
            </w:r>
            <w:proofErr w:type="gramEnd"/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 and paragraph number of</w:t>
            </w:r>
            <w:r w:rsidR="000A0862" w:rsidRPr="00ED72E8">
              <w:rPr>
                <w:b w:val="0"/>
                <w:bCs w:val="0"/>
                <w:sz w:val="20"/>
                <w:szCs w:val="20"/>
              </w:rPr>
              <w:t xml:space="preserve"> the</w:t>
            </w:r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 document</w:t>
            </w:r>
          </w:p>
        </w:tc>
        <w:tc>
          <w:tcPr>
            <w:tcW w:w="586" w:type="pct"/>
            <w:tcBorders>
              <w:top w:val="single" w:sz="4" w:space="0" w:color="002060"/>
            </w:tcBorders>
            <w:shd w:val="clear" w:color="auto" w:fill="141B4D"/>
          </w:tcPr>
          <w:p w14:paraId="5990A509" w14:textId="5662832E" w:rsidR="00636F16" w:rsidRPr="00ED72E8" w:rsidRDefault="00636F16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 xml:space="preserve">Description </w:t>
            </w:r>
            <w:r w:rsidR="005B1EC8" w:rsidRPr="00ED72E8">
              <w:rPr>
                <w:b w:val="0"/>
                <w:bCs w:val="0"/>
                <w:sz w:val="20"/>
                <w:szCs w:val="20"/>
              </w:rPr>
              <w:t xml:space="preserve">of </w:t>
            </w:r>
            <w:r w:rsidR="00862AD3" w:rsidRPr="00ED72E8">
              <w:rPr>
                <w:b w:val="0"/>
                <w:bCs w:val="0"/>
                <w:sz w:val="20"/>
                <w:szCs w:val="20"/>
              </w:rPr>
              <w:t xml:space="preserve">the </w:t>
            </w:r>
            <w:r w:rsidR="005B1EC8" w:rsidRPr="00ED72E8">
              <w:rPr>
                <w:b w:val="0"/>
                <w:bCs w:val="0"/>
                <w:sz w:val="20"/>
                <w:szCs w:val="20"/>
              </w:rPr>
              <w:t>confidential information</w:t>
            </w:r>
          </w:p>
        </w:tc>
        <w:tc>
          <w:tcPr>
            <w:tcW w:w="396" w:type="pct"/>
            <w:tcBorders>
              <w:top w:val="single" w:sz="4" w:space="0" w:color="002060"/>
            </w:tcBorders>
            <w:shd w:val="clear" w:color="auto" w:fill="141B4D"/>
          </w:tcPr>
          <w:p w14:paraId="1D182B14" w14:textId="37783A44" w:rsidR="00636F16" w:rsidRPr="00ED72E8" w:rsidRDefault="00862AD3" w:rsidP="0001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Topic the confidential information relates to</w:t>
            </w:r>
          </w:p>
        </w:tc>
        <w:tc>
          <w:tcPr>
            <w:tcW w:w="570" w:type="pct"/>
            <w:tcBorders>
              <w:top w:val="single" w:sz="4" w:space="0" w:color="002060"/>
            </w:tcBorders>
            <w:shd w:val="clear" w:color="auto" w:fill="141B4D"/>
          </w:tcPr>
          <w:p w14:paraId="43396BD1" w14:textId="2775369F" w:rsidR="00636F16" w:rsidRPr="00ED72E8" w:rsidRDefault="00D124D8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Confidentiality category</w:t>
            </w:r>
          </w:p>
        </w:tc>
        <w:tc>
          <w:tcPr>
            <w:tcW w:w="1024" w:type="pct"/>
            <w:tcBorders>
              <w:top w:val="single" w:sz="4" w:space="0" w:color="002060"/>
            </w:tcBorders>
            <w:shd w:val="clear" w:color="auto" w:fill="141B4D"/>
          </w:tcPr>
          <w:p w14:paraId="0CEA0AB1" w14:textId="05721097" w:rsidR="00636F16" w:rsidRPr="00ED72E8" w:rsidRDefault="00E4110F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W</w:t>
            </w:r>
            <w:r w:rsidR="00636F16" w:rsidRPr="00ED72E8">
              <w:rPr>
                <w:b w:val="0"/>
                <w:bCs w:val="0"/>
                <w:sz w:val="20"/>
                <w:szCs w:val="20"/>
              </w:rPr>
              <w:t>hy the confidential information falls into the selected category</w:t>
            </w:r>
          </w:p>
        </w:tc>
        <w:tc>
          <w:tcPr>
            <w:tcW w:w="773" w:type="pct"/>
            <w:tcBorders>
              <w:top w:val="single" w:sz="4" w:space="0" w:color="002060"/>
            </w:tcBorders>
            <w:shd w:val="clear" w:color="auto" w:fill="141B4D"/>
          </w:tcPr>
          <w:p w14:paraId="09A8F302" w14:textId="1CA2014D" w:rsidR="00636F16" w:rsidRPr="00ED72E8" w:rsidRDefault="00E4110F" w:rsidP="000120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D72E8">
              <w:rPr>
                <w:b w:val="0"/>
                <w:bCs w:val="0"/>
                <w:sz w:val="20"/>
                <w:szCs w:val="20"/>
              </w:rPr>
              <w:t>H</w:t>
            </w:r>
            <w:r w:rsidR="00636F16" w:rsidRPr="00ED72E8">
              <w:rPr>
                <w:b w:val="0"/>
                <w:bCs w:val="0"/>
                <w:sz w:val="20"/>
                <w:szCs w:val="20"/>
              </w:rPr>
              <w:t xml:space="preserve">ow and why </w:t>
            </w:r>
            <w:r w:rsidR="00DF68CC" w:rsidRPr="00ED72E8">
              <w:rPr>
                <w:b w:val="0"/>
                <w:bCs w:val="0"/>
                <w:sz w:val="20"/>
                <w:szCs w:val="20"/>
              </w:rPr>
              <w:t xml:space="preserve">disclosure of </w:t>
            </w:r>
            <w:r w:rsidR="00C9444A" w:rsidRPr="00ED72E8">
              <w:rPr>
                <w:b w:val="0"/>
                <w:bCs w:val="0"/>
                <w:sz w:val="20"/>
                <w:szCs w:val="20"/>
              </w:rPr>
              <w:t xml:space="preserve">the confidential information would cause </w:t>
            </w:r>
            <w:r w:rsidR="00636F16" w:rsidRPr="00ED72E8">
              <w:rPr>
                <w:b w:val="0"/>
                <w:bCs w:val="0"/>
                <w:sz w:val="20"/>
                <w:szCs w:val="20"/>
              </w:rPr>
              <w:t>detriment</w:t>
            </w:r>
          </w:p>
        </w:tc>
        <w:tc>
          <w:tcPr>
            <w:tcW w:w="860" w:type="pct"/>
            <w:tcBorders>
              <w:top w:val="single" w:sz="4" w:space="0" w:color="002060"/>
              <w:right w:val="single" w:sz="4" w:space="0" w:color="002060"/>
            </w:tcBorders>
            <w:shd w:val="clear" w:color="auto" w:fill="141B4D"/>
          </w:tcPr>
          <w:p w14:paraId="317F4AE0" w14:textId="0853E5E2" w:rsidR="00636F16" w:rsidRPr="00ED72E8" w:rsidRDefault="00ED72E8" w:rsidP="000871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W</w:t>
            </w:r>
            <w:r w:rsidR="00C9444A" w:rsidRPr="00ED72E8">
              <w:rPr>
                <w:b w:val="0"/>
                <w:bCs w:val="0"/>
                <w:sz w:val="20"/>
                <w:szCs w:val="20"/>
              </w:rPr>
              <w:t xml:space="preserve">hy </w:t>
            </w:r>
            <w:r w:rsidR="00C70F0E">
              <w:rPr>
                <w:b w:val="0"/>
                <w:bCs w:val="0"/>
                <w:sz w:val="20"/>
                <w:szCs w:val="20"/>
              </w:rPr>
              <w:t xml:space="preserve">the identified </w:t>
            </w:r>
            <w:r w:rsidR="00C9444A" w:rsidRPr="00ED72E8">
              <w:rPr>
                <w:b w:val="0"/>
                <w:bCs w:val="0"/>
                <w:sz w:val="20"/>
                <w:szCs w:val="20"/>
              </w:rPr>
              <w:t>detriment outweighs public benefit in disclosure</w:t>
            </w:r>
          </w:p>
        </w:tc>
      </w:tr>
      <w:tr w:rsidR="00A756FF" w:rsidRPr="00D02FB5" w14:paraId="6AE0EFDA" w14:textId="77777777" w:rsidTr="002D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pct"/>
            <w:shd w:val="clear" w:color="auto" w:fill="F1F1F1"/>
          </w:tcPr>
          <w:p w14:paraId="579226E5" w14:textId="2E6EA81F" w:rsidR="00971FE9" w:rsidRPr="007021DF" w:rsidRDefault="00DA2C3A" w:rsidP="00971FE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 xml:space="preserve">Page 2 </w:t>
            </w:r>
            <w:r w:rsidR="00BE589D"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>in</w:t>
            </w:r>
            <w:r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 xml:space="preserve"> the </w:t>
            </w:r>
            <w:r w:rsidR="00BE589D"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>c</w:t>
            </w:r>
            <w:r w:rsidRPr="007021DF">
              <w:rPr>
                <w:rFonts w:eastAsia="Times New Roman"/>
                <w:b w:val="0"/>
                <w:bCs w:val="0"/>
                <w:color w:val="000000"/>
                <w:sz w:val="18"/>
                <w:szCs w:val="18"/>
                <w:lang w:eastAsia="en-AU"/>
              </w:rPr>
              <w:t>over letter</w:t>
            </w:r>
          </w:p>
        </w:tc>
        <w:tc>
          <w:tcPr>
            <w:tcW w:w="586" w:type="pct"/>
            <w:shd w:val="clear" w:color="auto" w:fill="auto"/>
          </w:tcPr>
          <w:p w14:paraId="1CEB03BF" w14:textId="72213B34" w:rsidR="00971FE9" w:rsidRPr="007021DF" w:rsidRDefault="00971FE9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Staff contact details</w:t>
            </w:r>
            <w:r w:rsidR="00744F20" w:rsidRPr="007021DF">
              <w:rPr>
                <w:color w:val="000000" w:themeColor="text1"/>
                <w:sz w:val="18"/>
                <w:szCs w:val="18"/>
              </w:rPr>
              <w:t xml:space="preserve"> and signatures</w:t>
            </w:r>
          </w:p>
        </w:tc>
        <w:tc>
          <w:tcPr>
            <w:tcW w:w="396" w:type="pct"/>
            <w:shd w:val="clear" w:color="auto" w:fill="auto"/>
          </w:tcPr>
          <w:p w14:paraId="7EFB8715" w14:textId="4318E1F9" w:rsidR="00971FE9" w:rsidRPr="007021DF" w:rsidRDefault="000152AD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Submission c</w:t>
            </w:r>
            <w:r w:rsidR="003B3396" w:rsidRPr="007021DF">
              <w:rPr>
                <w:color w:val="000000" w:themeColor="text1"/>
                <w:sz w:val="18"/>
                <w:szCs w:val="18"/>
              </w:rPr>
              <w:t>over letter</w:t>
            </w:r>
          </w:p>
        </w:tc>
        <w:tc>
          <w:tcPr>
            <w:tcW w:w="570" w:type="pct"/>
            <w:shd w:val="clear" w:color="auto" w:fill="auto"/>
          </w:tcPr>
          <w:p w14:paraId="127A2286" w14:textId="6ABD95BA" w:rsidR="00971FE9" w:rsidRPr="007021DF" w:rsidRDefault="00A35285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Personal information</w:t>
            </w:r>
          </w:p>
        </w:tc>
        <w:tc>
          <w:tcPr>
            <w:tcW w:w="1024" w:type="pct"/>
            <w:shd w:val="clear" w:color="auto" w:fill="auto"/>
          </w:tcPr>
          <w:p w14:paraId="728B25C0" w14:textId="1CFC83FE" w:rsidR="00971FE9" w:rsidRPr="007021DF" w:rsidRDefault="003B3396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This contains the name and signa</w:t>
            </w:r>
            <w:r w:rsidR="00F07C51" w:rsidRPr="007021DF">
              <w:rPr>
                <w:color w:val="000000" w:themeColor="text1"/>
                <w:sz w:val="18"/>
                <w:szCs w:val="18"/>
              </w:rPr>
              <w:t>tures of personnel.</w:t>
            </w:r>
          </w:p>
        </w:tc>
        <w:tc>
          <w:tcPr>
            <w:tcW w:w="773" w:type="pct"/>
            <w:shd w:val="clear" w:color="auto" w:fill="auto"/>
          </w:tcPr>
          <w:p w14:paraId="5F3423FE" w14:textId="566710AA" w:rsidR="00971FE9" w:rsidRPr="007021DF" w:rsidRDefault="00F07C51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 xml:space="preserve">This would </w:t>
            </w:r>
            <w:r w:rsidR="00E1631C" w:rsidRPr="007021DF">
              <w:rPr>
                <w:color w:val="000000" w:themeColor="text1"/>
                <w:sz w:val="18"/>
                <w:szCs w:val="18"/>
              </w:rPr>
              <w:t>raise privacy considerations for personnel.</w:t>
            </w:r>
          </w:p>
        </w:tc>
        <w:tc>
          <w:tcPr>
            <w:tcW w:w="860" w:type="pct"/>
            <w:shd w:val="clear" w:color="auto" w:fill="auto"/>
          </w:tcPr>
          <w:p w14:paraId="6E55C12E" w14:textId="36C1CF1D" w:rsidR="00971FE9" w:rsidRPr="007021DF" w:rsidRDefault="00E1631C" w:rsidP="00971F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There is no public benefit</w:t>
            </w:r>
            <w:r w:rsidR="00386043" w:rsidRPr="007021DF">
              <w:rPr>
                <w:color w:val="000000" w:themeColor="text1"/>
                <w:sz w:val="18"/>
                <w:szCs w:val="18"/>
              </w:rPr>
              <w:t xml:space="preserve"> in disclosing private employee information.</w:t>
            </w:r>
          </w:p>
        </w:tc>
      </w:tr>
      <w:tr w:rsidR="00A756FF" w:rsidRPr="009A223F" w14:paraId="21926D6B" w14:textId="77777777" w:rsidTr="002D4801">
        <w:trPr>
          <w:cantSplit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pct"/>
            <w:shd w:val="clear" w:color="auto" w:fill="F1F1F1"/>
          </w:tcPr>
          <w:p w14:paraId="2DA8A547" w14:textId="578E8ACB" w:rsidR="009A223F" w:rsidRPr="008975BD" w:rsidRDefault="009A223F" w:rsidP="009A223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Table 4.</w:t>
            </w:r>
            <w:r w:rsidR="008975BD"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2</w:t>
            </w: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on page 4</w:t>
            </w:r>
            <w:r w:rsidR="002D4801">
              <w:rPr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of the 202</w:t>
            </w:r>
            <w:r w:rsidR="008975BD"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3</w:t>
            </w: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/2</w:t>
            </w:r>
            <w:r w:rsidR="008975BD"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4</w:t>
            </w: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electricity network pricing proposal</w:t>
            </w:r>
          </w:p>
        </w:tc>
        <w:tc>
          <w:tcPr>
            <w:tcW w:w="586" w:type="pct"/>
            <w:shd w:val="clear" w:color="auto" w:fill="auto"/>
          </w:tcPr>
          <w:p w14:paraId="39D96A70" w14:textId="21645965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Detailed</w:t>
            </w:r>
            <w:r w:rsidR="00B771B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975BD">
              <w:rPr>
                <w:color w:val="000000" w:themeColor="text1"/>
                <w:sz w:val="18"/>
                <w:szCs w:val="18"/>
              </w:rPr>
              <w:t>volume, and revenue data</w:t>
            </w:r>
          </w:p>
        </w:tc>
        <w:tc>
          <w:tcPr>
            <w:tcW w:w="396" w:type="pct"/>
            <w:shd w:val="clear" w:color="auto" w:fill="auto"/>
          </w:tcPr>
          <w:p w14:paraId="64D515C4" w14:textId="7EDC851C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 xml:space="preserve">Network electricity </w:t>
            </w:r>
            <w:r w:rsidR="00A756FF">
              <w:rPr>
                <w:color w:val="000000" w:themeColor="text1"/>
                <w:sz w:val="18"/>
                <w:szCs w:val="18"/>
              </w:rPr>
              <w:t>revenues and quantities</w:t>
            </w:r>
          </w:p>
        </w:tc>
        <w:tc>
          <w:tcPr>
            <w:tcW w:w="570" w:type="pct"/>
            <w:shd w:val="clear" w:color="auto" w:fill="auto"/>
          </w:tcPr>
          <w:p w14:paraId="4CDF52D3" w14:textId="77777777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Personal information</w:t>
            </w:r>
          </w:p>
          <w:p w14:paraId="5DB0DA31" w14:textId="77777777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shd w:val="clear" w:color="auto" w:fill="auto"/>
          </w:tcPr>
          <w:p w14:paraId="64AF6968" w14:textId="5B128C40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Table 4.</w:t>
            </w:r>
            <w:r w:rsidR="008975BD" w:rsidRPr="008975BD">
              <w:rPr>
                <w:color w:val="000000" w:themeColor="text1"/>
                <w:sz w:val="18"/>
                <w:szCs w:val="18"/>
              </w:rPr>
              <w:t>2</w:t>
            </w:r>
            <w:r w:rsidRPr="008975BD">
              <w:rPr>
                <w:color w:val="000000" w:themeColor="text1"/>
                <w:sz w:val="18"/>
                <w:szCs w:val="18"/>
              </w:rPr>
              <w:t xml:space="preserve"> in the electricity network pricing proposal contains individual customers’ volumes and revenue levels.</w:t>
            </w:r>
          </w:p>
        </w:tc>
        <w:tc>
          <w:tcPr>
            <w:tcW w:w="773" w:type="pct"/>
            <w:shd w:val="clear" w:color="auto" w:fill="auto"/>
          </w:tcPr>
          <w:p w14:paraId="386BB24B" w14:textId="7C4C3534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sz w:val="18"/>
                <w:szCs w:val="18"/>
              </w:rPr>
              <w:t xml:space="preserve">Full disclosure of Table 4.1 of the Pricing Proposal would reveal </w:t>
            </w:r>
            <w:r w:rsidRPr="008975BD">
              <w:rPr>
                <w:color w:val="000000" w:themeColor="text1"/>
                <w:sz w:val="18"/>
                <w:szCs w:val="18"/>
              </w:rPr>
              <w:t xml:space="preserve">private information relating to </w:t>
            </w:r>
            <w:r w:rsidRPr="008975BD">
              <w:rPr>
                <w:sz w:val="18"/>
                <w:szCs w:val="18"/>
              </w:rPr>
              <w:t>individual customers’ volumes and revenue levels.</w:t>
            </w:r>
          </w:p>
        </w:tc>
        <w:tc>
          <w:tcPr>
            <w:tcW w:w="860" w:type="pct"/>
            <w:shd w:val="clear" w:color="auto" w:fill="auto"/>
          </w:tcPr>
          <w:p w14:paraId="16A3B639" w14:textId="12A1F65E" w:rsidR="009A223F" w:rsidRPr="008975BD" w:rsidRDefault="009A223F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There is no public benefit in disclosing this information.</w:t>
            </w:r>
          </w:p>
        </w:tc>
      </w:tr>
      <w:tr w:rsidR="00A756FF" w:rsidRPr="001D1F69" w14:paraId="659E9F1F" w14:textId="77777777" w:rsidTr="002D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pct"/>
            <w:shd w:val="clear" w:color="auto" w:fill="F1F1F1"/>
          </w:tcPr>
          <w:p w14:paraId="1E7F07A0" w14:textId="735872D9" w:rsidR="009A223F" w:rsidRPr="008975BD" w:rsidRDefault="008975BD" w:rsidP="009A223F">
            <w:pPr>
              <w:spacing w:after="0" w:afterAutospacing="0"/>
              <w:ind w:right="-6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Labelled</w:t>
            </w:r>
            <w:r w:rsidR="009A223F"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confidential elements of the standardised pricing </w:t>
            </w: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model.</w:t>
            </w:r>
            <w:r w:rsidR="009A223F"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E56DA09" w14:textId="2F964D82" w:rsidR="009A223F" w:rsidRPr="008975BD" w:rsidRDefault="009A223F" w:rsidP="009A223F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8975BD">
              <w:rPr>
                <w:b w:val="0"/>
                <w:bCs w:val="0"/>
                <w:color w:val="000000" w:themeColor="text1"/>
                <w:sz w:val="18"/>
                <w:szCs w:val="18"/>
              </w:rPr>
              <w:t>The standardised model automatically redacts the confidential information.</w:t>
            </w:r>
          </w:p>
        </w:tc>
        <w:tc>
          <w:tcPr>
            <w:tcW w:w="586" w:type="pct"/>
            <w:shd w:val="clear" w:color="auto" w:fill="auto"/>
          </w:tcPr>
          <w:p w14:paraId="44F77FDC" w14:textId="6A752BF8" w:rsidR="009A223F" w:rsidRPr="008975BD" w:rsidRDefault="009A223F" w:rsidP="009A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Detailed pricing, volume, and revenue data, by tariff</w:t>
            </w:r>
          </w:p>
        </w:tc>
        <w:tc>
          <w:tcPr>
            <w:tcW w:w="396" w:type="pct"/>
            <w:shd w:val="clear" w:color="auto" w:fill="auto"/>
          </w:tcPr>
          <w:p w14:paraId="65F0E6AC" w14:textId="2C24AF4C" w:rsidR="009A223F" w:rsidRPr="008975BD" w:rsidRDefault="009A223F" w:rsidP="009A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Network electricity pricing</w:t>
            </w:r>
          </w:p>
        </w:tc>
        <w:tc>
          <w:tcPr>
            <w:tcW w:w="570" w:type="pct"/>
            <w:shd w:val="clear" w:color="auto" w:fill="auto"/>
          </w:tcPr>
          <w:p w14:paraId="65CE46D3" w14:textId="1665C729" w:rsidR="009A223F" w:rsidRPr="008975BD" w:rsidRDefault="009A223F" w:rsidP="009A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Personal information</w:t>
            </w:r>
          </w:p>
        </w:tc>
        <w:tc>
          <w:tcPr>
            <w:tcW w:w="1024" w:type="pct"/>
            <w:shd w:val="clear" w:color="auto" w:fill="auto"/>
          </w:tcPr>
          <w:p w14:paraId="357FED89" w14:textId="59962D7C" w:rsidR="009A223F" w:rsidRPr="008975BD" w:rsidRDefault="009A223F" w:rsidP="009A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The standardised pricing model contains some tariffs that have few customers and would therefore disclose individual customers’ consumption levels.</w:t>
            </w:r>
          </w:p>
        </w:tc>
        <w:tc>
          <w:tcPr>
            <w:tcW w:w="773" w:type="pct"/>
            <w:shd w:val="clear" w:color="auto" w:fill="auto"/>
          </w:tcPr>
          <w:p w14:paraId="07C8754B" w14:textId="0134B646" w:rsidR="009A223F" w:rsidRPr="008975BD" w:rsidRDefault="009A223F" w:rsidP="009A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8975BD">
              <w:rPr>
                <w:color w:val="000000" w:themeColor="text1"/>
                <w:sz w:val="18"/>
                <w:szCs w:val="18"/>
              </w:rPr>
              <w:t>This is private information relating to individual</w:t>
            </w:r>
            <w:r w:rsidR="008975BD">
              <w:rPr>
                <w:color w:val="000000" w:themeColor="text1"/>
                <w:sz w:val="18"/>
                <w:szCs w:val="18"/>
              </w:rPr>
              <w:t xml:space="preserve"> customer</w:t>
            </w:r>
            <w:r w:rsidRPr="008975BD">
              <w:rPr>
                <w:color w:val="000000" w:themeColor="text1"/>
                <w:sz w:val="18"/>
                <w:szCs w:val="18"/>
              </w:rPr>
              <w:t xml:space="preserve"> consumption levels.</w:t>
            </w:r>
          </w:p>
        </w:tc>
        <w:tc>
          <w:tcPr>
            <w:tcW w:w="860" w:type="pct"/>
            <w:shd w:val="clear" w:color="auto" w:fill="auto"/>
          </w:tcPr>
          <w:p w14:paraId="30486D87" w14:textId="6AD64CB3" w:rsidR="009A223F" w:rsidRPr="008975BD" w:rsidRDefault="009A223F" w:rsidP="009A22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75BD">
              <w:rPr>
                <w:color w:val="000000" w:themeColor="text1"/>
                <w:sz w:val="18"/>
                <w:szCs w:val="18"/>
              </w:rPr>
              <w:t>There is no public benefit in disclosing this information.</w:t>
            </w:r>
          </w:p>
        </w:tc>
      </w:tr>
      <w:tr w:rsidR="00C32605" w:rsidRPr="001D1F69" w14:paraId="7CDE0895" w14:textId="77777777" w:rsidTr="002D4801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pct"/>
            <w:shd w:val="clear" w:color="auto" w:fill="F1F1F1"/>
          </w:tcPr>
          <w:p w14:paraId="2D33430D" w14:textId="2760F7AD" w:rsidR="00C32605" w:rsidRDefault="00C32605" w:rsidP="009A223F">
            <w:pPr>
              <w:spacing w:after="0" w:afterAutospacing="0"/>
              <w:ind w:right="-6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Supporting Documentation: Transmission pricing advice email</w:t>
            </w:r>
          </w:p>
        </w:tc>
        <w:tc>
          <w:tcPr>
            <w:tcW w:w="586" w:type="pct"/>
            <w:shd w:val="clear" w:color="auto" w:fill="auto"/>
          </w:tcPr>
          <w:p w14:paraId="22A01495" w14:textId="77D7DDFD" w:rsidR="00C32605" w:rsidRPr="008975BD" w:rsidRDefault="00C32605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Transmission pricing advice for 2023/24</w:t>
            </w:r>
          </w:p>
        </w:tc>
        <w:tc>
          <w:tcPr>
            <w:tcW w:w="396" w:type="pct"/>
            <w:shd w:val="clear" w:color="auto" w:fill="auto"/>
          </w:tcPr>
          <w:p w14:paraId="72424DDA" w14:textId="42376C50" w:rsidR="00C32605" w:rsidRPr="008975BD" w:rsidRDefault="00C32605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Transmission pricing</w:t>
            </w:r>
          </w:p>
        </w:tc>
        <w:tc>
          <w:tcPr>
            <w:tcW w:w="570" w:type="pct"/>
            <w:shd w:val="clear" w:color="auto" w:fill="auto"/>
          </w:tcPr>
          <w:p w14:paraId="74B18719" w14:textId="0F9EF5BE" w:rsidR="00C32605" w:rsidRPr="008975BD" w:rsidRDefault="00C32605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Personal information</w:t>
            </w:r>
          </w:p>
        </w:tc>
        <w:tc>
          <w:tcPr>
            <w:tcW w:w="1024" w:type="pct"/>
            <w:shd w:val="clear" w:color="auto" w:fill="auto"/>
          </w:tcPr>
          <w:p w14:paraId="5998C14B" w14:textId="37ACBB96" w:rsidR="00C32605" w:rsidRPr="008975BD" w:rsidRDefault="00C32605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Email correspondence between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Transgrid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and Evoenergy, not intended for publication. Contains personal information of Evoenergy and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Transgrid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staff</w:t>
            </w:r>
          </w:p>
        </w:tc>
        <w:tc>
          <w:tcPr>
            <w:tcW w:w="773" w:type="pct"/>
            <w:shd w:val="clear" w:color="auto" w:fill="auto"/>
          </w:tcPr>
          <w:p w14:paraId="543C33C9" w14:textId="300FDD6F" w:rsidR="00C32605" w:rsidRPr="008975BD" w:rsidRDefault="00C32605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This would raise privacy considerations for personnel. </w:t>
            </w:r>
          </w:p>
        </w:tc>
        <w:tc>
          <w:tcPr>
            <w:tcW w:w="860" w:type="pct"/>
            <w:shd w:val="clear" w:color="auto" w:fill="auto"/>
          </w:tcPr>
          <w:p w14:paraId="249B822F" w14:textId="4C24DDAA" w:rsidR="00C32605" w:rsidRPr="008975BD" w:rsidRDefault="00C32605" w:rsidP="009A22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There is no public benefit in disclosing private employee information. </w:t>
            </w:r>
          </w:p>
        </w:tc>
      </w:tr>
      <w:tr w:rsidR="002D4801" w:rsidRPr="001D1F69" w14:paraId="3A944F38" w14:textId="77777777" w:rsidTr="002D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pct"/>
            <w:shd w:val="clear" w:color="auto" w:fill="F1F1F1"/>
          </w:tcPr>
          <w:p w14:paraId="0BDC092D" w14:textId="37B4AE0D" w:rsidR="002D4801" w:rsidRPr="002D4801" w:rsidRDefault="002D4801" w:rsidP="002D4801">
            <w:pPr>
              <w:spacing w:after="0" w:afterAutospacing="0"/>
              <w:ind w:right="-6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Supporting Documentation: Proof of debt for unpaid charges</w:t>
            </w:r>
          </w:p>
        </w:tc>
        <w:tc>
          <w:tcPr>
            <w:tcW w:w="586" w:type="pct"/>
            <w:shd w:val="clear" w:color="auto" w:fill="auto"/>
          </w:tcPr>
          <w:p w14:paraId="1358C49D" w14:textId="25FA57F3" w:rsidR="002D4801" w:rsidRDefault="002D4801" w:rsidP="002D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Proof of debt for unpaid charges (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RoLR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96" w:type="pct"/>
            <w:shd w:val="clear" w:color="auto" w:fill="auto"/>
          </w:tcPr>
          <w:p w14:paraId="4F7B7687" w14:textId="5D188BF6" w:rsidR="002D4801" w:rsidRDefault="002D4801" w:rsidP="002D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Network electricity pricing</w:t>
            </w:r>
          </w:p>
        </w:tc>
        <w:tc>
          <w:tcPr>
            <w:tcW w:w="570" w:type="pct"/>
            <w:shd w:val="clear" w:color="auto" w:fill="auto"/>
          </w:tcPr>
          <w:p w14:paraId="4E7EFB6C" w14:textId="4FCB37B4" w:rsidR="002D4801" w:rsidRDefault="002D4801" w:rsidP="002D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Personal information</w:t>
            </w:r>
          </w:p>
        </w:tc>
        <w:tc>
          <w:tcPr>
            <w:tcW w:w="1024" w:type="pct"/>
            <w:shd w:val="clear" w:color="auto" w:fill="auto"/>
          </w:tcPr>
          <w:p w14:paraId="78804B07" w14:textId="16FE3F8C" w:rsidR="002D4801" w:rsidRDefault="002D4801" w:rsidP="002D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Contains names and contact details of Evoenergy personnel</w:t>
            </w:r>
          </w:p>
        </w:tc>
        <w:tc>
          <w:tcPr>
            <w:tcW w:w="773" w:type="pct"/>
            <w:shd w:val="clear" w:color="auto" w:fill="auto"/>
          </w:tcPr>
          <w:p w14:paraId="6CCB41DA" w14:textId="76FF553E" w:rsidR="002D4801" w:rsidRDefault="002D4801" w:rsidP="002D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This would raise privacy considerations for personnel.</w:t>
            </w:r>
          </w:p>
        </w:tc>
        <w:tc>
          <w:tcPr>
            <w:tcW w:w="860" w:type="pct"/>
            <w:shd w:val="clear" w:color="auto" w:fill="auto"/>
          </w:tcPr>
          <w:p w14:paraId="4CAA4134" w14:textId="3C761E64" w:rsidR="002D4801" w:rsidRDefault="002D4801" w:rsidP="002D48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7021DF">
              <w:rPr>
                <w:color w:val="000000" w:themeColor="text1"/>
                <w:sz w:val="18"/>
                <w:szCs w:val="18"/>
              </w:rPr>
              <w:t>There is no public benefit in disclosing private employee information.</w:t>
            </w:r>
          </w:p>
        </w:tc>
      </w:tr>
    </w:tbl>
    <w:p w14:paraId="21B8733F" w14:textId="77777777" w:rsidR="002D4801" w:rsidRDefault="002D4801" w:rsidP="000B41DB">
      <w:pPr>
        <w:pStyle w:val="Tableheading"/>
        <w:keepNext/>
        <w:rPr>
          <w:color w:val="8B8D8D"/>
        </w:rPr>
      </w:pPr>
      <w:bookmarkStart w:id="1" w:name="_Toc126671787"/>
    </w:p>
    <w:p w14:paraId="4EF4244C" w14:textId="1A78A757" w:rsidR="00B45CA6" w:rsidRPr="00FA3D93" w:rsidRDefault="00B45CA6" w:rsidP="000B41DB">
      <w:pPr>
        <w:pStyle w:val="Tableheading"/>
        <w:keepNext/>
        <w:rPr>
          <w:color w:val="8B8D8D"/>
        </w:rPr>
      </w:pPr>
      <w:r w:rsidRPr="00FA3D93">
        <w:rPr>
          <w:color w:val="8B8D8D"/>
        </w:rPr>
        <w:t>Table 2 Proportion of confidential material</w:t>
      </w:r>
      <w:bookmarkEnd w:id="1"/>
    </w:p>
    <w:tbl>
      <w:tblPr>
        <w:tblW w:w="13882" w:type="dxa"/>
        <w:tblBorders>
          <w:top w:val="single" w:sz="4" w:space="0" w:color="141B4D"/>
          <w:left w:val="single" w:sz="4" w:space="0" w:color="141B4D"/>
          <w:bottom w:val="single" w:sz="4" w:space="0" w:color="141B4D"/>
          <w:right w:val="single" w:sz="4" w:space="0" w:color="141B4D"/>
          <w:insideH w:val="single" w:sz="4" w:space="0" w:color="141B4D"/>
          <w:insideV w:val="single" w:sz="4" w:space="0" w:color="141B4D"/>
        </w:tblBorders>
        <w:tblLook w:val="04A0" w:firstRow="1" w:lastRow="0" w:firstColumn="1" w:lastColumn="0" w:noHBand="0" w:noVBand="1"/>
      </w:tblPr>
      <w:tblGrid>
        <w:gridCol w:w="2272"/>
        <w:gridCol w:w="2322"/>
        <w:gridCol w:w="2322"/>
        <w:gridCol w:w="2322"/>
        <w:gridCol w:w="2322"/>
        <w:gridCol w:w="2322"/>
      </w:tblGrid>
      <w:tr w:rsidR="008E17F9" w:rsidRPr="00014DF6" w14:paraId="5BCDFA72" w14:textId="77777777" w:rsidTr="007F6BB6">
        <w:trPr>
          <w:trHeight w:val="975"/>
        </w:trPr>
        <w:tc>
          <w:tcPr>
            <w:tcW w:w="0" w:type="auto"/>
            <w:shd w:val="clear" w:color="auto" w:fill="141B4D"/>
            <w:vAlign w:val="center"/>
            <w:hideMark/>
          </w:tcPr>
          <w:p w14:paraId="217A73AD" w14:textId="444E8161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 xml:space="preserve">Submission </w:t>
            </w:r>
            <w:r w:rsidR="00301F1F"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t</w:t>
            </w: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itle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71B47D6D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  <w:t>Number of pages of submission that include information subject to a claim of confidentiality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343CA6AD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 w:themeColor="background1"/>
                <w:sz w:val="20"/>
                <w:szCs w:val="20"/>
                <w:lang w:eastAsia="en-AU"/>
              </w:rPr>
              <w:t>Number of pages of submission that do not include information subject to a claim of confidentiality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15D2F9DE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 xml:space="preserve">Total number of pages of submission 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59C863E8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Percentage of pages of submission that include information subject to a claim of confidentiality</w:t>
            </w:r>
          </w:p>
        </w:tc>
        <w:tc>
          <w:tcPr>
            <w:tcW w:w="2322" w:type="dxa"/>
            <w:shd w:val="clear" w:color="auto" w:fill="141B4D"/>
            <w:vAlign w:val="center"/>
            <w:hideMark/>
          </w:tcPr>
          <w:p w14:paraId="77ADA633" w14:textId="77777777" w:rsidR="008E17F9" w:rsidRPr="00014DF6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color w:val="FFFFFF"/>
                <w:sz w:val="20"/>
                <w:szCs w:val="20"/>
                <w:lang w:eastAsia="en-AU"/>
              </w:rPr>
            </w:pPr>
            <w:r w:rsidRPr="00014DF6">
              <w:rPr>
                <w:rFonts w:eastAsia="Times New Roman"/>
                <w:color w:val="FFFFFF"/>
                <w:sz w:val="20"/>
                <w:szCs w:val="20"/>
                <w:lang w:eastAsia="en-AU"/>
              </w:rPr>
              <w:t>Percentage of pages of submission that do not include information subject to a claim of confidentiality</w:t>
            </w:r>
          </w:p>
        </w:tc>
      </w:tr>
      <w:tr w:rsidR="008E17F9" w:rsidRPr="003A2764" w14:paraId="69B4DF22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</w:tcPr>
          <w:p w14:paraId="080DD470" w14:textId="5F271284" w:rsidR="008E17F9" w:rsidRPr="003A2764" w:rsidRDefault="0041143B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202</w:t>
            </w:r>
            <w:r w:rsidR="004F16EE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3</w:t>
            </w:r>
            <w:r w:rsidR="009A223F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/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</w:t>
            </w:r>
            <w:r w:rsidR="004F16EE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4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 xml:space="preserve"> </w:t>
            </w:r>
            <w:r w:rsidR="002B2C15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electricity network pricing proposal</w:t>
            </w:r>
            <w:r w:rsidR="005F6673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 xml:space="preserve"> </w:t>
            </w:r>
            <w:r w:rsidR="002B2C15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c</w:t>
            </w:r>
            <w:r w:rsidR="005F6673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 xml:space="preserve">over </w:t>
            </w:r>
            <w:r w:rsidR="002B2C15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l</w:t>
            </w:r>
            <w:r w:rsidR="005F6673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etter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59B8B2E" w14:textId="1B881496" w:rsidR="008E17F9" w:rsidRPr="008850A9" w:rsidRDefault="003A614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50A9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B3729EC" w14:textId="3FA0C7AA" w:rsidR="008E17F9" w:rsidRPr="008850A9" w:rsidRDefault="00B16D8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50A9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E4FFDC7" w14:textId="48D6ED46" w:rsidR="008E17F9" w:rsidRPr="008850A9" w:rsidRDefault="00B16D87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50A9">
              <w:rPr>
                <w:rFonts w:eastAsia="Times New Roman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DC79A3A" w14:textId="397FA61E" w:rsidR="008E17F9" w:rsidRPr="008850A9" w:rsidRDefault="009F18C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50A9">
              <w:rPr>
                <w:rFonts w:eastAsia="Times New Roman"/>
                <w:sz w:val="18"/>
                <w:szCs w:val="18"/>
                <w:lang w:eastAsia="en-AU"/>
              </w:rPr>
              <w:t>5</w:t>
            </w:r>
            <w:r w:rsidR="003A6147" w:rsidRPr="008850A9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D74823B" w14:textId="70B18E4A" w:rsidR="008E17F9" w:rsidRPr="008850A9" w:rsidRDefault="009F18C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8850A9">
              <w:rPr>
                <w:rFonts w:eastAsia="Times New Roman"/>
                <w:sz w:val="18"/>
                <w:szCs w:val="18"/>
                <w:lang w:eastAsia="en-AU"/>
              </w:rPr>
              <w:t>50</w:t>
            </w:r>
            <w:r w:rsidR="003A6147" w:rsidRPr="008850A9">
              <w:rPr>
                <w:rFonts w:eastAsia="Times New Roman"/>
                <w:sz w:val="18"/>
                <w:szCs w:val="18"/>
                <w:lang w:eastAsia="en-AU"/>
              </w:rPr>
              <w:t>%</w:t>
            </w:r>
          </w:p>
        </w:tc>
      </w:tr>
      <w:tr w:rsidR="001C1661" w:rsidRPr="003A2764" w14:paraId="7869F8AF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</w:tcPr>
          <w:p w14:paraId="6734FBD6" w14:textId="7C737938" w:rsidR="001C1661" w:rsidRPr="003A2764" w:rsidRDefault="001C1661" w:rsidP="001C1661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202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3</w:t>
            </w:r>
            <w:r w:rsidR="002B2C15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/</w:t>
            </w:r>
            <w:r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</w:t>
            </w:r>
            <w:r w:rsidR="00B2531D" w:rsidRPr="003A2764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4</w:t>
            </w:r>
            <w:r w:rsidRPr="003A2764">
              <w:rPr>
                <w:b/>
                <w:bCs/>
                <w:color w:val="141B4D"/>
              </w:rPr>
              <w:t xml:space="preserve"> </w:t>
            </w:r>
            <w:r w:rsidR="002B2C15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Electricity ne</w:t>
            </w:r>
            <w:r w:rsidR="00E815A0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twork pricing proposal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6AE1D5A" w14:textId="0F0EED05" w:rsidR="001C1661" w:rsidRPr="003354EC" w:rsidRDefault="00FA6A8A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0A8F305" w14:textId="1E01CD0D" w:rsidR="001C1661" w:rsidRPr="003354EC" w:rsidRDefault="003354EC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7</w:t>
            </w:r>
            <w:r w:rsidR="00FA6A8A">
              <w:rPr>
                <w:rFonts w:eastAsia="Times New Roman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C7FBAE4" w14:textId="7299FB86" w:rsidR="001C1661" w:rsidRPr="003354EC" w:rsidRDefault="003354EC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7</w:t>
            </w:r>
            <w:r w:rsidR="00FA6A8A">
              <w:rPr>
                <w:rFonts w:eastAsia="Times New Roman"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B319FE3" w14:textId="4CED0C05" w:rsidR="001C1661" w:rsidRPr="003354EC" w:rsidRDefault="00FA6A8A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1</w:t>
            </w:r>
            <w:r w:rsidR="001C1661" w:rsidRPr="003354EC">
              <w:rPr>
                <w:rFonts w:eastAsia="Times New Roman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9CF7FE4" w14:textId="527600CB" w:rsidR="001C1661" w:rsidRPr="003354EC" w:rsidRDefault="003354EC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9</w:t>
            </w:r>
            <w:r w:rsidR="00FA6A8A">
              <w:rPr>
                <w:rFonts w:eastAsia="Times New Roman"/>
                <w:sz w:val="18"/>
                <w:szCs w:val="18"/>
                <w:lang w:eastAsia="en-AU"/>
              </w:rPr>
              <w:t>9</w:t>
            </w:r>
            <w:r w:rsidR="001C1661" w:rsidRPr="003354EC">
              <w:rPr>
                <w:rFonts w:eastAsia="Times New Roman"/>
                <w:sz w:val="18"/>
                <w:szCs w:val="18"/>
                <w:lang w:eastAsia="en-AU"/>
              </w:rPr>
              <w:t>%</w:t>
            </w:r>
          </w:p>
        </w:tc>
      </w:tr>
      <w:tr w:rsidR="008E17F9" w:rsidRPr="003A2764" w14:paraId="3376A6AE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  <w:hideMark/>
          </w:tcPr>
          <w:p w14:paraId="5AE1030D" w14:textId="5779AC17" w:rsidR="008E17F9" w:rsidRPr="003A2764" w:rsidRDefault="00E815A0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2023/24 standardised pricing model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053EF28D" w14:textId="4A2FEB9D" w:rsidR="008E17F9" w:rsidRPr="003354EC" w:rsidRDefault="008850A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5AEBC31E" w14:textId="50AD1E1A" w:rsidR="008E17F9" w:rsidRPr="003354EC" w:rsidRDefault="008850A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1A94312" w14:textId="756BB542" w:rsidR="008E17F9" w:rsidRPr="003354EC" w:rsidRDefault="008850A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757ED5F7" w14:textId="17BF7ADC" w:rsidR="008E17F9" w:rsidRPr="003354EC" w:rsidRDefault="008850A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10</w:t>
            </w:r>
            <w:r w:rsidR="008E17F9" w:rsidRPr="003354EC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DE34910" w14:textId="4C1ED0F9" w:rsidR="008E17F9" w:rsidRPr="003354EC" w:rsidRDefault="008E17F9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</w:tr>
      <w:tr w:rsidR="00C32605" w:rsidRPr="00800FD8" w14:paraId="11CD7B0E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</w:tcPr>
          <w:p w14:paraId="48190850" w14:textId="1133AF4D" w:rsidR="00C32605" w:rsidRPr="003354EC" w:rsidRDefault="00C32605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Transmission Pricing Advice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360B457" w14:textId="4E0A7360" w:rsidR="00C32605" w:rsidRPr="00C32605" w:rsidRDefault="00C3260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C32605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FF327D3" w14:textId="01F90751" w:rsidR="00C32605" w:rsidRPr="00C32605" w:rsidRDefault="00C3260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C32605">
              <w:rPr>
                <w:rFonts w:eastAsia="Times New Roman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E4BA8AA" w14:textId="499A4EF2" w:rsidR="00C32605" w:rsidRPr="00C32605" w:rsidRDefault="00C3260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C32605">
              <w:rPr>
                <w:rFonts w:eastAsia="Times New Roman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7924185" w14:textId="5E9E515D" w:rsidR="00C32605" w:rsidRPr="00C32605" w:rsidRDefault="00C3260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C32605">
              <w:rPr>
                <w:rFonts w:eastAsia="Times New Roman"/>
                <w:sz w:val="18"/>
                <w:szCs w:val="18"/>
                <w:lang w:eastAsia="en-AU"/>
              </w:rPr>
              <w:t>100%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0E87B43" w14:textId="0BD5A703" w:rsidR="00C32605" w:rsidRPr="00C32605" w:rsidRDefault="00C32605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 w:rsidRPr="00C32605"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</w:tr>
      <w:tr w:rsidR="002D4801" w:rsidRPr="00800FD8" w14:paraId="6011EACF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</w:tcPr>
          <w:p w14:paraId="4EC2B751" w14:textId="252C4746" w:rsidR="002D4801" w:rsidRDefault="002D4801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Proof of debt documentation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EFF6F93" w14:textId="2EB7063F" w:rsidR="002D4801" w:rsidRPr="00C32605" w:rsidRDefault="002D4801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8682960" w14:textId="3E77731B" w:rsidR="002D4801" w:rsidRPr="00C32605" w:rsidRDefault="002D4801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F0832F2" w14:textId="0787B2F2" w:rsidR="002D4801" w:rsidRPr="00C32605" w:rsidRDefault="002D4801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8975D68" w14:textId="01189717" w:rsidR="002D4801" w:rsidRPr="00C32605" w:rsidRDefault="002D4801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100%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1E74369" w14:textId="04B321A4" w:rsidR="002D4801" w:rsidRPr="00C32605" w:rsidRDefault="002D4801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sz w:val="18"/>
                <w:szCs w:val="18"/>
                <w:lang w:eastAsia="en-AU"/>
              </w:rPr>
              <w:t>0%</w:t>
            </w:r>
          </w:p>
        </w:tc>
      </w:tr>
      <w:tr w:rsidR="008E17F9" w:rsidRPr="00800FD8" w14:paraId="28EDC776" w14:textId="77777777" w:rsidTr="00A97312">
        <w:trPr>
          <w:trHeight w:val="315"/>
        </w:trPr>
        <w:tc>
          <w:tcPr>
            <w:tcW w:w="0" w:type="auto"/>
            <w:shd w:val="clear" w:color="auto" w:fill="F1F1F1"/>
            <w:vAlign w:val="center"/>
            <w:hideMark/>
          </w:tcPr>
          <w:p w14:paraId="52351246" w14:textId="77777777" w:rsidR="008E17F9" w:rsidRPr="003354EC" w:rsidRDefault="008E17F9" w:rsidP="00041CCC">
            <w:pPr>
              <w:spacing w:before="0" w:beforeAutospacing="0" w:after="0" w:afterAutospacing="0" w:line="240" w:lineRule="auto"/>
              <w:ind w:right="0"/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b/>
                <w:bCs/>
                <w:color w:val="141B4D"/>
                <w:sz w:val="18"/>
                <w:szCs w:val="18"/>
                <w:lang w:eastAsia="en-AU"/>
              </w:rPr>
              <w:t>Total*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590AF799" w14:textId="766F0719" w:rsidR="008E17F9" w:rsidRPr="003354EC" w:rsidRDefault="00FA6A8A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4C98AAB" w14:textId="1A7A08B8" w:rsidR="008E17F9" w:rsidRPr="003354EC" w:rsidRDefault="003354EC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7</w:t>
            </w:r>
            <w:r w:rsidR="00FA6A8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12D96CAF" w14:textId="6386E161" w:rsidR="008E17F9" w:rsidRPr="003354EC" w:rsidRDefault="00FA6A8A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78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3A2B2FA5" w14:textId="1F3C53F9" w:rsidR="008E17F9" w:rsidRPr="003354EC" w:rsidRDefault="00FA6A8A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3</w:t>
            </w:r>
            <w:r w:rsidR="008E17F9" w:rsidRPr="003354EC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25CF9E04" w14:textId="6504A969" w:rsidR="008E17F9" w:rsidRPr="003354EC" w:rsidRDefault="003354EC" w:rsidP="002D177F">
            <w:pPr>
              <w:spacing w:before="0" w:beforeAutospacing="0" w:after="0" w:afterAutospacing="0" w:line="240" w:lineRule="auto"/>
              <w:ind w:right="0"/>
              <w:jc w:val="center"/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</w:pPr>
            <w:r w:rsidRPr="003354EC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9</w:t>
            </w:r>
            <w:r w:rsidR="00FA6A8A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7</w:t>
            </w:r>
            <w:r w:rsidR="008E17F9" w:rsidRPr="003354EC">
              <w:rPr>
                <w:rFonts w:eastAsia="Times New Roman"/>
                <w:b/>
                <w:bCs/>
                <w:sz w:val="18"/>
                <w:szCs w:val="18"/>
                <w:lang w:eastAsia="en-AU"/>
              </w:rPr>
              <w:t>%</w:t>
            </w:r>
          </w:p>
        </w:tc>
      </w:tr>
    </w:tbl>
    <w:p w14:paraId="2ED83283" w14:textId="612D3AC3" w:rsidR="002F496D" w:rsidRPr="007D7CA5" w:rsidRDefault="00FD064A" w:rsidP="00C93E28">
      <w:pPr>
        <w:pStyle w:val="BodyText1"/>
        <w:ind w:right="-1894"/>
        <w:jc w:val="both"/>
        <w:rPr>
          <w:i/>
          <w:iCs/>
          <w:sz w:val="18"/>
          <w:szCs w:val="18"/>
        </w:rPr>
      </w:pPr>
      <w:r w:rsidRPr="00491F6B">
        <w:rPr>
          <w:i/>
          <w:iCs/>
          <w:sz w:val="18"/>
          <w:szCs w:val="18"/>
        </w:rPr>
        <w:t>*</w:t>
      </w:r>
      <w:r w:rsidR="00A4467B" w:rsidRPr="00491F6B">
        <w:rPr>
          <w:i/>
          <w:iCs/>
          <w:sz w:val="18"/>
          <w:szCs w:val="18"/>
        </w:rPr>
        <w:t xml:space="preserve">Total excludes </w:t>
      </w:r>
      <w:r w:rsidR="00E2459E" w:rsidRPr="00491F6B">
        <w:rPr>
          <w:i/>
          <w:iCs/>
          <w:sz w:val="18"/>
          <w:szCs w:val="18"/>
        </w:rPr>
        <w:t xml:space="preserve">the </w:t>
      </w:r>
      <w:r w:rsidR="008136F7">
        <w:rPr>
          <w:i/>
          <w:iCs/>
          <w:sz w:val="18"/>
          <w:szCs w:val="18"/>
        </w:rPr>
        <w:t>pricing proposal</w:t>
      </w:r>
      <w:r w:rsidR="00E2459E" w:rsidRPr="00491F6B">
        <w:rPr>
          <w:i/>
          <w:iCs/>
          <w:sz w:val="18"/>
          <w:szCs w:val="18"/>
        </w:rPr>
        <w:t xml:space="preserve"> </w:t>
      </w:r>
      <w:r w:rsidR="00986E8E">
        <w:rPr>
          <w:i/>
          <w:iCs/>
          <w:sz w:val="18"/>
          <w:szCs w:val="18"/>
        </w:rPr>
        <w:t>c</w:t>
      </w:r>
      <w:r w:rsidR="00DA2C3A" w:rsidRPr="00491F6B">
        <w:rPr>
          <w:i/>
          <w:iCs/>
          <w:sz w:val="18"/>
          <w:szCs w:val="18"/>
        </w:rPr>
        <w:t xml:space="preserve">over </w:t>
      </w:r>
      <w:r w:rsidR="00986E8E">
        <w:rPr>
          <w:i/>
          <w:iCs/>
          <w:sz w:val="18"/>
          <w:szCs w:val="18"/>
        </w:rPr>
        <w:t>l</w:t>
      </w:r>
      <w:r w:rsidR="00DA2C3A" w:rsidRPr="00491F6B">
        <w:rPr>
          <w:i/>
          <w:iCs/>
          <w:sz w:val="18"/>
          <w:szCs w:val="18"/>
        </w:rPr>
        <w:t>etter</w:t>
      </w:r>
      <w:r w:rsidR="00C32605">
        <w:rPr>
          <w:i/>
          <w:iCs/>
          <w:sz w:val="18"/>
          <w:szCs w:val="18"/>
        </w:rPr>
        <w:t xml:space="preserve"> and supporting documentation</w:t>
      </w:r>
      <w:r w:rsidR="00C93E28" w:rsidRPr="00491F6B">
        <w:rPr>
          <w:i/>
          <w:iCs/>
          <w:sz w:val="18"/>
          <w:szCs w:val="18"/>
        </w:rPr>
        <w:t>; Note:</w:t>
      </w:r>
      <w:r w:rsidR="00EE1848" w:rsidRPr="00491F6B">
        <w:rPr>
          <w:i/>
          <w:iCs/>
          <w:sz w:val="18"/>
          <w:szCs w:val="18"/>
        </w:rPr>
        <w:t xml:space="preserve"> </w:t>
      </w:r>
      <w:r w:rsidR="008850A9">
        <w:rPr>
          <w:i/>
          <w:iCs/>
          <w:sz w:val="18"/>
          <w:szCs w:val="18"/>
        </w:rPr>
        <w:t>Standardised pricing model is</w:t>
      </w:r>
      <w:r w:rsidR="00C93E28" w:rsidRPr="00491F6B">
        <w:rPr>
          <w:i/>
          <w:iCs/>
          <w:sz w:val="18"/>
          <w:szCs w:val="18"/>
        </w:rPr>
        <w:t xml:space="preserve"> counted as one page for this purpose</w:t>
      </w:r>
      <w:r w:rsidR="002D4801">
        <w:rPr>
          <w:i/>
          <w:iCs/>
          <w:sz w:val="18"/>
          <w:szCs w:val="18"/>
        </w:rPr>
        <w:t xml:space="preserve">, however Evoenergy is only claiming confidentiality over the relevant confidential information and not the entire model. Evoenergy has provided both public and confidential versions of the pricing model. </w:t>
      </w:r>
    </w:p>
    <w:sectPr w:rsidR="002F496D" w:rsidRPr="007D7CA5" w:rsidSect="009E602A">
      <w:headerReference w:type="default" r:id="rId10"/>
      <w:pgSz w:w="16840" w:h="11900" w:orient="landscape"/>
      <w:pgMar w:top="1418" w:right="3260" w:bottom="156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1EE0" w14:textId="77777777" w:rsidR="00984A86" w:rsidRDefault="00984A86" w:rsidP="00636F16">
      <w:pPr>
        <w:spacing w:before="0" w:after="0" w:line="240" w:lineRule="auto"/>
      </w:pPr>
      <w:r>
        <w:separator/>
      </w:r>
    </w:p>
  </w:endnote>
  <w:endnote w:type="continuationSeparator" w:id="0">
    <w:p w14:paraId="7E7047B7" w14:textId="77777777" w:rsidR="00984A86" w:rsidRDefault="00984A86" w:rsidP="00636F16">
      <w:pPr>
        <w:spacing w:before="0" w:after="0" w:line="240" w:lineRule="auto"/>
      </w:pPr>
      <w:r>
        <w:continuationSeparator/>
      </w:r>
    </w:p>
  </w:endnote>
  <w:endnote w:type="continuationNotice" w:id="1">
    <w:p w14:paraId="1B0F7628" w14:textId="77777777" w:rsidR="00984A86" w:rsidRDefault="00984A8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Microsoft New Tai Lue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A8019" w14:textId="77777777" w:rsidR="00984A86" w:rsidRDefault="00984A86" w:rsidP="00636F16">
      <w:pPr>
        <w:spacing w:before="0" w:after="0" w:line="240" w:lineRule="auto"/>
      </w:pPr>
      <w:r>
        <w:separator/>
      </w:r>
    </w:p>
  </w:footnote>
  <w:footnote w:type="continuationSeparator" w:id="0">
    <w:p w14:paraId="498AFF42" w14:textId="77777777" w:rsidR="00984A86" w:rsidRDefault="00984A86" w:rsidP="00636F16">
      <w:pPr>
        <w:spacing w:before="0" w:after="0" w:line="240" w:lineRule="auto"/>
      </w:pPr>
      <w:r>
        <w:continuationSeparator/>
      </w:r>
    </w:p>
  </w:footnote>
  <w:footnote w:type="continuationNotice" w:id="1">
    <w:p w14:paraId="7129B4DA" w14:textId="77777777" w:rsidR="00984A86" w:rsidRDefault="00984A8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2BD7" w14:textId="2067E37F" w:rsidR="00636F16" w:rsidRPr="00B16146" w:rsidRDefault="00B642C7" w:rsidP="00636F16">
    <w:pPr>
      <w:pStyle w:val="Header"/>
      <w:rPr>
        <w:b/>
        <w:sz w:val="24"/>
        <w:szCs w:val="24"/>
      </w:rPr>
    </w:pPr>
    <w:r w:rsidRPr="00B16146">
      <w:rPr>
        <w:noProof/>
        <w:sz w:val="24"/>
        <w:szCs w:val="24"/>
        <w:lang w:eastAsia="en-AU"/>
      </w:rPr>
      <w:drawing>
        <wp:anchor distT="0" distB="0" distL="114300" distR="114300" simplePos="0" relativeHeight="251658240" behindDoc="1" locked="0" layoutInCell="1" allowOverlap="1" wp14:anchorId="4CF1F6E2" wp14:editId="25FCC223">
          <wp:simplePos x="0" y="0"/>
          <wp:positionH relativeFrom="margin">
            <wp:posOffset>7197725</wp:posOffset>
          </wp:positionH>
          <wp:positionV relativeFrom="paragraph">
            <wp:posOffset>-108585</wp:posOffset>
          </wp:positionV>
          <wp:extent cx="1800000" cy="289846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energy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28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513" w:rsidRPr="00B16146">
      <w:rPr>
        <w:b/>
        <w:sz w:val="24"/>
        <w:szCs w:val="24"/>
      </w:rPr>
      <w:t>Evoenergy</w:t>
    </w:r>
    <w:r w:rsidR="00636F16" w:rsidRPr="00B16146">
      <w:rPr>
        <w:b/>
        <w:sz w:val="24"/>
        <w:szCs w:val="24"/>
      </w:rPr>
      <w:t xml:space="preserve"> </w:t>
    </w:r>
    <w:r w:rsidR="00FD1C4D" w:rsidRPr="00B16146">
      <w:rPr>
        <w:b/>
        <w:sz w:val="24"/>
        <w:szCs w:val="24"/>
      </w:rPr>
      <w:t>202</w:t>
    </w:r>
    <w:r w:rsidR="008612C5">
      <w:rPr>
        <w:b/>
        <w:sz w:val="24"/>
        <w:szCs w:val="24"/>
      </w:rPr>
      <w:t>3</w:t>
    </w:r>
    <w:r w:rsidR="00EC1A5A">
      <w:rPr>
        <w:b/>
        <w:sz w:val="24"/>
        <w:szCs w:val="24"/>
      </w:rPr>
      <w:t>/</w:t>
    </w:r>
    <w:r w:rsidR="00FD1C4D" w:rsidRPr="00B16146">
      <w:rPr>
        <w:b/>
        <w:sz w:val="24"/>
        <w:szCs w:val="24"/>
      </w:rPr>
      <w:t>2</w:t>
    </w:r>
    <w:r w:rsidR="008612C5">
      <w:rPr>
        <w:b/>
        <w:sz w:val="24"/>
        <w:szCs w:val="24"/>
      </w:rPr>
      <w:t>4</w:t>
    </w:r>
    <w:r w:rsidR="00FD1C4D" w:rsidRPr="00B16146">
      <w:rPr>
        <w:b/>
        <w:sz w:val="24"/>
        <w:szCs w:val="24"/>
      </w:rPr>
      <w:t xml:space="preserve"> </w:t>
    </w:r>
    <w:r w:rsidR="00EC1A5A">
      <w:rPr>
        <w:b/>
        <w:sz w:val="24"/>
        <w:szCs w:val="24"/>
      </w:rPr>
      <w:t>electricity network pricing proposal</w:t>
    </w:r>
    <w:r w:rsidR="00D46DB6" w:rsidRPr="00B16146">
      <w:rPr>
        <w:b/>
        <w:sz w:val="24"/>
        <w:szCs w:val="24"/>
      </w:rPr>
      <w:t xml:space="preserve"> </w:t>
    </w:r>
    <w:r w:rsidR="00DA4C0C" w:rsidRPr="00B16146">
      <w:rPr>
        <w:b/>
        <w:sz w:val="24"/>
        <w:szCs w:val="24"/>
      </w:rPr>
      <w:t>-</w:t>
    </w:r>
    <w:r w:rsidR="00636F16" w:rsidRPr="00B16146">
      <w:rPr>
        <w:b/>
        <w:sz w:val="24"/>
        <w:szCs w:val="24"/>
      </w:rPr>
      <w:t xml:space="preserve"> </w:t>
    </w:r>
    <w:r w:rsidR="002D4801">
      <w:rPr>
        <w:b/>
        <w:sz w:val="24"/>
        <w:szCs w:val="24"/>
      </w:rPr>
      <w:t>27</w:t>
    </w:r>
    <w:r w:rsidR="00636F16" w:rsidRPr="003A2764">
      <w:rPr>
        <w:b/>
        <w:sz w:val="24"/>
        <w:szCs w:val="24"/>
      </w:rPr>
      <w:t xml:space="preserve"> </w:t>
    </w:r>
    <w:r w:rsidR="008136F7">
      <w:rPr>
        <w:b/>
        <w:sz w:val="24"/>
        <w:szCs w:val="24"/>
      </w:rPr>
      <w:t>April</w:t>
    </w:r>
    <w:r w:rsidR="00636F16" w:rsidRPr="00B16146">
      <w:rPr>
        <w:b/>
        <w:sz w:val="24"/>
        <w:szCs w:val="24"/>
      </w:rPr>
      <w:t xml:space="preserve"> 20</w:t>
    </w:r>
    <w:r w:rsidR="006F70EB" w:rsidRPr="00B16146">
      <w:rPr>
        <w:b/>
        <w:sz w:val="24"/>
        <w:szCs w:val="24"/>
      </w:rPr>
      <w:t>2</w:t>
    </w:r>
    <w:r w:rsidR="004521EF">
      <w:rPr>
        <w:b/>
        <w:sz w:val="24"/>
        <w:szCs w:val="24"/>
      </w:rPr>
      <w:t>3</w:t>
    </w:r>
    <w:r w:rsidRPr="00B16146">
      <w:rPr>
        <w:b/>
        <w:sz w:val="24"/>
        <w:szCs w:val="24"/>
      </w:rPr>
      <w:t xml:space="preserve"> </w:t>
    </w:r>
  </w:p>
  <w:p w14:paraId="0738954D" w14:textId="77777777" w:rsidR="00636F16" w:rsidRDefault="00636F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1EAE"/>
    <w:multiLevelType w:val="multilevel"/>
    <w:tmpl w:val="EB4AF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color w:val="auto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476CDE"/>
    <w:multiLevelType w:val="hybridMultilevel"/>
    <w:tmpl w:val="52BC6996"/>
    <w:lvl w:ilvl="0" w:tplc="17CC4C02">
      <w:start w:val="5"/>
      <w:numFmt w:val="decimal"/>
      <w:lvlText w:val="Attachment %1. "/>
      <w:lvlJc w:val="left"/>
      <w:pPr>
        <w:ind w:left="720" w:hanging="360"/>
      </w:pPr>
      <w:rPr>
        <w:rFonts w:hint="default"/>
        <w:sz w:val="36"/>
        <w:szCs w:val="3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5314"/>
    <w:multiLevelType w:val="hybridMultilevel"/>
    <w:tmpl w:val="FFC84F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011060681">
    <w:abstractNumId w:val="0"/>
  </w:num>
  <w:num w:numId="2" w16cid:durableId="397754711">
    <w:abstractNumId w:val="1"/>
  </w:num>
  <w:num w:numId="3" w16cid:durableId="1244683883">
    <w:abstractNumId w:val="0"/>
  </w:num>
  <w:num w:numId="4" w16cid:durableId="15846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16"/>
    <w:rsid w:val="0000175F"/>
    <w:rsid w:val="00014DF6"/>
    <w:rsid w:val="000152AD"/>
    <w:rsid w:val="00021B1C"/>
    <w:rsid w:val="00027585"/>
    <w:rsid w:val="00034500"/>
    <w:rsid w:val="000360E8"/>
    <w:rsid w:val="000433EF"/>
    <w:rsid w:val="0008711C"/>
    <w:rsid w:val="000A0862"/>
    <w:rsid w:val="000B21C9"/>
    <w:rsid w:val="000B41DB"/>
    <w:rsid w:val="000C20B4"/>
    <w:rsid w:val="000E5E38"/>
    <w:rsid w:val="000F1147"/>
    <w:rsid w:val="000F209E"/>
    <w:rsid w:val="00114EE2"/>
    <w:rsid w:val="00124CCF"/>
    <w:rsid w:val="001321A8"/>
    <w:rsid w:val="00141259"/>
    <w:rsid w:val="001764CA"/>
    <w:rsid w:val="001A7B57"/>
    <w:rsid w:val="001C1661"/>
    <w:rsid w:val="001D1F69"/>
    <w:rsid w:val="001F5E17"/>
    <w:rsid w:val="001F79AE"/>
    <w:rsid w:val="001F7B0C"/>
    <w:rsid w:val="0023798A"/>
    <w:rsid w:val="0025034D"/>
    <w:rsid w:val="00251EA7"/>
    <w:rsid w:val="00255B25"/>
    <w:rsid w:val="00265C6F"/>
    <w:rsid w:val="0027475B"/>
    <w:rsid w:val="00280A16"/>
    <w:rsid w:val="00283E68"/>
    <w:rsid w:val="002A3077"/>
    <w:rsid w:val="002B2C15"/>
    <w:rsid w:val="002B39D1"/>
    <w:rsid w:val="002C1B83"/>
    <w:rsid w:val="002D177F"/>
    <w:rsid w:val="002D4801"/>
    <w:rsid w:val="002F496D"/>
    <w:rsid w:val="00301F1F"/>
    <w:rsid w:val="00302513"/>
    <w:rsid w:val="00315B37"/>
    <w:rsid w:val="00323CBF"/>
    <w:rsid w:val="00324197"/>
    <w:rsid w:val="003354EC"/>
    <w:rsid w:val="00350CF9"/>
    <w:rsid w:val="00360149"/>
    <w:rsid w:val="00373DB5"/>
    <w:rsid w:val="00386043"/>
    <w:rsid w:val="003A2764"/>
    <w:rsid w:val="003A6147"/>
    <w:rsid w:val="003B3396"/>
    <w:rsid w:val="003B33F0"/>
    <w:rsid w:val="003B4D60"/>
    <w:rsid w:val="003D211F"/>
    <w:rsid w:val="00402020"/>
    <w:rsid w:val="0041143B"/>
    <w:rsid w:val="0044319E"/>
    <w:rsid w:val="004521EF"/>
    <w:rsid w:val="0046559C"/>
    <w:rsid w:val="00491F6B"/>
    <w:rsid w:val="00495B73"/>
    <w:rsid w:val="004C4909"/>
    <w:rsid w:val="004C744B"/>
    <w:rsid w:val="004C75AE"/>
    <w:rsid w:val="004D11F9"/>
    <w:rsid w:val="004D6FCF"/>
    <w:rsid w:val="004E6D30"/>
    <w:rsid w:val="004F16EE"/>
    <w:rsid w:val="004F4016"/>
    <w:rsid w:val="00501473"/>
    <w:rsid w:val="005229E6"/>
    <w:rsid w:val="00541779"/>
    <w:rsid w:val="005520F3"/>
    <w:rsid w:val="00563EAE"/>
    <w:rsid w:val="00567365"/>
    <w:rsid w:val="0058712E"/>
    <w:rsid w:val="005A5D53"/>
    <w:rsid w:val="005B18AC"/>
    <w:rsid w:val="005B1EC8"/>
    <w:rsid w:val="005C7808"/>
    <w:rsid w:val="005F6673"/>
    <w:rsid w:val="006104C1"/>
    <w:rsid w:val="00613449"/>
    <w:rsid w:val="00616000"/>
    <w:rsid w:val="00636F16"/>
    <w:rsid w:val="00640C8B"/>
    <w:rsid w:val="00667FDA"/>
    <w:rsid w:val="00676C42"/>
    <w:rsid w:val="00693BB8"/>
    <w:rsid w:val="00697AB9"/>
    <w:rsid w:val="006A4049"/>
    <w:rsid w:val="006D0059"/>
    <w:rsid w:val="006D7760"/>
    <w:rsid w:val="006D7FEC"/>
    <w:rsid w:val="006E1C5F"/>
    <w:rsid w:val="006F70EB"/>
    <w:rsid w:val="007017A6"/>
    <w:rsid w:val="007021DF"/>
    <w:rsid w:val="00726515"/>
    <w:rsid w:val="0073732F"/>
    <w:rsid w:val="00744F20"/>
    <w:rsid w:val="00782430"/>
    <w:rsid w:val="007A579B"/>
    <w:rsid w:val="007B5828"/>
    <w:rsid w:val="007D7CA5"/>
    <w:rsid w:val="007F6BB6"/>
    <w:rsid w:val="00800FD8"/>
    <w:rsid w:val="008136F7"/>
    <w:rsid w:val="00821F73"/>
    <w:rsid w:val="008561AF"/>
    <w:rsid w:val="008612C5"/>
    <w:rsid w:val="0086211F"/>
    <w:rsid w:val="00862AD3"/>
    <w:rsid w:val="008668DB"/>
    <w:rsid w:val="0086724A"/>
    <w:rsid w:val="008850A9"/>
    <w:rsid w:val="00895572"/>
    <w:rsid w:val="008975BD"/>
    <w:rsid w:val="008C1811"/>
    <w:rsid w:val="008D763B"/>
    <w:rsid w:val="008D7FF5"/>
    <w:rsid w:val="008E17F9"/>
    <w:rsid w:val="008F47AE"/>
    <w:rsid w:val="009154E7"/>
    <w:rsid w:val="009202F3"/>
    <w:rsid w:val="0093277E"/>
    <w:rsid w:val="009505D0"/>
    <w:rsid w:val="00951EE4"/>
    <w:rsid w:val="00965712"/>
    <w:rsid w:val="00971FE9"/>
    <w:rsid w:val="0097304D"/>
    <w:rsid w:val="00984A86"/>
    <w:rsid w:val="00986E8E"/>
    <w:rsid w:val="009878FB"/>
    <w:rsid w:val="009A223F"/>
    <w:rsid w:val="009A440B"/>
    <w:rsid w:val="009C2B9F"/>
    <w:rsid w:val="009C2F5C"/>
    <w:rsid w:val="009D7B86"/>
    <w:rsid w:val="009E325D"/>
    <w:rsid w:val="009E602A"/>
    <w:rsid w:val="009F18C5"/>
    <w:rsid w:val="00A12A28"/>
    <w:rsid w:val="00A2507E"/>
    <w:rsid w:val="00A35285"/>
    <w:rsid w:val="00A36D04"/>
    <w:rsid w:val="00A4467B"/>
    <w:rsid w:val="00A756FF"/>
    <w:rsid w:val="00A86073"/>
    <w:rsid w:val="00A97312"/>
    <w:rsid w:val="00AA0C74"/>
    <w:rsid w:val="00AB2BA1"/>
    <w:rsid w:val="00AB44E3"/>
    <w:rsid w:val="00AB70A2"/>
    <w:rsid w:val="00AD6099"/>
    <w:rsid w:val="00AF7475"/>
    <w:rsid w:val="00B16146"/>
    <w:rsid w:val="00B16D87"/>
    <w:rsid w:val="00B20AA9"/>
    <w:rsid w:val="00B2531D"/>
    <w:rsid w:val="00B34B8F"/>
    <w:rsid w:val="00B45CA6"/>
    <w:rsid w:val="00B55431"/>
    <w:rsid w:val="00B642C7"/>
    <w:rsid w:val="00B74FDB"/>
    <w:rsid w:val="00B771B9"/>
    <w:rsid w:val="00B82C8C"/>
    <w:rsid w:val="00BB0D43"/>
    <w:rsid w:val="00BC30FD"/>
    <w:rsid w:val="00BC360D"/>
    <w:rsid w:val="00BD38DF"/>
    <w:rsid w:val="00BE0DE4"/>
    <w:rsid w:val="00BE589D"/>
    <w:rsid w:val="00BF2E4D"/>
    <w:rsid w:val="00C32605"/>
    <w:rsid w:val="00C52C64"/>
    <w:rsid w:val="00C57D5D"/>
    <w:rsid w:val="00C70F0E"/>
    <w:rsid w:val="00C8506D"/>
    <w:rsid w:val="00C93E28"/>
    <w:rsid w:val="00C9444A"/>
    <w:rsid w:val="00C94B80"/>
    <w:rsid w:val="00CB7343"/>
    <w:rsid w:val="00CB75CC"/>
    <w:rsid w:val="00CC22D8"/>
    <w:rsid w:val="00CC3C36"/>
    <w:rsid w:val="00CD12BF"/>
    <w:rsid w:val="00CD3B13"/>
    <w:rsid w:val="00D02FB5"/>
    <w:rsid w:val="00D100D8"/>
    <w:rsid w:val="00D1019B"/>
    <w:rsid w:val="00D124D8"/>
    <w:rsid w:val="00D36BCF"/>
    <w:rsid w:val="00D46632"/>
    <w:rsid w:val="00D46DB6"/>
    <w:rsid w:val="00D74163"/>
    <w:rsid w:val="00D83CFC"/>
    <w:rsid w:val="00DA2C3A"/>
    <w:rsid w:val="00DA4C0C"/>
    <w:rsid w:val="00DD4692"/>
    <w:rsid w:val="00DE1AF6"/>
    <w:rsid w:val="00DF68CC"/>
    <w:rsid w:val="00E06FFF"/>
    <w:rsid w:val="00E07532"/>
    <w:rsid w:val="00E1631C"/>
    <w:rsid w:val="00E2459E"/>
    <w:rsid w:val="00E4110F"/>
    <w:rsid w:val="00E702E8"/>
    <w:rsid w:val="00E815A0"/>
    <w:rsid w:val="00E85DFF"/>
    <w:rsid w:val="00E95C16"/>
    <w:rsid w:val="00E97AA3"/>
    <w:rsid w:val="00EC1A5A"/>
    <w:rsid w:val="00ED3060"/>
    <w:rsid w:val="00ED72E8"/>
    <w:rsid w:val="00EE1848"/>
    <w:rsid w:val="00EE3C19"/>
    <w:rsid w:val="00F07C51"/>
    <w:rsid w:val="00F35117"/>
    <w:rsid w:val="00F35DA0"/>
    <w:rsid w:val="00F4545E"/>
    <w:rsid w:val="00F554CE"/>
    <w:rsid w:val="00F66A56"/>
    <w:rsid w:val="00F7375F"/>
    <w:rsid w:val="00FA01C1"/>
    <w:rsid w:val="00FA3D93"/>
    <w:rsid w:val="00FA6A8A"/>
    <w:rsid w:val="00FD064A"/>
    <w:rsid w:val="00FD1C4D"/>
    <w:rsid w:val="00FD4BC8"/>
    <w:rsid w:val="00FE468B"/>
    <w:rsid w:val="00FE5606"/>
    <w:rsid w:val="00F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0AF90"/>
  <w15:chartTrackingRefBased/>
  <w15:docId w15:val="{70509901-8482-4DA9-9E80-336D7DD2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16"/>
    <w:pPr>
      <w:spacing w:before="100" w:beforeAutospacing="1" w:after="100" w:afterAutospacing="1" w:line="276" w:lineRule="auto"/>
      <w:ind w:right="-4"/>
    </w:pPr>
    <w:rPr>
      <w:rFonts w:ascii="Arial" w:eastAsia="Times" w:hAnsi="Arial" w:cs="Arial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F16"/>
    <w:pPr>
      <w:spacing w:before="480" w:beforeAutospacing="0" w:after="240" w:afterAutospacing="0" w:line="240" w:lineRule="auto"/>
      <w:ind w:right="0"/>
      <w:outlineLvl w:val="0"/>
    </w:pPr>
    <w:rPr>
      <w:rFonts w:cs="Times New Roman"/>
      <w:b/>
      <w:sz w:val="36"/>
      <w:szCs w:val="2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36F16"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F16"/>
    <w:pPr>
      <w:numPr>
        <w:ilvl w:val="2"/>
        <w:numId w:val="1"/>
      </w:numPr>
      <w:spacing w:before="240" w:beforeAutospacing="0" w:after="120" w:afterAutospacing="0" w:line="240" w:lineRule="exact"/>
      <w:ind w:right="0"/>
      <w:outlineLvl w:val="2"/>
    </w:pPr>
    <w:rPr>
      <w:rFonts w:cs="Times New Roman"/>
      <w:b/>
      <w:color w:val="000000" w:themeColor="text1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F16"/>
    <w:rPr>
      <w:rFonts w:ascii="Arial" w:eastAsia="Times" w:hAnsi="Arial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36F16"/>
    <w:rPr>
      <w:rFonts w:ascii="Arial" w:eastAsia="Times" w:hAnsi="Arial" w:cs="Times New Roman"/>
      <w:b/>
      <w:color w:val="000000" w:themeColor="text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6F16"/>
    <w:rPr>
      <w:rFonts w:ascii="Arial" w:eastAsia="Times" w:hAnsi="Arial" w:cs="Times New Roman"/>
      <w:b/>
      <w:color w:val="000000" w:themeColor="text1"/>
      <w:szCs w:val="20"/>
    </w:rPr>
  </w:style>
  <w:style w:type="paragraph" w:styleId="Footer">
    <w:name w:val="footer"/>
    <w:basedOn w:val="Normal"/>
    <w:link w:val="FooterChar"/>
    <w:uiPriority w:val="99"/>
    <w:unhideWhenUsed/>
    <w:rsid w:val="00636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F16"/>
    <w:rPr>
      <w:rFonts w:ascii="Arial" w:eastAsia="Times" w:hAnsi="Arial" w:cs="Arial"/>
      <w:sz w:val="21"/>
      <w:szCs w:val="21"/>
    </w:rPr>
  </w:style>
  <w:style w:type="table" w:styleId="TableGrid">
    <w:name w:val="Table Grid"/>
    <w:basedOn w:val="TableNormal"/>
    <w:uiPriority w:val="59"/>
    <w:rsid w:val="00636F1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6F1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16"/>
    <w:rPr>
      <w:rFonts w:ascii="Arial" w:eastAsia="Times" w:hAnsi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F7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73"/>
    <w:rPr>
      <w:rFonts w:ascii="Segoe UI" w:eastAsia="Times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30251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A7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57"/>
    <w:rPr>
      <w:rFonts w:ascii="Arial" w:eastAsia="Times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57"/>
    <w:rPr>
      <w:rFonts w:ascii="Arial" w:eastAsia="Times" w:hAnsi="Arial" w:cs="Arial"/>
      <w:b/>
      <w:bCs/>
      <w:sz w:val="20"/>
      <w:szCs w:val="20"/>
    </w:rPr>
  </w:style>
  <w:style w:type="character" w:customStyle="1" w:styleId="AERtextitalic">
    <w:name w:val="AER text italic"/>
    <w:qFormat/>
    <w:rsid w:val="00350CF9"/>
    <w:rPr>
      <w:i/>
    </w:rPr>
  </w:style>
  <w:style w:type="paragraph" w:styleId="Revision">
    <w:name w:val="Revision"/>
    <w:hidden/>
    <w:uiPriority w:val="99"/>
    <w:semiHidden/>
    <w:rsid w:val="00B82C8C"/>
    <w:pPr>
      <w:spacing w:after="0" w:line="240" w:lineRule="auto"/>
    </w:pPr>
    <w:rPr>
      <w:rFonts w:ascii="Arial" w:eastAsia="Times" w:hAnsi="Arial" w:cs="Arial"/>
      <w:sz w:val="21"/>
      <w:szCs w:val="21"/>
    </w:rPr>
  </w:style>
  <w:style w:type="paragraph" w:customStyle="1" w:styleId="AERtabletextleft">
    <w:name w:val="AER table text left"/>
    <w:qFormat/>
    <w:rsid w:val="002F496D"/>
    <w:pPr>
      <w:spacing w:before="80" w:after="120" w:line="288" w:lineRule="auto"/>
    </w:pPr>
    <w:rPr>
      <w:rFonts w:ascii="Gautami" w:eastAsia="Times New Roman" w:hAnsi="Gautami" w:cs="Times New Roman"/>
      <w:sz w:val="16"/>
      <w:szCs w:val="24"/>
    </w:rPr>
  </w:style>
  <w:style w:type="character" w:customStyle="1" w:styleId="AERtexthighlight">
    <w:name w:val="AER text highlight"/>
    <w:qFormat/>
    <w:rsid w:val="002F496D"/>
    <w:rPr>
      <w:bdr w:val="none" w:sz="0" w:space="0" w:color="auto"/>
      <w:shd w:val="clear" w:color="auto" w:fill="FFFF00"/>
    </w:rPr>
  </w:style>
  <w:style w:type="paragraph" w:customStyle="1" w:styleId="Tableheading">
    <w:name w:val="Table heading."/>
    <w:basedOn w:val="Caption"/>
    <w:link w:val="TableheadingChar"/>
    <w:qFormat/>
    <w:rsid w:val="00141259"/>
    <w:pPr>
      <w:spacing w:beforeAutospacing="0" w:afterAutospacing="0"/>
      <w:ind w:right="0"/>
    </w:pPr>
    <w:rPr>
      <w:rFonts w:eastAsiaTheme="minorHAnsi"/>
      <w:b/>
      <w:bCs/>
      <w:color w:val="2F5496" w:themeColor="accent5" w:themeShade="BF"/>
      <w:sz w:val="22"/>
      <w:szCs w:val="22"/>
    </w:rPr>
  </w:style>
  <w:style w:type="character" w:customStyle="1" w:styleId="TableheadingChar">
    <w:name w:val="Table heading. Char"/>
    <w:basedOn w:val="DefaultParagraphFont"/>
    <w:link w:val="Tableheading"/>
    <w:rsid w:val="00141259"/>
    <w:rPr>
      <w:rFonts w:ascii="Arial" w:hAnsi="Arial" w:cs="Arial"/>
      <w:b/>
      <w:bCs/>
      <w:i/>
      <w:iCs/>
      <w:color w:val="2F5496" w:themeColor="accent5" w:themeShade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125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BodyText1">
    <w:name w:val="Body Text1"/>
    <w:basedOn w:val="Normal"/>
    <w:link w:val="BodytextChar"/>
    <w:qFormat/>
    <w:rsid w:val="004F16EE"/>
    <w:pPr>
      <w:spacing w:before="120" w:beforeAutospacing="0" w:after="240" w:afterAutospacing="0" w:line="240" w:lineRule="auto"/>
      <w:ind w:right="0"/>
    </w:pPr>
    <w:rPr>
      <w:rFonts w:eastAsiaTheme="minorHAnsi"/>
      <w:color w:val="000000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1"/>
    <w:rsid w:val="004F16EE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9A2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E63E96D05094AB1CA15489F667C65" ma:contentTypeVersion="8" ma:contentTypeDescription="Create a new document." ma:contentTypeScope="" ma:versionID="7173db304f99002df1d96cb9ad556ad3">
  <xsd:schema xmlns:xsd="http://www.w3.org/2001/XMLSchema" xmlns:xs="http://www.w3.org/2001/XMLSchema" xmlns:p="http://schemas.microsoft.com/office/2006/metadata/properties" xmlns:ns1="http://schemas.microsoft.com/sharepoint/v3" xmlns:ns2="5e9c79c8-7346-4c91-8c11-e291e47df6e2" xmlns:ns3="e37e8914-3892-4d44-8dbd-32e6a5febb74" targetNamespace="http://schemas.microsoft.com/office/2006/metadata/properties" ma:root="true" ma:fieldsID="f912ce8d6f52c2e9a690e197daf37590" ns1:_="" ns2:_="" ns3:_="">
    <xsd:import namespace="http://schemas.microsoft.com/sharepoint/v3"/>
    <xsd:import namespace="5e9c79c8-7346-4c91-8c11-e291e47df6e2"/>
    <xsd:import namespace="e37e8914-3892-4d44-8dbd-32e6a5febb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c79c8-7346-4c91-8c11-e291e47df6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e8914-3892-4d44-8dbd-32e6a5feb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088ED8-7A68-4CA3-9108-59265A4B4A92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e37e8914-3892-4d44-8dbd-32e6a5febb74"/>
    <ds:schemaRef ds:uri="5e9c79c8-7346-4c91-8c11-e291e47df6e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D0DDDE1-4B12-4137-A6EF-42CCE79F7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D7675-7956-4C24-BC37-C6E771B55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9c79c8-7346-4c91-8c11-e291e47df6e2"/>
    <ds:schemaRef ds:uri="e37e8914-3892-4d44-8dbd-32e6a5feb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ActewAGL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Yee, Patrice</dc:creator>
  <cp:keywords/>
  <dc:description/>
  <cp:lastModifiedBy>Lev Yulin</cp:lastModifiedBy>
  <cp:revision>78</cp:revision>
  <cp:lastPrinted>2018-03-15T03:10:00Z</cp:lastPrinted>
  <dcterms:created xsi:type="dcterms:W3CDTF">2023-02-07T04:36:00Z</dcterms:created>
  <dcterms:modified xsi:type="dcterms:W3CDTF">2023-04-27T05:41:00Z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0x010100093E63E96D05094AB1CA15489F667C65</vt:lpwstr>
  </property>
</Properties>
</file>