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49" w:rsidRDefault="00854049" w:rsidP="008B6FF6">
      <w:pPr>
        <w:pStyle w:val="Heading1"/>
        <w:numPr>
          <w:ilvl w:val="0"/>
          <w:numId w:val="0"/>
        </w:numPr>
      </w:pPr>
      <w:r>
        <w:t>Overview</w:t>
      </w:r>
    </w:p>
    <w:p w:rsidR="00854049" w:rsidRDefault="00854049" w:rsidP="00854049">
      <w:pPr>
        <w:jc w:val="both"/>
      </w:pPr>
      <w:r>
        <w:t>This discussion paper has been prepared to support the foundation principle that</w:t>
      </w:r>
      <w:r w:rsidR="00C61A21">
        <w:t xml:space="preserve">, under BAU conditions, </w:t>
      </w:r>
      <w:r>
        <w:t>an</w:t>
      </w:r>
      <w:r w:rsidRPr="00C51C24">
        <w:t xml:space="preserve"> </w:t>
      </w:r>
      <w:r>
        <w:t xml:space="preserve">asset defect </w:t>
      </w:r>
      <w:r w:rsidR="008B6FF6">
        <w:t xml:space="preserve">should be </w:t>
      </w:r>
      <w:r w:rsidR="00740AA0">
        <w:t xml:space="preserve">prioritised for repair based upon </w:t>
      </w:r>
      <w:r w:rsidR="008B6FF6">
        <w:t xml:space="preserve">the risk exposure from the defect, and </w:t>
      </w:r>
      <w:r w:rsidR="00740AA0">
        <w:t xml:space="preserve">the same </w:t>
      </w:r>
      <w:r w:rsidR="00C61A21">
        <w:t>priority</w:t>
      </w:r>
      <w:r w:rsidR="00740AA0">
        <w:t xml:space="preserve"> of defect</w:t>
      </w:r>
      <w:r w:rsidR="008B6FF6">
        <w:t xml:space="preserve"> </w:t>
      </w:r>
      <w:r>
        <w:t xml:space="preserve">should </w:t>
      </w:r>
      <w:r w:rsidR="008B6FF6">
        <w:t>generate</w:t>
      </w:r>
      <w:r>
        <w:t xml:space="preserve"> an equal response</w:t>
      </w:r>
      <w:r w:rsidRPr="00C51C24">
        <w:t xml:space="preserve"> across the three Networks NSW companies.</w:t>
      </w:r>
      <w:r>
        <w:t xml:space="preserve"> i.e. the risks arising from a limited life pole are treated equally, the electric shock risk from mains which have an equivalent low clearance risk</w:t>
      </w:r>
      <w:r w:rsidR="00C61A21">
        <w:t xml:space="preserve"> are treated equally, and that</w:t>
      </w:r>
      <w:r>
        <w:t xml:space="preserve"> defect with the potential to initiate a bushfire are treated equally within their respective fire zone classifications, etc.</w:t>
      </w:r>
    </w:p>
    <w:p w:rsidR="00854049" w:rsidRDefault="00854049" w:rsidP="00854049">
      <w:pPr>
        <w:jc w:val="both"/>
      </w:pPr>
    </w:p>
    <w:p w:rsidR="00854049" w:rsidRPr="00C51C24" w:rsidRDefault="00854049" w:rsidP="00854049">
      <w:pPr>
        <w:jc w:val="both"/>
      </w:pPr>
      <w:r>
        <w:t xml:space="preserve">This principle had been </w:t>
      </w:r>
      <w:r w:rsidR="00C61A21">
        <w:t>reinforce</w:t>
      </w:r>
      <w:r>
        <w:t xml:space="preserve"> recent</w:t>
      </w:r>
      <w:r w:rsidR="001E1792">
        <w:t>ly</w:t>
      </w:r>
      <w:r w:rsidR="00740AA0">
        <w:t xml:space="preserve"> by the Board</w:t>
      </w:r>
      <w:r>
        <w:t xml:space="preserve">, particularly in respect to </w:t>
      </w:r>
      <w:r w:rsidR="001E1792">
        <w:t>Network Performance Report discussions and</w:t>
      </w:r>
      <w:r w:rsidR="00C61A21">
        <w:t xml:space="preserve"> B</w:t>
      </w:r>
      <w:r w:rsidR="001E1792">
        <w:t xml:space="preserve">oard papers </w:t>
      </w:r>
      <w:r w:rsidR="00C61A21">
        <w:t>on</w:t>
      </w:r>
      <w:r w:rsidR="001E1792">
        <w:t xml:space="preserve"> the topics of </w:t>
      </w:r>
      <w:r>
        <w:t>Emergency defects, Urgent Defects and low clearance mains defects.</w:t>
      </w:r>
    </w:p>
    <w:p w:rsidR="00913217" w:rsidRDefault="00913217" w:rsidP="00913217"/>
    <w:p w:rsidR="00913217" w:rsidRDefault="00854049" w:rsidP="008B6FF6">
      <w:pPr>
        <w:spacing w:after="120"/>
      </w:pPr>
      <w:r>
        <w:t>In</w:t>
      </w:r>
      <w:r w:rsidR="001E1792">
        <w:t xml:space="preserve"> recognising these emerging concerns, this paper is intended </w:t>
      </w:r>
      <w:r>
        <w:t>to provide</w:t>
      </w:r>
      <w:r w:rsidR="008B6FF6">
        <w:t xml:space="preserve"> and overview into</w:t>
      </w:r>
      <w:r>
        <w:t>;</w:t>
      </w:r>
    </w:p>
    <w:p w:rsidR="00913217" w:rsidRDefault="00854049" w:rsidP="007A260F">
      <w:pPr>
        <w:numPr>
          <w:ilvl w:val="0"/>
          <w:numId w:val="3"/>
        </w:numPr>
      </w:pPr>
      <w:r>
        <w:t xml:space="preserve">the different defect </w:t>
      </w:r>
      <w:r w:rsidR="008B6FF6">
        <w:t xml:space="preserve">priority </w:t>
      </w:r>
      <w:r>
        <w:t xml:space="preserve">classification frameworks which currently exist in each </w:t>
      </w:r>
      <w:r w:rsidR="008B6FF6">
        <w:t>N</w:t>
      </w:r>
      <w:r>
        <w:t>etwork</w:t>
      </w:r>
      <w:r w:rsidR="00F72C99">
        <w:t>,</w:t>
      </w:r>
    </w:p>
    <w:p w:rsidR="001E1792" w:rsidRDefault="001E1792" w:rsidP="007A260F">
      <w:pPr>
        <w:numPr>
          <w:ilvl w:val="0"/>
          <w:numId w:val="3"/>
        </w:numPr>
      </w:pPr>
      <w:r>
        <w:t>implications of the recent NECF on the practicality of being able to respond to non emergency defects which directly impact customers</w:t>
      </w:r>
      <w:r w:rsidR="00F72C99">
        <w:t>,</w:t>
      </w:r>
    </w:p>
    <w:p w:rsidR="001E1792" w:rsidRDefault="001E1792" w:rsidP="007A260F">
      <w:pPr>
        <w:numPr>
          <w:ilvl w:val="0"/>
          <w:numId w:val="3"/>
        </w:numPr>
      </w:pPr>
      <w:r>
        <w:t xml:space="preserve">what opportunities exist </w:t>
      </w:r>
      <w:r w:rsidR="00740AA0">
        <w:t xml:space="preserve">within the existing frameworks </w:t>
      </w:r>
      <w:r>
        <w:t>for establishing a common aligned defect prioritisation categorisation framework</w:t>
      </w:r>
      <w:r w:rsidR="00F72C99">
        <w:t>,</w:t>
      </w:r>
    </w:p>
    <w:p w:rsidR="00913217" w:rsidRDefault="00740AA0" w:rsidP="007A260F">
      <w:pPr>
        <w:numPr>
          <w:ilvl w:val="0"/>
          <w:numId w:val="3"/>
        </w:numPr>
      </w:pPr>
      <w:r>
        <w:t xml:space="preserve">definitions for </w:t>
      </w:r>
      <w:r w:rsidR="001E1792">
        <w:t>proposed common defect prioritisation categories</w:t>
      </w:r>
      <w:r w:rsidR="00F72C99">
        <w:t>,</w:t>
      </w:r>
    </w:p>
    <w:p w:rsidR="00913217" w:rsidRDefault="00740AA0" w:rsidP="007A260F">
      <w:pPr>
        <w:numPr>
          <w:ilvl w:val="0"/>
          <w:numId w:val="3"/>
        </w:numPr>
      </w:pPr>
      <w:r>
        <w:t xml:space="preserve">proposed </w:t>
      </w:r>
      <w:r w:rsidR="001E1792">
        <w:t>frameworks for application to low mains, limited life poles</w:t>
      </w:r>
      <w:r w:rsidR="00F72C99">
        <w:t>, vegetation encroachment</w:t>
      </w:r>
      <w:r w:rsidR="001E1792">
        <w:t xml:space="preserve"> and general network asset defects</w:t>
      </w:r>
      <w:r w:rsidR="00F72C99">
        <w:t>, and</w:t>
      </w:r>
    </w:p>
    <w:p w:rsidR="00913217" w:rsidRDefault="008B6FF6" w:rsidP="007A260F">
      <w:pPr>
        <w:numPr>
          <w:ilvl w:val="0"/>
          <w:numId w:val="3"/>
        </w:numPr>
      </w:pPr>
      <w:proofErr w:type="gramStart"/>
      <w:r>
        <w:t>consideration</w:t>
      </w:r>
      <w:proofErr w:type="gramEnd"/>
      <w:r>
        <w:t xml:space="preserve"> for</w:t>
      </w:r>
      <w:r w:rsidR="001E1792">
        <w:t xml:space="preserve"> implementation / transition strategies for existing open defects</w:t>
      </w:r>
      <w:r>
        <w:t xml:space="preserve"> and future reporting</w:t>
      </w:r>
      <w:r w:rsidR="001E1792">
        <w:t>.</w:t>
      </w:r>
    </w:p>
    <w:p w:rsidR="00913217" w:rsidRDefault="00913217" w:rsidP="00913217"/>
    <w:p w:rsidR="00913217" w:rsidRDefault="001E1792" w:rsidP="00913217">
      <w:r>
        <w:t xml:space="preserve">The principles which have been applied </w:t>
      </w:r>
      <w:r w:rsidR="008B6FF6">
        <w:t>in establishing the proposed common framework</w:t>
      </w:r>
      <w:r>
        <w:t xml:space="preserve"> are:</w:t>
      </w:r>
    </w:p>
    <w:p w:rsidR="00913217" w:rsidRDefault="008B6FF6" w:rsidP="007A260F">
      <w:pPr>
        <w:numPr>
          <w:ilvl w:val="0"/>
          <w:numId w:val="4"/>
        </w:numPr>
      </w:pPr>
      <w:r>
        <w:t>defect category r</w:t>
      </w:r>
      <w:r w:rsidR="001E1792">
        <w:t>esponse times must be practical, and representative of the level of risk</w:t>
      </w:r>
      <w:r>
        <w:t>,</w:t>
      </w:r>
    </w:p>
    <w:p w:rsidR="00F72C99" w:rsidRDefault="00F72C99" w:rsidP="007A260F">
      <w:pPr>
        <w:numPr>
          <w:ilvl w:val="0"/>
          <w:numId w:val="4"/>
        </w:numPr>
      </w:pPr>
      <w:r>
        <w:t xml:space="preserve">the framework should be underpinned by a risk based approach, and inherent within each category is the need to prioritise work based upon risk </w:t>
      </w:r>
    </w:p>
    <w:p w:rsidR="00F72C99" w:rsidRDefault="00F72C99" w:rsidP="007A260F">
      <w:pPr>
        <w:numPr>
          <w:ilvl w:val="0"/>
          <w:numId w:val="4"/>
        </w:numPr>
      </w:pPr>
      <w:r>
        <w:t xml:space="preserve">The framework should provide granularity based upon risk, and should not be excessive </w:t>
      </w:r>
      <w:proofErr w:type="gramStart"/>
      <w:r w:rsidR="00C61A21">
        <w:t>n</w:t>
      </w:r>
      <w:r>
        <w:t>or</w:t>
      </w:r>
      <w:proofErr w:type="gramEnd"/>
      <w:r>
        <w:t xml:space="preserve"> understated in the numbers of priority categories.</w:t>
      </w:r>
    </w:p>
    <w:p w:rsidR="00913217" w:rsidRDefault="00F72C99" w:rsidP="007A260F">
      <w:pPr>
        <w:numPr>
          <w:ilvl w:val="0"/>
          <w:numId w:val="4"/>
        </w:numPr>
      </w:pPr>
      <w:r>
        <w:t xml:space="preserve">priority </w:t>
      </w:r>
      <w:r w:rsidR="008B6FF6">
        <w:t>c</w:t>
      </w:r>
      <w:r w:rsidR="001E1792">
        <w:t xml:space="preserve">ategory names should be non-emotive, so as not to be misunderstood by </w:t>
      </w:r>
      <w:r w:rsidR="00C147EA">
        <w:t xml:space="preserve">parties </w:t>
      </w:r>
      <w:r w:rsidR="001E1792">
        <w:t xml:space="preserve">external </w:t>
      </w:r>
      <w:r w:rsidR="00C147EA">
        <w:t xml:space="preserve">to the Networks looking at </w:t>
      </w:r>
      <w:r>
        <w:t>‘</w:t>
      </w:r>
      <w:r w:rsidR="00C147EA">
        <w:t>discoverable data</w:t>
      </w:r>
      <w:r>
        <w:t>’</w:t>
      </w:r>
    </w:p>
    <w:p w:rsidR="00913217" w:rsidRDefault="00913217" w:rsidP="00913217"/>
    <w:p w:rsidR="00E377E6" w:rsidRDefault="00854049" w:rsidP="008B6FF6">
      <w:pPr>
        <w:pStyle w:val="Heading1"/>
      </w:pPr>
      <w:r>
        <w:br w:type="page"/>
      </w:r>
      <w:r w:rsidR="0081191A" w:rsidRPr="003304DE">
        <w:t>Purpose</w:t>
      </w:r>
    </w:p>
    <w:p w:rsidR="003304DE" w:rsidRPr="00C51C24" w:rsidRDefault="003304DE" w:rsidP="003304DE">
      <w:pPr>
        <w:jc w:val="both"/>
      </w:pPr>
      <w:r w:rsidRPr="00C51C24">
        <w:t xml:space="preserve">To provide an overview of a number of inconsistencies associated with </w:t>
      </w:r>
      <w:r w:rsidRPr="00C51C24">
        <w:rPr>
          <w:rFonts w:cs="Arial"/>
        </w:rPr>
        <w:t>differing defect prioritisation scales used by the three Network businesses</w:t>
      </w:r>
      <w:r w:rsidRPr="00C51C24">
        <w:t xml:space="preserve">, and </w:t>
      </w:r>
      <w:r w:rsidR="00DB44A1">
        <w:t xml:space="preserve">to identify </w:t>
      </w:r>
      <w:r w:rsidRPr="00C51C24">
        <w:t xml:space="preserve">the opportunities for alignment into </w:t>
      </w:r>
      <w:r w:rsidR="008B6FF6">
        <w:t xml:space="preserve">a </w:t>
      </w:r>
      <w:r w:rsidRPr="00C51C24">
        <w:t xml:space="preserve">common framework in which Network defects are prioritised. These changes will support a more consistent </w:t>
      </w:r>
      <w:r w:rsidR="001B5AB2">
        <w:t xml:space="preserve">prioritisation </w:t>
      </w:r>
      <w:r w:rsidRPr="00C51C24">
        <w:t xml:space="preserve">of </w:t>
      </w:r>
      <w:r w:rsidR="001B5AB2">
        <w:t>equivalent asset defect related risk</w:t>
      </w:r>
      <w:r w:rsidRPr="00C51C24">
        <w:t xml:space="preserve"> across the three Networks NSW companies.</w:t>
      </w:r>
    </w:p>
    <w:p w:rsidR="00C51C24" w:rsidRPr="003304DE" w:rsidRDefault="00C51C24" w:rsidP="003304DE">
      <w:pPr>
        <w:jc w:val="both"/>
        <w:rPr>
          <w:sz w:val="20"/>
        </w:rPr>
      </w:pPr>
    </w:p>
    <w:p w:rsidR="0081191A" w:rsidRPr="003304DE" w:rsidRDefault="0081191A" w:rsidP="00FF273C">
      <w:pPr>
        <w:pStyle w:val="Heading1"/>
      </w:pPr>
      <w:r w:rsidRPr="003304DE">
        <w:t>Background</w:t>
      </w:r>
    </w:p>
    <w:p w:rsidR="0081191A" w:rsidRPr="00E33256" w:rsidRDefault="008476CE" w:rsidP="00185BE9">
      <w:pPr>
        <w:spacing w:before="120" w:after="120" w:line="240" w:lineRule="atLeast"/>
        <w:jc w:val="both"/>
        <w:rPr>
          <w:rFonts w:cs="Arial"/>
          <w:noProof/>
          <w:lang w:eastAsia="en-AU"/>
        </w:rPr>
      </w:pPr>
      <w:r w:rsidRPr="00E33256">
        <w:rPr>
          <w:rFonts w:cs="Arial"/>
          <w:noProof/>
          <w:lang w:eastAsia="en-AU"/>
        </w:rPr>
        <w:t>Historicall</w:t>
      </w:r>
      <w:r w:rsidR="00D167A1" w:rsidRPr="00E33256">
        <w:rPr>
          <w:rFonts w:cs="Arial"/>
          <w:noProof/>
          <w:lang w:eastAsia="en-AU"/>
        </w:rPr>
        <w:t>y</w:t>
      </w:r>
      <w:r w:rsidRPr="00E33256">
        <w:rPr>
          <w:rFonts w:cs="Arial"/>
          <w:noProof/>
          <w:lang w:eastAsia="en-AU"/>
        </w:rPr>
        <w:t xml:space="preserve"> the three Network </w:t>
      </w:r>
      <w:r w:rsidR="00185BE9" w:rsidRPr="00E33256">
        <w:rPr>
          <w:rFonts w:cs="Arial"/>
          <w:noProof/>
          <w:lang w:eastAsia="en-AU"/>
        </w:rPr>
        <w:t>businesses</w:t>
      </w:r>
      <w:r w:rsidRPr="00E33256">
        <w:rPr>
          <w:rFonts w:cs="Arial"/>
          <w:noProof/>
          <w:lang w:eastAsia="en-AU"/>
        </w:rPr>
        <w:t xml:space="preserve"> have </w:t>
      </w:r>
      <w:r w:rsidR="00185BE9" w:rsidRPr="00E33256">
        <w:rPr>
          <w:rFonts w:cs="Arial"/>
          <w:noProof/>
          <w:lang w:eastAsia="en-AU"/>
        </w:rPr>
        <w:t xml:space="preserve">each </w:t>
      </w:r>
      <w:r w:rsidRPr="00E33256">
        <w:rPr>
          <w:rFonts w:cs="Arial"/>
          <w:noProof/>
          <w:lang w:eastAsia="en-AU"/>
        </w:rPr>
        <w:t>evolved</w:t>
      </w:r>
      <w:r w:rsidR="00D167A1" w:rsidRPr="00E33256">
        <w:rPr>
          <w:rFonts w:cs="Arial"/>
          <w:noProof/>
          <w:lang w:eastAsia="en-AU"/>
        </w:rPr>
        <w:t xml:space="preserve"> over many years a defect prioritisation scale for the categorisation of the defects</w:t>
      </w:r>
      <w:r w:rsidR="006609AF" w:rsidRPr="00E33256">
        <w:rPr>
          <w:rFonts w:cs="Arial"/>
          <w:noProof/>
          <w:lang w:eastAsia="en-AU"/>
        </w:rPr>
        <w:t xml:space="preserve">.  These categorisation justifications vary from arbitrary, but considered limits, to justifications based </w:t>
      </w:r>
      <w:r w:rsidR="00185BE9" w:rsidRPr="00E33256">
        <w:rPr>
          <w:rFonts w:cs="Arial"/>
          <w:noProof/>
          <w:lang w:eastAsia="en-AU"/>
        </w:rPr>
        <w:t xml:space="preserve">upon their understanding of how </w:t>
      </w:r>
      <w:r w:rsidR="00C61ABD" w:rsidRPr="00E33256">
        <w:rPr>
          <w:rFonts w:cs="Arial"/>
          <w:noProof/>
          <w:lang w:eastAsia="en-AU"/>
        </w:rPr>
        <w:t xml:space="preserve">quickly </w:t>
      </w:r>
      <w:r w:rsidR="00185BE9" w:rsidRPr="00E33256">
        <w:rPr>
          <w:rFonts w:cs="Arial"/>
          <w:noProof/>
          <w:lang w:eastAsia="en-AU"/>
        </w:rPr>
        <w:t xml:space="preserve">the defect </w:t>
      </w:r>
      <w:r w:rsidR="00C61ABD" w:rsidRPr="00E33256">
        <w:rPr>
          <w:rFonts w:cs="Arial"/>
          <w:noProof/>
          <w:lang w:eastAsia="en-AU"/>
        </w:rPr>
        <w:t>should be addressed to manage the risk it would represent upon</w:t>
      </w:r>
      <w:r w:rsidR="00185BE9" w:rsidRPr="00E33256">
        <w:rPr>
          <w:rFonts w:cs="Arial"/>
          <w:noProof/>
          <w:lang w:eastAsia="en-AU"/>
        </w:rPr>
        <w:t xml:space="preserve"> their Network / Network responsibilities</w:t>
      </w:r>
      <w:r w:rsidR="00C61ABD" w:rsidRPr="00E33256">
        <w:rPr>
          <w:rFonts w:cs="Arial"/>
          <w:noProof/>
          <w:lang w:eastAsia="en-AU"/>
        </w:rPr>
        <w:t xml:space="preserve"> should it progress to a failure / breakdown situation</w:t>
      </w:r>
      <w:r w:rsidR="00185BE9" w:rsidRPr="00E33256">
        <w:rPr>
          <w:rFonts w:cs="Arial"/>
          <w:noProof/>
          <w:lang w:eastAsia="en-AU"/>
        </w:rPr>
        <w:t>.  Th</w:t>
      </w:r>
      <w:r w:rsidR="0016251B" w:rsidRPr="00E33256">
        <w:rPr>
          <w:rFonts w:cs="Arial"/>
          <w:noProof/>
          <w:lang w:eastAsia="en-AU"/>
        </w:rPr>
        <w:t>e defect</w:t>
      </w:r>
      <w:r w:rsidR="00185BE9" w:rsidRPr="00E33256">
        <w:rPr>
          <w:rFonts w:cs="Arial"/>
          <w:noProof/>
          <w:lang w:eastAsia="en-AU"/>
        </w:rPr>
        <w:t xml:space="preserve"> categorisation</w:t>
      </w:r>
      <w:r w:rsidR="00D167A1" w:rsidRPr="00E33256">
        <w:rPr>
          <w:rFonts w:cs="Arial"/>
          <w:noProof/>
          <w:lang w:eastAsia="en-AU"/>
        </w:rPr>
        <w:t xml:space="preserve"> </w:t>
      </w:r>
      <w:r w:rsidR="0016251B" w:rsidRPr="00E33256">
        <w:rPr>
          <w:rFonts w:cs="Arial"/>
          <w:noProof/>
          <w:lang w:eastAsia="en-AU"/>
        </w:rPr>
        <w:t>has then been used to establish</w:t>
      </w:r>
      <w:r w:rsidR="00D167A1" w:rsidRPr="00E33256">
        <w:rPr>
          <w:rFonts w:cs="Arial"/>
          <w:noProof/>
          <w:lang w:eastAsia="en-AU"/>
        </w:rPr>
        <w:t xml:space="preserve"> a</w:t>
      </w:r>
      <w:r w:rsidR="00185BE9" w:rsidRPr="00E33256">
        <w:rPr>
          <w:rFonts w:cs="Arial"/>
          <w:noProof/>
          <w:lang w:eastAsia="en-AU"/>
        </w:rPr>
        <w:t xml:space="preserve"> default</w:t>
      </w:r>
      <w:r w:rsidR="00D167A1" w:rsidRPr="00E33256">
        <w:rPr>
          <w:rFonts w:cs="Arial"/>
          <w:noProof/>
          <w:lang w:eastAsia="en-AU"/>
        </w:rPr>
        <w:t xml:space="preserve"> target or due date for the defect correction within the works management modules of their respective enterprise management systems.</w:t>
      </w:r>
      <w:r w:rsidR="00014E32" w:rsidRPr="00E33256">
        <w:rPr>
          <w:rFonts w:cs="Arial"/>
          <w:noProof/>
          <w:lang w:eastAsia="en-AU"/>
        </w:rPr>
        <w:t xml:space="preserve">  The associated completion status of these defect</w:t>
      </w:r>
      <w:r w:rsidR="00185BE9" w:rsidRPr="00E33256">
        <w:rPr>
          <w:rFonts w:cs="Arial"/>
          <w:noProof/>
          <w:lang w:eastAsia="en-AU"/>
        </w:rPr>
        <w:t>s</w:t>
      </w:r>
      <w:r w:rsidR="00014E32" w:rsidRPr="00E33256">
        <w:rPr>
          <w:rFonts w:cs="Arial"/>
          <w:noProof/>
          <w:lang w:eastAsia="en-AU"/>
        </w:rPr>
        <w:t xml:space="preserve"> can then be used to monitor the number and duration of open defects</w:t>
      </w:r>
      <w:r w:rsidR="008731CA">
        <w:rPr>
          <w:rFonts w:cs="Arial"/>
          <w:noProof/>
          <w:lang w:eastAsia="en-AU"/>
        </w:rPr>
        <w:t xml:space="preserve">, </w:t>
      </w:r>
      <w:r w:rsidR="00014E32" w:rsidRPr="00E33256">
        <w:rPr>
          <w:rFonts w:cs="Arial"/>
          <w:noProof/>
          <w:lang w:eastAsia="en-AU"/>
        </w:rPr>
        <w:t xml:space="preserve">hence </w:t>
      </w:r>
      <w:r w:rsidR="008731CA">
        <w:rPr>
          <w:rFonts w:cs="Arial"/>
          <w:noProof/>
          <w:lang w:eastAsia="en-AU"/>
        </w:rPr>
        <w:t xml:space="preserve">providing </w:t>
      </w:r>
      <w:r w:rsidR="00185BE9" w:rsidRPr="00E33256">
        <w:rPr>
          <w:rFonts w:cs="Arial"/>
          <w:noProof/>
          <w:lang w:eastAsia="en-AU"/>
        </w:rPr>
        <w:t>a view of the Network’s</w:t>
      </w:r>
      <w:r w:rsidR="00014E32" w:rsidRPr="00E33256">
        <w:rPr>
          <w:rFonts w:cs="Arial"/>
          <w:noProof/>
          <w:lang w:eastAsia="en-AU"/>
        </w:rPr>
        <w:t xml:space="preserve"> level of risk exposure </w:t>
      </w:r>
      <w:r w:rsidR="00185BE9" w:rsidRPr="00E33256">
        <w:rPr>
          <w:rFonts w:cs="Arial"/>
          <w:noProof/>
          <w:lang w:eastAsia="en-AU"/>
        </w:rPr>
        <w:t xml:space="preserve">derived </w:t>
      </w:r>
      <w:r w:rsidR="00014E32" w:rsidRPr="00E33256">
        <w:rPr>
          <w:rFonts w:cs="Arial"/>
          <w:noProof/>
          <w:lang w:eastAsia="en-AU"/>
        </w:rPr>
        <w:t>from</w:t>
      </w:r>
      <w:r w:rsidR="00185BE9" w:rsidRPr="00E33256">
        <w:rPr>
          <w:rFonts w:cs="Arial"/>
          <w:noProof/>
          <w:lang w:eastAsia="en-AU"/>
        </w:rPr>
        <w:t xml:space="preserve"> interpretation of </w:t>
      </w:r>
      <w:r w:rsidR="00014E32" w:rsidRPr="00E33256">
        <w:rPr>
          <w:rFonts w:cs="Arial"/>
          <w:noProof/>
          <w:lang w:eastAsia="en-AU"/>
        </w:rPr>
        <w:t>the defect categorisation</w:t>
      </w:r>
      <w:r w:rsidR="00185BE9" w:rsidRPr="00E33256">
        <w:rPr>
          <w:rFonts w:cs="Arial"/>
          <w:noProof/>
          <w:lang w:eastAsia="en-AU"/>
        </w:rPr>
        <w:t>,</w:t>
      </w:r>
      <w:r w:rsidR="00014E32" w:rsidRPr="00E33256">
        <w:rPr>
          <w:rFonts w:cs="Arial"/>
          <w:noProof/>
          <w:lang w:eastAsia="en-AU"/>
        </w:rPr>
        <w:t xml:space="preserve"> length of time open, and where relevant, </w:t>
      </w:r>
      <w:r w:rsidR="00185BE9" w:rsidRPr="00E33256">
        <w:rPr>
          <w:rFonts w:cs="Arial"/>
          <w:noProof/>
          <w:lang w:eastAsia="en-AU"/>
        </w:rPr>
        <w:t xml:space="preserve">extent </w:t>
      </w:r>
      <w:r w:rsidR="00014E32" w:rsidRPr="00E33256">
        <w:rPr>
          <w:rFonts w:cs="Arial"/>
          <w:noProof/>
          <w:lang w:eastAsia="en-AU"/>
        </w:rPr>
        <w:t>overdue for completion.</w:t>
      </w:r>
    </w:p>
    <w:p w:rsidR="00C61ABD" w:rsidRPr="00C51C24" w:rsidRDefault="00B144B3" w:rsidP="006609AF">
      <w:pPr>
        <w:spacing w:before="120" w:after="120" w:line="240" w:lineRule="atLeast"/>
        <w:jc w:val="both"/>
        <w:rPr>
          <w:rFonts w:cs="Arial"/>
          <w:color w:val="000000" w:themeColor="text1"/>
        </w:rPr>
      </w:pPr>
      <w:r>
        <w:rPr>
          <w:rFonts w:cs="Arial"/>
          <w:noProof/>
          <w:lang w:eastAsia="en-AU"/>
        </w:rPr>
        <w:pict>
          <v:group id="_x0000_s1026" style="position:absolute;left:0;text-align:left;margin-left:240.85pt;margin-top:.05pt;width:219.75pt;height:367.3pt;z-index:251657216" coordorigin="6257,8113" coordsize="4395,7346">
            <v:shapetype id="_x0000_t202" coordsize="21600,21600" o:spt="202" path="m,l,21600r21600,l21600,xe">
              <v:stroke joinstyle="miter"/>
              <v:path gradientshapeok="t" o:connecttype="rect"/>
            </v:shapetype>
            <v:shape id="_x0000_s1027" type="#_x0000_t202" style="position:absolute;left:6287;top:8113;width:4365;height:588" filled="f" stroked="f">
              <v:textbox style="mso-next-textbox:#_x0000_s1027">
                <w:txbxContent>
                  <w:p w:rsidR="00B144B3" w:rsidRPr="00B94E50" w:rsidRDefault="00B144B3" w:rsidP="00C51C24">
                    <w:pPr>
                      <w:spacing w:before="120" w:after="120" w:line="240" w:lineRule="atLeast"/>
                      <w:rPr>
                        <w:i/>
                        <w:sz w:val="20"/>
                      </w:rPr>
                    </w:pPr>
                    <w:r w:rsidRPr="00B94E50">
                      <w:rPr>
                        <w:rFonts w:cs="Arial"/>
                        <w:i/>
                        <w:sz w:val="18"/>
                      </w:rPr>
                      <w:t>Figure 1 – Current defect prioritisation categories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6257;top:8642;width:4357;height:6817;visibility:visible">
              <v:imagedata r:id="rId9" o:title=""/>
            </v:shape>
            <w10:wrap type="square"/>
          </v:group>
        </w:pict>
      </w:r>
      <w:r w:rsidR="00C51C24" w:rsidRPr="00C51C24">
        <w:rPr>
          <w:rFonts w:cs="Arial"/>
          <w:color w:val="000000" w:themeColor="text1"/>
        </w:rPr>
        <w:t xml:space="preserve">It has become evident that these differing defect categorisation scales mean the level of Network risk from open and overdue defects cannot currently be directly compared, as the basis for the numbers of defects within a priority category with a common nomenclature is inconsistent. </w:t>
      </w:r>
      <w:r w:rsidR="00C61ABD" w:rsidRPr="00C51C24">
        <w:rPr>
          <w:rFonts w:cs="Arial"/>
          <w:color w:val="000000" w:themeColor="text1"/>
        </w:rPr>
        <w:t xml:space="preserve">The </w:t>
      </w:r>
      <w:r w:rsidR="00C51C24" w:rsidRPr="00C51C24">
        <w:rPr>
          <w:rFonts w:cs="Arial"/>
          <w:color w:val="000000" w:themeColor="text1"/>
        </w:rPr>
        <w:t xml:space="preserve">extent of this inconsistency in defect prioritisation categories is </w:t>
      </w:r>
      <w:r w:rsidR="00C61ABD" w:rsidRPr="00C51C24">
        <w:rPr>
          <w:rFonts w:cs="Arial"/>
          <w:color w:val="000000" w:themeColor="text1"/>
        </w:rPr>
        <w:t xml:space="preserve">evident in the </w:t>
      </w:r>
      <w:r w:rsidR="0016251B" w:rsidRPr="00C51C24">
        <w:rPr>
          <w:rFonts w:cs="Arial"/>
          <w:color w:val="000000" w:themeColor="text1"/>
        </w:rPr>
        <w:t xml:space="preserve">defect </w:t>
      </w:r>
      <w:r w:rsidR="00C61ABD" w:rsidRPr="00C51C24">
        <w:rPr>
          <w:rFonts w:cs="Arial"/>
          <w:color w:val="000000" w:themeColor="text1"/>
        </w:rPr>
        <w:t xml:space="preserve">priority categorisations </w:t>
      </w:r>
      <w:r w:rsidR="00C51C24" w:rsidRPr="00C51C24">
        <w:rPr>
          <w:rFonts w:cs="Arial"/>
          <w:color w:val="000000" w:themeColor="text1"/>
        </w:rPr>
        <w:t xml:space="preserve">for each Network </w:t>
      </w:r>
      <w:r w:rsidR="00C61ABD" w:rsidRPr="00C51C24">
        <w:rPr>
          <w:rFonts w:cs="Arial"/>
          <w:color w:val="000000" w:themeColor="text1"/>
        </w:rPr>
        <w:t xml:space="preserve">shown in </w:t>
      </w:r>
      <w:r w:rsidR="00C51C24" w:rsidRPr="00C51C24">
        <w:rPr>
          <w:rFonts w:cs="Arial"/>
          <w:color w:val="000000" w:themeColor="text1"/>
        </w:rPr>
        <w:t>Figure </w:t>
      </w:r>
      <w:r w:rsidR="00C61ABD" w:rsidRPr="00C51C24">
        <w:rPr>
          <w:rFonts w:cs="Arial"/>
          <w:color w:val="000000" w:themeColor="text1"/>
        </w:rPr>
        <w:t>1.</w:t>
      </w:r>
    </w:p>
    <w:p w:rsidR="00C51C24" w:rsidRPr="00E1799A" w:rsidRDefault="00C51C24" w:rsidP="00C51C24">
      <w:pPr>
        <w:spacing w:before="120" w:after="120" w:line="240" w:lineRule="atLeast"/>
        <w:jc w:val="both"/>
        <w:rPr>
          <w:rFonts w:cs="Arial"/>
        </w:rPr>
      </w:pPr>
      <w:r w:rsidRPr="00E1799A">
        <w:rPr>
          <w:rFonts w:cs="Arial"/>
        </w:rPr>
        <w:t>It would be reasonable to expect that given the commonality of equipment and operating conditions for distribution networks across NSW that the same type of defect should receive a consistent defect categorisation and priority to repair.  This common categorisation should be based upon equivalent levels of risk.  The differing defect prioritisation categories that have evolved mean that this common view of risk is not readily communicatable across and between the Networks, and nor does it provide a consistent base from which performance reports can be used to measure and compare performance and risk across the three Network businesses.</w:t>
      </w:r>
    </w:p>
    <w:p w:rsidR="00C51C24" w:rsidRDefault="00C51C24" w:rsidP="00C51C24">
      <w:pPr>
        <w:spacing w:before="120" w:after="120" w:line="240" w:lineRule="atLeast"/>
        <w:jc w:val="both"/>
        <w:rPr>
          <w:rFonts w:cs="Arial"/>
          <w:color w:val="000000" w:themeColor="text1"/>
          <w:szCs w:val="22"/>
        </w:rPr>
      </w:pPr>
      <w:r w:rsidRPr="005957D2">
        <w:rPr>
          <w:rFonts w:cs="Arial"/>
          <w:color w:val="000000" w:themeColor="text1"/>
        </w:rPr>
        <w:t xml:space="preserve">In order to consistently assess, report and communicate the underlying levels of network risk arising from defects on Network assets it </w:t>
      </w:r>
      <w:r w:rsidR="005957D2" w:rsidRPr="005957D2">
        <w:rPr>
          <w:rFonts w:cs="Arial"/>
          <w:color w:val="000000" w:themeColor="text1"/>
        </w:rPr>
        <w:t xml:space="preserve">becomes necessary to </w:t>
      </w:r>
      <w:r w:rsidRPr="005957D2">
        <w:rPr>
          <w:rFonts w:cs="Arial"/>
          <w:color w:val="000000" w:themeColor="text1"/>
        </w:rPr>
        <w:t xml:space="preserve">establish a common categorisation framework for the defect </w:t>
      </w:r>
      <w:r w:rsidRPr="005957D2">
        <w:rPr>
          <w:rFonts w:cs="Arial"/>
          <w:color w:val="000000" w:themeColor="text1"/>
          <w:szCs w:val="22"/>
        </w:rPr>
        <w:t>prioritisation</w:t>
      </w:r>
      <w:r w:rsidR="005957D2" w:rsidRPr="005957D2">
        <w:rPr>
          <w:rFonts w:cs="Arial"/>
          <w:color w:val="000000" w:themeColor="text1"/>
          <w:szCs w:val="22"/>
        </w:rPr>
        <w:t xml:space="preserve">.  This must then be supported by a </w:t>
      </w:r>
      <w:r w:rsidRPr="005957D2">
        <w:rPr>
          <w:rFonts w:cs="Arial"/>
          <w:color w:val="000000" w:themeColor="text1"/>
          <w:szCs w:val="22"/>
        </w:rPr>
        <w:t xml:space="preserve">common </w:t>
      </w:r>
      <w:r w:rsidR="005957D2" w:rsidRPr="005957D2">
        <w:rPr>
          <w:rFonts w:cs="Arial"/>
          <w:color w:val="000000" w:themeColor="text1"/>
          <w:szCs w:val="22"/>
        </w:rPr>
        <w:t xml:space="preserve">set of </w:t>
      </w:r>
      <w:r w:rsidRPr="005957D2">
        <w:rPr>
          <w:rFonts w:cs="Arial"/>
          <w:color w:val="000000" w:themeColor="text1"/>
          <w:szCs w:val="22"/>
        </w:rPr>
        <w:t>criteria for defect prioritisation into the categorisation framework based upon a common set of risk measures.</w:t>
      </w:r>
    </w:p>
    <w:p w:rsidR="005957D2" w:rsidRPr="00FF273C" w:rsidRDefault="005957D2" w:rsidP="00FF273C">
      <w:pPr>
        <w:pStyle w:val="Heading1"/>
      </w:pPr>
      <w:r w:rsidRPr="00FF273C">
        <w:t>Issues impacting the determination of a common prioritisation framework</w:t>
      </w:r>
    </w:p>
    <w:p w:rsidR="005957D2" w:rsidRPr="00FF273C" w:rsidRDefault="005957D2" w:rsidP="00FF273C">
      <w:pPr>
        <w:pStyle w:val="Heading2"/>
      </w:pPr>
      <w:r w:rsidRPr="00FF273C">
        <w:t xml:space="preserve">Lead times for Planned Outages </w:t>
      </w:r>
    </w:p>
    <w:p w:rsidR="005957D2" w:rsidRDefault="005957D2" w:rsidP="005957D2">
      <w:pPr>
        <w:spacing w:before="120" w:after="120" w:line="240" w:lineRule="atLeast"/>
        <w:ind w:left="360"/>
        <w:jc w:val="both"/>
        <w:rPr>
          <w:rFonts w:cs="Arial"/>
          <w:color w:val="000000" w:themeColor="text1"/>
          <w:sz w:val="20"/>
        </w:rPr>
      </w:pPr>
      <w:r w:rsidRPr="005957D2">
        <w:rPr>
          <w:rFonts w:cs="Arial"/>
          <w:color w:val="000000" w:themeColor="text1"/>
          <w:sz w:val="20"/>
        </w:rPr>
        <w:t>Business as usual lead times for the submission of network outage requests vary between businesses, but are typically in the order of 10-</w:t>
      </w:r>
      <w:r w:rsidR="001B5AB2">
        <w:rPr>
          <w:rFonts w:cs="Arial"/>
          <w:color w:val="000000" w:themeColor="text1"/>
          <w:sz w:val="20"/>
        </w:rPr>
        <w:t>14</w:t>
      </w:r>
      <w:r w:rsidRPr="005957D2">
        <w:rPr>
          <w:rFonts w:cs="Arial"/>
          <w:color w:val="000000" w:themeColor="text1"/>
          <w:sz w:val="20"/>
        </w:rPr>
        <w:t xml:space="preserve"> days.  This means that any work</w:t>
      </w:r>
      <w:r w:rsidR="00032D50">
        <w:rPr>
          <w:rFonts w:cs="Arial"/>
          <w:color w:val="000000" w:themeColor="text1"/>
          <w:sz w:val="20"/>
        </w:rPr>
        <w:t xml:space="preserve"> to correct a high risk defect</w:t>
      </w:r>
      <w:r w:rsidRPr="005957D2">
        <w:rPr>
          <w:rFonts w:cs="Arial"/>
          <w:color w:val="000000" w:themeColor="text1"/>
          <w:sz w:val="20"/>
        </w:rPr>
        <w:t xml:space="preserve"> which is </w:t>
      </w:r>
      <w:r w:rsidR="00032D50">
        <w:rPr>
          <w:rFonts w:cs="Arial"/>
          <w:color w:val="000000" w:themeColor="text1"/>
          <w:sz w:val="20"/>
        </w:rPr>
        <w:t xml:space="preserve">considered urgent but </w:t>
      </w:r>
      <w:r w:rsidRPr="005957D2">
        <w:rPr>
          <w:rFonts w:cs="Arial"/>
          <w:color w:val="000000" w:themeColor="text1"/>
          <w:sz w:val="20"/>
        </w:rPr>
        <w:t xml:space="preserve">not an Emergency (i.e. requires immediate emergency isolation for safe access for corrective action), will require interruption to </w:t>
      </w:r>
      <w:r w:rsidR="00C347C6">
        <w:rPr>
          <w:rFonts w:cs="Arial"/>
          <w:color w:val="000000" w:themeColor="text1"/>
          <w:sz w:val="20"/>
        </w:rPr>
        <w:t xml:space="preserve">the network’s </w:t>
      </w:r>
      <w:r w:rsidR="001B5AB2">
        <w:rPr>
          <w:rFonts w:cs="Arial"/>
          <w:color w:val="000000" w:themeColor="text1"/>
          <w:sz w:val="20"/>
        </w:rPr>
        <w:t xml:space="preserve">normal </w:t>
      </w:r>
      <w:r w:rsidR="00C347C6" w:rsidRPr="005957D2">
        <w:rPr>
          <w:rFonts w:cs="Arial"/>
          <w:color w:val="000000" w:themeColor="text1"/>
          <w:sz w:val="20"/>
        </w:rPr>
        <w:t xml:space="preserve">control </w:t>
      </w:r>
      <w:r w:rsidRPr="005957D2">
        <w:rPr>
          <w:rFonts w:cs="Arial"/>
          <w:color w:val="000000" w:themeColor="text1"/>
          <w:sz w:val="20"/>
        </w:rPr>
        <w:t xml:space="preserve">room </w:t>
      </w:r>
      <w:r w:rsidR="001B5AB2">
        <w:rPr>
          <w:rFonts w:cs="Arial"/>
          <w:color w:val="000000" w:themeColor="text1"/>
          <w:sz w:val="20"/>
        </w:rPr>
        <w:t>and</w:t>
      </w:r>
      <w:r w:rsidRPr="005957D2">
        <w:rPr>
          <w:rFonts w:cs="Arial"/>
          <w:color w:val="000000" w:themeColor="text1"/>
          <w:sz w:val="20"/>
        </w:rPr>
        <w:t xml:space="preserve"> field resource / job allocation work processes.</w:t>
      </w:r>
      <w:r w:rsidR="00B3041F">
        <w:rPr>
          <w:rFonts w:cs="Arial"/>
          <w:color w:val="000000" w:themeColor="text1"/>
          <w:sz w:val="20"/>
        </w:rPr>
        <w:t xml:space="preserve">  This type of defect corrective work needs to be separately tracked to </w:t>
      </w:r>
      <w:proofErr w:type="spellStart"/>
      <w:r w:rsidR="00B3041F">
        <w:rPr>
          <w:rFonts w:cs="Arial"/>
          <w:color w:val="000000" w:themeColor="text1"/>
          <w:sz w:val="20"/>
        </w:rPr>
        <w:t>i</w:t>
      </w:r>
      <w:proofErr w:type="spellEnd"/>
      <w:r w:rsidR="00B3041F">
        <w:rPr>
          <w:rFonts w:cs="Arial"/>
          <w:color w:val="000000" w:themeColor="text1"/>
          <w:sz w:val="20"/>
        </w:rPr>
        <w:t xml:space="preserve">) ensure that these high network risks are corrected in a timely manner, and ii) provide a view of the </w:t>
      </w:r>
      <w:r w:rsidR="007D72B8">
        <w:rPr>
          <w:rFonts w:cs="Arial"/>
          <w:color w:val="000000" w:themeColor="text1"/>
          <w:sz w:val="20"/>
        </w:rPr>
        <w:t>degree to which</w:t>
      </w:r>
      <w:r w:rsidR="00B3041F">
        <w:rPr>
          <w:rFonts w:cs="Arial"/>
          <w:color w:val="000000" w:themeColor="text1"/>
          <w:sz w:val="20"/>
        </w:rPr>
        <w:t xml:space="preserve"> rapid asset degradation is impacting the network.</w:t>
      </w:r>
    </w:p>
    <w:p w:rsidR="005957D2" w:rsidRPr="003304DE" w:rsidRDefault="005957D2" w:rsidP="00FF273C">
      <w:pPr>
        <w:pStyle w:val="Heading2"/>
      </w:pPr>
      <w:r w:rsidRPr="003304DE">
        <w:t>National Electricity Customer Framework (NECF) implications</w:t>
      </w:r>
    </w:p>
    <w:p w:rsidR="005957D2" w:rsidRPr="0065489E" w:rsidRDefault="005957D2" w:rsidP="005957D2">
      <w:pPr>
        <w:spacing w:before="120" w:after="120" w:line="240" w:lineRule="atLeast"/>
        <w:ind w:left="360"/>
        <w:jc w:val="both"/>
        <w:rPr>
          <w:rFonts w:cs="Arial"/>
          <w:sz w:val="20"/>
        </w:rPr>
      </w:pPr>
      <w:r w:rsidRPr="00B3041F">
        <w:rPr>
          <w:rFonts w:cs="Arial"/>
          <w:sz w:val="20"/>
        </w:rPr>
        <w:t xml:space="preserve">The NECF provides very clear requirements </w:t>
      </w:r>
      <w:r w:rsidR="007D72B8">
        <w:rPr>
          <w:rFonts w:cs="Arial"/>
          <w:sz w:val="20"/>
        </w:rPr>
        <w:t xml:space="preserve">that 4 clear working </w:t>
      </w:r>
      <w:proofErr w:type="spellStart"/>
      <w:r w:rsidR="007D72B8">
        <w:rPr>
          <w:rFonts w:cs="Arial"/>
          <w:sz w:val="20"/>
        </w:rPr>
        <w:t>days notice</w:t>
      </w:r>
      <w:proofErr w:type="spellEnd"/>
      <w:r w:rsidR="007D72B8">
        <w:rPr>
          <w:rFonts w:cs="Arial"/>
          <w:sz w:val="20"/>
        </w:rPr>
        <w:t xml:space="preserve"> are</w:t>
      </w:r>
      <w:r w:rsidRPr="00B3041F">
        <w:rPr>
          <w:rFonts w:cs="Arial"/>
          <w:sz w:val="20"/>
        </w:rPr>
        <w:t xml:space="preserve"> required for customer notifications for </w:t>
      </w:r>
      <w:proofErr w:type="spellStart"/>
      <w:r w:rsidR="007D72B8">
        <w:rPr>
          <w:rFonts w:cs="Arial"/>
          <w:sz w:val="20"/>
        </w:rPr>
        <w:t>non emergency</w:t>
      </w:r>
      <w:proofErr w:type="spellEnd"/>
      <w:r w:rsidR="007D72B8">
        <w:rPr>
          <w:rFonts w:cs="Arial"/>
          <w:sz w:val="20"/>
        </w:rPr>
        <w:t xml:space="preserve"> </w:t>
      </w:r>
      <w:r w:rsidRPr="00B3041F">
        <w:rPr>
          <w:rFonts w:cs="Arial"/>
          <w:sz w:val="20"/>
        </w:rPr>
        <w:t xml:space="preserve">outages.  </w:t>
      </w:r>
      <w:r w:rsidR="007D72B8">
        <w:rPr>
          <w:rFonts w:cs="Arial"/>
          <w:sz w:val="20"/>
        </w:rPr>
        <w:t xml:space="preserve">In this regard urgent is not considered as emergency.  </w:t>
      </w:r>
      <w:r w:rsidRPr="00B3041F">
        <w:rPr>
          <w:rFonts w:cs="Arial"/>
          <w:sz w:val="20"/>
        </w:rPr>
        <w:t xml:space="preserve">This means that any urgent defect prioritisation of 1 week is virtually unachievable </w:t>
      </w:r>
      <w:r w:rsidR="00B3041F" w:rsidRPr="00B3041F">
        <w:rPr>
          <w:rFonts w:cs="Arial"/>
          <w:sz w:val="20"/>
        </w:rPr>
        <w:t>where the</w:t>
      </w:r>
      <w:r w:rsidRPr="00B3041F">
        <w:rPr>
          <w:rFonts w:cs="Arial"/>
          <w:sz w:val="20"/>
        </w:rPr>
        <w:t xml:space="preserve"> isolation to correct the defect impacts customers.</w:t>
      </w:r>
      <w:r w:rsidRPr="0065489E">
        <w:rPr>
          <w:rFonts w:cs="Arial"/>
          <w:sz w:val="20"/>
        </w:rPr>
        <w:t xml:space="preserve">  </w:t>
      </w:r>
      <w:r w:rsidRPr="00B3041F">
        <w:rPr>
          <w:rFonts w:cs="Arial"/>
          <w:sz w:val="20"/>
        </w:rPr>
        <w:t xml:space="preserve">This means that these defects either become escalated to an emergency job or else get pushed back beyond a week, potentially with an increased level of risk </w:t>
      </w:r>
      <w:r w:rsidR="00B3041F" w:rsidRPr="00B3041F">
        <w:rPr>
          <w:rFonts w:cs="Arial"/>
          <w:sz w:val="20"/>
        </w:rPr>
        <w:t>exposure to both</w:t>
      </w:r>
      <w:r w:rsidRPr="00B3041F">
        <w:rPr>
          <w:rFonts w:cs="Arial"/>
          <w:sz w:val="20"/>
        </w:rPr>
        <w:t xml:space="preserve"> the </w:t>
      </w:r>
      <w:r w:rsidR="00B3041F" w:rsidRPr="00B3041F">
        <w:rPr>
          <w:rFonts w:cs="Arial"/>
          <w:sz w:val="20"/>
        </w:rPr>
        <w:t xml:space="preserve">public and the </w:t>
      </w:r>
      <w:r w:rsidR="00B3041F">
        <w:rPr>
          <w:rFonts w:cs="Arial"/>
          <w:sz w:val="20"/>
        </w:rPr>
        <w:t>network</w:t>
      </w:r>
      <w:r w:rsidRPr="00B3041F">
        <w:rPr>
          <w:rFonts w:cs="Arial"/>
          <w:sz w:val="20"/>
        </w:rPr>
        <w:t>.</w:t>
      </w:r>
      <w:r w:rsidRPr="0065489E">
        <w:rPr>
          <w:rFonts w:cs="Arial"/>
          <w:sz w:val="20"/>
        </w:rPr>
        <w:t xml:space="preserve">  </w:t>
      </w:r>
      <w:r w:rsidRPr="00B3041F">
        <w:rPr>
          <w:rFonts w:cs="Arial"/>
          <w:sz w:val="20"/>
        </w:rPr>
        <w:t>If these defects are escalated to emergency defects there will be an increased number of emergency jobs, each interrupting planned works with a corresponding adverse cost impacts arising from the unplanned nature of the work, and the increasing deferral/delay of already planned work.  In addition a Network may well be challenged that it is abusing the intention of the NECF by prioritising more jobs as Emergency defects.  This also means that utilisation of defect categorisation with a 7 day response time becomes impractical</w:t>
      </w:r>
      <w:r w:rsidR="00032D50">
        <w:rPr>
          <w:rFonts w:cs="Arial"/>
          <w:sz w:val="20"/>
        </w:rPr>
        <w:t xml:space="preserve"> where customers will be impacted</w:t>
      </w:r>
      <w:r w:rsidRPr="00B3041F">
        <w:rPr>
          <w:rFonts w:cs="Arial"/>
          <w:sz w:val="20"/>
        </w:rPr>
        <w:t>.</w:t>
      </w:r>
    </w:p>
    <w:p w:rsidR="005957D2" w:rsidRDefault="005957D2" w:rsidP="005957D2">
      <w:pPr>
        <w:spacing w:before="120" w:after="120" w:line="240" w:lineRule="atLeast"/>
        <w:ind w:left="360"/>
        <w:jc w:val="both"/>
        <w:rPr>
          <w:rFonts w:cs="Arial"/>
          <w:sz w:val="20"/>
        </w:rPr>
      </w:pPr>
      <w:r w:rsidRPr="00B3041F">
        <w:rPr>
          <w:rFonts w:cs="Arial"/>
          <w:sz w:val="20"/>
        </w:rPr>
        <w:t xml:space="preserve">If a 14 day limit is set for Urgent works then the impacts of the NECF </w:t>
      </w:r>
      <w:r w:rsidR="00032D50">
        <w:rPr>
          <w:rFonts w:cs="Arial"/>
          <w:sz w:val="20"/>
        </w:rPr>
        <w:t>effectively</w:t>
      </w:r>
      <w:r w:rsidRPr="00B3041F">
        <w:rPr>
          <w:rFonts w:cs="Arial"/>
          <w:sz w:val="20"/>
        </w:rPr>
        <w:t xml:space="preserve"> mean that this category of defects are really 1 week priority defects with a deferred start date of 1 week.  Consideration should therefore be given to the urgent priority categorisation</w:t>
      </w:r>
      <w:r w:rsidR="00032D50">
        <w:rPr>
          <w:rFonts w:cs="Arial"/>
          <w:sz w:val="20"/>
        </w:rPr>
        <w:t xml:space="preserve"> where customers </w:t>
      </w:r>
      <w:r w:rsidR="007D72B8">
        <w:rPr>
          <w:rFonts w:cs="Arial"/>
          <w:sz w:val="20"/>
        </w:rPr>
        <w:t xml:space="preserve">are </w:t>
      </w:r>
      <w:r w:rsidR="00032D50">
        <w:rPr>
          <w:rFonts w:cs="Arial"/>
          <w:sz w:val="20"/>
        </w:rPr>
        <w:t>directly impacted</w:t>
      </w:r>
      <w:r w:rsidRPr="00B3041F">
        <w:rPr>
          <w:rFonts w:cs="Arial"/>
          <w:sz w:val="20"/>
        </w:rPr>
        <w:t xml:space="preserve"> as to whether 14 days is actually workable, or whether </w:t>
      </w:r>
      <w:r w:rsidR="009F2DF5">
        <w:rPr>
          <w:rFonts w:cs="Arial"/>
          <w:sz w:val="20"/>
        </w:rPr>
        <w:t xml:space="preserve">a period of up to </w:t>
      </w:r>
      <w:r w:rsidRPr="00B3041F">
        <w:rPr>
          <w:rFonts w:cs="Arial"/>
          <w:sz w:val="20"/>
        </w:rPr>
        <w:t xml:space="preserve">4 weeks / 1 month may </w:t>
      </w:r>
      <w:r w:rsidR="00032D50">
        <w:rPr>
          <w:rFonts w:cs="Arial"/>
          <w:sz w:val="20"/>
        </w:rPr>
        <w:t>now</w:t>
      </w:r>
      <w:r w:rsidR="00171315">
        <w:rPr>
          <w:rFonts w:cs="Arial"/>
          <w:sz w:val="20"/>
        </w:rPr>
        <w:t xml:space="preserve"> </w:t>
      </w:r>
      <w:r w:rsidRPr="00B3041F">
        <w:rPr>
          <w:rFonts w:cs="Arial"/>
          <w:sz w:val="20"/>
        </w:rPr>
        <w:t>be more practical</w:t>
      </w:r>
      <w:r w:rsidR="009F2DF5">
        <w:rPr>
          <w:rFonts w:cs="Arial"/>
          <w:sz w:val="20"/>
        </w:rPr>
        <w:t xml:space="preserve"> for delivery of Urgent</w:t>
      </w:r>
      <w:r w:rsidR="00AA0BED">
        <w:rPr>
          <w:rFonts w:cs="Arial"/>
          <w:sz w:val="20"/>
        </w:rPr>
        <w:t xml:space="preserve"> non emergency type</w:t>
      </w:r>
      <w:r w:rsidR="009F2DF5">
        <w:rPr>
          <w:rFonts w:cs="Arial"/>
          <w:sz w:val="20"/>
        </w:rPr>
        <w:t xml:space="preserve"> corrective works</w:t>
      </w:r>
      <w:r w:rsidRPr="00B3041F">
        <w:rPr>
          <w:rFonts w:cs="Arial"/>
          <w:sz w:val="20"/>
        </w:rPr>
        <w:t>.</w:t>
      </w:r>
      <w:r w:rsidR="00AA0BED">
        <w:rPr>
          <w:rFonts w:cs="Arial"/>
          <w:sz w:val="20"/>
        </w:rPr>
        <w:t xml:space="preserve">  The maximum 1 month limit provides some flexibility with dealing with material availability and resource scheduling issues associated with the job planning process, but provide the opportunity to accelerate the business as usual planning processes in order to address the higher risk associated with this category of defect.</w:t>
      </w:r>
    </w:p>
    <w:p w:rsidR="008B6FF6" w:rsidRPr="008B6FF6" w:rsidRDefault="008B6FF6" w:rsidP="008B6FF6">
      <w:pPr>
        <w:pStyle w:val="Heading2"/>
      </w:pPr>
      <w:r w:rsidRPr="008B6FF6">
        <w:t>Equality of risk</w:t>
      </w:r>
    </w:p>
    <w:p w:rsidR="008B6FF6" w:rsidRDefault="008B6FF6" w:rsidP="005957D2">
      <w:pPr>
        <w:spacing w:before="120" w:after="120" w:line="240" w:lineRule="atLeast"/>
        <w:ind w:left="360"/>
        <w:jc w:val="both"/>
        <w:rPr>
          <w:rFonts w:cs="Arial"/>
          <w:sz w:val="20"/>
        </w:rPr>
      </w:pPr>
      <w:r>
        <w:rPr>
          <w:rFonts w:cs="Arial"/>
          <w:sz w:val="20"/>
        </w:rPr>
        <w:t>The current network defect frameworks have differing definitions and consistency of application issues, meaning that events which pose an identical risk to the safety or network reliability are not categorised equally or consistently</w:t>
      </w:r>
      <w:r w:rsidR="00843750">
        <w:rPr>
          <w:rFonts w:cs="Arial"/>
          <w:sz w:val="20"/>
        </w:rPr>
        <w:t xml:space="preserve"> across the three Networks</w:t>
      </w:r>
      <w:r>
        <w:rPr>
          <w:rFonts w:cs="Arial"/>
          <w:sz w:val="20"/>
        </w:rPr>
        <w:t>.  There is a</w:t>
      </w:r>
      <w:r w:rsidR="00843750">
        <w:rPr>
          <w:rFonts w:cs="Arial"/>
          <w:sz w:val="20"/>
        </w:rPr>
        <w:t xml:space="preserve"> clear</w:t>
      </w:r>
      <w:r>
        <w:rPr>
          <w:rFonts w:cs="Arial"/>
          <w:sz w:val="20"/>
        </w:rPr>
        <w:t xml:space="preserve"> expectation </w:t>
      </w:r>
      <w:r w:rsidR="00843750">
        <w:rPr>
          <w:rFonts w:cs="Arial"/>
          <w:sz w:val="20"/>
        </w:rPr>
        <w:t xml:space="preserve">from the common Board </w:t>
      </w:r>
      <w:r>
        <w:rPr>
          <w:rFonts w:cs="Arial"/>
          <w:sz w:val="20"/>
        </w:rPr>
        <w:t xml:space="preserve">that the risk posed for an identical defect in each of the </w:t>
      </w:r>
      <w:r w:rsidR="00CB566C">
        <w:rPr>
          <w:rFonts w:cs="Arial"/>
          <w:sz w:val="20"/>
        </w:rPr>
        <w:t>N</w:t>
      </w:r>
      <w:r>
        <w:rPr>
          <w:rFonts w:cs="Arial"/>
          <w:sz w:val="20"/>
        </w:rPr>
        <w:t xml:space="preserve">etworks should be prioritised for </w:t>
      </w:r>
      <w:r w:rsidR="00CB566C">
        <w:rPr>
          <w:rFonts w:cs="Arial"/>
          <w:sz w:val="20"/>
        </w:rPr>
        <w:t xml:space="preserve">corrective </w:t>
      </w:r>
      <w:r>
        <w:rPr>
          <w:rFonts w:cs="Arial"/>
          <w:sz w:val="20"/>
        </w:rPr>
        <w:t>action in the same manner in each</w:t>
      </w:r>
      <w:r w:rsidR="007D72B8">
        <w:rPr>
          <w:rFonts w:cs="Arial"/>
          <w:sz w:val="20"/>
        </w:rPr>
        <w:t xml:space="preserve"> business</w:t>
      </w:r>
      <w:r>
        <w:rPr>
          <w:rFonts w:cs="Arial"/>
          <w:sz w:val="20"/>
        </w:rPr>
        <w:t>.</w:t>
      </w:r>
    </w:p>
    <w:p w:rsidR="00CB566C" w:rsidRDefault="00937D62" w:rsidP="005957D2">
      <w:pPr>
        <w:spacing w:before="120" w:after="120" w:line="240" w:lineRule="atLeast"/>
        <w:ind w:left="360"/>
        <w:jc w:val="both"/>
        <w:rPr>
          <w:rFonts w:cs="Arial"/>
          <w:sz w:val="20"/>
        </w:rPr>
      </w:pPr>
      <w:proofErr w:type="gramStart"/>
      <w:r>
        <w:rPr>
          <w:rFonts w:cs="Arial"/>
          <w:sz w:val="20"/>
        </w:rPr>
        <w:t>e.g</w:t>
      </w:r>
      <w:proofErr w:type="gramEnd"/>
      <w:r>
        <w:rPr>
          <w:rFonts w:cs="Arial"/>
          <w:sz w:val="20"/>
        </w:rPr>
        <w:t>.</w:t>
      </w:r>
      <w:r w:rsidR="00CB566C">
        <w:rPr>
          <w:rFonts w:cs="Arial"/>
          <w:sz w:val="20"/>
        </w:rPr>
        <w:t xml:space="preserve"> a low clearance conductor </w:t>
      </w:r>
      <w:r>
        <w:rPr>
          <w:rFonts w:cs="Arial"/>
          <w:sz w:val="20"/>
        </w:rPr>
        <w:t>with</w:t>
      </w:r>
      <w:r w:rsidR="00843750">
        <w:rPr>
          <w:rFonts w:cs="Arial"/>
          <w:sz w:val="20"/>
        </w:rPr>
        <w:t xml:space="preserve"> </w:t>
      </w:r>
      <w:r w:rsidR="00CB566C">
        <w:rPr>
          <w:rFonts w:cs="Arial"/>
          <w:sz w:val="20"/>
        </w:rPr>
        <w:t xml:space="preserve">the same clearance infringement </w:t>
      </w:r>
      <w:r>
        <w:rPr>
          <w:rFonts w:cs="Arial"/>
          <w:sz w:val="20"/>
        </w:rPr>
        <w:t>over the same type of land usage should attract the same defect prioritisation and response regardless of the Network in which it occurs.</w:t>
      </w:r>
    </w:p>
    <w:p w:rsidR="009F2DF5" w:rsidRDefault="009F2DF5" w:rsidP="00FF273C">
      <w:pPr>
        <w:pStyle w:val="Heading1"/>
      </w:pPr>
      <w:r w:rsidRPr="00B35C4C">
        <w:t>Corrective Maintenance Prioritisation Categorisation –</w:t>
      </w:r>
      <w:r w:rsidRPr="003304DE">
        <w:t xml:space="preserve"> Proposed Common Definitions</w:t>
      </w:r>
    </w:p>
    <w:p w:rsidR="00032D50" w:rsidRPr="00FF273C" w:rsidRDefault="00032D50" w:rsidP="00FF273C">
      <w:pPr>
        <w:spacing w:before="120" w:after="120" w:line="240" w:lineRule="atLeast"/>
        <w:ind w:left="360"/>
        <w:jc w:val="both"/>
        <w:rPr>
          <w:rFonts w:cs="Arial"/>
          <w:sz w:val="20"/>
        </w:rPr>
      </w:pPr>
      <w:r w:rsidRPr="00FF273C">
        <w:rPr>
          <w:rFonts w:cs="Arial"/>
          <w:sz w:val="20"/>
        </w:rPr>
        <w:t xml:space="preserve">The defect prioritisation framework should be aligned </w:t>
      </w:r>
      <w:r w:rsidR="000217B5">
        <w:rPr>
          <w:rFonts w:cs="Arial"/>
          <w:sz w:val="20"/>
        </w:rPr>
        <w:t xml:space="preserve">where appropriate </w:t>
      </w:r>
      <w:r w:rsidRPr="00FF273C">
        <w:rPr>
          <w:rFonts w:cs="Arial"/>
          <w:sz w:val="20"/>
        </w:rPr>
        <w:t xml:space="preserve">with the agreed </w:t>
      </w:r>
      <w:r w:rsidR="00171315" w:rsidRPr="00FF273C">
        <w:rPr>
          <w:rFonts w:cs="Arial"/>
          <w:sz w:val="20"/>
        </w:rPr>
        <w:t xml:space="preserve">probability, </w:t>
      </w:r>
      <w:r w:rsidRPr="00FF273C">
        <w:rPr>
          <w:rFonts w:cs="Arial"/>
          <w:sz w:val="20"/>
        </w:rPr>
        <w:t>consequences and associated risk levels in the Networks NSW Corporate risk matrix.</w:t>
      </w:r>
    </w:p>
    <w:p w:rsidR="00C21B8A" w:rsidRDefault="00A2699D" w:rsidP="00FF273C">
      <w:pPr>
        <w:pStyle w:val="Heading2"/>
      </w:pPr>
      <w:r>
        <w:t xml:space="preserve">Networks NSW </w:t>
      </w:r>
      <w:r w:rsidR="00C21B8A">
        <w:t>Corporate Risk matrix and definitions</w:t>
      </w:r>
    </w:p>
    <w:p w:rsidR="001A3B12" w:rsidRDefault="001A3B12" w:rsidP="001A3B12">
      <w:pPr>
        <w:keepNext/>
        <w:ind w:left="822"/>
      </w:pPr>
    </w:p>
    <w:p w:rsidR="001A3B12" w:rsidRPr="001F664A" w:rsidRDefault="001A3B12" w:rsidP="001F664A">
      <w:pPr>
        <w:keepNext/>
        <w:ind w:left="720"/>
        <w:rPr>
          <w:sz w:val="18"/>
        </w:rPr>
      </w:pPr>
      <w:r w:rsidRPr="001F664A">
        <w:rPr>
          <w:sz w:val="18"/>
        </w:rPr>
        <w:t>Figure 2 – Networks NSW Common risk Matrix</w:t>
      </w:r>
    </w:p>
    <w:p w:rsidR="001A3B12" w:rsidRPr="001A3B12" w:rsidRDefault="001A3B12" w:rsidP="001A3B12">
      <w:pPr>
        <w:keepNext/>
      </w:pPr>
    </w:p>
    <w:p w:rsidR="00C21B8A" w:rsidRDefault="00FA1E96" w:rsidP="003E4D58">
      <w:pPr>
        <w:jc w:val="center"/>
        <w:rPr>
          <w:lang w:eastAsia="en-AU"/>
        </w:rPr>
      </w:pPr>
      <w:r>
        <w:pict>
          <v:shape id="_x0000_i1025" type="#_x0000_t75" style="width:271.1pt;height:207.25pt">
            <v:imagedata r:id="rId10" o:title=""/>
          </v:shape>
        </w:pict>
      </w:r>
    </w:p>
    <w:p w:rsidR="00FF273C" w:rsidRDefault="00FF273C" w:rsidP="00032D50">
      <w:pPr>
        <w:rPr>
          <w:lang w:eastAsia="en-AU"/>
        </w:rPr>
      </w:pPr>
    </w:p>
    <w:p w:rsidR="00FF273C" w:rsidRDefault="00FF273C" w:rsidP="00032D50">
      <w:pPr>
        <w:rPr>
          <w:lang w:eastAsia="en-AU"/>
        </w:rPr>
      </w:pPr>
    </w:p>
    <w:p w:rsidR="00FF273C" w:rsidRDefault="00FA1E96" w:rsidP="00032D50">
      <w:pPr>
        <w:rPr>
          <w:lang w:eastAsia="en-AU"/>
        </w:rPr>
      </w:pPr>
      <w:r>
        <w:rPr>
          <w:noProof/>
          <w:lang w:eastAsia="en-AU"/>
        </w:rPr>
        <w:pict>
          <v:shape id="Picture 1" o:spid="_x0000_i1026" type="#_x0000_t75" style="width:468pt;height:259.65pt;visibility:visible;mso-wrap-style:square">
            <v:imagedata r:id="rId11" o:title=""/>
          </v:shape>
        </w:pict>
      </w:r>
    </w:p>
    <w:p w:rsidR="000A0FE6" w:rsidRDefault="000A0FE6" w:rsidP="00481170">
      <w:pPr>
        <w:pStyle w:val="Heading3"/>
      </w:pPr>
      <w:r>
        <w:t xml:space="preserve">Practicality of Application of </w:t>
      </w:r>
      <w:r w:rsidR="00A92F4B">
        <w:t xml:space="preserve">Networks NSW </w:t>
      </w:r>
      <w:r>
        <w:t xml:space="preserve">Common </w:t>
      </w:r>
      <w:r w:rsidR="00A92F4B">
        <w:t xml:space="preserve">Matrix </w:t>
      </w:r>
      <w:r>
        <w:t>Likelihoods to Network Defects</w:t>
      </w:r>
    </w:p>
    <w:p w:rsidR="000A0FE6" w:rsidRPr="000217B5" w:rsidRDefault="000A0FE6" w:rsidP="000A0FE6">
      <w:pPr>
        <w:rPr>
          <w:color w:val="000000" w:themeColor="text1"/>
          <w:lang w:eastAsia="en-AU"/>
        </w:rPr>
      </w:pPr>
      <w:r w:rsidRPr="000217B5">
        <w:rPr>
          <w:color w:val="000000" w:themeColor="text1"/>
          <w:lang w:eastAsia="en-AU"/>
        </w:rPr>
        <w:t>The Likelihood criteria above have limited applicability to Network defects due to the volume of defects detected annually</w:t>
      </w:r>
      <w:r w:rsidR="007D72B8">
        <w:rPr>
          <w:color w:val="000000" w:themeColor="text1"/>
          <w:lang w:eastAsia="en-AU"/>
        </w:rPr>
        <w:t>.  T</w:t>
      </w:r>
      <w:r w:rsidRPr="000217B5">
        <w:rPr>
          <w:color w:val="000000" w:themeColor="text1"/>
          <w:lang w:eastAsia="en-AU"/>
        </w:rPr>
        <w:t xml:space="preserve">he volume of network asset failure events which </w:t>
      </w:r>
      <w:proofErr w:type="gramStart"/>
      <w:r w:rsidRPr="000217B5">
        <w:rPr>
          <w:color w:val="000000" w:themeColor="text1"/>
          <w:lang w:eastAsia="en-AU"/>
        </w:rPr>
        <w:t>occur</w:t>
      </w:r>
      <w:proofErr w:type="gramEnd"/>
      <w:r w:rsidRPr="000217B5">
        <w:rPr>
          <w:color w:val="000000" w:themeColor="text1"/>
          <w:lang w:eastAsia="en-AU"/>
        </w:rPr>
        <w:t xml:space="preserve"> each year number in the thousands across Networks NSW</w:t>
      </w:r>
      <w:r w:rsidR="007D72B8">
        <w:rPr>
          <w:color w:val="000000" w:themeColor="text1"/>
          <w:lang w:eastAsia="en-AU"/>
        </w:rPr>
        <w:t xml:space="preserve"> and </w:t>
      </w:r>
      <w:r w:rsidRPr="000217B5">
        <w:rPr>
          <w:color w:val="000000" w:themeColor="text1"/>
          <w:lang w:eastAsia="en-AU"/>
        </w:rPr>
        <w:t xml:space="preserve">would </w:t>
      </w:r>
      <w:r w:rsidR="007D72B8" w:rsidRPr="007D72B8">
        <w:rPr>
          <w:color w:val="000000"/>
          <w:lang w:eastAsia="en-AU"/>
        </w:rPr>
        <w:t xml:space="preserve">therefore </w:t>
      </w:r>
      <w:r w:rsidRPr="000217B5">
        <w:rPr>
          <w:color w:val="000000" w:themeColor="text1"/>
          <w:lang w:eastAsia="en-AU"/>
        </w:rPr>
        <w:t xml:space="preserve">result in a likelihood of “almost certain” for a large portion of the defects.  </w:t>
      </w:r>
      <w:r w:rsidR="00A92F4B">
        <w:rPr>
          <w:color w:val="000000" w:themeColor="text1"/>
          <w:lang w:eastAsia="en-AU"/>
        </w:rPr>
        <w:t xml:space="preserve">In addition a number of the likelihood definitions are not practical </w:t>
      </w:r>
      <w:r w:rsidR="007D72B8">
        <w:rPr>
          <w:color w:val="000000" w:themeColor="text1"/>
          <w:lang w:eastAsia="en-AU"/>
        </w:rPr>
        <w:t>for</w:t>
      </w:r>
      <w:r w:rsidR="00A92F4B">
        <w:rPr>
          <w:color w:val="000000" w:themeColor="text1"/>
          <w:lang w:eastAsia="en-AU"/>
        </w:rPr>
        <w:t xml:space="preserve"> </w:t>
      </w:r>
      <w:r w:rsidR="007D72B8">
        <w:rPr>
          <w:color w:val="000000" w:themeColor="text1"/>
          <w:lang w:eastAsia="en-AU"/>
        </w:rPr>
        <w:t xml:space="preserve">interpretation </w:t>
      </w:r>
      <w:r w:rsidR="00A92F4B">
        <w:rPr>
          <w:color w:val="000000" w:themeColor="text1"/>
          <w:lang w:eastAsia="en-AU"/>
        </w:rPr>
        <w:t>by field staff.</w:t>
      </w:r>
    </w:p>
    <w:p w:rsidR="002A3785" w:rsidRPr="000217B5" w:rsidRDefault="002A3785" w:rsidP="000A0FE6">
      <w:pPr>
        <w:rPr>
          <w:color w:val="000000" w:themeColor="text1"/>
          <w:lang w:eastAsia="en-AU"/>
        </w:rPr>
      </w:pPr>
    </w:p>
    <w:p w:rsidR="000A0FE6" w:rsidRPr="000217B5" w:rsidRDefault="000A0FE6" w:rsidP="000A0FE6">
      <w:pPr>
        <w:rPr>
          <w:color w:val="000000" w:themeColor="text1"/>
          <w:lang w:eastAsia="en-AU"/>
        </w:rPr>
      </w:pPr>
      <w:r w:rsidRPr="000217B5">
        <w:rPr>
          <w:color w:val="000000" w:themeColor="text1"/>
          <w:lang w:eastAsia="en-AU"/>
        </w:rPr>
        <w:t xml:space="preserve">An alternate set of likelihood definitions </w:t>
      </w:r>
      <w:r w:rsidR="002A3785" w:rsidRPr="000217B5">
        <w:rPr>
          <w:color w:val="000000" w:themeColor="text1"/>
          <w:lang w:eastAsia="en-AU"/>
        </w:rPr>
        <w:t xml:space="preserve">is </w:t>
      </w:r>
      <w:r w:rsidR="007D72B8">
        <w:rPr>
          <w:color w:val="000000" w:themeColor="text1"/>
          <w:lang w:eastAsia="en-AU"/>
        </w:rPr>
        <w:t>more useful</w:t>
      </w:r>
      <w:r w:rsidR="002A3785" w:rsidRPr="000217B5">
        <w:rPr>
          <w:color w:val="000000" w:themeColor="text1"/>
          <w:lang w:eastAsia="en-AU"/>
        </w:rPr>
        <w:t xml:space="preserve"> </w:t>
      </w:r>
      <w:r w:rsidRPr="000217B5">
        <w:rPr>
          <w:color w:val="000000" w:themeColor="text1"/>
          <w:lang w:eastAsia="en-AU"/>
        </w:rPr>
        <w:t xml:space="preserve">within the context of network defects </w:t>
      </w:r>
      <w:r w:rsidR="002A3785" w:rsidRPr="000217B5">
        <w:rPr>
          <w:color w:val="000000" w:themeColor="text1"/>
          <w:lang w:eastAsia="en-AU"/>
        </w:rPr>
        <w:t>rather than major business risk events</w:t>
      </w:r>
      <w:r w:rsidRPr="000217B5">
        <w:rPr>
          <w:color w:val="000000" w:themeColor="text1"/>
          <w:lang w:eastAsia="en-AU"/>
        </w:rPr>
        <w:t>.  The context here must relate to the likelihood that the defect will progress, if unattended, to the network failure consequence within the next asset inspection cycle</w:t>
      </w:r>
      <w:r w:rsidR="00A2699D" w:rsidRPr="000217B5">
        <w:rPr>
          <w:color w:val="000000" w:themeColor="text1"/>
          <w:lang w:eastAsia="en-AU"/>
        </w:rPr>
        <w:t xml:space="preserve"> and not the frequency at which the defects exist</w:t>
      </w:r>
      <w:r w:rsidRPr="000217B5">
        <w:rPr>
          <w:color w:val="000000" w:themeColor="text1"/>
          <w:lang w:eastAsia="en-AU"/>
        </w:rPr>
        <w:t>.</w:t>
      </w:r>
    </w:p>
    <w:p w:rsidR="000217B5" w:rsidRPr="000217B5" w:rsidRDefault="000217B5" w:rsidP="000A0FE6">
      <w:pPr>
        <w:rPr>
          <w:color w:val="4F81BD" w:themeColor="accent1"/>
          <w:lang w:eastAsia="en-AU"/>
        </w:rPr>
      </w:pPr>
    </w:p>
    <w:p w:rsidR="00A92F4B" w:rsidRDefault="00A92F4B" w:rsidP="00A92F4B">
      <w:pPr>
        <w:pStyle w:val="Heading3"/>
      </w:pPr>
      <w:r>
        <w:t>Proposed Likelihood Definitions for Network Defects</w:t>
      </w:r>
    </w:p>
    <w:p w:rsidR="00A92F4B" w:rsidRDefault="00A92F4B" w:rsidP="00A92F4B">
      <w:r>
        <w:t>The following definitions are used to rate the likelihood that the defect will progress to a full functional failure;</w:t>
      </w:r>
    </w:p>
    <w:p w:rsidR="00A92F4B" w:rsidRDefault="00A92F4B" w:rsidP="00A92F4B"/>
    <w:p w:rsidR="00A92F4B" w:rsidRDefault="00A92F4B" w:rsidP="00A92F4B">
      <w:pPr>
        <w:tabs>
          <w:tab w:val="left" w:pos="2268"/>
        </w:tabs>
        <w:ind w:left="2268" w:hanging="2268"/>
      </w:pPr>
      <w:r>
        <w:t>Almost Certain</w:t>
      </w:r>
      <w:r>
        <w:tab/>
        <w:t>Defect progresses to failure (service interruption) several times per year in our area of responsibility.</w:t>
      </w:r>
    </w:p>
    <w:p w:rsidR="00A92F4B" w:rsidRDefault="00A92F4B" w:rsidP="00A92F4B">
      <w:pPr>
        <w:tabs>
          <w:tab w:val="left" w:pos="2268"/>
        </w:tabs>
        <w:ind w:left="2268" w:hanging="2268"/>
      </w:pPr>
      <w:r>
        <w:t>Likely</w:t>
      </w:r>
      <w:r>
        <w:tab/>
        <w:t>Defect progresses to failure (service interruption) in our area of responsibility.</w:t>
      </w:r>
    </w:p>
    <w:p w:rsidR="00A92F4B" w:rsidRDefault="00A92F4B" w:rsidP="00A92F4B">
      <w:pPr>
        <w:tabs>
          <w:tab w:val="left" w:pos="2268"/>
        </w:tabs>
        <w:ind w:left="2268" w:hanging="2268"/>
      </w:pPr>
      <w:r>
        <w:t>Possible</w:t>
      </w:r>
      <w:r>
        <w:tab/>
        <w:t>Defect generally does not progress to failure (service interruption) in our area of responsibility, but the failure is seen in other parts of the company.</w:t>
      </w:r>
    </w:p>
    <w:p w:rsidR="00A92F4B" w:rsidRDefault="00A92F4B" w:rsidP="00A92F4B">
      <w:pPr>
        <w:tabs>
          <w:tab w:val="left" w:pos="2268"/>
        </w:tabs>
        <w:ind w:left="2268" w:hanging="2268"/>
      </w:pPr>
      <w:r>
        <w:t>Unlikely</w:t>
      </w:r>
      <w:r>
        <w:tab/>
        <w:t>The defect progressing to failure is not seen in our company but can be seen in other networks.</w:t>
      </w:r>
    </w:p>
    <w:p w:rsidR="00A92F4B" w:rsidRDefault="00A92F4B" w:rsidP="00A92F4B">
      <w:pPr>
        <w:tabs>
          <w:tab w:val="left" w:pos="2268"/>
        </w:tabs>
        <w:ind w:left="2268" w:hanging="2268"/>
      </w:pPr>
      <w:r>
        <w:t>Rare</w:t>
      </w:r>
      <w:r>
        <w:tab/>
        <w:t>Not seen in our industry in more than 10 years, but foreseeable.</w:t>
      </w:r>
    </w:p>
    <w:p w:rsidR="00A92F4B" w:rsidRDefault="00A92F4B" w:rsidP="00A92F4B"/>
    <w:p w:rsidR="00E1121B" w:rsidRPr="00C71577" w:rsidRDefault="00E1121B" w:rsidP="00481170">
      <w:pPr>
        <w:pStyle w:val="Heading3"/>
      </w:pPr>
      <w:r w:rsidRPr="00C71577">
        <w:t xml:space="preserve">Practicality of application </w:t>
      </w:r>
      <w:r w:rsidR="000A0FE6">
        <w:t xml:space="preserve">of </w:t>
      </w:r>
      <w:r w:rsidR="00A92F4B">
        <w:t xml:space="preserve">Networks NSW Common Matrix </w:t>
      </w:r>
      <w:r w:rsidR="000A0FE6">
        <w:t xml:space="preserve">Consequences </w:t>
      </w:r>
      <w:r w:rsidRPr="00C71577">
        <w:t xml:space="preserve">to </w:t>
      </w:r>
      <w:r w:rsidR="000A0FE6" w:rsidRPr="00C71577">
        <w:t>Network Defects</w:t>
      </w:r>
    </w:p>
    <w:p w:rsidR="00FF273C" w:rsidRDefault="00E40E3C" w:rsidP="00032D50">
      <w:pPr>
        <w:rPr>
          <w:lang w:eastAsia="en-AU"/>
        </w:rPr>
      </w:pPr>
      <w:r>
        <w:rPr>
          <w:lang w:eastAsia="en-AU"/>
        </w:rPr>
        <w:t xml:space="preserve">A major </w:t>
      </w:r>
      <w:r w:rsidR="002A3785">
        <w:rPr>
          <w:lang w:eastAsia="en-AU"/>
        </w:rPr>
        <w:t xml:space="preserve">defect risk assessment issue </w:t>
      </w:r>
      <w:r>
        <w:rPr>
          <w:lang w:eastAsia="en-AU"/>
        </w:rPr>
        <w:t xml:space="preserve">relates to </w:t>
      </w:r>
      <w:r w:rsidR="002A3785">
        <w:rPr>
          <w:lang w:eastAsia="en-AU"/>
        </w:rPr>
        <w:t xml:space="preserve">the </w:t>
      </w:r>
      <w:r w:rsidR="007D72B8">
        <w:rPr>
          <w:lang w:eastAsia="en-AU"/>
        </w:rPr>
        <w:t>likelihood</w:t>
      </w:r>
      <w:r w:rsidR="000217B5">
        <w:rPr>
          <w:lang w:eastAsia="en-AU"/>
        </w:rPr>
        <w:t xml:space="preserve"> of the person raising the defect </w:t>
      </w:r>
      <w:r w:rsidR="007D72B8">
        <w:rPr>
          <w:lang w:eastAsia="en-AU"/>
        </w:rPr>
        <w:t xml:space="preserve">being able </w:t>
      </w:r>
      <w:r w:rsidR="002A3785">
        <w:rPr>
          <w:lang w:eastAsia="en-AU"/>
        </w:rPr>
        <w:t xml:space="preserve">to apply the </w:t>
      </w:r>
      <w:r>
        <w:rPr>
          <w:lang w:eastAsia="en-AU"/>
        </w:rPr>
        <w:t>Networks NSW C</w:t>
      </w:r>
      <w:r w:rsidR="002A3785">
        <w:rPr>
          <w:lang w:eastAsia="en-AU"/>
        </w:rPr>
        <w:t xml:space="preserve">ommon </w:t>
      </w:r>
      <w:r>
        <w:rPr>
          <w:lang w:eastAsia="en-AU"/>
        </w:rPr>
        <w:t xml:space="preserve">Risk Matrix </w:t>
      </w:r>
      <w:r w:rsidR="000217B5">
        <w:rPr>
          <w:lang w:eastAsia="en-AU"/>
        </w:rPr>
        <w:t>to</w:t>
      </w:r>
      <w:r w:rsidR="002A3785">
        <w:rPr>
          <w:lang w:eastAsia="en-AU"/>
        </w:rPr>
        <w:t xml:space="preserve"> </w:t>
      </w:r>
      <w:r>
        <w:rPr>
          <w:lang w:eastAsia="en-AU"/>
        </w:rPr>
        <w:t xml:space="preserve">both the defect failure likelihood and </w:t>
      </w:r>
      <w:r w:rsidR="0087192F">
        <w:rPr>
          <w:lang w:eastAsia="en-AU"/>
        </w:rPr>
        <w:t>consequence assessment issues</w:t>
      </w:r>
      <w:r w:rsidR="002A3785">
        <w:rPr>
          <w:lang w:eastAsia="en-AU"/>
        </w:rPr>
        <w:t xml:space="preserve">.  The Consequence definitions and categories in the Networks NSW </w:t>
      </w:r>
      <w:r>
        <w:rPr>
          <w:lang w:eastAsia="en-AU"/>
        </w:rPr>
        <w:t xml:space="preserve">Common </w:t>
      </w:r>
      <w:r w:rsidR="002A3785">
        <w:rPr>
          <w:lang w:eastAsia="en-AU"/>
        </w:rPr>
        <w:t xml:space="preserve">Risk Matrix have a variable ability to be applied within the context of individual network asset related defects.  Specifically, </w:t>
      </w:r>
      <w:r w:rsidR="0087192F">
        <w:rPr>
          <w:lang w:eastAsia="en-AU"/>
        </w:rPr>
        <w:t xml:space="preserve">can the above </w:t>
      </w:r>
      <w:r w:rsidR="002A3785">
        <w:rPr>
          <w:lang w:eastAsia="en-AU"/>
        </w:rPr>
        <w:t xml:space="preserve">consequence </w:t>
      </w:r>
      <w:r w:rsidR="0087192F">
        <w:rPr>
          <w:lang w:eastAsia="en-AU"/>
        </w:rPr>
        <w:t xml:space="preserve">table be used effectively by field staff </w:t>
      </w:r>
      <w:r w:rsidR="007D72B8">
        <w:rPr>
          <w:lang w:eastAsia="en-AU"/>
        </w:rPr>
        <w:t>in</w:t>
      </w:r>
      <w:r w:rsidR="0087192F">
        <w:rPr>
          <w:lang w:eastAsia="en-AU"/>
        </w:rPr>
        <w:t xml:space="preserve"> assessing </w:t>
      </w:r>
      <w:r w:rsidR="000217B5">
        <w:rPr>
          <w:lang w:eastAsia="en-AU"/>
        </w:rPr>
        <w:t xml:space="preserve">and recording </w:t>
      </w:r>
      <w:r w:rsidR="002A3785">
        <w:rPr>
          <w:lang w:eastAsia="en-AU"/>
        </w:rPr>
        <w:t xml:space="preserve">individual </w:t>
      </w:r>
      <w:r w:rsidR="0087192F">
        <w:rPr>
          <w:lang w:eastAsia="en-AU"/>
        </w:rPr>
        <w:t>defects?</w:t>
      </w:r>
      <w:r w:rsidR="000217B5">
        <w:rPr>
          <w:lang w:eastAsia="en-AU"/>
        </w:rPr>
        <w:t xml:space="preserve"> </w:t>
      </w:r>
    </w:p>
    <w:p w:rsidR="002A3785" w:rsidRDefault="002A3785" w:rsidP="00032D50">
      <w:pPr>
        <w:rPr>
          <w:lang w:eastAsia="en-AU"/>
        </w:rPr>
      </w:pPr>
    </w:p>
    <w:p w:rsidR="00913217" w:rsidRDefault="0087192F" w:rsidP="00913217">
      <w:pPr>
        <w:spacing w:after="60"/>
        <w:ind w:left="1559" w:hanging="1559"/>
        <w:rPr>
          <w:lang w:eastAsia="en-AU"/>
        </w:rPr>
      </w:pPr>
      <w:r w:rsidRPr="006A5512">
        <w:rPr>
          <w:lang w:eastAsia="en-AU"/>
        </w:rPr>
        <w:t>Safety</w:t>
      </w:r>
      <w:r>
        <w:rPr>
          <w:lang w:eastAsia="en-AU"/>
        </w:rPr>
        <w:t xml:space="preserve"> </w:t>
      </w:r>
      <w:r w:rsidR="006A5512">
        <w:rPr>
          <w:lang w:eastAsia="en-AU"/>
        </w:rPr>
        <w:tab/>
        <w:t>Y</w:t>
      </w:r>
      <w:r>
        <w:rPr>
          <w:lang w:eastAsia="en-AU"/>
        </w:rPr>
        <w:t>es they should be able to assess the likely safety impact.</w:t>
      </w:r>
    </w:p>
    <w:p w:rsidR="00913217" w:rsidRDefault="000C6E3E" w:rsidP="00913217">
      <w:pPr>
        <w:spacing w:after="60"/>
        <w:ind w:left="1559" w:hanging="1559"/>
        <w:rPr>
          <w:lang w:eastAsia="en-AU"/>
        </w:rPr>
      </w:pPr>
      <w:r>
        <w:rPr>
          <w:lang w:eastAsia="en-AU"/>
        </w:rPr>
        <w:t xml:space="preserve">Network </w:t>
      </w:r>
      <w:r>
        <w:rPr>
          <w:lang w:eastAsia="en-AU"/>
        </w:rPr>
        <w:tab/>
        <w:t xml:space="preserve">No.  Inspection staff may be aware of feeder reliability category in the majority of cases (but not contractors), but would not and should not be expected to be able to assess a likely SAIDI impact of the individual defect progressing to failure.  Similarly they would not be able to practically and </w:t>
      </w:r>
      <w:proofErr w:type="spellStart"/>
      <w:r w:rsidR="00913217" w:rsidRPr="00913217">
        <w:rPr>
          <w:lang w:eastAsia="en-AU"/>
        </w:rPr>
        <w:t>repeatably</w:t>
      </w:r>
      <w:proofErr w:type="spellEnd"/>
      <w:r>
        <w:rPr>
          <w:lang w:eastAsia="en-AU"/>
        </w:rPr>
        <w:t xml:space="preserve"> identify sensitive load customers. Alternate guidelines to the Networks NSW Common risk matrix based upon outage duration</w:t>
      </w:r>
      <w:r w:rsidR="00913217" w:rsidRPr="00913217">
        <w:rPr>
          <w:lang w:eastAsia="en-AU"/>
        </w:rPr>
        <w:t xml:space="preserve"> / network voltage</w:t>
      </w:r>
      <w:r>
        <w:rPr>
          <w:lang w:eastAsia="en-AU"/>
        </w:rPr>
        <w:t>, and perhaps potential load loss, is required.</w:t>
      </w:r>
    </w:p>
    <w:p w:rsidR="00913217" w:rsidRDefault="000C6E3E" w:rsidP="00913217">
      <w:pPr>
        <w:spacing w:after="60"/>
        <w:ind w:left="1559" w:hanging="1559"/>
        <w:rPr>
          <w:lang w:eastAsia="en-AU"/>
        </w:rPr>
      </w:pPr>
      <w:r>
        <w:rPr>
          <w:lang w:eastAsia="en-AU"/>
        </w:rPr>
        <w:t xml:space="preserve">Finance </w:t>
      </w:r>
      <w:r>
        <w:rPr>
          <w:lang w:eastAsia="en-AU"/>
        </w:rPr>
        <w:tab/>
        <w:t>No.  These dollar limits are not practical for assessing individual defects for prioritisation. Alternate guidelines to the Networks NSW Common Risk Matrix financial impact definitions will be required.</w:t>
      </w:r>
    </w:p>
    <w:p w:rsidR="00913217" w:rsidRDefault="000C6E3E" w:rsidP="00913217">
      <w:pPr>
        <w:spacing w:after="60"/>
        <w:ind w:left="1559" w:hanging="1559"/>
        <w:rPr>
          <w:lang w:eastAsia="en-AU"/>
        </w:rPr>
      </w:pPr>
      <w:proofErr w:type="gramStart"/>
      <w:r>
        <w:rPr>
          <w:lang w:eastAsia="en-AU"/>
        </w:rPr>
        <w:t>Compliance</w:t>
      </w:r>
      <w:r>
        <w:rPr>
          <w:lang w:eastAsia="en-AU"/>
        </w:rPr>
        <w:tab/>
        <w:t>No.</w:t>
      </w:r>
      <w:proofErr w:type="gramEnd"/>
      <w:r>
        <w:rPr>
          <w:lang w:eastAsia="en-AU"/>
        </w:rPr>
        <w:t xml:space="preserve">  Inspection staff may not be aware if the individual defect would result in a compliance issue.  This is more likely to arise from a combination of multiple defects and systemic issues. </w:t>
      </w:r>
    </w:p>
    <w:p w:rsidR="00913217" w:rsidRDefault="000C6E3E" w:rsidP="00913217">
      <w:pPr>
        <w:spacing w:after="60"/>
        <w:ind w:left="1559" w:hanging="1559"/>
        <w:rPr>
          <w:lang w:eastAsia="en-AU"/>
        </w:rPr>
      </w:pPr>
      <w:proofErr w:type="gramStart"/>
      <w:r>
        <w:rPr>
          <w:lang w:eastAsia="en-AU"/>
        </w:rPr>
        <w:t>Reputation</w:t>
      </w:r>
      <w:r>
        <w:rPr>
          <w:lang w:eastAsia="en-AU"/>
        </w:rPr>
        <w:tab/>
        <w:t>No.</w:t>
      </w:r>
      <w:proofErr w:type="gramEnd"/>
      <w:r>
        <w:rPr>
          <w:lang w:eastAsia="en-AU"/>
        </w:rPr>
        <w:t xml:space="preserve">  Inspection staff would </w:t>
      </w:r>
      <w:r w:rsidR="00913217" w:rsidRPr="00913217">
        <w:rPr>
          <w:lang w:eastAsia="en-AU"/>
        </w:rPr>
        <w:t xml:space="preserve">be unlikely to </w:t>
      </w:r>
      <w:r>
        <w:rPr>
          <w:lang w:eastAsia="en-AU"/>
        </w:rPr>
        <w:t>consistently assess the reputational impacts of the defect</w:t>
      </w:r>
      <w:r w:rsidR="00913217" w:rsidRPr="00913217">
        <w:rPr>
          <w:lang w:eastAsia="en-AU"/>
        </w:rPr>
        <w:t xml:space="preserve"> as currently defined</w:t>
      </w:r>
      <w:r>
        <w:rPr>
          <w:lang w:eastAsia="en-AU"/>
        </w:rPr>
        <w:t xml:space="preserve">. </w:t>
      </w:r>
      <w:proofErr w:type="gramStart"/>
      <w:r>
        <w:rPr>
          <w:lang w:eastAsia="en-AU"/>
        </w:rPr>
        <w:t>Alternate definitions to the Networks NSW Common risk matrix is</w:t>
      </w:r>
      <w:proofErr w:type="gramEnd"/>
      <w:r>
        <w:rPr>
          <w:lang w:eastAsia="en-AU"/>
        </w:rPr>
        <w:t xml:space="preserve"> required.</w:t>
      </w:r>
    </w:p>
    <w:p w:rsidR="006A5512" w:rsidRDefault="006A5512" w:rsidP="008208C6">
      <w:pPr>
        <w:ind w:left="1560" w:hanging="1560"/>
        <w:rPr>
          <w:lang w:eastAsia="en-AU"/>
        </w:rPr>
      </w:pPr>
      <w:r>
        <w:rPr>
          <w:lang w:eastAsia="en-AU"/>
        </w:rPr>
        <w:t>Environment</w:t>
      </w:r>
      <w:r>
        <w:rPr>
          <w:lang w:eastAsia="en-AU"/>
        </w:rPr>
        <w:tab/>
        <w:t>Yes inspection staff should be able to assess the environmental consequences of the defect at the time of defect identification</w:t>
      </w:r>
      <w:r w:rsidR="00E1121B">
        <w:rPr>
          <w:lang w:eastAsia="en-AU"/>
        </w:rPr>
        <w:t xml:space="preserve"> (i.e. on site)</w:t>
      </w:r>
    </w:p>
    <w:p w:rsidR="002A3785" w:rsidRDefault="002A3785" w:rsidP="006A5512">
      <w:pPr>
        <w:ind w:left="1560" w:hanging="1560"/>
        <w:rPr>
          <w:lang w:eastAsia="en-AU"/>
        </w:rPr>
      </w:pPr>
    </w:p>
    <w:p w:rsidR="00C147EA" w:rsidRDefault="00C147EA" w:rsidP="00C147EA">
      <w:pPr>
        <w:pStyle w:val="Heading3"/>
      </w:pPr>
      <w:r>
        <w:t>Proposed Consequence definitions</w:t>
      </w:r>
      <w:r w:rsidRPr="00C147EA">
        <w:t xml:space="preserve"> </w:t>
      </w:r>
      <w:r>
        <w:t>for Network Defects</w:t>
      </w:r>
    </w:p>
    <w:p w:rsidR="00913217" w:rsidRDefault="00913217" w:rsidP="00A92F4B">
      <w:pPr>
        <w:keepNext/>
        <w:tabs>
          <w:tab w:val="left" w:pos="2268"/>
        </w:tabs>
        <w:rPr>
          <w:lang w:eastAsia="en-AU"/>
        </w:rPr>
      </w:pPr>
      <w:r w:rsidRPr="00913217">
        <w:rPr>
          <w:lang w:eastAsia="en-AU"/>
        </w:rPr>
        <w:t>Safety</w:t>
      </w:r>
      <w:r w:rsidRPr="00913217">
        <w:rPr>
          <w:lang w:eastAsia="en-AU"/>
        </w:rPr>
        <w:tab/>
      </w:r>
      <w:proofErr w:type="gramStart"/>
      <w:r w:rsidR="00E40E3C">
        <w:rPr>
          <w:lang w:eastAsia="en-AU"/>
        </w:rPr>
        <w:t>A</w:t>
      </w:r>
      <w:r w:rsidRPr="00913217">
        <w:rPr>
          <w:lang w:eastAsia="en-AU"/>
        </w:rPr>
        <w:t>s</w:t>
      </w:r>
      <w:proofErr w:type="gramEnd"/>
      <w:r w:rsidRPr="00913217">
        <w:rPr>
          <w:lang w:eastAsia="en-AU"/>
        </w:rPr>
        <w:t xml:space="preserve"> per Networks NSW Common Risk Matrix </w:t>
      </w:r>
    </w:p>
    <w:p w:rsidR="006A42B8" w:rsidRDefault="006A42B8" w:rsidP="00A92F4B">
      <w:pPr>
        <w:keepNext/>
        <w:tabs>
          <w:tab w:val="left" w:pos="2268"/>
        </w:tabs>
        <w:rPr>
          <w:lang w:eastAsia="en-AU"/>
        </w:rPr>
      </w:pPr>
    </w:p>
    <w:p w:rsidR="006A42B8" w:rsidRDefault="00E40E3C" w:rsidP="00A92F4B">
      <w:pPr>
        <w:keepNext/>
        <w:tabs>
          <w:tab w:val="left" w:pos="2268"/>
        </w:tabs>
        <w:rPr>
          <w:lang w:eastAsia="en-AU"/>
        </w:rPr>
      </w:pPr>
      <w:r>
        <w:rPr>
          <w:lang w:eastAsia="en-AU"/>
        </w:rPr>
        <w:t>Network</w:t>
      </w:r>
    </w:p>
    <w:tbl>
      <w:tblPr>
        <w:tblW w:w="82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1"/>
        <w:gridCol w:w="6884"/>
      </w:tblGrid>
      <w:tr w:rsidR="006A42B8" w:rsidRPr="00371C40" w:rsidTr="006A42B8">
        <w:tc>
          <w:tcPr>
            <w:tcW w:w="1371" w:type="dxa"/>
            <w:tcBorders>
              <w:top w:val="single" w:sz="12" w:space="0" w:color="auto"/>
              <w:left w:val="single" w:sz="6" w:space="0" w:color="auto"/>
              <w:bottom w:val="single" w:sz="6" w:space="0" w:color="auto"/>
              <w:right w:val="single" w:sz="6" w:space="0" w:color="auto"/>
            </w:tcBorders>
          </w:tcPr>
          <w:p w:rsidR="006A42B8" w:rsidRPr="00371C40" w:rsidRDefault="006A42B8" w:rsidP="00E377E6">
            <w:pPr>
              <w:pStyle w:val="ctrlnormal"/>
              <w:keepNext/>
              <w:tabs>
                <w:tab w:val="left" w:pos="907"/>
              </w:tabs>
              <w:spacing w:before="40" w:after="40"/>
              <w:ind w:left="57" w:right="57"/>
              <w:jc w:val="center"/>
              <w:rPr>
                <w:rFonts w:ascii="Arial Narrow" w:hAnsi="Arial Narrow"/>
              </w:rPr>
            </w:pPr>
            <w:r>
              <w:rPr>
                <w:rFonts w:ascii="Arial Narrow" w:hAnsi="Arial Narrow"/>
              </w:rPr>
              <w:t>Catastrophic</w:t>
            </w:r>
          </w:p>
        </w:tc>
        <w:tc>
          <w:tcPr>
            <w:tcW w:w="6884" w:type="dxa"/>
            <w:tcBorders>
              <w:top w:val="single" w:sz="12" w:space="0" w:color="auto"/>
              <w:left w:val="single" w:sz="6" w:space="0" w:color="auto"/>
              <w:bottom w:val="single" w:sz="6" w:space="0" w:color="auto"/>
              <w:right w:val="single" w:sz="12" w:space="0" w:color="auto"/>
            </w:tcBorders>
          </w:tcPr>
          <w:p w:rsidR="00913217" w:rsidRDefault="006A42B8">
            <w:pPr>
              <w:pStyle w:val="ctrlnormal"/>
              <w:keepNext/>
              <w:tabs>
                <w:tab w:val="left" w:pos="907"/>
              </w:tabs>
              <w:spacing w:before="40" w:after="40"/>
              <w:ind w:left="57" w:right="57"/>
              <w:jc w:val="left"/>
              <w:rPr>
                <w:rFonts w:ascii="Arial Narrow" w:hAnsi="Arial Narrow"/>
              </w:rPr>
            </w:pPr>
            <w:r>
              <w:rPr>
                <w:rFonts w:ascii="Arial Narrow" w:hAnsi="Arial Narrow"/>
              </w:rPr>
              <w:t>Major loss of supply categorised by a potential lengthy outage on a feeder supplied at sub</w:t>
            </w:r>
            <w:r w:rsidR="001B2C82">
              <w:rPr>
                <w:rFonts w:ascii="Arial Narrow" w:hAnsi="Arial Narrow"/>
              </w:rPr>
              <w:t>-</w:t>
            </w:r>
            <w:r>
              <w:rPr>
                <w:rFonts w:ascii="Arial Narrow" w:hAnsi="Arial Narrow"/>
              </w:rPr>
              <w:t xml:space="preserve">transmission level voltages (e.g. 132kV, 66kV or 33kV). This </w:t>
            </w:r>
            <w:r w:rsidR="001B2C82">
              <w:rPr>
                <w:rFonts w:ascii="Arial Narrow" w:hAnsi="Arial Narrow"/>
              </w:rPr>
              <w:t>includes</w:t>
            </w:r>
            <w:r>
              <w:rPr>
                <w:rFonts w:ascii="Arial Narrow" w:hAnsi="Arial Narrow"/>
              </w:rPr>
              <w:t xml:space="preserve"> loss of supply for 24 hours or longer to a load sensitive customer supplied at any voltage.</w:t>
            </w:r>
          </w:p>
        </w:tc>
      </w:tr>
      <w:tr w:rsidR="006A42B8" w:rsidRPr="00371C40" w:rsidTr="006A42B8">
        <w:tc>
          <w:tcPr>
            <w:tcW w:w="1371" w:type="dxa"/>
            <w:tcBorders>
              <w:top w:val="single" w:sz="6" w:space="0" w:color="auto"/>
              <w:left w:val="single" w:sz="6" w:space="0" w:color="auto"/>
              <w:bottom w:val="single" w:sz="6" w:space="0" w:color="auto"/>
              <w:right w:val="single" w:sz="6" w:space="0" w:color="auto"/>
            </w:tcBorders>
          </w:tcPr>
          <w:p w:rsidR="006A42B8" w:rsidRPr="00371C40" w:rsidRDefault="006A42B8" w:rsidP="00E377E6">
            <w:pPr>
              <w:pStyle w:val="ctrlnormal"/>
              <w:keepNext/>
              <w:tabs>
                <w:tab w:val="left" w:pos="907"/>
              </w:tabs>
              <w:spacing w:before="40" w:after="40"/>
              <w:ind w:left="57" w:right="57"/>
              <w:jc w:val="center"/>
              <w:rPr>
                <w:rFonts w:ascii="Arial Narrow" w:hAnsi="Arial Narrow"/>
              </w:rPr>
            </w:pPr>
            <w:r>
              <w:rPr>
                <w:rFonts w:ascii="Arial Narrow" w:hAnsi="Arial Narrow"/>
              </w:rPr>
              <w:t>Major</w:t>
            </w:r>
          </w:p>
        </w:tc>
        <w:tc>
          <w:tcPr>
            <w:tcW w:w="6884" w:type="dxa"/>
            <w:tcBorders>
              <w:top w:val="single" w:sz="6" w:space="0" w:color="auto"/>
              <w:left w:val="single" w:sz="6" w:space="0" w:color="auto"/>
              <w:bottom w:val="single" w:sz="6" w:space="0" w:color="auto"/>
              <w:right w:val="single" w:sz="12" w:space="0" w:color="auto"/>
            </w:tcBorders>
          </w:tcPr>
          <w:p w:rsidR="00913217" w:rsidRDefault="006A42B8">
            <w:pPr>
              <w:pStyle w:val="ctrlnormal"/>
              <w:keepNext/>
              <w:tabs>
                <w:tab w:val="left" w:pos="907"/>
              </w:tabs>
              <w:spacing w:before="40" w:after="40"/>
              <w:ind w:left="57" w:right="57"/>
              <w:jc w:val="left"/>
              <w:rPr>
                <w:rFonts w:ascii="Arial Narrow" w:hAnsi="Arial Narrow"/>
              </w:rPr>
            </w:pPr>
            <w:r>
              <w:rPr>
                <w:rFonts w:ascii="Arial Narrow" w:hAnsi="Arial Narrow"/>
              </w:rPr>
              <w:t xml:space="preserve">Significant loss of supply categorised by a potential lengthy outage on a feeder supplied at </w:t>
            </w:r>
            <w:r w:rsidR="001B2C82">
              <w:rPr>
                <w:rFonts w:ascii="Arial Narrow" w:hAnsi="Arial Narrow"/>
              </w:rPr>
              <w:t xml:space="preserve">sub-transmission voltages or distribution high </w:t>
            </w:r>
            <w:r>
              <w:rPr>
                <w:rFonts w:ascii="Arial Narrow" w:hAnsi="Arial Narrow"/>
              </w:rPr>
              <w:t xml:space="preserve">voltage (e.g. </w:t>
            </w:r>
            <w:r w:rsidR="001B2C82">
              <w:rPr>
                <w:rFonts w:ascii="Arial Narrow" w:hAnsi="Arial Narrow"/>
              </w:rPr>
              <w:t>22kV</w:t>
            </w:r>
            <w:proofErr w:type="gramStart"/>
            <w:r w:rsidR="001B2C82">
              <w:rPr>
                <w:rFonts w:ascii="Arial Narrow" w:hAnsi="Arial Narrow"/>
              </w:rPr>
              <w:t>,</w:t>
            </w:r>
            <w:r>
              <w:rPr>
                <w:rFonts w:ascii="Arial Narrow" w:hAnsi="Arial Narrow"/>
              </w:rPr>
              <w:t>11kV</w:t>
            </w:r>
            <w:proofErr w:type="gramEnd"/>
            <w:r>
              <w:rPr>
                <w:rFonts w:ascii="Arial Narrow" w:hAnsi="Arial Narrow"/>
              </w:rPr>
              <w:t xml:space="preserve">, </w:t>
            </w:r>
            <w:r w:rsidR="003D1C6A">
              <w:rPr>
                <w:rFonts w:ascii="Arial Narrow" w:hAnsi="Arial Narrow"/>
              </w:rPr>
              <w:t>SWER)</w:t>
            </w:r>
            <w:r>
              <w:rPr>
                <w:rFonts w:ascii="Arial Narrow" w:hAnsi="Arial Narrow"/>
              </w:rPr>
              <w:t xml:space="preserve">. This </w:t>
            </w:r>
            <w:r w:rsidR="003D1C6A">
              <w:rPr>
                <w:rFonts w:ascii="Arial Narrow" w:hAnsi="Arial Narrow"/>
              </w:rPr>
              <w:t>includ</w:t>
            </w:r>
            <w:r w:rsidR="001B2C82">
              <w:rPr>
                <w:rFonts w:ascii="Arial Narrow" w:hAnsi="Arial Narrow"/>
              </w:rPr>
              <w:t xml:space="preserve">es </w:t>
            </w:r>
            <w:r>
              <w:rPr>
                <w:rFonts w:ascii="Arial Narrow" w:hAnsi="Arial Narrow"/>
              </w:rPr>
              <w:t>loss of supply for greater than 4 hours and less than 24 hou</w:t>
            </w:r>
            <w:r w:rsidR="001B2C82">
              <w:rPr>
                <w:rFonts w:ascii="Arial Narrow" w:hAnsi="Arial Narrow"/>
              </w:rPr>
              <w:t>rs to a load sensitive customer</w:t>
            </w:r>
            <w:r>
              <w:rPr>
                <w:rFonts w:ascii="Arial Narrow" w:hAnsi="Arial Narrow"/>
              </w:rPr>
              <w:t>.</w:t>
            </w:r>
          </w:p>
        </w:tc>
      </w:tr>
      <w:tr w:rsidR="006A42B8" w:rsidRPr="00371C40" w:rsidTr="006A42B8">
        <w:tc>
          <w:tcPr>
            <w:tcW w:w="1371" w:type="dxa"/>
            <w:tcBorders>
              <w:top w:val="single" w:sz="6" w:space="0" w:color="auto"/>
              <w:left w:val="single" w:sz="6" w:space="0" w:color="auto"/>
              <w:bottom w:val="single" w:sz="6" w:space="0" w:color="auto"/>
              <w:right w:val="single" w:sz="6" w:space="0" w:color="auto"/>
            </w:tcBorders>
          </w:tcPr>
          <w:p w:rsidR="006A42B8" w:rsidRPr="00371C40" w:rsidRDefault="006A42B8" w:rsidP="00E377E6">
            <w:pPr>
              <w:pStyle w:val="ctrlnormal"/>
              <w:keepNext/>
              <w:tabs>
                <w:tab w:val="left" w:pos="907"/>
              </w:tabs>
              <w:spacing w:before="40" w:after="40"/>
              <w:ind w:left="57" w:right="57"/>
              <w:jc w:val="center"/>
              <w:rPr>
                <w:rFonts w:ascii="Arial Narrow" w:hAnsi="Arial Narrow"/>
              </w:rPr>
            </w:pPr>
            <w:r>
              <w:rPr>
                <w:rFonts w:ascii="Arial Narrow" w:hAnsi="Arial Narrow"/>
              </w:rPr>
              <w:t>Moderate</w:t>
            </w:r>
          </w:p>
        </w:tc>
        <w:tc>
          <w:tcPr>
            <w:tcW w:w="6884" w:type="dxa"/>
            <w:tcBorders>
              <w:top w:val="single" w:sz="6" w:space="0" w:color="auto"/>
              <w:left w:val="single" w:sz="6" w:space="0" w:color="auto"/>
              <w:bottom w:val="single" w:sz="6" w:space="0" w:color="auto"/>
              <w:right w:val="single" w:sz="12" w:space="0" w:color="auto"/>
            </w:tcBorders>
          </w:tcPr>
          <w:p w:rsidR="00913217" w:rsidRDefault="006A42B8">
            <w:pPr>
              <w:pStyle w:val="ctrlnormal"/>
              <w:keepNext/>
              <w:tabs>
                <w:tab w:val="left" w:pos="907"/>
              </w:tabs>
              <w:spacing w:before="40" w:after="40"/>
              <w:ind w:left="57" w:right="57"/>
              <w:jc w:val="left"/>
              <w:rPr>
                <w:rFonts w:ascii="Arial Narrow" w:hAnsi="Arial Narrow"/>
              </w:rPr>
            </w:pPr>
            <w:r>
              <w:rPr>
                <w:rFonts w:ascii="Arial Narrow" w:hAnsi="Arial Narrow"/>
              </w:rPr>
              <w:t xml:space="preserve">Moderate loss of supply categorised by a potential lengthy outage on a feeder supplied at low voltage. This </w:t>
            </w:r>
            <w:r w:rsidR="003D1C6A">
              <w:rPr>
                <w:rFonts w:ascii="Arial Narrow" w:hAnsi="Arial Narrow"/>
              </w:rPr>
              <w:t>includes</w:t>
            </w:r>
            <w:r>
              <w:rPr>
                <w:rFonts w:ascii="Arial Narrow" w:hAnsi="Arial Narrow"/>
              </w:rPr>
              <w:t xml:space="preserve"> loss of supply for less than 4 hours to a load sensitive customer supplied at any voltage.</w:t>
            </w:r>
          </w:p>
        </w:tc>
      </w:tr>
      <w:tr w:rsidR="006A42B8" w:rsidRPr="00371C40" w:rsidTr="006A42B8">
        <w:tc>
          <w:tcPr>
            <w:tcW w:w="1371" w:type="dxa"/>
            <w:tcBorders>
              <w:top w:val="single" w:sz="6" w:space="0" w:color="auto"/>
              <w:left w:val="single" w:sz="6" w:space="0" w:color="auto"/>
              <w:bottom w:val="single" w:sz="6" w:space="0" w:color="auto"/>
              <w:right w:val="single" w:sz="6" w:space="0" w:color="auto"/>
            </w:tcBorders>
          </w:tcPr>
          <w:p w:rsidR="006A42B8" w:rsidRPr="00371C40" w:rsidRDefault="006A42B8" w:rsidP="00E377E6">
            <w:pPr>
              <w:pStyle w:val="ctrlnormal"/>
              <w:keepNext/>
              <w:tabs>
                <w:tab w:val="left" w:pos="907"/>
              </w:tabs>
              <w:spacing w:before="40" w:after="40"/>
              <w:ind w:left="57" w:right="57"/>
              <w:jc w:val="center"/>
              <w:rPr>
                <w:rFonts w:ascii="Arial Narrow" w:hAnsi="Arial Narrow"/>
              </w:rPr>
            </w:pPr>
            <w:r>
              <w:rPr>
                <w:rFonts w:ascii="Arial Narrow" w:hAnsi="Arial Narrow"/>
              </w:rPr>
              <w:t>Minor</w:t>
            </w:r>
          </w:p>
        </w:tc>
        <w:tc>
          <w:tcPr>
            <w:tcW w:w="6884" w:type="dxa"/>
            <w:tcBorders>
              <w:top w:val="single" w:sz="6" w:space="0" w:color="auto"/>
              <w:left w:val="single" w:sz="6" w:space="0" w:color="auto"/>
              <w:bottom w:val="single" w:sz="6" w:space="0" w:color="auto"/>
              <w:right w:val="single" w:sz="12" w:space="0" w:color="auto"/>
            </w:tcBorders>
          </w:tcPr>
          <w:p w:rsidR="00913217" w:rsidRDefault="006A42B8">
            <w:pPr>
              <w:pStyle w:val="ctrlnormal"/>
              <w:keepNext/>
              <w:tabs>
                <w:tab w:val="left" w:pos="907"/>
              </w:tabs>
              <w:spacing w:before="40" w:after="40"/>
              <w:ind w:left="57" w:right="57"/>
              <w:jc w:val="left"/>
              <w:rPr>
                <w:rFonts w:ascii="Arial Narrow" w:hAnsi="Arial Narrow"/>
              </w:rPr>
            </w:pPr>
            <w:r>
              <w:rPr>
                <w:rFonts w:ascii="Arial Narrow" w:hAnsi="Arial Narrow"/>
              </w:rPr>
              <w:t xml:space="preserve">Minor loss of supply categorised by a potential short duration (&lt; 1 hour) outage on a feeder supplied </w:t>
            </w:r>
            <w:r w:rsidR="003D1C6A">
              <w:rPr>
                <w:rFonts w:ascii="Arial Narrow" w:hAnsi="Arial Narrow"/>
              </w:rPr>
              <w:t xml:space="preserve">at </w:t>
            </w:r>
            <w:r w:rsidR="00945ADB">
              <w:rPr>
                <w:rFonts w:ascii="Arial Narrow" w:hAnsi="Arial Narrow"/>
              </w:rPr>
              <w:t>any</w:t>
            </w:r>
            <w:r w:rsidR="003D1C6A">
              <w:rPr>
                <w:rFonts w:ascii="Arial Narrow" w:hAnsi="Arial Narrow"/>
              </w:rPr>
              <w:t xml:space="preserve"> voltage</w:t>
            </w:r>
            <w:r>
              <w:rPr>
                <w:rFonts w:ascii="Arial Narrow" w:hAnsi="Arial Narrow"/>
              </w:rPr>
              <w:t>.</w:t>
            </w:r>
          </w:p>
        </w:tc>
      </w:tr>
      <w:tr w:rsidR="006A42B8" w:rsidRPr="00371C40" w:rsidTr="006A42B8">
        <w:tc>
          <w:tcPr>
            <w:tcW w:w="1371" w:type="dxa"/>
            <w:tcBorders>
              <w:top w:val="single" w:sz="6" w:space="0" w:color="auto"/>
              <w:left w:val="single" w:sz="6" w:space="0" w:color="auto"/>
              <w:bottom w:val="single" w:sz="6" w:space="0" w:color="auto"/>
              <w:right w:val="single" w:sz="6" w:space="0" w:color="auto"/>
            </w:tcBorders>
          </w:tcPr>
          <w:p w:rsidR="006A42B8" w:rsidRPr="00371C40" w:rsidRDefault="006A42B8" w:rsidP="00E377E6">
            <w:pPr>
              <w:pStyle w:val="ctrlnormal"/>
              <w:keepNext/>
              <w:tabs>
                <w:tab w:val="left" w:pos="907"/>
              </w:tabs>
              <w:spacing w:before="40" w:after="40"/>
              <w:ind w:left="57" w:right="57"/>
              <w:jc w:val="center"/>
              <w:rPr>
                <w:rFonts w:ascii="Arial Narrow" w:hAnsi="Arial Narrow"/>
              </w:rPr>
            </w:pPr>
            <w:r>
              <w:rPr>
                <w:rFonts w:ascii="Arial Narrow" w:hAnsi="Arial Narrow"/>
              </w:rPr>
              <w:t>Insignificant</w:t>
            </w:r>
          </w:p>
        </w:tc>
        <w:tc>
          <w:tcPr>
            <w:tcW w:w="6884" w:type="dxa"/>
            <w:tcBorders>
              <w:top w:val="single" w:sz="6" w:space="0" w:color="auto"/>
              <w:left w:val="single" w:sz="6" w:space="0" w:color="auto"/>
              <w:bottom w:val="single" w:sz="6" w:space="0" w:color="auto"/>
              <w:right w:val="single" w:sz="12" w:space="0" w:color="auto"/>
            </w:tcBorders>
          </w:tcPr>
          <w:p w:rsidR="00913217" w:rsidRDefault="006A42B8">
            <w:pPr>
              <w:pStyle w:val="ctrlnormal"/>
              <w:keepNext/>
              <w:tabs>
                <w:tab w:val="left" w:pos="907"/>
              </w:tabs>
              <w:spacing w:before="40" w:after="40"/>
              <w:ind w:left="57" w:right="57"/>
              <w:jc w:val="left"/>
              <w:rPr>
                <w:rFonts w:ascii="Arial Narrow" w:hAnsi="Arial Narrow"/>
              </w:rPr>
            </w:pPr>
            <w:r>
              <w:rPr>
                <w:rFonts w:ascii="Arial Narrow" w:hAnsi="Arial Narrow"/>
              </w:rPr>
              <w:t xml:space="preserve">Negligible consequence (i.e. &lt; 1min or no outage at all) to the supply </w:t>
            </w:r>
            <w:r w:rsidR="003D1C6A">
              <w:rPr>
                <w:rFonts w:ascii="Arial Narrow" w:hAnsi="Arial Narrow"/>
              </w:rPr>
              <w:t xml:space="preserve">at </w:t>
            </w:r>
            <w:r w:rsidR="00945ADB">
              <w:rPr>
                <w:rFonts w:ascii="Arial Narrow" w:hAnsi="Arial Narrow"/>
              </w:rPr>
              <w:t>any</w:t>
            </w:r>
            <w:r w:rsidR="003D1C6A">
              <w:rPr>
                <w:rFonts w:ascii="Arial Narrow" w:hAnsi="Arial Narrow"/>
              </w:rPr>
              <w:t xml:space="preserve"> </w:t>
            </w:r>
            <w:r>
              <w:rPr>
                <w:rFonts w:ascii="Arial Narrow" w:hAnsi="Arial Narrow"/>
              </w:rPr>
              <w:t>voltage.</w:t>
            </w:r>
          </w:p>
        </w:tc>
      </w:tr>
    </w:tbl>
    <w:p w:rsidR="00913217" w:rsidRDefault="00913217" w:rsidP="00913217">
      <w:pPr>
        <w:tabs>
          <w:tab w:val="left" w:pos="2268"/>
        </w:tabs>
        <w:rPr>
          <w:lang w:eastAsia="en-AU"/>
        </w:rPr>
      </w:pPr>
    </w:p>
    <w:p w:rsidR="00913217" w:rsidRDefault="00913217" w:rsidP="00913217">
      <w:pPr>
        <w:tabs>
          <w:tab w:val="left" w:pos="2268"/>
        </w:tabs>
        <w:rPr>
          <w:lang w:eastAsia="en-AU"/>
        </w:rPr>
      </w:pPr>
    </w:p>
    <w:p w:rsidR="00945ADB" w:rsidRDefault="00E40E3C">
      <w:pPr>
        <w:tabs>
          <w:tab w:val="left" w:pos="2268"/>
        </w:tabs>
        <w:rPr>
          <w:lang w:eastAsia="en-AU"/>
        </w:rPr>
      </w:pPr>
      <w:r>
        <w:rPr>
          <w:lang w:eastAsia="en-AU"/>
        </w:rPr>
        <w:t>Financial</w:t>
      </w:r>
      <w:r>
        <w:rPr>
          <w:lang w:eastAsia="en-AU"/>
        </w:rPr>
        <w:tab/>
      </w:r>
    </w:p>
    <w:tbl>
      <w:tblPr>
        <w:tblW w:w="82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1"/>
        <w:gridCol w:w="6884"/>
      </w:tblGrid>
      <w:tr w:rsidR="00945ADB" w:rsidRPr="00371C40" w:rsidTr="00E377E6">
        <w:tc>
          <w:tcPr>
            <w:tcW w:w="1371" w:type="dxa"/>
            <w:tcBorders>
              <w:top w:val="single" w:sz="12"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Catastrophic</w:t>
            </w:r>
          </w:p>
        </w:tc>
        <w:tc>
          <w:tcPr>
            <w:tcW w:w="6884" w:type="dxa"/>
            <w:tcBorders>
              <w:top w:val="single" w:sz="12" w:space="0" w:color="auto"/>
              <w:left w:val="single" w:sz="6" w:space="0" w:color="auto"/>
              <w:bottom w:val="single" w:sz="6" w:space="0" w:color="auto"/>
              <w:right w:val="single" w:sz="12" w:space="0" w:color="auto"/>
            </w:tcBorders>
          </w:tcPr>
          <w:p w:rsidR="00913217" w:rsidRPr="001F664A" w:rsidRDefault="001F664A">
            <w:pPr>
              <w:pStyle w:val="ctrlnormal"/>
              <w:keepNext/>
              <w:tabs>
                <w:tab w:val="left" w:pos="907"/>
              </w:tabs>
              <w:spacing w:before="40" w:after="40"/>
              <w:ind w:left="57" w:right="57"/>
              <w:jc w:val="left"/>
              <w:rPr>
                <w:rFonts w:ascii="Arial Narrow" w:hAnsi="Arial Narrow"/>
              </w:rPr>
            </w:pPr>
            <w:r w:rsidRPr="001F664A">
              <w:rPr>
                <w:rFonts w:ascii="Arial Narrow" w:hAnsi="Arial Narrow" w:cs="Arial"/>
                <w:snapToGrid w:val="0"/>
              </w:rPr>
              <w:t xml:space="preserve">Costs </w:t>
            </w:r>
            <w:r w:rsidR="00C00169" w:rsidRPr="001F664A">
              <w:rPr>
                <w:rFonts w:ascii="Arial Narrow" w:hAnsi="Arial Narrow" w:cs="Arial"/>
                <w:snapToGrid w:val="0"/>
              </w:rPr>
              <w:t xml:space="preserve">through </w:t>
            </w:r>
            <w:r>
              <w:rPr>
                <w:rFonts w:ascii="Arial Narrow" w:hAnsi="Arial Narrow" w:cs="Arial"/>
                <w:snapToGrid w:val="0"/>
              </w:rPr>
              <w:t xml:space="preserve">direct / </w:t>
            </w:r>
            <w:r w:rsidR="00C00169" w:rsidRPr="001F664A">
              <w:rPr>
                <w:rFonts w:ascii="Arial Narrow" w:hAnsi="Arial Narrow" w:cs="Arial"/>
                <w:snapToGrid w:val="0"/>
              </w:rPr>
              <w:t>property damage and greater than $10m,</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Major</w:t>
            </w:r>
          </w:p>
        </w:tc>
        <w:tc>
          <w:tcPr>
            <w:tcW w:w="6884" w:type="dxa"/>
            <w:tcBorders>
              <w:top w:val="single" w:sz="6" w:space="0" w:color="auto"/>
              <w:left w:val="single" w:sz="6" w:space="0" w:color="auto"/>
              <w:bottom w:val="single" w:sz="6" w:space="0" w:color="auto"/>
              <w:right w:val="single" w:sz="12" w:space="0" w:color="auto"/>
            </w:tcBorders>
          </w:tcPr>
          <w:p w:rsidR="00913217" w:rsidRPr="001F664A" w:rsidRDefault="001F664A">
            <w:pPr>
              <w:pStyle w:val="ctrlnormal"/>
              <w:keepNext/>
              <w:tabs>
                <w:tab w:val="left" w:pos="907"/>
              </w:tabs>
              <w:spacing w:before="40" w:after="40"/>
              <w:ind w:left="57" w:right="57"/>
              <w:jc w:val="left"/>
              <w:rPr>
                <w:rFonts w:ascii="Arial Narrow" w:hAnsi="Arial Narrow"/>
              </w:rPr>
            </w:pPr>
            <w:r w:rsidRPr="001F664A">
              <w:rPr>
                <w:rFonts w:ascii="Arial Narrow" w:hAnsi="Arial Narrow" w:cs="Arial"/>
                <w:snapToGrid w:val="0"/>
              </w:rPr>
              <w:t xml:space="preserve">Costs </w:t>
            </w:r>
            <w:r w:rsidR="00C00169" w:rsidRPr="001F664A">
              <w:rPr>
                <w:rFonts w:ascii="Arial Narrow" w:hAnsi="Arial Narrow" w:cs="Arial"/>
                <w:snapToGrid w:val="0"/>
              </w:rPr>
              <w:t xml:space="preserve">through </w:t>
            </w:r>
            <w:r>
              <w:rPr>
                <w:rFonts w:ascii="Arial Narrow" w:hAnsi="Arial Narrow" w:cs="Arial"/>
                <w:snapToGrid w:val="0"/>
              </w:rPr>
              <w:t xml:space="preserve">direct / </w:t>
            </w:r>
            <w:r w:rsidR="00C00169" w:rsidRPr="001F664A">
              <w:rPr>
                <w:rFonts w:ascii="Arial Narrow" w:hAnsi="Arial Narrow" w:cs="Arial"/>
                <w:snapToGrid w:val="0"/>
              </w:rPr>
              <w:t>property damage and liability claims between $1m-$10m,</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Moderate</w:t>
            </w:r>
          </w:p>
        </w:tc>
        <w:tc>
          <w:tcPr>
            <w:tcW w:w="6884" w:type="dxa"/>
            <w:tcBorders>
              <w:top w:val="single" w:sz="6" w:space="0" w:color="auto"/>
              <w:left w:val="single" w:sz="6" w:space="0" w:color="auto"/>
              <w:bottom w:val="single" w:sz="6" w:space="0" w:color="auto"/>
              <w:right w:val="single" w:sz="12" w:space="0" w:color="auto"/>
            </w:tcBorders>
          </w:tcPr>
          <w:p w:rsidR="00913217" w:rsidRPr="001F664A" w:rsidRDefault="001F664A">
            <w:pPr>
              <w:pStyle w:val="ctrlnormal"/>
              <w:keepNext/>
              <w:tabs>
                <w:tab w:val="left" w:pos="907"/>
              </w:tabs>
              <w:spacing w:before="40" w:after="40"/>
              <w:ind w:left="57" w:right="57"/>
              <w:jc w:val="left"/>
              <w:rPr>
                <w:rFonts w:ascii="Arial Narrow" w:hAnsi="Arial Narrow"/>
              </w:rPr>
            </w:pPr>
            <w:r w:rsidRPr="001F664A">
              <w:rPr>
                <w:rFonts w:ascii="Arial Narrow" w:hAnsi="Arial Narrow" w:cs="Arial"/>
                <w:snapToGrid w:val="0"/>
              </w:rPr>
              <w:t xml:space="preserve">Costs </w:t>
            </w:r>
            <w:r w:rsidR="00C00169" w:rsidRPr="001F664A">
              <w:rPr>
                <w:rFonts w:ascii="Arial Narrow" w:hAnsi="Arial Narrow" w:cs="Arial"/>
                <w:snapToGrid w:val="0"/>
              </w:rPr>
              <w:t xml:space="preserve">through </w:t>
            </w:r>
            <w:r>
              <w:rPr>
                <w:rFonts w:ascii="Arial Narrow" w:hAnsi="Arial Narrow" w:cs="Arial"/>
                <w:snapToGrid w:val="0"/>
              </w:rPr>
              <w:t xml:space="preserve">direct / </w:t>
            </w:r>
            <w:r w:rsidR="00C00169" w:rsidRPr="001F664A">
              <w:rPr>
                <w:rFonts w:ascii="Arial Narrow" w:hAnsi="Arial Narrow" w:cs="Arial"/>
                <w:snapToGrid w:val="0"/>
              </w:rPr>
              <w:t xml:space="preserve">property damage and liability claims between $100k-$1m, </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Minor</w:t>
            </w:r>
          </w:p>
        </w:tc>
        <w:tc>
          <w:tcPr>
            <w:tcW w:w="6884" w:type="dxa"/>
            <w:tcBorders>
              <w:top w:val="single" w:sz="6" w:space="0" w:color="auto"/>
              <w:left w:val="single" w:sz="6" w:space="0" w:color="auto"/>
              <w:bottom w:val="single" w:sz="6" w:space="0" w:color="auto"/>
              <w:right w:val="single" w:sz="12" w:space="0" w:color="auto"/>
            </w:tcBorders>
          </w:tcPr>
          <w:p w:rsidR="00913217" w:rsidRPr="001F664A" w:rsidRDefault="001F664A">
            <w:pPr>
              <w:pStyle w:val="ctrlnormal"/>
              <w:keepNext/>
              <w:tabs>
                <w:tab w:val="left" w:pos="907"/>
              </w:tabs>
              <w:spacing w:before="40" w:after="40"/>
              <w:ind w:left="57" w:right="57"/>
              <w:jc w:val="left"/>
              <w:rPr>
                <w:rFonts w:ascii="Arial Narrow" w:hAnsi="Arial Narrow"/>
              </w:rPr>
            </w:pPr>
            <w:r w:rsidRPr="001F664A">
              <w:rPr>
                <w:rFonts w:ascii="Arial Narrow" w:hAnsi="Arial Narrow" w:cs="Arial"/>
                <w:snapToGrid w:val="0"/>
              </w:rPr>
              <w:t xml:space="preserve">Costs </w:t>
            </w:r>
            <w:r w:rsidR="00945ADB" w:rsidRPr="001F664A">
              <w:rPr>
                <w:rFonts w:ascii="Arial Narrow" w:hAnsi="Arial Narrow" w:cs="Arial"/>
                <w:snapToGrid w:val="0"/>
              </w:rPr>
              <w:t xml:space="preserve">through </w:t>
            </w:r>
            <w:r>
              <w:rPr>
                <w:rFonts w:ascii="Arial Narrow" w:hAnsi="Arial Narrow" w:cs="Arial"/>
                <w:snapToGrid w:val="0"/>
              </w:rPr>
              <w:t xml:space="preserve">direct / </w:t>
            </w:r>
            <w:r w:rsidR="00945ADB" w:rsidRPr="001F664A">
              <w:rPr>
                <w:rFonts w:ascii="Arial Narrow" w:hAnsi="Arial Narrow" w:cs="Arial"/>
                <w:snapToGrid w:val="0"/>
              </w:rPr>
              <w:t xml:space="preserve">property damage and liability claims between $50k-$100k, </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Insignificant</w:t>
            </w:r>
          </w:p>
        </w:tc>
        <w:tc>
          <w:tcPr>
            <w:tcW w:w="6884" w:type="dxa"/>
            <w:tcBorders>
              <w:top w:val="single" w:sz="6" w:space="0" w:color="auto"/>
              <w:left w:val="single" w:sz="6" w:space="0" w:color="auto"/>
              <w:bottom w:val="single" w:sz="6" w:space="0" w:color="auto"/>
              <w:right w:val="single" w:sz="12" w:space="0" w:color="auto"/>
            </w:tcBorders>
          </w:tcPr>
          <w:p w:rsidR="00913217" w:rsidRPr="001F664A" w:rsidRDefault="001F664A">
            <w:pPr>
              <w:pStyle w:val="ctrlnormal"/>
              <w:keepNext/>
              <w:tabs>
                <w:tab w:val="left" w:pos="907"/>
              </w:tabs>
              <w:spacing w:before="40" w:after="40"/>
              <w:ind w:left="57" w:right="57"/>
              <w:jc w:val="left"/>
              <w:rPr>
                <w:rFonts w:ascii="Arial Narrow" w:hAnsi="Arial Narrow"/>
              </w:rPr>
            </w:pPr>
            <w:r w:rsidRPr="001F664A">
              <w:rPr>
                <w:rFonts w:ascii="Arial Narrow" w:hAnsi="Arial Narrow" w:cs="Arial"/>
              </w:rPr>
              <w:t>C</w:t>
            </w:r>
            <w:r w:rsidR="00945ADB" w:rsidRPr="001F664A">
              <w:rPr>
                <w:rFonts w:ascii="Arial Narrow" w:hAnsi="Arial Narrow" w:cs="Arial"/>
              </w:rPr>
              <w:t>osts</w:t>
            </w:r>
            <w:r>
              <w:rPr>
                <w:rFonts w:ascii="Arial Narrow" w:hAnsi="Arial Narrow" w:cs="Arial"/>
              </w:rPr>
              <w:t xml:space="preserve"> through</w:t>
            </w:r>
            <w:r w:rsidR="00945ADB" w:rsidRPr="001F664A">
              <w:rPr>
                <w:rFonts w:ascii="Arial Narrow" w:hAnsi="Arial Narrow" w:cs="Arial"/>
              </w:rPr>
              <w:t xml:space="preserve"> </w:t>
            </w:r>
            <w:r>
              <w:rPr>
                <w:rFonts w:ascii="Arial Narrow" w:hAnsi="Arial Narrow" w:cs="Arial"/>
                <w:snapToGrid w:val="0"/>
              </w:rPr>
              <w:t xml:space="preserve">direct / </w:t>
            </w:r>
            <w:r w:rsidRPr="001F664A">
              <w:rPr>
                <w:rFonts w:ascii="Arial Narrow" w:hAnsi="Arial Narrow" w:cs="Arial"/>
                <w:snapToGrid w:val="0"/>
              </w:rPr>
              <w:t xml:space="preserve">property </w:t>
            </w:r>
            <w:r w:rsidR="00945ADB" w:rsidRPr="001F664A">
              <w:rPr>
                <w:rFonts w:ascii="Arial Narrow" w:hAnsi="Arial Narrow" w:cs="Arial"/>
              </w:rPr>
              <w:t>and liability claims &lt; $50k.</w:t>
            </w:r>
          </w:p>
        </w:tc>
      </w:tr>
    </w:tbl>
    <w:p w:rsidR="00913217" w:rsidRDefault="00913217" w:rsidP="00913217">
      <w:pPr>
        <w:tabs>
          <w:tab w:val="left" w:pos="2268"/>
        </w:tabs>
        <w:rPr>
          <w:lang w:eastAsia="en-AU"/>
        </w:rPr>
      </w:pPr>
    </w:p>
    <w:p w:rsidR="00945ADB" w:rsidRDefault="00E40E3C">
      <w:pPr>
        <w:tabs>
          <w:tab w:val="left" w:pos="2268"/>
        </w:tabs>
        <w:rPr>
          <w:lang w:eastAsia="en-AU"/>
        </w:rPr>
      </w:pPr>
      <w:r>
        <w:rPr>
          <w:lang w:eastAsia="en-AU"/>
        </w:rPr>
        <w:t>Reputation</w:t>
      </w:r>
    </w:p>
    <w:tbl>
      <w:tblPr>
        <w:tblW w:w="825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1"/>
        <w:gridCol w:w="6884"/>
      </w:tblGrid>
      <w:tr w:rsidR="00945ADB" w:rsidRPr="00371C40" w:rsidTr="00E377E6">
        <w:tc>
          <w:tcPr>
            <w:tcW w:w="1371" w:type="dxa"/>
            <w:tcBorders>
              <w:top w:val="single" w:sz="12"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Catastrophic</w:t>
            </w:r>
          </w:p>
        </w:tc>
        <w:tc>
          <w:tcPr>
            <w:tcW w:w="6884" w:type="dxa"/>
            <w:tcBorders>
              <w:top w:val="single" w:sz="12" w:space="0" w:color="auto"/>
              <w:left w:val="single" w:sz="6" w:space="0" w:color="auto"/>
              <w:bottom w:val="single" w:sz="6" w:space="0" w:color="auto"/>
              <w:right w:val="single" w:sz="12" w:space="0" w:color="auto"/>
            </w:tcBorders>
          </w:tcPr>
          <w:p w:rsidR="00913217" w:rsidRDefault="00945ADB">
            <w:pPr>
              <w:pStyle w:val="ctrlnormal"/>
              <w:keepNext/>
              <w:tabs>
                <w:tab w:val="left" w:pos="907"/>
              </w:tabs>
              <w:spacing w:before="40" w:after="40"/>
              <w:ind w:left="57" w:right="57"/>
              <w:jc w:val="left"/>
              <w:rPr>
                <w:rFonts w:ascii="Arial Narrow" w:hAnsi="Arial Narrow"/>
              </w:rPr>
            </w:pPr>
            <w:r>
              <w:rPr>
                <w:rFonts w:ascii="Arial Narrow" w:hAnsi="Arial Narrow"/>
              </w:rPr>
              <w:t>Loss of brand, political / regulator intervention</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Major</w:t>
            </w:r>
          </w:p>
        </w:tc>
        <w:tc>
          <w:tcPr>
            <w:tcW w:w="6884" w:type="dxa"/>
            <w:tcBorders>
              <w:top w:val="single" w:sz="6" w:space="0" w:color="auto"/>
              <w:left w:val="single" w:sz="6" w:space="0" w:color="auto"/>
              <w:bottom w:val="single" w:sz="6" w:space="0" w:color="auto"/>
              <w:right w:val="single" w:sz="12" w:space="0" w:color="auto"/>
            </w:tcBorders>
          </w:tcPr>
          <w:p w:rsidR="00945ADB" w:rsidRPr="00945ADB" w:rsidRDefault="001F664A" w:rsidP="00E377E6">
            <w:pPr>
              <w:pStyle w:val="ctrlnormal"/>
              <w:keepNext/>
              <w:tabs>
                <w:tab w:val="left" w:pos="907"/>
              </w:tabs>
              <w:spacing w:before="40" w:after="40"/>
              <w:ind w:left="57" w:right="57"/>
              <w:jc w:val="left"/>
              <w:rPr>
                <w:rFonts w:ascii="Arial Narrow" w:hAnsi="Arial Narrow"/>
              </w:rPr>
            </w:pPr>
            <w:r w:rsidRPr="00913217">
              <w:rPr>
                <w:rFonts w:ascii="Arial Narrow" w:hAnsi="Arial Narrow" w:cs="Arial"/>
                <w:snapToGrid w:val="0"/>
              </w:rPr>
              <w:t xml:space="preserve">Adverse </w:t>
            </w:r>
            <w:r w:rsidR="00913217" w:rsidRPr="00913217">
              <w:rPr>
                <w:rFonts w:ascii="Arial Narrow" w:hAnsi="Arial Narrow" w:cs="Arial"/>
                <w:snapToGrid w:val="0"/>
              </w:rPr>
              <w:t>national media attention</w:t>
            </w:r>
            <w:r w:rsidR="00945ADB">
              <w:rPr>
                <w:rFonts w:ascii="Arial Narrow" w:hAnsi="Arial Narrow" w:cs="Arial"/>
                <w:snapToGrid w:val="0"/>
              </w:rPr>
              <w:t xml:space="preserve">, </w:t>
            </w:r>
            <w:r w:rsidR="00945ADB" w:rsidRPr="00945ADB">
              <w:rPr>
                <w:rFonts w:ascii="Arial Narrow" w:hAnsi="Arial Narrow" w:cs="Arial"/>
                <w:snapToGrid w:val="0"/>
              </w:rPr>
              <w:t>adverse</w:t>
            </w:r>
            <w:r w:rsidR="00945ADB">
              <w:rPr>
                <w:rFonts w:ascii="Arial Narrow" w:hAnsi="Arial Narrow"/>
              </w:rPr>
              <w:t>, political / regulator attention</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Moderate</w:t>
            </w:r>
          </w:p>
        </w:tc>
        <w:tc>
          <w:tcPr>
            <w:tcW w:w="6884" w:type="dxa"/>
            <w:tcBorders>
              <w:top w:val="single" w:sz="6" w:space="0" w:color="auto"/>
              <w:left w:val="single" w:sz="6" w:space="0" w:color="auto"/>
              <w:bottom w:val="single" w:sz="6" w:space="0" w:color="auto"/>
              <w:right w:val="single" w:sz="12" w:space="0" w:color="auto"/>
            </w:tcBorders>
          </w:tcPr>
          <w:p w:rsidR="00913217" w:rsidRDefault="001F664A">
            <w:pPr>
              <w:pStyle w:val="ctrlnormal"/>
              <w:keepNext/>
              <w:tabs>
                <w:tab w:val="left" w:pos="907"/>
              </w:tabs>
              <w:spacing w:before="40" w:after="40"/>
              <w:ind w:left="57" w:right="57"/>
              <w:jc w:val="left"/>
              <w:rPr>
                <w:rFonts w:ascii="Arial Narrow" w:hAnsi="Arial Narrow"/>
              </w:rPr>
            </w:pPr>
            <w:r w:rsidRPr="00913217">
              <w:rPr>
                <w:rFonts w:ascii="Arial Narrow" w:hAnsi="Arial Narrow" w:cs="Arial"/>
                <w:snapToGrid w:val="0"/>
              </w:rPr>
              <w:t xml:space="preserve">Adverse </w:t>
            </w:r>
            <w:r w:rsidR="00913217" w:rsidRPr="00913217">
              <w:rPr>
                <w:rFonts w:ascii="Arial Narrow" w:hAnsi="Arial Narrow" w:cs="Arial"/>
                <w:snapToGrid w:val="0"/>
              </w:rPr>
              <w:t>regional media attention and multiple customer enquiries</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Minor</w:t>
            </w:r>
          </w:p>
        </w:tc>
        <w:tc>
          <w:tcPr>
            <w:tcW w:w="6884" w:type="dxa"/>
            <w:tcBorders>
              <w:top w:val="single" w:sz="6" w:space="0" w:color="auto"/>
              <w:left w:val="single" w:sz="6" w:space="0" w:color="auto"/>
              <w:bottom w:val="single" w:sz="6" w:space="0" w:color="auto"/>
              <w:right w:val="single" w:sz="12" w:space="0" w:color="auto"/>
            </w:tcBorders>
          </w:tcPr>
          <w:p w:rsidR="00913217" w:rsidRDefault="001F664A">
            <w:pPr>
              <w:pStyle w:val="ctrlnormal"/>
              <w:keepNext/>
              <w:tabs>
                <w:tab w:val="left" w:pos="907"/>
              </w:tabs>
              <w:spacing w:before="40" w:after="40"/>
              <w:ind w:left="57" w:right="57"/>
              <w:jc w:val="left"/>
              <w:rPr>
                <w:rFonts w:ascii="Arial Narrow" w:hAnsi="Arial Narrow"/>
              </w:rPr>
            </w:pPr>
            <w:r w:rsidRPr="00913217">
              <w:rPr>
                <w:rFonts w:ascii="Arial Narrow" w:hAnsi="Arial Narrow" w:cs="Arial"/>
                <w:snapToGrid w:val="0"/>
              </w:rPr>
              <w:t xml:space="preserve">Adverse </w:t>
            </w:r>
            <w:r w:rsidR="00913217" w:rsidRPr="00913217">
              <w:rPr>
                <w:rFonts w:ascii="Arial Narrow" w:hAnsi="Arial Narrow" w:cs="Arial"/>
                <w:snapToGrid w:val="0"/>
              </w:rPr>
              <w:t>local media attention and multiple customer enquiries.</w:t>
            </w:r>
          </w:p>
        </w:tc>
      </w:tr>
      <w:tr w:rsidR="00945ADB" w:rsidRPr="00371C40" w:rsidTr="00E377E6">
        <w:tc>
          <w:tcPr>
            <w:tcW w:w="1371" w:type="dxa"/>
            <w:tcBorders>
              <w:top w:val="single" w:sz="6" w:space="0" w:color="auto"/>
              <w:left w:val="single" w:sz="6" w:space="0" w:color="auto"/>
              <w:bottom w:val="single" w:sz="6" w:space="0" w:color="auto"/>
              <w:right w:val="single" w:sz="6" w:space="0" w:color="auto"/>
            </w:tcBorders>
          </w:tcPr>
          <w:p w:rsidR="00945ADB" w:rsidRPr="00371C40" w:rsidRDefault="00945ADB" w:rsidP="00E377E6">
            <w:pPr>
              <w:pStyle w:val="ctrlnormal"/>
              <w:keepNext/>
              <w:tabs>
                <w:tab w:val="left" w:pos="907"/>
              </w:tabs>
              <w:spacing w:before="40" w:after="40"/>
              <w:ind w:left="57" w:right="57"/>
              <w:jc w:val="center"/>
              <w:rPr>
                <w:rFonts w:ascii="Arial Narrow" w:hAnsi="Arial Narrow"/>
              </w:rPr>
            </w:pPr>
            <w:r>
              <w:rPr>
                <w:rFonts w:ascii="Arial Narrow" w:hAnsi="Arial Narrow"/>
              </w:rPr>
              <w:t>Insignificant</w:t>
            </w:r>
          </w:p>
        </w:tc>
        <w:tc>
          <w:tcPr>
            <w:tcW w:w="6884" w:type="dxa"/>
            <w:tcBorders>
              <w:top w:val="single" w:sz="6" w:space="0" w:color="auto"/>
              <w:left w:val="single" w:sz="6" w:space="0" w:color="auto"/>
              <w:bottom w:val="single" w:sz="6" w:space="0" w:color="auto"/>
              <w:right w:val="single" w:sz="12" w:space="0" w:color="auto"/>
            </w:tcBorders>
          </w:tcPr>
          <w:p w:rsidR="00945ADB" w:rsidRPr="00945ADB" w:rsidRDefault="000C6E3E" w:rsidP="00E377E6">
            <w:pPr>
              <w:pStyle w:val="ctrlnormal"/>
              <w:keepNext/>
              <w:tabs>
                <w:tab w:val="left" w:pos="907"/>
              </w:tabs>
              <w:spacing w:before="40" w:after="40"/>
              <w:ind w:left="57" w:right="57"/>
              <w:jc w:val="left"/>
              <w:rPr>
                <w:rFonts w:ascii="Arial Narrow" w:hAnsi="Arial Narrow"/>
              </w:rPr>
            </w:pPr>
            <w:r>
              <w:rPr>
                <w:rFonts w:ascii="Arial Narrow" w:hAnsi="Arial Narrow"/>
              </w:rPr>
              <w:t>No media attention, limited customer enquiries</w:t>
            </w:r>
          </w:p>
        </w:tc>
      </w:tr>
    </w:tbl>
    <w:p w:rsidR="00913217" w:rsidRDefault="00E40E3C" w:rsidP="00913217">
      <w:pPr>
        <w:tabs>
          <w:tab w:val="left" w:pos="2268"/>
        </w:tabs>
        <w:rPr>
          <w:lang w:eastAsia="en-AU"/>
        </w:rPr>
      </w:pPr>
      <w:r>
        <w:rPr>
          <w:lang w:eastAsia="en-AU"/>
        </w:rPr>
        <w:tab/>
      </w:r>
    </w:p>
    <w:p w:rsidR="00913217" w:rsidRPr="00913217" w:rsidRDefault="00E40E3C" w:rsidP="00913217">
      <w:pPr>
        <w:tabs>
          <w:tab w:val="left" w:pos="2268"/>
        </w:tabs>
        <w:rPr>
          <w:lang w:eastAsia="en-AU"/>
        </w:rPr>
      </w:pPr>
      <w:r>
        <w:rPr>
          <w:lang w:eastAsia="en-AU"/>
        </w:rPr>
        <w:t>Environmental</w:t>
      </w:r>
      <w:r>
        <w:rPr>
          <w:lang w:eastAsia="en-AU"/>
        </w:rPr>
        <w:tab/>
      </w:r>
      <w:r w:rsidR="00945ADB" w:rsidRPr="00224C4B">
        <w:rPr>
          <w:lang w:eastAsia="en-AU"/>
        </w:rPr>
        <w:tab/>
      </w:r>
      <w:r w:rsidR="00945ADB">
        <w:rPr>
          <w:lang w:eastAsia="en-AU"/>
        </w:rPr>
        <w:t>A</w:t>
      </w:r>
      <w:r w:rsidR="00945ADB" w:rsidRPr="00224C4B">
        <w:rPr>
          <w:lang w:eastAsia="en-AU"/>
        </w:rPr>
        <w:t>s per Networks NSW Common Risk Matrix</w:t>
      </w:r>
    </w:p>
    <w:p w:rsidR="00C147EA" w:rsidRDefault="00C147EA" w:rsidP="00C147EA"/>
    <w:p w:rsidR="00913217" w:rsidRDefault="00C147EA" w:rsidP="001A3B12">
      <w:pPr>
        <w:pStyle w:val="Heading3"/>
      </w:pPr>
      <w:r>
        <w:t>Proposed Network Asset Defects Risk Matrix</w:t>
      </w:r>
    </w:p>
    <w:p w:rsidR="001A3B12" w:rsidRPr="001F664A" w:rsidRDefault="001A3B12" w:rsidP="001F664A">
      <w:pPr>
        <w:keepNext/>
        <w:ind w:left="851"/>
        <w:rPr>
          <w:sz w:val="18"/>
        </w:rPr>
      </w:pPr>
      <w:r w:rsidRPr="001F664A">
        <w:rPr>
          <w:sz w:val="18"/>
        </w:rPr>
        <w:t>Figure 3 – Networks NSW Network Defects Risk Matrix</w:t>
      </w:r>
    </w:p>
    <w:p w:rsidR="001A3B12" w:rsidRPr="001A3B12" w:rsidRDefault="001A3B12" w:rsidP="001A3B12">
      <w:pPr>
        <w:keepNext/>
      </w:pPr>
    </w:p>
    <w:tbl>
      <w:tblPr>
        <w:tblW w:w="0" w:type="auto"/>
        <w:tblInd w:w="5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4"/>
        <w:gridCol w:w="1284"/>
        <w:gridCol w:w="1378"/>
        <w:gridCol w:w="1451"/>
        <w:gridCol w:w="1298"/>
        <w:gridCol w:w="1270"/>
        <w:gridCol w:w="1273"/>
      </w:tblGrid>
      <w:tr w:rsidR="00C147EA" w:rsidTr="00B37593">
        <w:tc>
          <w:tcPr>
            <w:tcW w:w="2038" w:type="dxa"/>
            <w:gridSpan w:val="2"/>
            <w:vAlign w:val="bottom"/>
          </w:tcPr>
          <w:p w:rsidR="00C147EA" w:rsidRPr="00B37593" w:rsidRDefault="00C147EA" w:rsidP="00B37593">
            <w:pPr>
              <w:keepNext/>
              <w:spacing w:before="120" w:after="120" w:line="240" w:lineRule="atLeast"/>
              <w:jc w:val="both"/>
              <w:rPr>
                <w:rFonts w:cs="Arial"/>
                <w:color w:val="0070C0"/>
                <w:sz w:val="20"/>
              </w:rPr>
            </w:pPr>
          </w:p>
        </w:tc>
        <w:tc>
          <w:tcPr>
            <w:tcW w:w="6670" w:type="dxa"/>
            <w:gridSpan w:val="5"/>
          </w:tcPr>
          <w:p w:rsidR="00C147EA" w:rsidRPr="00B37593" w:rsidRDefault="00C147EA" w:rsidP="00B37593">
            <w:pPr>
              <w:keepNext/>
              <w:spacing w:before="120" w:after="120" w:line="240" w:lineRule="atLeast"/>
              <w:jc w:val="center"/>
              <w:rPr>
                <w:rFonts w:cs="Arial"/>
                <w:b/>
                <w:color w:val="0070C0"/>
                <w:sz w:val="20"/>
              </w:rPr>
            </w:pPr>
            <w:r w:rsidRPr="00B37593">
              <w:rPr>
                <w:rFonts w:cs="Arial"/>
                <w:b/>
                <w:color w:val="0070C0"/>
                <w:sz w:val="24"/>
              </w:rPr>
              <w:t>Consequence</w:t>
            </w:r>
          </w:p>
        </w:tc>
      </w:tr>
      <w:tr w:rsidR="00414762" w:rsidTr="00B37593">
        <w:tc>
          <w:tcPr>
            <w:tcW w:w="2038" w:type="dxa"/>
            <w:gridSpan w:val="2"/>
            <w:vAlign w:val="bottom"/>
          </w:tcPr>
          <w:p w:rsidR="00C147EA" w:rsidRPr="00B97946" w:rsidRDefault="00C147EA" w:rsidP="00B37593">
            <w:pPr>
              <w:keepNext/>
              <w:jc w:val="center"/>
            </w:pPr>
          </w:p>
        </w:tc>
        <w:tc>
          <w:tcPr>
            <w:tcW w:w="1378" w:type="dxa"/>
            <w:shd w:val="clear" w:color="auto" w:fill="A6A6A6" w:themeFill="background1" w:themeFillShade="A6"/>
            <w:vAlign w:val="center"/>
          </w:tcPr>
          <w:p w:rsidR="00C147EA" w:rsidRPr="00B37593" w:rsidRDefault="00C147EA" w:rsidP="00B37593">
            <w:pPr>
              <w:keepNext/>
              <w:spacing w:before="240" w:after="240"/>
              <w:jc w:val="center"/>
              <w:rPr>
                <w:color w:val="FFFFFF" w:themeColor="background1"/>
              </w:rPr>
            </w:pPr>
            <w:r w:rsidRPr="00B37593">
              <w:rPr>
                <w:color w:val="FFFFFF" w:themeColor="background1"/>
              </w:rPr>
              <w:t>Insignificant</w:t>
            </w:r>
          </w:p>
        </w:tc>
        <w:tc>
          <w:tcPr>
            <w:tcW w:w="1451" w:type="dxa"/>
            <w:shd w:val="clear" w:color="auto" w:fill="A6A6A6" w:themeFill="background1" w:themeFillShade="A6"/>
            <w:vAlign w:val="center"/>
          </w:tcPr>
          <w:p w:rsidR="00C147EA" w:rsidRPr="00B37593" w:rsidRDefault="00C147EA" w:rsidP="00B37593">
            <w:pPr>
              <w:keepNext/>
              <w:spacing w:before="240" w:after="240"/>
              <w:jc w:val="center"/>
              <w:rPr>
                <w:color w:val="FFFFFF" w:themeColor="background1"/>
              </w:rPr>
            </w:pPr>
            <w:r w:rsidRPr="00B37593">
              <w:rPr>
                <w:color w:val="FFFFFF" w:themeColor="background1"/>
              </w:rPr>
              <w:t>Minor</w:t>
            </w:r>
          </w:p>
        </w:tc>
        <w:tc>
          <w:tcPr>
            <w:tcW w:w="1298" w:type="dxa"/>
            <w:tcBorders>
              <w:bottom w:val="single" w:sz="4" w:space="0" w:color="FFFFFF" w:themeColor="background1"/>
            </w:tcBorders>
            <w:shd w:val="clear" w:color="auto" w:fill="A6A6A6" w:themeFill="background1" w:themeFillShade="A6"/>
            <w:vAlign w:val="center"/>
          </w:tcPr>
          <w:p w:rsidR="00C147EA" w:rsidRPr="00B37593" w:rsidRDefault="00C147EA" w:rsidP="00B37593">
            <w:pPr>
              <w:keepNext/>
              <w:spacing w:before="240" w:after="240"/>
              <w:jc w:val="center"/>
              <w:rPr>
                <w:color w:val="FFFFFF" w:themeColor="background1"/>
              </w:rPr>
            </w:pPr>
            <w:r w:rsidRPr="00B37593">
              <w:rPr>
                <w:color w:val="FFFFFF" w:themeColor="background1"/>
              </w:rPr>
              <w:t>Moderate</w:t>
            </w:r>
          </w:p>
        </w:tc>
        <w:tc>
          <w:tcPr>
            <w:tcW w:w="1270" w:type="dxa"/>
            <w:shd w:val="clear" w:color="auto" w:fill="A6A6A6" w:themeFill="background1" w:themeFillShade="A6"/>
            <w:vAlign w:val="center"/>
          </w:tcPr>
          <w:p w:rsidR="00C147EA" w:rsidRPr="00B37593" w:rsidRDefault="00C147EA" w:rsidP="00B37593">
            <w:pPr>
              <w:keepNext/>
              <w:spacing w:before="240" w:after="240"/>
              <w:jc w:val="center"/>
              <w:rPr>
                <w:color w:val="FFFFFF" w:themeColor="background1"/>
              </w:rPr>
            </w:pPr>
            <w:r w:rsidRPr="00B37593">
              <w:rPr>
                <w:color w:val="FFFFFF" w:themeColor="background1"/>
              </w:rPr>
              <w:t>Major</w:t>
            </w:r>
          </w:p>
        </w:tc>
        <w:tc>
          <w:tcPr>
            <w:tcW w:w="1273" w:type="dxa"/>
            <w:shd w:val="clear" w:color="auto" w:fill="A6A6A6" w:themeFill="background1" w:themeFillShade="A6"/>
            <w:vAlign w:val="center"/>
          </w:tcPr>
          <w:p w:rsidR="00C147EA" w:rsidRPr="00B37593" w:rsidRDefault="00C147EA" w:rsidP="00B37593">
            <w:pPr>
              <w:keepNext/>
              <w:spacing w:before="240" w:after="240"/>
              <w:jc w:val="center"/>
              <w:rPr>
                <w:color w:val="FFFFFF" w:themeColor="background1"/>
              </w:rPr>
            </w:pPr>
            <w:r w:rsidRPr="00B37593">
              <w:rPr>
                <w:color w:val="FFFFFF" w:themeColor="background1"/>
              </w:rPr>
              <w:t>Severe</w:t>
            </w:r>
          </w:p>
        </w:tc>
      </w:tr>
      <w:tr w:rsidR="00414762" w:rsidTr="00B37593">
        <w:tc>
          <w:tcPr>
            <w:tcW w:w="754" w:type="dxa"/>
            <w:vMerge w:val="restart"/>
            <w:textDirection w:val="btLr"/>
            <w:vAlign w:val="bottom"/>
          </w:tcPr>
          <w:p w:rsidR="006A42B8" w:rsidRPr="00B37593" w:rsidRDefault="006A42B8" w:rsidP="00B37593">
            <w:pPr>
              <w:keepNext/>
              <w:spacing w:before="120" w:after="120" w:line="240" w:lineRule="atLeast"/>
              <w:ind w:left="113" w:right="113"/>
              <w:jc w:val="center"/>
              <w:rPr>
                <w:rFonts w:cs="Arial"/>
                <w:b/>
                <w:color w:val="0070C0"/>
                <w:sz w:val="20"/>
              </w:rPr>
            </w:pPr>
            <w:r w:rsidRPr="00B37593">
              <w:rPr>
                <w:rFonts w:cs="Arial"/>
                <w:b/>
                <w:color w:val="0070C0"/>
                <w:sz w:val="24"/>
              </w:rPr>
              <w:t>Likelihood</w:t>
            </w:r>
          </w:p>
        </w:tc>
        <w:tc>
          <w:tcPr>
            <w:tcW w:w="1284" w:type="dxa"/>
            <w:tcBorders>
              <w:bottom w:val="single" w:sz="4" w:space="0" w:color="FFFFFF" w:themeColor="background1"/>
            </w:tcBorders>
            <w:shd w:val="clear" w:color="auto" w:fill="A6A6A6" w:themeFill="background1" w:themeFillShade="A6"/>
            <w:vAlign w:val="center"/>
          </w:tcPr>
          <w:p w:rsidR="006A42B8" w:rsidRPr="00B37593" w:rsidRDefault="006A42B8" w:rsidP="00B37593">
            <w:pPr>
              <w:keepNext/>
              <w:jc w:val="center"/>
              <w:rPr>
                <w:color w:val="FFFFFF" w:themeColor="background1"/>
              </w:rPr>
            </w:pPr>
            <w:r w:rsidRPr="00B37593">
              <w:rPr>
                <w:color w:val="FFFFFF" w:themeColor="background1"/>
              </w:rPr>
              <w:t>Almost Certain</w:t>
            </w:r>
          </w:p>
        </w:tc>
        <w:tc>
          <w:tcPr>
            <w:tcW w:w="1378" w:type="dxa"/>
            <w:tcBorders>
              <w:bottom w:val="single" w:sz="4" w:space="0" w:color="FFFFFF" w:themeColor="background1"/>
            </w:tcBorders>
            <w:shd w:val="clear" w:color="auto" w:fill="FFFF00"/>
            <w:vAlign w:val="center"/>
          </w:tcPr>
          <w:p w:rsidR="006A42B8" w:rsidRPr="00B37593" w:rsidRDefault="006A42B8" w:rsidP="00B37593">
            <w:pPr>
              <w:keepNext/>
              <w:spacing w:before="120" w:after="120" w:line="240" w:lineRule="atLeast"/>
              <w:jc w:val="center"/>
              <w:rPr>
                <w:rFonts w:cs="Arial"/>
                <w:color w:val="0070C0"/>
                <w:sz w:val="20"/>
              </w:rPr>
            </w:pPr>
            <w:r w:rsidRPr="00B37593">
              <w:rPr>
                <w:rFonts w:cs="Arial"/>
                <w:sz w:val="18"/>
              </w:rPr>
              <w:t>Moderate</w:t>
            </w:r>
          </w:p>
        </w:tc>
        <w:tc>
          <w:tcPr>
            <w:tcW w:w="1451" w:type="dxa"/>
            <w:tcBorders>
              <w:bottom w:val="single" w:sz="4" w:space="0" w:color="FFFFFF" w:themeColor="background1"/>
            </w:tcBorders>
            <w:shd w:val="clear" w:color="auto" w:fill="FFC00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Medium</w:t>
            </w:r>
          </w:p>
        </w:tc>
        <w:tc>
          <w:tcPr>
            <w:tcW w:w="1298" w:type="dxa"/>
            <w:shd w:val="clear" w:color="auto" w:fill="FF6600"/>
            <w:vAlign w:val="center"/>
          </w:tcPr>
          <w:p w:rsidR="006A42B8" w:rsidRPr="00B37593" w:rsidRDefault="006A42B8" w:rsidP="00B37593">
            <w:pPr>
              <w:keepNext/>
              <w:spacing w:before="120" w:after="120" w:line="240" w:lineRule="atLeast"/>
              <w:jc w:val="center"/>
              <w:rPr>
                <w:rFonts w:cs="Arial"/>
                <w:sz w:val="20"/>
              </w:rPr>
            </w:pPr>
            <w:r w:rsidRPr="00B37593">
              <w:rPr>
                <w:rFonts w:cs="Arial"/>
                <w:color w:val="FFFFFF" w:themeColor="background1"/>
                <w:sz w:val="20"/>
              </w:rPr>
              <w:t>High</w:t>
            </w:r>
          </w:p>
        </w:tc>
        <w:tc>
          <w:tcPr>
            <w:tcW w:w="1270" w:type="dxa"/>
            <w:shd w:val="clear" w:color="auto" w:fill="FF0000"/>
            <w:vAlign w:val="center"/>
          </w:tcPr>
          <w:p w:rsidR="006A42B8" w:rsidRPr="00B37593" w:rsidRDefault="006A42B8"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Extreme</w:t>
            </w:r>
          </w:p>
        </w:tc>
        <w:tc>
          <w:tcPr>
            <w:tcW w:w="1273" w:type="dxa"/>
            <w:shd w:val="clear" w:color="auto" w:fill="FF0000"/>
            <w:vAlign w:val="center"/>
          </w:tcPr>
          <w:p w:rsidR="006A42B8" w:rsidRPr="00B37593" w:rsidRDefault="006A42B8"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Extreme</w:t>
            </w:r>
          </w:p>
        </w:tc>
      </w:tr>
      <w:tr w:rsidR="00414762" w:rsidTr="00B37593">
        <w:tc>
          <w:tcPr>
            <w:tcW w:w="754" w:type="dxa"/>
            <w:vMerge/>
            <w:vAlign w:val="bottom"/>
          </w:tcPr>
          <w:p w:rsidR="006A42B8" w:rsidRPr="00B37593" w:rsidRDefault="006A42B8" w:rsidP="00B37593">
            <w:pPr>
              <w:keepNext/>
              <w:spacing w:before="120" w:after="120" w:line="240" w:lineRule="atLeast"/>
              <w:jc w:val="center"/>
              <w:rPr>
                <w:rFonts w:cs="Arial"/>
                <w:color w:val="0070C0"/>
                <w:sz w:val="20"/>
              </w:rPr>
            </w:pPr>
          </w:p>
        </w:tc>
        <w:tc>
          <w:tcPr>
            <w:tcW w:w="1284" w:type="dxa"/>
            <w:shd w:val="clear" w:color="auto" w:fill="A6A6A6" w:themeFill="background1" w:themeFillShade="A6"/>
            <w:vAlign w:val="center"/>
          </w:tcPr>
          <w:p w:rsidR="006A42B8" w:rsidRPr="00B37593" w:rsidRDefault="006A42B8" w:rsidP="00B37593">
            <w:pPr>
              <w:keepNext/>
              <w:jc w:val="center"/>
              <w:rPr>
                <w:color w:val="FFFFFF" w:themeColor="background1"/>
              </w:rPr>
            </w:pPr>
            <w:r w:rsidRPr="00B37593">
              <w:rPr>
                <w:color w:val="FFFFFF" w:themeColor="background1"/>
              </w:rPr>
              <w:t>Likely</w:t>
            </w:r>
          </w:p>
        </w:tc>
        <w:tc>
          <w:tcPr>
            <w:tcW w:w="1378" w:type="dxa"/>
            <w:shd w:val="clear" w:color="auto" w:fill="99FF33"/>
            <w:vAlign w:val="center"/>
          </w:tcPr>
          <w:p w:rsidR="006A42B8" w:rsidRPr="00B37593" w:rsidRDefault="00A92F4B" w:rsidP="00B37593">
            <w:pPr>
              <w:keepNext/>
              <w:spacing w:before="120" w:after="120" w:line="240" w:lineRule="atLeast"/>
              <w:jc w:val="center"/>
              <w:rPr>
                <w:rFonts w:cs="Arial"/>
                <w:sz w:val="18"/>
              </w:rPr>
            </w:pPr>
            <w:r w:rsidRPr="00B37593">
              <w:rPr>
                <w:rFonts w:cs="Arial"/>
                <w:sz w:val="18"/>
              </w:rPr>
              <w:t>Low</w:t>
            </w:r>
          </w:p>
        </w:tc>
        <w:tc>
          <w:tcPr>
            <w:tcW w:w="1451" w:type="dxa"/>
            <w:tcBorders>
              <w:bottom w:val="single" w:sz="4" w:space="0" w:color="FFFFFF" w:themeColor="background1"/>
            </w:tcBorders>
            <w:shd w:val="clear" w:color="auto" w:fill="FFFF00"/>
            <w:vAlign w:val="center"/>
          </w:tcPr>
          <w:p w:rsidR="006A42B8" w:rsidRPr="00B37593" w:rsidRDefault="006A42B8" w:rsidP="00B37593">
            <w:pPr>
              <w:keepNext/>
              <w:spacing w:before="120" w:after="120" w:line="240" w:lineRule="atLeast"/>
              <w:jc w:val="center"/>
              <w:rPr>
                <w:rFonts w:cs="Arial"/>
                <w:color w:val="0070C0"/>
                <w:sz w:val="20"/>
              </w:rPr>
            </w:pPr>
            <w:r w:rsidRPr="00B37593">
              <w:rPr>
                <w:rFonts w:cs="Arial"/>
                <w:sz w:val="18"/>
              </w:rPr>
              <w:t>Moderate</w:t>
            </w:r>
          </w:p>
        </w:tc>
        <w:tc>
          <w:tcPr>
            <w:tcW w:w="1298" w:type="dxa"/>
            <w:shd w:val="clear" w:color="auto" w:fill="FFC00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Medium</w:t>
            </w:r>
          </w:p>
        </w:tc>
        <w:tc>
          <w:tcPr>
            <w:tcW w:w="1270" w:type="dxa"/>
            <w:shd w:val="clear" w:color="auto" w:fill="FF6600"/>
            <w:vAlign w:val="center"/>
          </w:tcPr>
          <w:p w:rsidR="006A42B8" w:rsidRPr="00B37593" w:rsidRDefault="006A42B8" w:rsidP="00B37593">
            <w:pPr>
              <w:keepNext/>
              <w:spacing w:before="120" w:after="120" w:line="240" w:lineRule="atLeast"/>
              <w:jc w:val="center"/>
              <w:rPr>
                <w:rFonts w:cs="Arial"/>
                <w:sz w:val="20"/>
              </w:rPr>
            </w:pPr>
            <w:r w:rsidRPr="00B37593">
              <w:rPr>
                <w:rFonts w:cs="Arial"/>
                <w:color w:val="FFFFFF" w:themeColor="background1"/>
                <w:sz w:val="20"/>
              </w:rPr>
              <w:t>High</w:t>
            </w:r>
          </w:p>
        </w:tc>
        <w:tc>
          <w:tcPr>
            <w:tcW w:w="1273" w:type="dxa"/>
            <w:shd w:val="clear" w:color="auto" w:fill="FF0000"/>
            <w:vAlign w:val="center"/>
          </w:tcPr>
          <w:p w:rsidR="006A42B8" w:rsidRPr="00B37593" w:rsidRDefault="006A42B8"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Extreme</w:t>
            </w:r>
          </w:p>
        </w:tc>
      </w:tr>
      <w:tr w:rsidR="00414762" w:rsidTr="00B37593">
        <w:tc>
          <w:tcPr>
            <w:tcW w:w="754" w:type="dxa"/>
            <w:vMerge/>
            <w:vAlign w:val="bottom"/>
          </w:tcPr>
          <w:p w:rsidR="006A42B8" w:rsidRPr="00B37593" w:rsidRDefault="006A42B8" w:rsidP="00B37593">
            <w:pPr>
              <w:keepNext/>
              <w:spacing w:before="120" w:after="120" w:line="240" w:lineRule="atLeast"/>
              <w:jc w:val="center"/>
              <w:rPr>
                <w:rFonts w:cs="Arial"/>
                <w:color w:val="0070C0"/>
                <w:sz w:val="20"/>
              </w:rPr>
            </w:pPr>
          </w:p>
        </w:tc>
        <w:tc>
          <w:tcPr>
            <w:tcW w:w="1284" w:type="dxa"/>
            <w:shd w:val="clear" w:color="auto" w:fill="A6A6A6" w:themeFill="background1" w:themeFillShade="A6"/>
            <w:vAlign w:val="center"/>
          </w:tcPr>
          <w:p w:rsidR="006A42B8" w:rsidRPr="00B37593" w:rsidRDefault="006A42B8" w:rsidP="00B37593">
            <w:pPr>
              <w:keepNext/>
              <w:jc w:val="center"/>
              <w:rPr>
                <w:color w:val="FFFFFF" w:themeColor="background1"/>
              </w:rPr>
            </w:pPr>
            <w:r w:rsidRPr="00B37593">
              <w:rPr>
                <w:color w:val="FFFFFF" w:themeColor="background1"/>
              </w:rPr>
              <w:t>Possible</w:t>
            </w:r>
          </w:p>
        </w:tc>
        <w:tc>
          <w:tcPr>
            <w:tcW w:w="1378" w:type="dxa"/>
            <w:tcBorders>
              <w:bottom w:val="single" w:sz="4" w:space="0" w:color="FFFFFF" w:themeColor="background1"/>
            </w:tcBorders>
            <w:shd w:val="clear" w:color="auto" w:fill="99FF33"/>
            <w:vAlign w:val="center"/>
          </w:tcPr>
          <w:p w:rsidR="006A42B8" w:rsidRPr="00B37593" w:rsidRDefault="006A42B8" w:rsidP="00B37593">
            <w:pPr>
              <w:keepNext/>
              <w:spacing w:before="120" w:after="120" w:line="240" w:lineRule="atLeast"/>
              <w:jc w:val="center"/>
              <w:rPr>
                <w:rFonts w:cs="Arial"/>
                <w:sz w:val="18"/>
              </w:rPr>
            </w:pPr>
            <w:r w:rsidRPr="00B37593">
              <w:rPr>
                <w:rFonts w:cs="Arial"/>
                <w:sz w:val="18"/>
              </w:rPr>
              <w:t>Low</w:t>
            </w:r>
          </w:p>
        </w:tc>
        <w:tc>
          <w:tcPr>
            <w:tcW w:w="1451" w:type="dxa"/>
            <w:tcBorders>
              <w:bottom w:val="single" w:sz="4" w:space="0" w:color="FFFFFF" w:themeColor="background1"/>
            </w:tcBorders>
            <w:shd w:val="clear" w:color="auto" w:fill="99FF33"/>
            <w:vAlign w:val="center"/>
          </w:tcPr>
          <w:p w:rsidR="006A42B8" w:rsidRPr="00B37593" w:rsidRDefault="006A42B8" w:rsidP="00B37593">
            <w:pPr>
              <w:keepNext/>
              <w:spacing w:before="120" w:after="120" w:line="240" w:lineRule="atLeast"/>
              <w:jc w:val="center"/>
              <w:rPr>
                <w:rFonts w:cs="Arial"/>
                <w:sz w:val="18"/>
              </w:rPr>
            </w:pPr>
            <w:r w:rsidRPr="00B37593">
              <w:rPr>
                <w:rFonts w:cs="Arial"/>
                <w:sz w:val="18"/>
              </w:rPr>
              <w:t>Low</w:t>
            </w:r>
          </w:p>
        </w:tc>
        <w:tc>
          <w:tcPr>
            <w:tcW w:w="1298" w:type="dxa"/>
            <w:tcBorders>
              <w:bottom w:val="single" w:sz="4" w:space="0" w:color="FFFFFF" w:themeColor="background1"/>
            </w:tcBorders>
            <w:shd w:val="clear" w:color="auto" w:fill="FFFF00"/>
            <w:vAlign w:val="center"/>
          </w:tcPr>
          <w:p w:rsidR="006A42B8" w:rsidRPr="00B37593" w:rsidRDefault="006A42B8" w:rsidP="00B37593">
            <w:pPr>
              <w:keepNext/>
              <w:spacing w:before="120" w:after="120" w:line="240" w:lineRule="atLeast"/>
              <w:jc w:val="center"/>
              <w:rPr>
                <w:rFonts w:cs="Arial"/>
                <w:color w:val="0070C0"/>
                <w:sz w:val="20"/>
              </w:rPr>
            </w:pPr>
            <w:r w:rsidRPr="00B37593">
              <w:rPr>
                <w:rFonts w:cs="Arial"/>
                <w:sz w:val="18"/>
              </w:rPr>
              <w:t>Moderate</w:t>
            </w:r>
          </w:p>
        </w:tc>
        <w:tc>
          <w:tcPr>
            <w:tcW w:w="1270" w:type="dxa"/>
            <w:tcBorders>
              <w:bottom w:val="single" w:sz="4" w:space="0" w:color="FFFFFF" w:themeColor="background1"/>
            </w:tcBorders>
            <w:shd w:val="clear" w:color="auto" w:fill="FFC00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Medium</w:t>
            </w:r>
          </w:p>
        </w:tc>
        <w:tc>
          <w:tcPr>
            <w:tcW w:w="1273" w:type="dxa"/>
            <w:shd w:val="clear" w:color="auto" w:fill="FF6600"/>
            <w:vAlign w:val="center"/>
          </w:tcPr>
          <w:p w:rsidR="006A42B8" w:rsidRPr="00B37593" w:rsidRDefault="006A42B8" w:rsidP="00B37593">
            <w:pPr>
              <w:keepNext/>
              <w:spacing w:before="120" w:after="120" w:line="240" w:lineRule="atLeast"/>
              <w:jc w:val="center"/>
              <w:rPr>
                <w:rFonts w:cs="Arial"/>
                <w:sz w:val="20"/>
              </w:rPr>
            </w:pPr>
            <w:r w:rsidRPr="00B37593">
              <w:rPr>
                <w:rFonts w:cs="Arial"/>
                <w:color w:val="FFFFFF" w:themeColor="background1"/>
                <w:sz w:val="20"/>
              </w:rPr>
              <w:t>High</w:t>
            </w:r>
          </w:p>
        </w:tc>
      </w:tr>
      <w:tr w:rsidR="00414762" w:rsidTr="00D013EE">
        <w:tc>
          <w:tcPr>
            <w:tcW w:w="754" w:type="dxa"/>
            <w:vMerge/>
            <w:vAlign w:val="bottom"/>
          </w:tcPr>
          <w:p w:rsidR="006A42B8" w:rsidRPr="00B37593" w:rsidRDefault="006A42B8" w:rsidP="00B37593">
            <w:pPr>
              <w:keepNext/>
              <w:spacing w:before="120" w:after="120" w:line="240" w:lineRule="atLeast"/>
              <w:jc w:val="center"/>
              <w:rPr>
                <w:rFonts w:cs="Arial"/>
                <w:color w:val="0070C0"/>
                <w:sz w:val="20"/>
              </w:rPr>
            </w:pPr>
          </w:p>
        </w:tc>
        <w:tc>
          <w:tcPr>
            <w:tcW w:w="1284" w:type="dxa"/>
            <w:tcBorders>
              <w:bottom w:val="single" w:sz="4" w:space="0" w:color="FFFFFF" w:themeColor="background1"/>
            </w:tcBorders>
            <w:shd w:val="clear" w:color="auto" w:fill="A6A6A6" w:themeFill="background1" w:themeFillShade="A6"/>
            <w:vAlign w:val="center"/>
          </w:tcPr>
          <w:p w:rsidR="006A42B8" w:rsidRPr="00B37593" w:rsidRDefault="006A42B8" w:rsidP="00B37593">
            <w:pPr>
              <w:keepNext/>
              <w:jc w:val="center"/>
              <w:rPr>
                <w:color w:val="FFFFFF" w:themeColor="background1"/>
              </w:rPr>
            </w:pPr>
            <w:r w:rsidRPr="00B37593">
              <w:rPr>
                <w:color w:val="FFFFFF" w:themeColor="background1"/>
              </w:rPr>
              <w:t>Unlikely</w:t>
            </w:r>
          </w:p>
        </w:tc>
        <w:tc>
          <w:tcPr>
            <w:tcW w:w="1378" w:type="dxa"/>
            <w:tcBorders>
              <w:bottom w:val="single" w:sz="4" w:space="0" w:color="FFFFFF" w:themeColor="background1"/>
            </w:tcBorders>
            <w:shd w:val="clear" w:color="auto" w:fill="92D05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Negligible</w:t>
            </w:r>
          </w:p>
        </w:tc>
        <w:tc>
          <w:tcPr>
            <w:tcW w:w="1451" w:type="dxa"/>
            <w:tcBorders>
              <w:bottom w:val="single" w:sz="4" w:space="0" w:color="FFFFFF" w:themeColor="background1"/>
            </w:tcBorders>
            <w:shd w:val="clear" w:color="auto" w:fill="92D05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Negligible</w:t>
            </w:r>
          </w:p>
        </w:tc>
        <w:tc>
          <w:tcPr>
            <w:tcW w:w="1298" w:type="dxa"/>
            <w:tcBorders>
              <w:bottom w:val="single" w:sz="4" w:space="0" w:color="FFFFFF" w:themeColor="background1"/>
            </w:tcBorders>
            <w:shd w:val="clear" w:color="auto" w:fill="99FF33"/>
            <w:vAlign w:val="center"/>
          </w:tcPr>
          <w:p w:rsidR="006A42B8" w:rsidRPr="00B37593" w:rsidRDefault="006A42B8" w:rsidP="00B37593">
            <w:pPr>
              <w:keepNext/>
              <w:spacing w:before="120" w:after="120" w:line="240" w:lineRule="atLeast"/>
              <w:jc w:val="center"/>
              <w:rPr>
                <w:rFonts w:cs="Arial"/>
                <w:sz w:val="18"/>
              </w:rPr>
            </w:pPr>
            <w:r w:rsidRPr="00B37593">
              <w:rPr>
                <w:rFonts w:cs="Arial"/>
                <w:sz w:val="18"/>
              </w:rPr>
              <w:t>Low</w:t>
            </w:r>
          </w:p>
        </w:tc>
        <w:tc>
          <w:tcPr>
            <w:tcW w:w="1270" w:type="dxa"/>
            <w:tcBorders>
              <w:bottom w:val="single" w:sz="4" w:space="0" w:color="FFFFFF" w:themeColor="background1"/>
            </w:tcBorders>
            <w:shd w:val="clear" w:color="auto" w:fill="FFFF00"/>
            <w:vAlign w:val="center"/>
          </w:tcPr>
          <w:p w:rsidR="006A42B8" w:rsidRPr="00B37593" w:rsidRDefault="00A92F4B" w:rsidP="00B37593">
            <w:pPr>
              <w:keepNext/>
              <w:spacing w:before="120" w:after="120" w:line="240" w:lineRule="atLeast"/>
              <w:jc w:val="center"/>
              <w:rPr>
                <w:rFonts w:cs="Arial"/>
                <w:color w:val="0070C0"/>
                <w:sz w:val="20"/>
              </w:rPr>
            </w:pPr>
            <w:r w:rsidRPr="00B37593">
              <w:rPr>
                <w:rFonts w:cs="Arial"/>
                <w:sz w:val="18"/>
              </w:rPr>
              <w:t>Moderate</w:t>
            </w:r>
          </w:p>
        </w:tc>
        <w:tc>
          <w:tcPr>
            <w:tcW w:w="1273" w:type="dxa"/>
            <w:tcBorders>
              <w:bottom w:val="single" w:sz="4" w:space="0" w:color="FFFFFF" w:themeColor="background1"/>
            </w:tcBorders>
            <w:shd w:val="clear" w:color="auto" w:fill="FFC00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Medium</w:t>
            </w:r>
          </w:p>
        </w:tc>
      </w:tr>
      <w:tr w:rsidR="00414762" w:rsidTr="00D013EE">
        <w:tc>
          <w:tcPr>
            <w:tcW w:w="754" w:type="dxa"/>
            <w:vMerge/>
            <w:vAlign w:val="bottom"/>
          </w:tcPr>
          <w:p w:rsidR="006A42B8" w:rsidRPr="00B37593" w:rsidRDefault="006A42B8" w:rsidP="00B37593">
            <w:pPr>
              <w:keepNext/>
              <w:spacing w:before="120" w:after="120" w:line="240" w:lineRule="atLeast"/>
              <w:jc w:val="center"/>
              <w:rPr>
                <w:rFonts w:cs="Arial"/>
                <w:color w:val="0070C0"/>
                <w:sz w:val="20"/>
              </w:rPr>
            </w:pPr>
          </w:p>
        </w:tc>
        <w:tc>
          <w:tcPr>
            <w:tcW w:w="1284" w:type="dxa"/>
            <w:shd w:val="clear" w:color="auto" w:fill="A6A6A6" w:themeFill="background1" w:themeFillShade="A6"/>
            <w:vAlign w:val="center"/>
          </w:tcPr>
          <w:p w:rsidR="006A42B8" w:rsidRPr="00B37593" w:rsidRDefault="006A42B8" w:rsidP="00B37593">
            <w:pPr>
              <w:keepNext/>
              <w:jc w:val="center"/>
              <w:rPr>
                <w:color w:val="FFFFFF" w:themeColor="background1"/>
              </w:rPr>
            </w:pPr>
            <w:r w:rsidRPr="00B37593">
              <w:rPr>
                <w:color w:val="FFFFFF" w:themeColor="background1"/>
              </w:rPr>
              <w:t>Rare</w:t>
            </w:r>
          </w:p>
        </w:tc>
        <w:tc>
          <w:tcPr>
            <w:tcW w:w="1378" w:type="dxa"/>
            <w:shd w:val="clear" w:color="auto" w:fill="92D05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Negligible</w:t>
            </w:r>
          </w:p>
        </w:tc>
        <w:tc>
          <w:tcPr>
            <w:tcW w:w="1451" w:type="dxa"/>
            <w:shd w:val="clear" w:color="auto" w:fill="92D05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Negligible</w:t>
            </w:r>
          </w:p>
        </w:tc>
        <w:tc>
          <w:tcPr>
            <w:tcW w:w="1298" w:type="dxa"/>
            <w:shd w:val="clear" w:color="auto" w:fill="92D050"/>
            <w:vAlign w:val="center"/>
          </w:tcPr>
          <w:p w:rsidR="006A42B8" w:rsidRPr="00B37593" w:rsidRDefault="006A42B8" w:rsidP="00B37593">
            <w:pPr>
              <w:keepNext/>
              <w:spacing w:before="120" w:after="120" w:line="240" w:lineRule="atLeast"/>
              <w:jc w:val="center"/>
              <w:rPr>
                <w:rFonts w:cs="Arial"/>
                <w:sz w:val="20"/>
              </w:rPr>
            </w:pPr>
            <w:r w:rsidRPr="00B37593">
              <w:rPr>
                <w:rFonts w:cs="Arial"/>
                <w:sz w:val="20"/>
              </w:rPr>
              <w:t>Negligible</w:t>
            </w:r>
          </w:p>
        </w:tc>
        <w:tc>
          <w:tcPr>
            <w:tcW w:w="1270" w:type="dxa"/>
            <w:shd w:val="clear" w:color="auto" w:fill="FFFF00"/>
            <w:vAlign w:val="center"/>
          </w:tcPr>
          <w:p w:rsidR="006A42B8" w:rsidRPr="00B37593" w:rsidRDefault="006A42B8" w:rsidP="00B37593">
            <w:pPr>
              <w:keepNext/>
              <w:spacing w:before="120" w:after="120" w:line="240" w:lineRule="atLeast"/>
              <w:jc w:val="center"/>
              <w:rPr>
                <w:rFonts w:cs="Arial"/>
                <w:sz w:val="18"/>
              </w:rPr>
            </w:pPr>
            <w:r w:rsidRPr="00B37593">
              <w:rPr>
                <w:rFonts w:cs="Arial"/>
                <w:sz w:val="18"/>
              </w:rPr>
              <w:t>Moderate</w:t>
            </w:r>
          </w:p>
        </w:tc>
        <w:tc>
          <w:tcPr>
            <w:tcW w:w="1273" w:type="dxa"/>
            <w:shd w:val="clear" w:color="auto" w:fill="FFFF00"/>
            <w:vAlign w:val="center"/>
          </w:tcPr>
          <w:p w:rsidR="006A42B8" w:rsidRPr="00B37593" w:rsidRDefault="00A92F4B" w:rsidP="00B37593">
            <w:pPr>
              <w:keepNext/>
              <w:spacing w:before="120" w:after="120" w:line="240" w:lineRule="atLeast"/>
              <w:jc w:val="center"/>
              <w:rPr>
                <w:rFonts w:cs="Arial"/>
                <w:color w:val="0070C0"/>
                <w:sz w:val="20"/>
              </w:rPr>
            </w:pPr>
            <w:r w:rsidRPr="00B37593">
              <w:rPr>
                <w:rFonts w:cs="Arial"/>
                <w:sz w:val="18"/>
              </w:rPr>
              <w:t>Moderate</w:t>
            </w:r>
          </w:p>
        </w:tc>
      </w:tr>
    </w:tbl>
    <w:p w:rsidR="00422479" w:rsidRDefault="00422479" w:rsidP="005A3568"/>
    <w:p w:rsidR="005A3568" w:rsidRPr="005A3568" w:rsidRDefault="005A3568" w:rsidP="005A3568"/>
    <w:p w:rsidR="00FF273C" w:rsidRDefault="00FF273C" w:rsidP="00FF273C">
      <w:pPr>
        <w:pStyle w:val="Heading2"/>
        <w:tabs>
          <w:tab w:val="clear" w:pos="822"/>
          <w:tab w:val="num" w:pos="718"/>
        </w:tabs>
        <w:ind w:left="720" w:hanging="578"/>
      </w:pPr>
      <w:r>
        <w:t>Proposed Defect Category Definitions</w:t>
      </w:r>
    </w:p>
    <w:p w:rsidR="009F2DF5" w:rsidRPr="00B35C4C" w:rsidRDefault="003C578F" w:rsidP="00481170">
      <w:pPr>
        <w:pStyle w:val="Heading3"/>
      </w:pPr>
      <w:r>
        <w:t>CAT 1</w:t>
      </w:r>
    </w:p>
    <w:p w:rsidR="007A260F" w:rsidRPr="007A260F" w:rsidRDefault="007A260F" w:rsidP="007A260F">
      <w:pPr>
        <w:spacing w:before="120" w:after="120" w:line="240" w:lineRule="atLeast"/>
        <w:ind w:left="360"/>
        <w:jc w:val="both"/>
        <w:rPr>
          <w:rFonts w:cs="Arial"/>
          <w:sz w:val="20"/>
        </w:rPr>
      </w:pPr>
      <w:proofErr w:type="gramStart"/>
      <w:r w:rsidRPr="007A260F">
        <w:rPr>
          <w:rFonts w:cs="Arial"/>
          <w:sz w:val="20"/>
        </w:rPr>
        <w:t>Defects that pose a direct and immediate risk to the safety of the public/staff, and/or to the network availability, requiring diversion of resources to isolate supply if required and control/repair the defect.</w:t>
      </w:r>
      <w:proofErr w:type="gramEnd"/>
      <w:r w:rsidRPr="007A260F">
        <w:rPr>
          <w:rFonts w:cs="Arial"/>
          <w:sz w:val="20"/>
        </w:rPr>
        <w:t xml:space="preserve"> If an immediate safety risk then staff or contractors who identified the defect would not leave the site, but would attempt to make the area safe, where practical and safe to do so, by establishing a safe perimeter to move the public away from the hazard until such time as other resources arrive to control the situation. </w:t>
      </w:r>
    </w:p>
    <w:p w:rsidR="007A260F" w:rsidRPr="007A260F" w:rsidRDefault="007A260F" w:rsidP="007A260F">
      <w:pPr>
        <w:pStyle w:val="Heading3"/>
        <w:rPr>
          <w:rFonts w:cs="Arial"/>
          <w:sz w:val="20"/>
        </w:rPr>
      </w:pPr>
      <w:r w:rsidRPr="007A260F">
        <w:rPr>
          <w:rFonts w:cs="Arial"/>
          <w:sz w:val="20"/>
        </w:rPr>
        <w:t xml:space="preserve">CAT 2 </w:t>
      </w:r>
    </w:p>
    <w:p w:rsidR="007A260F" w:rsidRPr="007A260F" w:rsidRDefault="007A260F" w:rsidP="007A260F">
      <w:pPr>
        <w:spacing w:before="120" w:after="120" w:line="240" w:lineRule="atLeast"/>
        <w:ind w:left="360"/>
        <w:jc w:val="both"/>
        <w:rPr>
          <w:rFonts w:cs="Arial"/>
          <w:sz w:val="20"/>
        </w:rPr>
      </w:pPr>
      <w:r w:rsidRPr="007A260F">
        <w:rPr>
          <w:rFonts w:cs="Arial"/>
          <w:sz w:val="20"/>
        </w:rPr>
        <w:t>Defects that pose risks to safety of the public/staff and/or the network availability, where the asset condition is such that a response in a period materially less than the business as usual (</w:t>
      </w:r>
      <w:proofErr w:type="spellStart"/>
      <w:r w:rsidRPr="007A260F">
        <w:rPr>
          <w:rFonts w:cs="Arial"/>
          <w:sz w:val="20"/>
        </w:rPr>
        <w:t>BaU</w:t>
      </w:r>
      <w:proofErr w:type="spellEnd"/>
      <w:r w:rsidRPr="007A260F">
        <w:rPr>
          <w:rFonts w:cs="Arial"/>
          <w:sz w:val="20"/>
        </w:rPr>
        <w:t xml:space="preserve">) processes for arrangement of isolations, materials ordering and resource allocation is required.  </w:t>
      </w:r>
      <w:proofErr w:type="gramStart"/>
      <w:r w:rsidRPr="007A260F">
        <w:rPr>
          <w:rFonts w:cs="Arial"/>
          <w:sz w:val="20"/>
        </w:rPr>
        <w:t>i.e</w:t>
      </w:r>
      <w:proofErr w:type="gramEnd"/>
      <w:r w:rsidRPr="007A260F">
        <w:rPr>
          <w:rFonts w:cs="Arial"/>
          <w:sz w:val="20"/>
        </w:rPr>
        <w:t xml:space="preserve">. the resolution of the defect utilises but accelerates progress through the job planning and resource scheduling processes in an accelerated manner. These risks would fall into the category that the risk be removed within one month. </w:t>
      </w:r>
    </w:p>
    <w:p w:rsidR="007A260F" w:rsidRPr="007A260F" w:rsidRDefault="007A260F" w:rsidP="007A260F">
      <w:pPr>
        <w:pStyle w:val="Heading3"/>
        <w:rPr>
          <w:rFonts w:cs="Arial"/>
          <w:sz w:val="20"/>
        </w:rPr>
      </w:pPr>
      <w:r w:rsidRPr="007A260F">
        <w:rPr>
          <w:rFonts w:cs="Arial"/>
          <w:sz w:val="20"/>
        </w:rPr>
        <w:t xml:space="preserve">CAT 3 </w:t>
      </w:r>
    </w:p>
    <w:p w:rsidR="007A260F" w:rsidRPr="007A260F" w:rsidRDefault="007A260F" w:rsidP="007A260F">
      <w:pPr>
        <w:spacing w:before="120" w:after="120" w:line="240" w:lineRule="atLeast"/>
        <w:ind w:left="360"/>
        <w:jc w:val="both"/>
        <w:rPr>
          <w:rFonts w:cs="Arial"/>
          <w:sz w:val="20"/>
        </w:rPr>
      </w:pPr>
      <w:proofErr w:type="gramStart"/>
      <w:r w:rsidRPr="007A260F">
        <w:rPr>
          <w:rFonts w:cs="Arial"/>
          <w:sz w:val="20"/>
        </w:rPr>
        <w:t>Defects that pose a non-immediate risk to the safe and/or reliable operation of the Network over the short term (up to 6 months) and would be prioritised for action during this period using the Network’s business as usual processes.</w:t>
      </w:r>
      <w:proofErr w:type="gramEnd"/>
      <w:r w:rsidRPr="007A260F">
        <w:rPr>
          <w:rFonts w:cs="Arial"/>
          <w:sz w:val="20"/>
        </w:rPr>
        <w:t xml:space="preserve">  It is logical that the defect categorisation should reflect this level of risk, but it should also allow a degree of latitude to support packaging of work into bundles for efficient delivery and to minimise customer outages.  The work groups responsible for the assets would prioritise the defects for repair within this ‘risk’ window, and not necessarily default the required date due to the maximum of 6 months. </w:t>
      </w:r>
    </w:p>
    <w:p w:rsidR="007A260F" w:rsidRPr="007A260F" w:rsidRDefault="007A260F" w:rsidP="007A260F">
      <w:pPr>
        <w:pStyle w:val="Heading3"/>
        <w:rPr>
          <w:rFonts w:cs="Arial"/>
          <w:sz w:val="20"/>
        </w:rPr>
      </w:pPr>
      <w:r w:rsidRPr="007A260F">
        <w:rPr>
          <w:rFonts w:cs="Arial"/>
          <w:sz w:val="20"/>
        </w:rPr>
        <w:t xml:space="preserve">CAT 4 </w:t>
      </w:r>
    </w:p>
    <w:p w:rsidR="007A260F" w:rsidRPr="007A260F" w:rsidRDefault="007A260F" w:rsidP="007A260F">
      <w:pPr>
        <w:spacing w:before="120" w:after="120" w:line="240" w:lineRule="atLeast"/>
        <w:ind w:left="360"/>
        <w:jc w:val="both"/>
        <w:rPr>
          <w:rFonts w:cs="Arial"/>
          <w:sz w:val="20"/>
        </w:rPr>
      </w:pPr>
      <w:r w:rsidRPr="007A260F">
        <w:rPr>
          <w:rFonts w:cs="Arial"/>
          <w:sz w:val="20"/>
        </w:rPr>
        <w:t xml:space="preserve">These defects do not impose a level of risk to the Network that warrants an escalated priority response, but do represent a risk which needs to be managed and resolved in the medium term. These general maintenance defects  would be those which are to be fixed prior to or during the next planned maintenance, but where latitude to support packaging of work into bundles for efficient delivery and to minimise customer outages is of equal or greater importance. </w:t>
      </w:r>
    </w:p>
    <w:p w:rsidR="007A260F" w:rsidRPr="007A260F" w:rsidRDefault="007A260F" w:rsidP="007A260F">
      <w:pPr>
        <w:pStyle w:val="Heading3"/>
        <w:rPr>
          <w:rFonts w:cs="Arial"/>
          <w:sz w:val="20"/>
        </w:rPr>
      </w:pPr>
      <w:r w:rsidRPr="007A260F">
        <w:t>Observations</w:t>
      </w:r>
      <w:r w:rsidRPr="007A260F">
        <w:rPr>
          <w:rFonts w:cs="Arial"/>
          <w:sz w:val="20"/>
        </w:rPr>
        <w:t xml:space="preserve"> </w:t>
      </w:r>
    </w:p>
    <w:p w:rsidR="007A260F" w:rsidRPr="00AA0BED" w:rsidRDefault="007A260F" w:rsidP="007A260F">
      <w:pPr>
        <w:spacing w:before="120" w:after="120" w:line="240" w:lineRule="atLeast"/>
        <w:ind w:left="360"/>
        <w:jc w:val="both"/>
        <w:rPr>
          <w:rFonts w:cs="Arial"/>
          <w:sz w:val="20"/>
          <w:lang w:eastAsia="en-AU"/>
        </w:rPr>
      </w:pPr>
      <w:r w:rsidRPr="007A260F">
        <w:rPr>
          <w:rFonts w:cs="Arial"/>
          <w:sz w:val="20"/>
        </w:rPr>
        <w:t>Those items which are not a defect as they have been assessed as not requiring a due date for repair and are not likely to result in a failure which impacts the network availability before the next planned maintenance inspection.  These types of ‘observations’ often represent concerns about an asset condition as an emerging risk, which warrants being ‘watched” or “monitored”.  These condition observations should be captured to support a sound statistical understating of asset condition but not treated as defects.</w:t>
      </w:r>
    </w:p>
    <w:p w:rsidR="003C2432" w:rsidRPr="00B35C4C" w:rsidRDefault="00351370" w:rsidP="00FF273C">
      <w:pPr>
        <w:pStyle w:val="Heading1"/>
      </w:pPr>
      <w:proofErr w:type="gramStart"/>
      <w:r w:rsidRPr="00B35C4C">
        <w:t>Proposed</w:t>
      </w:r>
      <w:r w:rsidR="003C2432" w:rsidRPr="00B35C4C">
        <w:t xml:space="preserve"> common </w:t>
      </w:r>
      <w:r w:rsidRPr="00B35C4C">
        <w:t xml:space="preserve">Defect </w:t>
      </w:r>
      <w:r w:rsidR="003C2432" w:rsidRPr="00B35C4C">
        <w:t>categorisation framework.</w:t>
      </w:r>
      <w:proofErr w:type="gramEnd"/>
    </w:p>
    <w:p w:rsidR="000E717E" w:rsidRPr="000217B5" w:rsidRDefault="00B144B3" w:rsidP="00E64294">
      <w:pPr>
        <w:spacing w:before="120" w:after="120" w:line="240" w:lineRule="atLeast"/>
        <w:ind w:left="360"/>
        <w:jc w:val="both"/>
        <w:rPr>
          <w:rFonts w:cs="Arial"/>
          <w:color w:val="000000" w:themeColor="text1"/>
          <w:sz w:val="20"/>
        </w:rPr>
      </w:pPr>
      <w:r>
        <w:rPr>
          <w:rFonts w:cs="Arial"/>
          <w:noProof/>
          <w:sz w:val="20"/>
          <w:lang w:eastAsia="en-AU"/>
        </w:rPr>
        <w:pict>
          <v:shape id="_x0000_s1029" type="#_x0000_t202" style="position:absolute;left:0;text-align:left;margin-left:178.65pt;margin-top:122.55pt;width:285.85pt;height:366.1pt;z-index:251658240" filled="f" stroked="f">
            <v:textbox style="mso-next-textbox:#_x0000_s1029">
              <w:txbxContent>
                <w:p w:rsidR="00B144B3" w:rsidRPr="00B94E50" w:rsidRDefault="00B144B3" w:rsidP="00791CF8">
                  <w:pPr>
                    <w:spacing w:line="240" w:lineRule="atLeast"/>
                    <w:jc w:val="center"/>
                    <w:rPr>
                      <w:rFonts w:cs="Arial"/>
                      <w:i/>
                      <w:sz w:val="18"/>
                    </w:rPr>
                  </w:pPr>
                  <w:r w:rsidRPr="00B94E50">
                    <w:rPr>
                      <w:rFonts w:cs="Arial"/>
                      <w:i/>
                      <w:sz w:val="18"/>
                    </w:rPr>
                    <w:t xml:space="preserve">Figure </w:t>
                  </w:r>
                  <w:r>
                    <w:rPr>
                      <w:rFonts w:cs="Arial"/>
                      <w:i/>
                      <w:sz w:val="18"/>
                    </w:rPr>
                    <w:t>4</w:t>
                  </w:r>
                  <w:r w:rsidRPr="00B94E50">
                    <w:rPr>
                      <w:rFonts w:cs="Arial"/>
                      <w:i/>
                      <w:sz w:val="18"/>
                    </w:rPr>
                    <w:t xml:space="preserve"> – Options 1 &amp; 2 defect prioritisation categories</w:t>
                  </w:r>
                </w:p>
                <w:p w:rsidR="00B144B3" w:rsidRPr="00B94E50" w:rsidRDefault="00B144B3" w:rsidP="00791CF8">
                  <w:pPr>
                    <w:jc w:val="center"/>
                    <w:rPr>
                      <w:i/>
                      <w:sz w:val="20"/>
                    </w:rPr>
                  </w:pPr>
                  <w:r>
                    <w:pict>
                      <v:shape id="_x0000_i1028" type="#_x0000_t75" style="width:271.1pt;height:330pt">
                        <v:imagedata r:id="rId12" o:title=""/>
                      </v:shape>
                    </w:pict>
                  </w:r>
                </w:p>
              </w:txbxContent>
            </v:textbox>
            <w10:wrap type="square"/>
          </v:shape>
        </w:pict>
      </w:r>
      <w:r w:rsidR="006609AF" w:rsidRPr="000217B5">
        <w:rPr>
          <w:rFonts w:cs="Arial"/>
          <w:color w:val="000000" w:themeColor="text1"/>
          <w:sz w:val="20"/>
        </w:rPr>
        <w:t>In reviewing the defect prioritisation categories currently used by the three network businesses</w:t>
      </w:r>
      <w:r w:rsidR="003C2432" w:rsidRPr="000217B5">
        <w:rPr>
          <w:rFonts w:cs="Arial"/>
          <w:color w:val="000000" w:themeColor="text1"/>
          <w:sz w:val="20"/>
        </w:rPr>
        <w:t>, outside of the Emergency defect categorisation</w:t>
      </w:r>
      <w:r w:rsidR="006609AF" w:rsidRPr="000217B5">
        <w:rPr>
          <w:rFonts w:cs="Arial"/>
          <w:color w:val="000000" w:themeColor="text1"/>
          <w:sz w:val="20"/>
        </w:rPr>
        <w:t xml:space="preserve"> there are some opportunities evident in the prioritisation scales in use</w:t>
      </w:r>
      <w:r w:rsidR="003C2432" w:rsidRPr="000217B5">
        <w:rPr>
          <w:rFonts w:cs="Arial"/>
          <w:color w:val="000000" w:themeColor="text1"/>
          <w:sz w:val="20"/>
        </w:rPr>
        <w:t xml:space="preserve"> for future alignment.</w:t>
      </w:r>
      <w:r w:rsidR="008E3641" w:rsidRPr="000217B5">
        <w:rPr>
          <w:rFonts w:cs="Arial"/>
          <w:color w:val="000000" w:themeColor="text1"/>
          <w:sz w:val="20"/>
        </w:rPr>
        <w:t xml:space="preserve">  The alignment of </w:t>
      </w:r>
      <w:r w:rsidR="00435559">
        <w:rPr>
          <w:rFonts w:cs="Arial"/>
          <w:color w:val="000000" w:themeColor="text1"/>
          <w:sz w:val="20"/>
        </w:rPr>
        <w:t xml:space="preserve">the existing </w:t>
      </w:r>
      <w:r w:rsidR="008E3641" w:rsidRPr="000217B5">
        <w:rPr>
          <w:rFonts w:cs="Arial"/>
          <w:color w:val="000000" w:themeColor="text1"/>
          <w:sz w:val="20"/>
        </w:rPr>
        <w:t xml:space="preserve">emergency defects </w:t>
      </w:r>
      <w:r w:rsidR="00435559">
        <w:rPr>
          <w:rFonts w:cs="Arial"/>
          <w:color w:val="000000" w:themeColor="text1"/>
          <w:sz w:val="20"/>
        </w:rPr>
        <w:t xml:space="preserve">into Category 1 defects </w:t>
      </w:r>
      <w:r w:rsidR="008E3641" w:rsidRPr="000217B5">
        <w:rPr>
          <w:rFonts w:cs="Arial"/>
          <w:color w:val="000000" w:themeColor="text1"/>
          <w:sz w:val="20"/>
        </w:rPr>
        <w:t xml:space="preserve">at 24 hours </w:t>
      </w:r>
      <w:r w:rsidR="009D65F3" w:rsidRPr="000217B5">
        <w:rPr>
          <w:rFonts w:cs="Arial"/>
          <w:color w:val="000000" w:themeColor="text1"/>
          <w:sz w:val="20"/>
        </w:rPr>
        <w:t xml:space="preserve">could </w:t>
      </w:r>
      <w:r w:rsidR="008E3641" w:rsidRPr="000217B5">
        <w:rPr>
          <w:rFonts w:cs="Arial"/>
          <w:color w:val="000000" w:themeColor="text1"/>
          <w:sz w:val="20"/>
        </w:rPr>
        <w:t>provide a common minimum alignment</w:t>
      </w:r>
      <w:r w:rsidR="009D65F3" w:rsidRPr="000217B5">
        <w:rPr>
          <w:rFonts w:cs="Arial"/>
          <w:color w:val="000000" w:themeColor="text1"/>
          <w:sz w:val="20"/>
        </w:rPr>
        <w:t xml:space="preserve">, but given the NECF implications </w:t>
      </w:r>
      <w:r w:rsidR="00FE32A3" w:rsidRPr="000217B5">
        <w:rPr>
          <w:rFonts w:cs="Arial"/>
          <w:color w:val="000000" w:themeColor="text1"/>
          <w:sz w:val="20"/>
        </w:rPr>
        <w:t xml:space="preserve">(discussed </w:t>
      </w:r>
      <w:r w:rsidR="00351370" w:rsidRPr="000217B5">
        <w:rPr>
          <w:rFonts w:cs="Arial"/>
          <w:color w:val="000000" w:themeColor="text1"/>
          <w:sz w:val="20"/>
        </w:rPr>
        <w:t>above</w:t>
      </w:r>
      <w:r w:rsidR="00FE32A3" w:rsidRPr="000217B5">
        <w:rPr>
          <w:rFonts w:cs="Arial"/>
          <w:color w:val="000000" w:themeColor="text1"/>
          <w:sz w:val="20"/>
        </w:rPr>
        <w:t xml:space="preserve">) </w:t>
      </w:r>
      <w:r w:rsidR="009D65F3" w:rsidRPr="000217B5">
        <w:rPr>
          <w:rFonts w:cs="Arial"/>
          <w:color w:val="000000" w:themeColor="text1"/>
          <w:sz w:val="20"/>
        </w:rPr>
        <w:t xml:space="preserve"> on defects with a classification of urgent, and nominally due within </w:t>
      </w:r>
      <w:r w:rsidR="00B94E50" w:rsidRPr="000217B5">
        <w:rPr>
          <w:rFonts w:cs="Arial"/>
          <w:color w:val="000000" w:themeColor="text1"/>
          <w:sz w:val="20"/>
        </w:rPr>
        <w:t>2</w:t>
      </w:r>
      <w:r w:rsidR="009D65F3" w:rsidRPr="000217B5">
        <w:rPr>
          <w:rFonts w:cs="Arial"/>
          <w:color w:val="000000" w:themeColor="text1"/>
          <w:sz w:val="20"/>
        </w:rPr>
        <w:t xml:space="preserve"> week</w:t>
      </w:r>
      <w:r w:rsidR="00B94E50" w:rsidRPr="000217B5">
        <w:rPr>
          <w:rFonts w:cs="Arial"/>
          <w:color w:val="000000" w:themeColor="text1"/>
          <w:sz w:val="20"/>
        </w:rPr>
        <w:t>s</w:t>
      </w:r>
      <w:r w:rsidR="009D65F3" w:rsidRPr="000217B5">
        <w:rPr>
          <w:rFonts w:cs="Arial"/>
          <w:color w:val="000000" w:themeColor="text1"/>
          <w:sz w:val="20"/>
        </w:rPr>
        <w:t xml:space="preserve">, it may be prudent to define </w:t>
      </w:r>
      <w:r w:rsidR="00435559">
        <w:rPr>
          <w:rFonts w:cs="Arial"/>
          <w:color w:val="000000" w:themeColor="text1"/>
          <w:sz w:val="20"/>
        </w:rPr>
        <w:t>the CAT 1</w:t>
      </w:r>
      <w:r w:rsidR="00435559" w:rsidRPr="000217B5">
        <w:rPr>
          <w:rFonts w:cs="Arial"/>
          <w:color w:val="000000" w:themeColor="text1"/>
          <w:sz w:val="20"/>
        </w:rPr>
        <w:t xml:space="preserve"> </w:t>
      </w:r>
      <w:r w:rsidR="009D65F3" w:rsidRPr="000217B5">
        <w:rPr>
          <w:rFonts w:cs="Arial"/>
          <w:color w:val="000000" w:themeColor="text1"/>
          <w:sz w:val="20"/>
        </w:rPr>
        <w:t xml:space="preserve">classification as those defects requiring correction within 48 hours </w:t>
      </w:r>
      <w:r w:rsidR="00FE32A3" w:rsidRPr="000217B5">
        <w:rPr>
          <w:rFonts w:cs="Arial"/>
          <w:color w:val="000000" w:themeColor="text1"/>
          <w:sz w:val="20"/>
        </w:rPr>
        <w:t xml:space="preserve">(i.e. today or </w:t>
      </w:r>
      <w:r w:rsidR="00351370" w:rsidRPr="000217B5">
        <w:rPr>
          <w:rFonts w:cs="Arial"/>
          <w:color w:val="000000" w:themeColor="text1"/>
          <w:sz w:val="20"/>
        </w:rPr>
        <w:t xml:space="preserve">by the end of </w:t>
      </w:r>
      <w:r w:rsidR="00FE32A3" w:rsidRPr="000217B5">
        <w:rPr>
          <w:rFonts w:cs="Arial"/>
          <w:color w:val="000000" w:themeColor="text1"/>
          <w:sz w:val="20"/>
        </w:rPr>
        <w:t>the next day at the latest)</w:t>
      </w:r>
      <w:r w:rsidR="00145E5F" w:rsidRPr="00145E5F">
        <w:rPr>
          <w:rFonts w:cs="Arial"/>
          <w:color w:val="000000" w:themeColor="text1"/>
          <w:sz w:val="20"/>
        </w:rPr>
        <w:t xml:space="preserve"> </w:t>
      </w:r>
      <w:r w:rsidR="00145E5F" w:rsidRPr="000217B5">
        <w:rPr>
          <w:rFonts w:cs="Arial"/>
          <w:color w:val="000000" w:themeColor="text1"/>
          <w:sz w:val="20"/>
        </w:rPr>
        <w:t>(as shown in Option 2)</w:t>
      </w:r>
      <w:r w:rsidR="00FE32A3" w:rsidRPr="000217B5">
        <w:rPr>
          <w:rFonts w:cs="Arial"/>
          <w:color w:val="000000" w:themeColor="text1"/>
          <w:sz w:val="20"/>
        </w:rPr>
        <w:t xml:space="preserve"> </w:t>
      </w:r>
      <w:r w:rsidR="009D65F3" w:rsidRPr="000217B5">
        <w:rPr>
          <w:rFonts w:cs="Arial"/>
          <w:color w:val="000000" w:themeColor="text1"/>
          <w:sz w:val="20"/>
        </w:rPr>
        <w:t>as a common baseline across the three networks</w:t>
      </w:r>
      <w:r w:rsidR="00A415F8" w:rsidRPr="000217B5">
        <w:rPr>
          <w:rFonts w:cs="Arial"/>
          <w:color w:val="000000" w:themeColor="text1"/>
          <w:sz w:val="20"/>
        </w:rPr>
        <w:t xml:space="preserve"> </w:t>
      </w:r>
      <w:r w:rsidR="009D65F3" w:rsidRPr="000217B5">
        <w:rPr>
          <w:rFonts w:cs="Arial"/>
          <w:color w:val="000000" w:themeColor="text1"/>
          <w:sz w:val="20"/>
        </w:rPr>
        <w:t xml:space="preserve">(i.e. as per </w:t>
      </w:r>
      <w:r w:rsidR="00FE32A3" w:rsidRPr="000217B5">
        <w:rPr>
          <w:rFonts w:cs="Arial"/>
          <w:color w:val="000000" w:themeColor="text1"/>
          <w:sz w:val="20"/>
        </w:rPr>
        <w:t xml:space="preserve">current </w:t>
      </w:r>
      <w:r w:rsidR="009D65F3" w:rsidRPr="000217B5">
        <w:rPr>
          <w:rFonts w:cs="Arial"/>
          <w:color w:val="000000" w:themeColor="text1"/>
          <w:sz w:val="20"/>
        </w:rPr>
        <w:t>Endeavour Energy practice)</w:t>
      </w:r>
      <w:r w:rsidR="00AA0BED">
        <w:rPr>
          <w:rFonts w:cs="Arial"/>
          <w:color w:val="000000" w:themeColor="text1"/>
          <w:sz w:val="20"/>
        </w:rPr>
        <w:t xml:space="preserve">.  </w:t>
      </w:r>
      <w:r w:rsidR="000E717E" w:rsidRPr="000217B5">
        <w:rPr>
          <w:rFonts w:cs="Arial"/>
          <w:color w:val="000000" w:themeColor="text1"/>
          <w:sz w:val="20"/>
        </w:rPr>
        <w:t xml:space="preserve"> .</w:t>
      </w:r>
    </w:p>
    <w:p w:rsidR="00123353" w:rsidRPr="00F35009" w:rsidRDefault="00123353" w:rsidP="00123353">
      <w:pPr>
        <w:spacing w:before="120" w:after="120" w:line="240" w:lineRule="atLeast"/>
        <w:ind w:left="360"/>
        <w:jc w:val="both"/>
        <w:rPr>
          <w:rFonts w:cs="Arial"/>
          <w:sz w:val="20"/>
        </w:rPr>
      </w:pPr>
      <w:r w:rsidRPr="00F35009">
        <w:rPr>
          <w:rFonts w:cs="Arial"/>
          <w:sz w:val="20"/>
        </w:rPr>
        <w:t xml:space="preserve">The biggest emerging factor upon the future effective utilisation of the </w:t>
      </w:r>
      <w:r>
        <w:rPr>
          <w:rFonts w:cs="Arial"/>
          <w:sz w:val="20"/>
        </w:rPr>
        <w:t>CAT 2</w:t>
      </w:r>
      <w:r w:rsidRPr="00F35009">
        <w:rPr>
          <w:rFonts w:cs="Arial"/>
          <w:sz w:val="20"/>
        </w:rPr>
        <w:t xml:space="preserve"> priority is the customer notification requirements of the NECF. </w:t>
      </w:r>
      <w:r>
        <w:rPr>
          <w:rFonts w:cs="Arial"/>
          <w:sz w:val="20"/>
        </w:rPr>
        <w:t>As a result a 1 month period is</w:t>
      </w:r>
      <w:r w:rsidRPr="00F35009">
        <w:rPr>
          <w:rFonts w:cs="Arial"/>
          <w:sz w:val="20"/>
        </w:rPr>
        <w:t xml:space="preserve"> </w:t>
      </w:r>
      <w:r>
        <w:rPr>
          <w:rFonts w:cs="Arial"/>
          <w:sz w:val="20"/>
        </w:rPr>
        <w:t xml:space="preserve">the </w:t>
      </w:r>
      <w:r w:rsidRPr="00F35009">
        <w:rPr>
          <w:rFonts w:cs="Arial"/>
          <w:sz w:val="20"/>
        </w:rPr>
        <w:t xml:space="preserve">preferred </w:t>
      </w:r>
      <w:r w:rsidR="007E3E34">
        <w:rPr>
          <w:rFonts w:cs="Arial"/>
          <w:sz w:val="20"/>
        </w:rPr>
        <w:t>d</w:t>
      </w:r>
      <w:r>
        <w:rPr>
          <w:rFonts w:cs="Arial"/>
          <w:sz w:val="20"/>
        </w:rPr>
        <w:t xml:space="preserve">efect </w:t>
      </w:r>
      <w:r w:rsidR="007E3E34">
        <w:rPr>
          <w:rFonts w:cs="Arial"/>
          <w:sz w:val="20"/>
        </w:rPr>
        <w:t>p</w:t>
      </w:r>
      <w:r w:rsidR="00F24DFA">
        <w:rPr>
          <w:rFonts w:cs="Arial"/>
          <w:sz w:val="20"/>
        </w:rPr>
        <w:t>rioritisation</w:t>
      </w:r>
      <w:r>
        <w:rPr>
          <w:rFonts w:cs="Arial"/>
          <w:sz w:val="20"/>
        </w:rPr>
        <w:t xml:space="preserve"> </w:t>
      </w:r>
      <w:r w:rsidRPr="00F35009">
        <w:rPr>
          <w:rFonts w:cs="Arial"/>
          <w:sz w:val="20"/>
        </w:rPr>
        <w:t xml:space="preserve">profile </w:t>
      </w:r>
      <w:r>
        <w:rPr>
          <w:rFonts w:cs="Arial"/>
          <w:sz w:val="20"/>
        </w:rPr>
        <w:t>for CAT 2 defects.</w:t>
      </w:r>
    </w:p>
    <w:p w:rsidR="00123353" w:rsidRDefault="00545BE3" w:rsidP="00E64294">
      <w:pPr>
        <w:spacing w:before="120" w:after="120" w:line="240" w:lineRule="atLeast"/>
        <w:ind w:left="360"/>
        <w:jc w:val="both"/>
        <w:rPr>
          <w:rFonts w:cs="Arial"/>
          <w:sz w:val="20"/>
        </w:rPr>
      </w:pPr>
      <w:r>
        <w:rPr>
          <w:rFonts w:cs="Arial"/>
          <w:noProof/>
          <w:sz w:val="20"/>
          <w:lang w:eastAsia="en-AU"/>
        </w:rPr>
        <w:pict>
          <v:rect id="_x0000_s1038" style="position:absolute;left:0;text-align:left;margin-left:408.4pt;margin-top:179.2pt;width:41.6pt;height:8.4pt;z-index:251660288" fillcolor="#ffff9b" stroked="f"/>
        </w:pict>
      </w:r>
      <w:r>
        <w:rPr>
          <w:rFonts w:cs="Arial"/>
          <w:noProof/>
          <w:sz w:val="20"/>
          <w:lang w:eastAsia="en-AU"/>
        </w:rPr>
        <w:pict>
          <v:rect id="_x0000_s1035" style="position:absolute;left:0;text-align:left;margin-left:402.8pt;margin-top:71.25pt;width:52.4pt;height:7.15pt;z-index:251659264" fillcolor="#ffcf37" stroked="f" strokecolor="white [3212]"/>
        </w:pict>
      </w:r>
      <w:r w:rsidR="00123353" w:rsidRPr="00F35009">
        <w:rPr>
          <w:rFonts w:cs="Arial"/>
          <w:sz w:val="20"/>
        </w:rPr>
        <w:t xml:space="preserve">The concept of a defect that is not urgent, but which still poses a risk to the safe and reliable operation of the network, and would then be prioritised for repair in the short to medium term is evident in each of the three existing prioritisation categories used by each Network business.  These are </w:t>
      </w:r>
      <w:r w:rsidR="00123353">
        <w:rPr>
          <w:rFonts w:cs="Arial"/>
          <w:sz w:val="20"/>
        </w:rPr>
        <w:t xml:space="preserve">currently reflected in </w:t>
      </w:r>
      <w:r w:rsidR="00123353" w:rsidRPr="00F35009">
        <w:rPr>
          <w:rFonts w:cs="Arial"/>
          <w:sz w:val="20"/>
        </w:rPr>
        <w:t>Prioritise (Ausgrid), Risk (Essential Energy) and a range of defect correction priority categorisation windows from 1 week to 18 months for Endeavour Energy.</w:t>
      </w:r>
    </w:p>
    <w:p w:rsidR="000E717E" w:rsidRPr="00D55A91" w:rsidRDefault="00123353" w:rsidP="00E64294">
      <w:pPr>
        <w:spacing w:before="120" w:after="120" w:line="240" w:lineRule="atLeast"/>
        <w:ind w:left="360"/>
        <w:jc w:val="both"/>
        <w:rPr>
          <w:rFonts w:cs="Arial"/>
          <w:sz w:val="20"/>
        </w:rPr>
      </w:pPr>
      <w:r w:rsidRPr="0063631D">
        <w:rPr>
          <w:rFonts w:cs="Arial"/>
          <w:sz w:val="20"/>
        </w:rPr>
        <w:t>If there is a delineation made between defects which are genuinely a risk, and as such need to be prioritised for repair, and those defects which need to be packaged together to generate economic repair work packages, then it can be seen that these risk type defects are encompassed within the Ausgrid ‘Prioritise’ category and clearly delineated in both the Endeavour Energy at the 6 month limit, and Essential energy at the “Risk” categorisation.</w:t>
      </w:r>
      <w:r>
        <w:rPr>
          <w:rFonts w:cs="Arial"/>
          <w:sz w:val="20"/>
        </w:rPr>
        <w:t xml:space="preserve"> </w:t>
      </w:r>
      <w:r w:rsidR="0065489E" w:rsidRPr="00D55A91">
        <w:rPr>
          <w:rFonts w:cs="Arial"/>
          <w:sz w:val="20"/>
        </w:rPr>
        <w:t xml:space="preserve">There are potential common alignment boundaries for </w:t>
      </w:r>
      <w:r w:rsidR="00351370" w:rsidRPr="00D55A91">
        <w:rPr>
          <w:rFonts w:cs="Arial"/>
          <w:sz w:val="20"/>
        </w:rPr>
        <w:t>risk type</w:t>
      </w:r>
      <w:r w:rsidR="0065489E" w:rsidRPr="00D55A91">
        <w:rPr>
          <w:rFonts w:cs="Arial"/>
          <w:sz w:val="20"/>
        </w:rPr>
        <w:t xml:space="preserve"> defects </w:t>
      </w:r>
      <w:r w:rsidR="008D6D37">
        <w:rPr>
          <w:rFonts w:cs="Arial"/>
          <w:sz w:val="20"/>
        </w:rPr>
        <w:t xml:space="preserve">of </w:t>
      </w:r>
      <w:r w:rsidR="00435559">
        <w:rPr>
          <w:rFonts w:cs="Arial"/>
          <w:sz w:val="20"/>
        </w:rPr>
        <w:t xml:space="preserve">CAT 3 </w:t>
      </w:r>
      <w:r w:rsidR="008D6D37">
        <w:rPr>
          <w:rFonts w:cs="Arial"/>
          <w:sz w:val="20"/>
        </w:rPr>
        <w:t xml:space="preserve">defects </w:t>
      </w:r>
      <w:r>
        <w:rPr>
          <w:rFonts w:cs="Arial"/>
          <w:sz w:val="20"/>
        </w:rPr>
        <w:t>at</w:t>
      </w:r>
      <w:r w:rsidR="008D6D37">
        <w:rPr>
          <w:rFonts w:cs="Arial"/>
          <w:sz w:val="20"/>
        </w:rPr>
        <w:t xml:space="preserve"> 6 months.</w:t>
      </w:r>
    </w:p>
    <w:p w:rsidR="006609AF" w:rsidRPr="00435559" w:rsidRDefault="0063631D" w:rsidP="004911BE">
      <w:pPr>
        <w:spacing w:before="120" w:after="120" w:line="240" w:lineRule="atLeast"/>
        <w:ind w:left="360"/>
        <w:jc w:val="both"/>
        <w:rPr>
          <w:rFonts w:cs="Arial"/>
          <w:sz w:val="20"/>
        </w:rPr>
      </w:pPr>
      <w:r w:rsidRPr="0063631D">
        <w:rPr>
          <w:rFonts w:cs="Arial"/>
          <w:sz w:val="20"/>
        </w:rPr>
        <w:t xml:space="preserve">Those defects remaining </w:t>
      </w:r>
      <w:r w:rsidR="00B144B3">
        <w:rPr>
          <w:rFonts w:cs="Arial"/>
          <w:sz w:val="20"/>
        </w:rPr>
        <w:t xml:space="preserve">which </w:t>
      </w:r>
      <w:r w:rsidRPr="0063631D">
        <w:rPr>
          <w:rFonts w:cs="Arial"/>
          <w:sz w:val="20"/>
        </w:rPr>
        <w:t xml:space="preserve">still require repair, and are not a watch/monitor defect, can logically be grouped as </w:t>
      </w:r>
      <w:r w:rsidR="00913E4F">
        <w:rPr>
          <w:rFonts w:cs="Arial"/>
          <w:sz w:val="20"/>
        </w:rPr>
        <w:t>C</w:t>
      </w:r>
      <w:r w:rsidR="00123353">
        <w:rPr>
          <w:rFonts w:cs="Arial"/>
          <w:sz w:val="20"/>
        </w:rPr>
        <w:t>AT</w:t>
      </w:r>
      <w:r w:rsidR="00913E4F">
        <w:rPr>
          <w:rFonts w:cs="Arial"/>
          <w:sz w:val="20"/>
        </w:rPr>
        <w:t xml:space="preserve"> 4 - </w:t>
      </w:r>
      <w:r w:rsidRPr="0063631D">
        <w:rPr>
          <w:rFonts w:cs="Arial"/>
          <w:sz w:val="20"/>
        </w:rPr>
        <w:t xml:space="preserve">General Maintenance defects, and with a nominal 12 months to completed over and above the “Risk” type defects.  This aligns with the </w:t>
      </w:r>
      <w:r w:rsidR="00123353">
        <w:rPr>
          <w:rFonts w:cs="Arial"/>
          <w:sz w:val="20"/>
        </w:rPr>
        <w:t>Endeavour Energy defect categorisation, is encompasses by the</w:t>
      </w:r>
      <w:r w:rsidR="00123353" w:rsidRPr="00123353">
        <w:rPr>
          <w:rFonts w:cs="Arial"/>
          <w:sz w:val="20"/>
        </w:rPr>
        <w:t xml:space="preserve"> </w:t>
      </w:r>
      <w:r w:rsidR="00123353" w:rsidRPr="0063631D">
        <w:rPr>
          <w:rFonts w:cs="Arial"/>
          <w:sz w:val="20"/>
        </w:rPr>
        <w:t>Essential Energy</w:t>
      </w:r>
      <w:r w:rsidR="00123353">
        <w:rPr>
          <w:rFonts w:cs="Arial"/>
          <w:sz w:val="20"/>
        </w:rPr>
        <w:t xml:space="preserve"> general maintenance classification</w:t>
      </w:r>
      <w:proofErr w:type="gramStart"/>
      <w:r w:rsidR="00123353">
        <w:rPr>
          <w:rFonts w:cs="Arial"/>
          <w:sz w:val="20"/>
        </w:rPr>
        <w:t xml:space="preserve">, </w:t>
      </w:r>
      <w:r w:rsidRPr="0063631D">
        <w:rPr>
          <w:rFonts w:cs="Arial"/>
          <w:sz w:val="20"/>
        </w:rPr>
        <w:t xml:space="preserve"> and</w:t>
      </w:r>
      <w:proofErr w:type="gramEnd"/>
      <w:r w:rsidRPr="0063631D">
        <w:rPr>
          <w:rFonts w:cs="Arial"/>
          <w:sz w:val="20"/>
        </w:rPr>
        <w:t xml:space="preserve"> overlaps the latter half of Ausgrid’s Prioritise </w:t>
      </w:r>
      <w:r w:rsidR="00123353" w:rsidRPr="0063631D">
        <w:rPr>
          <w:rFonts w:cs="Arial"/>
          <w:sz w:val="20"/>
        </w:rPr>
        <w:t>categorisation</w:t>
      </w:r>
      <w:r w:rsidRPr="0063631D">
        <w:rPr>
          <w:rFonts w:cs="Arial"/>
          <w:sz w:val="20"/>
        </w:rPr>
        <w:t>.</w:t>
      </w:r>
    </w:p>
    <w:p w:rsidR="00A415F8" w:rsidRPr="003304DE" w:rsidRDefault="00A415F8" w:rsidP="00FF273C">
      <w:pPr>
        <w:pStyle w:val="Heading1"/>
      </w:pPr>
      <w:r w:rsidRPr="00C21B8A">
        <w:t>Corrective</w:t>
      </w:r>
      <w:r w:rsidRPr="003304DE">
        <w:t xml:space="preserve"> Maintenance Prioritisation Categorisation </w:t>
      </w:r>
      <w:r w:rsidR="00CE1227" w:rsidRPr="003304DE">
        <w:t>–</w:t>
      </w:r>
      <w:r w:rsidRPr="003304DE">
        <w:t xml:space="preserve"> </w:t>
      </w:r>
      <w:r w:rsidR="00CE1227" w:rsidRPr="003304DE">
        <w:t>Application</w:t>
      </w:r>
    </w:p>
    <w:p w:rsidR="00CE1227" w:rsidRPr="00C8274B" w:rsidRDefault="00CE1227" w:rsidP="00FF273C">
      <w:pPr>
        <w:pStyle w:val="Heading2"/>
      </w:pPr>
      <w:r w:rsidRPr="00C8274B">
        <w:t>General</w:t>
      </w:r>
    </w:p>
    <w:p w:rsidR="00185BE9" w:rsidRDefault="00913217" w:rsidP="002E720B">
      <w:pPr>
        <w:spacing w:before="120" w:after="120" w:line="240" w:lineRule="atLeast"/>
        <w:jc w:val="both"/>
        <w:rPr>
          <w:rFonts w:cs="Arial"/>
          <w:color w:val="000000" w:themeColor="text1"/>
          <w:sz w:val="20"/>
        </w:rPr>
      </w:pPr>
      <w:r w:rsidRPr="00913217">
        <w:rPr>
          <w:rFonts w:cs="Arial"/>
          <w:color w:val="000000" w:themeColor="text1"/>
          <w:sz w:val="20"/>
        </w:rPr>
        <w:t>The allocation of a defect categorisation</w:t>
      </w:r>
      <w:r w:rsidR="00123353">
        <w:rPr>
          <w:rFonts w:cs="Arial"/>
          <w:color w:val="000000" w:themeColor="text1"/>
          <w:sz w:val="20"/>
        </w:rPr>
        <w:t xml:space="preserve"> in the above common priority categorisation framework</w:t>
      </w:r>
      <w:r w:rsidRPr="00913217">
        <w:rPr>
          <w:rFonts w:cs="Arial"/>
          <w:color w:val="000000" w:themeColor="text1"/>
          <w:sz w:val="20"/>
        </w:rPr>
        <w:t xml:space="preserve"> to an individual defect should not necessarily result in the defect due date always defaulting to the</w:t>
      </w:r>
      <w:r w:rsidR="00123353">
        <w:rPr>
          <w:rFonts w:cs="Arial"/>
          <w:color w:val="000000" w:themeColor="text1"/>
          <w:sz w:val="20"/>
        </w:rPr>
        <w:t xml:space="preserve"> maximum</w:t>
      </w:r>
      <w:r w:rsidRPr="00913217">
        <w:rPr>
          <w:rFonts w:cs="Arial"/>
          <w:color w:val="000000" w:themeColor="text1"/>
          <w:sz w:val="20"/>
        </w:rPr>
        <w:t xml:space="preserve"> length of the categorisation period being added to the date created/found.  The officer creating the defect should allocate a shorter period that the category default length if they consider the defect condition warrants a shorter response time, especia</w:t>
      </w:r>
      <w:r w:rsidR="00123353">
        <w:rPr>
          <w:rFonts w:cs="Arial"/>
          <w:color w:val="000000" w:themeColor="text1"/>
          <w:sz w:val="20"/>
        </w:rPr>
        <w:t>lly for CAT 2 and CAT 3 defects</w:t>
      </w:r>
      <w:r w:rsidRPr="00913217">
        <w:rPr>
          <w:rFonts w:cs="Arial"/>
          <w:color w:val="000000" w:themeColor="text1"/>
          <w:sz w:val="20"/>
        </w:rPr>
        <w:t>.</w:t>
      </w:r>
    </w:p>
    <w:p w:rsidR="00123353" w:rsidRPr="00C00169" w:rsidRDefault="00123353" w:rsidP="002E720B">
      <w:pPr>
        <w:spacing w:before="120" w:after="120" w:line="240" w:lineRule="atLeast"/>
        <w:jc w:val="both"/>
        <w:rPr>
          <w:rFonts w:cs="Arial"/>
          <w:color w:val="000000" w:themeColor="text1"/>
          <w:sz w:val="20"/>
        </w:rPr>
      </w:pPr>
      <w:r>
        <w:rPr>
          <w:rFonts w:cs="Arial"/>
          <w:color w:val="000000" w:themeColor="text1"/>
          <w:sz w:val="20"/>
        </w:rPr>
        <w:t>The following sections provide an overview of the risk based mapping of general defects, as well as providing additional guidance for the specific issues of low clearance mains, limited life poles and vegetation defects in bushfire prone and non bushfire prone areas.</w:t>
      </w:r>
    </w:p>
    <w:p w:rsidR="00913217" w:rsidRDefault="00481170" w:rsidP="00913217">
      <w:pPr>
        <w:pStyle w:val="Heading3"/>
        <w:rPr>
          <w:sz w:val="18"/>
        </w:rPr>
      </w:pPr>
      <w:r>
        <w:t xml:space="preserve">General defects </w:t>
      </w:r>
      <w:r w:rsidR="00913217" w:rsidRPr="00913217">
        <w:rPr>
          <w:sz w:val="18"/>
        </w:rPr>
        <w:t>(Excludes Low ground Clearance mains and Limited Life Poles)</w:t>
      </w:r>
    </w:p>
    <w:p w:rsidR="00A92F4B" w:rsidRDefault="00A92F4B" w:rsidP="00A92F4B">
      <w:pPr>
        <w:spacing w:before="120" w:after="120" w:line="240" w:lineRule="atLeast"/>
        <w:jc w:val="both"/>
        <w:rPr>
          <w:rFonts w:cs="Arial"/>
          <w:sz w:val="20"/>
        </w:rPr>
      </w:pPr>
      <w:r w:rsidRPr="00A92F4B">
        <w:rPr>
          <w:rFonts w:cs="Arial"/>
          <w:sz w:val="20"/>
        </w:rPr>
        <w:t xml:space="preserve">The mapping of the </w:t>
      </w:r>
      <w:r w:rsidR="001A3B12">
        <w:rPr>
          <w:rFonts w:cs="Arial"/>
          <w:sz w:val="20"/>
        </w:rPr>
        <w:t xml:space="preserve">defect categories for general defect prioritisation is aligned with the Figure 3 risk matrix and is shown in Figure </w:t>
      </w:r>
      <w:r w:rsidR="001F664A">
        <w:rPr>
          <w:rFonts w:cs="Arial"/>
          <w:sz w:val="20"/>
        </w:rPr>
        <w:t>5</w:t>
      </w:r>
      <w:r w:rsidR="001A3B12">
        <w:rPr>
          <w:rFonts w:cs="Arial"/>
          <w:sz w:val="20"/>
        </w:rPr>
        <w:t xml:space="preserve"> below.</w:t>
      </w:r>
    </w:p>
    <w:p w:rsidR="001A3B12" w:rsidRPr="001F664A" w:rsidRDefault="001A3B12" w:rsidP="001F664A">
      <w:pPr>
        <w:keepNext/>
        <w:ind w:left="720"/>
        <w:rPr>
          <w:sz w:val="18"/>
        </w:rPr>
      </w:pPr>
      <w:r w:rsidRPr="001F664A">
        <w:rPr>
          <w:sz w:val="18"/>
        </w:rPr>
        <w:t xml:space="preserve">Figure </w:t>
      </w:r>
      <w:r w:rsidR="001F664A">
        <w:rPr>
          <w:sz w:val="18"/>
        </w:rPr>
        <w:t>5</w:t>
      </w:r>
      <w:r w:rsidRPr="001F664A">
        <w:rPr>
          <w:sz w:val="18"/>
        </w:rPr>
        <w:t xml:space="preserve"> – Networks NSW Defects Risk Matrix Category mapping</w:t>
      </w:r>
    </w:p>
    <w:tbl>
      <w:tblPr>
        <w:tblW w:w="9781"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6"/>
        <w:gridCol w:w="1048"/>
        <w:gridCol w:w="1617"/>
        <w:gridCol w:w="1617"/>
        <w:gridCol w:w="1617"/>
        <w:gridCol w:w="1617"/>
        <w:gridCol w:w="1519"/>
      </w:tblGrid>
      <w:tr w:rsidR="00C24B86" w:rsidTr="00B37593">
        <w:tc>
          <w:tcPr>
            <w:tcW w:w="1794" w:type="dxa"/>
            <w:gridSpan w:val="2"/>
            <w:vAlign w:val="bottom"/>
          </w:tcPr>
          <w:p w:rsidR="00C24B86" w:rsidRPr="00B37593" w:rsidRDefault="00C24B86" w:rsidP="00B37593">
            <w:pPr>
              <w:keepNext/>
              <w:spacing w:before="120" w:after="120" w:line="240" w:lineRule="atLeast"/>
              <w:jc w:val="both"/>
              <w:rPr>
                <w:rFonts w:cs="Arial"/>
                <w:color w:val="0070C0"/>
                <w:sz w:val="20"/>
              </w:rPr>
            </w:pPr>
          </w:p>
        </w:tc>
        <w:tc>
          <w:tcPr>
            <w:tcW w:w="7987" w:type="dxa"/>
            <w:gridSpan w:val="5"/>
          </w:tcPr>
          <w:p w:rsidR="00C24B86" w:rsidRPr="00B37593" w:rsidRDefault="00C24B86" w:rsidP="00B37593">
            <w:pPr>
              <w:keepNext/>
              <w:spacing w:before="120" w:after="120" w:line="240" w:lineRule="atLeast"/>
              <w:jc w:val="center"/>
              <w:rPr>
                <w:rFonts w:cs="Arial"/>
                <w:b/>
                <w:color w:val="0070C0"/>
                <w:sz w:val="20"/>
              </w:rPr>
            </w:pPr>
            <w:r w:rsidRPr="00B37593">
              <w:rPr>
                <w:rFonts w:cs="Arial"/>
                <w:b/>
                <w:color w:val="0070C0"/>
                <w:sz w:val="24"/>
              </w:rPr>
              <w:t>Consequence</w:t>
            </w:r>
          </w:p>
        </w:tc>
      </w:tr>
      <w:tr w:rsidR="00414762" w:rsidTr="00B37593">
        <w:tc>
          <w:tcPr>
            <w:tcW w:w="1794" w:type="dxa"/>
            <w:gridSpan w:val="2"/>
            <w:vAlign w:val="bottom"/>
          </w:tcPr>
          <w:p w:rsidR="00C24B86" w:rsidRPr="00B97946" w:rsidRDefault="00C24B86" w:rsidP="00B37593">
            <w:pPr>
              <w:keepNext/>
              <w:jc w:val="center"/>
            </w:pPr>
          </w:p>
        </w:tc>
        <w:tc>
          <w:tcPr>
            <w:tcW w:w="1617" w:type="dxa"/>
            <w:shd w:val="clear" w:color="auto" w:fill="A6A6A6" w:themeFill="background1" w:themeFillShade="A6"/>
            <w:vAlign w:val="center"/>
          </w:tcPr>
          <w:p w:rsidR="00C24B86" w:rsidRPr="00B37593" w:rsidRDefault="00C24B86" w:rsidP="00B37593">
            <w:pPr>
              <w:keepNext/>
              <w:spacing w:before="240" w:after="240"/>
              <w:jc w:val="center"/>
              <w:rPr>
                <w:color w:val="FFFFFF" w:themeColor="background1"/>
              </w:rPr>
            </w:pPr>
            <w:r w:rsidRPr="00B37593">
              <w:rPr>
                <w:color w:val="FFFFFF" w:themeColor="background1"/>
              </w:rPr>
              <w:t>Insignificant</w:t>
            </w:r>
          </w:p>
        </w:tc>
        <w:tc>
          <w:tcPr>
            <w:tcW w:w="1617" w:type="dxa"/>
            <w:shd w:val="clear" w:color="auto" w:fill="A6A6A6" w:themeFill="background1" w:themeFillShade="A6"/>
            <w:vAlign w:val="center"/>
          </w:tcPr>
          <w:p w:rsidR="00C24B86" w:rsidRPr="00B37593" w:rsidRDefault="00C24B86" w:rsidP="00B37593">
            <w:pPr>
              <w:keepNext/>
              <w:spacing w:before="240" w:after="240"/>
              <w:jc w:val="center"/>
              <w:rPr>
                <w:color w:val="FFFFFF" w:themeColor="background1"/>
              </w:rPr>
            </w:pPr>
            <w:r w:rsidRPr="00B37593">
              <w:rPr>
                <w:color w:val="FFFFFF" w:themeColor="background1"/>
              </w:rPr>
              <w:t>Minor</w:t>
            </w:r>
          </w:p>
        </w:tc>
        <w:tc>
          <w:tcPr>
            <w:tcW w:w="1617" w:type="dxa"/>
            <w:tcBorders>
              <w:bottom w:val="single" w:sz="4" w:space="0" w:color="FFFFFF" w:themeColor="background1"/>
            </w:tcBorders>
            <w:shd w:val="clear" w:color="auto" w:fill="A6A6A6" w:themeFill="background1" w:themeFillShade="A6"/>
            <w:vAlign w:val="center"/>
          </w:tcPr>
          <w:p w:rsidR="00C24B86" w:rsidRPr="00B37593" w:rsidRDefault="00C24B86" w:rsidP="00B37593">
            <w:pPr>
              <w:keepNext/>
              <w:spacing w:before="240" w:after="240"/>
              <w:jc w:val="center"/>
              <w:rPr>
                <w:color w:val="FFFFFF" w:themeColor="background1"/>
              </w:rPr>
            </w:pPr>
            <w:r w:rsidRPr="00B37593">
              <w:rPr>
                <w:color w:val="FFFFFF" w:themeColor="background1"/>
              </w:rPr>
              <w:t>Moderate</w:t>
            </w:r>
          </w:p>
        </w:tc>
        <w:tc>
          <w:tcPr>
            <w:tcW w:w="1617" w:type="dxa"/>
            <w:shd w:val="clear" w:color="auto" w:fill="A6A6A6" w:themeFill="background1" w:themeFillShade="A6"/>
            <w:vAlign w:val="center"/>
          </w:tcPr>
          <w:p w:rsidR="00C24B86" w:rsidRPr="00B37593" w:rsidRDefault="00C24B86" w:rsidP="00B37593">
            <w:pPr>
              <w:keepNext/>
              <w:spacing w:before="240" w:after="240"/>
              <w:jc w:val="center"/>
              <w:rPr>
                <w:color w:val="FFFFFF" w:themeColor="background1"/>
              </w:rPr>
            </w:pPr>
            <w:r w:rsidRPr="00B37593">
              <w:rPr>
                <w:color w:val="FFFFFF" w:themeColor="background1"/>
              </w:rPr>
              <w:t>Major</w:t>
            </w:r>
          </w:p>
        </w:tc>
        <w:tc>
          <w:tcPr>
            <w:tcW w:w="1519" w:type="dxa"/>
            <w:shd w:val="clear" w:color="auto" w:fill="A6A6A6" w:themeFill="background1" w:themeFillShade="A6"/>
            <w:vAlign w:val="center"/>
          </w:tcPr>
          <w:p w:rsidR="00C24B86" w:rsidRPr="00B37593" w:rsidRDefault="00C24B86" w:rsidP="00B37593">
            <w:pPr>
              <w:keepNext/>
              <w:spacing w:before="240" w:after="240"/>
              <w:jc w:val="center"/>
              <w:rPr>
                <w:color w:val="FFFFFF" w:themeColor="background1"/>
              </w:rPr>
            </w:pPr>
            <w:r w:rsidRPr="00B37593">
              <w:rPr>
                <w:color w:val="FFFFFF" w:themeColor="background1"/>
              </w:rPr>
              <w:t>Severe</w:t>
            </w:r>
          </w:p>
        </w:tc>
      </w:tr>
      <w:tr w:rsidR="00414762" w:rsidTr="00B37593">
        <w:trPr>
          <w:trHeight w:val="794"/>
        </w:trPr>
        <w:tc>
          <w:tcPr>
            <w:tcW w:w="746" w:type="dxa"/>
            <w:vMerge w:val="restart"/>
            <w:textDirection w:val="btLr"/>
            <w:vAlign w:val="bottom"/>
          </w:tcPr>
          <w:p w:rsidR="00C24B86" w:rsidRPr="00B37593" w:rsidRDefault="00C24B86" w:rsidP="00B37593">
            <w:pPr>
              <w:keepNext/>
              <w:spacing w:before="120" w:after="120" w:line="240" w:lineRule="atLeast"/>
              <w:ind w:left="113" w:right="113"/>
              <w:jc w:val="center"/>
              <w:rPr>
                <w:rFonts w:cs="Arial"/>
                <w:b/>
                <w:color w:val="0070C0"/>
                <w:sz w:val="20"/>
              </w:rPr>
            </w:pPr>
            <w:r w:rsidRPr="00B37593">
              <w:rPr>
                <w:rFonts w:cs="Arial"/>
                <w:b/>
                <w:color w:val="0070C0"/>
                <w:sz w:val="24"/>
              </w:rPr>
              <w:t>Likelihood</w:t>
            </w:r>
          </w:p>
        </w:tc>
        <w:tc>
          <w:tcPr>
            <w:tcW w:w="1048" w:type="dxa"/>
            <w:shd w:val="clear" w:color="auto" w:fill="A6A6A6" w:themeFill="background1" w:themeFillShade="A6"/>
            <w:vAlign w:val="center"/>
          </w:tcPr>
          <w:p w:rsidR="00C24B86" w:rsidRPr="00B37593" w:rsidRDefault="00C24B86" w:rsidP="00B37593">
            <w:pPr>
              <w:keepNext/>
              <w:jc w:val="center"/>
              <w:rPr>
                <w:color w:val="FFFFFF" w:themeColor="background1"/>
              </w:rPr>
            </w:pPr>
            <w:r w:rsidRPr="00B37593">
              <w:rPr>
                <w:color w:val="FFFFFF" w:themeColor="background1"/>
              </w:rPr>
              <w:t>Almost Certain</w:t>
            </w:r>
          </w:p>
        </w:tc>
        <w:tc>
          <w:tcPr>
            <w:tcW w:w="1617" w:type="dxa"/>
            <w:shd w:val="clear" w:color="auto" w:fill="FFFF00"/>
            <w:vAlign w:val="center"/>
          </w:tcPr>
          <w:p w:rsidR="00C24B86" w:rsidRPr="00B37593" w:rsidRDefault="003C578F" w:rsidP="00B37593">
            <w:pPr>
              <w:keepNext/>
              <w:spacing w:before="120" w:after="120" w:line="240" w:lineRule="atLeast"/>
              <w:jc w:val="center"/>
              <w:rPr>
                <w:rFonts w:cs="Arial"/>
                <w:color w:val="0070C0"/>
                <w:sz w:val="20"/>
              </w:rPr>
            </w:pPr>
            <w:r w:rsidRPr="00C27125">
              <w:rPr>
                <w:rFonts w:cs="Arial"/>
                <w:sz w:val="20"/>
              </w:rPr>
              <w:t>CAT 4</w:t>
            </w:r>
          </w:p>
        </w:tc>
        <w:tc>
          <w:tcPr>
            <w:tcW w:w="1617" w:type="dxa"/>
            <w:shd w:val="clear" w:color="auto" w:fill="FFC000"/>
            <w:vAlign w:val="center"/>
          </w:tcPr>
          <w:p w:rsidR="00C24B86" w:rsidRPr="00B37593" w:rsidRDefault="003C578F" w:rsidP="00B37593">
            <w:pPr>
              <w:keepNext/>
              <w:spacing w:before="120" w:after="120" w:line="240" w:lineRule="atLeast"/>
              <w:jc w:val="center"/>
              <w:rPr>
                <w:rFonts w:cs="Arial"/>
                <w:sz w:val="20"/>
              </w:rPr>
            </w:pPr>
            <w:r w:rsidRPr="00B37593">
              <w:rPr>
                <w:rFonts w:cs="Arial"/>
                <w:sz w:val="20"/>
              </w:rPr>
              <w:t>CAT 3</w:t>
            </w:r>
          </w:p>
        </w:tc>
        <w:tc>
          <w:tcPr>
            <w:tcW w:w="1617" w:type="dxa"/>
            <w:shd w:val="clear" w:color="auto" w:fill="FF6600"/>
            <w:vAlign w:val="center"/>
          </w:tcPr>
          <w:p w:rsidR="00C24B86" w:rsidRPr="00B37593" w:rsidRDefault="003C578F" w:rsidP="00B37593">
            <w:pPr>
              <w:keepNext/>
              <w:spacing w:before="120" w:after="120" w:line="240" w:lineRule="atLeast"/>
              <w:jc w:val="center"/>
              <w:rPr>
                <w:rFonts w:cs="Arial"/>
                <w:sz w:val="20"/>
              </w:rPr>
            </w:pPr>
            <w:r w:rsidRPr="00B37593">
              <w:rPr>
                <w:rFonts w:cs="Arial"/>
                <w:color w:val="FFFFFF" w:themeColor="background1"/>
                <w:sz w:val="20"/>
              </w:rPr>
              <w:t>CAT 2</w:t>
            </w:r>
          </w:p>
        </w:tc>
        <w:tc>
          <w:tcPr>
            <w:tcW w:w="1617" w:type="dxa"/>
            <w:shd w:val="clear" w:color="auto" w:fill="FF0000"/>
            <w:vAlign w:val="center"/>
          </w:tcPr>
          <w:p w:rsidR="00C24B86" w:rsidRPr="00B37593" w:rsidRDefault="003C578F"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CAT 1</w:t>
            </w:r>
          </w:p>
        </w:tc>
        <w:tc>
          <w:tcPr>
            <w:tcW w:w="1519" w:type="dxa"/>
            <w:shd w:val="clear" w:color="auto" w:fill="FF0000"/>
            <w:vAlign w:val="center"/>
          </w:tcPr>
          <w:p w:rsidR="00C24B86" w:rsidRPr="00B37593" w:rsidRDefault="003C578F"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CAT 1</w:t>
            </w:r>
          </w:p>
        </w:tc>
      </w:tr>
      <w:tr w:rsidR="00414762" w:rsidTr="00B37593">
        <w:trPr>
          <w:trHeight w:val="794"/>
        </w:trPr>
        <w:tc>
          <w:tcPr>
            <w:tcW w:w="746" w:type="dxa"/>
            <w:vMerge/>
            <w:vAlign w:val="bottom"/>
          </w:tcPr>
          <w:p w:rsidR="00C24B86" w:rsidRPr="00B37593" w:rsidRDefault="00C24B86" w:rsidP="00B37593">
            <w:pPr>
              <w:keepNext/>
              <w:spacing w:before="120" w:after="120" w:line="240" w:lineRule="atLeast"/>
              <w:jc w:val="center"/>
              <w:rPr>
                <w:rFonts w:cs="Arial"/>
                <w:color w:val="0070C0"/>
                <w:sz w:val="20"/>
              </w:rPr>
            </w:pPr>
          </w:p>
        </w:tc>
        <w:tc>
          <w:tcPr>
            <w:tcW w:w="1048" w:type="dxa"/>
            <w:shd w:val="clear" w:color="auto" w:fill="A6A6A6" w:themeFill="background1" w:themeFillShade="A6"/>
            <w:vAlign w:val="center"/>
          </w:tcPr>
          <w:p w:rsidR="00C24B86" w:rsidRPr="00B37593" w:rsidRDefault="00C24B86" w:rsidP="00B37593">
            <w:pPr>
              <w:keepNext/>
              <w:jc w:val="center"/>
              <w:rPr>
                <w:color w:val="FFFFFF" w:themeColor="background1"/>
              </w:rPr>
            </w:pPr>
            <w:r w:rsidRPr="00B37593">
              <w:rPr>
                <w:color w:val="FFFFFF" w:themeColor="background1"/>
              </w:rPr>
              <w:t>Likely</w:t>
            </w:r>
          </w:p>
        </w:tc>
        <w:tc>
          <w:tcPr>
            <w:tcW w:w="1617" w:type="dxa"/>
            <w:shd w:val="clear" w:color="auto" w:fill="99FF33"/>
            <w:vAlign w:val="center"/>
          </w:tcPr>
          <w:p w:rsidR="00C24B86" w:rsidRPr="00B37593" w:rsidRDefault="00C00169" w:rsidP="00B37593">
            <w:pPr>
              <w:keepNext/>
              <w:spacing w:before="120" w:after="120" w:line="240" w:lineRule="atLeast"/>
              <w:jc w:val="center"/>
              <w:rPr>
                <w:rFonts w:cs="Arial"/>
                <w:sz w:val="18"/>
              </w:rPr>
            </w:pPr>
            <w:r w:rsidRPr="00B37593">
              <w:rPr>
                <w:rFonts w:cs="Arial"/>
                <w:sz w:val="18"/>
              </w:rPr>
              <w:t xml:space="preserve">Assess </w:t>
            </w:r>
            <w:r w:rsidR="00C24B86" w:rsidRPr="00B37593">
              <w:rPr>
                <w:rFonts w:cs="Arial"/>
                <w:sz w:val="18"/>
              </w:rPr>
              <w:t xml:space="preserve">Next </w:t>
            </w:r>
            <w:r w:rsidRPr="00B37593">
              <w:rPr>
                <w:rFonts w:cs="Arial"/>
                <w:sz w:val="18"/>
              </w:rPr>
              <w:t>Maintenance</w:t>
            </w:r>
          </w:p>
        </w:tc>
        <w:tc>
          <w:tcPr>
            <w:tcW w:w="1617" w:type="dxa"/>
            <w:shd w:val="clear" w:color="auto" w:fill="FFFF00"/>
            <w:vAlign w:val="center"/>
          </w:tcPr>
          <w:p w:rsidR="00C24B86" w:rsidRPr="00B37593" w:rsidRDefault="003C578F" w:rsidP="00B37593">
            <w:pPr>
              <w:keepNext/>
              <w:spacing w:before="120" w:after="120" w:line="240" w:lineRule="atLeast"/>
              <w:jc w:val="center"/>
              <w:rPr>
                <w:rFonts w:cs="Arial"/>
                <w:color w:val="0070C0"/>
                <w:sz w:val="20"/>
              </w:rPr>
            </w:pPr>
            <w:r w:rsidRPr="00C27125">
              <w:rPr>
                <w:rFonts w:cs="Arial"/>
                <w:sz w:val="20"/>
              </w:rPr>
              <w:t>CAT 4</w:t>
            </w:r>
          </w:p>
        </w:tc>
        <w:tc>
          <w:tcPr>
            <w:tcW w:w="1617" w:type="dxa"/>
            <w:shd w:val="clear" w:color="auto" w:fill="FFC000"/>
            <w:vAlign w:val="center"/>
          </w:tcPr>
          <w:p w:rsidR="00C24B86" w:rsidRPr="00B37593" w:rsidRDefault="003C578F" w:rsidP="00B37593">
            <w:pPr>
              <w:keepNext/>
              <w:spacing w:before="120" w:after="120" w:line="240" w:lineRule="atLeast"/>
              <w:jc w:val="center"/>
              <w:rPr>
                <w:rFonts w:cs="Arial"/>
                <w:sz w:val="20"/>
              </w:rPr>
            </w:pPr>
            <w:r w:rsidRPr="00B37593">
              <w:rPr>
                <w:rFonts w:cs="Arial"/>
                <w:sz w:val="20"/>
              </w:rPr>
              <w:t>CAT 3</w:t>
            </w:r>
          </w:p>
        </w:tc>
        <w:tc>
          <w:tcPr>
            <w:tcW w:w="1617" w:type="dxa"/>
            <w:shd w:val="clear" w:color="auto" w:fill="FF6600"/>
            <w:vAlign w:val="center"/>
          </w:tcPr>
          <w:p w:rsidR="00C24B86" w:rsidRPr="00B37593" w:rsidRDefault="003C578F" w:rsidP="00B37593">
            <w:pPr>
              <w:keepNext/>
              <w:spacing w:before="120" w:after="120" w:line="240" w:lineRule="atLeast"/>
              <w:jc w:val="center"/>
              <w:rPr>
                <w:rFonts w:cs="Arial"/>
                <w:sz w:val="20"/>
              </w:rPr>
            </w:pPr>
            <w:r w:rsidRPr="00B37593">
              <w:rPr>
                <w:rFonts w:cs="Arial"/>
                <w:color w:val="FFFFFF" w:themeColor="background1"/>
                <w:sz w:val="20"/>
              </w:rPr>
              <w:t>CAT 2</w:t>
            </w:r>
          </w:p>
        </w:tc>
        <w:tc>
          <w:tcPr>
            <w:tcW w:w="1519" w:type="dxa"/>
            <w:shd w:val="clear" w:color="auto" w:fill="FF0000"/>
            <w:vAlign w:val="center"/>
          </w:tcPr>
          <w:p w:rsidR="00C24B86" w:rsidRPr="00B37593" w:rsidRDefault="003C578F" w:rsidP="00B37593">
            <w:pPr>
              <w:keepNext/>
              <w:spacing w:before="120" w:after="120" w:line="240" w:lineRule="atLeast"/>
              <w:jc w:val="center"/>
              <w:rPr>
                <w:rFonts w:cs="Arial"/>
                <w:color w:val="FFFFFF" w:themeColor="background1"/>
                <w:sz w:val="20"/>
              </w:rPr>
            </w:pPr>
            <w:r w:rsidRPr="00B37593">
              <w:rPr>
                <w:rFonts w:cs="Arial"/>
                <w:color w:val="FFFFFF" w:themeColor="background1"/>
                <w:sz w:val="20"/>
              </w:rPr>
              <w:t>CAT 1</w:t>
            </w:r>
          </w:p>
        </w:tc>
      </w:tr>
      <w:tr w:rsidR="00414762" w:rsidTr="00B37593">
        <w:trPr>
          <w:trHeight w:val="794"/>
        </w:trPr>
        <w:tc>
          <w:tcPr>
            <w:tcW w:w="746" w:type="dxa"/>
            <w:vMerge/>
            <w:vAlign w:val="bottom"/>
          </w:tcPr>
          <w:p w:rsidR="00C00169" w:rsidRPr="00B37593" w:rsidRDefault="00C00169" w:rsidP="00B37593">
            <w:pPr>
              <w:keepNext/>
              <w:spacing w:before="120" w:after="120" w:line="240" w:lineRule="atLeast"/>
              <w:jc w:val="center"/>
              <w:rPr>
                <w:rFonts w:cs="Arial"/>
                <w:color w:val="0070C0"/>
                <w:sz w:val="20"/>
              </w:rPr>
            </w:pPr>
          </w:p>
        </w:tc>
        <w:tc>
          <w:tcPr>
            <w:tcW w:w="1048" w:type="dxa"/>
            <w:shd w:val="clear" w:color="auto" w:fill="A6A6A6" w:themeFill="background1" w:themeFillShade="A6"/>
            <w:vAlign w:val="center"/>
          </w:tcPr>
          <w:p w:rsidR="00C00169" w:rsidRPr="00B37593" w:rsidRDefault="00C00169" w:rsidP="00B37593">
            <w:pPr>
              <w:keepNext/>
              <w:jc w:val="center"/>
              <w:rPr>
                <w:color w:val="FFFFFF" w:themeColor="background1"/>
              </w:rPr>
            </w:pPr>
            <w:r w:rsidRPr="00B37593">
              <w:rPr>
                <w:color w:val="FFFFFF" w:themeColor="background1"/>
              </w:rPr>
              <w:t>Possible</w:t>
            </w:r>
          </w:p>
        </w:tc>
        <w:tc>
          <w:tcPr>
            <w:tcW w:w="1617" w:type="dxa"/>
            <w:tcBorders>
              <w:bottom w:val="single" w:sz="4" w:space="0" w:color="FFFFFF" w:themeColor="background1"/>
            </w:tcBorders>
            <w:shd w:val="clear" w:color="auto" w:fill="99FF33"/>
            <w:vAlign w:val="center"/>
          </w:tcPr>
          <w:p w:rsidR="00C00169" w:rsidRPr="00B37593" w:rsidRDefault="00C00169" w:rsidP="00B37593">
            <w:pPr>
              <w:keepNext/>
              <w:spacing w:before="120" w:after="120" w:line="240" w:lineRule="atLeast"/>
              <w:jc w:val="center"/>
              <w:rPr>
                <w:rFonts w:cs="Arial"/>
                <w:sz w:val="18"/>
              </w:rPr>
            </w:pPr>
            <w:r w:rsidRPr="00B37593">
              <w:rPr>
                <w:rFonts w:cs="Arial"/>
                <w:sz w:val="18"/>
              </w:rPr>
              <w:t>Assess Next Maintenance</w:t>
            </w:r>
          </w:p>
        </w:tc>
        <w:tc>
          <w:tcPr>
            <w:tcW w:w="1617" w:type="dxa"/>
            <w:shd w:val="clear" w:color="auto" w:fill="99FF33"/>
            <w:vAlign w:val="center"/>
          </w:tcPr>
          <w:p w:rsidR="00C00169" w:rsidRPr="00B37593" w:rsidRDefault="00C00169" w:rsidP="00B37593">
            <w:pPr>
              <w:keepNext/>
              <w:spacing w:before="120" w:after="120" w:line="240" w:lineRule="atLeast"/>
              <w:jc w:val="center"/>
              <w:rPr>
                <w:rFonts w:cs="Arial"/>
                <w:sz w:val="18"/>
              </w:rPr>
            </w:pPr>
            <w:r w:rsidRPr="00B37593">
              <w:rPr>
                <w:rFonts w:cs="Arial"/>
                <w:sz w:val="18"/>
              </w:rPr>
              <w:t>Assess Next Maintenance</w:t>
            </w:r>
          </w:p>
        </w:tc>
        <w:tc>
          <w:tcPr>
            <w:tcW w:w="1617" w:type="dxa"/>
            <w:shd w:val="clear" w:color="auto" w:fill="FFFF00"/>
            <w:vAlign w:val="center"/>
          </w:tcPr>
          <w:p w:rsidR="00C00169" w:rsidRPr="00B37593" w:rsidRDefault="00C00169" w:rsidP="00B37593">
            <w:pPr>
              <w:keepNext/>
              <w:spacing w:before="120" w:after="120" w:line="240" w:lineRule="atLeast"/>
              <w:jc w:val="center"/>
              <w:rPr>
                <w:rFonts w:cs="Arial"/>
                <w:color w:val="0070C0"/>
                <w:sz w:val="20"/>
              </w:rPr>
            </w:pPr>
            <w:r w:rsidRPr="00C27125">
              <w:rPr>
                <w:rFonts w:cs="Arial"/>
                <w:sz w:val="20"/>
              </w:rPr>
              <w:t>CAT 4</w:t>
            </w:r>
          </w:p>
        </w:tc>
        <w:tc>
          <w:tcPr>
            <w:tcW w:w="1617" w:type="dxa"/>
            <w:shd w:val="clear" w:color="auto" w:fill="FFC00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CAT 3</w:t>
            </w:r>
          </w:p>
        </w:tc>
        <w:tc>
          <w:tcPr>
            <w:tcW w:w="1519" w:type="dxa"/>
            <w:shd w:val="clear" w:color="auto" w:fill="FF6600"/>
            <w:vAlign w:val="center"/>
          </w:tcPr>
          <w:p w:rsidR="00C00169" w:rsidRPr="00B37593" w:rsidRDefault="00C00169" w:rsidP="00B37593">
            <w:pPr>
              <w:keepNext/>
              <w:spacing w:before="120" w:after="120" w:line="240" w:lineRule="atLeast"/>
              <w:jc w:val="center"/>
              <w:rPr>
                <w:rFonts w:cs="Arial"/>
                <w:sz w:val="20"/>
              </w:rPr>
            </w:pPr>
            <w:r w:rsidRPr="00B37593">
              <w:rPr>
                <w:rFonts w:cs="Arial"/>
                <w:color w:val="FFFFFF" w:themeColor="background1"/>
                <w:sz w:val="20"/>
              </w:rPr>
              <w:t>CAT 2</w:t>
            </w:r>
          </w:p>
        </w:tc>
      </w:tr>
      <w:tr w:rsidR="00414762" w:rsidTr="00414762">
        <w:trPr>
          <w:trHeight w:val="794"/>
        </w:trPr>
        <w:tc>
          <w:tcPr>
            <w:tcW w:w="746" w:type="dxa"/>
            <w:vMerge/>
            <w:vAlign w:val="bottom"/>
          </w:tcPr>
          <w:p w:rsidR="00C00169" w:rsidRPr="00B37593" w:rsidRDefault="00C00169" w:rsidP="00B37593">
            <w:pPr>
              <w:keepNext/>
              <w:spacing w:before="120" w:after="120" w:line="240" w:lineRule="atLeast"/>
              <w:jc w:val="center"/>
              <w:rPr>
                <w:rFonts w:cs="Arial"/>
                <w:color w:val="0070C0"/>
                <w:sz w:val="20"/>
              </w:rPr>
            </w:pPr>
          </w:p>
        </w:tc>
        <w:tc>
          <w:tcPr>
            <w:tcW w:w="1048" w:type="dxa"/>
            <w:tcBorders>
              <w:bottom w:val="single" w:sz="4" w:space="0" w:color="FFFFFF" w:themeColor="background1"/>
            </w:tcBorders>
            <w:shd w:val="clear" w:color="auto" w:fill="A6A6A6" w:themeFill="background1" w:themeFillShade="A6"/>
            <w:vAlign w:val="center"/>
          </w:tcPr>
          <w:p w:rsidR="00C00169" w:rsidRPr="00B37593" w:rsidRDefault="00C00169" w:rsidP="00B37593">
            <w:pPr>
              <w:keepNext/>
              <w:jc w:val="center"/>
              <w:rPr>
                <w:color w:val="FFFFFF" w:themeColor="background1"/>
              </w:rPr>
            </w:pPr>
            <w:r w:rsidRPr="00B37593">
              <w:rPr>
                <w:color w:val="FFFFFF" w:themeColor="background1"/>
              </w:rPr>
              <w:t>Unlikely</w:t>
            </w:r>
          </w:p>
        </w:tc>
        <w:tc>
          <w:tcPr>
            <w:tcW w:w="1617" w:type="dxa"/>
            <w:tcBorders>
              <w:bottom w:val="single" w:sz="4" w:space="0" w:color="FFFFFF" w:themeColor="background1"/>
            </w:tcBorders>
            <w:shd w:val="clear" w:color="auto" w:fill="92D05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No Defect</w:t>
            </w:r>
          </w:p>
        </w:tc>
        <w:tc>
          <w:tcPr>
            <w:tcW w:w="1617" w:type="dxa"/>
            <w:tcBorders>
              <w:bottom w:val="single" w:sz="4" w:space="0" w:color="FFFFFF" w:themeColor="background1"/>
            </w:tcBorders>
            <w:shd w:val="clear" w:color="auto" w:fill="92D05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No Defect</w:t>
            </w:r>
          </w:p>
        </w:tc>
        <w:tc>
          <w:tcPr>
            <w:tcW w:w="1617" w:type="dxa"/>
            <w:tcBorders>
              <w:bottom w:val="single" w:sz="4" w:space="0" w:color="FFFFFF" w:themeColor="background1"/>
            </w:tcBorders>
            <w:shd w:val="clear" w:color="auto" w:fill="99FF33"/>
            <w:vAlign w:val="center"/>
          </w:tcPr>
          <w:p w:rsidR="00C00169" w:rsidRPr="00B37593" w:rsidRDefault="00C00169" w:rsidP="00B37593">
            <w:pPr>
              <w:keepNext/>
              <w:spacing w:before="120" w:after="120" w:line="240" w:lineRule="atLeast"/>
              <w:jc w:val="center"/>
              <w:rPr>
                <w:rFonts w:cs="Arial"/>
                <w:sz w:val="18"/>
              </w:rPr>
            </w:pPr>
            <w:r w:rsidRPr="00B37593">
              <w:rPr>
                <w:rFonts w:cs="Arial"/>
                <w:sz w:val="18"/>
              </w:rPr>
              <w:t>Assess Next Maintenance</w:t>
            </w:r>
          </w:p>
        </w:tc>
        <w:tc>
          <w:tcPr>
            <w:tcW w:w="1617" w:type="dxa"/>
            <w:tcBorders>
              <w:bottom w:val="single" w:sz="4" w:space="0" w:color="FFFFFF" w:themeColor="background1"/>
            </w:tcBorders>
            <w:shd w:val="clear" w:color="auto" w:fill="FFFF00"/>
            <w:vAlign w:val="center"/>
          </w:tcPr>
          <w:p w:rsidR="00C00169" w:rsidRPr="00C27125" w:rsidRDefault="00C00169" w:rsidP="00B37593">
            <w:pPr>
              <w:keepNext/>
              <w:spacing w:before="120" w:after="120" w:line="240" w:lineRule="atLeast"/>
              <w:jc w:val="center"/>
              <w:rPr>
                <w:rFonts w:cs="Arial"/>
                <w:color w:val="0070C0"/>
              </w:rPr>
            </w:pPr>
            <w:r w:rsidRPr="00C27125">
              <w:rPr>
                <w:rFonts w:cs="Arial"/>
                <w:sz w:val="20"/>
              </w:rPr>
              <w:t>CAT 4</w:t>
            </w:r>
          </w:p>
        </w:tc>
        <w:tc>
          <w:tcPr>
            <w:tcW w:w="1519" w:type="dxa"/>
            <w:shd w:val="clear" w:color="auto" w:fill="FFC00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CAT 3</w:t>
            </w:r>
          </w:p>
        </w:tc>
      </w:tr>
      <w:tr w:rsidR="00414762" w:rsidTr="00414762">
        <w:trPr>
          <w:trHeight w:val="794"/>
        </w:trPr>
        <w:tc>
          <w:tcPr>
            <w:tcW w:w="746" w:type="dxa"/>
            <w:vMerge/>
            <w:vAlign w:val="bottom"/>
          </w:tcPr>
          <w:p w:rsidR="00C00169" w:rsidRPr="00B37593" w:rsidRDefault="00C00169" w:rsidP="00B37593">
            <w:pPr>
              <w:keepNext/>
              <w:spacing w:before="120" w:after="120" w:line="240" w:lineRule="atLeast"/>
              <w:jc w:val="center"/>
              <w:rPr>
                <w:rFonts w:cs="Arial"/>
                <w:color w:val="0070C0"/>
                <w:sz w:val="20"/>
              </w:rPr>
            </w:pPr>
          </w:p>
        </w:tc>
        <w:tc>
          <w:tcPr>
            <w:tcW w:w="1048" w:type="dxa"/>
            <w:shd w:val="clear" w:color="auto" w:fill="A6A6A6" w:themeFill="background1" w:themeFillShade="A6"/>
            <w:vAlign w:val="center"/>
          </w:tcPr>
          <w:p w:rsidR="00C00169" w:rsidRPr="00B37593" w:rsidRDefault="00C00169" w:rsidP="00B37593">
            <w:pPr>
              <w:keepNext/>
              <w:jc w:val="center"/>
              <w:rPr>
                <w:color w:val="FFFFFF" w:themeColor="background1"/>
              </w:rPr>
            </w:pPr>
            <w:r w:rsidRPr="00B37593">
              <w:rPr>
                <w:color w:val="FFFFFF" w:themeColor="background1"/>
              </w:rPr>
              <w:t>Rare</w:t>
            </w:r>
          </w:p>
        </w:tc>
        <w:tc>
          <w:tcPr>
            <w:tcW w:w="1617" w:type="dxa"/>
            <w:shd w:val="clear" w:color="auto" w:fill="92D05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No Defect</w:t>
            </w:r>
          </w:p>
        </w:tc>
        <w:tc>
          <w:tcPr>
            <w:tcW w:w="1617" w:type="dxa"/>
            <w:shd w:val="clear" w:color="auto" w:fill="92D05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No Defect</w:t>
            </w:r>
          </w:p>
        </w:tc>
        <w:tc>
          <w:tcPr>
            <w:tcW w:w="1617" w:type="dxa"/>
            <w:shd w:val="clear" w:color="auto" w:fill="92D050"/>
            <w:vAlign w:val="center"/>
          </w:tcPr>
          <w:p w:rsidR="00C00169" w:rsidRPr="00B37593" w:rsidRDefault="00C00169" w:rsidP="00B37593">
            <w:pPr>
              <w:keepNext/>
              <w:spacing w:before="120" w:after="120" w:line="240" w:lineRule="atLeast"/>
              <w:jc w:val="center"/>
              <w:rPr>
                <w:rFonts w:cs="Arial"/>
                <w:sz w:val="20"/>
              </w:rPr>
            </w:pPr>
            <w:r w:rsidRPr="00B37593">
              <w:rPr>
                <w:rFonts w:cs="Arial"/>
                <w:sz w:val="20"/>
              </w:rPr>
              <w:t>No Defect</w:t>
            </w:r>
          </w:p>
        </w:tc>
        <w:tc>
          <w:tcPr>
            <w:tcW w:w="1617" w:type="dxa"/>
            <w:shd w:val="clear" w:color="auto" w:fill="FFFF00"/>
            <w:vAlign w:val="center"/>
          </w:tcPr>
          <w:p w:rsidR="00C00169" w:rsidRPr="00C27125" w:rsidRDefault="00A92F4B" w:rsidP="00B37593">
            <w:pPr>
              <w:keepNext/>
              <w:spacing w:before="120" w:after="120" w:line="240" w:lineRule="atLeast"/>
              <w:jc w:val="center"/>
              <w:rPr>
                <w:rFonts w:cs="Arial"/>
                <w:sz w:val="20"/>
              </w:rPr>
            </w:pPr>
            <w:r w:rsidRPr="00C27125">
              <w:rPr>
                <w:rFonts w:cs="Arial"/>
                <w:sz w:val="20"/>
              </w:rPr>
              <w:t>CAT 4</w:t>
            </w:r>
          </w:p>
        </w:tc>
        <w:tc>
          <w:tcPr>
            <w:tcW w:w="1519" w:type="dxa"/>
            <w:shd w:val="clear" w:color="auto" w:fill="FFFF00"/>
            <w:vAlign w:val="center"/>
          </w:tcPr>
          <w:p w:rsidR="00C00169" w:rsidRPr="00B37593" w:rsidRDefault="00C00169" w:rsidP="00B37593">
            <w:pPr>
              <w:keepNext/>
              <w:spacing w:before="120" w:after="120" w:line="240" w:lineRule="atLeast"/>
              <w:jc w:val="center"/>
              <w:rPr>
                <w:rFonts w:cs="Arial"/>
                <w:color w:val="0070C0"/>
                <w:sz w:val="20"/>
              </w:rPr>
            </w:pPr>
            <w:r w:rsidRPr="00C27125">
              <w:rPr>
                <w:rFonts w:cs="Arial"/>
                <w:sz w:val="20"/>
              </w:rPr>
              <w:t>CAT 4</w:t>
            </w:r>
          </w:p>
        </w:tc>
      </w:tr>
    </w:tbl>
    <w:p w:rsidR="00C00169" w:rsidRPr="006126D4" w:rsidRDefault="00C00169" w:rsidP="002E720B">
      <w:pPr>
        <w:spacing w:before="120" w:after="120" w:line="240" w:lineRule="atLeast"/>
        <w:jc w:val="both"/>
        <w:rPr>
          <w:rFonts w:cs="Arial"/>
          <w:sz w:val="20"/>
        </w:rPr>
      </w:pPr>
    </w:p>
    <w:p w:rsidR="00DD4627" w:rsidRDefault="00481170">
      <w:pPr>
        <w:pStyle w:val="Heading2"/>
      </w:pPr>
      <w:r>
        <w:rPr>
          <w:rFonts w:cs="Arial"/>
          <w:color w:val="0070C0"/>
          <w:sz w:val="20"/>
        </w:rPr>
        <w:br w:type="page"/>
      </w:r>
      <w:r w:rsidR="005A3568">
        <w:t xml:space="preserve">Low </w:t>
      </w:r>
      <w:r>
        <w:t xml:space="preserve">Ground Clearance </w:t>
      </w:r>
      <w:r w:rsidR="005A3568">
        <w:t>Defects</w:t>
      </w:r>
    </w:p>
    <w:p w:rsidR="0004341E" w:rsidRDefault="005A3568" w:rsidP="00E772A0">
      <w:r>
        <w:t xml:space="preserve">Low clearance defects to </w:t>
      </w:r>
      <w:r w:rsidR="004A0D20">
        <w:t xml:space="preserve">exposed (bare) </w:t>
      </w:r>
      <w:r>
        <w:t>energised mains and apparatus</w:t>
      </w:r>
      <w:r w:rsidR="004A0D20">
        <w:t xml:space="preserve"> fall </w:t>
      </w:r>
      <w:r w:rsidR="00C00169">
        <w:t xml:space="preserve">directly </w:t>
      </w:r>
      <w:r w:rsidR="004A0D20">
        <w:t xml:space="preserve">within the scope of Network Fatal Risk 1.1 – Contact with Electricity.  The likelihood of contact will be related to the actual clearance, most commonly ground clearance, and the land use at the point of the low clearance defect. </w:t>
      </w:r>
      <w:r w:rsidR="00326A81">
        <w:t xml:space="preserve"> Low clearances which are less than the minimum clearance for people shall be classified as </w:t>
      </w:r>
      <w:r w:rsidR="005C7BE4">
        <w:t>CAT 1</w:t>
      </w:r>
      <w:r w:rsidR="00326A81">
        <w:t xml:space="preserve"> defect due to the potentially fatal consequences of the contact in the land use scenarios</w:t>
      </w:r>
      <w:r w:rsidR="00740AA0">
        <w:rPr>
          <w:rStyle w:val="FootnoteReference"/>
        </w:rPr>
        <w:footnoteReference w:id="1"/>
      </w:r>
      <w:r w:rsidR="00326A81">
        <w:t>.</w:t>
      </w:r>
      <w:r w:rsidR="00E772A0" w:rsidRPr="00E772A0">
        <w:t xml:space="preserve"> </w:t>
      </w:r>
    </w:p>
    <w:p w:rsidR="00E772A0" w:rsidRDefault="00E772A0" w:rsidP="00E772A0"/>
    <w:p w:rsidR="00913217" w:rsidRDefault="0063631D" w:rsidP="00913217">
      <w:pPr>
        <w:pStyle w:val="Heading3"/>
      </w:pPr>
      <w:r w:rsidRPr="0063631D">
        <w:t>LV Service Cables</w:t>
      </w:r>
    </w:p>
    <w:p w:rsidR="001A3B12" w:rsidRPr="001F664A" w:rsidRDefault="001A3B12" w:rsidP="001F664A">
      <w:pPr>
        <w:keepNext/>
        <w:ind w:left="720"/>
        <w:rPr>
          <w:sz w:val="18"/>
        </w:rPr>
      </w:pPr>
      <w:r w:rsidRPr="001F664A">
        <w:rPr>
          <w:sz w:val="18"/>
        </w:rPr>
        <w:t xml:space="preserve">Figure </w:t>
      </w:r>
      <w:r w:rsidR="001F664A">
        <w:rPr>
          <w:sz w:val="18"/>
        </w:rPr>
        <w:t>6</w:t>
      </w:r>
      <w:r w:rsidRPr="001F664A">
        <w:rPr>
          <w:sz w:val="18"/>
        </w:rPr>
        <w:t xml:space="preserve"> – Defect Prioritisation – LV Service Cables</w:t>
      </w:r>
    </w:p>
    <w:p w:rsidR="001A3B12" w:rsidRPr="001A3B12" w:rsidRDefault="001A3B12" w:rsidP="001A3B12"/>
    <w:tbl>
      <w:tblPr>
        <w:tblW w:w="935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01"/>
        <w:gridCol w:w="1531"/>
        <w:gridCol w:w="1531"/>
        <w:gridCol w:w="1531"/>
        <w:gridCol w:w="1531"/>
        <w:gridCol w:w="1531"/>
      </w:tblGrid>
      <w:tr w:rsidR="0004341E" w:rsidTr="0004341E">
        <w:trPr>
          <w:trHeight w:hRule="exact" w:val="2050"/>
        </w:trPr>
        <w:tc>
          <w:tcPr>
            <w:tcW w:w="1701" w:type="dxa"/>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bCs/>
                <w:color w:val="FFFFFF" w:themeColor="background1"/>
                <w:szCs w:val="22"/>
              </w:rPr>
              <w:t>Conductor Clearance</w:t>
            </w:r>
          </w:p>
        </w:tc>
        <w:tc>
          <w:tcPr>
            <w:tcW w:w="1531" w:type="dxa"/>
            <w:shd w:val="clear" w:color="auto" w:fill="A6A6A6" w:themeFill="background1" w:themeFillShade="A6"/>
            <w:vAlign w:val="center"/>
          </w:tcPr>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arterial road or freeways or the centre of a public road</w:t>
            </w:r>
          </w:p>
        </w:tc>
        <w:tc>
          <w:tcPr>
            <w:tcW w:w="1531" w:type="dxa"/>
            <w:shd w:val="clear" w:color="auto" w:fill="A6A6A6" w:themeFill="background1" w:themeFillShade="A6"/>
            <w:vAlign w:val="center"/>
          </w:tcPr>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Any other part of a public carriageway / road</w:t>
            </w:r>
          </w:p>
        </w:tc>
        <w:tc>
          <w:tcPr>
            <w:tcW w:w="1531" w:type="dxa"/>
            <w:shd w:val="clear" w:color="auto" w:fill="A6A6A6" w:themeFill="background1" w:themeFillShade="A6"/>
            <w:vAlign w:val="center"/>
          </w:tcPr>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 xml:space="preserve">Vehicular Crossing of a road verge </w:t>
            </w:r>
          </w:p>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(other than an urban residential dwelling)</w:t>
            </w:r>
          </w:p>
        </w:tc>
        <w:tc>
          <w:tcPr>
            <w:tcW w:w="1531" w:type="dxa"/>
            <w:shd w:val="clear" w:color="auto" w:fill="A6A6A6" w:themeFill="background1" w:themeFillShade="A6"/>
            <w:vAlign w:val="center"/>
          </w:tcPr>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All Other Vehicular Crossing or Land likely to be used by a vehicle</w:t>
            </w:r>
          </w:p>
        </w:tc>
        <w:tc>
          <w:tcPr>
            <w:tcW w:w="1531" w:type="dxa"/>
            <w:shd w:val="clear" w:color="auto" w:fill="A6A6A6" w:themeFill="background1" w:themeFillShade="A6"/>
            <w:vAlign w:val="center"/>
          </w:tcPr>
          <w:p w:rsidR="0004341E" w:rsidRPr="0004341E" w:rsidRDefault="00913217" w:rsidP="00E377E6">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Land not likely to be used by a vehicle</w:t>
            </w:r>
          </w:p>
        </w:tc>
      </w:tr>
      <w:tr w:rsidR="0004341E" w:rsidTr="0004341E">
        <w:trPr>
          <w:trHeight w:val="498"/>
        </w:trPr>
        <w:tc>
          <w:tcPr>
            <w:tcW w:w="1701" w:type="dxa"/>
            <w:shd w:val="clear" w:color="auto" w:fill="A6A6A6" w:themeFill="background1" w:themeFillShade="A6"/>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color w:val="FFFFFF" w:themeColor="background1"/>
                <w:szCs w:val="22"/>
              </w:rPr>
              <w:t>≤ 2.7 m</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D641C7">
              <w:rPr>
                <w:rFonts w:cs="Arial"/>
                <w:color w:val="FFFFFF" w:themeColor="background1"/>
                <w:sz w:val="20"/>
              </w:rPr>
              <w:t>CAT 1</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3B3868">
              <w:rPr>
                <w:rFonts w:cs="Arial"/>
                <w:color w:val="FFFFFF" w:themeColor="background1"/>
                <w:sz w:val="20"/>
              </w:rPr>
              <w:t>CAT 1</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3B3868">
              <w:rPr>
                <w:rFonts w:cs="Arial"/>
                <w:color w:val="FFFFFF" w:themeColor="background1"/>
                <w:sz w:val="20"/>
              </w:rPr>
              <w:t>CAT 1</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702D60">
              <w:rPr>
                <w:rFonts w:cs="Arial"/>
                <w:color w:val="FFFFFF" w:themeColor="background1"/>
                <w:sz w:val="20"/>
              </w:rPr>
              <w:t>CAT 1</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702D60">
              <w:rPr>
                <w:rFonts w:cs="Arial"/>
                <w:color w:val="FFFFFF" w:themeColor="background1"/>
                <w:sz w:val="20"/>
              </w:rPr>
              <w:t>CAT 1</w:t>
            </w:r>
          </w:p>
        </w:tc>
      </w:tr>
      <w:tr w:rsidR="0004341E" w:rsidTr="0004341E">
        <w:trPr>
          <w:trHeight w:val="550"/>
        </w:trPr>
        <w:tc>
          <w:tcPr>
            <w:tcW w:w="1701" w:type="dxa"/>
            <w:shd w:val="clear" w:color="auto" w:fill="A6A6A6" w:themeFill="background1" w:themeFillShade="A6"/>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color w:val="FFFFFF" w:themeColor="background1"/>
                <w:szCs w:val="22"/>
              </w:rPr>
              <w:t>&gt; 2.7 m and ≤</w:t>
            </w:r>
            <w:r>
              <w:rPr>
                <w:rFonts w:ascii="Calibri" w:hAnsi="Calibri" w:cs="Calibri"/>
                <w:b/>
                <w:color w:val="FFFFFF" w:themeColor="background1"/>
                <w:szCs w:val="22"/>
              </w:rPr>
              <w:t> </w:t>
            </w:r>
            <w:r w:rsidRPr="00871101">
              <w:rPr>
                <w:rFonts w:ascii="Calibri" w:hAnsi="Calibri" w:cs="Calibri"/>
                <w:b/>
                <w:color w:val="FFFFFF" w:themeColor="background1"/>
                <w:szCs w:val="22"/>
              </w:rPr>
              <w:t>3.0 m</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D641C7">
              <w:rPr>
                <w:rFonts w:cs="Arial"/>
                <w:color w:val="FFFFFF" w:themeColor="background1"/>
                <w:sz w:val="20"/>
              </w:rPr>
              <w:t>CAT 1</w:t>
            </w:r>
          </w:p>
        </w:tc>
        <w:tc>
          <w:tcPr>
            <w:tcW w:w="1531" w:type="dxa"/>
            <w:shd w:val="clear" w:color="auto" w:fill="FF6600"/>
            <w:vAlign w:val="center"/>
          </w:tcPr>
          <w:p w:rsidR="0004341E" w:rsidRPr="00871101" w:rsidRDefault="0004341E" w:rsidP="00E377E6">
            <w:pPr>
              <w:jc w:val="center"/>
              <w:rPr>
                <w:rFonts w:cs="Arial"/>
                <w:i/>
                <w:color w:val="000000" w:themeColor="text1" w:themeShade="80"/>
                <w:szCs w:val="22"/>
              </w:rPr>
            </w:pPr>
            <w:r w:rsidRPr="003C578F">
              <w:rPr>
                <w:rFonts w:cs="Arial"/>
                <w:color w:val="FFFFFF" w:themeColor="background1"/>
                <w:sz w:val="20"/>
              </w:rPr>
              <w:t>CAT 2</w:t>
            </w:r>
          </w:p>
        </w:tc>
        <w:tc>
          <w:tcPr>
            <w:tcW w:w="1531" w:type="dxa"/>
            <w:shd w:val="clear" w:color="auto" w:fill="FF6600"/>
            <w:vAlign w:val="center"/>
          </w:tcPr>
          <w:p w:rsidR="0004341E" w:rsidRPr="00871101" w:rsidRDefault="0004341E" w:rsidP="00E377E6">
            <w:pPr>
              <w:jc w:val="center"/>
              <w:rPr>
                <w:rFonts w:cs="Arial"/>
                <w:i/>
                <w:color w:val="000000" w:themeColor="text1" w:themeShade="80"/>
                <w:szCs w:val="22"/>
              </w:rPr>
            </w:pPr>
            <w:r w:rsidRPr="003C578F">
              <w:rPr>
                <w:rFonts w:cs="Arial"/>
                <w:color w:val="FFFFFF" w:themeColor="background1"/>
                <w:sz w:val="20"/>
              </w:rPr>
              <w:t>CAT 2</w:t>
            </w:r>
          </w:p>
        </w:tc>
        <w:tc>
          <w:tcPr>
            <w:tcW w:w="1531" w:type="dxa"/>
            <w:shd w:val="clear" w:color="auto" w:fill="FFC000"/>
            <w:vAlign w:val="center"/>
          </w:tcPr>
          <w:p w:rsidR="0004341E" w:rsidRPr="00871101" w:rsidRDefault="0004341E" w:rsidP="00E377E6">
            <w:pPr>
              <w:jc w:val="center"/>
              <w:rPr>
                <w:rFonts w:cs="Arial"/>
                <w:i/>
                <w:color w:val="000000" w:themeColor="text1" w:themeShade="80"/>
                <w:szCs w:val="22"/>
              </w:rPr>
            </w:pPr>
            <w:r w:rsidRPr="00CE092F">
              <w:rPr>
                <w:rFonts w:cs="Arial"/>
                <w:color w:val="000000" w:themeColor="text1" w:themeShade="80"/>
                <w:sz w:val="20"/>
                <w:szCs w:val="22"/>
              </w:rPr>
              <w:t>CAT 3</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r>
      <w:tr w:rsidR="0004341E" w:rsidTr="0004341E">
        <w:trPr>
          <w:trHeight w:val="528"/>
        </w:trPr>
        <w:tc>
          <w:tcPr>
            <w:tcW w:w="1701" w:type="dxa"/>
            <w:shd w:val="clear" w:color="auto" w:fill="A6A6A6" w:themeFill="background1" w:themeFillShade="A6"/>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color w:val="FFFFFF" w:themeColor="background1"/>
                <w:szCs w:val="22"/>
              </w:rPr>
              <w:t>&gt; 3.0 m and ≤</w:t>
            </w:r>
            <w:r>
              <w:rPr>
                <w:rFonts w:ascii="Calibri" w:hAnsi="Calibri" w:cs="Calibri"/>
                <w:b/>
                <w:color w:val="FFFFFF" w:themeColor="background1"/>
                <w:szCs w:val="22"/>
              </w:rPr>
              <w:t> </w:t>
            </w:r>
            <w:r w:rsidRPr="00871101">
              <w:rPr>
                <w:rFonts w:ascii="Calibri" w:hAnsi="Calibri" w:cs="Calibri"/>
                <w:b/>
                <w:color w:val="FFFFFF" w:themeColor="background1"/>
                <w:szCs w:val="22"/>
              </w:rPr>
              <w:t>4.5 m</w:t>
            </w:r>
          </w:p>
        </w:tc>
        <w:tc>
          <w:tcPr>
            <w:tcW w:w="1531" w:type="dxa"/>
            <w:shd w:val="clear" w:color="auto" w:fill="FF0000"/>
            <w:vAlign w:val="center"/>
          </w:tcPr>
          <w:p w:rsidR="0004341E" w:rsidRPr="00871101" w:rsidRDefault="0004341E" w:rsidP="00E377E6">
            <w:pPr>
              <w:jc w:val="center"/>
              <w:rPr>
                <w:rFonts w:cs="Arial"/>
                <w:i/>
                <w:color w:val="000000" w:themeColor="text1" w:themeShade="80"/>
                <w:szCs w:val="22"/>
              </w:rPr>
            </w:pPr>
            <w:r w:rsidRPr="00D641C7">
              <w:rPr>
                <w:rFonts w:cs="Arial"/>
                <w:color w:val="FFFFFF" w:themeColor="background1"/>
                <w:sz w:val="20"/>
              </w:rPr>
              <w:t>CAT 1</w:t>
            </w:r>
          </w:p>
        </w:tc>
        <w:tc>
          <w:tcPr>
            <w:tcW w:w="1531" w:type="dxa"/>
            <w:shd w:val="clear" w:color="auto" w:fill="FF6600"/>
            <w:vAlign w:val="center"/>
          </w:tcPr>
          <w:p w:rsidR="0004341E" w:rsidRPr="00871101" w:rsidRDefault="0004341E" w:rsidP="00E377E6">
            <w:pPr>
              <w:jc w:val="center"/>
              <w:rPr>
                <w:rFonts w:cs="Arial"/>
                <w:i/>
                <w:color w:val="000000" w:themeColor="text1" w:themeShade="80"/>
                <w:szCs w:val="22"/>
              </w:rPr>
            </w:pPr>
            <w:r w:rsidRPr="003C578F">
              <w:rPr>
                <w:rFonts w:cs="Arial"/>
                <w:color w:val="FFFFFF" w:themeColor="background1"/>
                <w:sz w:val="20"/>
              </w:rPr>
              <w:t>CAT 2</w:t>
            </w:r>
          </w:p>
        </w:tc>
        <w:tc>
          <w:tcPr>
            <w:tcW w:w="1531" w:type="dxa"/>
            <w:shd w:val="clear" w:color="auto" w:fill="FFC000"/>
            <w:vAlign w:val="center"/>
          </w:tcPr>
          <w:p w:rsidR="0004341E" w:rsidRPr="00871101" w:rsidRDefault="0004341E" w:rsidP="00E377E6">
            <w:pPr>
              <w:jc w:val="center"/>
              <w:rPr>
                <w:rFonts w:cs="Arial"/>
                <w:i/>
                <w:color w:val="000000" w:themeColor="text1" w:themeShade="80"/>
                <w:szCs w:val="22"/>
              </w:rPr>
            </w:pPr>
            <w:r w:rsidRPr="00CE092F">
              <w:rPr>
                <w:rFonts w:cs="Arial"/>
                <w:color w:val="000000" w:themeColor="text1" w:themeShade="80"/>
                <w:sz w:val="20"/>
                <w:szCs w:val="22"/>
              </w:rPr>
              <w:t>CAT 3</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r>
      <w:tr w:rsidR="0004341E" w:rsidTr="0004341E">
        <w:trPr>
          <w:trHeight w:val="564"/>
        </w:trPr>
        <w:tc>
          <w:tcPr>
            <w:tcW w:w="1701" w:type="dxa"/>
            <w:shd w:val="clear" w:color="auto" w:fill="A6A6A6" w:themeFill="background1" w:themeFillShade="A6"/>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color w:val="FFFFFF" w:themeColor="background1"/>
                <w:szCs w:val="22"/>
              </w:rPr>
              <w:t>&gt; 4.5 m and ≤</w:t>
            </w:r>
            <w:r>
              <w:rPr>
                <w:rFonts w:ascii="Calibri" w:hAnsi="Calibri" w:cs="Calibri"/>
                <w:b/>
                <w:color w:val="FFFFFF" w:themeColor="background1"/>
                <w:szCs w:val="22"/>
              </w:rPr>
              <w:t> </w:t>
            </w:r>
            <w:r w:rsidRPr="00871101">
              <w:rPr>
                <w:rFonts w:ascii="Calibri" w:hAnsi="Calibri" w:cs="Calibri"/>
                <w:b/>
                <w:color w:val="FFFFFF" w:themeColor="background1"/>
                <w:szCs w:val="22"/>
              </w:rPr>
              <w:t>4.9 m</w:t>
            </w:r>
          </w:p>
        </w:tc>
        <w:tc>
          <w:tcPr>
            <w:tcW w:w="1531" w:type="dxa"/>
            <w:shd w:val="clear" w:color="auto" w:fill="FF6600"/>
            <w:vAlign w:val="center"/>
          </w:tcPr>
          <w:p w:rsidR="0004341E" w:rsidRPr="00871101" w:rsidRDefault="0004341E" w:rsidP="00E377E6">
            <w:pPr>
              <w:jc w:val="center"/>
              <w:rPr>
                <w:rFonts w:cs="Arial"/>
                <w:i/>
                <w:color w:val="000000" w:themeColor="text1" w:themeShade="80"/>
                <w:szCs w:val="22"/>
              </w:rPr>
            </w:pPr>
            <w:r w:rsidRPr="003C578F">
              <w:rPr>
                <w:rFonts w:cs="Arial"/>
                <w:color w:val="FFFFFF" w:themeColor="background1"/>
                <w:sz w:val="20"/>
              </w:rPr>
              <w:t>CAT 2</w:t>
            </w:r>
          </w:p>
        </w:tc>
        <w:tc>
          <w:tcPr>
            <w:tcW w:w="1531" w:type="dxa"/>
            <w:shd w:val="clear" w:color="auto" w:fill="FFC000"/>
            <w:vAlign w:val="center"/>
          </w:tcPr>
          <w:p w:rsidR="0004341E" w:rsidRPr="00871101" w:rsidRDefault="0004341E" w:rsidP="00E377E6">
            <w:pPr>
              <w:jc w:val="center"/>
              <w:rPr>
                <w:rFonts w:cs="Arial"/>
                <w:i/>
                <w:color w:val="000000" w:themeColor="text1" w:themeShade="80"/>
                <w:szCs w:val="22"/>
              </w:rPr>
            </w:pPr>
            <w:r w:rsidRPr="00CE092F">
              <w:rPr>
                <w:rFonts w:cs="Arial"/>
                <w:color w:val="000000" w:themeColor="text1" w:themeShade="80"/>
                <w:sz w:val="20"/>
                <w:szCs w:val="22"/>
              </w:rPr>
              <w:t>CAT 3</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r>
      <w:tr w:rsidR="0004341E" w:rsidTr="0004341E">
        <w:trPr>
          <w:trHeight w:val="564"/>
        </w:trPr>
        <w:tc>
          <w:tcPr>
            <w:tcW w:w="1701" w:type="dxa"/>
            <w:shd w:val="clear" w:color="auto" w:fill="A6A6A6" w:themeFill="background1" w:themeFillShade="A6"/>
            <w:vAlign w:val="center"/>
          </w:tcPr>
          <w:p w:rsidR="0004341E" w:rsidRPr="00871101" w:rsidRDefault="0004341E" w:rsidP="00E377E6">
            <w:pPr>
              <w:jc w:val="center"/>
              <w:rPr>
                <w:rFonts w:ascii="Calibri" w:hAnsi="Calibri" w:cs="Calibri"/>
                <w:b/>
                <w:color w:val="FFFFFF" w:themeColor="background1"/>
                <w:szCs w:val="22"/>
              </w:rPr>
            </w:pPr>
            <w:r w:rsidRPr="00871101">
              <w:rPr>
                <w:rFonts w:ascii="Calibri" w:hAnsi="Calibri" w:cs="Calibri"/>
                <w:b/>
                <w:color w:val="FFFFFF" w:themeColor="background1"/>
                <w:szCs w:val="22"/>
              </w:rPr>
              <w:t>&gt; 4.9 m and ≤</w:t>
            </w:r>
            <w:r>
              <w:rPr>
                <w:rFonts w:ascii="Calibri" w:hAnsi="Calibri" w:cs="Calibri"/>
                <w:b/>
                <w:color w:val="FFFFFF" w:themeColor="background1"/>
                <w:szCs w:val="22"/>
              </w:rPr>
              <w:t> </w:t>
            </w:r>
            <w:r w:rsidRPr="00871101">
              <w:rPr>
                <w:rFonts w:ascii="Calibri" w:hAnsi="Calibri" w:cs="Calibri"/>
                <w:b/>
                <w:color w:val="FFFFFF" w:themeColor="background1"/>
                <w:szCs w:val="22"/>
              </w:rPr>
              <w:t>5.5 m</w:t>
            </w:r>
          </w:p>
        </w:tc>
        <w:tc>
          <w:tcPr>
            <w:tcW w:w="1531" w:type="dxa"/>
            <w:shd w:val="clear" w:color="auto" w:fill="FFC000"/>
            <w:vAlign w:val="center"/>
          </w:tcPr>
          <w:p w:rsidR="0004341E" w:rsidRPr="00CE092F" w:rsidRDefault="0004341E" w:rsidP="00E377E6">
            <w:pPr>
              <w:jc w:val="center"/>
              <w:rPr>
                <w:rFonts w:cs="Arial"/>
                <w:color w:val="000000" w:themeColor="text1" w:themeShade="80"/>
                <w:szCs w:val="22"/>
              </w:rPr>
            </w:pPr>
            <w:r w:rsidRPr="00CE092F">
              <w:rPr>
                <w:rFonts w:cs="Arial"/>
                <w:color w:val="000000" w:themeColor="text1" w:themeShade="80"/>
                <w:sz w:val="20"/>
                <w:szCs w:val="22"/>
              </w:rPr>
              <w:t>CAT 3</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c>
          <w:tcPr>
            <w:tcW w:w="1531" w:type="dxa"/>
            <w:shd w:val="clear" w:color="auto" w:fill="92D050"/>
            <w:vAlign w:val="center"/>
          </w:tcPr>
          <w:p w:rsidR="0004341E" w:rsidRPr="00871101" w:rsidRDefault="0004341E" w:rsidP="00E377E6">
            <w:pPr>
              <w:jc w:val="center"/>
              <w:rPr>
                <w:rFonts w:cs="Arial"/>
                <w:i/>
                <w:color w:val="000000" w:themeColor="text1" w:themeShade="80"/>
                <w:szCs w:val="22"/>
              </w:rPr>
            </w:pPr>
            <w:r w:rsidRPr="006F7168">
              <w:rPr>
                <w:rFonts w:cs="Arial"/>
                <w:sz w:val="20"/>
              </w:rPr>
              <w:t>No Defect</w:t>
            </w:r>
          </w:p>
        </w:tc>
      </w:tr>
    </w:tbl>
    <w:p w:rsidR="0004341E" w:rsidRDefault="0004341E" w:rsidP="0004341E">
      <w:pPr>
        <w:rPr>
          <w:rFonts w:cs="Arial"/>
          <w:szCs w:val="22"/>
        </w:rPr>
      </w:pPr>
    </w:p>
    <w:p w:rsidR="00913217" w:rsidRDefault="00871101" w:rsidP="00913217">
      <w:pPr>
        <w:pStyle w:val="Heading3"/>
      </w:pPr>
      <w:proofErr w:type="gramStart"/>
      <w:r w:rsidRPr="006E65B1">
        <w:t>LV  Bare</w:t>
      </w:r>
      <w:proofErr w:type="gramEnd"/>
      <w:r w:rsidRPr="006E65B1">
        <w:t xml:space="preserve"> / Insulated / Covered &amp; HV ABC</w:t>
      </w:r>
    </w:p>
    <w:p w:rsidR="001A3B12" w:rsidRPr="001F664A" w:rsidRDefault="001A3B12" w:rsidP="001F664A">
      <w:pPr>
        <w:keepNext/>
        <w:ind w:left="720"/>
        <w:rPr>
          <w:sz w:val="18"/>
        </w:rPr>
      </w:pPr>
      <w:r w:rsidRPr="001F664A">
        <w:rPr>
          <w:sz w:val="18"/>
        </w:rPr>
        <w:t xml:space="preserve">Figure </w:t>
      </w:r>
      <w:r w:rsidR="001F664A">
        <w:rPr>
          <w:sz w:val="18"/>
        </w:rPr>
        <w:t>7</w:t>
      </w:r>
      <w:r w:rsidRPr="001F664A">
        <w:rPr>
          <w:sz w:val="18"/>
        </w:rPr>
        <w:t xml:space="preserve"> – Defect Prioritisation – LV Bare / Insulated / Covered &amp; HV ABC Conductors</w:t>
      </w:r>
    </w:p>
    <w:p w:rsidR="001A3B12" w:rsidRPr="001A3B12" w:rsidRDefault="001A3B12" w:rsidP="001A3B12"/>
    <w:tbl>
      <w:tblPr>
        <w:tblW w:w="935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01"/>
        <w:gridCol w:w="1938"/>
        <w:gridCol w:w="1831"/>
        <w:gridCol w:w="1831"/>
        <w:gridCol w:w="2055"/>
      </w:tblGrid>
      <w:tr w:rsidR="00CE092F" w:rsidTr="0004341E">
        <w:trPr>
          <w:trHeight w:hRule="exact" w:val="1383"/>
        </w:trPr>
        <w:tc>
          <w:tcPr>
            <w:tcW w:w="1701" w:type="dxa"/>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bCs/>
                <w:color w:val="FFFFFF" w:themeColor="background1"/>
                <w:szCs w:val="22"/>
              </w:rPr>
              <w:t>Conductor Clearance</w:t>
            </w:r>
          </w:p>
        </w:tc>
        <w:tc>
          <w:tcPr>
            <w:tcW w:w="1938"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designated 4.6 m roads</w:t>
            </w:r>
          </w:p>
        </w:tc>
        <w:tc>
          <w:tcPr>
            <w:tcW w:w="1831"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all other roads</w:t>
            </w:r>
          </w:p>
        </w:tc>
        <w:tc>
          <w:tcPr>
            <w:tcW w:w="1831"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other than the carriageway of roads</w:t>
            </w:r>
          </w:p>
        </w:tc>
        <w:tc>
          <w:tcPr>
            <w:tcW w:w="2055"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which due to its steepness or swampiness is not traversable by vehicles</w:t>
            </w:r>
          </w:p>
        </w:tc>
      </w:tr>
      <w:tr w:rsidR="00CE092F" w:rsidTr="002635B4">
        <w:trPr>
          <w:trHeight w:val="498"/>
        </w:trPr>
        <w:tc>
          <w:tcPr>
            <w:tcW w:w="1701" w:type="dxa"/>
            <w:tcBorders>
              <w:bottom w:val="single" w:sz="8" w:space="0" w:color="FFFFFF" w:themeColor="background1"/>
            </w:tcBorders>
            <w:shd w:val="clear" w:color="auto" w:fill="A6A6A6" w:themeFill="background1" w:themeFillShade="A6"/>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 3.2 m</w:t>
            </w:r>
          </w:p>
        </w:tc>
        <w:tc>
          <w:tcPr>
            <w:tcW w:w="1938"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1831"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1831"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2055" w:type="dxa"/>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r>
      <w:tr w:rsidR="00CE092F" w:rsidTr="006F2B63">
        <w:trPr>
          <w:trHeight w:val="550"/>
        </w:trPr>
        <w:tc>
          <w:tcPr>
            <w:tcW w:w="1701" w:type="dxa"/>
            <w:shd w:val="clear" w:color="auto" w:fill="A6A6A6" w:themeFill="background1" w:themeFillShade="A6"/>
            <w:vAlign w:val="center"/>
          </w:tcPr>
          <w:p w:rsidR="00871101" w:rsidRPr="00871101" w:rsidRDefault="00CE092F" w:rsidP="00871101">
            <w:pPr>
              <w:jc w:val="center"/>
              <w:rPr>
                <w:rFonts w:ascii="Calibri" w:hAnsi="Calibri" w:cs="Calibri"/>
                <w:b/>
                <w:color w:val="FFFFFF" w:themeColor="background1"/>
                <w:szCs w:val="22"/>
              </w:rPr>
            </w:pPr>
            <w:r>
              <w:rPr>
                <w:rFonts w:ascii="Calibri" w:hAnsi="Calibri" w:cs="Calibri"/>
                <w:b/>
                <w:color w:val="FFFFFF" w:themeColor="background1"/>
                <w:szCs w:val="22"/>
              </w:rPr>
              <w:t>&gt; 3.2 m and ≤ 4.7 </w:t>
            </w:r>
            <w:r w:rsidR="00871101" w:rsidRPr="00871101">
              <w:rPr>
                <w:rFonts w:ascii="Calibri" w:hAnsi="Calibri" w:cs="Calibri"/>
                <w:b/>
                <w:color w:val="FFFFFF" w:themeColor="background1"/>
                <w:szCs w:val="22"/>
              </w:rPr>
              <w:t>m</w:t>
            </w:r>
          </w:p>
        </w:tc>
        <w:tc>
          <w:tcPr>
            <w:tcW w:w="1938"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1831"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1831" w:type="dxa"/>
            <w:tcBorders>
              <w:bottom w:val="single" w:sz="8" w:space="0" w:color="FFFFFF" w:themeColor="background1"/>
            </w:tcBorders>
            <w:shd w:val="clear" w:color="auto" w:fill="FF6600"/>
            <w:vAlign w:val="center"/>
          </w:tcPr>
          <w:p w:rsidR="00871101" w:rsidRPr="00871101" w:rsidRDefault="00871101" w:rsidP="00871101">
            <w:pPr>
              <w:jc w:val="center"/>
              <w:rPr>
                <w:rFonts w:cs="Arial"/>
                <w:i/>
                <w:color w:val="000000" w:themeColor="text1" w:themeShade="80"/>
                <w:szCs w:val="22"/>
              </w:rPr>
            </w:pPr>
            <w:r w:rsidRPr="003C578F">
              <w:rPr>
                <w:rFonts w:cs="Arial"/>
                <w:color w:val="FFFFFF" w:themeColor="background1"/>
                <w:sz w:val="20"/>
              </w:rPr>
              <w:t>CAT 2</w:t>
            </w:r>
          </w:p>
        </w:tc>
        <w:tc>
          <w:tcPr>
            <w:tcW w:w="2055" w:type="dxa"/>
            <w:shd w:val="clear" w:color="auto" w:fill="FFFF00"/>
            <w:vAlign w:val="center"/>
          </w:tcPr>
          <w:p w:rsidR="00481170" w:rsidRDefault="00481170" w:rsidP="00871101">
            <w:pPr>
              <w:jc w:val="center"/>
              <w:rPr>
                <w:rFonts w:cs="Arial"/>
                <w:i/>
                <w:color w:val="000000" w:themeColor="text1" w:themeShade="80"/>
                <w:sz w:val="14"/>
                <w:szCs w:val="14"/>
              </w:rPr>
            </w:pPr>
            <w:r w:rsidRPr="00CE092F">
              <w:rPr>
                <w:rFonts w:cs="Arial"/>
                <w:color w:val="000000" w:themeColor="text1" w:themeShade="80"/>
                <w:sz w:val="20"/>
                <w:szCs w:val="22"/>
              </w:rPr>
              <w:t xml:space="preserve">CAT </w:t>
            </w:r>
            <w:r>
              <w:rPr>
                <w:rFonts w:cs="Arial"/>
                <w:color w:val="000000" w:themeColor="text1" w:themeShade="80"/>
                <w:sz w:val="20"/>
                <w:szCs w:val="22"/>
              </w:rPr>
              <w:t>4</w:t>
            </w:r>
            <w:r w:rsidR="0063631D">
              <w:rPr>
                <w:rFonts w:cs="Arial"/>
                <w:i/>
                <w:color w:val="000000" w:themeColor="text1" w:themeShade="80"/>
                <w:sz w:val="14"/>
                <w:szCs w:val="14"/>
              </w:rPr>
              <w:t xml:space="preserve"> </w:t>
            </w:r>
          </w:p>
          <w:p w:rsidR="00871101" w:rsidRPr="00CE092F" w:rsidRDefault="00913217" w:rsidP="00871101">
            <w:pPr>
              <w:jc w:val="center"/>
              <w:rPr>
                <w:rFonts w:cs="Arial"/>
                <w:i/>
                <w:color w:val="000000" w:themeColor="text1" w:themeShade="80"/>
                <w:sz w:val="14"/>
                <w:szCs w:val="14"/>
              </w:rPr>
            </w:pPr>
            <w:r w:rsidRPr="00913217">
              <w:rPr>
                <w:rFonts w:cs="Arial"/>
                <w:i/>
                <w:color w:val="000000" w:themeColor="text1" w:themeShade="80"/>
                <w:sz w:val="14"/>
                <w:szCs w:val="14"/>
              </w:rPr>
              <w:t>(Min. Clearance 4.5 m)</w:t>
            </w:r>
          </w:p>
        </w:tc>
      </w:tr>
      <w:tr w:rsidR="00CE092F" w:rsidTr="006F2B63">
        <w:trPr>
          <w:trHeight w:val="528"/>
        </w:trPr>
        <w:tc>
          <w:tcPr>
            <w:tcW w:w="1701"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4.7 m and ≤</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5.0</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m</w:t>
            </w:r>
          </w:p>
        </w:tc>
        <w:tc>
          <w:tcPr>
            <w:tcW w:w="1938" w:type="dxa"/>
            <w:shd w:val="clear" w:color="auto" w:fill="FF0000"/>
            <w:vAlign w:val="center"/>
          </w:tcPr>
          <w:p w:rsidR="00871101" w:rsidRPr="00871101" w:rsidRDefault="00871101" w:rsidP="00871101">
            <w:pPr>
              <w:jc w:val="center"/>
              <w:rPr>
                <w:rFonts w:cs="Arial"/>
                <w:i/>
                <w:color w:val="000000" w:themeColor="text1" w:themeShade="80"/>
                <w:szCs w:val="22"/>
              </w:rPr>
            </w:pPr>
            <w:r>
              <w:rPr>
                <w:rFonts w:cs="Arial"/>
                <w:color w:val="FFFFFF" w:themeColor="background1"/>
                <w:sz w:val="20"/>
              </w:rPr>
              <w:t>CAT 1</w:t>
            </w:r>
          </w:p>
        </w:tc>
        <w:tc>
          <w:tcPr>
            <w:tcW w:w="1831" w:type="dxa"/>
            <w:shd w:val="clear" w:color="auto" w:fill="FFC000"/>
            <w:vAlign w:val="center"/>
          </w:tcPr>
          <w:p w:rsidR="00871101" w:rsidRPr="00871101" w:rsidRDefault="00481170"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31" w:type="dxa"/>
            <w:shd w:val="clear" w:color="auto" w:fill="FFC000"/>
            <w:vAlign w:val="center"/>
          </w:tcPr>
          <w:p w:rsidR="00871101" w:rsidRPr="00871101" w:rsidRDefault="00481170"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2055" w:type="dxa"/>
            <w:shd w:val="clear" w:color="auto" w:fill="FFFF00"/>
            <w:vAlign w:val="center"/>
          </w:tcPr>
          <w:p w:rsidR="00481170" w:rsidRDefault="00481170" w:rsidP="00871101">
            <w:pPr>
              <w:jc w:val="center"/>
              <w:rPr>
                <w:rFonts w:cs="Arial"/>
                <w:i/>
                <w:color w:val="000000" w:themeColor="text1" w:themeShade="80"/>
                <w:sz w:val="14"/>
                <w:szCs w:val="14"/>
              </w:rPr>
            </w:pPr>
            <w:r w:rsidRPr="00CE092F">
              <w:rPr>
                <w:rFonts w:cs="Arial"/>
                <w:color w:val="000000" w:themeColor="text1" w:themeShade="80"/>
                <w:sz w:val="20"/>
                <w:szCs w:val="22"/>
              </w:rPr>
              <w:t xml:space="preserve">CAT </w:t>
            </w:r>
            <w:r>
              <w:rPr>
                <w:rFonts w:cs="Arial"/>
                <w:color w:val="000000" w:themeColor="text1" w:themeShade="80"/>
                <w:sz w:val="20"/>
                <w:szCs w:val="22"/>
              </w:rPr>
              <w:t>4</w:t>
            </w:r>
            <w:r w:rsidR="0063631D">
              <w:rPr>
                <w:rFonts w:cs="Arial"/>
                <w:i/>
                <w:color w:val="000000" w:themeColor="text1" w:themeShade="80"/>
                <w:sz w:val="14"/>
                <w:szCs w:val="14"/>
              </w:rPr>
              <w:t xml:space="preserve"> </w:t>
            </w:r>
          </w:p>
          <w:p w:rsidR="00871101" w:rsidRPr="00CE092F" w:rsidRDefault="00913217" w:rsidP="00871101">
            <w:pPr>
              <w:jc w:val="center"/>
              <w:rPr>
                <w:rFonts w:cs="Arial"/>
                <w:i/>
                <w:color w:val="000000" w:themeColor="text1" w:themeShade="80"/>
                <w:sz w:val="14"/>
                <w:szCs w:val="14"/>
              </w:rPr>
            </w:pPr>
            <w:r w:rsidRPr="00913217">
              <w:rPr>
                <w:rFonts w:cs="Arial"/>
                <w:i/>
                <w:color w:val="000000" w:themeColor="text1" w:themeShade="80"/>
                <w:sz w:val="14"/>
                <w:szCs w:val="14"/>
              </w:rPr>
              <w:t>(Min. Clearance 4.5 m)</w:t>
            </w:r>
          </w:p>
        </w:tc>
      </w:tr>
      <w:tr w:rsidR="00CE092F" w:rsidTr="0004341E">
        <w:trPr>
          <w:trHeight w:val="564"/>
        </w:trPr>
        <w:tc>
          <w:tcPr>
            <w:tcW w:w="1701"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5.0 m and &lt;</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5.5</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m</w:t>
            </w:r>
          </w:p>
        </w:tc>
        <w:tc>
          <w:tcPr>
            <w:tcW w:w="1938" w:type="dxa"/>
            <w:shd w:val="clear" w:color="auto" w:fill="FF6600"/>
            <w:vAlign w:val="center"/>
          </w:tcPr>
          <w:p w:rsidR="00871101" w:rsidRPr="00871101" w:rsidRDefault="00871101" w:rsidP="00871101">
            <w:pPr>
              <w:jc w:val="center"/>
              <w:rPr>
                <w:rFonts w:cs="Arial"/>
                <w:i/>
                <w:color w:val="000000" w:themeColor="text1" w:themeShade="80"/>
                <w:szCs w:val="22"/>
              </w:rPr>
            </w:pPr>
            <w:r w:rsidRPr="003C578F">
              <w:rPr>
                <w:rFonts w:cs="Arial"/>
                <w:color w:val="FFFFFF" w:themeColor="background1"/>
                <w:sz w:val="20"/>
              </w:rPr>
              <w:t>CAT 2</w:t>
            </w:r>
          </w:p>
        </w:tc>
        <w:tc>
          <w:tcPr>
            <w:tcW w:w="1831" w:type="dxa"/>
            <w:shd w:val="clear" w:color="auto" w:fill="FFC000"/>
            <w:vAlign w:val="center"/>
          </w:tcPr>
          <w:p w:rsidR="00871101" w:rsidRPr="00871101" w:rsidRDefault="00481170"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31" w:type="dxa"/>
            <w:shd w:val="clear" w:color="auto" w:fill="FFC000"/>
            <w:vAlign w:val="center"/>
          </w:tcPr>
          <w:p w:rsidR="00871101" w:rsidRPr="00871101" w:rsidRDefault="00481170"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2055" w:type="dxa"/>
            <w:shd w:val="clear" w:color="auto" w:fill="92D050"/>
            <w:vAlign w:val="center"/>
          </w:tcPr>
          <w:p w:rsidR="00871101" w:rsidRPr="00871101" w:rsidRDefault="00CE092F" w:rsidP="00871101">
            <w:pPr>
              <w:jc w:val="center"/>
              <w:rPr>
                <w:rFonts w:cs="Arial"/>
                <w:i/>
                <w:color w:val="000000" w:themeColor="text1" w:themeShade="80"/>
                <w:szCs w:val="22"/>
              </w:rPr>
            </w:pPr>
            <w:r w:rsidRPr="006F7168">
              <w:rPr>
                <w:rFonts w:cs="Arial"/>
                <w:sz w:val="20"/>
              </w:rPr>
              <w:t>No Defect</w:t>
            </w:r>
          </w:p>
        </w:tc>
      </w:tr>
    </w:tbl>
    <w:p w:rsidR="00871101" w:rsidRDefault="00871101" w:rsidP="00871101">
      <w:pPr>
        <w:rPr>
          <w:rFonts w:cs="Arial"/>
          <w:szCs w:val="22"/>
        </w:rPr>
      </w:pPr>
    </w:p>
    <w:p w:rsidR="00913217" w:rsidRDefault="0004341E" w:rsidP="00C170C8">
      <w:pPr>
        <w:pStyle w:val="Heading3"/>
      </w:pPr>
      <w:r>
        <w:rPr>
          <w:rFonts w:cs="Arial"/>
          <w:szCs w:val="22"/>
        </w:rPr>
        <w:br w:type="page"/>
      </w:r>
      <w:r w:rsidR="00871101">
        <w:t xml:space="preserve">11, 22 or 33 kV </w:t>
      </w:r>
      <w:r w:rsidR="00871101" w:rsidRPr="006E65B1">
        <w:t>Bare Conductor or CCT</w:t>
      </w:r>
      <w:r w:rsidR="00871101">
        <w:t xml:space="preserve"> </w:t>
      </w:r>
    </w:p>
    <w:p w:rsidR="001A3B12" w:rsidRPr="001F664A" w:rsidRDefault="001A3B12" w:rsidP="001F664A">
      <w:pPr>
        <w:ind w:left="720"/>
        <w:rPr>
          <w:sz w:val="18"/>
        </w:rPr>
      </w:pPr>
      <w:r w:rsidRPr="001F664A">
        <w:rPr>
          <w:sz w:val="18"/>
        </w:rPr>
        <w:t xml:space="preserve">Figure </w:t>
      </w:r>
      <w:r w:rsidR="001F664A">
        <w:rPr>
          <w:sz w:val="18"/>
        </w:rPr>
        <w:t>8</w:t>
      </w:r>
      <w:r w:rsidRPr="001F664A">
        <w:rPr>
          <w:sz w:val="18"/>
        </w:rPr>
        <w:t xml:space="preserve"> – Defect Prioritisation – 11</w:t>
      </w:r>
      <w:proofErr w:type="gramStart"/>
      <w:r w:rsidRPr="001F664A">
        <w:rPr>
          <w:sz w:val="18"/>
        </w:rPr>
        <w:t>,22</w:t>
      </w:r>
      <w:proofErr w:type="gramEnd"/>
      <w:r w:rsidRPr="001F664A">
        <w:rPr>
          <w:sz w:val="18"/>
        </w:rPr>
        <w:t xml:space="preserve"> or 33kV Bare Conductors or CCT</w:t>
      </w:r>
    </w:p>
    <w:p w:rsidR="001A3B12" w:rsidRPr="001A3B12" w:rsidRDefault="001A3B12" w:rsidP="001A3B12"/>
    <w:tbl>
      <w:tblPr>
        <w:tblW w:w="935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701"/>
        <w:gridCol w:w="1913"/>
        <w:gridCol w:w="1914"/>
        <w:gridCol w:w="1914"/>
        <w:gridCol w:w="1914"/>
      </w:tblGrid>
      <w:tr w:rsidR="0004341E" w:rsidTr="0004341E">
        <w:trPr>
          <w:trHeight w:hRule="exact" w:val="1383"/>
        </w:trPr>
        <w:tc>
          <w:tcPr>
            <w:tcW w:w="1701" w:type="dxa"/>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bCs/>
                <w:color w:val="FFFFFF" w:themeColor="background1"/>
                <w:szCs w:val="22"/>
              </w:rPr>
              <w:t>Conductor Clearance</w:t>
            </w:r>
          </w:p>
        </w:tc>
        <w:tc>
          <w:tcPr>
            <w:tcW w:w="1913"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designated 4.6 m roads</w:t>
            </w:r>
          </w:p>
        </w:tc>
        <w:tc>
          <w:tcPr>
            <w:tcW w:w="1914"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all other roads</w:t>
            </w:r>
          </w:p>
        </w:tc>
        <w:tc>
          <w:tcPr>
            <w:tcW w:w="1914"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other than the carriageway of roads</w:t>
            </w:r>
          </w:p>
        </w:tc>
        <w:tc>
          <w:tcPr>
            <w:tcW w:w="1914"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which due to its steepness or swampiness is not traversable by vehicles</w:t>
            </w:r>
          </w:p>
        </w:tc>
      </w:tr>
      <w:tr w:rsidR="0004341E" w:rsidTr="002635B4">
        <w:trPr>
          <w:trHeight w:val="498"/>
        </w:trPr>
        <w:tc>
          <w:tcPr>
            <w:tcW w:w="1701" w:type="dxa"/>
            <w:tcBorders>
              <w:bottom w:val="single" w:sz="8" w:space="0" w:color="FFFFFF" w:themeColor="background1"/>
            </w:tcBorders>
            <w:shd w:val="clear" w:color="auto" w:fill="A6A6A6" w:themeFill="background1" w:themeFillShade="A6"/>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 3.3 m</w:t>
            </w:r>
          </w:p>
        </w:tc>
        <w:tc>
          <w:tcPr>
            <w:tcW w:w="1913"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r>
      <w:tr w:rsidR="00CE092F" w:rsidTr="002635B4">
        <w:trPr>
          <w:trHeight w:val="550"/>
        </w:trPr>
        <w:tc>
          <w:tcPr>
            <w:tcW w:w="1701"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3.3 m and ≤</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5.1 m</w:t>
            </w:r>
          </w:p>
        </w:tc>
        <w:tc>
          <w:tcPr>
            <w:tcW w:w="1913" w:type="dxa"/>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shd w:val="clear" w:color="auto" w:fill="FF6600"/>
            <w:vAlign w:val="center"/>
          </w:tcPr>
          <w:p w:rsidR="00871101" w:rsidRPr="00871101" w:rsidRDefault="00871101" w:rsidP="00871101">
            <w:pPr>
              <w:jc w:val="center"/>
              <w:rPr>
                <w:rFonts w:cs="Arial"/>
                <w:i/>
                <w:color w:val="000000" w:themeColor="text1" w:themeShade="80"/>
                <w:szCs w:val="22"/>
              </w:rPr>
            </w:pPr>
            <w:r w:rsidRPr="003C578F">
              <w:rPr>
                <w:rFonts w:cs="Arial"/>
                <w:color w:val="FFFFFF" w:themeColor="background1"/>
                <w:sz w:val="20"/>
              </w:rPr>
              <w:t>CAT 2</w:t>
            </w:r>
          </w:p>
        </w:tc>
        <w:tc>
          <w:tcPr>
            <w:tcW w:w="1914"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 xml:space="preserve">CAT </w:t>
            </w:r>
            <w:r w:rsidR="000556A3">
              <w:rPr>
                <w:rFonts w:cs="Arial"/>
                <w:color w:val="000000" w:themeColor="text1" w:themeShade="80"/>
                <w:sz w:val="20"/>
                <w:szCs w:val="22"/>
              </w:rPr>
              <w:t>3</w:t>
            </w:r>
          </w:p>
          <w:p w:rsidR="00871101" w:rsidRPr="00871101" w:rsidRDefault="00913217" w:rsidP="00871101">
            <w:pPr>
              <w:jc w:val="center"/>
              <w:rPr>
                <w:rFonts w:cs="Arial"/>
                <w:i/>
                <w:color w:val="000000" w:themeColor="text1" w:themeShade="80"/>
                <w:sz w:val="14"/>
                <w:szCs w:val="14"/>
              </w:rPr>
            </w:pPr>
            <w:r w:rsidRPr="00913217">
              <w:rPr>
                <w:rFonts w:cs="Arial"/>
                <w:i/>
                <w:color w:val="000000" w:themeColor="text1" w:themeShade="80"/>
                <w:sz w:val="14"/>
                <w:szCs w:val="14"/>
              </w:rPr>
              <w:t>(Min. Clearance 4.5 m)</w:t>
            </w:r>
          </w:p>
        </w:tc>
      </w:tr>
      <w:tr w:rsidR="00CE092F" w:rsidTr="0004341E">
        <w:trPr>
          <w:trHeight w:val="528"/>
        </w:trPr>
        <w:tc>
          <w:tcPr>
            <w:tcW w:w="1701"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5.1 m and ≤</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5.4 m</w:t>
            </w:r>
          </w:p>
        </w:tc>
        <w:tc>
          <w:tcPr>
            <w:tcW w:w="1913" w:type="dxa"/>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914"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914"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914" w:type="dxa"/>
            <w:shd w:val="clear" w:color="auto" w:fill="FFFF00"/>
            <w:vAlign w:val="center"/>
          </w:tcPr>
          <w:p w:rsidR="00871101" w:rsidRPr="00871101" w:rsidRDefault="00CE092F" w:rsidP="00E377E6">
            <w:pPr>
              <w:jc w:val="center"/>
              <w:rPr>
                <w:rFonts w:cs="Arial"/>
                <w:i/>
                <w:color w:val="000000" w:themeColor="text1" w:themeShade="80"/>
                <w:szCs w:val="22"/>
              </w:rPr>
            </w:pPr>
            <w:r w:rsidRPr="00CE092F">
              <w:rPr>
                <w:rFonts w:cs="Arial"/>
                <w:color w:val="000000" w:themeColor="text1" w:themeShade="80"/>
                <w:sz w:val="20"/>
                <w:szCs w:val="22"/>
              </w:rPr>
              <w:t xml:space="preserve">CAT </w:t>
            </w:r>
            <w:r>
              <w:rPr>
                <w:rFonts w:cs="Arial"/>
                <w:color w:val="000000" w:themeColor="text1" w:themeShade="80"/>
                <w:sz w:val="20"/>
                <w:szCs w:val="22"/>
              </w:rPr>
              <w:t>4</w:t>
            </w:r>
          </w:p>
          <w:p w:rsidR="00871101" w:rsidRPr="00871101" w:rsidRDefault="00871101" w:rsidP="00871101">
            <w:pPr>
              <w:jc w:val="center"/>
              <w:rPr>
                <w:rFonts w:cs="Arial"/>
                <w:i/>
                <w:color w:val="000000" w:themeColor="text1" w:themeShade="80"/>
                <w:szCs w:val="22"/>
              </w:rPr>
            </w:pPr>
            <w:r w:rsidRPr="00871101">
              <w:rPr>
                <w:rFonts w:cs="Arial"/>
                <w:i/>
                <w:color w:val="000000" w:themeColor="text1" w:themeShade="80"/>
                <w:sz w:val="14"/>
                <w:szCs w:val="14"/>
              </w:rPr>
              <w:t>(Min. Clearance 4.5 m)</w:t>
            </w:r>
          </w:p>
        </w:tc>
      </w:tr>
      <w:tr w:rsidR="0004341E" w:rsidTr="0004341E">
        <w:trPr>
          <w:trHeight w:val="564"/>
        </w:trPr>
        <w:tc>
          <w:tcPr>
            <w:tcW w:w="1701"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5.4 m and &lt;</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6.7 m</w:t>
            </w:r>
          </w:p>
        </w:tc>
        <w:tc>
          <w:tcPr>
            <w:tcW w:w="1913" w:type="dxa"/>
            <w:shd w:val="clear" w:color="auto" w:fill="FF6600"/>
            <w:vAlign w:val="center"/>
          </w:tcPr>
          <w:p w:rsidR="00871101" w:rsidRPr="00871101" w:rsidRDefault="00871101" w:rsidP="00871101">
            <w:pPr>
              <w:jc w:val="center"/>
              <w:rPr>
                <w:rFonts w:cs="Arial"/>
                <w:i/>
                <w:color w:val="000000" w:themeColor="text1" w:themeShade="80"/>
                <w:szCs w:val="22"/>
              </w:rPr>
            </w:pPr>
            <w:r w:rsidRPr="003C578F">
              <w:rPr>
                <w:rFonts w:cs="Arial"/>
                <w:color w:val="FFFFFF" w:themeColor="background1"/>
                <w:sz w:val="20"/>
              </w:rPr>
              <w:t>CAT 2</w:t>
            </w:r>
          </w:p>
        </w:tc>
        <w:tc>
          <w:tcPr>
            <w:tcW w:w="1914"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914"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r w:rsidR="00871101" w:rsidRPr="00871101">
              <w:rPr>
                <w:rFonts w:cs="Arial"/>
                <w:i/>
                <w:color w:val="000000" w:themeColor="text1" w:themeShade="80"/>
                <w:szCs w:val="22"/>
              </w:rPr>
              <w:t xml:space="preserve"> </w:t>
            </w:r>
            <w:r w:rsidR="00871101">
              <w:rPr>
                <w:rFonts w:cs="Arial"/>
                <w:i/>
                <w:color w:val="000000" w:themeColor="text1" w:themeShade="80"/>
                <w:szCs w:val="22"/>
              </w:rPr>
              <w:br/>
            </w:r>
            <w:r w:rsidR="00913217" w:rsidRPr="00913217">
              <w:rPr>
                <w:rFonts w:cs="Arial"/>
                <w:i/>
                <w:color w:val="000000" w:themeColor="text1" w:themeShade="80"/>
                <w:sz w:val="14"/>
                <w:szCs w:val="22"/>
              </w:rPr>
              <w:t>(Min. Clearance 5.5 m)</w:t>
            </w:r>
          </w:p>
        </w:tc>
        <w:tc>
          <w:tcPr>
            <w:tcW w:w="1914" w:type="dxa"/>
            <w:shd w:val="clear" w:color="auto" w:fill="92D050"/>
            <w:vAlign w:val="center"/>
          </w:tcPr>
          <w:p w:rsidR="00871101" w:rsidRPr="00871101" w:rsidRDefault="00CE092F" w:rsidP="00871101">
            <w:pPr>
              <w:jc w:val="center"/>
              <w:rPr>
                <w:rFonts w:cs="Arial"/>
                <w:i/>
                <w:color w:val="000000" w:themeColor="text1" w:themeShade="80"/>
                <w:szCs w:val="22"/>
              </w:rPr>
            </w:pPr>
            <w:r w:rsidRPr="006F7168">
              <w:rPr>
                <w:rFonts w:cs="Arial"/>
                <w:sz w:val="20"/>
              </w:rPr>
              <w:t>No Defect</w:t>
            </w:r>
          </w:p>
        </w:tc>
      </w:tr>
    </w:tbl>
    <w:p w:rsidR="00871101" w:rsidRDefault="00871101" w:rsidP="00871101">
      <w:pPr>
        <w:rPr>
          <w:rFonts w:cs="Arial"/>
          <w:szCs w:val="22"/>
        </w:rPr>
      </w:pPr>
    </w:p>
    <w:p w:rsidR="00913217" w:rsidRDefault="00871101" w:rsidP="00913217">
      <w:pPr>
        <w:pStyle w:val="Heading3"/>
      </w:pPr>
      <w:r>
        <w:t xml:space="preserve">66 or 132 kV </w:t>
      </w:r>
      <w:r w:rsidRPr="006E65B1">
        <w:t>Bare Conductor</w:t>
      </w:r>
      <w:r>
        <w:t xml:space="preserve"> </w:t>
      </w:r>
    </w:p>
    <w:p w:rsidR="001A3B12" w:rsidRPr="001F664A" w:rsidRDefault="001A3B12" w:rsidP="001F664A">
      <w:pPr>
        <w:keepNext/>
        <w:ind w:left="720"/>
        <w:rPr>
          <w:sz w:val="18"/>
        </w:rPr>
      </w:pPr>
      <w:r w:rsidRPr="001F664A">
        <w:rPr>
          <w:sz w:val="18"/>
        </w:rPr>
        <w:t xml:space="preserve">Figure </w:t>
      </w:r>
      <w:r w:rsidR="001F664A">
        <w:rPr>
          <w:sz w:val="18"/>
        </w:rPr>
        <w:t>9</w:t>
      </w:r>
      <w:r w:rsidRPr="001F664A">
        <w:rPr>
          <w:sz w:val="18"/>
        </w:rPr>
        <w:t xml:space="preserve"> – Defect Prioritisation – 66 or 132 kV Bare Conductor</w:t>
      </w:r>
    </w:p>
    <w:p w:rsidR="001A3B12" w:rsidRPr="001A3B12" w:rsidRDefault="001A3B12" w:rsidP="001A3B12"/>
    <w:tbl>
      <w:tblPr>
        <w:tblW w:w="935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809"/>
        <w:gridCol w:w="1886"/>
        <w:gridCol w:w="1887"/>
        <w:gridCol w:w="1887"/>
        <w:gridCol w:w="1887"/>
      </w:tblGrid>
      <w:tr w:rsidR="0004341E" w:rsidTr="0004341E">
        <w:trPr>
          <w:trHeight w:hRule="exact" w:val="1383"/>
        </w:trPr>
        <w:tc>
          <w:tcPr>
            <w:tcW w:w="1809" w:type="dxa"/>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bCs/>
                <w:color w:val="FFFFFF" w:themeColor="background1"/>
                <w:szCs w:val="22"/>
              </w:rPr>
              <w:t>Conductor Clearance</w:t>
            </w:r>
          </w:p>
        </w:tc>
        <w:tc>
          <w:tcPr>
            <w:tcW w:w="1886"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designated 4.6 m roads</w:t>
            </w:r>
          </w:p>
        </w:tc>
        <w:tc>
          <w:tcPr>
            <w:tcW w:w="1887"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the carriageway of all other roads</w:t>
            </w:r>
          </w:p>
        </w:tc>
        <w:tc>
          <w:tcPr>
            <w:tcW w:w="1887"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other than the carriageway of roads</w:t>
            </w:r>
          </w:p>
        </w:tc>
        <w:tc>
          <w:tcPr>
            <w:tcW w:w="1887" w:type="dxa"/>
            <w:shd w:val="clear" w:color="auto" w:fill="A6A6A6" w:themeFill="background1" w:themeFillShade="A6"/>
            <w:vAlign w:val="center"/>
          </w:tcPr>
          <w:p w:rsidR="00871101" w:rsidRPr="0004341E" w:rsidRDefault="00913217" w:rsidP="00871101">
            <w:pPr>
              <w:jc w:val="center"/>
              <w:rPr>
                <w:rFonts w:ascii="Calibri" w:hAnsi="Calibri" w:cs="Calibri"/>
                <w:b/>
                <w:bCs/>
                <w:color w:val="FFFFFF" w:themeColor="background1"/>
                <w:sz w:val="20"/>
                <w:szCs w:val="22"/>
              </w:rPr>
            </w:pPr>
            <w:r w:rsidRPr="00913217">
              <w:rPr>
                <w:rFonts w:ascii="Calibri" w:hAnsi="Calibri" w:cs="Calibri"/>
                <w:b/>
                <w:bCs/>
                <w:color w:val="FFFFFF" w:themeColor="background1"/>
                <w:sz w:val="20"/>
                <w:szCs w:val="22"/>
              </w:rPr>
              <w:t>Over land which due to its steepness or swampiness is not traversable by vehicles</w:t>
            </w:r>
          </w:p>
        </w:tc>
      </w:tr>
      <w:tr w:rsidR="00CE092F" w:rsidTr="002635B4">
        <w:trPr>
          <w:trHeight w:val="498"/>
        </w:trPr>
        <w:tc>
          <w:tcPr>
            <w:tcW w:w="1809" w:type="dxa"/>
            <w:tcBorders>
              <w:bottom w:val="single" w:sz="8" w:space="0" w:color="FFFFFF" w:themeColor="background1"/>
            </w:tcBorders>
            <w:shd w:val="clear" w:color="auto" w:fill="A6A6A6" w:themeFill="background1" w:themeFillShade="A6"/>
            <w:vAlign w:val="center"/>
          </w:tcPr>
          <w:p w:rsidR="00871101" w:rsidRPr="00871101" w:rsidRDefault="00871101" w:rsidP="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 3.6 m</w:t>
            </w:r>
          </w:p>
        </w:tc>
        <w:tc>
          <w:tcPr>
            <w:tcW w:w="1886"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r>
      <w:tr w:rsidR="00871101" w:rsidTr="002635B4">
        <w:trPr>
          <w:trHeight w:val="550"/>
        </w:trPr>
        <w:tc>
          <w:tcPr>
            <w:tcW w:w="1809"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3.6 m and ≤</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5.7</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m</w:t>
            </w:r>
          </w:p>
        </w:tc>
        <w:tc>
          <w:tcPr>
            <w:tcW w:w="1886"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shd w:val="clear" w:color="auto" w:fill="FF6600"/>
            <w:vAlign w:val="center"/>
          </w:tcPr>
          <w:p w:rsidR="00871101" w:rsidRPr="00871101" w:rsidRDefault="00871101" w:rsidP="00871101">
            <w:pPr>
              <w:jc w:val="center"/>
              <w:rPr>
                <w:rFonts w:cs="Arial"/>
                <w:i/>
                <w:color w:val="000000" w:themeColor="text1" w:themeShade="80"/>
                <w:szCs w:val="22"/>
              </w:rPr>
            </w:pPr>
            <w:r w:rsidRPr="003C578F">
              <w:rPr>
                <w:rFonts w:cs="Arial"/>
                <w:color w:val="FFFFFF" w:themeColor="background1"/>
                <w:sz w:val="20"/>
              </w:rPr>
              <w:t>CAT 2</w:t>
            </w:r>
          </w:p>
        </w:tc>
        <w:tc>
          <w:tcPr>
            <w:tcW w:w="1887" w:type="dxa"/>
            <w:shd w:val="clear" w:color="auto" w:fill="FFC000"/>
            <w:vAlign w:val="center"/>
          </w:tcPr>
          <w:p w:rsidR="00913217" w:rsidRPr="00913217" w:rsidRDefault="00CE092F">
            <w:pPr>
              <w:jc w:val="center"/>
              <w:rPr>
                <w:rFonts w:cs="Arial"/>
                <w:i/>
                <w:color w:val="000000" w:themeColor="text1" w:themeShade="80"/>
                <w:sz w:val="14"/>
                <w:szCs w:val="14"/>
              </w:rPr>
            </w:pPr>
            <w:r w:rsidRPr="00CE092F">
              <w:rPr>
                <w:rFonts w:cs="Arial"/>
                <w:color w:val="000000" w:themeColor="text1" w:themeShade="80"/>
                <w:sz w:val="20"/>
                <w:szCs w:val="22"/>
              </w:rPr>
              <w:t xml:space="preserve">CAT </w:t>
            </w:r>
            <w:r w:rsidR="000556A3">
              <w:rPr>
                <w:rFonts w:cs="Arial"/>
                <w:color w:val="000000" w:themeColor="text1" w:themeShade="80"/>
                <w:sz w:val="20"/>
                <w:szCs w:val="22"/>
              </w:rPr>
              <w:t>3</w:t>
            </w:r>
            <w:r>
              <w:rPr>
                <w:rFonts w:cs="Arial"/>
                <w:i/>
                <w:color w:val="000000" w:themeColor="text1" w:themeShade="80"/>
                <w:sz w:val="14"/>
                <w:szCs w:val="14"/>
              </w:rPr>
              <w:br/>
            </w:r>
            <w:r w:rsidR="00913217" w:rsidRPr="00913217">
              <w:rPr>
                <w:rFonts w:cs="Arial"/>
                <w:i/>
                <w:color w:val="000000" w:themeColor="text1" w:themeShade="80"/>
                <w:sz w:val="14"/>
                <w:szCs w:val="14"/>
              </w:rPr>
              <w:t>(Min. Clearance 5.5 m)</w:t>
            </w:r>
          </w:p>
        </w:tc>
      </w:tr>
      <w:tr w:rsidR="00CE092F" w:rsidTr="00F765CE">
        <w:trPr>
          <w:trHeight w:val="528"/>
        </w:trPr>
        <w:tc>
          <w:tcPr>
            <w:tcW w:w="1809"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5.7 m and ≤</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6.0</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m</w:t>
            </w:r>
          </w:p>
        </w:tc>
        <w:tc>
          <w:tcPr>
            <w:tcW w:w="1886" w:type="dxa"/>
            <w:tcBorders>
              <w:bottom w:val="single" w:sz="8" w:space="0" w:color="FFFFFF" w:themeColor="background1"/>
            </w:tcBorders>
            <w:shd w:val="clear" w:color="auto" w:fill="FF00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CAT 1</w:t>
            </w:r>
          </w:p>
        </w:tc>
        <w:tc>
          <w:tcPr>
            <w:tcW w:w="1887"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87"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87" w:type="dxa"/>
            <w:shd w:val="clear" w:color="auto" w:fill="FFFF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 xml:space="preserve">CAT </w:t>
            </w:r>
            <w:r>
              <w:rPr>
                <w:rFonts w:cs="Arial"/>
                <w:color w:val="000000" w:themeColor="text1" w:themeShade="80"/>
                <w:sz w:val="20"/>
                <w:szCs w:val="22"/>
              </w:rPr>
              <w:t>4</w:t>
            </w:r>
          </w:p>
          <w:p w:rsidR="00871101" w:rsidRPr="00CE092F" w:rsidRDefault="00913217" w:rsidP="00871101">
            <w:pPr>
              <w:jc w:val="center"/>
              <w:rPr>
                <w:rFonts w:cs="Arial"/>
                <w:i/>
                <w:color w:val="000000" w:themeColor="text1" w:themeShade="80"/>
                <w:sz w:val="14"/>
                <w:szCs w:val="14"/>
              </w:rPr>
            </w:pPr>
            <w:r w:rsidRPr="00913217">
              <w:rPr>
                <w:rFonts w:cs="Arial"/>
                <w:i/>
                <w:color w:val="000000" w:themeColor="text1" w:themeShade="80"/>
                <w:sz w:val="14"/>
                <w:szCs w:val="14"/>
              </w:rPr>
              <w:t>(Min. Clearance 5.5 m)</w:t>
            </w:r>
          </w:p>
        </w:tc>
      </w:tr>
      <w:tr w:rsidR="0004341E" w:rsidTr="0004341E">
        <w:trPr>
          <w:trHeight w:val="564"/>
        </w:trPr>
        <w:tc>
          <w:tcPr>
            <w:tcW w:w="1809" w:type="dxa"/>
            <w:shd w:val="clear" w:color="auto" w:fill="A6A6A6" w:themeFill="background1" w:themeFillShade="A6"/>
            <w:vAlign w:val="center"/>
          </w:tcPr>
          <w:p w:rsidR="00DD4627" w:rsidRDefault="00871101">
            <w:pPr>
              <w:jc w:val="center"/>
              <w:rPr>
                <w:rFonts w:ascii="Calibri" w:hAnsi="Calibri" w:cs="Calibri"/>
                <w:b/>
                <w:color w:val="FFFFFF" w:themeColor="background1"/>
                <w:szCs w:val="22"/>
              </w:rPr>
            </w:pPr>
            <w:r w:rsidRPr="00871101">
              <w:rPr>
                <w:rFonts w:ascii="Calibri" w:hAnsi="Calibri" w:cs="Calibri"/>
                <w:b/>
                <w:color w:val="FFFFFF" w:themeColor="background1"/>
                <w:szCs w:val="22"/>
              </w:rPr>
              <w:t>&gt; 6.0 m and &lt;</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6.7</w:t>
            </w:r>
            <w:r w:rsidR="00CE092F">
              <w:rPr>
                <w:rFonts w:ascii="Calibri" w:hAnsi="Calibri" w:cs="Calibri"/>
                <w:b/>
                <w:color w:val="FFFFFF" w:themeColor="background1"/>
                <w:szCs w:val="22"/>
              </w:rPr>
              <w:t> </w:t>
            </w:r>
            <w:r w:rsidRPr="00871101">
              <w:rPr>
                <w:rFonts w:ascii="Calibri" w:hAnsi="Calibri" w:cs="Calibri"/>
                <w:b/>
                <w:color w:val="FFFFFF" w:themeColor="background1"/>
                <w:szCs w:val="22"/>
              </w:rPr>
              <w:t>m</w:t>
            </w:r>
          </w:p>
        </w:tc>
        <w:tc>
          <w:tcPr>
            <w:tcW w:w="1886" w:type="dxa"/>
            <w:shd w:val="clear" w:color="auto" w:fill="FF6600"/>
            <w:vAlign w:val="center"/>
          </w:tcPr>
          <w:p w:rsidR="00871101" w:rsidRPr="00871101" w:rsidRDefault="00871101" w:rsidP="00871101">
            <w:pPr>
              <w:jc w:val="center"/>
              <w:rPr>
                <w:rFonts w:cs="Arial"/>
                <w:i/>
                <w:color w:val="000000" w:themeColor="text1" w:themeShade="80"/>
                <w:szCs w:val="22"/>
              </w:rPr>
            </w:pPr>
            <w:r w:rsidRPr="00D641C7">
              <w:rPr>
                <w:rFonts w:cs="Arial"/>
                <w:color w:val="FFFFFF" w:themeColor="background1"/>
                <w:sz w:val="20"/>
              </w:rPr>
              <w:t xml:space="preserve">CAT </w:t>
            </w:r>
            <w:r>
              <w:rPr>
                <w:rFonts w:cs="Arial"/>
                <w:color w:val="FFFFFF" w:themeColor="background1"/>
                <w:sz w:val="20"/>
              </w:rPr>
              <w:t>2</w:t>
            </w:r>
          </w:p>
        </w:tc>
        <w:tc>
          <w:tcPr>
            <w:tcW w:w="1887"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87" w:type="dxa"/>
            <w:shd w:val="clear" w:color="auto" w:fill="FFC000"/>
            <w:vAlign w:val="center"/>
          </w:tcPr>
          <w:p w:rsidR="00871101" w:rsidRPr="00871101" w:rsidRDefault="00CE092F" w:rsidP="00871101">
            <w:pPr>
              <w:jc w:val="center"/>
              <w:rPr>
                <w:rFonts w:cs="Arial"/>
                <w:i/>
                <w:color w:val="000000" w:themeColor="text1" w:themeShade="80"/>
                <w:szCs w:val="22"/>
              </w:rPr>
            </w:pPr>
            <w:r w:rsidRPr="00CE092F">
              <w:rPr>
                <w:rFonts w:cs="Arial"/>
                <w:color w:val="000000" w:themeColor="text1" w:themeShade="80"/>
                <w:sz w:val="20"/>
                <w:szCs w:val="22"/>
              </w:rPr>
              <w:t>CAT 3</w:t>
            </w:r>
          </w:p>
        </w:tc>
        <w:tc>
          <w:tcPr>
            <w:tcW w:w="1887" w:type="dxa"/>
            <w:shd w:val="clear" w:color="auto" w:fill="92D050"/>
            <w:vAlign w:val="center"/>
          </w:tcPr>
          <w:p w:rsidR="00871101" w:rsidRPr="00871101" w:rsidRDefault="00CE092F" w:rsidP="00871101">
            <w:pPr>
              <w:jc w:val="center"/>
              <w:rPr>
                <w:rFonts w:cs="Arial"/>
                <w:i/>
                <w:color w:val="000000" w:themeColor="text1" w:themeShade="80"/>
                <w:szCs w:val="22"/>
              </w:rPr>
            </w:pPr>
            <w:r w:rsidRPr="006F7168">
              <w:rPr>
                <w:rFonts w:cs="Arial"/>
                <w:sz w:val="20"/>
              </w:rPr>
              <w:t>No Defect</w:t>
            </w:r>
          </w:p>
        </w:tc>
      </w:tr>
    </w:tbl>
    <w:p w:rsidR="00C170C8" w:rsidRDefault="00C170C8" w:rsidP="005A3568"/>
    <w:p w:rsidR="005A3568" w:rsidRDefault="005A3568" w:rsidP="005A3568">
      <w:pPr>
        <w:pStyle w:val="Heading2"/>
      </w:pPr>
      <w:proofErr w:type="gramStart"/>
      <w:r>
        <w:t>Limited life Pole defects.</w:t>
      </w:r>
      <w:proofErr w:type="gramEnd"/>
    </w:p>
    <w:p w:rsidR="005A3568" w:rsidRDefault="00DD4627" w:rsidP="00C170C8">
      <w:pPr>
        <w:jc w:val="both"/>
        <w:rPr>
          <w:color w:val="000000" w:themeColor="text1"/>
        </w:rPr>
      </w:pPr>
      <w:r w:rsidRPr="00145E5F">
        <w:rPr>
          <w:color w:val="000000" w:themeColor="text1"/>
        </w:rPr>
        <w:t xml:space="preserve">Once a pole has been assessed and determined to be a limited life pole, the likelihood of failure shall be defined as being “Almost </w:t>
      </w:r>
      <w:proofErr w:type="gramStart"/>
      <w:r w:rsidRPr="00145E5F">
        <w:rPr>
          <w:color w:val="000000" w:themeColor="text1"/>
        </w:rPr>
        <w:t>Certain</w:t>
      </w:r>
      <w:proofErr w:type="gramEnd"/>
      <w:r w:rsidRPr="00145E5F">
        <w:rPr>
          <w:color w:val="000000" w:themeColor="text1"/>
        </w:rPr>
        <w:t>”.</w:t>
      </w:r>
      <w:r w:rsidR="00145E5F" w:rsidRPr="00145E5F">
        <w:rPr>
          <w:color w:val="000000" w:themeColor="text1"/>
        </w:rPr>
        <w:t xml:space="preserve"> The priority for pole replacement will be based upon </w:t>
      </w:r>
      <w:proofErr w:type="gramStart"/>
      <w:r w:rsidR="00145E5F" w:rsidRPr="00145E5F">
        <w:rPr>
          <w:color w:val="000000" w:themeColor="text1"/>
        </w:rPr>
        <w:t>it’s</w:t>
      </w:r>
      <w:proofErr w:type="gramEnd"/>
      <w:r w:rsidR="00145E5F" w:rsidRPr="00145E5F">
        <w:rPr>
          <w:color w:val="000000" w:themeColor="text1"/>
        </w:rPr>
        <w:t xml:space="preserve"> condition, and allocated a priority for replacement that should ensure it is replaced before the identified degradation/damage from it’s own accord would result in pole failure. General guidelines </w:t>
      </w:r>
      <w:r w:rsidR="00304802">
        <w:rPr>
          <w:color w:val="000000" w:themeColor="text1"/>
        </w:rPr>
        <w:t xml:space="preserve">for limited life pole prioritisation </w:t>
      </w:r>
      <w:r w:rsidR="00145E5F" w:rsidRPr="00145E5F">
        <w:rPr>
          <w:color w:val="000000" w:themeColor="text1"/>
        </w:rPr>
        <w:t>are;</w:t>
      </w:r>
    </w:p>
    <w:p w:rsidR="00040709" w:rsidRPr="00145E5F" w:rsidRDefault="00040709" w:rsidP="00C170C8">
      <w:pPr>
        <w:jc w:val="both"/>
        <w:rPr>
          <w:color w:val="000000" w:themeColor="text1"/>
        </w:rPr>
      </w:pPr>
    </w:p>
    <w:tbl>
      <w:tblPr>
        <w:tblW w:w="0" w:type="auto"/>
        <w:tblInd w:w="13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7"/>
        <w:gridCol w:w="1740"/>
      </w:tblGrid>
      <w:tr w:rsidR="00040709" w:rsidRPr="00C27125" w:rsidTr="00040709">
        <w:trPr>
          <w:trHeight w:val="454"/>
        </w:trPr>
        <w:tc>
          <w:tcPr>
            <w:tcW w:w="3647" w:type="dxa"/>
            <w:vAlign w:val="center"/>
          </w:tcPr>
          <w:p w:rsidR="00C27125" w:rsidRPr="00C27125" w:rsidRDefault="00C27125" w:rsidP="00040709">
            <w:pPr>
              <w:jc w:val="right"/>
              <w:rPr>
                <w:color w:val="000000" w:themeColor="text1"/>
              </w:rPr>
            </w:pPr>
            <w:r w:rsidRPr="00C27125">
              <w:rPr>
                <w:color w:val="000000" w:themeColor="text1"/>
              </w:rPr>
              <w:t xml:space="preserve">SF  </w:t>
            </w:r>
            <w:r w:rsidRPr="00C27125">
              <w:rPr>
                <w:color w:val="000000" w:themeColor="text1"/>
              </w:rPr>
              <w:sym w:font="Symbol" w:char="F0A3"/>
            </w:r>
            <w:r w:rsidRPr="00C27125">
              <w:rPr>
                <w:color w:val="000000" w:themeColor="text1"/>
              </w:rPr>
              <w:t xml:space="preserve"> 1 or Dangerous pole</w:t>
            </w:r>
          </w:p>
        </w:tc>
        <w:tc>
          <w:tcPr>
            <w:tcW w:w="1740" w:type="dxa"/>
            <w:shd w:val="clear" w:color="auto" w:fill="FF0000"/>
            <w:vAlign w:val="center"/>
          </w:tcPr>
          <w:p w:rsidR="00C27125" w:rsidRPr="00C27125" w:rsidRDefault="00C27125" w:rsidP="00C27125">
            <w:pPr>
              <w:jc w:val="center"/>
              <w:rPr>
                <w:rFonts w:cs="Arial"/>
                <w:i/>
                <w:color w:val="000000" w:themeColor="text1" w:themeShade="80"/>
                <w:szCs w:val="22"/>
              </w:rPr>
            </w:pPr>
            <w:r w:rsidRPr="00C27125">
              <w:rPr>
                <w:rFonts w:cs="Arial"/>
                <w:color w:val="FFFFFF" w:themeColor="background1"/>
                <w:sz w:val="20"/>
              </w:rPr>
              <w:t>CAT 1</w:t>
            </w:r>
          </w:p>
        </w:tc>
      </w:tr>
      <w:tr w:rsidR="00040709" w:rsidRPr="00C27125" w:rsidTr="00040709">
        <w:trPr>
          <w:trHeight w:val="454"/>
        </w:trPr>
        <w:tc>
          <w:tcPr>
            <w:tcW w:w="3647" w:type="dxa"/>
            <w:vAlign w:val="center"/>
          </w:tcPr>
          <w:p w:rsidR="00C27125" w:rsidRPr="00C27125" w:rsidRDefault="00C27125" w:rsidP="00040709">
            <w:pPr>
              <w:jc w:val="right"/>
              <w:rPr>
                <w:color w:val="000000" w:themeColor="text1"/>
              </w:rPr>
            </w:pPr>
            <w:r w:rsidRPr="00C27125">
              <w:rPr>
                <w:color w:val="000000" w:themeColor="text1"/>
              </w:rPr>
              <w:t xml:space="preserve">1.0  &lt; SF  </w:t>
            </w:r>
            <w:r w:rsidRPr="00C27125">
              <w:rPr>
                <w:color w:val="000000" w:themeColor="text1"/>
              </w:rPr>
              <w:sym w:font="Symbol" w:char="F0A3"/>
            </w:r>
            <w:r w:rsidRPr="00C27125">
              <w:rPr>
                <w:color w:val="000000" w:themeColor="text1"/>
              </w:rPr>
              <w:t xml:space="preserve"> 1.25</w:t>
            </w:r>
          </w:p>
        </w:tc>
        <w:tc>
          <w:tcPr>
            <w:tcW w:w="1740" w:type="dxa"/>
            <w:tcBorders>
              <w:bottom w:val="single" w:sz="4" w:space="0" w:color="FFFFFF" w:themeColor="background1"/>
            </w:tcBorders>
            <w:shd w:val="clear" w:color="auto" w:fill="FF0000"/>
            <w:vAlign w:val="center"/>
          </w:tcPr>
          <w:p w:rsidR="00C27125" w:rsidRPr="00C27125" w:rsidRDefault="00C27125" w:rsidP="00C27125">
            <w:pPr>
              <w:jc w:val="center"/>
              <w:rPr>
                <w:rFonts w:cs="Arial"/>
                <w:i/>
                <w:color w:val="000000" w:themeColor="text1" w:themeShade="80"/>
                <w:szCs w:val="22"/>
              </w:rPr>
            </w:pPr>
            <w:r w:rsidRPr="00C27125">
              <w:rPr>
                <w:rFonts w:cs="Arial"/>
                <w:color w:val="FFFFFF" w:themeColor="background1"/>
                <w:sz w:val="20"/>
              </w:rPr>
              <w:t>CAT 1</w:t>
            </w:r>
          </w:p>
        </w:tc>
      </w:tr>
      <w:tr w:rsidR="00040709" w:rsidRPr="00C27125" w:rsidTr="00040709">
        <w:trPr>
          <w:trHeight w:val="454"/>
        </w:trPr>
        <w:tc>
          <w:tcPr>
            <w:tcW w:w="3647" w:type="dxa"/>
            <w:vAlign w:val="center"/>
          </w:tcPr>
          <w:p w:rsidR="00C27125" w:rsidRPr="00C27125" w:rsidRDefault="00C27125" w:rsidP="00040709">
            <w:pPr>
              <w:jc w:val="right"/>
              <w:rPr>
                <w:color w:val="000000" w:themeColor="text1"/>
              </w:rPr>
            </w:pPr>
            <w:r w:rsidRPr="00C27125">
              <w:rPr>
                <w:color w:val="000000" w:themeColor="text1"/>
              </w:rPr>
              <w:t>1.25</w:t>
            </w:r>
            <w:r w:rsidR="00040709">
              <w:rPr>
                <w:color w:val="000000" w:themeColor="text1"/>
              </w:rPr>
              <w:t xml:space="preserve"> </w:t>
            </w:r>
            <w:r w:rsidRPr="00C27125">
              <w:rPr>
                <w:color w:val="000000" w:themeColor="text1"/>
              </w:rPr>
              <w:t xml:space="preserve"> &lt;</w:t>
            </w:r>
            <w:r w:rsidR="00040709">
              <w:rPr>
                <w:color w:val="000000" w:themeColor="text1"/>
              </w:rPr>
              <w:t xml:space="preserve"> </w:t>
            </w:r>
            <w:r w:rsidRPr="00C27125">
              <w:rPr>
                <w:color w:val="000000" w:themeColor="text1"/>
              </w:rPr>
              <w:t xml:space="preserve"> SF</w:t>
            </w:r>
            <w:r w:rsidR="00040709">
              <w:rPr>
                <w:color w:val="000000" w:themeColor="text1"/>
              </w:rPr>
              <w:t xml:space="preserve"> </w:t>
            </w:r>
            <w:r w:rsidRPr="00C27125">
              <w:rPr>
                <w:color w:val="000000" w:themeColor="text1"/>
              </w:rPr>
              <w:t xml:space="preserve"> </w:t>
            </w:r>
            <w:r w:rsidRPr="00C27125">
              <w:rPr>
                <w:color w:val="000000" w:themeColor="text1"/>
              </w:rPr>
              <w:sym w:font="Symbol" w:char="F0A3"/>
            </w:r>
            <w:r w:rsidRPr="00C27125">
              <w:rPr>
                <w:color w:val="000000" w:themeColor="text1"/>
              </w:rPr>
              <w:t xml:space="preserve"> </w:t>
            </w:r>
            <w:r w:rsidR="00040709">
              <w:rPr>
                <w:color w:val="000000" w:themeColor="text1"/>
              </w:rPr>
              <w:t xml:space="preserve"> </w:t>
            </w:r>
            <w:r w:rsidRPr="00C27125">
              <w:rPr>
                <w:color w:val="000000" w:themeColor="text1"/>
              </w:rPr>
              <w:t>1.5</w:t>
            </w:r>
          </w:p>
        </w:tc>
        <w:tc>
          <w:tcPr>
            <w:tcW w:w="1740" w:type="dxa"/>
            <w:tcBorders>
              <w:bottom w:val="single" w:sz="4" w:space="0" w:color="FFFFFF" w:themeColor="background1"/>
            </w:tcBorders>
            <w:shd w:val="clear" w:color="auto" w:fill="FF6600"/>
            <w:vAlign w:val="center"/>
          </w:tcPr>
          <w:p w:rsidR="00C27125" w:rsidRPr="00C27125" w:rsidRDefault="00C27125" w:rsidP="00C27125">
            <w:pPr>
              <w:jc w:val="center"/>
              <w:rPr>
                <w:rFonts w:cs="Arial"/>
                <w:i/>
                <w:color w:val="000000" w:themeColor="text1" w:themeShade="80"/>
                <w:szCs w:val="22"/>
              </w:rPr>
            </w:pPr>
            <w:r w:rsidRPr="00C27125">
              <w:rPr>
                <w:rFonts w:cs="Arial"/>
                <w:color w:val="FFFFFF" w:themeColor="background1"/>
                <w:sz w:val="20"/>
              </w:rPr>
              <w:t>CAT 2</w:t>
            </w:r>
          </w:p>
        </w:tc>
      </w:tr>
      <w:tr w:rsidR="00C27125" w:rsidRPr="00C27125" w:rsidTr="00040709">
        <w:trPr>
          <w:trHeight w:val="454"/>
        </w:trPr>
        <w:tc>
          <w:tcPr>
            <w:tcW w:w="3647" w:type="dxa"/>
            <w:vAlign w:val="center"/>
          </w:tcPr>
          <w:p w:rsidR="00C27125" w:rsidRPr="00C27125" w:rsidRDefault="00C27125" w:rsidP="00040709">
            <w:pPr>
              <w:jc w:val="right"/>
              <w:rPr>
                <w:color w:val="000000" w:themeColor="text1"/>
              </w:rPr>
            </w:pPr>
            <w:r w:rsidRPr="00C27125">
              <w:rPr>
                <w:color w:val="000000" w:themeColor="text1"/>
              </w:rPr>
              <w:t>1.5</w:t>
            </w:r>
            <w:r w:rsidR="00040709">
              <w:rPr>
                <w:color w:val="000000" w:themeColor="text1"/>
              </w:rPr>
              <w:t xml:space="preserve"> </w:t>
            </w:r>
            <w:r w:rsidRPr="00C27125">
              <w:rPr>
                <w:color w:val="000000" w:themeColor="text1"/>
              </w:rPr>
              <w:t xml:space="preserve"> &lt; </w:t>
            </w:r>
            <w:r w:rsidR="00040709">
              <w:rPr>
                <w:color w:val="000000" w:themeColor="text1"/>
              </w:rPr>
              <w:t xml:space="preserve"> </w:t>
            </w:r>
            <w:r w:rsidRPr="00C27125">
              <w:rPr>
                <w:color w:val="000000" w:themeColor="text1"/>
              </w:rPr>
              <w:t>SF</w:t>
            </w:r>
            <w:r w:rsidR="00040709">
              <w:rPr>
                <w:color w:val="000000" w:themeColor="text1"/>
              </w:rPr>
              <w:t xml:space="preserve">  </w:t>
            </w:r>
            <w:r w:rsidRPr="00C27125">
              <w:rPr>
                <w:color w:val="000000" w:themeColor="text1"/>
              </w:rPr>
              <w:sym w:font="Symbol" w:char="F0A3"/>
            </w:r>
            <w:r w:rsidRPr="00C27125">
              <w:rPr>
                <w:color w:val="000000" w:themeColor="text1"/>
              </w:rPr>
              <w:t xml:space="preserve"> </w:t>
            </w:r>
            <w:r w:rsidR="00040709">
              <w:rPr>
                <w:color w:val="000000" w:themeColor="text1"/>
              </w:rPr>
              <w:t xml:space="preserve"> </w:t>
            </w:r>
            <w:r w:rsidRPr="00C27125">
              <w:rPr>
                <w:color w:val="000000" w:themeColor="text1"/>
              </w:rPr>
              <w:t>2</w:t>
            </w:r>
            <w:r w:rsidR="00040709">
              <w:rPr>
                <w:color w:val="000000" w:themeColor="text1"/>
              </w:rPr>
              <w:t xml:space="preserve"> </w:t>
            </w:r>
          </w:p>
        </w:tc>
        <w:tc>
          <w:tcPr>
            <w:tcW w:w="1740" w:type="dxa"/>
            <w:shd w:val="clear" w:color="auto" w:fill="FFC000"/>
            <w:vAlign w:val="center"/>
          </w:tcPr>
          <w:p w:rsidR="00C27125" w:rsidRPr="00C27125" w:rsidRDefault="00040709" w:rsidP="00040709">
            <w:pPr>
              <w:jc w:val="center"/>
              <w:rPr>
                <w:color w:val="000000" w:themeColor="text1"/>
              </w:rPr>
            </w:pPr>
            <w:r w:rsidRPr="00CE092F">
              <w:rPr>
                <w:rFonts w:cs="Arial"/>
                <w:color w:val="000000" w:themeColor="text1" w:themeShade="80"/>
                <w:sz w:val="20"/>
                <w:szCs w:val="22"/>
              </w:rPr>
              <w:t>CAT 3</w:t>
            </w:r>
          </w:p>
        </w:tc>
      </w:tr>
    </w:tbl>
    <w:p w:rsidR="009A209F" w:rsidRDefault="009A209F" w:rsidP="005A3568"/>
    <w:p w:rsidR="00CE1227" w:rsidRPr="00C8274B" w:rsidRDefault="002D5EED" w:rsidP="00FF273C">
      <w:pPr>
        <w:pStyle w:val="Heading2"/>
      </w:pPr>
      <w:r>
        <w:t xml:space="preserve">Vegetation and </w:t>
      </w:r>
      <w:r w:rsidR="00CE1227" w:rsidRPr="00C8274B">
        <w:t>Bushfire Defects</w:t>
      </w:r>
    </w:p>
    <w:p w:rsidR="0057537E" w:rsidRPr="00304802" w:rsidRDefault="000C6E3E" w:rsidP="00AF0CF9">
      <w:pPr>
        <w:spacing w:before="120" w:line="240" w:lineRule="atLeast"/>
      </w:pPr>
      <w:r>
        <w:rPr>
          <w:color w:val="000000" w:themeColor="text1"/>
        </w:rPr>
        <w:t xml:space="preserve">General </w:t>
      </w:r>
      <w:r w:rsidR="003B6D2E">
        <w:rPr>
          <w:color w:val="000000" w:themeColor="text1"/>
        </w:rPr>
        <w:t xml:space="preserve">prioritisation </w:t>
      </w:r>
      <w:r>
        <w:rPr>
          <w:color w:val="000000" w:themeColor="text1"/>
        </w:rPr>
        <w:t xml:space="preserve">guidelines for </w:t>
      </w:r>
      <w:r w:rsidR="00304802">
        <w:t>v</w:t>
      </w:r>
      <w:r w:rsidR="00913217" w:rsidRPr="00913217">
        <w:t>egetation defect</w:t>
      </w:r>
      <w:r>
        <w:t>s established from LiDAR / AP&amp;A</w:t>
      </w:r>
      <w:r w:rsidR="003B6D2E">
        <w:t>, OH line inspection</w:t>
      </w:r>
      <w:r w:rsidR="00913217" w:rsidRPr="00913217">
        <w:t xml:space="preserve"> processes</w:t>
      </w:r>
      <w:r>
        <w:rPr>
          <w:color w:val="000000" w:themeColor="text1"/>
        </w:rPr>
        <w:t xml:space="preserve"> are;</w:t>
      </w:r>
    </w:p>
    <w:p w:rsidR="00304802" w:rsidRDefault="006C499C" w:rsidP="00C75611">
      <w:r>
        <w:rPr>
          <w:noProof/>
          <w:lang w:eastAsia="en-AU"/>
        </w:rPr>
        <w:pict>
          <v:rect id="_x0000_s1041" style="position:absolute;margin-left:-191.75pt;margin-top:146.55pt;width:329.5pt;height:46.35pt;rotation:90;z-index:251661312" fillcolor="yellow">
            <v:textbox style="layout-flow:vertical;mso-layout-flow-alt:bottom-to-top">
              <w:txbxContent>
                <w:p w:rsidR="006C499C" w:rsidRDefault="006C499C">
                  <w:r>
                    <w:t>To be reviewed / finalised via risk assessment process currently underway as part of vegetation management standards review</w:t>
                  </w:r>
                </w:p>
              </w:txbxContent>
            </v:textbox>
          </v:rect>
        </w:pict>
      </w:r>
      <w:r>
        <w:rPr>
          <w:i/>
          <w:noProof/>
          <w:lang w:eastAsia="en-AU"/>
        </w:rPr>
        <w:pict>
          <v:rect id="_x0000_s1042" style="position:absolute;margin-left:316.65pt;margin-top:146.55pt;width:329.5pt;height:46.35pt;rotation:90;z-index:251662336" fillcolor="yellow">
            <v:textbox style="layout-flow:vertical;mso-layout-flow-alt:bottom-to-top">
              <w:txbxContent>
                <w:p w:rsidR="006C499C" w:rsidRDefault="006C499C" w:rsidP="006C499C">
                  <w:r>
                    <w:t>To be reviewed / finalised via risk assessment process currently underway as part of vegetation management standards review</w:t>
                  </w:r>
                </w:p>
              </w:txbxContent>
            </v:textbox>
          </v:rect>
        </w:pict>
      </w:r>
    </w:p>
    <w:p w:rsidR="003B6D2E" w:rsidRDefault="003B6D2E" w:rsidP="00C75611">
      <w:pPr>
        <w:rPr>
          <w:i/>
        </w:rPr>
      </w:pPr>
    </w:p>
    <w:p w:rsidR="00C75611" w:rsidRDefault="00FA1E96" w:rsidP="00C75611">
      <w:r>
        <w:pict>
          <v:shape id="_x0000_i1027" type="#_x0000_t75" style="width:451.65pt;height:247.1pt">
            <v:imagedata r:id="rId13" o:title=""/>
          </v:shape>
        </w:pict>
      </w:r>
    </w:p>
    <w:p w:rsidR="00C75611" w:rsidRDefault="00C75611" w:rsidP="00C75611"/>
    <w:p w:rsidR="00C75611" w:rsidRDefault="00C75611" w:rsidP="00C75611"/>
    <w:tbl>
      <w:tblPr>
        <w:tblW w:w="9360" w:type="dxa"/>
        <w:tblInd w:w="108" w:type="dxa"/>
        <w:tblLook w:val="04A0" w:firstRow="1" w:lastRow="0" w:firstColumn="1" w:lastColumn="0" w:noHBand="0" w:noVBand="1"/>
      </w:tblPr>
      <w:tblGrid>
        <w:gridCol w:w="1088"/>
        <w:gridCol w:w="4136"/>
        <w:gridCol w:w="4136"/>
      </w:tblGrid>
      <w:tr w:rsidR="00862B91" w:rsidRPr="00C75611" w:rsidTr="00862B91">
        <w:trPr>
          <w:trHeight w:val="300"/>
        </w:trPr>
        <w:tc>
          <w:tcPr>
            <w:tcW w:w="1088" w:type="dxa"/>
            <w:vMerge w:val="restart"/>
            <w:tcBorders>
              <w:top w:val="nil"/>
              <w:left w:val="nil"/>
              <w:bottom w:val="nil"/>
              <w:right w:val="nil"/>
            </w:tcBorders>
            <w:shd w:val="clear" w:color="auto" w:fill="auto"/>
            <w:noWrap/>
            <w:hideMark/>
          </w:tcPr>
          <w:p w:rsidR="00862B91" w:rsidRPr="00C75611" w:rsidRDefault="00862B91" w:rsidP="00862B91">
            <w:pPr>
              <w:spacing w:before="20" w:after="20"/>
              <w:jc w:val="center"/>
              <w:rPr>
                <w:rFonts w:cs="Arial"/>
                <w:color w:val="000000"/>
                <w:sz w:val="20"/>
                <w:szCs w:val="22"/>
                <w:lang w:eastAsia="en-AU"/>
              </w:rPr>
            </w:pPr>
            <w:r w:rsidRPr="00C75611">
              <w:rPr>
                <w:rFonts w:cs="Arial"/>
                <w:color w:val="000000"/>
                <w:sz w:val="20"/>
                <w:szCs w:val="22"/>
                <w:lang w:eastAsia="en-AU"/>
              </w:rPr>
              <w:t>Legend:</w:t>
            </w:r>
          </w:p>
        </w:tc>
        <w:tc>
          <w:tcPr>
            <w:tcW w:w="4136" w:type="dxa"/>
            <w:tcBorders>
              <w:top w:val="nil"/>
              <w:left w:val="nil"/>
              <w:bottom w:val="nil"/>
              <w:right w:val="nil"/>
            </w:tcBorders>
            <w:shd w:val="clear" w:color="000000" w:fill="FF0000"/>
            <w:noWrap/>
            <w:vAlign w:val="bottom"/>
            <w:hideMark/>
          </w:tcPr>
          <w:p w:rsidR="00862B91" w:rsidRPr="00C75611" w:rsidRDefault="00862B91" w:rsidP="00862B91">
            <w:pPr>
              <w:spacing w:before="20" w:after="20"/>
              <w:jc w:val="center"/>
              <w:rPr>
                <w:rFonts w:cs="Arial"/>
                <w:color w:val="FFFFFF"/>
                <w:sz w:val="20"/>
                <w:szCs w:val="22"/>
                <w:lang w:eastAsia="en-AU"/>
              </w:rPr>
            </w:pPr>
            <w:r w:rsidRPr="00C75611">
              <w:rPr>
                <w:rFonts w:cs="Arial"/>
                <w:b/>
                <w:bCs/>
                <w:color w:val="FFFFFF"/>
                <w:sz w:val="20"/>
                <w:szCs w:val="22"/>
                <w:lang w:eastAsia="en-AU"/>
              </w:rPr>
              <w:t>CAT 1</w:t>
            </w:r>
            <w:r w:rsidRPr="00C75611">
              <w:rPr>
                <w:rFonts w:cs="Arial"/>
                <w:color w:val="FFFFFF"/>
                <w:sz w:val="20"/>
                <w:szCs w:val="22"/>
                <w:lang w:eastAsia="en-AU"/>
              </w:rPr>
              <w:t xml:space="preserve">   = Emergency job</w:t>
            </w:r>
          </w:p>
        </w:tc>
        <w:tc>
          <w:tcPr>
            <w:tcW w:w="4136" w:type="dxa"/>
            <w:tcBorders>
              <w:top w:val="nil"/>
              <w:left w:val="nil"/>
              <w:right w:val="nil"/>
            </w:tcBorders>
            <w:shd w:val="clear" w:color="000000" w:fill="auto"/>
            <w:vAlign w:val="bottom"/>
          </w:tcPr>
          <w:p w:rsidR="00862B91" w:rsidRPr="00862B91" w:rsidRDefault="00862B91" w:rsidP="00862B91">
            <w:pPr>
              <w:spacing w:before="20" w:after="20"/>
              <w:jc w:val="center"/>
              <w:rPr>
                <w:rFonts w:cs="Arial"/>
                <w:color w:val="FFFFFF"/>
                <w:sz w:val="20"/>
                <w:szCs w:val="22"/>
                <w:lang w:eastAsia="en-AU"/>
              </w:rPr>
            </w:pPr>
          </w:p>
        </w:tc>
      </w:tr>
      <w:tr w:rsidR="00862B91" w:rsidRPr="00C75611" w:rsidTr="00862B91">
        <w:trPr>
          <w:trHeight w:val="300"/>
        </w:trPr>
        <w:tc>
          <w:tcPr>
            <w:tcW w:w="1088" w:type="dxa"/>
            <w:vMerge/>
            <w:tcBorders>
              <w:top w:val="nil"/>
              <w:left w:val="nil"/>
              <w:bottom w:val="nil"/>
              <w:right w:val="nil"/>
            </w:tcBorders>
            <w:vAlign w:val="center"/>
            <w:hideMark/>
          </w:tcPr>
          <w:p w:rsidR="00862B91" w:rsidRPr="00C75611" w:rsidRDefault="00862B91" w:rsidP="00862B91">
            <w:pPr>
              <w:spacing w:before="20" w:after="20"/>
              <w:rPr>
                <w:rFonts w:cs="Arial"/>
                <w:color w:val="000000"/>
                <w:sz w:val="20"/>
                <w:szCs w:val="22"/>
                <w:lang w:eastAsia="en-AU"/>
              </w:rPr>
            </w:pPr>
          </w:p>
        </w:tc>
        <w:tc>
          <w:tcPr>
            <w:tcW w:w="4136" w:type="dxa"/>
            <w:tcBorders>
              <w:top w:val="nil"/>
              <w:left w:val="nil"/>
              <w:bottom w:val="nil"/>
              <w:right w:val="nil"/>
            </w:tcBorders>
            <w:shd w:val="clear" w:color="000000" w:fill="FF0000"/>
            <w:noWrap/>
            <w:vAlign w:val="bottom"/>
            <w:hideMark/>
          </w:tcPr>
          <w:p w:rsidR="00862B91" w:rsidRPr="00C75611" w:rsidRDefault="00862B91" w:rsidP="00862B91">
            <w:pPr>
              <w:spacing w:before="20" w:after="20"/>
              <w:jc w:val="center"/>
              <w:rPr>
                <w:rFonts w:cs="Arial"/>
                <w:color w:val="FFFFFF"/>
                <w:sz w:val="20"/>
                <w:szCs w:val="22"/>
                <w:lang w:eastAsia="en-AU"/>
              </w:rPr>
            </w:pPr>
            <w:r w:rsidRPr="00C75611">
              <w:rPr>
                <w:rFonts w:cs="Arial"/>
                <w:color w:val="FFFFFF"/>
                <w:sz w:val="20"/>
                <w:szCs w:val="22"/>
                <w:lang w:eastAsia="en-AU"/>
              </w:rPr>
              <w:t xml:space="preserve">CAT 2 </w:t>
            </w:r>
            <w:r w:rsidRPr="00C75611">
              <w:rPr>
                <w:rFonts w:cs="Arial"/>
                <w:color w:val="FFFFFF"/>
                <w:sz w:val="20"/>
                <w:szCs w:val="18"/>
                <w:lang w:eastAsia="en-AU"/>
              </w:rPr>
              <w:t>Priority 1</w:t>
            </w:r>
            <w:r w:rsidRPr="00C75611">
              <w:rPr>
                <w:rFonts w:cs="Arial"/>
                <w:color w:val="FFFFFF"/>
                <w:sz w:val="20"/>
                <w:szCs w:val="22"/>
                <w:lang w:eastAsia="en-AU"/>
              </w:rPr>
              <w:t xml:space="preserve"> = Emergency cut</w:t>
            </w:r>
          </w:p>
        </w:tc>
        <w:tc>
          <w:tcPr>
            <w:tcW w:w="4136" w:type="dxa"/>
            <w:tcBorders>
              <w:top w:val="nil"/>
              <w:left w:val="nil"/>
              <w:right w:val="nil"/>
            </w:tcBorders>
            <w:shd w:val="clear" w:color="000000" w:fill="auto"/>
            <w:vAlign w:val="bottom"/>
          </w:tcPr>
          <w:p w:rsidR="00862B91" w:rsidRPr="00862B91" w:rsidRDefault="00862B91" w:rsidP="00862B91">
            <w:pPr>
              <w:spacing w:before="20" w:after="20"/>
              <w:jc w:val="center"/>
              <w:rPr>
                <w:rFonts w:cs="Arial"/>
                <w:color w:val="FFFFFF"/>
                <w:sz w:val="20"/>
                <w:szCs w:val="22"/>
                <w:lang w:eastAsia="en-AU"/>
              </w:rPr>
            </w:pPr>
          </w:p>
        </w:tc>
      </w:tr>
      <w:tr w:rsidR="00862B91" w:rsidRPr="00C75611" w:rsidTr="00862B91">
        <w:trPr>
          <w:trHeight w:val="300"/>
        </w:trPr>
        <w:tc>
          <w:tcPr>
            <w:tcW w:w="1088" w:type="dxa"/>
            <w:vMerge/>
            <w:tcBorders>
              <w:top w:val="nil"/>
              <w:left w:val="nil"/>
              <w:bottom w:val="nil"/>
              <w:right w:val="nil"/>
            </w:tcBorders>
            <w:vAlign w:val="center"/>
            <w:hideMark/>
          </w:tcPr>
          <w:p w:rsidR="00862B91" w:rsidRPr="00C75611" w:rsidRDefault="00862B91" w:rsidP="00862B91">
            <w:pPr>
              <w:spacing w:before="20" w:after="20"/>
              <w:rPr>
                <w:rFonts w:cs="Arial"/>
                <w:color w:val="000000"/>
                <w:sz w:val="20"/>
                <w:szCs w:val="22"/>
                <w:lang w:eastAsia="en-AU"/>
              </w:rPr>
            </w:pPr>
          </w:p>
        </w:tc>
        <w:tc>
          <w:tcPr>
            <w:tcW w:w="4136" w:type="dxa"/>
            <w:tcBorders>
              <w:top w:val="nil"/>
              <w:left w:val="nil"/>
              <w:bottom w:val="nil"/>
              <w:right w:val="nil"/>
            </w:tcBorders>
            <w:shd w:val="clear" w:color="000000" w:fill="E46D0A"/>
            <w:vAlign w:val="bottom"/>
            <w:hideMark/>
          </w:tcPr>
          <w:p w:rsidR="00862B91" w:rsidRPr="00C75611" w:rsidRDefault="00862B91" w:rsidP="00862B91">
            <w:pPr>
              <w:spacing w:before="20" w:after="20"/>
              <w:jc w:val="center"/>
              <w:rPr>
                <w:rFonts w:cs="Arial"/>
                <w:color w:val="000000"/>
                <w:sz w:val="20"/>
                <w:szCs w:val="22"/>
                <w:lang w:eastAsia="en-AU"/>
              </w:rPr>
            </w:pPr>
            <w:r w:rsidRPr="00C75611">
              <w:rPr>
                <w:rFonts w:cs="Arial"/>
                <w:color w:val="000000"/>
                <w:sz w:val="20"/>
                <w:szCs w:val="22"/>
                <w:lang w:eastAsia="en-AU"/>
              </w:rPr>
              <w:t xml:space="preserve">CAT 2 </w:t>
            </w:r>
            <w:r w:rsidRPr="00C75611">
              <w:rPr>
                <w:rFonts w:cs="Arial"/>
                <w:color w:val="000000"/>
                <w:sz w:val="20"/>
                <w:szCs w:val="18"/>
                <w:lang w:eastAsia="en-AU"/>
              </w:rPr>
              <w:t>Priority 2</w:t>
            </w:r>
          </w:p>
        </w:tc>
        <w:tc>
          <w:tcPr>
            <w:tcW w:w="4136" w:type="dxa"/>
            <w:tcBorders>
              <w:top w:val="nil"/>
              <w:left w:val="nil"/>
              <w:right w:val="nil"/>
            </w:tcBorders>
            <w:shd w:val="clear" w:color="000000" w:fill="auto"/>
            <w:vAlign w:val="bottom"/>
          </w:tcPr>
          <w:p w:rsidR="00862B91" w:rsidRPr="00862B91" w:rsidRDefault="00862B91" w:rsidP="00862B91">
            <w:pPr>
              <w:spacing w:before="20" w:after="20"/>
              <w:jc w:val="center"/>
              <w:rPr>
                <w:rFonts w:cs="Arial"/>
                <w:color w:val="000000"/>
                <w:sz w:val="20"/>
                <w:szCs w:val="22"/>
                <w:lang w:eastAsia="en-AU"/>
              </w:rPr>
            </w:pPr>
          </w:p>
        </w:tc>
      </w:tr>
      <w:tr w:rsidR="00862B91" w:rsidRPr="00C75611" w:rsidTr="00862B91">
        <w:trPr>
          <w:trHeight w:val="300"/>
        </w:trPr>
        <w:tc>
          <w:tcPr>
            <w:tcW w:w="1088" w:type="dxa"/>
            <w:vMerge/>
            <w:tcBorders>
              <w:top w:val="nil"/>
              <w:left w:val="nil"/>
              <w:bottom w:val="nil"/>
              <w:right w:val="nil"/>
            </w:tcBorders>
            <w:vAlign w:val="center"/>
            <w:hideMark/>
          </w:tcPr>
          <w:p w:rsidR="00862B91" w:rsidRPr="00C75611" w:rsidRDefault="00862B91" w:rsidP="00862B91">
            <w:pPr>
              <w:spacing w:before="20" w:after="20"/>
              <w:rPr>
                <w:rFonts w:cs="Arial"/>
                <w:color w:val="000000"/>
                <w:sz w:val="20"/>
                <w:szCs w:val="22"/>
                <w:lang w:eastAsia="en-AU"/>
              </w:rPr>
            </w:pPr>
          </w:p>
        </w:tc>
        <w:tc>
          <w:tcPr>
            <w:tcW w:w="4136" w:type="dxa"/>
            <w:tcBorders>
              <w:top w:val="nil"/>
              <w:left w:val="nil"/>
              <w:bottom w:val="nil"/>
              <w:right w:val="nil"/>
            </w:tcBorders>
            <w:shd w:val="clear" w:color="000000" w:fill="FF9900"/>
            <w:vAlign w:val="bottom"/>
            <w:hideMark/>
          </w:tcPr>
          <w:p w:rsidR="00862B91" w:rsidRPr="00C75611" w:rsidRDefault="00862B91" w:rsidP="00862B91">
            <w:pPr>
              <w:spacing w:before="20" w:after="20"/>
              <w:jc w:val="center"/>
              <w:rPr>
                <w:rFonts w:cs="Arial"/>
                <w:color w:val="000000"/>
                <w:sz w:val="20"/>
                <w:szCs w:val="22"/>
                <w:lang w:eastAsia="en-AU"/>
              </w:rPr>
            </w:pPr>
            <w:r w:rsidRPr="00C75611">
              <w:rPr>
                <w:rFonts w:cs="Arial"/>
                <w:color w:val="000000"/>
                <w:sz w:val="20"/>
                <w:szCs w:val="22"/>
                <w:lang w:eastAsia="en-AU"/>
              </w:rPr>
              <w:t xml:space="preserve">CAT 2 </w:t>
            </w:r>
            <w:r w:rsidRPr="00C75611">
              <w:rPr>
                <w:rFonts w:cs="Arial"/>
                <w:color w:val="000000"/>
                <w:sz w:val="20"/>
                <w:szCs w:val="18"/>
                <w:lang w:eastAsia="en-AU"/>
              </w:rPr>
              <w:t>Priority 3</w:t>
            </w:r>
          </w:p>
        </w:tc>
        <w:tc>
          <w:tcPr>
            <w:tcW w:w="4136" w:type="dxa"/>
            <w:tcBorders>
              <w:top w:val="nil"/>
              <w:left w:val="nil"/>
              <w:right w:val="nil"/>
            </w:tcBorders>
            <w:shd w:val="clear" w:color="000000" w:fill="auto"/>
            <w:vAlign w:val="bottom"/>
          </w:tcPr>
          <w:p w:rsidR="00862B91" w:rsidRPr="00862B91" w:rsidRDefault="00862B91" w:rsidP="00862B91">
            <w:pPr>
              <w:spacing w:before="20" w:after="20"/>
              <w:jc w:val="center"/>
              <w:rPr>
                <w:rFonts w:cs="Arial"/>
                <w:color w:val="000000"/>
                <w:sz w:val="20"/>
                <w:szCs w:val="22"/>
                <w:lang w:eastAsia="en-AU"/>
              </w:rPr>
            </w:pPr>
          </w:p>
        </w:tc>
      </w:tr>
      <w:tr w:rsidR="00862B91" w:rsidRPr="00C75611" w:rsidTr="00862B91">
        <w:trPr>
          <w:trHeight w:val="300"/>
        </w:trPr>
        <w:tc>
          <w:tcPr>
            <w:tcW w:w="1088" w:type="dxa"/>
            <w:vMerge/>
            <w:tcBorders>
              <w:top w:val="nil"/>
              <w:left w:val="nil"/>
              <w:bottom w:val="nil"/>
              <w:right w:val="nil"/>
            </w:tcBorders>
            <w:vAlign w:val="center"/>
            <w:hideMark/>
          </w:tcPr>
          <w:p w:rsidR="00862B91" w:rsidRPr="00C75611" w:rsidRDefault="00862B91" w:rsidP="00862B91">
            <w:pPr>
              <w:spacing w:before="20" w:after="20"/>
              <w:rPr>
                <w:rFonts w:cs="Arial"/>
                <w:color w:val="000000"/>
                <w:sz w:val="20"/>
                <w:szCs w:val="22"/>
                <w:lang w:eastAsia="en-AU"/>
              </w:rPr>
            </w:pPr>
          </w:p>
        </w:tc>
        <w:tc>
          <w:tcPr>
            <w:tcW w:w="4136" w:type="dxa"/>
            <w:tcBorders>
              <w:top w:val="nil"/>
              <w:left w:val="nil"/>
              <w:bottom w:val="nil"/>
              <w:right w:val="nil"/>
            </w:tcBorders>
            <w:shd w:val="clear" w:color="000000" w:fill="FFC000"/>
            <w:noWrap/>
            <w:vAlign w:val="center"/>
            <w:hideMark/>
          </w:tcPr>
          <w:p w:rsidR="00862B91" w:rsidRPr="00C75611" w:rsidRDefault="00862B91" w:rsidP="00862B91">
            <w:pPr>
              <w:spacing w:before="20" w:after="20"/>
              <w:jc w:val="center"/>
              <w:rPr>
                <w:rFonts w:cs="Arial"/>
                <w:color w:val="000000"/>
                <w:sz w:val="20"/>
                <w:szCs w:val="22"/>
                <w:lang w:eastAsia="en-AU"/>
              </w:rPr>
            </w:pPr>
            <w:r w:rsidRPr="00C75611">
              <w:rPr>
                <w:rFonts w:cs="Arial"/>
                <w:color w:val="000000"/>
                <w:sz w:val="20"/>
                <w:szCs w:val="22"/>
                <w:lang w:eastAsia="en-AU"/>
              </w:rPr>
              <w:t xml:space="preserve">CAT 3 </w:t>
            </w:r>
            <w:r w:rsidRPr="00C75611">
              <w:rPr>
                <w:rFonts w:cs="Arial"/>
                <w:color w:val="000000"/>
                <w:sz w:val="20"/>
                <w:szCs w:val="18"/>
                <w:lang w:eastAsia="en-AU"/>
              </w:rPr>
              <w:t>Priority 1</w:t>
            </w:r>
          </w:p>
        </w:tc>
        <w:tc>
          <w:tcPr>
            <w:tcW w:w="4136" w:type="dxa"/>
            <w:tcBorders>
              <w:top w:val="nil"/>
              <w:left w:val="nil"/>
              <w:right w:val="nil"/>
            </w:tcBorders>
            <w:shd w:val="clear" w:color="000000" w:fill="auto"/>
            <w:vAlign w:val="center"/>
          </w:tcPr>
          <w:p w:rsidR="00862B91" w:rsidRPr="00862B91" w:rsidRDefault="00862B91" w:rsidP="00862B91">
            <w:pPr>
              <w:spacing w:before="20" w:after="20"/>
              <w:jc w:val="center"/>
              <w:rPr>
                <w:rFonts w:cs="Arial"/>
                <w:color w:val="000000"/>
                <w:sz w:val="20"/>
                <w:szCs w:val="22"/>
                <w:lang w:eastAsia="en-AU"/>
              </w:rPr>
            </w:pPr>
          </w:p>
        </w:tc>
      </w:tr>
      <w:tr w:rsidR="00862B91" w:rsidRPr="00C75611" w:rsidTr="00862B91">
        <w:trPr>
          <w:trHeight w:val="300"/>
        </w:trPr>
        <w:tc>
          <w:tcPr>
            <w:tcW w:w="1088" w:type="dxa"/>
            <w:vMerge/>
            <w:tcBorders>
              <w:top w:val="nil"/>
              <w:left w:val="nil"/>
              <w:bottom w:val="nil"/>
              <w:right w:val="nil"/>
            </w:tcBorders>
            <w:vAlign w:val="center"/>
            <w:hideMark/>
          </w:tcPr>
          <w:p w:rsidR="00862B91" w:rsidRPr="00C75611" w:rsidRDefault="00862B91" w:rsidP="00862B91">
            <w:pPr>
              <w:spacing w:before="20" w:after="20"/>
              <w:rPr>
                <w:rFonts w:cs="Arial"/>
                <w:color w:val="000000"/>
                <w:sz w:val="20"/>
                <w:szCs w:val="22"/>
                <w:lang w:eastAsia="en-AU"/>
              </w:rPr>
            </w:pPr>
          </w:p>
        </w:tc>
        <w:tc>
          <w:tcPr>
            <w:tcW w:w="4136" w:type="dxa"/>
            <w:tcBorders>
              <w:top w:val="nil"/>
              <w:left w:val="nil"/>
              <w:bottom w:val="nil"/>
              <w:right w:val="nil"/>
            </w:tcBorders>
            <w:shd w:val="clear" w:color="000000" w:fill="FFD653"/>
            <w:noWrap/>
            <w:vAlign w:val="center"/>
            <w:hideMark/>
          </w:tcPr>
          <w:p w:rsidR="00862B91" w:rsidRPr="00C75611" w:rsidRDefault="00862B91" w:rsidP="00862B91">
            <w:pPr>
              <w:spacing w:before="20" w:after="20"/>
              <w:jc w:val="center"/>
              <w:rPr>
                <w:rFonts w:cs="Arial"/>
                <w:color w:val="000000"/>
                <w:sz w:val="20"/>
                <w:szCs w:val="22"/>
                <w:lang w:eastAsia="en-AU"/>
              </w:rPr>
            </w:pPr>
            <w:r w:rsidRPr="00C75611">
              <w:rPr>
                <w:rFonts w:cs="Arial"/>
                <w:color w:val="000000"/>
                <w:sz w:val="20"/>
                <w:szCs w:val="22"/>
                <w:lang w:eastAsia="en-AU"/>
              </w:rPr>
              <w:t xml:space="preserve">CAT 3 </w:t>
            </w:r>
            <w:r w:rsidRPr="00C75611">
              <w:rPr>
                <w:rFonts w:cs="Arial"/>
                <w:color w:val="000000"/>
                <w:sz w:val="20"/>
                <w:szCs w:val="18"/>
                <w:lang w:eastAsia="en-AU"/>
              </w:rPr>
              <w:t>Priority 2</w:t>
            </w:r>
          </w:p>
        </w:tc>
        <w:tc>
          <w:tcPr>
            <w:tcW w:w="4136" w:type="dxa"/>
            <w:tcBorders>
              <w:top w:val="nil"/>
              <w:left w:val="nil"/>
              <w:bottom w:val="nil"/>
              <w:right w:val="nil"/>
            </w:tcBorders>
            <w:shd w:val="clear" w:color="000000" w:fill="auto"/>
            <w:vAlign w:val="center"/>
          </w:tcPr>
          <w:p w:rsidR="00862B91" w:rsidRPr="00862B91" w:rsidRDefault="00862B91" w:rsidP="00862B91">
            <w:pPr>
              <w:spacing w:before="20" w:after="20"/>
              <w:jc w:val="center"/>
              <w:rPr>
                <w:rFonts w:cs="Arial"/>
                <w:color w:val="000000"/>
                <w:sz w:val="20"/>
                <w:szCs w:val="22"/>
                <w:lang w:eastAsia="en-AU"/>
              </w:rPr>
            </w:pPr>
          </w:p>
        </w:tc>
      </w:tr>
      <w:tr w:rsidR="00C75611" w:rsidRPr="00C75611" w:rsidTr="00C75611">
        <w:trPr>
          <w:trHeight w:val="300"/>
        </w:trPr>
        <w:tc>
          <w:tcPr>
            <w:tcW w:w="1088" w:type="dxa"/>
            <w:vMerge/>
            <w:tcBorders>
              <w:top w:val="nil"/>
              <w:left w:val="nil"/>
              <w:bottom w:val="nil"/>
              <w:right w:val="nil"/>
            </w:tcBorders>
            <w:vAlign w:val="center"/>
            <w:hideMark/>
          </w:tcPr>
          <w:p w:rsidR="00C75611" w:rsidRPr="00C75611" w:rsidRDefault="00C75611" w:rsidP="00862B91">
            <w:pPr>
              <w:spacing w:before="20" w:after="20"/>
              <w:rPr>
                <w:rFonts w:cs="Arial"/>
                <w:color w:val="000000"/>
                <w:sz w:val="20"/>
                <w:szCs w:val="22"/>
                <w:lang w:eastAsia="en-AU"/>
              </w:rPr>
            </w:pPr>
          </w:p>
        </w:tc>
        <w:tc>
          <w:tcPr>
            <w:tcW w:w="8272" w:type="dxa"/>
            <w:gridSpan w:val="2"/>
            <w:tcBorders>
              <w:top w:val="nil"/>
              <w:left w:val="nil"/>
              <w:bottom w:val="nil"/>
              <w:right w:val="nil"/>
            </w:tcBorders>
            <w:shd w:val="clear" w:color="auto" w:fill="auto"/>
            <w:noWrap/>
            <w:vAlign w:val="bottom"/>
            <w:hideMark/>
          </w:tcPr>
          <w:p w:rsidR="00C75611" w:rsidRPr="00C75611" w:rsidRDefault="00C75611" w:rsidP="00862B91">
            <w:pPr>
              <w:spacing w:before="20" w:after="20"/>
              <w:rPr>
                <w:rFonts w:cs="Arial"/>
                <w:color w:val="000000"/>
                <w:sz w:val="20"/>
                <w:szCs w:val="22"/>
                <w:lang w:eastAsia="en-AU"/>
              </w:rPr>
            </w:pPr>
            <w:r w:rsidRPr="00C75611">
              <w:rPr>
                <w:rFonts w:cs="Arial"/>
                <w:color w:val="000000"/>
                <w:sz w:val="20"/>
                <w:szCs w:val="22"/>
                <w:lang w:eastAsia="en-AU"/>
              </w:rPr>
              <w:t xml:space="preserve">FDP </w:t>
            </w:r>
            <w:r w:rsidR="00862B91" w:rsidRPr="00862B91">
              <w:rPr>
                <w:rFonts w:cs="Arial"/>
                <w:color w:val="000000"/>
                <w:sz w:val="20"/>
                <w:szCs w:val="22"/>
                <w:lang w:eastAsia="en-AU"/>
              </w:rPr>
              <w:t xml:space="preserve"> </w:t>
            </w:r>
            <w:r w:rsidRPr="00C75611">
              <w:rPr>
                <w:rFonts w:cs="Arial"/>
                <w:color w:val="000000"/>
                <w:sz w:val="20"/>
                <w:szCs w:val="22"/>
                <w:lang w:eastAsia="en-AU"/>
              </w:rPr>
              <w:t xml:space="preserve">= </w:t>
            </w:r>
            <w:r w:rsidR="00862B91" w:rsidRPr="00862B91">
              <w:rPr>
                <w:rFonts w:cs="Arial"/>
                <w:color w:val="000000"/>
                <w:sz w:val="20"/>
                <w:szCs w:val="22"/>
                <w:lang w:eastAsia="en-AU"/>
              </w:rPr>
              <w:t xml:space="preserve"> </w:t>
            </w:r>
            <w:r w:rsidRPr="00C75611">
              <w:rPr>
                <w:rFonts w:cs="Arial"/>
                <w:color w:val="000000"/>
                <w:sz w:val="20"/>
                <w:szCs w:val="22"/>
                <w:lang w:eastAsia="en-AU"/>
              </w:rPr>
              <w:t>Fire danger period</w:t>
            </w:r>
          </w:p>
        </w:tc>
      </w:tr>
      <w:tr w:rsidR="00C75611" w:rsidRPr="00C75611" w:rsidTr="00C75611">
        <w:trPr>
          <w:trHeight w:val="300"/>
        </w:trPr>
        <w:tc>
          <w:tcPr>
            <w:tcW w:w="1088" w:type="dxa"/>
            <w:vMerge/>
            <w:tcBorders>
              <w:top w:val="nil"/>
              <w:left w:val="nil"/>
              <w:bottom w:val="nil"/>
              <w:right w:val="nil"/>
            </w:tcBorders>
            <w:vAlign w:val="center"/>
            <w:hideMark/>
          </w:tcPr>
          <w:p w:rsidR="00C75611" w:rsidRPr="00C75611" w:rsidRDefault="00C75611" w:rsidP="00862B91">
            <w:pPr>
              <w:spacing w:before="20" w:after="20"/>
              <w:rPr>
                <w:rFonts w:cs="Arial"/>
                <w:color w:val="000000"/>
                <w:sz w:val="20"/>
                <w:szCs w:val="22"/>
                <w:lang w:eastAsia="en-AU"/>
              </w:rPr>
            </w:pPr>
          </w:p>
        </w:tc>
        <w:tc>
          <w:tcPr>
            <w:tcW w:w="8272" w:type="dxa"/>
            <w:gridSpan w:val="2"/>
            <w:tcBorders>
              <w:top w:val="nil"/>
              <w:left w:val="nil"/>
              <w:bottom w:val="nil"/>
              <w:right w:val="nil"/>
            </w:tcBorders>
            <w:shd w:val="clear" w:color="auto" w:fill="auto"/>
            <w:noWrap/>
            <w:vAlign w:val="bottom"/>
            <w:hideMark/>
          </w:tcPr>
          <w:p w:rsidR="00C75611" w:rsidRPr="00C75611" w:rsidRDefault="00C75611" w:rsidP="00862B91">
            <w:pPr>
              <w:spacing w:before="20" w:after="20"/>
              <w:rPr>
                <w:rFonts w:cs="Arial"/>
                <w:color w:val="000000"/>
                <w:sz w:val="20"/>
                <w:szCs w:val="22"/>
                <w:lang w:eastAsia="en-AU"/>
              </w:rPr>
            </w:pPr>
            <w:proofErr w:type="gramStart"/>
            <w:r w:rsidRPr="00C75611">
              <w:rPr>
                <w:rFonts w:cs="Arial"/>
                <w:color w:val="000000"/>
                <w:sz w:val="20"/>
                <w:szCs w:val="22"/>
                <w:lang w:eastAsia="en-AU"/>
              </w:rPr>
              <w:t xml:space="preserve">BFPA </w:t>
            </w:r>
            <w:r w:rsidR="00862B91" w:rsidRPr="00862B91">
              <w:rPr>
                <w:rFonts w:cs="Arial"/>
                <w:color w:val="000000"/>
                <w:sz w:val="20"/>
                <w:szCs w:val="22"/>
                <w:lang w:eastAsia="en-AU"/>
              </w:rPr>
              <w:t xml:space="preserve"> </w:t>
            </w:r>
            <w:r w:rsidRPr="00C75611">
              <w:rPr>
                <w:rFonts w:cs="Arial"/>
                <w:color w:val="000000"/>
                <w:sz w:val="20"/>
                <w:szCs w:val="22"/>
                <w:lang w:eastAsia="en-AU"/>
              </w:rPr>
              <w:t>=</w:t>
            </w:r>
            <w:proofErr w:type="gramEnd"/>
            <w:r w:rsidRPr="00C75611">
              <w:rPr>
                <w:rFonts w:cs="Arial"/>
                <w:color w:val="000000"/>
                <w:sz w:val="20"/>
                <w:szCs w:val="22"/>
                <w:lang w:eastAsia="en-AU"/>
              </w:rPr>
              <w:t xml:space="preserve"> </w:t>
            </w:r>
            <w:r w:rsidR="00862B91" w:rsidRPr="00862B91">
              <w:rPr>
                <w:rFonts w:cs="Arial"/>
                <w:color w:val="000000"/>
                <w:sz w:val="20"/>
                <w:szCs w:val="22"/>
                <w:lang w:eastAsia="en-AU"/>
              </w:rPr>
              <w:t xml:space="preserve"> </w:t>
            </w:r>
            <w:r w:rsidRPr="00C75611">
              <w:rPr>
                <w:rFonts w:cs="Arial"/>
                <w:color w:val="000000"/>
                <w:sz w:val="20"/>
                <w:szCs w:val="22"/>
                <w:lang w:eastAsia="en-AU"/>
              </w:rPr>
              <w:t>Bush fire prone area. This is a measure of the potential community impact risk level from modelling where available.</w:t>
            </w:r>
          </w:p>
        </w:tc>
      </w:tr>
      <w:tr w:rsidR="00C75611" w:rsidRPr="00C75611" w:rsidTr="00C75611">
        <w:trPr>
          <w:trHeight w:val="300"/>
        </w:trPr>
        <w:tc>
          <w:tcPr>
            <w:tcW w:w="1088" w:type="dxa"/>
            <w:vMerge/>
            <w:tcBorders>
              <w:top w:val="nil"/>
              <w:left w:val="nil"/>
              <w:bottom w:val="nil"/>
              <w:right w:val="nil"/>
            </w:tcBorders>
            <w:vAlign w:val="center"/>
            <w:hideMark/>
          </w:tcPr>
          <w:p w:rsidR="00C75611" w:rsidRPr="00C75611" w:rsidRDefault="00C75611" w:rsidP="00862B91">
            <w:pPr>
              <w:spacing w:before="20" w:after="20"/>
              <w:rPr>
                <w:rFonts w:cs="Arial"/>
                <w:color w:val="000000"/>
                <w:sz w:val="20"/>
                <w:szCs w:val="22"/>
                <w:lang w:eastAsia="en-AU"/>
              </w:rPr>
            </w:pPr>
          </w:p>
        </w:tc>
        <w:tc>
          <w:tcPr>
            <w:tcW w:w="8272" w:type="dxa"/>
            <w:gridSpan w:val="2"/>
            <w:tcBorders>
              <w:top w:val="nil"/>
              <w:left w:val="nil"/>
              <w:bottom w:val="nil"/>
              <w:right w:val="nil"/>
            </w:tcBorders>
            <w:shd w:val="clear" w:color="auto" w:fill="auto"/>
            <w:noWrap/>
            <w:vAlign w:val="bottom"/>
            <w:hideMark/>
          </w:tcPr>
          <w:p w:rsidR="00C75611" w:rsidRPr="00C75611" w:rsidRDefault="00862B91" w:rsidP="00862B91">
            <w:pPr>
              <w:spacing w:before="20" w:after="20"/>
              <w:rPr>
                <w:rFonts w:cs="Arial"/>
                <w:color w:val="000000"/>
                <w:sz w:val="20"/>
                <w:szCs w:val="22"/>
                <w:lang w:eastAsia="en-AU"/>
              </w:rPr>
            </w:pPr>
            <w:proofErr w:type="gramStart"/>
            <w:r w:rsidRPr="00862B91">
              <w:rPr>
                <w:rFonts w:cs="Arial"/>
                <w:color w:val="000000"/>
                <w:sz w:val="20"/>
                <w:szCs w:val="22"/>
                <w:lang w:eastAsia="en-AU"/>
              </w:rPr>
              <w:t>M</w:t>
            </w:r>
            <w:r w:rsidR="00C75611" w:rsidRPr="00C75611">
              <w:rPr>
                <w:rFonts w:cs="Arial"/>
                <w:color w:val="000000"/>
                <w:sz w:val="20"/>
                <w:szCs w:val="22"/>
                <w:lang w:eastAsia="en-AU"/>
              </w:rPr>
              <w:t>in</w:t>
            </w:r>
            <w:r w:rsidRPr="00862B91">
              <w:rPr>
                <w:rFonts w:cs="Arial"/>
                <w:color w:val="000000"/>
                <w:sz w:val="20"/>
                <w:szCs w:val="22"/>
                <w:lang w:eastAsia="en-AU"/>
              </w:rPr>
              <w:t xml:space="preserve"> </w:t>
            </w:r>
            <w:r w:rsidR="00C75611" w:rsidRPr="00C75611">
              <w:rPr>
                <w:rFonts w:cs="Arial"/>
                <w:color w:val="000000"/>
                <w:sz w:val="20"/>
                <w:szCs w:val="22"/>
                <w:lang w:eastAsia="en-AU"/>
              </w:rPr>
              <w:t xml:space="preserve"> =</w:t>
            </w:r>
            <w:proofErr w:type="gramEnd"/>
            <w:r w:rsidR="00C75611" w:rsidRPr="00C75611">
              <w:rPr>
                <w:rFonts w:cs="Arial"/>
                <w:color w:val="000000"/>
                <w:sz w:val="20"/>
                <w:szCs w:val="22"/>
                <w:lang w:eastAsia="en-AU"/>
              </w:rPr>
              <w:t xml:space="preserve"> </w:t>
            </w:r>
            <w:r w:rsidRPr="00862B91">
              <w:rPr>
                <w:rFonts w:cs="Arial"/>
                <w:color w:val="000000"/>
                <w:sz w:val="20"/>
                <w:szCs w:val="22"/>
                <w:lang w:eastAsia="en-AU"/>
              </w:rPr>
              <w:t xml:space="preserve"> </w:t>
            </w:r>
            <w:r w:rsidR="00C75611" w:rsidRPr="00C75611">
              <w:rPr>
                <w:rFonts w:cs="Arial"/>
                <w:color w:val="000000"/>
                <w:sz w:val="20"/>
                <w:szCs w:val="22"/>
                <w:lang w:eastAsia="en-AU"/>
              </w:rPr>
              <w:t xml:space="preserve">minimum or minor degree of encroachment. </w:t>
            </w:r>
          </w:p>
        </w:tc>
      </w:tr>
      <w:tr w:rsidR="00C75611" w:rsidRPr="00C75611" w:rsidTr="00C75611">
        <w:trPr>
          <w:trHeight w:val="300"/>
        </w:trPr>
        <w:tc>
          <w:tcPr>
            <w:tcW w:w="1088" w:type="dxa"/>
            <w:tcBorders>
              <w:top w:val="nil"/>
              <w:left w:val="nil"/>
              <w:bottom w:val="nil"/>
              <w:right w:val="nil"/>
            </w:tcBorders>
            <w:shd w:val="clear" w:color="auto" w:fill="auto"/>
            <w:hideMark/>
          </w:tcPr>
          <w:p w:rsidR="00C75611" w:rsidRPr="00C75611" w:rsidRDefault="00C75611" w:rsidP="00862B91">
            <w:pPr>
              <w:spacing w:before="20" w:after="20"/>
              <w:rPr>
                <w:rFonts w:cs="Arial"/>
                <w:color w:val="000000"/>
                <w:sz w:val="20"/>
                <w:szCs w:val="22"/>
                <w:lang w:eastAsia="en-AU"/>
              </w:rPr>
            </w:pPr>
            <w:r w:rsidRPr="00C75611">
              <w:rPr>
                <w:rFonts w:cs="Arial"/>
                <w:color w:val="000000"/>
                <w:sz w:val="20"/>
                <w:szCs w:val="22"/>
                <w:lang w:eastAsia="en-AU"/>
              </w:rPr>
              <w:t>Notes:</w:t>
            </w:r>
          </w:p>
        </w:tc>
        <w:tc>
          <w:tcPr>
            <w:tcW w:w="8272" w:type="dxa"/>
            <w:gridSpan w:val="2"/>
            <w:tcBorders>
              <w:top w:val="nil"/>
              <w:left w:val="nil"/>
              <w:bottom w:val="nil"/>
              <w:right w:val="nil"/>
            </w:tcBorders>
            <w:shd w:val="clear" w:color="auto" w:fill="auto"/>
            <w:noWrap/>
            <w:vAlign w:val="bottom"/>
            <w:hideMark/>
          </w:tcPr>
          <w:p w:rsidR="00C75611" w:rsidRPr="00C75611" w:rsidRDefault="00C75611" w:rsidP="00862B91">
            <w:pPr>
              <w:spacing w:before="20" w:after="20"/>
              <w:rPr>
                <w:rFonts w:cs="Arial"/>
                <w:color w:val="000000"/>
                <w:sz w:val="20"/>
                <w:szCs w:val="22"/>
                <w:lang w:eastAsia="en-AU"/>
              </w:rPr>
            </w:pPr>
            <w:proofErr w:type="gramStart"/>
            <w:r w:rsidRPr="00C75611">
              <w:rPr>
                <w:rFonts w:cs="Arial"/>
                <w:color w:val="000000"/>
                <w:sz w:val="20"/>
                <w:szCs w:val="22"/>
                <w:lang w:eastAsia="en-AU"/>
              </w:rPr>
              <w:t xml:space="preserve">max </w:t>
            </w:r>
            <w:r w:rsidR="00862B91" w:rsidRPr="00862B91">
              <w:rPr>
                <w:rFonts w:cs="Arial"/>
                <w:color w:val="000000"/>
                <w:sz w:val="20"/>
                <w:szCs w:val="22"/>
                <w:lang w:eastAsia="en-AU"/>
              </w:rPr>
              <w:t xml:space="preserve"> </w:t>
            </w:r>
            <w:r w:rsidRPr="00C75611">
              <w:rPr>
                <w:rFonts w:cs="Arial"/>
                <w:color w:val="000000"/>
                <w:sz w:val="20"/>
                <w:szCs w:val="22"/>
                <w:lang w:eastAsia="en-AU"/>
              </w:rPr>
              <w:t>=</w:t>
            </w:r>
            <w:proofErr w:type="gramEnd"/>
            <w:r w:rsidR="00862B91" w:rsidRPr="00862B91">
              <w:rPr>
                <w:rFonts w:cs="Arial"/>
                <w:color w:val="000000"/>
                <w:sz w:val="20"/>
                <w:szCs w:val="22"/>
                <w:lang w:eastAsia="en-AU"/>
              </w:rPr>
              <w:t xml:space="preserve"> </w:t>
            </w:r>
            <w:r w:rsidRPr="00C75611">
              <w:rPr>
                <w:rFonts w:cs="Arial"/>
                <w:color w:val="000000"/>
                <w:sz w:val="20"/>
                <w:szCs w:val="22"/>
                <w:lang w:eastAsia="en-AU"/>
              </w:rPr>
              <w:t xml:space="preserve"> encroachments entering an </w:t>
            </w:r>
            <w:r w:rsidR="00862B91" w:rsidRPr="00862B91">
              <w:rPr>
                <w:rFonts w:cs="Arial"/>
                <w:color w:val="000000"/>
                <w:sz w:val="20"/>
                <w:szCs w:val="22"/>
                <w:lang w:eastAsia="en-AU"/>
              </w:rPr>
              <w:t>i</w:t>
            </w:r>
            <w:r w:rsidRPr="00C75611">
              <w:rPr>
                <w:rFonts w:cs="Arial"/>
                <w:color w:val="000000"/>
                <w:sz w:val="20"/>
                <w:szCs w:val="22"/>
                <w:lang w:eastAsia="en-AU"/>
              </w:rPr>
              <w:t xml:space="preserve">ntolerable zone with higher risk of contact in more typically experienced winds. </w:t>
            </w:r>
          </w:p>
        </w:tc>
      </w:tr>
      <w:tr w:rsidR="00C75611" w:rsidRPr="00C75611" w:rsidTr="00C75611">
        <w:trPr>
          <w:trHeight w:val="300"/>
        </w:trPr>
        <w:tc>
          <w:tcPr>
            <w:tcW w:w="9360" w:type="dxa"/>
            <w:gridSpan w:val="3"/>
            <w:tcBorders>
              <w:top w:val="nil"/>
              <w:left w:val="nil"/>
              <w:bottom w:val="nil"/>
              <w:right w:val="nil"/>
            </w:tcBorders>
            <w:shd w:val="clear" w:color="auto" w:fill="auto"/>
            <w:noWrap/>
            <w:hideMark/>
          </w:tcPr>
          <w:p w:rsidR="00C75611" w:rsidRPr="00C75611" w:rsidRDefault="00C75611" w:rsidP="007A260F">
            <w:pPr>
              <w:numPr>
                <w:ilvl w:val="0"/>
                <w:numId w:val="6"/>
              </w:numPr>
              <w:spacing w:before="20" w:after="20"/>
              <w:rPr>
                <w:rFonts w:cs="Arial"/>
                <w:color w:val="000000"/>
                <w:sz w:val="20"/>
                <w:szCs w:val="22"/>
                <w:lang w:eastAsia="en-AU"/>
              </w:rPr>
            </w:pPr>
            <w:r w:rsidRPr="00C75611">
              <w:rPr>
                <w:rFonts w:cs="Arial"/>
                <w:color w:val="000000"/>
                <w:sz w:val="20"/>
                <w:szCs w:val="22"/>
                <w:lang w:eastAsia="en-AU"/>
              </w:rPr>
              <w:t xml:space="preserve">Encroachment level is determined by distributor inspection methods </w:t>
            </w:r>
            <w:proofErr w:type="spellStart"/>
            <w:r w:rsidRPr="00C75611">
              <w:rPr>
                <w:rFonts w:cs="Arial"/>
                <w:color w:val="000000"/>
                <w:sz w:val="20"/>
                <w:szCs w:val="22"/>
                <w:lang w:eastAsia="en-AU"/>
              </w:rPr>
              <w:t>e.g</w:t>
            </w:r>
            <w:proofErr w:type="spellEnd"/>
            <w:r w:rsidRPr="00C75611">
              <w:rPr>
                <w:rFonts w:cs="Arial"/>
                <w:color w:val="000000"/>
                <w:sz w:val="20"/>
                <w:szCs w:val="22"/>
                <w:lang w:eastAsia="en-AU"/>
              </w:rPr>
              <w:t xml:space="preserve"> Visual AP, AP&amp;A (Lidar), any other Audit process.</w:t>
            </w:r>
          </w:p>
        </w:tc>
      </w:tr>
      <w:tr w:rsidR="00C75611" w:rsidRPr="00C75611" w:rsidTr="00C75611">
        <w:trPr>
          <w:trHeight w:val="300"/>
        </w:trPr>
        <w:tc>
          <w:tcPr>
            <w:tcW w:w="9360" w:type="dxa"/>
            <w:gridSpan w:val="3"/>
            <w:tcBorders>
              <w:top w:val="nil"/>
              <w:left w:val="nil"/>
              <w:bottom w:val="nil"/>
              <w:right w:val="nil"/>
            </w:tcBorders>
            <w:shd w:val="clear" w:color="auto" w:fill="auto"/>
            <w:noWrap/>
            <w:vAlign w:val="bottom"/>
            <w:hideMark/>
          </w:tcPr>
          <w:p w:rsidR="00C75611" w:rsidRPr="00C75611" w:rsidRDefault="00C75611" w:rsidP="007A260F">
            <w:pPr>
              <w:numPr>
                <w:ilvl w:val="0"/>
                <w:numId w:val="6"/>
              </w:numPr>
              <w:spacing w:before="20" w:after="20"/>
              <w:rPr>
                <w:rFonts w:cs="Arial"/>
                <w:color w:val="000000"/>
                <w:sz w:val="20"/>
                <w:szCs w:val="22"/>
                <w:lang w:eastAsia="en-AU"/>
              </w:rPr>
            </w:pPr>
            <w:r w:rsidRPr="00C75611">
              <w:rPr>
                <w:rFonts w:cs="Arial"/>
                <w:color w:val="000000"/>
                <w:sz w:val="20"/>
                <w:szCs w:val="22"/>
                <w:lang w:eastAsia="en-AU"/>
              </w:rPr>
              <w:t>Specified clearance tables will be the NNSW Common Standard clearance tables based on ISSC3.</w:t>
            </w:r>
          </w:p>
        </w:tc>
      </w:tr>
    </w:tbl>
    <w:p w:rsidR="00C75611" w:rsidRDefault="00C75611" w:rsidP="00C75611"/>
    <w:p w:rsidR="00913217" w:rsidRPr="00913217" w:rsidRDefault="003B6D2E" w:rsidP="00C75611">
      <w:pPr>
        <w:pStyle w:val="Heading1"/>
      </w:pPr>
      <w:r w:rsidRPr="00C75611">
        <w:br w:type="page"/>
      </w:r>
      <w:r w:rsidR="00913217" w:rsidRPr="00913217">
        <w:t>Implementation strategy</w:t>
      </w:r>
    </w:p>
    <w:p w:rsidR="006B0D77" w:rsidRPr="008D6D37" w:rsidRDefault="006B0D77" w:rsidP="006B0D77">
      <w:pPr>
        <w:spacing w:before="120" w:line="240" w:lineRule="atLeast"/>
        <w:ind w:left="360"/>
      </w:pPr>
      <w:r w:rsidRPr="008D6D37">
        <w:t xml:space="preserve">The implementation of a common defect prioritisation framework will require the </w:t>
      </w:r>
      <w:r w:rsidR="008D6D37">
        <w:t xml:space="preserve">Network </w:t>
      </w:r>
      <w:r w:rsidRPr="008D6D37">
        <w:t>development of a transition path</w:t>
      </w:r>
      <w:r w:rsidR="008D6D37">
        <w:t xml:space="preserve"> to the common framework</w:t>
      </w:r>
      <w:r w:rsidRPr="008D6D37">
        <w:t xml:space="preserve"> covering updating of asset systems, asset reporting, review of current open defect data and field implementation for both mobile devices and paper based systems).</w:t>
      </w:r>
    </w:p>
    <w:p w:rsidR="00913217" w:rsidRPr="008D6D37" w:rsidRDefault="006B0D77" w:rsidP="006B0D77">
      <w:pPr>
        <w:spacing w:before="120" w:line="240" w:lineRule="atLeast"/>
        <w:ind w:left="360"/>
      </w:pPr>
      <w:r w:rsidRPr="008D6D37">
        <w:t>The t</w:t>
      </w:r>
      <w:r w:rsidR="00913217" w:rsidRPr="008D6D37">
        <w:t xml:space="preserve">ransition </w:t>
      </w:r>
      <w:r w:rsidRPr="008D6D37">
        <w:t xml:space="preserve">planning should consider, </w:t>
      </w:r>
    </w:p>
    <w:p w:rsidR="006B0D77" w:rsidRPr="008D6D37" w:rsidRDefault="00913217" w:rsidP="007A260F">
      <w:pPr>
        <w:numPr>
          <w:ilvl w:val="0"/>
          <w:numId w:val="5"/>
        </w:numPr>
        <w:spacing w:before="120" w:line="240" w:lineRule="atLeast"/>
      </w:pPr>
      <w:r w:rsidRPr="008D6D37">
        <w:t xml:space="preserve">Creation of new priorities in Asset System (SAP, Ellipse and WASP) to align with </w:t>
      </w:r>
      <w:r w:rsidR="006B0D77" w:rsidRPr="008D6D37">
        <w:t>common</w:t>
      </w:r>
      <w:r w:rsidRPr="008D6D37">
        <w:t xml:space="preserve"> framework, </w:t>
      </w:r>
      <w:r w:rsidR="006B0D77" w:rsidRPr="008D6D37">
        <w:t>with consideration of legacy data compatibility.</w:t>
      </w:r>
    </w:p>
    <w:p w:rsidR="00D379BD" w:rsidRPr="008D6D37" w:rsidRDefault="00D379BD" w:rsidP="007A260F">
      <w:pPr>
        <w:numPr>
          <w:ilvl w:val="0"/>
          <w:numId w:val="5"/>
        </w:numPr>
        <w:spacing w:before="120" w:line="240" w:lineRule="atLeast"/>
      </w:pPr>
      <w:r w:rsidRPr="008D6D37">
        <w:t>Brief staff and deploy new framework to mobile devices and paper based systems.  Suspend old prioritisation categories for any new defect creation / reprioritisation in asset systems.</w:t>
      </w:r>
    </w:p>
    <w:p w:rsidR="006B0D77" w:rsidRPr="008D6D37" w:rsidRDefault="006B0D77" w:rsidP="007A260F">
      <w:pPr>
        <w:numPr>
          <w:ilvl w:val="0"/>
          <w:numId w:val="5"/>
        </w:numPr>
        <w:spacing w:before="120" w:line="240" w:lineRule="atLeast"/>
      </w:pPr>
      <w:r w:rsidRPr="008D6D37">
        <w:t xml:space="preserve">Open defect review/transition strategy.  It will not be practical to </w:t>
      </w:r>
      <w:proofErr w:type="gramStart"/>
      <w:r w:rsidRPr="008D6D37">
        <w:t>migrate</w:t>
      </w:r>
      <w:proofErr w:type="gramEnd"/>
      <w:r w:rsidRPr="008D6D37">
        <w:t xml:space="preserve"> all defects immediately into the new framework, and therefore the development of a staged open defect migration plan will be required</w:t>
      </w:r>
      <w:r w:rsidR="00D379BD" w:rsidRPr="008D6D37">
        <w:t>, with some distinct milestones for project control purposes</w:t>
      </w:r>
      <w:r w:rsidRPr="008D6D37">
        <w:t>.  This plan should consider</w:t>
      </w:r>
      <w:r w:rsidR="00D379BD" w:rsidRPr="008D6D37">
        <w:t xml:space="preserve"> the higher risk type defects for initial assessment, including overdue defects and then open defects by category</w:t>
      </w:r>
      <w:r w:rsidRPr="008D6D37">
        <w:t>;</w:t>
      </w:r>
    </w:p>
    <w:p w:rsidR="006B0D77" w:rsidRPr="008D6D37" w:rsidRDefault="006B0D77" w:rsidP="007A260F">
      <w:pPr>
        <w:numPr>
          <w:ilvl w:val="1"/>
          <w:numId w:val="5"/>
        </w:numPr>
        <w:spacing w:before="120" w:line="240" w:lineRule="atLeast"/>
      </w:pPr>
      <w:r w:rsidRPr="008D6D37">
        <w:t xml:space="preserve"> Review open overdue urgent / risk </w:t>
      </w:r>
      <w:r w:rsidR="00D379BD" w:rsidRPr="008D6D37">
        <w:t>defects</w:t>
      </w:r>
      <w:r w:rsidRPr="008D6D37">
        <w:t xml:space="preserve"> in asset system</w:t>
      </w:r>
      <w:r w:rsidR="00D379BD" w:rsidRPr="008D6D37">
        <w:t xml:space="preserve"> for validity (completed and not closed – if so then close defect)</w:t>
      </w:r>
      <w:r w:rsidRPr="008D6D37">
        <w:t xml:space="preserve"> and re categorise </w:t>
      </w:r>
      <w:r w:rsidR="00D379BD" w:rsidRPr="008D6D37">
        <w:t xml:space="preserve">valid defects </w:t>
      </w:r>
      <w:r w:rsidRPr="008D6D37">
        <w:t>to common framework</w:t>
      </w:r>
      <w:r w:rsidR="00D379BD" w:rsidRPr="008D6D37">
        <w:t>.</w:t>
      </w:r>
    </w:p>
    <w:p w:rsidR="006B0D77" w:rsidRPr="008D6D37" w:rsidRDefault="006B0D77" w:rsidP="007A260F">
      <w:pPr>
        <w:numPr>
          <w:ilvl w:val="1"/>
          <w:numId w:val="5"/>
        </w:numPr>
        <w:spacing w:before="120" w:line="240" w:lineRule="atLeast"/>
      </w:pPr>
      <w:r w:rsidRPr="008D6D37">
        <w:t xml:space="preserve">Review open urgent / risk </w:t>
      </w:r>
      <w:r w:rsidR="00D379BD" w:rsidRPr="008D6D37">
        <w:t>defect</w:t>
      </w:r>
      <w:r w:rsidRPr="008D6D37">
        <w:t xml:space="preserve">s in asset system </w:t>
      </w:r>
      <w:r w:rsidR="00D379BD" w:rsidRPr="008D6D37">
        <w:t xml:space="preserve">for validity </w:t>
      </w:r>
      <w:r w:rsidRPr="008D6D37">
        <w:t>and re categorise to common framework</w:t>
      </w:r>
    </w:p>
    <w:p w:rsidR="006B0D77" w:rsidRPr="008D6D37" w:rsidRDefault="006B0D77" w:rsidP="007A260F">
      <w:pPr>
        <w:numPr>
          <w:ilvl w:val="1"/>
          <w:numId w:val="5"/>
        </w:numPr>
        <w:spacing w:before="120" w:line="240" w:lineRule="atLeast"/>
      </w:pPr>
      <w:r w:rsidRPr="008D6D37">
        <w:t xml:space="preserve">Review open overdue prioritise / general maintenance </w:t>
      </w:r>
      <w:r w:rsidR="00D379BD" w:rsidRPr="008D6D37">
        <w:t>defects</w:t>
      </w:r>
      <w:r w:rsidRPr="008D6D37">
        <w:t xml:space="preserve"> in asset system </w:t>
      </w:r>
      <w:r w:rsidR="00D379BD" w:rsidRPr="008D6D37">
        <w:t xml:space="preserve">for validity </w:t>
      </w:r>
      <w:r w:rsidRPr="008D6D37">
        <w:t>and re categorise to common framework</w:t>
      </w:r>
    </w:p>
    <w:p w:rsidR="006B0D77" w:rsidRPr="008D6D37" w:rsidRDefault="006B0D77" w:rsidP="007A260F">
      <w:pPr>
        <w:numPr>
          <w:ilvl w:val="1"/>
          <w:numId w:val="5"/>
        </w:numPr>
        <w:spacing w:before="120" w:line="240" w:lineRule="atLeast"/>
      </w:pPr>
      <w:r w:rsidRPr="008D6D37">
        <w:t>Review open overdue prioritise / general maintenance</w:t>
      </w:r>
      <w:r w:rsidR="00D379BD" w:rsidRPr="008D6D37">
        <w:t xml:space="preserve"> defects</w:t>
      </w:r>
      <w:r w:rsidRPr="008D6D37">
        <w:t xml:space="preserve"> in asset system </w:t>
      </w:r>
      <w:r w:rsidR="00D379BD" w:rsidRPr="008D6D37">
        <w:t xml:space="preserve">for validity </w:t>
      </w:r>
      <w:r w:rsidRPr="008D6D37">
        <w:t>and re categorise to common framework</w:t>
      </w:r>
    </w:p>
    <w:p w:rsidR="00D379BD" w:rsidRPr="008D6D37" w:rsidRDefault="006B0D77" w:rsidP="007A260F">
      <w:pPr>
        <w:numPr>
          <w:ilvl w:val="1"/>
          <w:numId w:val="5"/>
        </w:numPr>
        <w:spacing w:before="120" w:line="240" w:lineRule="atLeast"/>
      </w:pPr>
      <w:r w:rsidRPr="008D6D37">
        <w:t xml:space="preserve">Review open </w:t>
      </w:r>
      <w:r w:rsidR="00D379BD" w:rsidRPr="008D6D37">
        <w:t>prioritise / general maintenance defects in asset system for validity and re categorise to common framework</w:t>
      </w:r>
    </w:p>
    <w:p w:rsidR="006B0D77" w:rsidRPr="008D6D37" w:rsidRDefault="00D379BD" w:rsidP="007A260F">
      <w:pPr>
        <w:numPr>
          <w:ilvl w:val="1"/>
          <w:numId w:val="5"/>
        </w:numPr>
        <w:spacing w:before="120" w:line="240" w:lineRule="atLeast"/>
      </w:pPr>
      <w:r w:rsidRPr="008D6D37">
        <w:t xml:space="preserve">Review the validity of  watch / </w:t>
      </w:r>
      <w:r w:rsidR="006B0D77" w:rsidRPr="008D6D37">
        <w:t>next maintenance</w:t>
      </w:r>
      <w:r w:rsidRPr="008D6D37">
        <w:t xml:space="preserve">  type defects</w:t>
      </w:r>
      <w:r w:rsidR="006B0D77" w:rsidRPr="008D6D37">
        <w:t xml:space="preserve"> in asset system and re categorise to common framework</w:t>
      </w:r>
      <w:r w:rsidRPr="008D6D37">
        <w:t xml:space="preserve"> of Observation</w:t>
      </w:r>
    </w:p>
    <w:p w:rsidR="00913217" w:rsidRPr="008D6D37" w:rsidRDefault="00D379BD" w:rsidP="007A260F">
      <w:pPr>
        <w:numPr>
          <w:ilvl w:val="0"/>
          <w:numId w:val="5"/>
        </w:numPr>
        <w:spacing w:before="120" w:line="240" w:lineRule="atLeast"/>
      </w:pPr>
      <w:r w:rsidRPr="008D6D37">
        <w:t>G</w:t>
      </w:r>
      <w:r w:rsidR="00913217" w:rsidRPr="008D6D37">
        <w:t>enerate transitional reporting for NPRs and organisational reporting</w:t>
      </w:r>
      <w:r w:rsidRPr="008D6D37">
        <w:t xml:space="preserve"> for internal defect management purposes</w:t>
      </w:r>
    </w:p>
    <w:p w:rsidR="000556A3" w:rsidRDefault="000556A3" w:rsidP="00AF0CF9">
      <w:pPr>
        <w:spacing w:before="120" w:line="240" w:lineRule="atLeast"/>
        <w:rPr>
          <w:i/>
        </w:rPr>
      </w:pPr>
    </w:p>
    <w:p w:rsidR="0081191A" w:rsidRPr="00B35C4C" w:rsidRDefault="00E64294" w:rsidP="008D6D37">
      <w:pPr>
        <w:pStyle w:val="Heading1"/>
        <w:pageBreakBefore/>
      </w:pPr>
      <w:r w:rsidRPr="00B35C4C">
        <w:t>Further actions</w:t>
      </w:r>
    </w:p>
    <w:p w:rsidR="00F8157A" w:rsidRPr="000560D6" w:rsidRDefault="0081191A" w:rsidP="0081191A">
      <w:pPr>
        <w:spacing w:before="120" w:after="120" w:line="240" w:lineRule="atLeast"/>
        <w:rPr>
          <w:sz w:val="20"/>
        </w:rPr>
      </w:pPr>
      <w:r w:rsidRPr="000560D6">
        <w:rPr>
          <w:sz w:val="20"/>
        </w:rPr>
        <w:t xml:space="preserve">It is recommended that </w:t>
      </w:r>
      <w:r w:rsidR="007E3E34">
        <w:rPr>
          <w:sz w:val="20"/>
        </w:rPr>
        <w:t xml:space="preserve">each </w:t>
      </w:r>
      <w:r w:rsidR="00484DBB">
        <w:rPr>
          <w:sz w:val="20"/>
        </w:rPr>
        <w:t>business</w:t>
      </w:r>
      <w:r w:rsidR="00F8157A" w:rsidRPr="000560D6">
        <w:rPr>
          <w:sz w:val="20"/>
        </w:rPr>
        <w:t>;</w:t>
      </w:r>
    </w:p>
    <w:p w:rsidR="0081191A" w:rsidRPr="006126D4" w:rsidRDefault="006126D4" w:rsidP="007A260F">
      <w:pPr>
        <w:numPr>
          <w:ilvl w:val="0"/>
          <w:numId w:val="1"/>
        </w:numPr>
        <w:spacing w:before="120" w:after="120" w:line="240" w:lineRule="atLeast"/>
        <w:rPr>
          <w:sz w:val="20"/>
        </w:rPr>
      </w:pPr>
      <w:r w:rsidRPr="006126D4">
        <w:rPr>
          <w:sz w:val="20"/>
        </w:rPr>
        <w:t>Review the proposal</w:t>
      </w:r>
      <w:r w:rsidR="00E43B04" w:rsidRPr="006126D4">
        <w:rPr>
          <w:sz w:val="20"/>
        </w:rPr>
        <w:t xml:space="preserve"> for </w:t>
      </w:r>
      <w:r w:rsidRPr="006126D4">
        <w:rPr>
          <w:sz w:val="20"/>
        </w:rPr>
        <w:t>the common defect prioritisation framework</w:t>
      </w:r>
      <w:r w:rsidR="00E43B04" w:rsidRPr="006126D4">
        <w:rPr>
          <w:sz w:val="20"/>
        </w:rPr>
        <w:t xml:space="preserve"> and the impacts/benefits to their defect management and network asset condition related risk identification.</w:t>
      </w:r>
    </w:p>
    <w:p w:rsidR="00F8157A" w:rsidRPr="007E3E34" w:rsidRDefault="00F8157A" w:rsidP="007A260F">
      <w:pPr>
        <w:numPr>
          <w:ilvl w:val="0"/>
          <w:numId w:val="1"/>
        </w:numPr>
        <w:spacing w:before="120" w:after="120" w:line="240" w:lineRule="atLeast"/>
        <w:rPr>
          <w:sz w:val="20"/>
        </w:rPr>
      </w:pPr>
      <w:r w:rsidRPr="007E3E34">
        <w:rPr>
          <w:sz w:val="20"/>
        </w:rPr>
        <w:t xml:space="preserve">Assess the impacts upon their </w:t>
      </w:r>
      <w:r w:rsidRPr="007E3E34">
        <w:rPr>
          <w:rFonts w:cs="Arial"/>
          <w:sz w:val="20"/>
        </w:rPr>
        <w:t xml:space="preserve">enterprise </w:t>
      </w:r>
      <w:r w:rsidR="00F35009" w:rsidRPr="007E3E34">
        <w:rPr>
          <w:rFonts w:cs="Arial"/>
          <w:sz w:val="20"/>
        </w:rPr>
        <w:t xml:space="preserve">asset </w:t>
      </w:r>
      <w:r w:rsidRPr="007E3E34">
        <w:rPr>
          <w:rFonts w:cs="Arial"/>
          <w:sz w:val="20"/>
        </w:rPr>
        <w:t xml:space="preserve">management systems of changes to the defect prioritisation categories of adoption of the ‘standardised’ </w:t>
      </w:r>
      <w:r w:rsidR="007D50BA" w:rsidRPr="007E3E34">
        <w:rPr>
          <w:rFonts w:cs="Arial"/>
          <w:sz w:val="20"/>
        </w:rPr>
        <w:t xml:space="preserve">framework </w:t>
      </w:r>
      <w:r w:rsidRPr="007E3E34">
        <w:rPr>
          <w:rFonts w:cs="Arial"/>
          <w:sz w:val="20"/>
        </w:rPr>
        <w:t xml:space="preserve">proposed </w:t>
      </w:r>
      <w:r w:rsidR="007E3E34">
        <w:rPr>
          <w:rFonts w:cs="Arial"/>
          <w:sz w:val="20"/>
        </w:rPr>
        <w:t xml:space="preserve">in sections 4.2, 5 and 6 </w:t>
      </w:r>
      <w:r w:rsidRPr="007E3E34">
        <w:rPr>
          <w:rFonts w:cs="Arial"/>
          <w:sz w:val="20"/>
        </w:rPr>
        <w:t>above</w:t>
      </w:r>
      <w:r w:rsidR="007E3E34">
        <w:rPr>
          <w:rFonts w:cs="Arial"/>
          <w:sz w:val="20"/>
        </w:rPr>
        <w:t>.</w:t>
      </w:r>
    </w:p>
    <w:p w:rsidR="00F8157A" w:rsidRPr="006126D4" w:rsidRDefault="00F8157A" w:rsidP="007A260F">
      <w:pPr>
        <w:numPr>
          <w:ilvl w:val="0"/>
          <w:numId w:val="1"/>
        </w:numPr>
        <w:spacing w:before="120" w:after="120" w:line="240" w:lineRule="atLeast"/>
        <w:rPr>
          <w:rFonts w:cs="Arial"/>
          <w:i/>
          <w:sz w:val="20"/>
        </w:rPr>
      </w:pPr>
      <w:r w:rsidRPr="006126D4">
        <w:rPr>
          <w:sz w:val="20"/>
        </w:rPr>
        <w:t>Develop</w:t>
      </w:r>
      <w:r w:rsidR="0015253D" w:rsidRPr="006126D4">
        <w:rPr>
          <w:sz w:val="20"/>
        </w:rPr>
        <w:t xml:space="preserve"> a data transition plan for </w:t>
      </w:r>
      <w:r w:rsidRPr="006126D4">
        <w:rPr>
          <w:sz w:val="20"/>
        </w:rPr>
        <w:t xml:space="preserve">the common </w:t>
      </w:r>
      <w:r w:rsidR="00D01584" w:rsidRPr="006126D4">
        <w:rPr>
          <w:sz w:val="20"/>
        </w:rPr>
        <w:t xml:space="preserve">defect priority </w:t>
      </w:r>
      <w:r w:rsidRPr="006126D4">
        <w:rPr>
          <w:sz w:val="20"/>
        </w:rPr>
        <w:t>categorisation framework</w:t>
      </w:r>
      <w:r w:rsidR="006126D4">
        <w:rPr>
          <w:sz w:val="20"/>
        </w:rPr>
        <w:t xml:space="preserve"> addressing issues in section 7 above</w:t>
      </w:r>
      <w:r w:rsidRPr="006126D4">
        <w:rPr>
          <w:sz w:val="20"/>
        </w:rPr>
        <w:t>.</w:t>
      </w:r>
    </w:p>
    <w:p w:rsidR="0081191A" w:rsidRDefault="0081191A" w:rsidP="005E572A">
      <w:pPr>
        <w:tabs>
          <w:tab w:val="left" w:pos="4800"/>
        </w:tabs>
        <w:spacing w:before="120" w:after="120" w:line="240" w:lineRule="atLeast"/>
        <w:rPr>
          <w:rFonts w:cs="Arial"/>
          <w:b/>
          <w:sz w:val="20"/>
        </w:rPr>
      </w:pPr>
      <w:r>
        <w:rPr>
          <w:rFonts w:cs="Arial"/>
          <w:b/>
          <w:sz w:val="20"/>
        </w:rPr>
        <w:t>Prepare</w:t>
      </w:r>
      <w:r w:rsidR="00671361">
        <w:rPr>
          <w:rFonts w:cs="Arial"/>
          <w:b/>
          <w:sz w:val="20"/>
        </w:rPr>
        <w:t>d by:</w:t>
      </w:r>
    </w:p>
    <w:p w:rsidR="005E572A" w:rsidRDefault="005E572A" w:rsidP="0081191A">
      <w:pPr>
        <w:spacing w:before="120" w:after="120" w:line="240" w:lineRule="atLeast"/>
        <w:rPr>
          <w:rFonts w:cs="Arial"/>
          <w:b/>
          <w:sz w:val="20"/>
        </w:rPr>
      </w:pPr>
    </w:p>
    <w:tbl>
      <w:tblPr>
        <w:tblW w:w="0" w:type="auto"/>
        <w:tblLook w:val="01E0" w:firstRow="1" w:lastRow="1" w:firstColumn="1" w:lastColumn="1" w:noHBand="0" w:noVBand="0"/>
      </w:tblPr>
      <w:tblGrid>
        <w:gridCol w:w="4788"/>
      </w:tblGrid>
      <w:tr w:rsidR="00671361" w:rsidTr="00B37593">
        <w:tc>
          <w:tcPr>
            <w:tcW w:w="4788" w:type="dxa"/>
          </w:tcPr>
          <w:p w:rsidR="00671361" w:rsidRPr="00B37593" w:rsidRDefault="00671361" w:rsidP="00B37593">
            <w:pPr>
              <w:spacing w:before="120" w:after="120" w:line="240" w:lineRule="atLeast"/>
              <w:rPr>
                <w:rFonts w:cs="Arial"/>
                <w:sz w:val="20"/>
              </w:rPr>
            </w:pPr>
            <w:r w:rsidRPr="00B37593">
              <w:rPr>
                <w:rFonts w:cs="Arial"/>
                <w:sz w:val="20"/>
              </w:rPr>
              <w:t>Gary Winsor</w:t>
            </w:r>
          </w:p>
        </w:tc>
      </w:tr>
      <w:tr w:rsidR="00671361" w:rsidTr="00B37593">
        <w:tc>
          <w:tcPr>
            <w:tcW w:w="4788" w:type="dxa"/>
          </w:tcPr>
          <w:p w:rsidR="00671361" w:rsidRPr="00B37593" w:rsidRDefault="00671361" w:rsidP="00B37593">
            <w:pPr>
              <w:spacing w:before="120" w:after="120" w:line="240" w:lineRule="atLeast"/>
              <w:ind w:right="1212"/>
              <w:rPr>
                <w:rFonts w:cs="Arial"/>
                <w:b/>
                <w:sz w:val="20"/>
              </w:rPr>
            </w:pPr>
            <w:r w:rsidRPr="00B37593">
              <w:rPr>
                <w:rFonts w:cs="Arial"/>
                <w:b/>
                <w:sz w:val="20"/>
              </w:rPr>
              <w:t>Manager Network Performance</w:t>
            </w:r>
          </w:p>
        </w:tc>
      </w:tr>
    </w:tbl>
    <w:p w:rsidR="006D7775" w:rsidRDefault="006D7775" w:rsidP="0057537E">
      <w:pPr>
        <w:tabs>
          <w:tab w:val="left" w:pos="1440"/>
        </w:tabs>
        <w:spacing w:before="120" w:after="120" w:line="240" w:lineRule="atLeast"/>
        <w:rPr>
          <w:sz w:val="20"/>
        </w:rPr>
      </w:pPr>
    </w:p>
    <w:sectPr w:rsidR="006D7775" w:rsidSect="00C170C8">
      <w:footerReference w:type="default" r:id="rId14"/>
      <w:pgSz w:w="11906" w:h="16838" w:code="9"/>
      <w:pgMar w:top="1078" w:right="1440" w:bottom="1135" w:left="1440" w:header="52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55" w:rsidRDefault="00733355">
      <w:r>
        <w:separator/>
      </w:r>
    </w:p>
  </w:endnote>
  <w:endnote w:type="continuationSeparator" w:id="0">
    <w:p w:rsidR="00733355" w:rsidRDefault="0073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45 Ligh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B3" w:rsidRDefault="00B144B3" w:rsidP="00414762">
    <w:pPr>
      <w:pStyle w:val="Footer"/>
      <w:pBdr>
        <w:top w:val="single" w:sz="4" w:space="1" w:color="FFFFFF" w:themeColor="background1"/>
      </w:pBdr>
      <w:jc w:val="right"/>
    </w:pPr>
    <w:r>
      <w:fldChar w:fldCharType="begin"/>
    </w:r>
    <w:r>
      <w:instrText xml:space="preserve"> PAGE   \* MERGEFORMAT </w:instrText>
    </w:r>
    <w:r>
      <w:fldChar w:fldCharType="separate"/>
    </w:r>
    <w:r w:rsidR="003E4FDE">
      <w:rPr>
        <w:noProof/>
      </w:rPr>
      <w:t>14</w:t>
    </w:r>
    <w:r>
      <w:rPr>
        <w:noProof/>
      </w:rPr>
      <w:fldChar w:fldCharType="end"/>
    </w:r>
    <w:r>
      <w:t xml:space="preserve"> of </w:t>
    </w:r>
    <w:fldSimple w:instr=" NUMPAGES   \* MERGEFORMAT ">
      <w:r w:rsidR="003E4FDE">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55" w:rsidRDefault="00733355">
      <w:r>
        <w:separator/>
      </w:r>
    </w:p>
  </w:footnote>
  <w:footnote w:type="continuationSeparator" w:id="0">
    <w:p w:rsidR="00733355" w:rsidRDefault="00733355">
      <w:r>
        <w:continuationSeparator/>
      </w:r>
    </w:p>
  </w:footnote>
  <w:footnote w:id="1">
    <w:p w:rsidR="00B144B3" w:rsidRDefault="00B144B3">
      <w:pPr>
        <w:pStyle w:val="FootnoteText"/>
      </w:pPr>
      <w:r>
        <w:rPr>
          <w:rStyle w:val="FootnoteReference"/>
        </w:rPr>
        <w:footnoteRef/>
      </w:r>
      <w:r>
        <w:t xml:space="preserve"> </w:t>
      </w:r>
      <w:r w:rsidRPr="006126D4">
        <w:rPr>
          <w:sz w:val="16"/>
        </w:rPr>
        <w:t>The low clearance defect priority framework is adapted from the Endeavour Energy document prepared by David Mate.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4738"/>
    <w:multiLevelType w:val="hybridMultilevel"/>
    <w:tmpl w:val="E5069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AE6014"/>
    <w:multiLevelType w:val="hybridMultilevel"/>
    <w:tmpl w:val="8D58E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F9B4C68"/>
    <w:multiLevelType w:val="multilevel"/>
    <w:tmpl w:val="8D1CDAC8"/>
    <w:lvl w:ilvl="0">
      <w:start w:val="1"/>
      <w:numFmt w:val="decimal"/>
      <w:pStyle w:val="Heading1"/>
      <w:lvlText w:val="%1.0"/>
      <w:lvlJc w:val="left"/>
      <w:pPr>
        <w:tabs>
          <w:tab w:val="num" w:pos="454"/>
        </w:tabs>
        <w:ind w:left="454" w:hanging="454"/>
      </w:pPr>
      <w:rPr>
        <w:rFonts w:ascii="Arial Bold" w:hAnsi="Arial Bold" w:hint="default"/>
        <w:b/>
        <w:i w:val="0"/>
        <w:caps/>
        <w:sz w:val="22"/>
        <w:szCs w:val="22"/>
      </w:rPr>
    </w:lvl>
    <w:lvl w:ilvl="1">
      <w:start w:val="1"/>
      <w:numFmt w:val="decimal"/>
      <w:pStyle w:val="Heading2"/>
      <w:lvlText w:val="%1.%2"/>
      <w:lvlJc w:val="left"/>
      <w:pPr>
        <w:tabs>
          <w:tab w:val="num" w:pos="822"/>
        </w:tabs>
        <w:ind w:left="822" w:hanging="680"/>
      </w:pPr>
      <w:rPr>
        <w:rFonts w:ascii="Arial Bold" w:hAnsi="Arial Bold" w:hint="default"/>
        <w:b/>
        <w:i w:val="0"/>
        <w:iCs w:val="0"/>
        <w:caps w:val="0"/>
        <w:smallCaps w:val="0"/>
        <w:strike w:val="0"/>
        <w:dstrike w:val="0"/>
        <w:outline w:val="0"/>
        <w:shadow w:val="0"/>
        <w:emboss w:val="0"/>
        <w:imprint w:val="0"/>
        <w:vanish w:val="0"/>
        <w:spacing w:val="0"/>
        <w:kern w:val="0"/>
        <w:position w:val="0"/>
        <w:sz w:val="22"/>
        <w:szCs w:val="22"/>
        <w:u w:val="none"/>
        <w:vertAlign w:val="baseline"/>
        <w:em w:val="none"/>
      </w:rPr>
    </w:lvl>
    <w:lvl w:ilvl="2">
      <w:start w:val="1"/>
      <w:numFmt w:val="decimal"/>
      <w:pStyle w:val="Heading3"/>
      <w:lvlText w:val="%1.%2.%3"/>
      <w:lvlJc w:val="left"/>
      <w:pPr>
        <w:tabs>
          <w:tab w:val="num" w:pos="851"/>
        </w:tabs>
        <w:ind w:left="851" w:hanging="851"/>
      </w:pPr>
      <w:rPr>
        <w:rFonts w:ascii="Arial Bold" w:hAnsi="Arial Bold" w:hint="default"/>
        <w:b/>
        <w:i w:val="0"/>
        <w:sz w:val="22"/>
        <w:szCs w:val="22"/>
      </w:rPr>
    </w:lvl>
    <w:lvl w:ilvl="3">
      <w:start w:val="1"/>
      <w:numFmt w:val="decimal"/>
      <w:lvlText w:val="%1.%2.%3.%4"/>
      <w:lvlJc w:val="left"/>
      <w:pPr>
        <w:tabs>
          <w:tab w:val="num" w:pos="1134"/>
        </w:tabs>
        <w:ind w:left="1134" w:hanging="1134"/>
      </w:pPr>
      <w:rPr>
        <w:rFonts w:ascii="Arial" w:hAnsi="Arial" w:hint="default"/>
        <w:b/>
        <w:i w:val="0"/>
        <w:sz w:val="22"/>
      </w:rPr>
    </w:lvl>
    <w:lvl w:ilvl="4">
      <w:start w:val="1"/>
      <w:numFmt w:val="bullet"/>
      <w:lvlText w:val=""/>
      <w:lvlJc w:val="left"/>
      <w:pPr>
        <w:tabs>
          <w:tab w:val="num" w:pos="1134"/>
        </w:tabs>
        <w:ind w:left="1134" w:hanging="1134"/>
      </w:pPr>
      <w:rPr>
        <w:rFonts w:ascii="Symbol" w:hAnsi="Symbol" w:hint="default"/>
        <w:sz w:val="28"/>
      </w:rPr>
    </w:lvl>
    <w:lvl w:ilvl="5">
      <w:start w:val="1"/>
      <w:numFmt w:val="bullet"/>
      <w:lvlText w:val=""/>
      <w:lvlJc w:val="left"/>
      <w:pPr>
        <w:tabs>
          <w:tab w:val="num" w:pos="851"/>
        </w:tabs>
        <w:ind w:left="851" w:hanging="851"/>
      </w:pPr>
      <w:rPr>
        <w:rFonts w:ascii="Symbol" w:hAnsi="Symbol" w:hint="default"/>
        <w:sz w:val="28"/>
      </w:rPr>
    </w:lvl>
    <w:lvl w:ilvl="6">
      <w:start w:val="1"/>
      <w:numFmt w:val="bullet"/>
      <w:lvlText w:val=""/>
      <w:lvlJc w:val="left"/>
      <w:pPr>
        <w:tabs>
          <w:tab w:val="num" w:pos="851"/>
        </w:tabs>
        <w:ind w:left="851" w:hanging="851"/>
      </w:pPr>
      <w:rPr>
        <w:rFonts w:ascii="Symbol" w:hAnsi="Symbol" w:hint="default"/>
        <w:b/>
        <w:i/>
        <w:sz w:val="24"/>
      </w:rPr>
    </w:lvl>
    <w:lvl w:ilvl="7">
      <w:start w:val="1"/>
      <w:numFmt w:val="bullet"/>
      <w:lvlText w:val=""/>
      <w:lvlJc w:val="left"/>
      <w:pPr>
        <w:tabs>
          <w:tab w:val="num" w:pos="851"/>
        </w:tabs>
        <w:ind w:left="851" w:hanging="851"/>
      </w:pPr>
      <w:rPr>
        <w:rFonts w:ascii="Symbol" w:hAnsi="Symbol" w:hint="default"/>
      </w:rPr>
    </w:lvl>
    <w:lvl w:ilvl="8">
      <w:start w:val="1"/>
      <w:numFmt w:val="decimal"/>
      <w:lvlText w:val="%1.%2.%3.%4.%5.%6.%7.%8.%9"/>
      <w:lvlJc w:val="left"/>
      <w:pPr>
        <w:tabs>
          <w:tab w:val="num" w:pos="1584"/>
        </w:tabs>
        <w:ind w:left="1584" w:hanging="1584"/>
      </w:pPr>
      <w:rPr>
        <w:rFonts w:hint="default"/>
      </w:rPr>
    </w:lvl>
  </w:abstractNum>
  <w:abstractNum w:abstractNumId="3">
    <w:nsid w:val="53327989"/>
    <w:multiLevelType w:val="hybridMultilevel"/>
    <w:tmpl w:val="9DC4EB6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986403E"/>
    <w:multiLevelType w:val="hybridMultilevel"/>
    <w:tmpl w:val="A1ACEC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AC003EA"/>
    <w:multiLevelType w:val="hybridMultilevel"/>
    <w:tmpl w:val="AD48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91A"/>
    <w:rsid w:val="00014E32"/>
    <w:rsid w:val="000217B5"/>
    <w:rsid w:val="00032D50"/>
    <w:rsid w:val="00040709"/>
    <w:rsid w:val="0004341E"/>
    <w:rsid w:val="000471A7"/>
    <w:rsid w:val="0004761B"/>
    <w:rsid w:val="00047968"/>
    <w:rsid w:val="000556A3"/>
    <w:rsid w:val="000560D6"/>
    <w:rsid w:val="0005642F"/>
    <w:rsid w:val="00064947"/>
    <w:rsid w:val="00082E97"/>
    <w:rsid w:val="00094E8B"/>
    <w:rsid w:val="000A0FE6"/>
    <w:rsid w:val="000A6976"/>
    <w:rsid w:val="000B5006"/>
    <w:rsid w:val="000C208C"/>
    <w:rsid w:val="000C6E3E"/>
    <w:rsid w:val="000D78EC"/>
    <w:rsid w:val="000E1719"/>
    <w:rsid w:val="000E717E"/>
    <w:rsid w:val="000F756D"/>
    <w:rsid w:val="0010114F"/>
    <w:rsid w:val="00104602"/>
    <w:rsid w:val="00115877"/>
    <w:rsid w:val="00123353"/>
    <w:rsid w:val="001401EB"/>
    <w:rsid w:val="00145E5F"/>
    <w:rsid w:val="00151999"/>
    <w:rsid w:val="0015253D"/>
    <w:rsid w:val="00154808"/>
    <w:rsid w:val="0016251B"/>
    <w:rsid w:val="00171315"/>
    <w:rsid w:val="00185BE9"/>
    <w:rsid w:val="001A3B12"/>
    <w:rsid w:val="001B2C82"/>
    <w:rsid w:val="001B5AB2"/>
    <w:rsid w:val="001D4B30"/>
    <w:rsid w:val="001E1792"/>
    <w:rsid w:val="001F664A"/>
    <w:rsid w:val="00204609"/>
    <w:rsid w:val="00213459"/>
    <w:rsid w:val="00224C4B"/>
    <w:rsid w:val="002635B4"/>
    <w:rsid w:val="00263EA7"/>
    <w:rsid w:val="00267E6A"/>
    <w:rsid w:val="00273B05"/>
    <w:rsid w:val="00277C21"/>
    <w:rsid w:val="0028126A"/>
    <w:rsid w:val="002A3785"/>
    <w:rsid w:val="002D5EED"/>
    <w:rsid w:val="002E720B"/>
    <w:rsid w:val="002F43F3"/>
    <w:rsid w:val="00304802"/>
    <w:rsid w:val="00320F32"/>
    <w:rsid w:val="00326A81"/>
    <w:rsid w:val="003304DE"/>
    <w:rsid w:val="00351370"/>
    <w:rsid w:val="00353D84"/>
    <w:rsid w:val="00355FF0"/>
    <w:rsid w:val="0035604D"/>
    <w:rsid w:val="00362C97"/>
    <w:rsid w:val="003679C3"/>
    <w:rsid w:val="00394E59"/>
    <w:rsid w:val="003B6D2E"/>
    <w:rsid w:val="003C2432"/>
    <w:rsid w:val="003C409E"/>
    <w:rsid w:val="003C578F"/>
    <w:rsid w:val="003D0783"/>
    <w:rsid w:val="003D1C6A"/>
    <w:rsid w:val="003D2AA6"/>
    <w:rsid w:val="003D4F30"/>
    <w:rsid w:val="003E2103"/>
    <w:rsid w:val="003E4D58"/>
    <w:rsid w:val="003E4FDE"/>
    <w:rsid w:val="003F315D"/>
    <w:rsid w:val="004044A7"/>
    <w:rsid w:val="00405830"/>
    <w:rsid w:val="00414762"/>
    <w:rsid w:val="00422479"/>
    <w:rsid w:val="00425DB3"/>
    <w:rsid w:val="00435436"/>
    <w:rsid w:val="00435559"/>
    <w:rsid w:val="004406E8"/>
    <w:rsid w:val="004460CA"/>
    <w:rsid w:val="00481170"/>
    <w:rsid w:val="00484DBB"/>
    <w:rsid w:val="004911BE"/>
    <w:rsid w:val="004A0D20"/>
    <w:rsid w:val="004A3678"/>
    <w:rsid w:val="004B58E3"/>
    <w:rsid w:val="004D27A2"/>
    <w:rsid w:val="004D3E20"/>
    <w:rsid w:val="004E7304"/>
    <w:rsid w:val="004F5588"/>
    <w:rsid w:val="00501201"/>
    <w:rsid w:val="00506A41"/>
    <w:rsid w:val="00517B5D"/>
    <w:rsid w:val="00524F57"/>
    <w:rsid w:val="005429B5"/>
    <w:rsid w:val="00545BE3"/>
    <w:rsid w:val="00546805"/>
    <w:rsid w:val="005518B5"/>
    <w:rsid w:val="005540C9"/>
    <w:rsid w:val="0055602E"/>
    <w:rsid w:val="0055726C"/>
    <w:rsid w:val="005656BF"/>
    <w:rsid w:val="00572841"/>
    <w:rsid w:val="0057537E"/>
    <w:rsid w:val="005864EC"/>
    <w:rsid w:val="005957D2"/>
    <w:rsid w:val="00595E4C"/>
    <w:rsid w:val="005A0374"/>
    <w:rsid w:val="005A3568"/>
    <w:rsid w:val="005A48C3"/>
    <w:rsid w:val="005B06AE"/>
    <w:rsid w:val="005B2FD7"/>
    <w:rsid w:val="005B4631"/>
    <w:rsid w:val="005C7BE4"/>
    <w:rsid w:val="005E572A"/>
    <w:rsid w:val="005F7526"/>
    <w:rsid w:val="0061191D"/>
    <w:rsid w:val="006126D4"/>
    <w:rsid w:val="0063631D"/>
    <w:rsid w:val="00642D3C"/>
    <w:rsid w:val="0065489E"/>
    <w:rsid w:val="006609AF"/>
    <w:rsid w:val="00661B83"/>
    <w:rsid w:val="00671361"/>
    <w:rsid w:val="006723A8"/>
    <w:rsid w:val="0067605F"/>
    <w:rsid w:val="006962AC"/>
    <w:rsid w:val="00696C70"/>
    <w:rsid w:val="00696DCB"/>
    <w:rsid w:val="006A0223"/>
    <w:rsid w:val="006A42B8"/>
    <w:rsid w:val="006A5512"/>
    <w:rsid w:val="006A6255"/>
    <w:rsid w:val="006B0D77"/>
    <w:rsid w:val="006B54A0"/>
    <w:rsid w:val="006B731A"/>
    <w:rsid w:val="006C499C"/>
    <w:rsid w:val="006D2ECA"/>
    <w:rsid w:val="006D6FF4"/>
    <w:rsid w:val="006D7775"/>
    <w:rsid w:val="006F23CC"/>
    <w:rsid w:val="006F2B63"/>
    <w:rsid w:val="006F7168"/>
    <w:rsid w:val="007050E7"/>
    <w:rsid w:val="00711065"/>
    <w:rsid w:val="00722AD8"/>
    <w:rsid w:val="00733355"/>
    <w:rsid w:val="00740AA0"/>
    <w:rsid w:val="00741C00"/>
    <w:rsid w:val="0074219D"/>
    <w:rsid w:val="0076192C"/>
    <w:rsid w:val="00785E4B"/>
    <w:rsid w:val="00791CF8"/>
    <w:rsid w:val="00793E59"/>
    <w:rsid w:val="0079490E"/>
    <w:rsid w:val="007A260F"/>
    <w:rsid w:val="007A544C"/>
    <w:rsid w:val="007B2D6D"/>
    <w:rsid w:val="007B4569"/>
    <w:rsid w:val="007D50BA"/>
    <w:rsid w:val="007D72B8"/>
    <w:rsid w:val="007E1711"/>
    <w:rsid w:val="007E3E34"/>
    <w:rsid w:val="007F5F52"/>
    <w:rsid w:val="008006CF"/>
    <w:rsid w:val="00802DAD"/>
    <w:rsid w:val="0081191A"/>
    <w:rsid w:val="008119E3"/>
    <w:rsid w:val="008208C6"/>
    <w:rsid w:val="0083498B"/>
    <w:rsid w:val="00843750"/>
    <w:rsid w:val="008476CE"/>
    <w:rsid w:val="00851068"/>
    <w:rsid w:val="00852DF0"/>
    <w:rsid w:val="00854049"/>
    <w:rsid w:val="0085643B"/>
    <w:rsid w:val="00857F6D"/>
    <w:rsid w:val="00862B91"/>
    <w:rsid w:val="00871101"/>
    <w:rsid w:val="0087192F"/>
    <w:rsid w:val="008731CA"/>
    <w:rsid w:val="008A0362"/>
    <w:rsid w:val="008A04B0"/>
    <w:rsid w:val="008B6FF6"/>
    <w:rsid w:val="008C0518"/>
    <w:rsid w:val="008D6D37"/>
    <w:rsid w:val="008E2495"/>
    <w:rsid w:val="008E3641"/>
    <w:rsid w:val="00901761"/>
    <w:rsid w:val="00913217"/>
    <w:rsid w:val="00913E4F"/>
    <w:rsid w:val="00916761"/>
    <w:rsid w:val="0092386C"/>
    <w:rsid w:val="00937D62"/>
    <w:rsid w:val="0094013F"/>
    <w:rsid w:val="00941D9F"/>
    <w:rsid w:val="00945ADB"/>
    <w:rsid w:val="009661A9"/>
    <w:rsid w:val="00971B6D"/>
    <w:rsid w:val="009738D9"/>
    <w:rsid w:val="00974CAB"/>
    <w:rsid w:val="00996F34"/>
    <w:rsid w:val="009A209F"/>
    <w:rsid w:val="009C6DF6"/>
    <w:rsid w:val="009D53DA"/>
    <w:rsid w:val="009D65F3"/>
    <w:rsid w:val="009F2DF5"/>
    <w:rsid w:val="00A22C4B"/>
    <w:rsid w:val="00A2699D"/>
    <w:rsid w:val="00A415F8"/>
    <w:rsid w:val="00A621A7"/>
    <w:rsid w:val="00A67903"/>
    <w:rsid w:val="00A92F4B"/>
    <w:rsid w:val="00AA0BED"/>
    <w:rsid w:val="00AC4FF8"/>
    <w:rsid w:val="00AF0787"/>
    <w:rsid w:val="00AF0CF9"/>
    <w:rsid w:val="00AF0E80"/>
    <w:rsid w:val="00B1038E"/>
    <w:rsid w:val="00B144B3"/>
    <w:rsid w:val="00B176D6"/>
    <w:rsid w:val="00B22CA6"/>
    <w:rsid w:val="00B3041F"/>
    <w:rsid w:val="00B33A3A"/>
    <w:rsid w:val="00B33B08"/>
    <w:rsid w:val="00B35C4C"/>
    <w:rsid w:val="00B3692E"/>
    <w:rsid w:val="00B37593"/>
    <w:rsid w:val="00B4068A"/>
    <w:rsid w:val="00B94E50"/>
    <w:rsid w:val="00BB19D5"/>
    <w:rsid w:val="00BD283B"/>
    <w:rsid w:val="00BD3901"/>
    <w:rsid w:val="00BE0F27"/>
    <w:rsid w:val="00C00169"/>
    <w:rsid w:val="00C03528"/>
    <w:rsid w:val="00C147EA"/>
    <w:rsid w:val="00C170C8"/>
    <w:rsid w:val="00C21B8A"/>
    <w:rsid w:val="00C22E9A"/>
    <w:rsid w:val="00C23B58"/>
    <w:rsid w:val="00C24B86"/>
    <w:rsid w:val="00C27125"/>
    <w:rsid w:val="00C347C6"/>
    <w:rsid w:val="00C51C24"/>
    <w:rsid w:val="00C567E3"/>
    <w:rsid w:val="00C61A21"/>
    <w:rsid w:val="00C61ABD"/>
    <w:rsid w:val="00C62ADB"/>
    <w:rsid w:val="00C67AE0"/>
    <w:rsid w:val="00C71577"/>
    <w:rsid w:val="00C75611"/>
    <w:rsid w:val="00C8274B"/>
    <w:rsid w:val="00CB566C"/>
    <w:rsid w:val="00CB60B8"/>
    <w:rsid w:val="00CB64A6"/>
    <w:rsid w:val="00CC4087"/>
    <w:rsid w:val="00CE092F"/>
    <w:rsid w:val="00CE1227"/>
    <w:rsid w:val="00CE721B"/>
    <w:rsid w:val="00CF0F76"/>
    <w:rsid w:val="00CF7268"/>
    <w:rsid w:val="00D013EE"/>
    <w:rsid w:val="00D01584"/>
    <w:rsid w:val="00D167A1"/>
    <w:rsid w:val="00D32965"/>
    <w:rsid w:val="00D379BD"/>
    <w:rsid w:val="00D41780"/>
    <w:rsid w:val="00D4520B"/>
    <w:rsid w:val="00D55A91"/>
    <w:rsid w:val="00D8704F"/>
    <w:rsid w:val="00D91C5D"/>
    <w:rsid w:val="00DA08BB"/>
    <w:rsid w:val="00DB44A1"/>
    <w:rsid w:val="00DC0DE8"/>
    <w:rsid w:val="00DC4B82"/>
    <w:rsid w:val="00DC5443"/>
    <w:rsid w:val="00DD4627"/>
    <w:rsid w:val="00DE1D19"/>
    <w:rsid w:val="00DE7D55"/>
    <w:rsid w:val="00DF3593"/>
    <w:rsid w:val="00DF37BA"/>
    <w:rsid w:val="00DF3D2E"/>
    <w:rsid w:val="00E1121B"/>
    <w:rsid w:val="00E1645C"/>
    <w:rsid w:val="00E33256"/>
    <w:rsid w:val="00E377E6"/>
    <w:rsid w:val="00E40E3C"/>
    <w:rsid w:val="00E43B04"/>
    <w:rsid w:val="00E55F52"/>
    <w:rsid w:val="00E64294"/>
    <w:rsid w:val="00E6452A"/>
    <w:rsid w:val="00E772A0"/>
    <w:rsid w:val="00E82814"/>
    <w:rsid w:val="00E85A4E"/>
    <w:rsid w:val="00EA3FB1"/>
    <w:rsid w:val="00EA62F3"/>
    <w:rsid w:val="00EC2B09"/>
    <w:rsid w:val="00EC493F"/>
    <w:rsid w:val="00EC6FD2"/>
    <w:rsid w:val="00ED0183"/>
    <w:rsid w:val="00ED47D7"/>
    <w:rsid w:val="00ED710A"/>
    <w:rsid w:val="00F24DFA"/>
    <w:rsid w:val="00F35009"/>
    <w:rsid w:val="00F53F20"/>
    <w:rsid w:val="00F5759F"/>
    <w:rsid w:val="00F62418"/>
    <w:rsid w:val="00F72C99"/>
    <w:rsid w:val="00F765CE"/>
    <w:rsid w:val="00F8157A"/>
    <w:rsid w:val="00FA070C"/>
    <w:rsid w:val="00FA1E96"/>
    <w:rsid w:val="00FE32A3"/>
    <w:rsid w:val="00FE381E"/>
    <w:rsid w:val="00FE56C4"/>
    <w:rsid w:val="00FF1DB3"/>
    <w:rsid w:val="00FF2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91A"/>
    <w:rPr>
      <w:rFonts w:ascii="Arial" w:hAnsi="Arial"/>
      <w:sz w:val="22"/>
      <w:lang w:eastAsia="en-US"/>
    </w:rPr>
  </w:style>
  <w:style w:type="paragraph" w:styleId="Heading1">
    <w:name w:val="heading 1"/>
    <w:basedOn w:val="Normal"/>
    <w:next w:val="Normal"/>
    <w:link w:val="Heading1Char"/>
    <w:qFormat/>
    <w:rsid w:val="00FF273C"/>
    <w:pPr>
      <w:keepNext/>
      <w:numPr>
        <w:numId w:val="2"/>
      </w:numPr>
      <w:spacing w:before="480" w:after="120"/>
      <w:outlineLvl w:val="0"/>
    </w:pPr>
    <w:rPr>
      <w:rFonts w:ascii="Arial Bold" w:hAnsi="Arial Bold" w:cs="Arial"/>
      <w:b/>
      <w:bCs/>
      <w:caps/>
      <w:kern w:val="32"/>
      <w:szCs w:val="22"/>
      <w:lang w:eastAsia="en-AU"/>
    </w:rPr>
  </w:style>
  <w:style w:type="paragraph" w:styleId="Heading2">
    <w:name w:val="heading 2"/>
    <w:basedOn w:val="Normal"/>
    <w:next w:val="Normal"/>
    <w:link w:val="Heading2Char"/>
    <w:qFormat/>
    <w:rsid w:val="00FF273C"/>
    <w:pPr>
      <w:keepNext/>
      <w:numPr>
        <w:ilvl w:val="1"/>
        <w:numId w:val="2"/>
      </w:numPr>
      <w:spacing w:before="120" w:after="60"/>
      <w:jc w:val="both"/>
      <w:outlineLvl w:val="1"/>
    </w:pPr>
    <w:rPr>
      <w:b/>
    </w:rPr>
  </w:style>
  <w:style w:type="paragraph" w:styleId="Heading3">
    <w:name w:val="heading 3"/>
    <w:basedOn w:val="Normal"/>
    <w:next w:val="Normal"/>
    <w:link w:val="Heading3Char"/>
    <w:unhideWhenUsed/>
    <w:qFormat/>
    <w:rsid w:val="00481170"/>
    <w:pPr>
      <w:keepNext/>
      <w:numPr>
        <w:ilvl w:val="2"/>
        <w:numId w:val="2"/>
      </w:numPr>
      <w:spacing w:before="240" w:after="24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91A"/>
    <w:pPr>
      <w:tabs>
        <w:tab w:val="center" w:pos="4153"/>
        <w:tab w:val="right" w:pos="8306"/>
      </w:tabs>
    </w:pPr>
  </w:style>
  <w:style w:type="paragraph" w:styleId="Footer">
    <w:name w:val="footer"/>
    <w:basedOn w:val="Normal"/>
    <w:link w:val="FooterChar"/>
    <w:uiPriority w:val="99"/>
    <w:rsid w:val="0081191A"/>
    <w:pPr>
      <w:tabs>
        <w:tab w:val="center" w:pos="4153"/>
        <w:tab w:val="right" w:pos="8306"/>
      </w:tabs>
    </w:pPr>
  </w:style>
  <w:style w:type="paragraph" w:customStyle="1" w:styleId="LDfields">
    <w:name w:val="LD fields"/>
    <w:basedOn w:val="Normal"/>
    <w:rsid w:val="0081191A"/>
    <w:pPr>
      <w:spacing w:after="200" w:line="260" w:lineRule="atLeast"/>
    </w:pPr>
    <w:rPr>
      <w:rFonts w:ascii="Helvetica 45 Light" w:hAnsi="Helvetica 45 Light"/>
      <w:color w:val="000000"/>
      <w:sz w:val="18"/>
    </w:rPr>
  </w:style>
  <w:style w:type="character" w:customStyle="1" w:styleId="HeaderChar">
    <w:name w:val="Header Char"/>
    <w:link w:val="Header"/>
    <w:rsid w:val="00572841"/>
    <w:rPr>
      <w:rFonts w:ascii="Arial" w:hAnsi="Arial"/>
      <w:sz w:val="22"/>
      <w:lang w:val="en-AU" w:eastAsia="en-US" w:bidi="ar-SA"/>
    </w:rPr>
  </w:style>
  <w:style w:type="table" w:styleId="TableGrid">
    <w:name w:val="Table Grid"/>
    <w:basedOn w:val="TableNormal"/>
    <w:rsid w:val="005E5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D8704F"/>
    <w:rPr>
      <w:sz w:val="20"/>
    </w:rPr>
  </w:style>
  <w:style w:type="character" w:customStyle="1" w:styleId="FootnoteTextChar">
    <w:name w:val="Footnote Text Char"/>
    <w:basedOn w:val="DefaultParagraphFont"/>
    <w:link w:val="FootnoteText"/>
    <w:rsid w:val="00D8704F"/>
    <w:rPr>
      <w:rFonts w:ascii="Arial" w:hAnsi="Arial"/>
      <w:lang w:eastAsia="en-US"/>
    </w:rPr>
  </w:style>
  <w:style w:type="character" w:styleId="FootnoteReference">
    <w:name w:val="footnote reference"/>
    <w:basedOn w:val="DefaultParagraphFont"/>
    <w:rsid w:val="00D8704F"/>
    <w:rPr>
      <w:vertAlign w:val="superscript"/>
    </w:rPr>
  </w:style>
  <w:style w:type="paragraph" w:styleId="ListParagraph">
    <w:name w:val="List Paragraph"/>
    <w:basedOn w:val="Normal"/>
    <w:uiPriority w:val="34"/>
    <w:qFormat/>
    <w:rsid w:val="00741C00"/>
    <w:pPr>
      <w:ind w:left="720"/>
    </w:pPr>
  </w:style>
  <w:style w:type="character" w:customStyle="1" w:styleId="Heading1Char">
    <w:name w:val="Heading 1 Char"/>
    <w:basedOn w:val="DefaultParagraphFont"/>
    <w:link w:val="Heading1"/>
    <w:rsid w:val="00FF273C"/>
    <w:rPr>
      <w:rFonts w:ascii="Arial Bold" w:hAnsi="Arial Bold" w:cs="Arial"/>
      <w:b/>
      <w:bCs/>
      <w:caps/>
      <w:kern w:val="32"/>
      <w:sz w:val="22"/>
      <w:szCs w:val="22"/>
    </w:rPr>
  </w:style>
  <w:style w:type="character" w:customStyle="1" w:styleId="Heading2Char">
    <w:name w:val="Heading 2 Char"/>
    <w:basedOn w:val="DefaultParagraphFont"/>
    <w:link w:val="Heading2"/>
    <w:rsid w:val="00FF273C"/>
    <w:rPr>
      <w:rFonts w:ascii="Arial" w:hAnsi="Arial"/>
      <w:b/>
      <w:sz w:val="22"/>
      <w:lang w:eastAsia="en-US"/>
    </w:rPr>
  </w:style>
  <w:style w:type="character" w:customStyle="1" w:styleId="Heading3Char">
    <w:name w:val="Heading 3 Char"/>
    <w:basedOn w:val="DefaultParagraphFont"/>
    <w:link w:val="Heading3"/>
    <w:rsid w:val="00481170"/>
    <w:rPr>
      <w:rFonts w:ascii="Arial" w:hAnsi="Arial"/>
      <w:b/>
      <w:sz w:val="22"/>
      <w:lang w:eastAsia="en-US"/>
    </w:rPr>
  </w:style>
  <w:style w:type="table" w:customStyle="1" w:styleId="Table-Colour">
    <w:name w:val="Table-Colour"/>
    <w:basedOn w:val="TableNormal"/>
    <w:qFormat/>
    <w:rsid w:val="00E6452A"/>
    <w:rPr>
      <w:rFonts w:eastAsia="Cambria"/>
      <w:szCs w:val="24"/>
    </w:rPr>
    <w:tblPr>
      <w:tblStyleRowBandSize w:val="1"/>
      <w:tblInd w:w="108" w:type="dxa"/>
      <w:tblCellMar>
        <w:top w:w="0" w:type="dxa"/>
        <w:left w:w="108" w:type="dxa"/>
        <w:bottom w:w="0" w:type="dxa"/>
        <w:right w:w="108" w:type="dxa"/>
      </w:tblCellMar>
    </w:tblPr>
    <w:trPr>
      <w:trHeight w:hRule="exact" w:val="510"/>
    </w:trPr>
    <w:tcPr>
      <w:vAlign w:val="center"/>
    </w:tcPr>
    <w:tblStylePr w:type="firstRow">
      <w:rPr>
        <w:rFonts w:ascii="Courier" w:hAnsi="Courier"/>
        <w:color w:val="FFFFFF"/>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546670"/>
      </w:tcPr>
    </w:tblStylePr>
    <w:tblStylePr w:type="band1Horz">
      <w:rPr>
        <w:rFonts w:ascii="Courier" w:hAnsi="Courier"/>
        <w:color w:val="546670"/>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BED600"/>
      </w:tcPr>
    </w:tblStylePr>
    <w:tblStylePr w:type="band2Horz">
      <w:rPr>
        <w:rFonts w:ascii="Courier" w:hAnsi="Courier"/>
        <w:sz w:val="22"/>
      </w:rPr>
      <w:tblPr/>
      <w:trPr>
        <w:trHeight w:hRule="exact" w:val="510"/>
      </w:trPr>
      <w:tcPr>
        <w:tcBorders>
          <w:top w:val="nil"/>
          <w:left w:val="nil"/>
          <w:bottom w:val="single" w:sz="8" w:space="0" w:color="FFFFFF"/>
          <w:right w:val="nil"/>
          <w:insideH w:val="nil"/>
          <w:insideV w:val="single" w:sz="8" w:space="0" w:color="FFFFFF"/>
          <w:tl2br w:val="nil"/>
          <w:tr2bl w:val="nil"/>
        </w:tcBorders>
        <w:shd w:val="clear" w:color="auto" w:fill="EAECA4"/>
      </w:tcPr>
    </w:tblStylePr>
  </w:style>
  <w:style w:type="paragraph" w:styleId="BalloonText">
    <w:name w:val="Balloon Text"/>
    <w:basedOn w:val="Normal"/>
    <w:link w:val="BalloonTextChar"/>
    <w:rsid w:val="00E33256"/>
    <w:rPr>
      <w:rFonts w:ascii="Tahoma" w:hAnsi="Tahoma" w:cs="Tahoma"/>
      <w:sz w:val="16"/>
      <w:szCs w:val="16"/>
    </w:rPr>
  </w:style>
  <w:style w:type="character" w:customStyle="1" w:styleId="BalloonTextChar">
    <w:name w:val="Balloon Text Char"/>
    <w:basedOn w:val="DefaultParagraphFont"/>
    <w:link w:val="BalloonText"/>
    <w:rsid w:val="00E33256"/>
    <w:rPr>
      <w:rFonts w:ascii="Tahoma" w:hAnsi="Tahoma" w:cs="Tahoma"/>
      <w:sz w:val="16"/>
      <w:szCs w:val="16"/>
      <w:lang w:eastAsia="en-US"/>
    </w:rPr>
  </w:style>
  <w:style w:type="paragraph" w:customStyle="1" w:styleId="ctrlnormal">
    <w:name w:val="ctrl_normal"/>
    <w:basedOn w:val="Normal"/>
    <w:uiPriority w:val="99"/>
    <w:rsid w:val="006A42B8"/>
    <w:pPr>
      <w:spacing w:before="180"/>
      <w:ind w:left="851"/>
      <w:jc w:val="both"/>
    </w:pPr>
    <w:rPr>
      <w:sz w:val="20"/>
      <w:lang w:val="en-US" w:eastAsia="en-AU"/>
    </w:rPr>
  </w:style>
  <w:style w:type="character" w:customStyle="1" w:styleId="FooterChar">
    <w:name w:val="Footer Char"/>
    <w:basedOn w:val="DefaultParagraphFont"/>
    <w:link w:val="Footer"/>
    <w:uiPriority w:val="99"/>
    <w:rsid w:val="00B37593"/>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2782">
      <w:bodyDiv w:val="1"/>
      <w:marLeft w:val="0"/>
      <w:marRight w:val="0"/>
      <w:marTop w:val="0"/>
      <w:marBottom w:val="0"/>
      <w:divBdr>
        <w:top w:val="none" w:sz="0" w:space="0" w:color="auto"/>
        <w:left w:val="none" w:sz="0" w:space="0" w:color="auto"/>
        <w:bottom w:val="none" w:sz="0" w:space="0" w:color="auto"/>
        <w:right w:val="none" w:sz="0" w:space="0" w:color="auto"/>
      </w:divBdr>
    </w:div>
    <w:div w:id="551380789">
      <w:bodyDiv w:val="1"/>
      <w:marLeft w:val="0"/>
      <w:marRight w:val="0"/>
      <w:marTop w:val="0"/>
      <w:marBottom w:val="0"/>
      <w:divBdr>
        <w:top w:val="none" w:sz="0" w:space="0" w:color="auto"/>
        <w:left w:val="none" w:sz="0" w:space="0" w:color="auto"/>
        <w:bottom w:val="none" w:sz="0" w:space="0" w:color="auto"/>
        <w:right w:val="none" w:sz="0" w:space="0" w:color="auto"/>
      </w:divBdr>
    </w:div>
    <w:div w:id="844397921">
      <w:bodyDiv w:val="1"/>
      <w:marLeft w:val="0"/>
      <w:marRight w:val="0"/>
      <w:marTop w:val="0"/>
      <w:marBottom w:val="0"/>
      <w:divBdr>
        <w:top w:val="none" w:sz="0" w:space="0" w:color="auto"/>
        <w:left w:val="none" w:sz="0" w:space="0" w:color="auto"/>
        <w:bottom w:val="none" w:sz="0" w:space="0" w:color="auto"/>
        <w:right w:val="none" w:sz="0" w:space="0" w:color="auto"/>
      </w:divBdr>
    </w:div>
    <w:div w:id="961575508">
      <w:bodyDiv w:val="1"/>
      <w:marLeft w:val="0"/>
      <w:marRight w:val="0"/>
      <w:marTop w:val="0"/>
      <w:marBottom w:val="0"/>
      <w:divBdr>
        <w:top w:val="none" w:sz="0" w:space="0" w:color="auto"/>
        <w:left w:val="none" w:sz="0" w:space="0" w:color="auto"/>
        <w:bottom w:val="none" w:sz="0" w:space="0" w:color="auto"/>
        <w:right w:val="none" w:sz="0" w:space="0" w:color="auto"/>
      </w:divBdr>
    </w:div>
    <w:div w:id="1197814066">
      <w:bodyDiv w:val="1"/>
      <w:marLeft w:val="0"/>
      <w:marRight w:val="0"/>
      <w:marTop w:val="0"/>
      <w:marBottom w:val="0"/>
      <w:divBdr>
        <w:top w:val="none" w:sz="0" w:space="0" w:color="auto"/>
        <w:left w:val="none" w:sz="0" w:space="0" w:color="auto"/>
        <w:bottom w:val="none" w:sz="0" w:space="0" w:color="auto"/>
        <w:right w:val="none" w:sz="0" w:space="0" w:color="auto"/>
      </w:divBdr>
    </w:div>
    <w:div w:id="1597012769">
      <w:bodyDiv w:val="1"/>
      <w:marLeft w:val="0"/>
      <w:marRight w:val="0"/>
      <w:marTop w:val="0"/>
      <w:marBottom w:val="0"/>
      <w:divBdr>
        <w:top w:val="none" w:sz="0" w:space="0" w:color="auto"/>
        <w:left w:val="none" w:sz="0" w:space="0" w:color="auto"/>
        <w:bottom w:val="none" w:sz="0" w:space="0" w:color="auto"/>
        <w:right w:val="none" w:sz="0" w:space="0" w:color="auto"/>
      </w:divBdr>
    </w:div>
    <w:div w:id="202894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A1E837E562164AABFA2BD95B4BFCA3" ma:contentTypeVersion="0" ma:contentTypeDescription="Create a new document." ma:contentTypeScope="" ma:versionID="14996546c3df5d90b867dc7e93fdfa2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65E729-3B72-430F-908E-246D02143B4B}"/>
</file>

<file path=customXml/itemProps2.xml><?xml version="1.0" encoding="utf-8"?>
<ds:datastoreItem xmlns:ds="http://schemas.openxmlformats.org/officeDocument/2006/customXml" ds:itemID="{34DFFFC7-2BD7-4F5F-A658-46CC0EB457ED}"/>
</file>

<file path=customXml/itemProps3.xml><?xml version="1.0" encoding="utf-8"?>
<ds:datastoreItem xmlns:ds="http://schemas.openxmlformats.org/officeDocument/2006/customXml" ds:itemID="{5E972FA8-4B62-435B-BACB-DCA0471FB432}"/>
</file>

<file path=customXml/itemProps4.xml><?xml version="1.0" encoding="utf-8"?>
<ds:datastoreItem xmlns:ds="http://schemas.openxmlformats.org/officeDocument/2006/customXml" ds:itemID="{8948C917-CAA4-4220-9F4C-235CF57B656C}"/>
</file>

<file path=docProps/app.xml><?xml version="1.0" encoding="utf-8"?>
<Properties xmlns="http://schemas.openxmlformats.org/officeDocument/2006/extended-properties" xmlns:vt="http://schemas.openxmlformats.org/officeDocument/2006/docPropsVTypes">
  <Template>Normal</Template>
  <TotalTime>19</TotalTime>
  <Pages>1</Pages>
  <Words>4285</Words>
  <Characters>24429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BOARD PAPER TEMPLATE - Networks NSW</vt:lpstr>
    </vt:vector>
  </TitlesOfParts>
  <Company>Endeavour Energy</Company>
  <LinksUpToDate>false</LinksUpToDate>
  <CharactersWithSpaces>28657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PAPER TEMPLATE - Networks NSW</dc:title>
  <dc:creator>t43927</dc:creator>
  <cp:lastModifiedBy>Matthew Webb</cp:lastModifiedBy>
  <cp:revision>7</cp:revision>
  <cp:lastPrinted>2014-06-27T04:59:00Z</cp:lastPrinted>
  <dcterms:created xsi:type="dcterms:W3CDTF">2014-06-27T05:54:00Z</dcterms:created>
  <dcterms:modified xsi:type="dcterms:W3CDTF">2014-06-27T06:12:00Z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0x01010022A1E837E562164AABFA2BD95B4BFCA3</vt:lpwstr>
  </property>
</Properties>
</file>