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BD" w:rsidRDefault="001A44FA" w:rsidP="00A255CE">
      <w:pPr>
        <w:spacing w:before="0" w:after="0"/>
        <w:ind w:firstLine="0"/>
        <w:rPr>
          <w:rFonts w:ascii="Arial Narrow" w:hAnsi="Arial Narrow"/>
          <w:b/>
          <w:sz w:val="32"/>
          <w:szCs w:val="32"/>
        </w:rPr>
      </w:pPr>
      <w:r w:rsidRPr="00C47249">
        <w:rPr>
          <w:rFonts w:ascii="Arial Narrow" w:hAnsi="Arial Narrow"/>
          <w:b/>
          <w:sz w:val="32"/>
          <w:szCs w:val="32"/>
        </w:rPr>
        <w:t xml:space="preserve">Attachment </w:t>
      </w:r>
      <w:r w:rsidR="00CD4BE1" w:rsidRPr="00C47249">
        <w:rPr>
          <w:rFonts w:ascii="Arial Narrow" w:hAnsi="Arial Narrow"/>
          <w:b/>
          <w:sz w:val="32"/>
          <w:szCs w:val="32"/>
        </w:rPr>
        <w:t>9-</w:t>
      </w:r>
      <w:r w:rsidR="00ED3891" w:rsidRPr="00C47249">
        <w:rPr>
          <w:rFonts w:ascii="Arial Narrow" w:hAnsi="Arial Narrow"/>
          <w:b/>
          <w:sz w:val="32"/>
          <w:szCs w:val="32"/>
        </w:rPr>
        <w:t>8</w:t>
      </w:r>
      <w:r w:rsidRPr="00C47249">
        <w:rPr>
          <w:rFonts w:ascii="Arial Narrow" w:hAnsi="Arial Narrow"/>
          <w:b/>
          <w:sz w:val="32"/>
          <w:szCs w:val="32"/>
        </w:rPr>
        <w:t>:</w:t>
      </w:r>
      <w:r w:rsidR="00C47249">
        <w:rPr>
          <w:rFonts w:ascii="Arial Narrow" w:hAnsi="Arial Narrow"/>
          <w:b/>
          <w:sz w:val="32"/>
          <w:szCs w:val="32"/>
        </w:rPr>
        <w:t xml:space="preserve">  </w:t>
      </w:r>
      <w:r w:rsidR="003F1C16" w:rsidRPr="00C47249">
        <w:rPr>
          <w:rFonts w:ascii="Arial Narrow" w:hAnsi="Arial Narrow"/>
          <w:b/>
          <w:sz w:val="32"/>
          <w:szCs w:val="32"/>
        </w:rPr>
        <w:t xml:space="preserve">Response to AER Draft Decision on </w:t>
      </w:r>
      <w:r w:rsidR="00ED3891" w:rsidRPr="00C47249">
        <w:rPr>
          <w:rFonts w:ascii="Arial Narrow" w:hAnsi="Arial Narrow"/>
          <w:b/>
          <w:sz w:val="32"/>
          <w:szCs w:val="32"/>
        </w:rPr>
        <w:t>Equity Beta</w:t>
      </w:r>
    </w:p>
    <w:p w:rsidR="00C47249" w:rsidRPr="00C47249" w:rsidRDefault="00C47249" w:rsidP="00A255CE">
      <w:pPr>
        <w:spacing w:before="0" w:after="0"/>
        <w:ind w:firstLine="0"/>
        <w:rPr>
          <w:rFonts w:ascii="Arial Narrow" w:hAnsi="Arial Narrow"/>
          <w:b/>
          <w:sz w:val="32"/>
          <w:szCs w:val="32"/>
        </w:rPr>
      </w:pPr>
    </w:p>
    <w:p w:rsidR="00484ABD" w:rsidRDefault="009B2400" w:rsidP="00C47249">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w:t>
      </w:r>
      <w:r w:rsidR="004E1C70" w:rsidRPr="00A255CE">
        <w:rPr>
          <w:rFonts w:ascii="Arial Narrow" w:hAnsi="Arial Narrow"/>
          <w:b/>
          <w:sz w:val="24"/>
          <w:szCs w:val="24"/>
        </w:rPr>
        <w:t>1</w:t>
      </w:r>
      <w:r w:rsidRPr="00A255CE">
        <w:rPr>
          <w:rFonts w:ascii="Arial Narrow" w:hAnsi="Arial Narrow"/>
          <w:b/>
          <w:sz w:val="24"/>
          <w:szCs w:val="24"/>
        </w:rPr>
        <w:tab/>
      </w:r>
      <w:r w:rsidR="00484ABD" w:rsidRPr="00A255CE">
        <w:rPr>
          <w:rFonts w:ascii="Arial Narrow" w:hAnsi="Arial Narrow"/>
          <w:b/>
          <w:sz w:val="24"/>
          <w:szCs w:val="24"/>
        </w:rPr>
        <w:t xml:space="preserve">Introduction </w:t>
      </w:r>
    </w:p>
    <w:p w:rsidR="00C47249" w:rsidRPr="00A255CE" w:rsidRDefault="00C47249" w:rsidP="00A255CE">
      <w:pPr>
        <w:spacing w:before="0" w:after="0"/>
        <w:ind w:firstLine="0"/>
        <w:rPr>
          <w:rFonts w:ascii="Arial Narrow" w:hAnsi="Arial Narrow"/>
          <w:b/>
          <w:sz w:val="24"/>
          <w:szCs w:val="24"/>
        </w:rPr>
      </w:pPr>
    </w:p>
    <w:p w:rsidR="00BA5F1D" w:rsidRPr="00A255CE" w:rsidRDefault="009B2400" w:rsidP="00A255CE">
      <w:pPr>
        <w:autoSpaceDE w:val="0"/>
        <w:autoSpaceDN w:val="0"/>
        <w:adjustRightInd w:val="0"/>
        <w:spacing w:before="0" w:after="0"/>
        <w:ind w:firstLine="0"/>
        <w:rPr>
          <w:rFonts w:ascii="Arial Narrow" w:hAnsi="Arial Narrow" w:cs="Arial Narrow"/>
          <w:sz w:val="24"/>
          <w:szCs w:val="24"/>
        </w:rPr>
      </w:pPr>
      <w:r w:rsidRPr="00A255CE">
        <w:rPr>
          <w:rFonts w:ascii="Arial Narrow" w:hAnsi="Arial Narrow" w:cs="Arial Narrow"/>
          <w:sz w:val="24"/>
          <w:szCs w:val="24"/>
        </w:rPr>
        <w:t xml:space="preserve">The </w:t>
      </w:r>
      <w:r w:rsidR="004E1C70" w:rsidRPr="00A255CE">
        <w:rPr>
          <w:rFonts w:ascii="Arial Narrow" w:hAnsi="Arial Narrow" w:cs="Arial Narrow"/>
          <w:sz w:val="24"/>
          <w:szCs w:val="24"/>
        </w:rPr>
        <w:t xml:space="preserve">equity beta is a measure of a stock's </w:t>
      </w:r>
      <w:r w:rsidR="00BA5F1D" w:rsidRPr="00A255CE">
        <w:rPr>
          <w:rFonts w:ascii="Arial Narrow" w:hAnsi="Arial Narrow" w:cs="Arial Narrow"/>
          <w:sz w:val="24"/>
          <w:szCs w:val="24"/>
        </w:rPr>
        <w:t xml:space="preserve">systematic </w:t>
      </w:r>
      <w:hyperlink r:id="rId7" w:history="1">
        <w:r w:rsidR="00BA5F1D" w:rsidRPr="00A255CE">
          <w:rPr>
            <w:rFonts w:ascii="Arial Narrow" w:hAnsi="Arial Narrow" w:cs="Arial Narrow"/>
            <w:sz w:val="24"/>
            <w:szCs w:val="24"/>
          </w:rPr>
          <w:t>risk</w:t>
        </w:r>
      </w:hyperlink>
      <w:r w:rsidR="00BA5F1D" w:rsidRPr="00A255CE">
        <w:rPr>
          <w:rFonts w:ascii="Arial Narrow" w:hAnsi="Arial Narrow" w:cs="Arial Narrow"/>
          <w:sz w:val="24"/>
          <w:szCs w:val="24"/>
        </w:rPr>
        <w:t xml:space="preserve"> </w:t>
      </w:r>
      <w:r w:rsidR="004E1C70" w:rsidRPr="00A255CE">
        <w:rPr>
          <w:rFonts w:ascii="Arial Narrow" w:hAnsi="Arial Narrow" w:cs="Arial Narrow"/>
          <w:sz w:val="24"/>
          <w:szCs w:val="24"/>
        </w:rPr>
        <w:t xml:space="preserve">in relation to the </w:t>
      </w:r>
      <w:r w:rsidR="00BA5F1D" w:rsidRPr="00A255CE">
        <w:rPr>
          <w:rFonts w:ascii="Arial Narrow" w:hAnsi="Arial Narrow" w:cs="Arial Narrow"/>
          <w:sz w:val="24"/>
          <w:szCs w:val="24"/>
        </w:rPr>
        <w:t xml:space="preserve">overall </w:t>
      </w:r>
      <w:r w:rsidR="004E1C70" w:rsidRPr="00A255CE">
        <w:rPr>
          <w:rFonts w:ascii="Arial Narrow" w:hAnsi="Arial Narrow" w:cs="Arial Narrow"/>
          <w:sz w:val="24"/>
          <w:szCs w:val="24"/>
        </w:rPr>
        <w:t>market</w:t>
      </w:r>
      <w:r w:rsidR="00617261" w:rsidRPr="00A255CE">
        <w:rPr>
          <w:rFonts w:ascii="Arial Narrow" w:hAnsi="Arial Narrow" w:cs="Arial Narrow"/>
          <w:sz w:val="24"/>
          <w:szCs w:val="24"/>
        </w:rPr>
        <w:t>.  T</w:t>
      </w:r>
      <w:r w:rsidR="00D97B17" w:rsidRPr="00A255CE">
        <w:rPr>
          <w:rFonts w:ascii="Arial Narrow" w:hAnsi="Arial Narrow" w:cs="Arial Narrow"/>
          <w:sz w:val="24"/>
          <w:szCs w:val="24"/>
        </w:rPr>
        <w:t xml:space="preserve">he </w:t>
      </w:r>
      <w:r w:rsidR="004E1C70" w:rsidRPr="00A255CE">
        <w:rPr>
          <w:rFonts w:ascii="Arial Narrow" w:hAnsi="Arial Narrow" w:cs="Arial Narrow"/>
          <w:sz w:val="24"/>
          <w:szCs w:val="24"/>
        </w:rPr>
        <w:t xml:space="preserve">market </w:t>
      </w:r>
      <w:r w:rsidR="00617261" w:rsidRPr="00A255CE">
        <w:rPr>
          <w:rFonts w:ascii="Arial Narrow" w:hAnsi="Arial Narrow" w:cs="Arial Narrow"/>
          <w:sz w:val="24"/>
          <w:szCs w:val="24"/>
        </w:rPr>
        <w:t xml:space="preserve">necessarily </w:t>
      </w:r>
      <w:r w:rsidR="004E1C70" w:rsidRPr="00A255CE">
        <w:rPr>
          <w:rFonts w:ascii="Arial Narrow" w:hAnsi="Arial Narrow" w:cs="Arial Narrow"/>
          <w:sz w:val="24"/>
          <w:szCs w:val="24"/>
        </w:rPr>
        <w:t>ha</w:t>
      </w:r>
      <w:r w:rsidR="00617261" w:rsidRPr="00A255CE">
        <w:rPr>
          <w:rFonts w:ascii="Arial Narrow" w:hAnsi="Arial Narrow" w:cs="Arial Narrow"/>
          <w:sz w:val="24"/>
          <w:szCs w:val="24"/>
        </w:rPr>
        <w:t>s</w:t>
      </w:r>
      <w:r w:rsidR="004E1C70" w:rsidRPr="00A255CE">
        <w:rPr>
          <w:rFonts w:ascii="Arial Narrow" w:hAnsi="Arial Narrow" w:cs="Arial Narrow"/>
          <w:sz w:val="24"/>
          <w:szCs w:val="24"/>
        </w:rPr>
        <w:t xml:space="preserve"> a</w:t>
      </w:r>
      <w:r w:rsidR="00BA5F1D" w:rsidRPr="00A255CE">
        <w:rPr>
          <w:rFonts w:ascii="Arial Narrow" w:hAnsi="Arial Narrow" w:cs="Arial Narrow"/>
          <w:sz w:val="24"/>
          <w:szCs w:val="24"/>
        </w:rPr>
        <w:t xml:space="preserve">n </w:t>
      </w:r>
      <w:r w:rsidR="00D97B17" w:rsidRPr="00A255CE">
        <w:rPr>
          <w:rFonts w:ascii="Arial Narrow" w:hAnsi="Arial Narrow" w:cs="Arial Narrow"/>
          <w:sz w:val="24"/>
          <w:szCs w:val="24"/>
        </w:rPr>
        <w:t xml:space="preserve">average </w:t>
      </w:r>
      <w:r w:rsidR="00BA5F1D" w:rsidRPr="00A255CE">
        <w:rPr>
          <w:rFonts w:ascii="Arial Narrow" w:hAnsi="Arial Narrow" w:cs="Arial Narrow"/>
          <w:sz w:val="24"/>
          <w:szCs w:val="24"/>
        </w:rPr>
        <w:t>equity</w:t>
      </w:r>
      <w:r w:rsidR="004E1C70" w:rsidRPr="00A255CE">
        <w:rPr>
          <w:rFonts w:ascii="Arial Narrow" w:hAnsi="Arial Narrow" w:cs="Arial Narrow"/>
          <w:sz w:val="24"/>
          <w:szCs w:val="24"/>
        </w:rPr>
        <w:t xml:space="preserve"> beta of 1.0</w:t>
      </w:r>
      <w:r w:rsidR="00505CD4" w:rsidRPr="00A255CE">
        <w:rPr>
          <w:rFonts w:ascii="Arial Narrow" w:hAnsi="Arial Narrow" w:cs="Arial Narrow"/>
          <w:sz w:val="24"/>
          <w:szCs w:val="24"/>
        </w:rPr>
        <w:t xml:space="preserve">.  Beta’s above (below) 1.0 indicate a higher (lower) level of systematic </w:t>
      </w:r>
      <w:hyperlink r:id="rId8" w:history="1">
        <w:r w:rsidR="00505CD4" w:rsidRPr="00A255CE">
          <w:rPr>
            <w:rFonts w:ascii="Arial Narrow" w:hAnsi="Arial Narrow" w:cs="Arial Narrow"/>
            <w:sz w:val="24"/>
            <w:szCs w:val="24"/>
          </w:rPr>
          <w:t>risk</w:t>
        </w:r>
      </w:hyperlink>
      <w:r w:rsidR="00505CD4" w:rsidRPr="00A255CE">
        <w:rPr>
          <w:rFonts w:ascii="Arial Narrow" w:hAnsi="Arial Narrow" w:cs="Arial Narrow"/>
          <w:sz w:val="24"/>
          <w:szCs w:val="24"/>
        </w:rPr>
        <w:t xml:space="preserve"> relative to the market.  </w:t>
      </w:r>
      <w:r w:rsidR="00BE6CEE" w:rsidRPr="00A255CE">
        <w:rPr>
          <w:rFonts w:ascii="Arial Narrow" w:hAnsi="Arial Narrow" w:cs="Arial Narrow"/>
          <w:sz w:val="24"/>
          <w:szCs w:val="24"/>
        </w:rPr>
        <w:t xml:space="preserve">The paucity of </w:t>
      </w:r>
      <w:r w:rsidR="00505CD4" w:rsidRPr="00A255CE">
        <w:rPr>
          <w:rFonts w:ascii="Arial Narrow" w:hAnsi="Arial Narrow" w:cs="Arial Narrow"/>
          <w:sz w:val="24"/>
          <w:szCs w:val="24"/>
        </w:rPr>
        <w:t xml:space="preserve">Australian </w:t>
      </w:r>
      <w:r w:rsidR="00BE6CEE" w:rsidRPr="00A255CE">
        <w:rPr>
          <w:rFonts w:ascii="Arial Narrow" w:hAnsi="Arial Narrow" w:cs="Arial Narrow"/>
          <w:sz w:val="24"/>
          <w:szCs w:val="24"/>
        </w:rPr>
        <w:t xml:space="preserve">data and sampling issues make it difficult to generate accurate and statistically reliable estimates of equity beta for the benchmark gas distribution business.  Furthermore, </w:t>
      </w:r>
      <w:r w:rsidR="000255E5" w:rsidRPr="00A255CE">
        <w:rPr>
          <w:rFonts w:ascii="Arial Narrow" w:hAnsi="Arial Narrow" w:cs="Arial Narrow"/>
          <w:sz w:val="24"/>
          <w:szCs w:val="24"/>
        </w:rPr>
        <w:t>analysis</w:t>
      </w:r>
      <w:r w:rsidR="00BE6CEE" w:rsidRPr="00A255CE">
        <w:rPr>
          <w:rFonts w:ascii="Arial Narrow" w:hAnsi="Arial Narrow" w:cs="Arial Narrow"/>
          <w:sz w:val="24"/>
          <w:szCs w:val="24"/>
        </w:rPr>
        <w:t xml:space="preserve"> </w:t>
      </w:r>
      <w:r w:rsidR="00505CD4" w:rsidRPr="00A255CE">
        <w:rPr>
          <w:rFonts w:ascii="Arial Narrow" w:hAnsi="Arial Narrow" w:cs="Arial Narrow"/>
          <w:sz w:val="24"/>
          <w:szCs w:val="24"/>
        </w:rPr>
        <w:t xml:space="preserve">tabled by Envestra </w:t>
      </w:r>
      <w:r w:rsidR="00D97B17" w:rsidRPr="00A255CE">
        <w:rPr>
          <w:rFonts w:ascii="Arial Narrow" w:hAnsi="Arial Narrow" w:cs="Arial Narrow"/>
          <w:sz w:val="24"/>
          <w:szCs w:val="24"/>
        </w:rPr>
        <w:t xml:space="preserve">in its original submission </w:t>
      </w:r>
      <w:r w:rsidR="00BE6CEE" w:rsidRPr="00A255CE">
        <w:rPr>
          <w:rFonts w:ascii="Arial Narrow" w:hAnsi="Arial Narrow" w:cs="Arial Narrow"/>
          <w:sz w:val="24"/>
          <w:szCs w:val="24"/>
        </w:rPr>
        <w:t xml:space="preserve">suggested that the AER’s </w:t>
      </w:r>
      <w:r w:rsidR="00617261" w:rsidRPr="00A255CE">
        <w:rPr>
          <w:rFonts w:ascii="Arial Narrow" w:hAnsi="Arial Narrow" w:cs="Arial Narrow"/>
          <w:sz w:val="24"/>
          <w:szCs w:val="24"/>
        </w:rPr>
        <w:t xml:space="preserve">2009 WACC Review </w:t>
      </w:r>
      <w:r w:rsidR="00D97B17" w:rsidRPr="00A255CE">
        <w:rPr>
          <w:rFonts w:ascii="Arial Narrow" w:hAnsi="Arial Narrow" w:cs="Arial Narrow"/>
          <w:sz w:val="24"/>
          <w:szCs w:val="24"/>
        </w:rPr>
        <w:t>0.8 estimate equity beta</w:t>
      </w:r>
      <w:r w:rsidR="005C36A4" w:rsidRPr="00A255CE">
        <w:rPr>
          <w:rFonts w:ascii="Arial Narrow" w:hAnsi="Arial Narrow" w:cs="Arial Narrow"/>
          <w:sz w:val="24"/>
          <w:szCs w:val="24"/>
        </w:rPr>
        <w:t xml:space="preserve"> </w:t>
      </w:r>
      <w:r w:rsidR="00BE6CEE" w:rsidRPr="00A255CE">
        <w:rPr>
          <w:rFonts w:ascii="Arial Narrow" w:hAnsi="Arial Narrow" w:cs="Arial Narrow"/>
          <w:sz w:val="24"/>
          <w:szCs w:val="24"/>
        </w:rPr>
        <w:t xml:space="preserve">was derived from a data set that exhibited unusually low volatility </w:t>
      </w:r>
      <w:r w:rsidR="005C36A4" w:rsidRPr="00A255CE">
        <w:rPr>
          <w:rFonts w:ascii="Arial Narrow" w:hAnsi="Arial Narrow" w:cs="Arial Narrow"/>
          <w:sz w:val="24"/>
          <w:szCs w:val="24"/>
        </w:rPr>
        <w:t xml:space="preserve">and this </w:t>
      </w:r>
      <w:r w:rsidR="00BE6CEE" w:rsidRPr="00A255CE">
        <w:rPr>
          <w:rFonts w:ascii="Arial Narrow" w:hAnsi="Arial Narrow" w:cs="Arial Narrow"/>
          <w:sz w:val="24"/>
          <w:szCs w:val="24"/>
        </w:rPr>
        <w:t>could lead to the under-estimation of equity beta</w:t>
      </w:r>
      <w:r w:rsidR="00D97B17" w:rsidRPr="00A255CE">
        <w:rPr>
          <w:rFonts w:ascii="Arial Narrow" w:hAnsi="Arial Narrow" w:cs="Arial Narrow"/>
          <w:sz w:val="24"/>
          <w:szCs w:val="24"/>
        </w:rPr>
        <w:t xml:space="preserve"> and the rate of return for the benchmark gas distribution business</w:t>
      </w:r>
      <w:r w:rsidR="00BE6CEE" w:rsidRPr="00A255CE">
        <w:rPr>
          <w:rFonts w:ascii="Arial Narrow" w:hAnsi="Arial Narrow" w:cs="Arial Narrow"/>
          <w:sz w:val="24"/>
          <w:szCs w:val="24"/>
        </w:rPr>
        <w:t xml:space="preserve">. </w:t>
      </w:r>
      <w:r w:rsidR="00505CD4" w:rsidRPr="00A255CE">
        <w:rPr>
          <w:rFonts w:ascii="Arial Narrow" w:hAnsi="Arial Narrow" w:cs="Arial Narrow"/>
          <w:sz w:val="24"/>
          <w:szCs w:val="24"/>
        </w:rPr>
        <w:t xml:space="preserve"> </w:t>
      </w:r>
      <w:r w:rsidR="000255E5" w:rsidRPr="00A255CE">
        <w:rPr>
          <w:rFonts w:ascii="Arial Narrow" w:hAnsi="Arial Narrow" w:cs="Arial Narrow"/>
          <w:sz w:val="24"/>
          <w:szCs w:val="24"/>
        </w:rPr>
        <w:t>This, and a</w:t>
      </w:r>
      <w:r w:rsidR="00931E56" w:rsidRPr="00A255CE">
        <w:rPr>
          <w:rFonts w:ascii="Arial Narrow" w:hAnsi="Arial Narrow" w:cs="Arial Narrow"/>
          <w:sz w:val="24"/>
          <w:szCs w:val="24"/>
        </w:rPr>
        <w:t>n</w:t>
      </w:r>
      <w:r w:rsidR="000255E5" w:rsidRPr="00A255CE">
        <w:rPr>
          <w:rFonts w:ascii="Arial Narrow" w:hAnsi="Arial Narrow" w:cs="Arial Narrow"/>
          <w:sz w:val="24"/>
          <w:szCs w:val="24"/>
        </w:rPr>
        <w:t xml:space="preserve"> </w:t>
      </w:r>
      <w:r w:rsidR="00D97B17" w:rsidRPr="00A255CE">
        <w:rPr>
          <w:rFonts w:ascii="Arial Narrow" w:hAnsi="Arial Narrow" w:cs="Arial Narrow"/>
          <w:sz w:val="24"/>
          <w:szCs w:val="24"/>
        </w:rPr>
        <w:t xml:space="preserve">array </w:t>
      </w:r>
      <w:r w:rsidR="000255E5" w:rsidRPr="00A255CE">
        <w:rPr>
          <w:rFonts w:ascii="Arial Narrow" w:hAnsi="Arial Narrow" w:cs="Arial Narrow"/>
          <w:sz w:val="24"/>
          <w:szCs w:val="24"/>
        </w:rPr>
        <w:t xml:space="preserve">of other </w:t>
      </w:r>
      <w:r w:rsidR="00505CD4" w:rsidRPr="00A255CE">
        <w:rPr>
          <w:rFonts w:ascii="Arial Narrow" w:hAnsi="Arial Narrow" w:cs="Arial Narrow"/>
          <w:sz w:val="24"/>
          <w:szCs w:val="24"/>
        </w:rPr>
        <w:t>evidence</w:t>
      </w:r>
      <w:r w:rsidR="000255E5" w:rsidRPr="00A255CE">
        <w:rPr>
          <w:rFonts w:ascii="Arial Narrow" w:hAnsi="Arial Narrow" w:cs="Arial Narrow"/>
          <w:sz w:val="24"/>
          <w:szCs w:val="24"/>
        </w:rPr>
        <w:t>,</w:t>
      </w:r>
      <w:r w:rsidR="00505CD4" w:rsidRPr="00A255CE">
        <w:rPr>
          <w:rFonts w:ascii="Arial Narrow" w:hAnsi="Arial Narrow" w:cs="Arial Narrow"/>
          <w:sz w:val="24"/>
          <w:szCs w:val="24"/>
        </w:rPr>
        <w:t xml:space="preserve"> </w:t>
      </w:r>
      <w:r w:rsidR="000255E5" w:rsidRPr="00A255CE">
        <w:rPr>
          <w:rFonts w:ascii="Arial Narrow" w:hAnsi="Arial Narrow" w:cs="Arial Narrow"/>
          <w:sz w:val="24"/>
          <w:szCs w:val="24"/>
        </w:rPr>
        <w:t xml:space="preserve">led Envestra to form the view that </w:t>
      </w:r>
      <w:r w:rsidR="00505CD4" w:rsidRPr="00A255CE">
        <w:rPr>
          <w:rFonts w:ascii="Arial Narrow" w:hAnsi="Arial Narrow" w:cs="Arial Narrow"/>
          <w:sz w:val="24"/>
          <w:szCs w:val="24"/>
        </w:rPr>
        <w:t xml:space="preserve">the value of equity beta </w:t>
      </w:r>
      <w:r w:rsidR="00D97B17" w:rsidRPr="00A255CE">
        <w:rPr>
          <w:rFonts w:ascii="Arial Narrow" w:hAnsi="Arial Narrow" w:cs="Arial Narrow"/>
          <w:sz w:val="24"/>
          <w:szCs w:val="24"/>
        </w:rPr>
        <w:t xml:space="preserve">lay in the range of </w:t>
      </w:r>
      <w:r w:rsidR="00505CD4" w:rsidRPr="00A255CE">
        <w:rPr>
          <w:rFonts w:ascii="Arial Narrow" w:hAnsi="Arial Narrow" w:cs="Arial Narrow"/>
          <w:sz w:val="24"/>
          <w:szCs w:val="24"/>
        </w:rPr>
        <w:t>0.8 and 1.1</w:t>
      </w:r>
      <w:r w:rsidR="00D97B17" w:rsidRPr="00A255CE">
        <w:rPr>
          <w:rFonts w:ascii="Arial Narrow" w:hAnsi="Arial Narrow" w:cs="Arial Narrow"/>
          <w:sz w:val="24"/>
          <w:szCs w:val="24"/>
        </w:rPr>
        <w:t>,</w:t>
      </w:r>
      <w:r w:rsidR="000255E5" w:rsidRPr="00A255CE">
        <w:rPr>
          <w:rFonts w:ascii="Arial Narrow" w:hAnsi="Arial Narrow" w:cs="Arial Narrow"/>
          <w:sz w:val="24"/>
          <w:szCs w:val="24"/>
        </w:rPr>
        <w:t xml:space="preserve"> and that when applied in the CAPM this would </w:t>
      </w:r>
      <w:r w:rsidR="00940ED5" w:rsidRPr="00A255CE">
        <w:rPr>
          <w:rFonts w:ascii="Arial Narrow" w:hAnsi="Arial Narrow" w:cs="Arial Narrow"/>
          <w:sz w:val="24"/>
          <w:szCs w:val="24"/>
        </w:rPr>
        <w:t xml:space="preserve">result in </w:t>
      </w:r>
      <w:r w:rsidR="000255E5" w:rsidRPr="00A255CE">
        <w:rPr>
          <w:rFonts w:ascii="Arial Narrow" w:hAnsi="Arial Narrow" w:cs="Arial Narrow"/>
          <w:sz w:val="24"/>
          <w:szCs w:val="24"/>
        </w:rPr>
        <w:t>a rate of return commensurate with the risk involved in</w:t>
      </w:r>
      <w:r w:rsidR="00940ED5" w:rsidRPr="00A255CE">
        <w:rPr>
          <w:rFonts w:ascii="Arial Narrow" w:hAnsi="Arial Narrow" w:cs="Arial Narrow"/>
          <w:sz w:val="24"/>
          <w:szCs w:val="24"/>
        </w:rPr>
        <w:t xml:space="preserve"> </w:t>
      </w:r>
      <w:r w:rsidR="000255E5" w:rsidRPr="00A255CE">
        <w:rPr>
          <w:rFonts w:ascii="Arial Narrow" w:hAnsi="Arial Narrow" w:cs="Arial Narrow"/>
          <w:sz w:val="24"/>
          <w:szCs w:val="24"/>
        </w:rPr>
        <w:t>providing reference services</w:t>
      </w:r>
      <w:r w:rsidR="00505CD4" w:rsidRPr="00A255CE">
        <w:rPr>
          <w:rFonts w:ascii="Arial Narrow" w:hAnsi="Arial Narrow" w:cs="Arial Narrow"/>
          <w:sz w:val="24"/>
          <w:szCs w:val="24"/>
        </w:rPr>
        <w:t xml:space="preserve">.  </w:t>
      </w:r>
    </w:p>
    <w:p w:rsidR="00505CD4" w:rsidRPr="00A255CE" w:rsidRDefault="00505CD4" w:rsidP="00A255CE">
      <w:pPr>
        <w:spacing w:before="0" w:after="0"/>
        <w:ind w:firstLine="0"/>
        <w:rPr>
          <w:rFonts w:ascii="Arial Narrow" w:hAnsi="Arial Narrow" w:cs="Arial Narrow"/>
          <w:sz w:val="24"/>
          <w:szCs w:val="24"/>
        </w:rPr>
      </w:pPr>
    </w:p>
    <w:p w:rsidR="009B2400" w:rsidRPr="00A255CE" w:rsidRDefault="00A33BE7" w:rsidP="00A255CE">
      <w:pPr>
        <w:pStyle w:val="Title"/>
        <w:spacing w:after="0"/>
        <w:rPr>
          <w:rFonts w:ascii="Arial Narrow" w:eastAsia="Calibri" w:hAnsi="Arial Narrow" w:cs="Arial Narrow"/>
          <w:b w:val="0"/>
          <w:bCs w:val="0"/>
          <w:color w:val="000000"/>
          <w:kern w:val="0"/>
          <w:sz w:val="24"/>
          <w:szCs w:val="24"/>
          <w:lang w:eastAsia="en-AU"/>
        </w:rPr>
      </w:pPr>
      <w:r w:rsidRPr="00A255CE">
        <w:rPr>
          <w:rFonts w:ascii="Arial Narrow" w:eastAsia="Calibri" w:hAnsi="Arial Narrow" w:cs="Arial Narrow"/>
          <w:b w:val="0"/>
          <w:bCs w:val="0"/>
          <w:color w:val="000000"/>
          <w:kern w:val="0"/>
          <w:sz w:val="24"/>
          <w:szCs w:val="24"/>
          <w:lang w:eastAsia="en-AU"/>
        </w:rPr>
        <w:t xml:space="preserve">Envestra rejects the AERs </w:t>
      </w:r>
      <w:r w:rsidR="006D47AB" w:rsidRPr="00A255CE">
        <w:rPr>
          <w:rFonts w:ascii="Arial Narrow" w:eastAsia="Calibri" w:hAnsi="Arial Narrow" w:cs="Arial Narrow"/>
          <w:b w:val="0"/>
          <w:bCs w:val="0"/>
          <w:color w:val="000000"/>
          <w:kern w:val="0"/>
          <w:sz w:val="24"/>
          <w:szCs w:val="24"/>
          <w:lang w:eastAsia="en-AU"/>
        </w:rPr>
        <w:t>Draft D</w:t>
      </w:r>
      <w:r w:rsidRPr="00A255CE">
        <w:rPr>
          <w:rFonts w:ascii="Arial Narrow" w:eastAsia="Calibri" w:hAnsi="Arial Narrow" w:cs="Arial Narrow"/>
          <w:b w:val="0"/>
          <w:bCs w:val="0"/>
          <w:color w:val="000000"/>
          <w:kern w:val="0"/>
          <w:sz w:val="24"/>
          <w:szCs w:val="24"/>
          <w:lang w:eastAsia="en-AU"/>
        </w:rPr>
        <w:t xml:space="preserve">ecision that an </w:t>
      </w:r>
      <w:r w:rsidR="006D47AB" w:rsidRPr="00A255CE">
        <w:rPr>
          <w:rFonts w:ascii="Arial Narrow" w:eastAsia="Calibri" w:hAnsi="Arial Narrow" w:cs="Arial Narrow"/>
          <w:b w:val="0"/>
          <w:bCs w:val="0"/>
          <w:color w:val="000000"/>
          <w:kern w:val="0"/>
          <w:sz w:val="24"/>
          <w:szCs w:val="24"/>
          <w:lang w:eastAsia="en-AU"/>
        </w:rPr>
        <w:t>equity beta of 0.8 is</w:t>
      </w:r>
      <w:r w:rsidRPr="00A255CE">
        <w:rPr>
          <w:rFonts w:ascii="Arial Narrow" w:eastAsia="Calibri" w:hAnsi="Arial Narrow" w:cs="Arial Narrow"/>
          <w:b w:val="0"/>
          <w:bCs w:val="0"/>
          <w:color w:val="000000"/>
          <w:kern w:val="0"/>
          <w:sz w:val="24"/>
          <w:szCs w:val="24"/>
          <w:lang w:eastAsia="en-AU"/>
        </w:rPr>
        <w:t xml:space="preserve"> appropriate</w:t>
      </w:r>
      <w:r w:rsidR="00B271B1" w:rsidRPr="00A255CE">
        <w:rPr>
          <w:rFonts w:ascii="Arial Narrow" w:eastAsia="Calibri" w:hAnsi="Arial Narrow" w:cs="Arial Narrow"/>
          <w:b w:val="0"/>
          <w:bCs w:val="0"/>
          <w:color w:val="000000"/>
          <w:kern w:val="0"/>
          <w:sz w:val="24"/>
          <w:szCs w:val="24"/>
          <w:lang w:eastAsia="en-AU"/>
        </w:rPr>
        <w:t xml:space="preserve"> for the 1 July 2011 to 30 June 2016 regulat</w:t>
      </w:r>
      <w:r w:rsidR="00B271B1" w:rsidRPr="002B7AD6">
        <w:rPr>
          <w:rFonts w:ascii="Arial Narrow" w:eastAsia="Calibri" w:hAnsi="Arial Narrow" w:cs="Arial Narrow"/>
          <w:b w:val="0"/>
          <w:bCs w:val="0"/>
          <w:color w:val="000000"/>
          <w:kern w:val="0"/>
          <w:sz w:val="24"/>
          <w:szCs w:val="24"/>
          <w:lang w:eastAsia="en-AU"/>
        </w:rPr>
        <w:t>ory period</w:t>
      </w:r>
      <w:r w:rsidR="006D47AB" w:rsidRPr="002B7AD6">
        <w:rPr>
          <w:rFonts w:ascii="Arial Narrow" w:eastAsia="Calibri" w:hAnsi="Arial Narrow" w:cs="Arial Narrow"/>
          <w:b w:val="0"/>
          <w:bCs w:val="0"/>
          <w:color w:val="000000"/>
          <w:kern w:val="0"/>
          <w:sz w:val="24"/>
          <w:szCs w:val="24"/>
          <w:lang w:eastAsia="en-AU"/>
        </w:rPr>
        <w:t xml:space="preserve">.  </w:t>
      </w:r>
      <w:r w:rsidR="009B2400" w:rsidRPr="002B7AD6">
        <w:rPr>
          <w:rFonts w:ascii="Arial Narrow" w:eastAsia="Calibri" w:hAnsi="Arial Narrow" w:cs="Arial Narrow"/>
          <w:b w:val="0"/>
          <w:bCs w:val="0"/>
          <w:color w:val="000000"/>
          <w:kern w:val="0"/>
          <w:sz w:val="24"/>
          <w:szCs w:val="24"/>
          <w:lang w:eastAsia="en-AU"/>
        </w:rPr>
        <w:t>Accompanying this attachment</w:t>
      </w:r>
      <w:r w:rsidR="0053728B" w:rsidRPr="002B7AD6">
        <w:rPr>
          <w:rFonts w:ascii="Arial Narrow" w:eastAsia="Calibri" w:hAnsi="Arial Narrow" w:cs="Arial Narrow"/>
          <w:b w:val="0"/>
          <w:bCs w:val="0"/>
          <w:color w:val="000000"/>
          <w:kern w:val="0"/>
          <w:sz w:val="24"/>
          <w:szCs w:val="24"/>
          <w:lang w:eastAsia="en-AU"/>
        </w:rPr>
        <w:t xml:space="preserve"> </w:t>
      </w:r>
      <w:r w:rsidR="00C350A2" w:rsidRPr="002B7AD6">
        <w:rPr>
          <w:rFonts w:ascii="Arial Narrow" w:eastAsia="Calibri" w:hAnsi="Arial Narrow" w:cs="Arial Narrow"/>
          <w:b w:val="0"/>
          <w:bCs w:val="0"/>
          <w:color w:val="000000"/>
          <w:kern w:val="0"/>
          <w:sz w:val="24"/>
          <w:szCs w:val="24"/>
          <w:lang w:eastAsia="en-AU"/>
        </w:rPr>
        <w:t xml:space="preserve">is an </w:t>
      </w:r>
      <w:r w:rsidR="009B2400" w:rsidRPr="002B7AD6">
        <w:rPr>
          <w:rFonts w:ascii="Arial Narrow" w:eastAsia="Calibri" w:hAnsi="Arial Narrow" w:cs="Arial Narrow"/>
          <w:b w:val="0"/>
          <w:bCs w:val="0"/>
          <w:color w:val="000000"/>
          <w:kern w:val="0"/>
          <w:sz w:val="24"/>
          <w:szCs w:val="24"/>
          <w:lang w:eastAsia="en-AU"/>
        </w:rPr>
        <w:t>expert repor</w:t>
      </w:r>
      <w:r w:rsidR="003C4187" w:rsidRPr="002B7AD6">
        <w:rPr>
          <w:rFonts w:ascii="Arial Narrow" w:eastAsia="Calibri" w:hAnsi="Arial Narrow" w:cs="Arial Narrow"/>
          <w:b w:val="0"/>
          <w:bCs w:val="0"/>
          <w:color w:val="000000"/>
          <w:kern w:val="0"/>
          <w:sz w:val="24"/>
          <w:szCs w:val="24"/>
          <w:lang w:eastAsia="en-AU"/>
        </w:rPr>
        <w:t>t</w:t>
      </w:r>
      <w:r w:rsidR="00C350A2" w:rsidRPr="002B7AD6">
        <w:rPr>
          <w:rFonts w:ascii="Arial Narrow" w:eastAsia="Calibri" w:hAnsi="Arial Narrow" w:cs="Arial Narrow"/>
          <w:b w:val="0"/>
          <w:bCs w:val="0"/>
          <w:color w:val="000000"/>
          <w:kern w:val="0"/>
          <w:sz w:val="24"/>
          <w:szCs w:val="24"/>
          <w:lang w:eastAsia="en-AU"/>
        </w:rPr>
        <w:t xml:space="preserve"> from CEG titled</w:t>
      </w:r>
      <w:r w:rsidR="00B271B1" w:rsidRPr="002B7AD6">
        <w:rPr>
          <w:rFonts w:ascii="Arial Narrow" w:eastAsia="Calibri" w:hAnsi="Arial Narrow" w:cs="Arial Narrow"/>
          <w:b w:val="0"/>
          <w:bCs w:val="0"/>
          <w:color w:val="000000"/>
          <w:kern w:val="0"/>
          <w:sz w:val="24"/>
          <w:szCs w:val="24"/>
          <w:lang w:eastAsia="en-AU"/>
        </w:rPr>
        <w:t xml:space="preserve"> </w:t>
      </w:r>
      <w:r w:rsidR="00B060CB" w:rsidRPr="002B7AD6">
        <w:rPr>
          <w:rFonts w:ascii="Arial Narrow" w:eastAsia="Calibri" w:hAnsi="Arial Narrow" w:cs="Arial Narrow"/>
          <w:b w:val="0"/>
          <w:bCs w:val="0"/>
          <w:i/>
          <w:color w:val="000000"/>
          <w:kern w:val="0"/>
          <w:sz w:val="24"/>
          <w:szCs w:val="24"/>
          <w:lang w:eastAsia="en-AU"/>
        </w:rPr>
        <w:t>WACC Estimation</w:t>
      </w:r>
      <w:r w:rsidR="00DD00D8" w:rsidRPr="002B7AD6">
        <w:rPr>
          <w:rFonts w:ascii="Arial Narrow" w:eastAsia="Calibri" w:hAnsi="Arial Narrow" w:cs="Arial Narrow"/>
          <w:b w:val="0"/>
          <w:bCs w:val="0"/>
          <w:color w:val="000000"/>
          <w:kern w:val="0"/>
          <w:sz w:val="24"/>
          <w:szCs w:val="24"/>
          <w:lang w:eastAsia="en-AU"/>
        </w:rPr>
        <w:t>.</w:t>
      </w:r>
      <w:r w:rsidR="00DD00D8" w:rsidRPr="00A255CE">
        <w:rPr>
          <w:rFonts w:ascii="Arial Narrow" w:eastAsia="Calibri" w:hAnsi="Arial Narrow" w:cs="Arial Narrow"/>
          <w:b w:val="0"/>
          <w:bCs w:val="0"/>
          <w:color w:val="000000"/>
          <w:kern w:val="0"/>
          <w:sz w:val="24"/>
          <w:szCs w:val="24"/>
          <w:lang w:eastAsia="en-AU"/>
        </w:rPr>
        <w:t xml:space="preserve"> </w:t>
      </w:r>
      <w:r w:rsidR="009B2400" w:rsidRPr="00A255CE">
        <w:rPr>
          <w:rFonts w:ascii="Arial Narrow" w:eastAsia="Calibri" w:hAnsi="Arial Narrow" w:cs="Arial Narrow"/>
          <w:b w:val="0"/>
          <w:bCs w:val="0"/>
          <w:color w:val="000000"/>
          <w:kern w:val="0"/>
          <w:sz w:val="24"/>
          <w:szCs w:val="24"/>
          <w:lang w:eastAsia="en-AU"/>
        </w:rPr>
        <w:t xml:space="preserve"> Envestra has used </w:t>
      </w:r>
      <w:r w:rsidR="00DD00D8" w:rsidRPr="00A255CE">
        <w:rPr>
          <w:rFonts w:ascii="Arial Narrow" w:eastAsia="Calibri" w:hAnsi="Arial Narrow" w:cs="Arial Narrow"/>
          <w:b w:val="0"/>
          <w:bCs w:val="0"/>
          <w:color w:val="000000"/>
          <w:kern w:val="0"/>
          <w:sz w:val="24"/>
          <w:szCs w:val="24"/>
          <w:lang w:eastAsia="en-AU"/>
        </w:rPr>
        <w:t>the advice contained in th</w:t>
      </w:r>
      <w:r w:rsidR="00617261" w:rsidRPr="00A255CE">
        <w:rPr>
          <w:rFonts w:ascii="Arial Narrow" w:eastAsia="Calibri" w:hAnsi="Arial Narrow" w:cs="Arial Narrow"/>
          <w:b w:val="0"/>
          <w:bCs w:val="0"/>
          <w:color w:val="000000"/>
          <w:kern w:val="0"/>
          <w:sz w:val="24"/>
          <w:szCs w:val="24"/>
          <w:lang w:eastAsia="en-AU"/>
        </w:rPr>
        <w:t>is</w:t>
      </w:r>
      <w:r w:rsidR="00DD00D8" w:rsidRPr="00A255CE">
        <w:rPr>
          <w:rFonts w:ascii="Arial Narrow" w:eastAsia="Calibri" w:hAnsi="Arial Narrow" w:cs="Arial Narrow"/>
          <w:b w:val="0"/>
          <w:bCs w:val="0"/>
          <w:color w:val="000000"/>
          <w:kern w:val="0"/>
          <w:sz w:val="24"/>
          <w:szCs w:val="24"/>
          <w:lang w:eastAsia="en-AU"/>
        </w:rPr>
        <w:t xml:space="preserve"> </w:t>
      </w:r>
      <w:r w:rsidR="0078313C" w:rsidRPr="00A255CE">
        <w:rPr>
          <w:rFonts w:ascii="Arial Narrow" w:eastAsia="Calibri" w:hAnsi="Arial Narrow" w:cs="Arial Narrow"/>
          <w:b w:val="0"/>
          <w:bCs w:val="0"/>
          <w:color w:val="000000"/>
          <w:kern w:val="0"/>
          <w:sz w:val="24"/>
          <w:szCs w:val="24"/>
          <w:lang w:eastAsia="en-AU"/>
        </w:rPr>
        <w:t>report to</w:t>
      </w:r>
      <w:r w:rsidR="00DD00D8" w:rsidRPr="00A255CE">
        <w:rPr>
          <w:rFonts w:ascii="Arial Narrow" w:eastAsia="Calibri" w:hAnsi="Arial Narrow" w:cs="Arial Narrow"/>
          <w:b w:val="0"/>
          <w:bCs w:val="0"/>
          <w:color w:val="000000"/>
          <w:kern w:val="0"/>
          <w:sz w:val="24"/>
          <w:szCs w:val="24"/>
          <w:lang w:eastAsia="en-AU"/>
        </w:rPr>
        <w:t xml:space="preserve"> evaluate and propose an appropriate value for </w:t>
      </w:r>
      <w:r w:rsidR="00C350A2" w:rsidRPr="00A255CE">
        <w:rPr>
          <w:rFonts w:ascii="Arial Narrow" w:eastAsia="Calibri" w:hAnsi="Arial Narrow" w:cs="Arial Narrow"/>
          <w:b w:val="0"/>
          <w:bCs w:val="0"/>
          <w:color w:val="000000"/>
          <w:kern w:val="0"/>
          <w:sz w:val="24"/>
          <w:szCs w:val="24"/>
          <w:lang w:eastAsia="en-AU"/>
        </w:rPr>
        <w:t xml:space="preserve">equity beta </w:t>
      </w:r>
      <w:r w:rsidR="00DD00D8" w:rsidRPr="00A255CE">
        <w:rPr>
          <w:rFonts w:ascii="Arial Narrow" w:eastAsia="Calibri" w:hAnsi="Arial Narrow" w:cs="Arial Narrow"/>
          <w:b w:val="0"/>
          <w:bCs w:val="0"/>
          <w:color w:val="000000"/>
          <w:kern w:val="0"/>
          <w:sz w:val="24"/>
          <w:szCs w:val="24"/>
          <w:lang w:eastAsia="en-AU"/>
        </w:rPr>
        <w:t>for use in the Final Decision</w:t>
      </w:r>
      <w:r w:rsidR="009B2400" w:rsidRPr="00A255CE">
        <w:rPr>
          <w:rFonts w:ascii="Arial Narrow" w:eastAsia="Calibri" w:hAnsi="Arial Narrow" w:cs="Arial Narrow"/>
          <w:b w:val="0"/>
          <w:bCs w:val="0"/>
          <w:color w:val="000000"/>
          <w:kern w:val="0"/>
          <w:sz w:val="24"/>
          <w:szCs w:val="24"/>
          <w:lang w:eastAsia="en-AU"/>
        </w:rPr>
        <w:t xml:space="preserve">.  </w:t>
      </w:r>
      <w:r w:rsidR="0053728B" w:rsidRPr="00A255CE">
        <w:rPr>
          <w:rFonts w:ascii="Arial Narrow" w:eastAsia="Calibri" w:hAnsi="Arial Narrow" w:cs="Arial Narrow"/>
          <w:b w:val="0"/>
          <w:bCs w:val="0"/>
          <w:color w:val="000000"/>
          <w:kern w:val="0"/>
          <w:sz w:val="24"/>
          <w:szCs w:val="24"/>
          <w:lang w:eastAsia="en-AU"/>
        </w:rPr>
        <w:t xml:space="preserve">This </w:t>
      </w:r>
      <w:r w:rsidR="009B2400" w:rsidRPr="00A255CE">
        <w:rPr>
          <w:rFonts w:ascii="Arial Narrow" w:eastAsia="Calibri" w:hAnsi="Arial Narrow" w:cs="Arial Narrow"/>
          <w:b w:val="0"/>
          <w:bCs w:val="0"/>
          <w:color w:val="000000"/>
          <w:kern w:val="0"/>
          <w:sz w:val="24"/>
          <w:szCs w:val="24"/>
          <w:lang w:eastAsia="en-AU"/>
        </w:rPr>
        <w:t>report form</w:t>
      </w:r>
      <w:r w:rsidR="00FB096F" w:rsidRPr="00A255CE">
        <w:rPr>
          <w:rFonts w:ascii="Arial Narrow" w:eastAsia="Calibri" w:hAnsi="Arial Narrow" w:cs="Arial Narrow"/>
          <w:b w:val="0"/>
          <w:bCs w:val="0"/>
          <w:color w:val="000000"/>
          <w:kern w:val="0"/>
          <w:sz w:val="24"/>
          <w:szCs w:val="24"/>
          <w:lang w:eastAsia="en-AU"/>
        </w:rPr>
        <w:t>s</w:t>
      </w:r>
      <w:r w:rsidR="009B2400" w:rsidRPr="00A255CE">
        <w:rPr>
          <w:rFonts w:ascii="Arial Narrow" w:eastAsia="Calibri" w:hAnsi="Arial Narrow" w:cs="Arial Narrow"/>
          <w:b w:val="0"/>
          <w:bCs w:val="0"/>
          <w:color w:val="000000"/>
          <w:kern w:val="0"/>
          <w:sz w:val="24"/>
          <w:szCs w:val="24"/>
          <w:lang w:eastAsia="en-AU"/>
        </w:rPr>
        <w:t xml:space="preserve"> part of </w:t>
      </w:r>
      <w:proofErr w:type="spellStart"/>
      <w:r w:rsidR="009B2400" w:rsidRPr="00A255CE">
        <w:rPr>
          <w:rFonts w:ascii="Arial Narrow" w:eastAsia="Calibri" w:hAnsi="Arial Narrow" w:cs="Arial Narrow"/>
          <w:b w:val="0"/>
          <w:bCs w:val="0"/>
          <w:color w:val="000000"/>
          <w:kern w:val="0"/>
          <w:sz w:val="24"/>
          <w:szCs w:val="24"/>
          <w:lang w:eastAsia="en-AU"/>
        </w:rPr>
        <w:t>Envestra’s</w:t>
      </w:r>
      <w:proofErr w:type="spellEnd"/>
      <w:r w:rsidR="009B2400" w:rsidRPr="00A255CE">
        <w:rPr>
          <w:rFonts w:ascii="Arial Narrow" w:eastAsia="Calibri" w:hAnsi="Arial Narrow" w:cs="Arial Narrow"/>
          <w:b w:val="0"/>
          <w:bCs w:val="0"/>
          <w:color w:val="000000"/>
          <w:kern w:val="0"/>
          <w:sz w:val="24"/>
          <w:szCs w:val="24"/>
          <w:lang w:eastAsia="en-AU"/>
        </w:rPr>
        <w:t xml:space="preserve"> submission, and the submission should be read</w:t>
      </w:r>
      <w:r w:rsidR="0053728B" w:rsidRPr="00A255CE">
        <w:rPr>
          <w:rFonts w:ascii="Arial Narrow" w:eastAsia="Calibri" w:hAnsi="Arial Narrow" w:cs="Arial Narrow"/>
          <w:b w:val="0"/>
          <w:bCs w:val="0"/>
          <w:color w:val="000000"/>
          <w:kern w:val="0"/>
          <w:sz w:val="24"/>
          <w:szCs w:val="24"/>
          <w:lang w:eastAsia="en-AU"/>
        </w:rPr>
        <w:t xml:space="preserve"> in the context of that report</w:t>
      </w:r>
      <w:r w:rsidR="009B2400" w:rsidRPr="00A255CE">
        <w:rPr>
          <w:rFonts w:ascii="Arial Narrow" w:eastAsia="Calibri" w:hAnsi="Arial Narrow" w:cs="Arial Narrow"/>
          <w:b w:val="0"/>
          <w:bCs w:val="0"/>
          <w:color w:val="000000"/>
          <w:kern w:val="0"/>
          <w:sz w:val="24"/>
          <w:szCs w:val="24"/>
          <w:lang w:eastAsia="en-AU"/>
        </w:rPr>
        <w:t xml:space="preserve">.  </w:t>
      </w:r>
    </w:p>
    <w:p w:rsidR="009B2400" w:rsidRPr="00A255CE" w:rsidRDefault="009B2400" w:rsidP="00A255CE">
      <w:pPr>
        <w:spacing w:before="0" w:after="0"/>
        <w:ind w:firstLine="0"/>
        <w:rPr>
          <w:rFonts w:ascii="Arial Narrow" w:hAnsi="Arial Narrow" w:cs="Arial Narrow"/>
          <w:color w:val="000000"/>
          <w:sz w:val="24"/>
          <w:szCs w:val="24"/>
          <w:lang w:eastAsia="en-AU"/>
        </w:rPr>
      </w:pPr>
    </w:p>
    <w:p w:rsidR="00484ABD" w:rsidRDefault="004E1C70" w:rsidP="00C47249">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9.2</w:t>
      </w:r>
      <w:r w:rsidRPr="00A255CE">
        <w:rPr>
          <w:rFonts w:ascii="Arial Narrow" w:hAnsi="Arial Narrow"/>
          <w:b/>
          <w:sz w:val="24"/>
          <w:szCs w:val="24"/>
        </w:rPr>
        <w:tab/>
      </w:r>
      <w:r w:rsidR="00484ABD" w:rsidRPr="00A255CE">
        <w:rPr>
          <w:rFonts w:ascii="Arial Narrow" w:hAnsi="Arial Narrow"/>
          <w:b/>
          <w:sz w:val="24"/>
          <w:szCs w:val="24"/>
        </w:rPr>
        <w:t xml:space="preserve">Summary of the AER Draft Decision </w:t>
      </w:r>
    </w:p>
    <w:p w:rsidR="00C47249" w:rsidRPr="00A255CE" w:rsidRDefault="00C47249" w:rsidP="00A255CE">
      <w:pPr>
        <w:spacing w:before="0" w:after="0"/>
        <w:ind w:firstLine="0"/>
        <w:rPr>
          <w:rFonts w:ascii="Arial Narrow" w:hAnsi="Arial Narrow"/>
          <w:b/>
          <w:sz w:val="24"/>
          <w:szCs w:val="24"/>
        </w:rPr>
      </w:pPr>
    </w:p>
    <w:p w:rsidR="009021C2" w:rsidRPr="00A255CE" w:rsidRDefault="009021C2" w:rsidP="00A255CE">
      <w:pPr>
        <w:autoSpaceDE w:val="0"/>
        <w:autoSpaceDN w:val="0"/>
        <w:adjustRightInd w:val="0"/>
        <w:spacing w:before="0" w:after="0"/>
        <w:ind w:firstLine="0"/>
        <w:rPr>
          <w:rFonts w:ascii="Arial Narrow" w:hAnsi="Arial Narrow"/>
          <w:sz w:val="24"/>
          <w:szCs w:val="24"/>
        </w:rPr>
      </w:pPr>
      <w:r w:rsidRPr="00A255CE">
        <w:rPr>
          <w:rFonts w:ascii="Arial Narrow" w:hAnsi="Arial Narrow"/>
          <w:sz w:val="24"/>
          <w:szCs w:val="24"/>
        </w:rPr>
        <w:t xml:space="preserve">In the Draft Decision the AER </w:t>
      </w:r>
      <w:r w:rsidR="007711D7" w:rsidRPr="00A255CE">
        <w:rPr>
          <w:rFonts w:ascii="Arial Narrow" w:hAnsi="Arial Narrow"/>
          <w:sz w:val="24"/>
          <w:szCs w:val="24"/>
        </w:rPr>
        <w:t>relied upon the 2009 WACC review analysis to determine that an equity beta of 0.8</w:t>
      </w:r>
      <w:r w:rsidR="007203DC" w:rsidRPr="00A255CE">
        <w:rPr>
          <w:rFonts w:ascii="Arial Narrow" w:hAnsi="Arial Narrow"/>
          <w:sz w:val="24"/>
          <w:szCs w:val="24"/>
        </w:rPr>
        <w:t>,</w:t>
      </w:r>
      <w:r w:rsidR="007711D7" w:rsidRPr="00A255CE">
        <w:rPr>
          <w:rFonts w:ascii="Arial Narrow" w:hAnsi="Arial Narrow"/>
          <w:sz w:val="24"/>
          <w:szCs w:val="24"/>
        </w:rPr>
        <w:t xml:space="preserve"> </w:t>
      </w:r>
      <w:r w:rsidR="00B75951" w:rsidRPr="00A255CE">
        <w:rPr>
          <w:rFonts w:ascii="Arial Narrow" w:hAnsi="Arial Narrow"/>
          <w:sz w:val="24"/>
          <w:szCs w:val="24"/>
        </w:rPr>
        <w:t>when used in the CAPM</w:t>
      </w:r>
      <w:r w:rsidR="007203DC" w:rsidRPr="00A255CE">
        <w:rPr>
          <w:rFonts w:ascii="Arial Narrow" w:hAnsi="Arial Narrow"/>
          <w:sz w:val="24"/>
          <w:szCs w:val="24"/>
        </w:rPr>
        <w:t>,</w:t>
      </w:r>
      <w:r w:rsidR="00B75951" w:rsidRPr="00A255CE">
        <w:rPr>
          <w:rFonts w:ascii="Arial Narrow" w:hAnsi="Arial Narrow"/>
          <w:sz w:val="24"/>
          <w:szCs w:val="24"/>
        </w:rPr>
        <w:t xml:space="preserve"> </w:t>
      </w:r>
      <w:r w:rsidR="007711D7" w:rsidRPr="00A255CE">
        <w:rPr>
          <w:rFonts w:ascii="Arial Narrow" w:hAnsi="Arial Narrow"/>
          <w:sz w:val="24"/>
          <w:szCs w:val="24"/>
        </w:rPr>
        <w:t xml:space="preserve">will result in a rate of return commensurate with the risk involved in providing reference services.  The AER </w:t>
      </w:r>
      <w:r w:rsidR="0068232B" w:rsidRPr="00A255CE">
        <w:rPr>
          <w:rFonts w:ascii="Arial Narrow" w:hAnsi="Arial Narrow"/>
          <w:sz w:val="24"/>
          <w:szCs w:val="24"/>
        </w:rPr>
        <w:t>also quoted a recent Grant Samuel independent expert</w:t>
      </w:r>
      <w:r w:rsidR="007203DC" w:rsidRPr="00A255CE">
        <w:rPr>
          <w:rFonts w:ascii="Arial Narrow" w:hAnsi="Arial Narrow"/>
          <w:sz w:val="24"/>
          <w:szCs w:val="24"/>
        </w:rPr>
        <w:t>,</w:t>
      </w:r>
      <w:r w:rsidR="0068232B" w:rsidRPr="00A255CE">
        <w:rPr>
          <w:rFonts w:ascii="Arial Narrow" w:hAnsi="Arial Narrow"/>
          <w:sz w:val="24"/>
          <w:szCs w:val="24"/>
        </w:rPr>
        <w:t xml:space="preserve"> which was published </w:t>
      </w:r>
      <w:r w:rsidR="00D3552C" w:rsidRPr="00A255CE">
        <w:rPr>
          <w:rFonts w:ascii="Arial Narrow" w:hAnsi="Arial Narrow"/>
          <w:sz w:val="24"/>
          <w:szCs w:val="24"/>
        </w:rPr>
        <w:t>in 2009</w:t>
      </w:r>
      <w:r w:rsidR="007203DC" w:rsidRPr="00A255CE">
        <w:rPr>
          <w:rFonts w:ascii="Arial Narrow" w:hAnsi="Arial Narrow"/>
          <w:sz w:val="24"/>
          <w:szCs w:val="24"/>
        </w:rPr>
        <w:t>,</w:t>
      </w:r>
      <w:r w:rsidR="00D3552C" w:rsidRPr="00A255CE">
        <w:rPr>
          <w:rStyle w:val="FootnoteReference"/>
          <w:rFonts w:ascii="Arial Narrow" w:hAnsi="Arial Narrow"/>
          <w:sz w:val="24"/>
          <w:szCs w:val="24"/>
        </w:rPr>
        <w:footnoteReference w:id="1"/>
      </w:r>
      <w:r w:rsidR="007203DC" w:rsidRPr="00A255CE">
        <w:rPr>
          <w:rFonts w:ascii="Arial Narrow" w:hAnsi="Arial Narrow"/>
          <w:sz w:val="24"/>
          <w:szCs w:val="24"/>
        </w:rPr>
        <w:t xml:space="preserve"> that </w:t>
      </w:r>
      <w:r w:rsidR="0068232B" w:rsidRPr="00A255CE">
        <w:rPr>
          <w:rFonts w:ascii="Arial Narrow" w:hAnsi="Arial Narrow"/>
          <w:sz w:val="24"/>
          <w:szCs w:val="24"/>
        </w:rPr>
        <w:t>use</w:t>
      </w:r>
      <w:r w:rsidR="005101A0" w:rsidRPr="00A255CE">
        <w:rPr>
          <w:rFonts w:ascii="Arial Narrow" w:hAnsi="Arial Narrow"/>
          <w:sz w:val="24"/>
          <w:szCs w:val="24"/>
        </w:rPr>
        <w:t>d</w:t>
      </w:r>
      <w:r w:rsidR="0068232B" w:rsidRPr="00A255CE">
        <w:rPr>
          <w:rFonts w:ascii="Arial Narrow" w:hAnsi="Arial Narrow"/>
          <w:sz w:val="24"/>
          <w:szCs w:val="24"/>
        </w:rPr>
        <w:t xml:space="preserve"> a</w:t>
      </w:r>
      <w:r w:rsidR="00B75951" w:rsidRPr="00A255CE">
        <w:rPr>
          <w:rFonts w:ascii="Arial Narrow" w:hAnsi="Arial Narrow"/>
          <w:sz w:val="24"/>
          <w:szCs w:val="24"/>
        </w:rPr>
        <w:t>n equity</w:t>
      </w:r>
      <w:r w:rsidR="0068232B" w:rsidRPr="00A255CE">
        <w:rPr>
          <w:rFonts w:ascii="Arial Narrow" w:hAnsi="Arial Narrow"/>
          <w:sz w:val="24"/>
          <w:szCs w:val="24"/>
        </w:rPr>
        <w:t xml:space="preserve"> beta estimate of 0.8-0.9</w:t>
      </w:r>
      <w:r w:rsidR="007203DC" w:rsidRPr="00A255CE">
        <w:rPr>
          <w:rFonts w:ascii="Arial Narrow" w:hAnsi="Arial Narrow"/>
          <w:sz w:val="24"/>
          <w:szCs w:val="24"/>
        </w:rPr>
        <w:t xml:space="preserve">, </w:t>
      </w:r>
      <w:r w:rsidR="004E09B1" w:rsidRPr="00A255CE">
        <w:rPr>
          <w:rFonts w:ascii="Arial Narrow" w:hAnsi="Arial Narrow"/>
          <w:sz w:val="24"/>
          <w:szCs w:val="24"/>
        </w:rPr>
        <w:t xml:space="preserve">MRP of 6% and </w:t>
      </w:r>
      <w:r w:rsidR="004E1B17" w:rsidRPr="00A255CE">
        <w:rPr>
          <w:rFonts w:ascii="Arial Narrow" w:hAnsi="Arial Narrow"/>
          <w:sz w:val="24"/>
          <w:szCs w:val="24"/>
        </w:rPr>
        <w:t xml:space="preserve">theta </w:t>
      </w:r>
      <w:r w:rsidR="007203DC" w:rsidRPr="00A255CE">
        <w:rPr>
          <w:rFonts w:ascii="Arial Narrow" w:hAnsi="Arial Narrow"/>
          <w:sz w:val="24"/>
          <w:szCs w:val="24"/>
        </w:rPr>
        <w:t>of zero</w:t>
      </w:r>
      <w:r w:rsidR="007203DC" w:rsidRPr="00A255CE">
        <w:rPr>
          <w:rStyle w:val="FootnoteReference"/>
          <w:rFonts w:ascii="Arial Narrow" w:hAnsi="Arial Narrow"/>
          <w:sz w:val="24"/>
          <w:szCs w:val="24"/>
        </w:rPr>
        <w:footnoteReference w:id="2"/>
      </w:r>
      <w:r w:rsidR="005101A0" w:rsidRPr="00A255CE">
        <w:rPr>
          <w:rFonts w:ascii="Arial Narrow" w:hAnsi="Arial Narrow"/>
          <w:sz w:val="24"/>
          <w:szCs w:val="24"/>
        </w:rPr>
        <w:t xml:space="preserve">. </w:t>
      </w:r>
      <w:r w:rsidR="004E09B1" w:rsidRPr="00A255CE">
        <w:rPr>
          <w:rFonts w:ascii="Arial Narrow" w:hAnsi="Arial Narrow"/>
          <w:sz w:val="24"/>
          <w:szCs w:val="24"/>
        </w:rPr>
        <w:t xml:space="preserve"> T</w:t>
      </w:r>
      <w:r w:rsidR="0068232B" w:rsidRPr="00A255CE">
        <w:rPr>
          <w:rFonts w:ascii="Arial Narrow" w:hAnsi="Arial Narrow"/>
          <w:sz w:val="24"/>
          <w:szCs w:val="24"/>
        </w:rPr>
        <w:t xml:space="preserve">he AER </w:t>
      </w:r>
      <w:r w:rsidR="004E09B1" w:rsidRPr="00A255CE">
        <w:rPr>
          <w:rFonts w:ascii="Arial Narrow" w:hAnsi="Arial Narrow"/>
          <w:sz w:val="24"/>
          <w:szCs w:val="24"/>
        </w:rPr>
        <w:t xml:space="preserve">used the </w:t>
      </w:r>
      <w:r w:rsidR="0068232B" w:rsidRPr="00A255CE">
        <w:rPr>
          <w:rFonts w:ascii="Arial Narrow" w:hAnsi="Arial Narrow"/>
          <w:sz w:val="24"/>
          <w:szCs w:val="24"/>
        </w:rPr>
        <w:t xml:space="preserve">Grant Samuel </w:t>
      </w:r>
      <w:r w:rsidR="004E09B1" w:rsidRPr="00A255CE">
        <w:rPr>
          <w:rFonts w:ascii="Arial Narrow" w:hAnsi="Arial Narrow"/>
          <w:sz w:val="24"/>
          <w:szCs w:val="24"/>
        </w:rPr>
        <w:t xml:space="preserve">report to support the proposition </w:t>
      </w:r>
      <w:r w:rsidR="0068232B" w:rsidRPr="00A255CE">
        <w:rPr>
          <w:rFonts w:ascii="Arial Narrow" w:hAnsi="Arial Narrow"/>
          <w:sz w:val="24"/>
          <w:szCs w:val="24"/>
        </w:rPr>
        <w:t xml:space="preserve">that </w:t>
      </w:r>
      <w:r w:rsidR="004E09B1" w:rsidRPr="00A255CE">
        <w:rPr>
          <w:rFonts w:ascii="Arial Narrow" w:hAnsi="Arial Narrow"/>
          <w:sz w:val="24"/>
          <w:szCs w:val="24"/>
        </w:rPr>
        <w:t xml:space="preserve">the equity beta for </w:t>
      </w:r>
      <w:r w:rsidR="0068232B" w:rsidRPr="00A255CE">
        <w:rPr>
          <w:rFonts w:ascii="Arial Narrow" w:hAnsi="Arial Narrow"/>
          <w:sz w:val="24"/>
          <w:szCs w:val="24"/>
        </w:rPr>
        <w:t xml:space="preserve">energy distribution businesses </w:t>
      </w:r>
      <w:r w:rsidR="004E09B1" w:rsidRPr="00A255CE">
        <w:rPr>
          <w:rFonts w:ascii="Arial Narrow" w:hAnsi="Arial Narrow"/>
          <w:sz w:val="24"/>
          <w:szCs w:val="24"/>
        </w:rPr>
        <w:t xml:space="preserve">were </w:t>
      </w:r>
      <w:r w:rsidR="0068232B" w:rsidRPr="00A255CE">
        <w:rPr>
          <w:rFonts w:ascii="Arial Narrow" w:hAnsi="Arial Narrow"/>
          <w:sz w:val="24"/>
          <w:szCs w:val="24"/>
        </w:rPr>
        <w:t>un-changed as result of the GFC</w:t>
      </w:r>
      <w:r w:rsidR="004E09B1" w:rsidRPr="00A255CE">
        <w:rPr>
          <w:rFonts w:ascii="Arial Narrow" w:hAnsi="Arial Narrow"/>
          <w:sz w:val="24"/>
          <w:szCs w:val="24"/>
        </w:rPr>
        <w:t xml:space="preserve">.  Overall, the AER </w:t>
      </w:r>
      <w:r w:rsidR="007711D7" w:rsidRPr="00A255CE">
        <w:rPr>
          <w:rFonts w:ascii="Arial Narrow" w:hAnsi="Arial Narrow"/>
          <w:sz w:val="24"/>
          <w:szCs w:val="24"/>
        </w:rPr>
        <w:t xml:space="preserve">believes that the empirical evidence presented in the </w:t>
      </w:r>
      <w:r w:rsidR="00B75951" w:rsidRPr="00A255CE">
        <w:rPr>
          <w:rFonts w:ascii="Arial Narrow" w:hAnsi="Arial Narrow"/>
          <w:sz w:val="24"/>
          <w:szCs w:val="24"/>
        </w:rPr>
        <w:t xml:space="preserve">2009 </w:t>
      </w:r>
      <w:r w:rsidR="007711D7" w:rsidRPr="00A255CE">
        <w:rPr>
          <w:rFonts w:ascii="Arial Narrow" w:hAnsi="Arial Narrow"/>
          <w:sz w:val="24"/>
          <w:szCs w:val="24"/>
        </w:rPr>
        <w:t xml:space="preserve">WACC review contains the best available estimate of the equity beta </w:t>
      </w:r>
      <w:r w:rsidR="00100B1E" w:rsidRPr="00A255CE">
        <w:rPr>
          <w:rFonts w:ascii="Arial Narrow" w:hAnsi="Arial Narrow"/>
          <w:sz w:val="24"/>
          <w:szCs w:val="24"/>
        </w:rPr>
        <w:t>for the benchmark</w:t>
      </w:r>
      <w:r w:rsidR="007711D7" w:rsidRPr="00A255CE">
        <w:rPr>
          <w:rFonts w:ascii="Arial Narrow" w:hAnsi="Arial Narrow"/>
          <w:sz w:val="24"/>
          <w:szCs w:val="24"/>
        </w:rPr>
        <w:t xml:space="preserve"> gas distribution network service provider</w:t>
      </w:r>
      <w:r w:rsidR="00100B1E" w:rsidRPr="00A255CE">
        <w:rPr>
          <w:rFonts w:ascii="Arial Narrow" w:hAnsi="Arial Narrow"/>
          <w:sz w:val="24"/>
          <w:szCs w:val="24"/>
        </w:rPr>
        <w:t xml:space="preserve">.  </w:t>
      </w:r>
    </w:p>
    <w:p w:rsidR="00683516" w:rsidRPr="00A255CE" w:rsidRDefault="00683516" w:rsidP="00A255CE">
      <w:pPr>
        <w:autoSpaceDE w:val="0"/>
        <w:autoSpaceDN w:val="0"/>
        <w:adjustRightInd w:val="0"/>
        <w:spacing w:before="0" w:after="0"/>
        <w:ind w:firstLine="0"/>
        <w:rPr>
          <w:rFonts w:ascii="Arial Narrow" w:hAnsi="Arial Narrow"/>
          <w:sz w:val="24"/>
          <w:szCs w:val="24"/>
        </w:rPr>
      </w:pPr>
    </w:p>
    <w:p w:rsidR="003E3B45" w:rsidRDefault="003E3B45" w:rsidP="00C47249">
      <w:pPr>
        <w:numPr>
          <w:ilvl w:val="1"/>
          <w:numId w:val="1"/>
        </w:num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 xml:space="preserve">Envestra </w:t>
      </w:r>
      <w:r w:rsidR="004E09B1" w:rsidRPr="00A255CE">
        <w:rPr>
          <w:rFonts w:ascii="Arial Narrow" w:hAnsi="Arial Narrow"/>
          <w:b/>
          <w:sz w:val="24"/>
          <w:szCs w:val="24"/>
        </w:rPr>
        <w:t>Response</w:t>
      </w:r>
    </w:p>
    <w:p w:rsidR="00C47249" w:rsidRPr="00A255CE" w:rsidRDefault="00C47249" w:rsidP="00C47249">
      <w:pPr>
        <w:spacing w:before="0" w:after="0"/>
        <w:ind w:left="360" w:firstLine="0"/>
        <w:rPr>
          <w:rFonts w:ascii="Arial Narrow" w:hAnsi="Arial Narrow"/>
          <w:b/>
          <w:sz w:val="24"/>
          <w:szCs w:val="24"/>
        </w:rPr>
      </w:pPr>
    </w:p>
    <w:p w:rsidR="003E3B45" w:rsidRDefault="00B75951" w:rsidP="00C47249">
      <w:pPr>
        <w:numPr>
          <w:ilvl w:val="2"/>
          <w:numId w:val="1"/>
        </w:numPr>
        <w:tabs>
          <w:tab w:val="left" w:pos="709"/>
        </w:tabs>
        <w:spacing w:before="0" w:after="0"/>
        <w:rPr>
          <w:rFonts w:ascii="Arial Narrow" w:hAnsi="Arial Narrow"/>
          <w:b/>
          <w:sz w:val="24"/>
          <w:szCs w:val="24"/>
        </w:rPr>
      </w:pPr>
      <w:r w:rsidRPr="00A255CE">
        <w:rPr>
          <w:rFonts w:ascii="Arial Narrow" w:hAnsi="Arial Narrow"/>
          <w:b/>
          <w:sz w:val="24"/>
          <w:szCs w:val="24"/>
        </w:rPr>
        <w:t xml:space="preserve">2009 WACC Review Equity Beta </w:t>
      </w:r>
      <w:r w:rsidR="00865083" w:rsidRPr="00A255CE">
        <w:rPr>
          <w:rFonts w:ascii="Arial Narrow" w:hAnsi="Arial Narrow"/>
          <w:b/>
          <w:sz w:val="24"/>
          <w:szCs w:val="24"/>
        </w:rPr>
        <w:t>Estimates</w:t>
      </w:r>
    </w:p>
    <w:p w:rsidR="00C47249" w:rsidRPr="00A255CE" w:rsidRDefault="00C47249" w:rsidP="00C47249">
      <w:pPr>
        <w:spacing w:before="0" w:after="0"/>
        <w:ind w:left="720" w:firstLine="0"/>
        <w:rPr>
          <w:rFonts w:ascii="Arial Narrow" w:hAnsi="Arial Narrow"/>
          <w:b/>
          <w:sz w:val="24"/>
          <w:szCs w:val="24"/>
        </w:rPr>
      </w:pPr>
    </w:p>
    <w:p w:rsidR="005B62CA" w:rsidRDefault="005B62CA" w:rsidP="00A255CE">
      <w:pPr>
        <w:autoSpaceDE w:val="0"/>
        <w:autoSpaceDN w:val="0"/>
        <w:adjustRightInd w:val="0"/>
        <w:spacing w:before="0" w:after="0"/>
        <w:ind w:firstLine="0"/>
        <w:jc w:val="left"/>
        <w:rPr>
          <w:rFonts w:ascii="Arial Narrow" w:hAnsi="Arial Narrow"/>
          <w:sz w:val="24"/>
          <w:szCs w:val="24"/>
        </w:rPr>
      </w:pPr>
      <w:r w:rsidRPr="00A255CE">
        <w:rPr>
          <w:rFonts w:ascii="Arial Narrow" w:hAnsi="Arial Narrow"/>
          <w:sz w:val="24"/>
          <w:szCs w:val="24"/>
        </w:rPr>
        <w:t xml:space="preserve">CEG has advised that the </w:t>
      </w:r>
      <w:r w:rsidR="00A95B19" w:rsidRPr="00A255CE">
        <w:rPr>
          <w:rFonts w:ascii="Arial Narrow" w:hAnsi="Arial Narrow"/>
          <w:sz w:val="24"/>
          <w:szCs w:val="24"/>
        </w:rPr>
        <w:t>AERs</w:t>
      </w:r>
      <w:r w:rsidR="0078313C" w:rsidRPr="00A255CE">
        <w:rPr>
          <w:rFonts w:ascii="Arial Narrow" w:hAnsi="Arial Narrow"/>
          <w:sz w:val="24"/>
          <w:szCs w:val="24"/>
        </w:rPr>
        <w:t xml:space="preserve"> estimate of </w:t>
      </w:r>
      <w:r w:rsidRPr="00A255CE">
        <w:rPr>
          <w:rFonts w:ascii="Arial Narrow" w:hAnsi="Arial Narrow"/>
          <w:sz w:val="24"/>
          <w:szCs w:val="24"/>
        </w:rPr>
        <w:t>equity beta of 0.8 is flawed on three grounds</w:t>
      </w:r>
      <w:r w:rsidR="00A95B19" w:rsidRPr="00A255CE">
        <w:rPr>
          <w:rFonts w:ascii="Arial Narrow" w:hAnsi="Arial Narrow"/>
          <w:sz w:val="24"/>
          <w:szCs w:val="24"/>
        </w:rPr>
        <w:t>, namely</w:t>
      </w:r>
      <w:r w:rsidRPr="00A255CE">
        <w:rPr>
          <w:rFonts w:ascii="Arial Narrow" w:hAnsi="Arial Narrow"/>
          <w:sz w:val="24"/>
          <w:szCs w:val="24"/>
        </w:rPr>
        <w:t>:</w:t>
      </w:r>
    </w:p>
    <w:p w:rsidR="00C47249" w:rsidRPr="00A255CE" w:rsidRDefault="00C47249" w:rsidP="00A255CE">
      <w:pPr>
        <w:autoSpaceDE w:val="0"/>
        <w:autoSpaceDN w:val="0"/>
        <w:adjustRightInd w:val="0"/>
        <w:spacing w:before="0" w:after="0"/>
        <w:ind w:firstLine="0"/>
        <w:jc w:val="left"/>
        <w:rPr>
          <w:rFonts w:ascii="Arial Narrow" w:hAnsi="Arial Narrow"/>
          <w:sz w:val="24"/>
          <w:szCs w:val="24"/>
        </w:rPr>
      </w:pPr>
    </w:p>
    <w:p w:rsidR="005B62CA" w:rsidRDefault="0078313C" w:rsidP="004B65B5">
      <w:pPr>
        <w:pStyle w:val="ListBullet"/>
        <w:numPr>
          <w:ilvl w:val="0"/>
          <w:numId w:val="4"/>
        </w:numPr>
        <w:tabs>
          <w:tab w:val="clear" w:pos="992"/>
          <w:tab w:val="left" w:pos="426"/>
        </w:tabs>
        <w:spacing w:after="0"/>
        <w:ind w:left="426" w:hanging="426"/>
        <w:rPr>
          <w:rFonts w:ascii="Arial Narrow" w:eastAsia="Calibri" w:hAnsi="Arial Narrow"/>
          <w:sz w:val="24"/>
          <w:szCs w:val="24"/>
          <w:lang w:eastAsia="en-US"/>
        </w:rPr>
      </w:pPr>
      <w:r w:rsidRPr="00A255CE">
        <w:rPr>
          <w:rFonts w:ascii="Arial Narrow" w:eastAsia="Calibri" w:hAnsi="Arial Narrow"/>
          <w:sz w:val="24"/>
          <w:szCs w:val="24"/>
          <w:lang w:eastAsia="en-US"/>
        </w:rPr>
        <w:t xml:space="preserve">The value of </w:t>
      </w:r>
      <w:r w:rsidR="00A95B19" w:rsidRPr="00A255CE">
        <w:rPr>
          <w:rFonts w:ascii="Arial Narrow" w:eastAsia="Calibri" w:hAnsi="Arial Narrow"/>
          <w:sz w:val="24"/>
          <w:szCs w:val="24"/>
          <w:lang w:eastAsia="en-US"/>
        </w:rPr>
        <w:t>0.8</w:t>
      </w:r>
      <w:r w:rsidR="005B62CA" w:rsidRPr="00A255CE">
        <w:rPr>
          <w:rFonts w:ascii="Arial Narrow" w:eastAsia="Calibri" w:hAnsi="Arial Narrow"/>
          <w:sz w:val="24"/>
          <w:szCs w:val="24"/>
          <w:lang w:eastAsia="en-US"/>
        </w:rPr>
        <w:t xml:space="preserve"> is derived from reliance on just six, highly volatile, Australian observations for regulated energy distributors’ betas</w:t>
      </w:r>
      <w:r w:rsidR="00A95B19" w:rsidRPr="00A255CE">
        <w:rPr>
          <w:rFonts w:ascii="Arial Narrow" w:eastAsia="Calibri" w:hAnsi="Arial Narrow"/>
          <w:sz w:val="24"/>
          <w:szCs w:val="24"/>
          <w:lang w:eastAsia="en-US"/>
        </w:rPr>
        <w:t>, where:</w:t>
      </w:r>
    </w:p>
    <w:p w:rsidR="00C47249" w:rsidRPr="00A255CE" w:rsidRDefault="00C47249" w:rsidP="00C47249">
      <w:pPr>
        <w:pStyle w:val="ListBullet"/>
        <w:numPr>
          <w:ilvl w:val="0"/>
          <w:numId w:val="0"/>
        </w:numPr>
        <w:tabs>
          <w:tab w:val="clear" w:pos="992"/>
          <w:tab w:val="left" w:pos="426"/>
        </w:tabs>
        <w:spacing w:after="0"/>
        <w:ind w:left="426"/>
        <w:rPr>
          <w:rFonts w:ascii="Arial Narrow" w:eastAsia="Calibri" w:hAnsi="Arial Narrow"/>
          <w:sz w:val="24"/>
          <w:szCs w:val="24"/>
          <w:lang w:eastAsia="en-US"/>
        </w:rPr>
      </w:pPr>
    </w:p>
    <w:p w:rsidR="005B62CA" w:rsidRPr="00A255CE" w:rsidRDefault="00A95B19" w:rsidP="004B65B5">
      <w:pPr>
        <w:pStyle w:val="BodyText"/>
        <w:numPr>
          <w:ilvl w:val="0"/>
          <w:numId w:val="3"/>
        </w:numPr>
        <w:tabs>
          <w:tab w:val="left" w:pos="851"/>
        </w:tabs>
        <w:spacing w:before="0" w:after="0"/>
        <w:ind w:left="851" w:hanging="425"/>
        <w:rPr>
          <w:rFonts w:ascii="Arial Narrow" w:eastAsia="Calibri" w:hAnsi="Arial Narrow"/>
          <w:sz w:val="24"/>
          <w:szCs w:val="24"/>
          <w:lang w:eastAsia="en-US"/>
        </w:rPr>
      </w:pPr>
      <w:r w:rsidRPr="00A255CE">
        <w:rPr>
          <w:rFonts w:ascii="Arial Narrow" w:eastAsia="Calibri" w:hAnsi="Arial Narrow"/>
          <w:sz w:val="24"/>
          <w:szCs w:val="24"/>
          <w:lang w:eastAsia="en-US"/>
        </w:rPr>
        <w:t>most of these firms</w:t>
      </w:r>
      <w:r w:rsidR="005B62CA" w:rsidRPr="00A255CE">
        <w:rPr>
          <w:rFonts w:ascii="Arial Narrow" w:eastAsia="Calibri" w:hAnsi="Arial Narrow"/>
          <w:sz w:val="24"/>
          <w:szCs w:val="24"/>
          <w:lang w:eastAsia="en-US"/>
        </w:rPr>
        <w:t xml:space="preserve"> have a limited time series of available data; </w:t>
      </w:r>
    </w:p>
    <w:p w:rsidR="005B62CA" w:rsidRDefault="005B62CA" w:rsidP="00C72D07">
      <w:pPr>
        <w:pStyle w:val="BodyText"/>
        <w:numPr>
          <w:ilvl w:val="0"/>
          <w:numId w:val="3"/>
        </w:numPr>
        <w:tabs>
          <w:tab w:val="left" w:pos="851"/>
        </w:tabs>
        <w:spacing w:before="0" w:after="0"/>
        <w:ind w:left="851" w:hanging="425"/>
        <w:rPr>
          <w:rFonts w:ascii="Arial Narrow" w:eastAsia="Calibri" w:hAnsi="Arial Narrow"/>
          <w:sz w:val="24"/>
          <w:szCs w:val="24"/>
          <w:lang w:eastAsia="en-US"/>
        </w:rPr>
      </w:pPr>
      <w:r w:rsidRPr="00A255CE">
        <w:rPr>
          <w:rFonts w:ascii="Arial Narrow" w:eastAsia="Calibri" w:hAnsi="Arial Narrow"/>
          <w:sz w:val="24"/>
          <w:szCs w:val="24"/>
          <w:lang w:eastAsia="en-US"/>
        </w:rPr>
        <w:t>the AER give</w:t>
      </w:r>
      <w:r w:rsidR="00A95B19" w:rsidRPr="00A255CE">
        <w:rPr>
          <w:rFonts w:ascii="Arial Narrow" w:eastAsia="Calibri" w:hAnsi="Arial Narrow"/>
          <w:sz w:val="24"/>
          <w:szCs w:val="24"/>
          <w:lang w:eastAsia="en-US"/>
        </w:rPr>
        <w:t>s</w:t>
      </w:r>
      <w:r w:rsidRPr="00A255CE">
        <w:rPr>
          <w:rFonts w:ascii="Arial Narrow" w:eastAsia="Calibri" w:hAnsi="Arial Narrow"/>
          <w:sz w:val="24"/>
          <w:szCs w:val="24"/>
          <w:lang w:eastAsia="en-US"/>
        </w:rPr>
        <w:t xml:space="preserve"> less weight to the highest estimated beta for the Australian sample.</w:t>
      </w:r>
    </w:p>
    <w:p w:rsidR="00C72D07" w:rsidRPr="00A255CE" w:rsidRDefault="00C72D07" w:rsidP="00C72D07">
      <w:pPr>
        <w:pStyle w:val="BodyText"/>
        <w:numPr>
          <w:ilvl w:val="0"/>
          <w:numId w:val="0"/>
        </w:numPr>
        <w:spacing w:before="0" w:after="0"/>
        <w:ind w:left="709"/>
        <w:rPr>
          <w:rFonts w:ascii="Arial Narrow" w:eastAsia="Calibri" w:hAnsi="Arial Narrow"/>
          <w:sz w:val="24"/>
          <w:szCs w:val="24"/>
          <w:lang w:eastAsia="en-US"/>
        </w:rPr>
      </w:pPr>
    </w:p>
    <w:p w:rsidR="005B62CA" w:rsidRPr="00A255CE" w:rsidRDefault="005B62CA" w:rsidP="007450F3">
      <w:pPr>
        <w:pStyle w:val="ListBullet"/>
        <w:numPr>
          <w:ilvl w:val="0"/>
          <w:numId w:val="4"/>
        </w:numPr>
        <w:tabs>
          <w:tab w:val="clear" w:pos="992"/>
          <w:tab w:val="left" w:pos="426"/>
        </w:tabs>
        <w:spacing w:after="0"/>
        <w:ind w:left="426" w:hanging="426"/>
        <w:rPr>
          <w:rFonts w:ascii="Arial Narrow" w:eastAsia="Calibri" w:hAnsi="Arial Narrow"/>
          <w:sz w:val="24"/>
          <w:szCs w:val="24"/>
          <w:lang w:eastAsia="en-US"/>
        </w:rPr>
      </w:pPr>
      <w:r w:rsidRPr="00A255CE">
        <w:rPr>
          <w:rFonts w:ascii="Arial Narrow" w:eastAsia="Calibri" w:hAnsi="Arial Narrow"/>
          <w:sz w:val="24"/>
          <w:szCs w:val="24"/>
          <w:lang w:eastAsia="en-US"/>
        </w:rPr>
        <w:lastRenderedPageBreak/>
        <w:t>The AER’s estimate gives little or no weight to up to 7</w:t>
      </w:r>
      <w:r w:rsidR="00FF098F">
        <w:rPr>
          <w:rFonts w:ascii="Arial Narrow" w:eastAsia="Calibri" w:hAnsi="Arial Narrow"/>
          <w:sz w:val="24"/>
          <w:szCs w:val="24"/>
          <w:lang w:eastAsia="en-US"/>
        </w:rPr>
        <w:t>7</w:t>
      </w:r>
      <w:r w:rsidRPr="00A255CE">
        <w:rPr>
          <w:rFonts w:ascii="Arial Narrow" w:eastAsia="Calibri" w:hAnsi="Arial Narrow"/>
          <w:sz w:val="24"/>
          <w:szCs w:val="24"/>
          <w:lang w:eastAsia="en-US"/>
        </w:rPr>
        <w:t xml:space="preserve"> other equally relevant observations from US regulated energy distributors – the weight of which strongly points towards a beta of 1.0 or more;</w:t>
      </w:r>
    </w:p>
    <w:p w:rsidR="00307097" w:rsidRPr="00A255CE" w:rsidRDefault="00307097" w:rsidP="00A255CE">
      <w:pPr>
        <w:pStyle w:val="ListBullet"/>
        <w:numPr>
          <w:ilvl w:val="0"/>
          <w:numId w:val="0"/>
        </w:numPr>
        <w:tabs>
          <w:tab w:val="clear" w:pos="992"/>
        </w:tabs>
        <w:spacing w:after="0"/>
        <w:ind w:left="360"/>
        <w:rPr>
          <w:rFonts w:ascii="Arial Narrow" w:eastAsia="Calibri" w:hAnsi="Arial Narrow"/>
          <w:sz w:val="24"/>
          <w:szCs w:val="24"/>
          <w:lang w:eastAsia="en-US"/>
        </w:rPr>
      </w:pPr>
    </w:p>
    <w:p w:rsidR="00C63EC6" w:rsidRPr="00A255CE" w:rsidRDefault="00342B3F" w:rsidP="00A255CE">
      <w:pPr>
        <w:autoSpaceDE w:val="0"/>
        <w:autoSpaceDN w:val="0"/>
        <w:adjustRightInd w:val="0"/>
        <w:spacing w:before="0" w:after="0"/>
        <w:ind w:firstLine="0"/>
        <w:rPr>
          <w:rFonts w:ascii="Arial Narrow" w:hAnsi="Arial Narrow"/>
          <w:sz w:val="24"/>
          <w:szCs w:val="24"/>
        </w:rPr>
      </w:pPr>
      <w:r w:rsidRPr="00A255CE">
        <w:rPr>
          <w:rFonts w:ascii="Arial Narrow" w:hAnsi="Arial Narrow"/>
          <w:sz w:val="24"/>
          <w:szCs w:val="24"/>
        </w:rPr>
        <w:t xml:space="preserve">In </w:t>
      </w:r>
      <w:r w:rsidR="00307097" w:rsidRPr="00A255CE">
        <w:rPr>
          <w:rFonts w:ascii="Arial Narrow" w:hAnsi="Arial Narrow"/>
          <w:sz w:val="24"/>
          <w:szCs w:val="24"/>
        </w:rPr>
        <w:t>the expert opinion of CEG</w:t>
      </w:r>
      <w:r w:rsidRPr="00A255CE">
        <w:rPr>
          <w:rFonts w:ascii="Arial Narrow" w:hAnsi="Arial Narrow"/>
          <w:sz w:val="24"/>
          <w:szCs w:val="24"/>
        </w:rPr>
        <w:t xml:space="preserve">, </w:t>
      </w:r>
      <w:r w:rsidR="005B62CA" w:rsidRPr="00A255CE">
        <w:rPr>
          <w:rFonts w:ascii="Arial Narrow" w:hAnsi="Arial Narrow"/>
          <w:sz w:val="24"/>
          <w:szCs w:val="24"/>
        </w:rPr>
        <w:t xml:space="preserve">no reasonable person would constrain the information in the manner described in </w:t>
      </w:r>
      <w:r w:rsidRPr="00A255CE">
        <w:rPr>
          <w:rFonts w:ascii="Arial Narrow" w:hAnsi="Arial Narrow"/>
          <w:sz w:val="24"/>
          <w:szCs w:val="24"/>
        </w:rPr>
        <w:t>points (</w:t>
      </w:r>
      <w:proofErr w:type="spellStart"/>
      <w:r w:rsidR="005B62CA" w:rsidRPr="00A255CE">
        <w:rPr>
          <w:rFonts w:ascii="Arial Narrow" w:hAnsi="Arial Narrow"/>
          <w:sz w:val="24"/>
          <w:szCs w:val="24"/>
        </w:rPr>
        <w:t>i</w:t>
      </w:r>
      <w:proofErr w:type="spellEnd"/>
      <w:r w:rsidR="005B62CA" w:rsidRPr="00A255CE">
        <w:rPr>
          <w:rFonts w:ascii="Arial Narrow" w:hAnsi="Arial Narrow"/>
          <w:sz w:val="24"/>
          <w:szCs w:val="24"/>
        </w:rPr>
        <w:t xml:space="preserve">) and </w:t>
      </w:r>
      <w:r w:rsidRPr="00A255CE">
        <w:rPr>
          <w:rFonts w:ascii="Arial Narrow" w:hAnsi="Arial Narrow"/>
          <w:sz w:val="24"/>
          <w:szCs w:val="24"/>
        </w:rPr>
        <w:t>(</w:t>
      </w:r>
      <w:r w:rsidR="005B62CA" w:rsidRPr="00A255CE">
        <w:rPr>
          <w:rFonts w:ascii="Arial Narrow" w:hAnsi="Arial Narrow"/>
          <w:sz w:val="24"/>
          <w:szCs w:val="24"/>
        </w:rPr>
        <w:t>ii) above</w:t>
      </w:r>
      <w:r w:rsidR="0078313C" w:rsidRPr="00A255CE">
        <w:rPr>
          <w:rFonts w:ascii="Arial Narrow" w:hAnsi="Arial Narrow"/>
          <w:sz w:val="24"/>
          <w:szCs w:val="24"/>
        </w:rPr>
        <w:t xml:space="preserve">. </w:t>
      </w:r>
    </w:p>
    <w:p w:rsidR="00C63EC6" w:rsidRPr="00A255CE" w:rsidRDefault="00C63EC6" w:rsidP="00A255CE">
      <w:pPr>
        <w:autoSpaceDE w:val="0"/>
        <w:autoSpaceDN w:val="0"/>
        <w:adjustRightInd w:val="0"/>
        <w:spacing w:before="0" w:after="0"/>
        <w:ind w:firstLine="0"/>
        <w:rPr>
          <w:rFonts w:ascii="Arial Narrow" w:hAnsi="Arial Narrow"/>
          <w:sz w:val="24"/>
          <w:szCs w:val="24"/>
        </w:rPr>
      </w:pPr>
    </w:p>
    <w:p w:rsidR="0078313C" w:rsidRPr="00A255CE" w:rsidRDefault="0078313C" w:rsidP="00A255CE">
      <w:pPr>
        <w:autoSpaceDE w:val="0"/>
        <w:autoSpaceDN w:val="0"/>
        <w:adjustRightInd w:val="0"/>
        <w:spacing w:before="0" w:after="0"/>
        <w:ind w:firstLine="0"/>
        <w:rPr>
          <w:rFonts w:ascii="Arial Narrow" w:hAnsi="Arial Narrow"/>
          <w:sz w:val="24"/>
          <w:szCs w:val="24"/>
        </w:rPr>
      </w:pPr>
      <w:r w:rsidRPr="00A255CE">
        <w:rPr>
          <w:rFonts w:ascii="Arial Narrow" w:hAnsi="Arial Narrow"/>
          <w:sz w:val="24"/>
          <w:szCs w:val="24"/>
        </w:rPr>
        <w:t>The AER notes in the Draft Decision that in its view, foreign estimates of equity beta should only be used as a cross-check of the domestic equity beta estimates.</w:t>
      </w:r>
      <w:r w:rsidR="00577EF2" w:rsidRPr="00A255CE">
        <w:rPr>
          <w:rStyle w:val="FootnoteReference"/>
          <w:rFonts w:ascii="Arial Narrow" w:hAnsi="Arial Narrow"/>
          <w:sz w:val="24"/>
          <w:szCs w:val="24"/>
        </w:rPr>
        <w:footnoteReference w:id="3"/>
      </w:r>
      <w:r w:rsidR="00577EF2" w:rsidRPr="00A255CE">
        <w:rPr>
          <w:rFonts w:ascii="Arial Narrow" w:hAnsi="Arial Narrow"/>
          <w:sz w:val="24"/>
          <w:szCs w:val="24"/>
        </w:rPr>
        <w:t xml:space="preserve">   For the reasons set out above and in the CEG reports relied upon by Envestra, Envestra does not accept that this is the only consideration that </w:t>
      </w:r>
      <w:r w:rsidR="00CF3D70" w:rsidRPr="00A255CE">
        <w:rPr>
          <w:rFonts w:ascii="Arial Narrow" w:hAnsi="Arial Narrow"/>
          <w:sz w:val="24"/>
          <w:szCs w:val="24"/>
        </w:rPr>
        <w:t xml:space="preserve">ought to be given to foreign estimates.   In any event, the AER does not appear to have </w:t>
      </w:r>
      <w:r w:rsidR="00246E44" w:rsidRPr="00A255CE">
        <w:rPr>
          <w:rFonts w:ascii="Arial Narrow" w:hAnsi="Arial Narrow"/>
          <w:sz w:val="24"/>
          <w:szCs w:val="24"/>
        </w:rPr>
        <w:t>given any weight to the US estimates of equity beta, either as a cross-check or otherwise.  The US estimates are equally relevant and provide a much deeper sample of estimates</w:t>
      </w:r>
      <w:r w:rsidR="00F80014" w:rsidRPr="00A255CE">
        <w:rPr>
          <w:rFonts w:ascii="Arial Narrow" w:hAnsi="Arial Narrow"/>
          <w:sz w:val="24"/>
          <w:szCs w:val="24"/>
        </w:rPr>
        <w:t xml:space="preserve"> which support an equity beta close to the market average of 1.0.</w:t>
      </w:r>
    </w:p>
    <w:p w:rsidR="00F80014" w:rsidRPr="00A255CE" w:rsidRDefault="00F80014" w:rsidP="00A255CE">
      <w:pPr>
        <w:autoSpaceDE w:val="0"/>
        <w:autoSpaceDN w:val="0"/>
        <w:adjustRightInd w:val="0"/>
        <w:spacing w:before="0" w:after="0"/>
        <w:ind w:firstLine="0"/>
        <w:rPr>
          <w:rFonts w:ascii="Arial Narrow" w:hAnsi="Arial Narrow"/>
          <w:sz w:val="24"/>
          <w:szCs w:val="24"/>
        </w:rPr>
      </w:pPr>
    </w:p>
    <w:p w:rsidR="00B64EA8" w:rsidRDefault="00C63EC6" w:rsidP="00A255CE">
      <w:pPr>
        <w:autoSpaceDE w:val="0"/>
        <w:autoSpaceDN w:val="0"/>
        <w:adjustRightInd w:val="0"/>
        <w:spacing w:before="0" w:after="0"/>
        <w:ind w:firstLine="0"/>
        <w:rPr>
          <w:rFonts w:ascii="Arial Narrow" w:hAnsi="Arial Narrow"/>
          <w:sz w:val="24"/>
          <w:szCs w:val="24"/>
        </w:rPr>
      </w:pPr>
      <w:r w:rsidRPr="00A255CE">
        <w:rPr>
          <w:rFonts w:ascii="Arial Narrow" w:hAnsi="Arial Narrow"/>
          <w:sz w:val="24"/>
          <w:szCs w:val="24"/>
        </w:rPr>
        <w:t xml:space="preserve">Furthermore, CEG point out that the </w:t>
      </w:r>
      <w:r w:rsidR="00B64EA8" w:rsidRPr="00A255CE">
        <w:rPr>
          <w:rFonts w:ascii="Arial Narrow" w:hAnsi="Arial Narrow"/>
          <w:sz w:val="24"/>
          <w:szCs w:val="24"/>
        </w:rPr>
        <w:t>opinions expressed by Professors Grundy, Davis and Handley</w:t>
      </w:r>
      <w:r w:rsidRPr="00A255CE">
        <w:rPr>
          <w:rFonts w:ascii="Arial Narrow" w:hAnsi="Arial Narrow"/>
          <w:sz w:val="24"/>
          <w:szCs w:val="24"/>
        </w:rPr>
        <w:t xml:space="preserve"> all support</w:t>
      </w:r>
      <w:r w:rsidR="00B64EA8" w:rsidRPr="00A255CE">
        <w:rPr>
          <w:rFonts w:ascii="Arial Narrow" w:hAnsi="Arial Narrow"/>
          <w:sz w:val="24"/>
          <w:szCs w:val="24"/>
        </w:rPr>
        <w:t>:</w:t>
      </w:r>
    </w:p>
    <w:p w:rsidR="00E62A55" w:rsidRPr="00A255CE" w:rsidRDefault="00E62A55" w:rsidP="00A255CE">
      <w:pPr>
        <w:autoSpaceDE w:val="0"/>
        <w:autoSpaceDN w:val="0"/>
        <w:adjustRightInd w:val="0"/>
        <w:spacing w:before="0" w:after="0"/>
        <w:ind w:firstLine="0"/>
        <w:rPr>
          <w:rFonts w:ascii="Arial Narrow" w:hAnsi="Arial Narrow"/>
          <w:sz w:val="24"/>
          <w:szCs w:val="24"/>
        </w:rPr>
      </w:pPr>
    </w:p>
    <w:p w:rsidR="00B64EA8" w:rsidRPr="00A255CE" w:rsidRDefault="00C63EC6" w:rsidP="00E62A55">
      <w:pPr>
        <w:pStyle w:val="ListBullet"/>
        <w:numPr>
          <w:ilvl w:val="1"/>
          <w:numId w:val="6"/>
        </w:numPr>
        <w:tabs>
          <w:tab w:val="clear" w:pos="992"/>
          <w:tab w:val="left" w:pos="426"/>
        </w:tabs>
        <w:spacing w:after="0"/>
        <w:ind w:left="426" w:hanging="426"/>
        <w:rPr>
          <w:rFonts w:ascii="Arial Narrow" w:eastAsia="Calibri" w:hAnsi="Arial Narrow"/>
          <w:sz w:val="24"/>
          <w:szCs w:val="24"/>
          <w:lang w:eastAsia="en-US"/>
        </w:rPr>
      </w:pPr>
      <w:r w:rsidRPr="00A255CE">
        <w:rPr>
          <w:rFonts w:ascii="Arial Narrow" w:eastAsia="Calibri" w:hAnsi="Arial Narrow"/>
          <w:sz w:val="24"/>
          <w:szCs w:val="24"/>
          <w:lang w:eastAsia="en-US"/>
        </w:rPr>
        <w:t xml:space="preserve">The </w:t>
      </w:r>
      <w:r w:rsidR="00B64EA8" w:rsidRPr="00A255CE">
        <w:rPr>
          <w:rFonts w:ascii="Arial Narrow" w:eastAsia="Calibri" w:hAnsi="Arial Narrow"/>
          <w:sz w:val="24"/>
          <w:szCs w:val="24"/>
          <w:lang w:eastAsia="en-US"/>
        </w:rPr>
        <w:t>well accepted empirical fact that the approach to implementing the CAPM used by the AER under</w:t>
      </w:r>
      <w:r w:rsidRPr="00A255CE">
        <w:rPr>
          <w:rFonts w:ascii="Arial Narrow" w:eastAsia="Calibri" w:hAnsi="Arial Narrow"/>
          <w:sz w:val="24"/>
          <w:szCs w:val="24"/>
          <w:lang w:eastAsia="en-US"/>
        </w:rPr>
        <w:t>-</w:t>
      </w:r>
      <w:r w:rsidR="00B64EA8" w:rsidRPr="00A255CE">
        <w:rPr>
          <w:rFonts w:ascii="Arial Narrow" w:eastAsia="Calibri" w:hAnsi="Arial Narrow"/>
          <w:sz w:val="24"/>
          <w:szCs w:val="24"/>
          <w:lang w:eastAsia="en-US"/>
        </w:rPr>
        <w:t>estimates the cost of equity for firms with an estimated beta of less than 1.0.  That is, firms have actual returns that are closer to the average of all firms (beta = 1.0) than predicted in the AER’s implementation;</w:t>
      </w:r>
      <w:r w:rsidR="00B64EA8" w:rsidRPr="000464C2">
        <w:rPr>
          <w:rStyle w:val="FootnoteReference"/>
          <w:i/>
        </w:rPr>
        <w:footnoteReference w:id="4"/>
      </w:r>
      <w:r w:rsidR="00B64EA8" w:rsidRPr="00A255CE">
        <w:rPr>
          <w:rFonts w:ascii="Arial Narrow" w:eastAsia="Calibri" w:hAnsi="Arial Narrow"/>
          <w:sz w:val="24"/>
          <w:szCs w:val="24"/>
          <w:lang w:eastAsia="en-US"/>
        </w:rPr>
        <w:t xml:space="preserve"> and</w:t>
      </w:r>
    </w:p>
    <w:p w:rsidR="00B64EA8" w:rsidRDefault="00B64EA8" w:rsidP="00E62A55">
      <w:pPr>
        <w:pStyle w:val="ListBullet"/>
        <w:numPr>
          <w:ilvl w:val="1"/>
          <w:numId w:val="6"/>
        </w:numPr>
        <w:tabs>
          <w:tab w:val="clear" w:pos="992"/>
          <w:tab w:val="left" w:pos="426"/>
        </w:tabs>
        <w:spacing w:after="0"/>
        <w:ind w:left="426" w:hanging="426"/>
        <w:rPr>
          <w:rFonts w:ascii="Arial Narrow" w:eastAsia="Calibri" w:hAnsi="Arial Narrow"/>
          <w:sz w:val="24"/>
          <w:szCs w:val="24"/>
          <w:lang w:eastAsia="en-US"/>
        </w:rPr>
      </w:pPr>
      <w:r w:rsidRPr="00A255CE">
        <w:rPr>
          <w:rFonts w:ascii="Arial Narrow" w:eastAsia="Calibri" w:hAnsi="Arial Narrow"/>
          <w:sz w:val="24"/>
          <w:szCs w:val="24"/>
          <w:lang w:eastAsia="en-US"/>
        </w:rPr>
        <w:t>there is a great deal of uncertainty in the theoretical and empirical literature about why this is the case.</w:t>
      </w:r>
    </w:p>
    <w:p w:rsidR="00E62A55" w:rsidRPr="00A255CE" w:rsidRDefault="00E62A55" w:rsidP="002B7AD6">
      <w:pPr>
        <w:pStyle w:val="ListBullet"/>
        <w:numPr>
          <w:ilvl w:val="0"/>
          <w:numId w:val="0"/>
        </w:numPr>
        <w:tabs>
          <w:tab w:val="clear" w:pos="992"/>
        </w:tabs>
        <w:spacing w:after="0"/>
        <w:rPr>
          <w:rFonts w:ascii="Arial Narrow" w:eastAsia="Calibri" w:hAnsi="Arial Narrow"/>
          <w:sz w:val="24"/>
          <w:szCs w:val="24"/>
          <w:lang w:eastAsia="en-US"/>
        </w:rPr>
      </w:pPr>
    </w:p>
    <w:p w:rsidR="002B7AD6" w:rsidRPr="002B7AD6" w:rsidRDefault="00B64EA8" w:rsidP="002B7AD6">
      <w:pPr>
        <w:autoSpaceDE w:val="0"/>
        <w:autoSpaceDN w:val="0"/>
        <w:adjustRightInd w:val="0"/>
        <w:spacing w:before="0" w:after="0"/>
        <w:ind w:firstLine="0"/>
        <w:rPr>
          <w:rFonts w:ascii="Arial Narrow" w:hAnsi="Arial Narrow"/>
          <w:sz w:val="24"/>
          <w:szCs w:val="24"/>
        </w:rPr>
      </w:pPr>
      <w:r w:rsidRPr="00A255CE">
        <w:rPr>
          <w:rFonts w:ascii="Arial Narrow" w:hAnsi="Arial Narrow"/>
          <w:sz w:val="24"/>
          <w:szCs w:val="24"/>
        </w:rPr>
        <w:t xml:space="preserve">These two undisputed facts suggest that </w:t>
      </w:r>
      <w:r w:rsidR="00DD0CFD" w:rsidRPr="00A255CE">
        <w:rPr>
          <w:rFonts w:ascii="Arial Narrow" w:hAnsi="Arial Narrow"/>
          <w:sz w:val="24"/>
          <w:szCs w:val="24"/>
        </w:rPr>
        <w:t xml:space="preserve">to ensure compliance with the NGR the AER </w:t>
      </w:r>
      <w:r w:rsidRPr="00A255CE">
        <w:rPr>
          <w:rFonts w:ascii="Arial Narrow" w:hAnsi="Arial Narrow"/>
          <w:sz w:val="24"/>
          <w:szCs w:val="24"/>
        </w:rPr>
        <w:t xml:space="preserve">should </w:t>
      </w:r>
      <w:r w:rsidR="00DD0CFD" w:rsidRPr="00A255CE">
        <w:rPr>
          <w:rFonts w:ascii="Arial Narrow" w:hAnsi="Arial Narrow"/>
          <w:sz w:val="24"/>
          <w:szCs w:val="24"/>
        </w:rPr>
        <w:t xml:space="preserve">apply the CAPM with an equity </w:t>
      </w:r>
      <w:r w:rsidRPr="00A255CE">
        <w:rPr>
          <w:rFonts w:ascii="Arial Narrow" w:hAnsi="Arial Narrow"/>
          <w:sz w:val="24"/>
          <w:szCs w:val="24"/>
        </w:rPr>
        <w:t xml:space="preserve">beta </w:t>
      </w:r>
      <w:r w:rsidR="00DD0CFD" w:rsidRPr="00A255CE">
        <w:rPr>
          <w:rFonts w:ascii="Arial Narrow" w:hAnsi="Arial Narrow"/>
          <w:sz w:val="24"/>
          <w:szCs w:val="24"/>
        </w:rPr>
        <w:t xml:space="preserve">close to the market average of </w:t>
      </w:r>
      <w:r w:rsidRPr="00A255CE">
        <w:rPr>
          <w:rFonts w:ascii="Arial Narrow" w:hAnsi="Arial Narrow"/>
          <w:sz w:val="24"/>
          <w:szCs w:val="24"/>
        </w:rPr>
        <w:t>1.0</w:t>
      </w:r>
      <w:r w:rsidR="00DD0CFD" w:rsidRPr="00A255CE">
        <w:rPr>
          <w:rFonts w:ascii="Arial Narrow" w:hAnsi="Arial Narrow"/>
          <w:sz w:val="24"/>
          <w:szCs w:val="24"/>
        </w:rPr>
        <w:t>,</w:t>
      </w:r>
      <w:r w:rsidRPr="00A255CE">
        <w:rPr>
          <w:rFonts w:ascii="Arial Narrow" w:hAnsi="Arial Narrow"/>
          <w:sz w:val="24"/>
          <w:szCs w:val="24"/>
        </w:rPr>
        <w:t xml:space="preserve"> rather than the estimated 0.8 </w:t>
      </w:r>
      <w:r w:rsidR="00DD0CFD" w:rsidRPr="00A255CE">
        <w:rPr>
          <w:rFonts w:ascii="Arial Narrow" w:hAnsi="Arial Narrow"/>
          <w:sz w:val="24"/>
          <w:szCs w:val="24"/>
        </w:rPr>
        <w:t xml:space="preserve">from the 2009 WACC Review.  </w:t>
      </w:r>
      <w:r w:rsidR="002B7AD6">
        <w:rPr>
          <w:rFonts w:ascii="Arial Narrow" w:hAnsi="Arial Narrow"/>
          <w:sz w:val="24"/>
          <w:szCs w:val="24"/>
        </w:rPr>
        <w:t xml:space="preserve">As further support for this view </w:t>
      </w:r>
      <w:r w:rsidR="002B7AD6" w:rsidRPr="002B7AD6">
        <w:rPr>
          <w:rFonts w:ascii="Arial Narrow" w:hAnsi="Arial Narrow"/>
          <w:sz w:val="24"/>
          <w:szCs w:val="24"/>
        </w:rPr>
        <w:t xml:space="preserve">Professor Myers, </w:t>
      </w:r>
      <w:proofErr w:type="spellStart"/>
      <w:r w:rsidR="002B7AD6" w:rsidRPr="002B7AD6">
        <w:rPr>
          <w:rFonts w:ascii="Arial Narrow" w:hAnsi="Arial Narrow"/>
          <w:sz w:val="24"/>
          <w:szCs w:val="24"/>
        </w:rPr>
        <w:t>whoexplicitly</w:t>
      </w:r>
      <w:proofErr w:type="spellEnd"/>
      <w:r w:rsidR="002B7AD6" w:rsidRPr="002B7AD6">
        <w:rPr>
          <w:rFonts w:ascii="Arial Narrow" w:hAnsi="Arial Narrow"/>
          <w:sz w:val="24"/>
          <w:szCs w:val="24"/>
        </w:rPr>
        <w:t xml:space="preserve"> advise</w:t>
      </w:r>
      <w:r w:rsidR="002B7AD6">
        <w:rPr>
          <w:rFonts w:ascii="Arial Narrow" w:hAnsi="Arial Narrow"/>
          <w:sz w:val="24"/>
          <w:szCs w:val="24"/>
        </w:rPr>
        <w:t>d</w:t>
      </w:r>
      <w:r w:rsidR="002B7AD6" w:rsidRPr="002B7AD6">
        <w:rPr>
          <w:rFonts w:ascii="Arial Narrow" w:hAnsi="Arial Narrow"/>
          <w:sz w:val="24"/>
          <w:szCs w:val="24"/>
        </w:rPr>
        <w:t xml:space="preserve"> the New Zealand Commerce Commission that:</w:t>
      </w:r>
    </w:p>
    <w:p w:rsidR="002B7AD6" w:rsidRPr="002B7AD6" w:rsidRDefault="002B7AD6" w:rsidP="002B7AD6">
      <w:pPr>
        <w:pStyle w:val="CEGQuote"/>
        <w:rPr>
          <w:rFonts w:ascii="Arial Narrow" w:hAnsi="Arial Narrow"/>
          <w:sz w:val="24"/>
          <w:szCs w:val="24"/>
        </w:rPr>
      </w:pPr>
      <w:r w:rsidRPr="002B7AD6">
        <w:rPr>
          <w:rFonts w:ascii="Arial Narrow" w:hAnsi="Arial Narrow"/>
          <w:sz w:val="24"/>
          <w:szCs w:val="24"/>
        </w:rPr>
        <w:t>Empirical evidence shows that average returns for low-beta firms are higher than predicted by the classical CAPM.</w:t>
      </w:r>
      <w:r w:rsidRPr="002B7AD6">
        <w:rPr>
          <w:rStyle w:val="FootnoteReference"/>
          <w:rFonts w:ascii="Arial Narrow" w:hAnsi="Arial Narrow"/>
          <w:sz w:val="24"/>
          <w:szCs w:val="24"/>
        </w:rPr>
        <w:footnoteReference w:id="5"/>
      </w:r>
    </w:p>
    <w:p w:rsidR="003173C3" w:rsidRPr="003173C3" w:rsidRDefault="003173C3" w:rsidP="003173C3">
      <w:pPr>
        <w:pStyle w:val="BodyText"/>
        <w:numPr>
          <w:ilvl w:val="0"/>
          <w:numId w:val="0"/>
        </w:numPr>
        <w:spacing w:before="0" w:after="0"/>
        <w:rPr>
          <w:rFonts w:ascii="Arial Narrow" w:hAnsi="Arial Narrow"/>
          <w:sz w:val="24"/>
          <w:szCs w:val="24"/>
        </w:rPr>
      </w:pPr>
      <w:r>
        <w:rPr>
          <w:rFonts w:ascii="Arial Narrow" w:hAnsi="Arial Narrow"/>
          <w:sz w:val="24"/>
          <w:szCs w:val="24"/>
        </w:rPr>
        <w:t xml:space="preserve">CEG went on to </w:t>
      </w:r>
      <w:r w:rsidRPr="003173C3">
        <w:rPr>
          <w:rFonts w:ascii="Arial Narrow" w:hAnsi="Arial Narrow"/>
          <w:sz w:val="24"/>
          <w:szCs w:val="24"/>
        </w:rPr>
        <w:t xml:space="preserve">performed a cross-check of the Australian data with the US </w:t>
      </w:r>
      <w:r>
        <w:rPr>
          <w:rFonts w:ascii="Arial Narrow" w:hAnsi="Arial Narrow"/>
          <w:sz w:val="24"/>
          <w:szCs w:val="24"/>
        </w:rPr>
        <w:t xml:space="preserve">equity beta </w:t>
      </w:r>
      <w:r w:rsidRPr="003173C3">
        <w:rPr>
          <w:rFonts w:ascii="Arial Narrow" w:hAnsi="Arial Narrow"/>
          <w:sz w:val="24"/>
          <w:szCs w:val="24"/>
        </w:rPr>
        <w:t xml:space="preserve">data </w:t>
      </w:r>
      <w:r>
        <w:rPr>
          <w:rFonts w:ascii="Arial Narrow" w:hAnsi="Arial Narrow"/>
          <w:sz w:val="24"/>
          <w:szCs w:val="24"/>
        </w:rPr>
        <w:t xml:space="preserve">and </w:t>
      </w:r>
      <w:r w:rsidRPr="003173C3">
        <w:rPr>
          <w:rFonts w:ascii="Arial Narrow" w:hAnsi="Arial Narrow"/>
          <w:sz w:val="24"/>
          <w:szCs w:val="24"/>
        </w:rPr>
        <w:t>conclude</w:t>
      </w:r>
      <w:r>
        <w:rPr>
          <w:rFonts w:ascii="Arial Narrow" w:hAnsi="Arial Narrow"/>
          <w:sz w:val="24"/>
          <w:szCs w:val="24"/>
        </w:rPr>
        <w:t>d</w:t>
      </w:r>
      <w:r w:rsidRPr="003173C3">
        <w:rPr>
          <w:rFonts w:ascii="Arial Narrow" w:hAnsi="Arial Narrow"/>
          <w:sz w:val="24"/>
          <w:szCs w:val="24"/>
        </w:rPr>
        <w:t xml:space="preserve"> that:</w:t>
      </w:r>
    </w:p>
    <w:p w:rsidR="003173C3" w:rsidRPr="003173C3" w:rsidRDefault="003173C3" w:rsidP="003173C3">
      <w:pPr>
        <w:pStyle w:val="ListBullet3"/>
        <w:rPr>
          <w:rFonts w:ascii="Arial Narrow" w:hAnsi="Arial Narrow"/>
          <w:sz w:val="24"/>
          <w:szCs w:val="24"/>
        </w:rPr>
      </w:pPr>
      <w:r w:rsidRPr="003173C3">
        <w:rPr>
          <w:rFonts w:ascii="Arial Narrow" w:hAnsi="Arial Narrow"/>
          <w:sz w:val="24"/>
          <w:szCs w:val="24"/>
        </w:rPr>
        <w:t>The average of US equity betas are close to, and, if anything, above 1.0;</w:t>
      </w:r>
    </w:p>
    <w:p w:rsidR="003173C3" w:rsidRPr="003173C3" w:rsidRDefault="003173C3" w:rsidP="003173C3">
      <w:pPr>
        <w:pStyle w:val="ListBullet3"/>
        <w:rPr>
          <w:rFonts w:ascii="Arial Narrow" w:hAnsi="Arial Narrow"/>
          <w:sz w:val="24"/>
          <w:szCs w:val="24"/>
        </w:rPr>
      </w:pPr>
      <w:r w:rsidRPr="003173C3">
        <w:rPr>
          <w:rFonts w:ascii="Arial Narrow" w:hAnsi="Arial Narrow"/>
          <w:sz w:val="24"/>
          <w:szCs w:val="24"/>
        </w:rPr>
        <w:t>This falls within the range of equity betas estimated using Australian data;</w:t>
      </w:r>
    </w:p>
    <w:p w:rsidR="003173C3" w:rsidRPr="003173C3" w:rsidRDefault="003173C3" w:rsidP="003173C3">
      <w:pPr>
        <w:pStyle w:val="ListBullet3"/>
        <w:rPr>
          <w:rFonts w:ascii="Arial Narrow" w:hAnsi="Arial Narrow"/>
          <w:sz w:val="24"/>
          <w:szCs w:val="24"/>
        </w:rPr>
      </w:pPr>
      <w:r w:rsidRPr="003173C3">
        <w:rPr>
          <w:rFonts w:ascii="Arial Narrow" w:hAnsi="Arial Narrow"/>
          <w:sz w:val="24"/>
          <w:szCs w:val="24"/>
        </w:rPr>
        <w:t xml:space="preserve">The greater number of, and longer time series for, US equity betas gives </w:t>
      </w:r>
      <w:r>
        <w:rPr>
          <w:rFonts w:ascii="Arial Narrow" w:hAnsi="Arial Narrow"/>
          <w:sz w:val="24"/>
          <w:szCs w:val="24"/>
        </w:rPr>
        <w:t xml:space="preserve">greater </w:t>
      </w:r>
      <w:r w:rsidRPr="003173C3">
        <w:rPr>
          <w:rFonts w:ascii="Arial Narrow" w:hAnsi="Arial Narrow"/>
          <w:sz w:val="24"/>
          <w:szCs w:val="24"/>
        </w:rPr>
        <w:t>confidence in their average estimate than in the average of the Australian estimates.</w:t>
      </w:r>
    </w:p>
    <w:p w:rsidR="003173C3" w:rsidRPr="003173C3" w:rsidRDefault="003173C3" w:rsidP="003173C3">
      <w:pPr>
        <w:pStyle w:val="ListBullet3"/>
        <w:rPr>
          <w:rFonts w:ascii="Arial Narrow" w:hAnsi="Arial Narrow"/>
          <w:sz w:val="24"/>
          <w:szCs w:val="24"/>
        </w:rPr>
      </w:pPr>
      <w:r w:rsidRPr="003173C3">
        <w:rPr>
          <w:rFonts w:ascii="Arial Narrow" w:hAnsi="Arial Narrow"/>
          <w:sz w:val="24"/>
          <w:szCs w:val="24"/>
        </w:rPr>
        <w:lastRenderedPageBreak/>
        <w:t>Consistent with both the Australian and US evidence an estimate of 1.0 is the best available estimate;</w:t>
      </w:r>
    </w:p>
    <w:p w:rsidR="005B62CA" w:rsidRPr="003173C3" w:rsidRDefault="003173C3" w:rsidP="00A255CE">
      <w:pPr>
        <w:spacing w:before="0" w:after="0"/>
        <w:ind w:firstLine="0"/>
        <w:rPr>
          <w:rFonts w:ascii="Arial Narrow" w:hAnsi="Arial Narrow"/>
          <w:sz w:val="24"/>
          <w:szCs w:val="24"/>
        </w:rPr>
      </w:pPr>
      <w:r w:rsidRPr="003173C3">
        <w:rPr>
          <w:rFonts w:ascii="Arial Narrow" w:hAnsi="Arial Narrow"/>
          <w:sz w:val="24"/>
          <w:szCs w:val="24"/>
        </w:rPr>
        <w:t xml:space="preserve">If the estimated beta is 1.0 then that </w:t>
      </w:r>
      <w:r>
        <w:rPr>
          <w:rFonts w:ascii="Arial Narrow" w:hAnsi="Arial Narrow"/>
          <w:sz w:val="24"/>
          <w:szCs w:val="24"/>
        </w:rPr>
        <w:t xml:space="preserve">equity </w:t>
      </w:r>
      <w:r w:rsidRPr="003173C3">
        <w:rPr>
          <w:rFonts w:ascii="Arial Narrow" w:hAnsi="Arial Narrow"/>
          <w:sz w:val="24"/>
          <w:szCs w:val="24"/>
        </w:rPr>
        <w:t xml:space="preserve">beta estimate can be used in the Sharpe CAPM without creating a bias (upwards or downwards) in the estimated cost of equity.  </w:t>
      </w:r>
      <w:r w:rsidR="00A500E3" w:rsidRPr="003173C3">
        <w:rPr>
          <w:rFonts w:ascii="Arial Narrow" w:hAnsi="Arial Narrow"/>
          <w:sz w:val="24"/>
          <w:szCs w:val="24"/>
        </w:rPr>
        <w:t xml:space="preserve">The CEG </w:t>
      </w:r>
      <w:r w:rsidR="00DF54E6" w:rsidRPr="003173C3">
        <w:rPr>
          <w:rFonts w:ascii="Arial Narrow" w:hAnsi="Arial Narrow"/>
          <w:sz w:val="24"/>
          <w:szCs w:val="24"/>
        </w:rPr>
        <w:t xml:space="preserve">analysis and opinion supports </w:t>
      </w:r>
      <w:r w:rsidR="00DD0CFD" w:rsidRPr="003173C3">
        <w:rPr>
          <w:rFonts w:ascii="Arial Narrow" w:hAnsi="Arial Narrow"/>
          <w:sz w:val="24"/>
          <w:szCs w:val="24"/>
        </w:rPr>
        <w:t xml:space="preserve">the use of </w:t>
      </w:r>
      <w:r w:rsidR="00DF54E6" w:rsidRPr="003173C3">
        <w:rPr>
          <w:rFonts w:ascii="Arial Narrow" w:hAnsi="Arial Narrow"/>
          <w:sz w:val="24"/>
          <w:szCs w:val="24"/>
        </w:rPr>
        <w:t>an equity beta</w:t>
      </w:r>
      <w:r w:rsidR="00DD0CFD" w:rsidRPr="003173C3">
        <w:rPr>
          <w:rFonts w:ascii="Arial Narrow" w:hAnsi="Arial Narrow"/>
          <w:sz w:val="24"/>
          <w:szCs w:val="24"/>
        </w:rPr>
        <w:t xml:space="preserve"> of close to 1.0 by the AER in the Final Decision.  </w:t>
      </w:r>
    </w:p>
    <w:p w:rsidR="003173C3" w:rsidRPr="003173C3" w:rsidRDefault="003173C3" w:rsidP="00A255CE">
      <w:pPr>
        <w:spacing w:before="0" w:after="0"/>
        <w:ind w:firstLine="0"/>
        <w:rPr>
          <w:rFonts w:ascii="Arial Narrow" w:hAnsi="Arial Narrow"/>
          <w:sz w:val="24"/>
          <w:szCs w:val="24"/>
        </w:rPr>
      </w:pPr>
    </w:p>
    <w:p w:rsidR="000F6C3E" w:rsidRPr="00A255CE" w:rsidRDefault="000F6C3E" w:rsidP="00A255CE">
      <w:pPr>
        <w:spacing w:before="0" w:after="0"/>
        <w:ind w:firstLine="0"/>
        <w:rPr>
          <w:rFonts w:ascii="Arial Narrow" w:hAnsi="Arial Narrow"/>
          <w:b/>
          <w:sz w:val="24"/>
          <w:szCs w:val="24"/>
        </w:rPr>
      </w:pPr>
      <w:r w:rsidRPr="00A255CE">
        <w:rPr>
          <w:rFonts w:ascii="Arial Narrow" w:hAnsi="Arial Narrow"/>
          <w:b/>
          <w:sz w:val="24"/>
          <w:szCs w:val="24"/>
        </w:rPr>
        <w:t>9.3.2</w:t>
      </w:r>
      <w:r w:rsidRPr="00A255CE">
        <w:rPr>
          <w:rFonts w:ascii="Arial Narrow" w:hAnsi="Arial Narrow"/>
          <w:b/>
          <w:sz w:val="24"/>
          <w:szCs w:val="24"/>
        </w:rPr>
        <w:tab/>
        <w:t xml:space="preserve">Grant Samuel </w:t>
      </w:r>
      <w:r w:rsidR="00983A60" w:rsidRPr="00A255CE">
        <w:rPr>
          <w:rFonts w:ascii="Arial Narrow" w:hAnsi="Arial Narrow"/>
          <w:b/>
          <w:sz w:val="24"/>
          <w:szCs w:val="24"/>
        </w:rPr>
        <w:t>R</w:t>
      </w:r>
      <w:r w:rsidRPr="00A255CE">
        <w:rPr>
          <w:rFonts w:ascii="Arial Narrow" w:hAnsi="Arial Narrow"/>
          <w:b/>
          <w:sz w:val="24"/>
          <w:szCs w:val="24"/>
        </w:rPr>
        <w:t>eport E</w:t>
      </w:r>
      <w:r w:rsidR="00983A60" w:rsidRPr="00A255CE">
        <w:rPr>
          <w:rFonts w:ascii="Arial Narrow" w:hAnsi="Arial Narrow"/>
          <w:b/>
          <w:sz w:val="24"/>
          <w:szCs w:val="24"/>
        </w:rPr>
        <w:t xml:space="preserve">quity Premium </w:t>
      </w:r>
    </w:p>
    <w:p w:rsidR="005B62CA" w:rsidRPr="00A255CE" w:rsidRDefault="00983A60" w:rsidP="00A255CE">
      <w:pPr>
        <w:spacing w:before="0" w:after="0"/>
        <w:ind w:firstLine="0"/>
        <w:rPr>
          <w:rFonts w:ascii="Arial Narrow" w:hAnsi="Arial Narrow"/>
          <w:sz w:val="24"/>
          <w:szCs w:val="24"/>
        </w:rPr>
      </w:pPr>
      <w:r w:rsidRPr="00A255CE">
        <w:rPr>
          <w:rFonts w:ascii="Arial Narrow" w:hAnsi="Arial Narrow"/>
          <w:sz w:val="24"/>
          <w:szCs w:val="24"/>
        </w:rPr>
        <w:t>The equity premium, in the CAPM context, is the equity beta multiplied by the market risk premium (</w:t>
      </w:r>
      <w:r w:rsidRPr="0093260C">
        <w:rPr>
          <w:rFonts w:ascii="Symbol" w:hAnsi="Symbol"/>
          <w:sz w:val="24"/>
          <w:szCs w:val="24"/>
        </w:rPr>
        <w:t></w:t>
      </w:r>
      <w:r w:rsidR="00841961" w:rsidRPr="00A255CE">
        <w:rPr>
          <w:rFonts w:ascii="Arial Narrow" w:hAnsi="Arial Narrow"/>
          <w:sz w:val="24"/>
          <w:szCs w:val="24"/>
          <w:vertAlign w:val="subscript"/>
        </w:rPr>
        <w:t>e</w:t>
      </w:r>
      <w:r w:rsidRPr="00A255CE">
        <w:rPr>
          <w:rFonts w:ascii="Arial Narrow" w:hAnsi="Arial Narrow"/>
          <w:sz w:val="24"/>
          <w:szCs w:val="24"/>
        </w:rPr>
        <w:t xml:space="preserve"> x MRP).  This equity premium is added to the risk free rate to provide the cost of equity.  The equity premium resulting from the Draft Decision is 4.8% (0.8 x 6%) and this incorporates a value for imputation credits of 0.45</w:t>
      </w:r>
      <w:r w:rsidR="00487E7D" w:rsidRPr="00A255CE">
        <w:rPr>
          <w:rFonts w:ascii="Arial Narrow" w:hAnsi="Arial Narrow"/>
          <w:sz w:val="24"/>
          <w:szCs w:val="24"/>
        </w:rPr>
        <w:t xml:space="preserve"> derived using a value for theta of 0.65 and payout ratio of 70%</w:t>
      </w:r>
      <w:r w:rsidRPr="00A255CE">
        <w:rPr>
          <w:rFonts w:ascii="Arial Narrow" w:hAnsi="Arial Narrow"/>
          <w:sz w:val="24"/>
          <w:szCs w:val="24"/>
        </w:rPr>
        <w:t xml:space="preserve">.  </w:t>
      </w:r>
    </w:p>
    <w:p w:rsidR="005B62CA" w:rsidRPr="00A255CE" w:rsidRDefault="005B62CA" w:rsidP="00A255CE">
      <w:pPr>
        <w:spacing w:before="0" w:after="0"/>
        <w:ind w:firstLine="0"/>
        <w:rPr>
          <w:rFonts w:ascii="Arial Narrow" w:hAnsi="Arial Narrow"/>
          <w:sz w:val="24"/>
          <w:szCs w:val="24"/>
        </w:rPr>
      </w:pPr>
    </w:p>
    <w:p w:rsidR="005B62CA" w:rsidRPr="00A255CE" w:rsidRDefault="005046C6" w:rsidP="00A255CE">
      <w:pPr>
        <w:spacing w:before="0" w:after="0"/>
        <w:ind w:firstLine="0"/>
        <w:rPr>
          <w:rFonts w:ascii="Arial Narrow" w:hAnsi="Arial Narrow"/>
          <w:sz w:val="24"/>
          <w:szCs w:val="24"/>
        </w:rPr>
      </w:pPr>
      <w:r w:rsidRPr="00A255CE">
        <w:rPr>
          <w:rFonts w:ascii="Arial Narrow" w:hAnsi="Arial Narrow"/>
          <w:sz w:val="24"/>
          <w:szCs w:val="24"/>
        </w:rPr>
        <w:t xml:space="preserve">The </w:t>
      </w:r>
      <w:r w:rsidR="00161E36" w:rsidRPr="00A255CE">
        <w:rPr>
          <w:rFonts w:ascii="Arial Narrow" w:hAnsi="Arial Narrow"/>
          <w:sz w:val="24"/>
          <w:szCs w:val="24"/>
        </w:rPr>
        <w:t xml:space="preserve">Grant Samuel independent expert </w:t>
      </w:r>
      <w:r w:rsidR="00841961" w:rsidRPr="00A255CE">
        <w:rPr>
          <w:rFonts w:ascii="Arial Narrow" w:hAnsi="Arial Narrow"/>
          <w:sz w:val="24"/>
          <w:szCs w:val="24"/>
        </w:rPr>
        <w:t xml:space="preserve">report </w:t>
      </w:r>
      <w:r w:rsidRPr="00A255CE">
        <w:rPr>
          <w:rFonts w:ascii="Arial Narrow" w:hAnsi="Arial Narrow"/>
          <w:sz w:val="24"/>
          <w:szCs w:val="24"/>
        </w:rPr>
        <w:t xml:space="preserve">quoted by the AER </w:t>
      </w:r>
      <w:r w:rsidR="00161E36" w:rsidRPr="00A255CE">
        <w:rPr>
          <w:rFonts w:ascii="Arial Narrow" w:hAnsi="Arial Narrow"/>
          <w:sz w:val="24"/>
          <w:szCs w:val="24"/>
        </w:rPr>
        <w:t>used an equity beta estimate of</w:t>
      </w:r>
      <w:r w:rsidRPr="00A255CE">
        <w:rPr>
          <w:rFonts w:ascii="Arial Narrow" w:hAnsi="Arial Narrow"/>
          <w:sz w:val="24"/>
          <w:szCs w:val="24"/>
        </w:rPr>
        <w:t xml:space="preserve"> between</w:t>
      </w:r>
      <w:r w:rsidR="00161E36" w:rsidRPr="00A255CE">
        <w:rPr>
          <w:rFonts w:ascii="Arial Narrow" w:hAnsi="Arial Narrow"/>
          <w:sz w:val="24"/>
          <w:szCs w:val="24"/>
        </w:rPr>
        <w:t xml:space="preserve"> 0.8</w:t>
      </w:r>
      <w:r w:rsidRPr="00A255CE">
        <w:rPr>
          <w:rFonts w:ascii="Arial Narrow" w:hAnsi="Arial Narrow"/>
          <w:sz w:val="24"/>
          <w:szCs w:val="24"/>
        </w:rPr>
        <w:t xml:space="preserve"> and </w:t>
      </w:r>
      <w:r w:rsidR="00161E36" w:rsidRPr="00A255CE">
        <w:rPr>
          <w:rFonts w:ascii="Arial Narrow" w:hAnsi="Arial Narrow"/>
          <w:sz w:val="24"/>
          <w:szCs w:val="24"/>
        </w:rPr>
        <w:t>0.9</w:t>
      </w:r>
      <w:r w:rsidRPr="00A255CE">
        <w:rPr>
          <w:rFonts w:ascii="Arial Narrow" w:hAnsi="Arial Narrow"/>
          <w:sz w:val="24"/>
          <w:szCs w:val="24"/>
        </w:rPr>
        <w:t>, an</w:t>
      </w:r>
      <w:r w:rsidR="00161E36" w:rsidRPr="00A255CE">
        <w:rPr>
          <w:rFonts w:ascii="Arial Narrow" w:hAnsi="Arial Narrow"/>
          <w:sz w:val="24"/>
          <w:szCs w:val="24"/>
        </w:rPr>
        <w:t xml:space="preserve"> MRP of 6% and gamma</w:t>
      </w:r>
      <w:r w:rsidR="00841961" w:rsidRPr="00A255CE">
        <w:rPr>
          <w:rFonts w:ascii="Arial Narrow" w:hAnsi="Arial Narrow"/>
          <w:sz w:val="24"/>
          <w:szCs w:val="24"/>
        </w:rPr>
        <w:t>/theta</w:t>
      </w:r>
      <w:r w:rsidR="00161E36" w:rsidRPr="00A255CE">
        <w:rPr>
          <w:rFonts w:ascii="Arial Narrow" w:hAnsi="Arial Narrow"/>
          <w:sz w:val="24"/>
          <w:szCs w:val="24"/>
        </w:rPr>
        <w:t xml:space="preserve"> of zero</w:t>
      </w:r>
      <w:r w:rsidRPr="00A255CE">
        <w:rPr>
          <w:rFonts w:ascii="Arial Narrow" w:hAnsi="Arial Narrow"/>
          <w:sz w:val="24"/>
          <w:szCs w:val="24"/>
        </w:rPr>
        <w:t xml:space="preserve">.  As outlined in </w:t>
      </w:r>
      <w:proofErr w:type="spellStart"/>
      <w:r w:rsidR="00841961" w:rsidRPr="00A255CE">
        <w:rPr>
          <w:rFonts w:ascii="Arial Narrow" w:hAnsi="Arial Narrow"/>
          <w:sz w:val="24"/>
          <w:szCs w:val="24"/>
        </w:rPr>
        <w:t>Envestra’s</w:t>
      </w:r>
      <w:proofErr w:type="spellEnd"/>
      <w:r w:rsidRPr="00A255CE">
        <w:rPr>
          <w:rFonts w:ascii="Arial Narrow" w:hAnsi="Arial Narrow"/>
          <w:sz w:val="24"/>
          <w:szCs w:val="24"/>
        </w:rPr>
        <w:t xml:space="preserve"> MRP response</w:t>
      </w:r>
      <w:r w:rsidR="00005B2E" w:rsidRPr="00A255CE">
        <w:rPr>
          <w:rFonts w:ascii="Arial Narrow" w:hAnsi="Arial Narrow"/>
          <w:sz w:val="24"/>
          <w:szCs w:val="24"/>
        </w:rPr>
        <w:t>,</w:t>
      </w:r>
      <w:r w:rsidRPr="00A255CE">
        <w:rPr>
          <w:rFonts w:ascii="Arial Narrow" w:hAnsi="Arial Narrow"/>
          <w:sz w:val="24"/>
          <w:szCs w:val="24"/>
        </w:rPr>
        <w:t xml:space="preserve"> </w:t>
      </w:r>
      <w:r w:rsidR="00841961" w:rsidRPr="00A255CE">
        <w:rPr>
          <w:rFonts w:ascii="Arial Narrow" w:hAnsi="Arial Narrow"/>
          <w:sz w:val="24"/>
          <w:szCs w:val="24"/>
        </w:rPr>
        <w:t xml:space="preserve">the MRP used by </w:t>
      </w:r>
      <w:r w:rsidRPr="00A255CE">
        <w:rPr>
          <w:rFonts w:ascii="Arial Narrow" w:hAnsi="Arial Narrow"/>
          <w:sz w:val="24"/>
          <w:szCs w:val="24"/>
        </w:rPr>
        <w:t>Grant Samuel needs to be adjusted for the value  attributable to theta</w:t>
      </w:r>
      <w:r w:rsidR="00841961" w:rsidRPr="00A255CE">
        <w:rPr>
          <w:rFonts w:ascii="Arial Narrow" w:hAnsi="Arial Narrow"/>
          <w:sz w:val="24"/>
          <w:szCs w:val="24"/>
        </w:rPr>
        <w:t xml:space="preserve"> in order to be comparable</w:t>
      </w:r>
      <w:r w:rsidRPr="00A255CE">
        <w:rPr>
          <w:rFonts w:ascii="Arial Narrow" w:hAnsi="Arial Narrow"/>
          <w:sz w:val="24"/>
          <w:szCs w:val="24"/>
        </w:rPr>
        <w:t xml:space="preserve">.  </w:t>
      </w:r>
    </w:p>
    <w:p w:rsidR="005046C6" w:rsidRPr="00A255CE" w:rsidRDefault="005046C6" w:rsidP="00A255CE">
      <w:pPr>
        <w:spacing w:before="0" w:after="0"/>
        <w:ind w:firstLine="0"/>
        <w:rPr>
          <w:rFonts w:ascii="Arial Narrow" w:hAnsi="Arial Narrow"/>
          <w:sz w:val="24"/>
          <w:szCs w:val="24"/>
        </w:rPr>
      </w:pPr>
    </w:p>
    <w:p w:rsidR="00BF6FBE" w:rsidRPr="00A255CE" w:rsidRDefault="005046C6" w:rsidP="00A255CE">
      <w:pPr>
        <w:spacing w:before="0" w:after="0"/>
        <w:ind w:firstLine="0"/>
        <w:rPr>
          <w:rFonts w:ascii="Arial Narrow" w:hAnsi="Arial Narrow"/>
          <w:sz w:val="24"/>
          <w:szCs w:val="24"/>
        </w:rPr>
      </w:pPr>
      <w:r w:rsidRPr="00A255CE">
        <w:rPr>
          <w:rFonts w:ascii="Arial Narrow" w:hAnsi="Arial Narrow"/>
          <w:sz w:val="24"/>
          <w:szCs w:val="24"/>
        </w:rPr>
        <w:t>To estimate the value of imputation credits (gamma) Envestra uses a payout ratio of 70% and a theta value of 0.3 to produce a gamma value of 0.2 (70% x 0.3).  Adjusting the Grant Samuel MRP of 6% for theta of 0.3 produces an AER equivalent MRP of 6.</w:t>
      </w:r>
      <w:r w:rsidR="00906A2E" w:rsidRPr="00A255CE">
        <w:rPr>
          <w:rFonts w:ascii="Arial Narrow" w:hAnsi="Arial Narrow"/>
          <w:sz w:val="24"/>
          <w:szCs w:val="24"/>
        </w:rPr>
        <w:t>5%</w:t>
      </w:r>
      <w:r w:rsidR="00BF6FBE" w:rsidRPr="00A255CE">
        <w:rPr>
          <w:rStyle w:val="FootnoteReference"/>
          <w:rFonts w:ascii="Arial Narrow" w:hAnsi="Arial Narrow"/>
          <w:sz w:val="24"/>
          <w:szCs w:val="24"/>
        </w:rPr>
        <w:footnoteReference w:id="6"/>
      </w:r>
      <w:r w:rsidR="00BF6FBE" w:rsidRPr="00A255CE">
        <w:rPr>
          <w:rFonts w:ascii="Arial Narrow" w:hAnsi="Arial Narrow"/>
          <w:sz w:val="24"/>
          <w:szCs w:val="24"/>
        </w:rPr>
        <w:t>.  The Grant Samuel equity premium is therefore in the range:</w:t>
      </w:r>
    </w:p>
    <w:p w:rsidR="00BF6FBE" w:rsidRPr="00A255CE" w:rsidRDefault="00BF6FBE" w:rsidP="00A255CE">
      <w:pPr>
        <w:spacing w:before="0" w:after="0"/>
        <w:ind w:firstLine="0"/>
        <w:rPr>
          <w:rFonts w:ascii="Arial Narrow" w:hAnsi="Arial Narrow"/>
          <w:sz w:val="24"/>
          <w:szCs w:val="24"/>
        </w:rPr>
      </w:pPr>
    </w:p>
    <w:p w:rsidR="00BF6FBE" w:rsidRPr="00A255CE" w:rsidRDefault="00BF6FBE" w:rsidP="00F34058">
      <w:pPr>
        <w:numPr>
          <w:ilvl w:val="0"/>
          <w:numId w:val="7"/>
        </w:numPr>
        <w:tabs>
          <w:tab w:val="left" w:pos="426"/>
        </w:tabs>
        <w:spacing w:before="0" w:after="0"/>
        <w:ind w:left="426" w:hanging="426"/>
        <w:rPr>
          <w:rFonts w:ascii="Arial Narrow" w:hAnsi="Arial Narrow"/>
          <w:sz w:val="24"/>
          <w:szCs w:val="24"/>
        </w:rPr>
      </w:pPr>
      <w:r w:rsidRPr="00A255CE">
        <w:rPr>
          <w:rFonts w:ascii="Arial Narrow" w:hAnsi="Arial Narrow"/>
          <w:sz w:val="24"/>
          <w:szCs w:val="24"/>
        </w:rPr>
        <w:t>Equity beta of 0.8 multiplied by 6.5% = 5.2%</w:t>
      </w:r>
    </w:p>
    <w:p w:rsidR="00BF6FBE" w:rsidRPr="00A255CE" w:rsidRDefault="00BF6FBE" w:rsidP="00F34058">
      <w:pPr>
        <w:numPr>
          <w:ilvl w:val="0"/>
          <w:numId w:val="7"/>
        </w:numPr>
        <w:tabs>
          <w:tab w:val="left" w:pos="426"/>
        </w:tabs>
        <w:spacing w:before="0" w:after="0"/>
        <w:ind w:left="426" w:hanging="426"/>
        <w:rPr>
          <w:rFonts w:ascii="Arial Narrow" w:hAnsi="Arial Narrow"/>
          <w:sz w:val="24"/>
          <w:szCs w:val="24"/>
        </w:rPr>
      </w:pPr>
      <w:r w:rsidRPr="00A255CE">
        <w:rPr>
          <w:rFonts w:ascii="Arial Narrow" w:hAnsi="Arial Narrow"/>
          <w:sz w:val="24"/>
          <w:szCs w:val="24"/>
        </w:rPr>
        <w:t>Equity beta of 0.9 multiplied by 6.5% = 5.85%</w:t>
      </w:r>
    </w:p>
    <w:p w:rsidR="00BF6FBE" w:rsidRPr="00A255CE" w:rsidRDefault="00BF6FBE" w:rsidP="00A255CE">
      <w:pPr>
        <w:spacing w:before="0" w:after="0"/>
        <w:ind w:firstLine="0"/>
        <w:rPr>
          <w:rFonts w:ascii="Arial Narrow" w:hAnsi="Arial Narrow"/>
          <w:sz w:val="24"/>
          <w:szCs w:val="24"/>
        </w:rPr>
      </w:pPr>
    </w:p>
    <w:p w:rsidR="0023288C" w:rsidRPr="00A255CE" w:rsidRDefault="0023288C" w:rsidP="00A255CE">
      <w:pPr>
        <w:spacing w:before="0" w:after="0"/>
        <w:ind w:firstLine="0"/>
        <w:rPr>
          <w:rFonts w:ascii="Arial Narrow" w:hAnsi="Arial Narrow"/>
          <w:sz w:val="24"/>
          <w:szCs w:val="24"/>
        </w:rPr>
      </w:pPr>
      <w:r w:rsidRPr="00A255CE">
        <w:rPr>
          <w:rFonts w:ascii="Arial Narrow" w:hAnsi="Arial Narrow"/>
          <w:sz w:val="24"/>
          <w:szCs w:val="24"/>
        </w:rPr>
        <w:t xml:space="preserve">This indicates that the AER’s equity premium of 4.8% would under-estimate the cost of equity for </w:t>
      </w:r>
      <w:r w:rsidR="00055D5C" w:rsidRPr="00A255CE">
        <w:rPr>
          <w:rFonts w:ascii="Arial Narrow" w:hAnsi="Arial Narrow"/>
          <w:sz w:val="24"/>
          <w:szCs w:val="24"/>
        </w:rPr>
        <w:t xml:space="preserve">the purposes of the NGR.  </w:t>
      </w:r>
      <w:r w:rsidR="00C93FF8" w:rsidRPr="00A255CE">
        <w:rPr>
          <w:rFonts w:ascii="Arial Narrow" w:hAnsi="Arial Narrow"/>
          <w:sz w:val="24"/>
          <w:szCs w:val="24"/>
        </w:rPr>
        <w:t xml:space="preserve">Furthermore, the 5.2% equity premium (0.8 x 6.5%) from the 2009 WACC Review is at the low end of the range used by Grant Samuel, indicating that the AER </w:t>
      </w:r>
      <w:r w:rsidR="00376C94" w:rsidRPr="00A255CE">
        <w:rPr>
          <w:rFonts w:ascii="Arial Narrow" w:hAnsi="Arial Narrow"/>
          <w:sz w:val="24"/>
          <w:szCs w:val="24"/>
        </w:rPr>
        <w:t>has</w:t>
      </w:r>
      <w:r w:rsidR="00C93FF8" w:rsidRPr="00A255CE">
        <w:rPr>
          <w:rFonts w:ascii="Arial Narrow" w:hAnsi="Arial Narrow"/>
          <w:sz w:val="24"/>
          <w:szCs w:val="24"/>
        </w:rPr>
        <w:t xml:space="preserve"> not provid</w:t>
      </w:r>
      <w:r w:rsidR="00376C94" w:rsidRPr="00A255CE">
        <w:rPr>
          <w:rFonts w:ascii="Arial Narrow" w:hAnsi="Arial Narrow"/>
          <w:sz w:val="24"/>
          <w:szCs w:val="24"/>
        </w:rPr>
        <w:t>ed</w:t>
      </w:r>
      <w:r w:rsidR="00C93FF8" w:rsidRPr="00A255CE">
        <w:rPr>
          <w:rFonts w:ascii="Arial Narrow" w:hAnsi="Arial Narrow"/>
          <w:sz w:val="24"/>
          <w:szCs w:val="24"/>
        </w:rPr>
        <w:t xml:space="preserve"> conservative estimates of the equity beta and/or MRP in the Draft Decision.  </w:t>
      </w:r>
    </w:p>
    <w:p w:rsidR="00376C94" w:rsidRPr="00A255CE" w:rsidRDefault="00376C94" w:rsidP="00A255CE">
      <w:pPr>
        <w:spacing w:before="0" w:after="0"/>
        <w:ind w:firstLine="0"/>
        <w:rPr>
          <w:rFonts w:ascii="Arial Narrow" w:hAnsi="Arial Narrow"/>
          <w:sz w:val="24"/>
          <w:szCs w:val="24"/>
        </w:rPr>
      </w:pPr>
    </w:p>
    <w:p w:rsidR="00376C94" w:rsidRDefault="00376C94" w:rsidP="005213A1">
      <w:pPr>
        <w:numPr>
          <w:ilvl w:val="2"/>
          <w:numId w:val="1"/>
        </w:numPr>
        <w:tabs>
          <w:tab w:val="left" w:pos="709"/>
        </w:tabs>
        <w:spacing w:before="0" w:after="0"/>
        <w:ind w:left="709" w:hanging="709"/>
        <w:rPr>
          <w:rFonts w:ascii="Arial Narrow" w:hAnsi="Arial Narrow"/>
          <w:b/>
          <w:sz w:val="24"/>
          <w:szCs w:val="24"/>
        </w:rPr>
      </w:pPr>
      <w:r w:rsidRPr="00A255CE">
        <w:rPr>
          <w:rFonts w:ascii="Arial Narrow" w:hAnsi="Arial Narrow"/>
          <w:b/>
          <w:sz w:val="24"/>
          <w:szCs w:val="24"/>
        </w:rPr>
        <w:t>Conclusion</w:t>
      </w:r>
    </w:p>
    <w:p w:rsidR="005213A1" w:rsidRPr="00A255CE" w:rsidRDefault="005213A1" w:rsidP="008149E3">
      <w:pPr>
        <w:spacing w:before="0" w:after="0"/>
        <w:ind w:firstLine="0"/>
        <w:rPr>
          <w:rFonts w:ascii="Arial Narrow" w:hAnsi="Arial Narrow"/>
          <w:b/>
          <w:sz w:val="24"/>
          <w:szCs w:val="24"/>
        </w:rPr>
      </w:pPr>
    </w:p>
    <w:p w:rsidR="00A626DF" w:rsidRPr="00A255CE" w:rsidRDefault="00A626DF" w:rsidP="00A255CE">
      <w:pPr>
        <w:spacing w:before="0" w:after="0"/>
        <w:ind w:firstLine="0"/>
        <w:rPr>
          <w:rFonts w:ascii="Arial Narrow" w:hAnsi="Arial Narrow"/>
          <w:sz w:val="24"/>
          <w:szCs w:val="24"/>
        </w:rPr>
      </w:pPr>
      <w:r w:rsidRPr="00A255CE">
        <w:rPr>
          <w:rFonts w:ascii="Arial Narrow" w:hAnsi="Arial Narrow"/>
          <w:sz w:val="24"/>
          <w:szCs w:val="24"/>
        </w:rPr>
        <w:t xml:space="preserve">The 5.2%-5.85% Grant Samuel estimate of the equity premium indicates that the AER has under-compensated Envestra in the Draft Decision </w:t>
      </w:r>
      <w:r w:rsidR="00005B2E" w:rsidRPr="00A255CE">
        <w:rPr>
          <w:rFonts w:ascii="Arial Narrow" w:hAnsi="Arial Narrow"/>
          <w:sz w:val="24"/>
          <w:szCs w:val="24"/>
        </w:rPr>
        <w:t xml:space="preserve">by determining an </w:t>
      </w:r>
      <w:bookmarkStart w:id="0" w:name="LASTCURSORPOSITION"/>
      <w:bookmarkEnd w:id="0"/>
      <w:r w:rsidRPr="00A255CE">
        <w:rPr>
          <w:rFonts w:ascii="Arial Narrow" w:hAnsi="Arial Narrow"/>
          <w:sz w:val="24"/>
          <w:szCs w:val="24"/>
        </w:rPr>
        <w:t xml:space="preserve"> equity beta of 0.8, MRP of 6% and theta of 0.65.  </w:t>
      </w:r>
      <w:r w:rsidR="00F614CF" w:rsidRPr="00A255CE">
        <w:rPr>
          <w:rFonts w:ascii="Arial Narrow" w:hAnsi="Arial Narrow"/>
          <w:sz w:val="24"/>
          <w:szCs w:val="24"/>
        </w:rPr>
        <w:t>The</w:t>
      </w:r>
      <w:r w:rsidRPr="00A255CE">
        <w:rPr>
          <w:rFonts w:ascii="Arial Narrow" w:hAnsi="Arial Narrow"/>
          <w:sz w:val="24"/>
          <w:szCs w:val="24"/>
        </w:rPr>
        <w:t xml:space="preserve"> values the AER attributes to these variables </w:t>
      </w:r>
      <w:r w:rsidR="000464C2">
        <w:rPr>
          <w:rFonts w:ascii="Arial Narrow" w:hAnsi="Arial Narrow"/>
          <w:sz w:val="24"/>
          <w:szCs w:val="24"/>
        </w:rPr>
        <w:t>should be</w:t>
      </w:r>
      <w:r w:rsidRPr="00A255CE">
        <w:rPr>
          <w:rFonts w:ascii="Arial Narrow" w:hAnsi="Arial Narrow"/>
          <w:sz w:val="24"/>
          <w:szCs w:val="24"/>
        </w:rPr>
        <w:t xml:space="preserve"> change</w:t>
      </w:r>
      <w:r w:rsidR="000464C2">
        <w:rPr>
          <w:rFonts w:ascii="Arial Narrow" w:hAnsi="Arial Narrow"/>
          <w:sz w:val="24"/>
          <w:szCs w:val="24"/>
        </w:rPr>
        <w:t>d</w:t>
      </w:r>
      <w:r w:rsidRPr="00A255CE">
        <w:rPr>
          <w:rFonts w:ascii="Arial Narrow" w:hAnsi="Arial Narrow"/>
          <w:sz w:val="24"/>
          <w:szCs w:val="24"/>
        </w:rPr>
        <w:t xml:space="preserve"> in the Final Decision to bring the Envestra </w:t>
      </w:r>
      <w:r w:rsidR="00931E56" w:rsidRPr="00A255CE">
        <w:rPr>
          <w:rFonts w:ascii="Arial Narrow" w:hAnsi="Arial Narrow"/>
          <w:sz w:val="24"/>
          <w:szCs w:val="24"/>
        </w:rPr>
        <w:t xml:space="preserve">equity premium and associated CAPM </w:t>
      </w:r>
      <w:r w:rsidRPr="00A255CE">
        <w:rPr>
          <w:rFonts w:ascii="Arial Narrow" w:hAnsi="Arial Narrow"/>
          <w:sz w:val="24"/>
          <w:szCs w:val="24"/>
        </w:rPr>
        <w:t xml:space="preserve">cost of equity into line with market requirements.  </w:t>
      </w:r>
    </w:p>
    <w:p w:rsidR="00A626DF" w:rsidRPr="00A255CE" w:rsidRDefault="00A626DF" w:rsidP="00A255CE">
      <w:pPr>
        <w:spacing w:before="0" w:after="0"/>
        <w:ind w:firstLine="0"/>
        <w:rPr>
          <w:rFonts w:ascii="Arial Narrow" w:hAnsi="Arial Narrow"/>
          <w:sz w:val="24"/>
          <w:szCs w:val="24"/>
        </w:rPr>
      </w:pPr>
    </w:p>
    <w:p w:rsidR="00376C94" w:rsidRPr="00A255CE" w:rsidRDefault="00F614CF" w:rsidP="00A255CE">
      <w:pPr>
        <w:spacing w:before="0" w:after="0"/>
        <w:ind w:firstLine="0"/>
        <w:rPr>
          <w:rFonts w:ascii="Arial Narrow" w:hAnsi="Arial Narrow" w:cs="Arial Narrow"/>
          <w:sz w:val="24"/>
          <w:szCs w:val="24"/>
        </w:rPr>
      </w:pPr>
      <w:r w:rsidRPr="00A255CE">
        <w:rPr>
          <w:rFonts w:ascii="Arial Narrow" w:hAnsi="Arial Narrow"/>
          <w:sz w:val="24"/>
          <w:szCs w:val="24"/>
        </w:rPr>
        <w:t xml:space="preserve">In addition, </w:t>
      </w:r>
      <w:r w:rsidR="002F7ED6" w:rsidRPr="00A255CE">
        <w:rPr>
          <w:rFonts w:ascii="Arial Narrow" w:hAnsi="Arial Narrow"/>
          <w:sz w:val="24"/>
          <w:szCs w:val="24"/>
        </w:rPr>
        <w:t>CEG present evidence that demonstrates the CAPM under-estimates the cost of equity for low beta companies</w:t>
      </w:r>
      <w:r w:rsidR="00985444" w:rsidRPr="00A255CE">
        <w:rPr>
          <w:rFonts w:ascii="Arial Narrow" w:hAnsi="Arial Narrow"/>
          <w:sz w:val="24"/>
          <w:szCs w:val="24"/>
        </w:rPr>
        <w:t xml:space="preserve"> and that t</w:t>
      </w:r>
      <w:r w:rsidR="002F7ED6" w:rsidRPr="00A255CE">
        <w:rPr>
          <w:rFonts w:ascii="Arial Narrow" w:hAnsi="Arial Narrow"/>
          <w:sz w:val="24"/>
          <w:szCs w:val="24"/>
        </w:rPr>
        <w:t xml:space="preserve">he AERs expert advisers (Handley and Davis) are both in agreement with that point.  </w:t>
      </w:r>
      <w:r w:rsidR="000464C2">
        <w:rPr>
          <w:rFonts w:ascii="Arial Narrow" w:hAnsi="Arial Narrow"/>
          <w:sz w:val="24"/>
          <w:szCs w:val="24"/>
        </w:rPr>
        <w:t>A</w:t>
      </w:r>
      <w:r w:rsidR="002F7ED6" w:rsidRPr="00A255CE">
        <w:rPr>
          <w:rFonts w:ascii="Arial Narrow" w:hAnsi="Arial Narrow"/>
          <w:sz w:val="24"/>
          <w:szCs w:val="24"/>
        </w:rPr>
        <w:t xml:space="preserve"> solution to th</w:t>
      </w:r>
      <w:r w:rsidRPr="00A255CE">
        <w:rPr>
          <w:rFonts w:ascii="Arial Narrow" w:hAnsi="Arial Narrow"/>
          <w:sz w:val="24"/>
          <w:szCs w:val="24"/>
        </w:rPr>
        <w:t>e</w:t>
      </w:r>
      <w:r w:rsidR="002F7ED6" w:rsidRPr="00A255CE">
        <w:rPr>
          <w:rFonts w:ascii="Arial Narrow" w:hAnsi="Arial Narrow"/>
          <w:sz w:val="24"/>
          <w:szCs w:val="24"/>
        </w:rPr>
        <w:t xml:space="preserve"> problem is for the AER to estimate the cost of equity with an equity beta closer to the ‘market average’ equity beta </w:t>
      </w:r>
      <w:r w:rsidR="001B7AB1" w:rsidRPr="00A255CE">
        <w:rPr>
          <w:rFonts w:ascii="Arial Narrow" w:hAnsi="Arial Narrow"/>
          <w:sz w:val="24"/>
          <w:szCs w:val="24"/>
        </w:rPr>
        <w:t xml:space="preserve">of </w:t>
      </w:r>
      <w:r w:rsidR="002F7ED6" w:rsidRPr="00A255CE">
        <w:rPr>
          <w:rFonts w:ascii="Arial Narrow" w:hAnsi="Arial Narrow"/>
          <w:sz w:val="24"/>
          <w:szCs w:val="24"/>
        </w:rPr>
        <w:t xml:space="preserve">1.0.  </w:t>
      </w:r>
      <w:r w:rsidR="00E65F48" w:rsidRPr="00A255CE">
        <w:rPr>
          <w:rFonts w:ascii="Arial Narrow" w:hAnsi="Arial Narrow" w:cs="Arial Narrow"/>
          <w:sz w:val="24"/>
          <w:szCs w:val="24"/>
        </w:rPr>
        <w:t xml:space="preserve">This would result in a rate of return commensurate with the risk involved in providing reference services.  </w:t>
      </w:r>
    </w:p>
    <w:p w:rsidR="008149E3" w:rsidRDefault="008149E3" w:rsidP="00A255CE">
      <w:pPr>
        <w:spacing w:before="0" w:after="0"/>
        <w:ind w:firstLine="0"/>
        <w:rPr>
          <w:rFonts w:ascii="Arial Narrow" w:hAnsi="Arial Narrow"/>
          <w:sz w:val="24"/>
          <w:szCs w:val="24"/>
        </w:rPr>
      </w:pPr>
    </w:p>
    <w:p w:rsidR="00985444" w:rsidRDefault="008149E3" w:rsidP="00A255CE">
      <w:pPr>
        <w:spacing w:before="0" w:after="0"/>
        <w:ind w:firstLine="0"/>
        <w:rPr>
          <w:rFonts w:ascii="Arial Narrow" w:hAnsi="Arial Narrow"/>
          <w:sz w:val="24"/>
          <w:szCs w:val="24"/>
        </w:rPr>
      </w:pPr>
      <w:r>
        <w:rPr>
          <w:rFonts w:ascii="Arial Narrow" w:hAnsi="Arial Narrow"/>
          <w:sz w:val="24"/>
          <w:szCs w:val="24"/>
        </w:rPr>
        <w:t>Whilst the Grant Samuel material is highly relevant, it is 18 months old, and the lower beta estimate yields a cost of equity that has only a small premium over the cost of debt  It is unrealistic to expect equity investors to be attracted to such a minor premium relative to investing in credit securities.  Current market conditions would therefore suggest the appropriate equity beta is likely to be at the high end (or above)  Grant Samuel’s stated range.</w:t>
      </w:r>
    </w:p>
    <w:p w:rsidR="008149E3" w:rsidRPr="00A255CE" w:rsidRDefault="008149E3" w:rsidP="00A255CE">
      <w:pPr>
        <w:spacing w:before="0" w:after="0"/>
        <w:ind w:firstLine="0"/>
        <w:rPr>
          <w:rFonts w:ascii="Arial Narrow" w:hAnsi="Arial Narrow"/>
          <w:sz w:val="24"/>
          <w:szCs w:val="24"/>
        </w:rPr>
      </w:pPr>
    </w:p>
    <w:p w:rsidR="00055D5C" w:rsidRPr="00A255CE" w:rsidRDefault="00931E56" w:rsidP="00A255CE">
      <w:pPr>
        <w:spacing w:before="0" w:after="0"/>
        <w:ind w:firstLine="0"/>
        <w:rPr>
          <w:rFonts w:ascii="Arial Narrow" w:hAnsi="Arial Narrow"/>
          <w:sz w:val="24"/>
          <w:szCs w:val="24"/>
        </w:rPr>
      </w:pPr>
      <w:r w:rsidRPr="00A255CE">
        <w:rPr>
          <w:rFonts w:ascii="Arial Narrow" w:hAnsi="Arial Narrow" w:cs="Arial Narrow"/>
          <w:sz w:val="24"/>
          <w:szCs w:val="24"/>
        </w:rPr>
        <w:lastRenderedPageBreak/>
        <w:t xml:space="preserve">Following a review of the AERs Draft Determination and the updated expert information Envestra has revised its proposal and now submits that the balance of evidence indicates that the most appropriate value for equity beta for use in the Final Decision </w:t>
      </w:r>
      <w:r w:rsidR="008149E3">
        <w:rPr>
          <w:rFonts w:ascii="Arial Narrow" w:hAnsi="Arial Narrow" w:cs="Arial Narrow"/>
          <w:sz w:val="24"/>
          <w:szCs w:val="24"/>
        </w:rPr>
        <w:t>is around one.</w:t>
      </w:r>
      <w:r w:rsidRPr="00A255CE">
        <w:rPr>
          <w:rFonts w:ascii="Arial Narrow" w:hAnsi="Arial Narrow" w:cs="Arial Narrow"/>
          <w:sz w:val="24"/>
          <w:szCs w:val="24"/>
        </w:rPr>
        <w:t xml:space="preserve"> </w:t>
      </w:r>
    </w:p>
    <w:sectPr w:rsidR="00055D5C" w:rsidRPr="00A255CE" w:rsidSect="00A255CE">
      <w:headerReference w:type="even" r:id="rId9"/>
      <w:pgSz w:w="11906" w:h="16838"/>
      <w:pgMar w:top="1134" w:right="1418"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295" w:rsidRDefault="00F07295" w:rsidP="00484ABD">
      <w:pPr>
        <w:spacing w:before="0" w:after="0"/>
      </w:pPr>
      <w:r>
        <w:separator/>
      </w:r>
    </w:p>
  </w:endnote>
  <w:endnote w:type="continuationSeparator" w:id="0">
    <w:p w:rsidR="00F07295" w:rsidRDefault="00F07295" w:rsidP="00484AB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295" w:rsidRDefault="00F07295" w:rsidP="00484ABD">
      <w:pPr>
        <w:spacing w:before="0" w:after="0"/>
      </w:pPr>
      <w:r>
        <w:separator/>
      </w:r>
    </w:p>
  </w:footnote>
  <w:footnote w:type="continuationSeparator" w:id="0">
    <w:p w:rsidR="00F07295" w:rsidRDefault="00F07295" w:rsidP="00484ABD">
      <w:pPr>
        <w:spacing w:before="0" w:after="0"/>
      </w:pPr>
      <w:r>
        <w:continuationSeparator/>
      </w:r>
    </w:p>
  </w:footnote>
  <w:footnote w:id="1">
    <w:p w:rsidR="00D3552C" w:rsidRPr="00C47249" w:rsidRDefault="00D3552C" w:rsidP="00C47249">
      <w:pPr>
        <w:tabs>
          <w:tab w:val="left" w:pos="284"/>
        </w:tabs>
        <w:autoSpaceDE w:val="0"/>
        <w:autoSpaceDN w:val="0"/>
        <w:adjustRightInd w:val="0"/>
        <w:spacing w:before="0" w:after="0"/>
        <w:ind w:left="284" w:hanging="284"/>
        <w:jc w:val="left"/>
        <w:rPr>
          <w:rFonts w:ascii="Arial Narrow" w:hAnsi="Arial Narrow"/>
          <w:sz w:val="20"/>
          <w:szCs w:val="20"/>
        </w:rPr>
      </w:pPr>
      <w:r w:rsidRPr="00C47249">
        <w:rPr>
          <w:rStyle w:val="FootnoteReference"/>
          <w:rFonts w:ascii="Arial Narrow" w:hAnsi="Arial Narrow"/>
          <w:sz w:val="20"/>
          <w:szCs w:val="20"/>
        </w:rPr>
        <w:footnoteRef/>
      </w:r>
      <w:r w:rsidR="00C47249">
        <w:rPr>
          <w:rFonts w:ascii="Arial Narrow" w:hAnsi="Arial Narrow"/>
          <w:sz w:val="20"/>
          <w:szCs w:val="20"/>
        </w:rPr>
        <w:tab/>
      </w:r>
      <w:r w:rsidRPr="00C47249">
        <w:rPr>
          <w:rFonts w:ascii="Arial Narrow" w:hAnsi="Arial Narrow"/>
          <w:sz w:val="20"/>
          <w:szCs w:val="20"/>
          <w:lang w:eastAsia="en-AU"/>
        </w:rPr>
        <w:t>Grant Samuel</w:t>
      </w:r>
      <w:r w:rsidRPr="00C47249">
        <w:rPr>
          <w:rFonts w:ascii="Arial Narrow" w:hAnsi="Arial Narrow"/>
          <w:i/>
          <w:iCs/>
          <w:sz w:val="20"/>
          <w:szCs w:val="20"/>
          <w:lang w:eastAsia="en-AU"/>
        </w:rPr>
        <w:t>, Financial Service Guide and Independent Experts Report in relation to the Recapitalisation and Restructure of Babcock &amp; Brown Infrastructure</w:t>
      </w:r>
      <w:r w:rsidRPr="00C47249">
        <w:rPr>
          <w:rFonts w:ascii="Arial Narrow" w:hAnsi="Arial Narrow"/>
          <w:sz w:val="20"/>
          <w:szCs w:val="20"/>
          <w:lang w:eastAsia="en-AU"/>
        </w:rPr>
        <w:t>, 9 October 2009, Appendix 1, p. 8.</w:t>
      </w:r>
    </w:p>
  </w:footnote>
  <w:footnote w:id="2">
    <w:p w:rsidR="007203DC" w:rsidRPr="00C47249" w:rsidRDefault="007203DC" w:rsidP="00C47249">
      <w:pPr>
        <w:pStyle w:val="FootnoteText"/>
        <w:tabs>
          <w:tab w:val="left" w:pos="284"/>
        </w:tabs>
        <w:spacing w:before="0" w:after="0"/>
        <w:ind w:left="284" w:hanging="284"/>
        <w:rPr>
          <w:rFonts w:ascii="Arial Narrow" w:hAnsi="Arial Narrow"/>
        </w:rPr>
      </w:pPr>
      <w:r w:rsidRPr="00C47249">
        <w:rPr>
          <w:rStyle w:val="FootnoteReference"/>
          <w:rFonts w:ascii="Arial Narrow" w:hAnsi="Arial Narrow"/>
        </w:rPr>
        <w:footnoteRef/>
      </w:r>
      <w:r w:rsidR="00C47249">
        <w:rPr>
          <w:rFonts w:ascii="Arial Narrow" w:hAnsi="Arial Narrow"/>
        </w:rPr>
        <w:tab/>
      </w:r>
      <w:r w:rsidRPr="00C47249">
        <w:rPr>
          <w:rFonts w:ascii="Arial Narrow" w:hAnsi="Arial Narrow"/>
        </w:rPr>
        <w:t>Grant Samuel do not ascribe any to value imputation credit for various reasons.  Notwithstanding the circumstances, in discharging their legal obligations they have used a gamma with a value of zero in their valuations.  Given the dividend payout ratio of 70%is widely accepted, it necessarily follows that the value for theta implied from the independent</w:t>
      </w:r>
      <w:r w:rsidR="00B675CF" w:rsidRPr="00C47249">
        <w:rPr>
          <w:rFonts w:ascii="Arial Narrow" w:hAnsi="Arial Narrow"/>
        </w:rPr>
        <w:t xml:space="preserve"> expert</w:t>
      </w:r>
      <w:r w:rsidRPr="00C47249">
        <w:rPr>
          <w:rFonts w:ascii="Arial Narrow" w:hAnsi="Arial Narrow"/>
        </w:rPr>
        <w:t xml:space="preserve"> valuations is zero.  </w:t>
      </w:r>
    </w:p>
  </w:footnote>
  <w:footnote w:id="3">
    <w:p w:rsidR="00577EF2" w:rsidRPr="00E62A55" w:rsidRDefault="00577EF2" w:rsidP="00E62A55">
      <w:pPr>
        <w:pStyle w:val="FootnoteText"/>
        <w:tabs>
          <w:tab w:val="left" w:pos="284"/>
        </w:tabs>
        <w:spacing w:before="0" w:after="0"/>
        <w:ind w:left="284" w:hanging="284"/>
        <w:rPr>
          <w:rFonts w:ascii="Arial Narrow" w:hAnsi="Arial Narrow"/>
        </w:rPr>
      </w:pPr>
      <w:r w:rsidRPr="00E62A55">
        <w:rPr>
          <w:rStyle w:val="FootnoteReference"/>
          <w:rFonts w:ascii="Arial Narrow" w:hAnsi="Arial Narrow"/>
        </w:rPr>
        <w:footnoteRef/>
      </w:r>
      <w:r w:rsidR="00E62A55">
        <w:rPr>
          <w:rFonts w:ascii="Arial Narrow" w:hAnsi="Arial Narrow"/>
        </w:rPr>
        <w:tab/>
      </w:r>
      <w:r w:rsidRPr="00E62A55">
        <w:rPr>
          <w:rFonts w:ascii="Arial Narrow" w:hAnsi="Arial Narrow"/>
        </w:rPr>
        <w:t>Draft Decision (SA), Appendix C, page 268.</w:t>
      </w:r>
    </w:p>
  </w:footnote>
  <w:footnote w:id="4">
    <w:p w:rsidR="00B64EA8" w:rsidRDefault="00B64EA8" w:rsidP="00E62A55">
      <w:pPr>
        <w:pStyle w:val="FootnoteText"/>
        <w:tabs>
          <w:tab w:val="left" w:pos="284"/>
        </w:tabs>
        <w:spacing w:before="0" w:after="0"/>
        <w:ind w:left="284" w:hanging="284"/>
        <w:rPr>
          <w:rFonts w:ascii="Arial Narrow" w:hAnsi="Arial Narrow"/>
        </w:rPr>
      </w:pPr>
      <w:r w:rsidRPr="00E62A55">
        <w:rPr>
          <w:rStyle w:val="FootnoteReference"/>
          <w:rFonts w:ascii="Arial Narrow" w:hAnsi="Arial Narrow"/>
        </w:rPr>
        <w:footnoteRef/>
      </w:r>
      <w:r w:rsidRPr="00E62A55">
        <w:rPr>
          <w:rFonts w:ascii="Arial Narrow" w:hAnsi="Arial Narrow"/>
        </w:rPr>
        <w:t xml:space="preserve"> </w:t>
      </w:r>
      <w:r w:rsidRPr="00E62A55">
        <w:rPr>
          <w:rFonts w:ascii="Arial Narrow" w:hAnsi="Arial Narrow"/>
        </w:rPr>
        <w:tab/>
        <w:t xml:space="preserve">The AER implements a version of the CAPM that estimates beta using recent stock recent stock market observations over a period of years.  It is important to distinguish between this particular implementation of the CAPM and ‘the CAPM’ in general.  This is because, in the AER draft decision and in Handley and </w:t>
      </w:r>
      <w:smartTag w:uri="urn:schemas-microsoft-com:office:smarttags" w:element="City">
        <w:smartTag w:uri="urn:schemas-microsoft-com:office:smarttags" w:element="place">
          <w:r w:rsidRPr="00E62A55">
            <w:rPr>
              <w:rFonts w:ascii="Arial Narrow" w:hAnsi="Arial Narrow"/>
            </w:rPr>
            <w:t>Davis</w:t>
          </w:r>
        </w:smartTag>
      </w:smartTag>
      <w:r w:rsidRPr="00E62A55">
        <w:rPr>
          <w:rFonts w:ascii="Arial Narrow" w:hAnsi="Arial Narrow"/>
        </w:rPr>
        <w:t>’ reports, there is considerable discussion devoted to the fact that that one can’t be sure that the CAPM, implemented in a different manner, would produce such biased results.  That is, there appears to be confusion about whether the point at issue is:</w:t>
      </w:r>
    </w:p>
    <w:p w:rsidR="00B64EA8" w:rsidRPr="00E62A55" w:rsidRDefault="00B64EA8" w:rsidP="00E62A55">
      <w:pPr>
        <w:pStyle w:val="FootnoteText"/>
        <w:numPr>
          <w:ilvl w:val="0"/>
          <w:numId w:val="5"/>
        </w:numPr>
        <w:tabs>
          <w:tab w:val="left" w:pos="567"/>
        </w:tabs>
        <w:spacing w:before="0" w:after="0"/>
        <w:ind w:left="567" w:hanging="284"/>
        <w:rPr>
          <w:rFonts w:ascii="Arial Narrow" w:hAnsi="Arial Narrow"/>
        </w:rPr>
      </w:pPr>
      <w:r w:rsidRPr="00E62A55">
        <w:rPr>
          <w:rFonts w:ascii="Arial Narrow" w:hAnsi="Arial Narrow"/>
        </w:rPr>
        <w:t>Can one be sure that the AER’s method of implementing the Sharpe CAPM will result in bias; versus</w:t>
      </w:r>
    </w:p>
    <w:p w:rsidR="00B64EA8" w:rsidRDefault="00B64EA8" w:rsidP="00E62A55">
      <w:pPr>
        <w:pStyle w:val="FootnoteText"/>
        <w:numPr>
          <w:ilvl w:val="0"/>
          <w:numId w:val="5"/>
        </w:numPr>
        <w:tabs>
          <w:tab w:val="left" w:pos="567"/>
        </w:tabs>
        <w:spacing w:before="0" w:after="0"/>
        <w:ind w:left="567" w:hanging="284"/>
        <w:rPr>
          <w:rFonts w:ascii="Arial Narrow" w:hAnsi="Arial Narrow"/>
        </w:rPr>
      </w:pPr>
      <w:r w:rsidRPr="00E62A55">
        <w:rPr>
          <w:rFonts w:ascii="Arial Narrow" w:hAnsi="Arial Narrow"/>
        </w:rPr>
        <w:t>Is there some other way of estimating beta such that that implementation of the Sharpe CAPM will be free from bias.</w:t>
      </w:r>
    </w:p>
    <w:p w:rsidR="00B64EA8" w:rsidRPr="00E62A55" w:rsidRDefault="00E62A55" w:rsidP="00E62A55">
      <w:pPr>
        <w:pStyle w:val="FootnoteText"/>
        <w:tabs>
          <w:tab w:val="left" w:pos="284"/>
        </w:tabs>
        <w:spacing w:before="0" w:after="0"/>
        <w:ind w:left="284" w:hanging="284"/>
        <w:rPr>
          <w:rFonts w:ascii="Arial Narrow" w:hAnsi="Arial Narrow"/>
        </w:rPr>
      </w:pPr>
      <w:r>
        <w:rPr>
          <w:rFonts w:ascii="Arial Narrow" w:hAnsi="Arial Narrow"/>
        </w:rPr>
        <w:tab/>
      </w:r>
      <w:r w:rsidR="00B64EA8" w:rsidRPr="00E62A55">
        <w:rPr>
          <w:rFonts w:ascii="Arial Narrow" w:hAnsi="Arial Narrow"/>
        </w:rPr>
        <w:t xml:space="preserve">Clearly, only the first issue is relevant to an assessment of the AER’s decision.  The fact that, in theory and with better information, a different method for implementing the Sharpe CAPM might be proved to be ‘right’ is irrelevant.  </w:t>
      </w:r>
    </w:p>
  </w:footnote>
  <w:footnote w:id="5">
    <w:p w:rsidR="002B7AD6" w:rsidRPr="002B7AD6" w:rsidRDefault="002B7AD6" w:rsidP="002B7AD6">
      <w:pPr>
        <w:pStyle w:val="FootnoteText"/>
        <w:tabs>
          <w:tab w:val="left" w:pos="284"/>
        </w:tabs>
        <w:spacing w:before="0" w:after="0"/>
        <w:ind w:left="284" w:hanging="284"/>
        <w:rPr>
          <w:rFonts w:ascii="Arial Narrow" w:hAnsi="Arial Narrow"/>
        </w:rPr>
      </w:pPr>
      <w:r w:rsidRPr="002B7AD6">
        <w:rPr>
          <w:rStyle w:val="FootnoteReference"/>
        </w:rPr>
        <w:footnoteRef/>
      </w:r>
      <w:r w:rsidRPr="002B7AD6">
        <w:rPr>
          <w:rFonts w:ascii="Arial Narrow" w:hAnsi="Arial Narrow"/>
        </w:rPr>
        <w:t xml:space="preserve"> </w:t>
      </w:r>
      <w:r w:rsidRPr="002B7AD6">
        <w:rPr>
          <w:rFonts w:ascii="Arial Narrow" w:hAnsi="Arial Narrow"/>
        </w:rPr>
        <w:tab/>
        <w:t xml:space="preserve">Page 27 of </w:t>
      </w:r>
      <w:r w:rsidR="003173C3">
        <w:rPr>
          <w:rFonts w:ascii="Arial Narrow" w:hAnsi="Arial Narrow"/>
        </w:rPr>
        <w:t>“</w:t>
      </w:r>
      <w:r w:rsidRPr="003173C3">
        <w:rPr>
          <w:rFonts w:ascii="Arial Narrow" w:hAnsi="Arial Narrow"/>
          <w:i/>
        </w:rPr>
        <w:t>Recommendations to the New Zealand Commerce Commission on an Appropriate C</w:t>
      </w:r>
      <w:r w:rsidR="003173C3" w:rsidRPr="003173C3">
        <w:rPr>
          <w:rFonts w:ascii="Arial Narrow" w:hAnsi="Arial Narrow"/>
          <w:i/>
        </w:rPr>
        <w:t>ost of Capital Methodology</w:t>
      </w:r>
      <w:r w:rsidR="003173C3">
        <w:rPr>
          <w:rFonts w:ascii="Arial Narrow" w:hAnsi="Arial Narrow"/>
        </w:rPr>
        <w:t>” (</w:t>
      </w:r>
      <w:r w:rsidRPr="002B7AD6">
        <w:rPr>
          <w:rFonts w:ascii="Arial Narrow" w:hAnsi="Arial Narrow"/>
        </w:rPr>
        <w:t xml:space="preserve">December, 2008).  </w:t>
      </w:r>
    </w:p>
  </w:footnote>
  <w:footnote w:id="6">
    <w:p w:rsidR="00BF6FBE" w:rsidRPr="000A502E" w:rsidRDefault="00BF6FBE" w:rsidP="006D2E3B">
      <w:pPr>
        <w:pStyle w:val="FootnoteText"/>
        <w:tabs>
          <w:tab w:val="left" w:pos="284"/>
        </w:tabs>
        <w:spacing w:before="0" w:after="0"/>
        <w:ind w:left="284" w:hanging="284"/>
        <w:rPr>
          <w:rFonts w:ascii="Arial Narrow" w:hAnsi="Arial Narrow"/>
        </w:rPr>
      </w:pPr>
      <w:r w:rsidRPr="000A502E">
        <w:rPr>
          <w:rStyle w:val="FootnoteReference"/>
          <w:rFonts w:ascii="Arial Narrow" w:hAnsi="Arial Narrow"/>
        </w:rPr>
        <w:footnoteRef/>
      </w:r>
      <w:r w:rsidR="006D2E3B">
        <w:rPr>
          <w:rFonts w:ascii="Arial Narrow" w:hAnsi="Arial Narrow"/>
        </w:rPr>
        <w:tab/>
      </w:r>
      <w:r w:rsidRPr="000A502E">
        <w:rPr>
          <w:rFonts w:ascii="Arial Narrow" w:hAnsi="Arial Narrow"/>
        </w:rPr>
        <w:t>See SFG report</w:t>
      </w:r>
      <w:r w:rsidR="000A502E">
        <w:rPr>
          <w:rFonts w:ascii="Arial Narrow" w:hAnsi="Arial Narrow"/>
        </w:rPr>
        <w:t xml:space="preserve"> section 48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800" w:rsidRDefault="00740B18" w:rsidP="00484ABD">
    <w:pPr>
      <w:pStyle w:val="Header"/>
      <w:framePr w:wrap="around" w:vAnchor="text" w:hAnchor="margin" w:xAlign="center" w:y="1"/>
      <w:rPr>
        <w:rStyle w:val="PageNumber"/>
      </w:rPr>
    </w:pPr>
    <w:r>
      <w:rPr>
        <w:rStyle w:val="PageNumber"/>
      </w:rPr>
      <w:fldChar w:fldCharType="begin"/>
    </w:r>
    <w:r w:rsidR="002F3800">
      <w:rPr>
        <w:rStyle w:val="PageNumber"/>
      </w:rPr>
      <w:instrText xml:space="preserve">PAGE  </w:instrText>
    </w:r>
    <w:r>
      <w:rPr>
        <w:rStyle w:val="PageNumber"/>
      </w:rPr>
      <w:fldChar w:fldCharType="separate"/>
    </w:r>
    <w:r w:rsidR="00005B2E">
      <w:rPr>
        <w:rStyle w:val="PageNumber"/>
        <w:noProof/>
      </w:rPr>
      <w:t>3</w:t>
    </w:r>
    <w:r>
      <w:rPr>
        <w:rStyle w:val="PageNumber"/>
      </w:rPr>
      <w:fldChar w:fldCharType="end"/>
    </w:r>
  </w:p>
  <w:p w:rsidR="002F3800" w:rsidRDefault="002F38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680"/>
    <w:multiLevelType w:val="hybridMultilevel"/>
    <w:tmpl w:val="B86EECB4"/>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00C958B3"/>
    <w:multiLevelType w:val="multilevel"/>
    <w:tmpl w:val="1736D09E"/>
    <w:lvl w:ilvl="0">
      <w:start w:val="1"/>
      <w:numFmt w:val="bullet"/>
      <w:lvlText w:val=""/>
      <w:lvlJc w:val="left"/>
      <w:pPr>
        <w:ind w:left="927" w:hanging="567"/>
      </w:pPr>
      <w:rPr>
        <w:rFonts w:ascii="Wingdings" w:hAnsi="Wingdings" w:hint="default"/>
      </w:rPr>
    </w:lvl>
    <w:lvl w:ilvl="1">
      <w:start w:val="1"/>
      <w:numFmt w:val="bullet"/>
      <w:lvlText w:val=""/>
      <w:lvlJc w:val="left"/>
      <w:pPr>
        <w:ind w:left="1352" w:hanging="425"/>
      </w:pPr>
      <w:rPr>
        <w:rFonts w:ascii="Wingdings" w:hAnsi="Wingdings" w:hint="default"/>
      </w:rPr>
    </w:lvl>
    <w:lvl w:ilvl="2">
      <w:start w:val="1"/>
      <w:numFmt w:val="none"/>
      <w:lvlText w:val="-"/>
      <w:lvlJc w:val="left"/>
      <w:pPr>
        <w:ind w:left="1778" w:hanging="426"/>
      </w:pPr>
      <w:rPr>
        <w:rFonts w:hint="default"/>
      </w:rPr>
    </w:lvl>
    <w:lvl w:ilvl="3">
      <w:start w:val="1"/>
      <w:numFmt w:val="lowerRoman"/>
      <w:lvlRestart w:val="1"/>
      <w:lvlText w:val="%4."/>
      <w:lvlJc w:val="left"/>
      <w:pPr>
        <w:ind w:left="1352" w:hanging="425"/>
      </w:pPr>
      <w:rPr>
        <w:rFonts w:hint="default"/>
      </w:rPr>
    </w:lvl>
    <w:lvl w:ilvl="4">
      <w:start w:val="1"/>
      <w:numFmt w:val="lowerLetter"/>
      <w:lvlRestart w:val="1"/>
      <w:lvlText w:val="%5."/>
      <w:lvlJc w:val="left"/>
      <w:pPr>
        <w:ind w:left="1352" w:hanging="425"/>
      </w:pPr>
      <w:rPr>
        <w:rFonts w:hint="default"/>
      </w:rPr>
    </w:lvl>
    <w:lvl w:ilvl="5">
      <w:start w:val="1"/>
      <w:numFmt w:val="lowerRoman"/>
      <w:lvlText w:val="%6."/>
      <w:lvlJc w:val="left"/>
      <w:pPr>
        <w:ind w:left="1778" w:hanging="426"/>
      </w:pPr>
      <w:rPr>
        <w:rFonts w:hint="default"/>
      </w:rPr>
    </w:lvl>
    <w:lvl w:ilvl="6">
      <w:start w:val="1"/>
      <w:numFmt w:val="decimal"/>
      <w:lvlRestart w:val="5"/>
      <w:lvlText w:val="%7."/>
      <w:lvlJc w:val="left"/>
      <w:pPr>
        <w:ind w:left="1778" w:hanging="426"/>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04584637"/>
    <w:multiLevelType w:val="hybridMultilevel"/>
    <w:tmpl w:val="048491E0"/>
    <w:lvl w:ilvl="0" w:tplc="CF1CDD4C">
      <w:start w:val="1"/>
      <w:numFmt w:val="lowerRoman"/>
      <w:lvlText w:val="(%1)"/>
      <w:lvlJc w:val="left"/>
      <w:pPr>
        <w:ind w:left="360" w:hanging="360"/>
      </w:pPr>
      <w:rPr>
        <w:rFonts w:cs="Times New Roman" w:hint="default"/>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D2D01B1"/>
    <w:multiLevelType w:val="multilevel"/>
    <w:tmpl w:val="3900291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25838B2"/>
    <w:multiLevelType w:val="multilevel"/>
    <w:tmpl w:val="1736D09E"/>
    <w:lvl w:ilvl="0">
      <w:start w:val="1"/>
      <w:numFmt w:val="bullet"/>
      <w:lvlText w:val=""/>
      <w:lvlJc w:val="left"/>
      <w:pPr>
        <w:ind w:left="927" w:hanging="567"/>
      </w:pPr>
      <w:rPr>
        <w:rFonts w:ascii="Wingdings" w:hAnsi="Wingdings" w:hint="default"/>
      </w:rPr>
    </w:lvl>
    <w:lvl w:ilvl="1">
      <w:start w:val="1"/>
      <w:numFmt w:val="bullet"/>
      <w:lvlText w:val=""/>
      <w:lvlJc w:val="left"/>
      <w:pPr>
        <w:ind w:left="1352" w:hanging="425"/>
      </w:pPr>
      <w:rPr>
        <w:rFonts w:ascii="Wingdings" w:hAnsi="Wingdings" w:hint="default"/>
      </w:rPr>
    </w:lvl>
    <w:lvl w:ilvl="2">
      <w:start w:val="1"/>
      <w:numFmt w:val="none"/>
      <w:lvlText w:val="-"/>
      <w:lvlJc w:val="left"/>
      <w:pPr>
        <w:ind w:left="1778" w:hanging="426"/>
      </w:pPr>
      <w:rPr>
        <w:rFonts w:hint="default"/>
      </w:rPr>
    </w:lvl>
    <w:lvl w:ilvl="3">
      <w:start w:val="1"/>
      <w:numFmt w:val="lowerRoman"/>
      <w:lvlRestart w:val="1"/>
      <w:lvlText w:val="%4."/>
      <w:lvlJc w:val="left"/>
      <w:pPr>
        <w:ind w:left="1352" w:hanging="425"/>
      </w:pPr>
      <w:rPr>
        <w:rFonts w:hint="default"/>
      </w:rPr>
    </w:lvl>
    <w:lvl w:ilvl="4">
      <w:start w:val="1"/>
      <w:numFmt w:val="lowerLetter"/>
      <w:lvlRestart w:val="1"/>
      <w:lvlText w:val="%5."/>
      <w:lvlJc w:val="left"/>
      <w:pPr>
        <w:ind w:left="1352" w:hanging="425"/>
      </w:pPr>
      <w:rPr>
        <w:rFonts w:hint="default"/>
      </w:rPr>
    </w:lvl>
    <w:lvl w:ilvl="5">
      <w:start w:val="1"/>
      <w:numFmt w:val="lowerRoman"/>
      <w:lvlText w:val="%6."/>
      <w:lvlJc w:val="left"/>
      <w:pPr>
        <w:ind w:left="1778" w:hanging="426"/>
      </w:pPr>
      <w:rPr>
        <w:rFonts w:hint="default"/>
      </w:rPr>
    </w:lvl>
    <w:lvl w:ilvl="6">
      <w:start w:val="1"/>
      <w:numFmt w:val="decimal"/>
      <w:lvlRestart w:val="5"/>
      <w:lvlText w:val="%7."/>
      <w:lvlJc w:val="left"/>
      <w:pPr>
        <w:ind w:left="1778" w:hanging="426"/>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239B3CB8"/>
    <w:multiLevelType w:val="multilevel"/>
    <w:tmpl w:val="277C2D30"/>
    <w:styleLink w:val="CEGHeadingStyl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upperLetter"/>
      <w:lvlRestart w:val="0"/>
      <w:pStyle w:val="Heading5"/>
      <w:lvlText w:val="Appendix %5."/>
      <w:lvlJc w:val="left"/>
      <w:pPr>
        <w:ind w:left="431" w:hanging="431"/>
      </w:pPr>
      <w:rPr>
        <w:rFonts w:hint="default"/>
      </w:rPr>
    </w:lvl>
    <w:lvl w:ilvl="5">
      <w:start w:val="1"/>
      <w:numFmt w:val="decimal"/>
      <w:pStyle w:val="Heading6"/>
      <w:lvlText w:val="%5.%6."/>
      <w:lvlJc w:val="left"/>
      <w:pPr>
        <w:ind w:left="578" w:hanging="578"/>
      </w:pPr>
      <w:rPr>
        <w:rFonts w:hint="default"/>
      </w:rPr>
    </w:lvl>
    <w:lvl w:ilvl="6">
      <w:start w:val="1"/>
      <w:numFmt w:val="decimal"/>
      <w:pStyle w:val="Heading7"/>
      <w:lvlText w:val="%5.%6.%7."/>
      <w:lvlJc w:val="left"/>
      <w:pPr>
        <w:ind w:left="720" w:hanging="720"/>
      </w:pPr>
      <w:rPr>
        <w:rFonts w:hint="default"/>
      </w:rPr>
    </w:lvl>
    <w:lvl w:ilvl="7">
      <w:start w:val="1"/>
      <w:numFmt w:val="decimal"/>
      <w:pStyle w:val="Heading8"/>
      <w:lvlText w:val="%5.%6.%7.%8."/>
      <w:lvlJc w:val="left"/>
      <w:pPr>
        <w:ind w:left="862" w:hanging="862"/>
      </w:pPr>
      <w:rPr>
        <w:rFonts w:hint="default"/>
      </w:rPr>
    </w:lvl>
    <w:lvl w:ilvl="8">
      <w:start w:val="1"/>
      <w:numFmt w:val="decimal"/>
      <w:lvlText w:val="%1.%2.%3.%4.%5.%6.%7.%8.%9."/>
      <w:lvlJc w:val="left"/>
      <w:pPr>
        <w:ind w:left="1584" w:hanging="1584"/>
      </w:pPr>
      <w:rPr>
        <w:rFonts w:hint="default"/>
      </w:rPr>
    </w:lvl>
  </w:abstractNum>
  <w:abstractNum w:abstractNumId="6">
    <w:nsid w:val="263D21B0"/>
    <w:multiLevelType w:val="multilevel"/>
    <w:tmpl w:val="48E4CBF2"/>
    <w:lvl w:ilvl="0">
      <w:start w:val="1"/>
      <w:numFmt w:val="decimal"/>
      <w:pStyle w:val="BodyText"/>
      <w:lvlText w:val="%1."/>
      <w:lvlJc w:val="left"/>
      <w:pPr>
        <w:ind w:left="567" w:hanging="567"/>
      </w:pPr>
      <w:rPr>
        <w:rFonts w:hint="default"/>
      </w:rPr>
    </w:lvl>
    <w:lvl w:ilvl="1">
      <w:start w:val="1"/>
      <w:numFmt w:val="bullet"/>
      <w:pStyle w:val="ListBullet"/>
      <w:lvlText w:val=""/>
      <w:lvlJc w:val="left"/>
      <w:pPr>
        <w:ind w:left="992" w:hanging="425"/>
      </w:pPr>
      <w:rPr>
        <w:rFonts w:ascii="Wingdings" w:hAnsi="Wingdings" w:hint="default"/>
      </w:rPr>
    </w:lvl>
    <w:lvl w:ilvl="2">
      <w:start w:val="1"/>
      <w:numFmt w:val="none"/>
      <w:pStyle w:val="ListBullet2"/>
      <w:lvlText w:val="-"/>
      <w:lvlJc w:val="left"/>
      <w:pPr>
        <w:ind w:left="1418" w:hanging="426"/>
      </w:pPr>
      <w:rPr>
        <w:rFonts w:hint="default"/>
      </w:rPr>
    </w:lvl>
    <w:lvl w:ilvl="3">
      <w:start w:val="1"/>
      <w:numFmt w:val="lowerRoman"/>
      <w:lvlRestart w:val="1"/>
      <w:pStyle w:val="ListBullet3"/>
      <w:lvlText w:val="%4."/>
      <w:lvlJc w:val="left"/>
      <w:pPr>
        <w:ind w:left="992" w:hanging="425"/>
      </w:pPr>
      <w:rPr>
        <w:rFonts w:hint="default"/>
      </w:rPr>
    </w:lvl>
    <w:lvl w:ilvl="4">
      <w:start w:val="1"/>
      <w:numFmt w:val="lowerLetter"/>
      <w:lvlRestart w:val="1"/>
      <w:pStyle w:val="ListBullet4"/>
      <w:lvlText w:val="%5."/>
      <w:lvlJc w:val="left"/>
      <w:pPr>
        <w:ind w:left="992" w:hanging="425"/>
      </w:pPr>
      <w:rPr>
        <w:rFonts w:hint="default"/>
      </w:rPr>
    </w:lvl>
    <w:lvl w:ilvl="5">
      <w:start w:val="1"/>
      <w:numFmt w:val="lowerRoman"/>
      <w:pStyle w:val="ListBullet5"/>
      <w:lvlText w:val="%6."/>
      <w:lvlJc w:val="left"/>
      <w:pPr>
        <w:ind w:left="1418" w:hanging="426"/>
      </w:pPr>
      <w:rPr>
        <w:rFonts w:hint="default"/>
      </w:rPr>
    </w:lvl>
    <w:lvl w:ilvl="6">
      <w:start w:val="1"/>
      <w:numFmt w:val="decimal"/>
      <w:lvlRestart w:val="5"/>
      <w:pStyle w:val="ListBullet6"/>
      <w:lvlText w:val="%7."/>
      <w:lvlJc w:val="left"/>
      <w:pPr>
        <w:ind w:left="1418"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BD10B2E"/>
    <w:multiLevelType w:val="hybridMultilevel"/>
    <w:tmpl w:val="214CAA52"/>
    <w:lvl w:ilvl="0" w:tplc="CF1CDD4C">
      <w:start w:val="1"/>
      <w:numFmt w:val="lowerRoman"/>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7"/>
  </w:num>
  <w:num w:numId="5">
    <w:abstractNumId w:val="0"/>
  </w:num>
  <w:num w:numId="6">
    <w:abstractNumId w:val="2"/>
  </w:num>
  <w:num w:numId="7">
    <w:abstractNumId w:val="4"/>
  </w:num>
  <w:num w:numId="8">
    <w:abstractNumId w:val="6"/>
  </w:num>
  <w:num w:numId="9">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docVars>
    <w:docVar w:name="ASSOCID" w:val="58038570"/>
    <w:docVar w:name="BASEPRECID" w:val="58000434"/>
    <w:docVar w:name="BASEPRECTYPE" w:val="TENDER"/>
    <w:docVar w:name="CLIENTID" w:val="11565"/>
    <w:docVar w:name="COMPANYID" w:val="2122615469"/>
    <w:docVar w:name="DOCID" w:val="61253764"/>
    <w:docVar w:name="DOCIDEX" w:val=" "/>
    <w:docVar w:name="EDITION" w:val="FM"/>
    <w:docVar w:name="FILEID" w:val="58255765"/>
    <w:docVar w:name="SERIALNO" w:val="10839"/>
    <w:docVar w:name="VERSIONID" w:val="831474ab-4b8c-4c34-b451-87ae216b7d43"/>
    <w:docVar w:name="VERSIONLABEL" w:val="1"/>
  </w:docVars>
  <w:rsids>
    <w:rsidRoot w:val="003838EA"/>
    <w:rsid w:val="00004203"/>
    <w:rsid w:val="00005B2E"/>
    <w:rsid w:val="000147BA"/>
    <w:rsid w:val="00020D3B"/>
    <w:rsid w:val="00021AC9"/>
    <w:rsid w:val="000255E5"/>
    <w:rsid w:val="00040131"/>
    <w:rsid w:val="000464C2"/>
    <w:rsid w:val="00055D5C"/>
    <w:rsid w:val="00060062"/>
    <w:rsid w:val="000625F9"/>
    <w:rsid w:val="000658A2"/>
    <w:rsid w:val="00097FAE"/>
    <w:rsid w:val="000A1B0E"/>
    <w:rsid w:val="000A502E"/>
    <w:rsid w:val="000A631A"/>
    <w:rsid w:val="000A6C74"/>
    <w:rsid w:val="000D609B"/>
    <w:rsid w:val="000F1818"/>
    <w:rsid w:val="000F6253"/>
    <w:rsid w:val="000F6C3E"/>
    <w:rsid w:val="00100B1E"/>
    <w:rsid w:val="00114C79"/>
    <w:rsid w:val="001331B1"/>
    <w:rsid w:val="00137979"/>
    <w:rsid w:val="00147718"/>
    <w:rsid w:val="0015066A"/>
    <w:rsid w:val="0015097D"/>
    <w:rsid w:val="00151CC8"/>
    <w:rsid w:val="00152A6C"/>
    <w:rsid w:val="00160864"/>
    <w:rsid w:val="00161E36"/>
    <w:rsid w:val="001819C8"/>
    <w:rsid w:val="001A44FA"/>
    <w:rsid w:val="001B7AB1"/>
    <w:rsid w:val="001F2779"/>
    <w:rsid w:val="001F6090"/>
    <w:rsid w:val="0023288C"/>
    <w:rsid w:val="0024477F"/>
    <w:rsid w:val="00246E44"/>
    <w:rsid w:val="0025479C"/>
    <w:rsid w:val="002630B7"/>
    <w:rsid w:val="00265CA0"/>
    <w:rsid w:val="00282FD3"/>
    <w:rsid w:val="002853D1"/>
    <w:rsid w:val="0029114F"/>
    <w:rsid w:val="00297D3E"/>
    <w:rsid w:val="002B2208"/>
    <w:rsid w:val="002B392D"/>
    <w:rsid w:val="002B4A49"/>
    <w:rsid w:val="002B60CA"/>
    <w:rsid w:val="002B7AD6"/>
    <w:rsid w:val="002E2EC3"/>
    <w:rsid w:val="002E3827"/>
    <w:rsid w:val="002E72E1"/>
    <w:rsid w:val="002F3800"/>
    <w:rsid w:val="002F7ED6"/>
    <w:rsid w:val="00300864"/>
    <w:rsid w:val="00307097"/>
    <w:rsid w:val="003173C3"/>
    <w:rsid w:val="0032367F"/>
    <w:rsid w:val="00330039"/>
    <w:rsid w:val="003340BB"/>
    <w:rsid w:val="00341C3C"/>
    <w:rsid w:val="00342B3F"/>
    <w:rsid w:val="00366171"/>
    <w:rsid w:val="003701CE"/>
    <w:rsid w:val="00372E6B"/>
    <w:rsid w:val="00373508"/>
    <w:rsid w:val="00374CA5"/>
    <w:rsid w:val="00376C94"/>
    <w:rsid w:val="003838EA"/>
    <w:rsid w:val="00393941"/>
    <w:rsid w:val="003957B6"/>
    <w:rsid w:val="003A3546"/>
    <w:rsid w:val="003A76B6"/>
    <w:rsid w:val="003C4187"/>
    <w:rsid w:val="003D28C4"/>
    <w:rsid w:val="003D430D"/>
    <w:rsid w:val="003E3B45"/>
    <w:rsid w:val="003F1C16"/>
    <w:rsid w:val="004255F5"/>
    <w:rsid w:val="004337EE"/>
    <w:rsid w:val="004529BD"/>
    <w:rsid w:val="0045517F"/>
    <w:rsid w:val="0046031C"/>
    <w:rsid w:val="00476F1D"/>
    <w:rsid w:val="0048385B"/>
    <w:rsid w:val="00484ABD"/>
    <w:rsid w:val="0048543C"/>
    <w:rsid w:val="00487E7D"/>
    <w:rsid w:val="004B1BD6"/>
    <w:rsid w:val="004B65B5"/>
    <w:rsid w:val="004E03B3"/>
    <w:rsid w:val="004E09B1"/>
    <w:rsid w:val="004E1B17"/>
    <w:rsid w:val="004E1C70"/>
    <w:rsid w:val="004E2490"/>
    <w:rsid w:val="004E320F"/>
    <w:rsid w:val="005046C6"/>
    <w:rsid w:val="00505CD4"/>
    <w:rsid w:val="005101A0"/>
    <w:rsid w:val="00511B78"/>
    <w:rsid w:val="005213A1"/>
    <w:rsid w:val="00526779"/>
    <w:rsid w:val="00531A99"/>
    <w:rsid w:val="0053728B"/>
    <w:rsid w:val="00551CCA"/>
    <w:rsid w:val="005779BC"/>
    <w:rsid w:val="00577EF2"/>
    <w:rsid w:val="0059624A"/>
    <w:rsid w:val="005A05EB"/>
    <w:rsid w:val="005A294F"/>
    <w:rsid w:val="005B62CA"/>
    <w:rsid w:val="005B79A1"/>
    <w:rsid w:val="005C36A4"/>
    <w:rsid w:val="005D389F"/>
    <w:rsid w:val="005D5377"/>
    <w:rsid w:val="005F0832"/>
    <w:rsid w:val="0061573B"/>
    <w:rsid w:val="00617261"/>
    <w:rsid w:val="006225E0"/>
    <w:rsid w:val="00665727"/>
    <w:rsid w:val="00670206"/>
    <w:rsid w:val="00680316"/>
    <w:rsid w:val="0068232B"/>
    <w:rsid w:val="00683516"/>
    <w:rsid w:val="00692F2A"/>
    <w:rsid w:val="00693AC1"/>
    <w:rsid w:val="006B1F29"/>
    <w:rsid w:val="006B21C0"/>
    <w:rsid w:val="006D2E3B"/>
    <w:rsid w:val="006D47AB"/>
    <w:rsid w:val="006E0280"/>
    <w:rsid w:val="006E5288"/>
    <w:rsid w:val="006F2162"/>
    <w:rsid w:val="00704600"/>
    <w:rsid w:val="007203DC"/>
    <w:rsid w:val="00722C88"/>
    <w:rsid w:val="00726B4F"/>
    <w:rsid w:val="00727B48"/>
    <w:rsid w:val="00736C37"/>
    <w:rsid w:val="00737850"/>
    <w:rsid w:val="00740B18"/>
    <w:rsid w:val="007450F3"/>
    <w:rsid w:val="0074716A"/>
    <w:rsid w:val="00747272"/>
    <w:rsid w:val="00752A2D"/>
    <w:rsid w:val="00752B35"/>
    <w:rsid w:val="00765306"/>
    <w:rsid w:val="0076798D"/>
    <w:rsid w:val="007711D7"/>
    <w:rsid w:val="0078313C"/>
    <w:rsid w:val="007A2D5B"/>
    <w:rsid w:val="007A3303"/>
    <w:rsid w:val="007F247C"/>
    <w:rsid w:val="007F3FA4"/>
    <w:rsid w:val="007F6CB9"/>
    <w:rsid w:val="00802A70"/>
    <w:rsid w:val="00807745"/>
    <w:rsid w:val="008149E3"/>
    <w:rsid w:val="008320C5"/>
    <w:rsid w:val="0083259C"/>
    <w:rsid w:val="00836329"/>
    <w:rsid w:val="00841961"/>
    <w:rsid w:val="008437A3"/>
    <w:rsid w:val="008518C9"/>
    <w:rsid w:val="00861F63"/>
    <w:rsid w:val="008620C9"/>
    <w:rsid w:val="00865083"/>
    <w:rsid w:val="00867E45"/>
    <w:rsid w:val="008722EA"/>
    <w:rsid w:val="00872F30"/>
    <w:rsid w:val="00891B14"/>
    <w:rsid w:val="008957D8"/>
    <w:rsid w:val="00897C19"/>
    <w:rsid w:val="008A256D"/>
    <w:rsid w:val="008A7707"/>
    <w:rsid w:val="008B13E4"/>
    <w:rsid w:val="008B4F33"/>
    <w:rsid w:val="008D7D6E"/>
    <w:rsid w:val="008E101C"/>
    <w:rsid w:val="008F3ABC"/>
    <w:rsid w:val="009012B6"/>
    <w:rsid w:val="009021C2"/>
    <w:rsid w:val="00906A2E"/>
    <w:rsid w:val="00911B48"/>
    <w:rsid w:val="00911DD1"/>
    <w:rsid w:val="00912AE7"/>
    <w:rsid w:val="00931E56"/>
    <w:rsid w:val="0093260C"/>
    <w:rsid w:val="00935311"/>
    <w:rsid w:val="00940ED5"/>
    <w:rsid w:val="00941DCE"/>
    <w:rsid w:val="00944B3E"/>
    <w:rsid w:val="00945621"/>
    <w:rsid w:val="00953874"/>
    <w:rsid w:val="009549D7"/>
    <w:rsid w:val="0096293E"/>
    <w:rsid w:val="0097408A"/>
    <w:rsid w:val="009812CD"/>
    <w:rsid w:val="00983A60"/>
    <w:rsid w:val="00985153"/>
    <w:rsid w:val="00985444"/>
    <w:rsid w:val="009919D1"/>
    <w:rsid w:val="0099259E"/>
    <w:rsid w:val="009A7243"/>
    <w:rsid w:val="009B2400"/>
    <w:rsid w:val="009C356B"/>
    <w:rsid w:val="009D37C4"/>
    <w:rsid w:val="00A037AF"/>
    <w:rsid w:val="00A102D4"/>
    <w:rsid w:val="00A15E7C"/>
    <w:rsid w:val="00A17D24"/>
    <w:rsid w:val="00A218B9"/>
    <w:rsid w:val="00A255CE"/>
    <w:rsid w:val="00A33BE7"/>
    <w:rsid w:val="00A440E4"/>
    <w:rsid w:val="00A500E3"/>
    <w:rsid w:val="00A626DF"/>
    <w:rsid w:val="00A62B4A"/>
    <w:rsid w:val="00A677FC"/>
    <w:rsid w:val="00A87B5B"/>
    <w:rsid w:val="00A926A7"/>
    <w:rsid w:val="00A93DB7"/>
    <w:rsid w:val="00A95B19"/>
    <w:rsid w:val="00A962DE"/>
    <w:rsid w:val="00A96991"/>
    <w:rsid w:val="00AA2B2F"/>
    <w:rsid w:val="00AC0F81"/>
    <w:rsid w:val="00AC17B7"/>
    <w:rsid w:val="00AC55D0"/>
    <w:rsid w:val="00AD626D"/>
    <w:rsid w:val="00B0077B"/>
    <w:rsid w:val="00B03092"/>
    <w:rsid w:val="00B060CB"/>
    <w:rsid w:val="00B233BF"/>
    <w:rsid w:val="00B23CCF"/>
    <w:rsid w:val="00B25A86"/>
    <w:rsid w:val="00B271B1"/>
    <w:rsid w:val="00B2769F"/>
    <w:rsid w:val="00B42750"/>
    <w:rsid w:val="00B42B3C"/>
    <w:rsid w:val="00B46AC5"/>
    <w:rsid w:val="00B64EA8"/>
    <w:rsid w:val="00B66D52"/>
    <w:rsid w:val="00B6716F"/>
    <w:rsid w:val="00B675CF"/>
    <w:rsid w:val="00B75951"/>
    <w:rsid w:val="00B96C49"/>
    <w:rsid w:val="00BA55AB"/>
    <w:rsid w:val="00BA5F1D"/>
    <w:rsid w:val="00BA659A"/>
    <w:rsid w:val="00BB6D0A"/>
    <w:rsid w:val="00BD44BB"/>
    <w:rsid w:val="00BE0533"/>
    <w:rsid w:val="00BE6CEE"/>
    <w:rsid w:val="00BF6FBE"/>
    <w:rsid w:val="00C12474"/>
    <w:rsid w:val="00C1560E"/>
    <w:rsid w:val="00C26622"/>
    <w:rsid w:val="00C350A2"/>
    <w:rsid w:val="00C41689"/>
    <w:rsid w:val="00C47249"/>
    <w:rsid w:val="00C56B48"/>
    <w:rsid w:val="00C63EC6"/>
    <w:rsid w:val="00C6447F"/>
    <w:rsid w:val="00C72D07"/>
    <w:rsid w:val="00C76DF7"/>
    <w:rsid w:val="00C80F00"/>
    <w:rsid w:val="00C90B0B"/>
    <w:rsid w:val="00C93FF8"/>
    <w:rsid w:val="00CA61BA"/>
    <w:rsid w:val="00CC20CB"/>
    <w:rsid w:val="00CD4BE1"/>
    <w:rsid w:val="00CD655B"/>
    <w:rsid w:val="00CE75E4"/>
    <w:rsid w:val="00CF1747"/>
    <w:rsid w:val="00CF3D70"/>
    <w:rsid w:val="00D11078"/>
    <w:rsid w:val="00D14D4A"/>
    <w:rsid w:val="00D27D93"/>
    <w:rsid w:val="00D3552C"/>
    <w:rsid w:val="00D36B72"/>
    <w:rsid w:val="00D40766"/>
    <w:rsid w:val="00D474FC"/>
    <w:rsid w:val="00D5109B"/>
    <w:rsid w:val="00D64E50"/>
    <w:rsid w:val="00D67D6C"/>
    <w:rsid w:val="00D70E73"/>
    <w:rsid w:val="00D72CE7"/>
    <w:rsid w:val="00D73B21"/>
    <w:rsid w:val="00D94F52"/>
    <w:rsid w:val="00D97B17"/>
    <w:rsid w:val="00DA0C58"/>
    <w:rsid w:val="00DC0091"/>
    <w:rsid w:val="00DC1452"/>
    <w:rsid w:val="00DC295D"/>
    <w:rsid w:val="00DD00D8"/>
    <w:rsid w:val="00DD0CFD"/>
    <w:rsid w:val="00DE0E25"/>
    <w:rsid w:val="00DE63F9"/>
    <w:rsid w:val="00DF54E6"/>
    <w:rsid w:val="00E37965"/>
    <w:rsid w:val="00E41221"/>
    <w:rsid w:val="00E51B95"/>
    <w:rsid w:val="00E62A55"/>
    <w:rsid w:val="00E65F48"/>
    <w:rsid w:val="00E66F6F"/>
    <w:rsid w:val="00E721FE"/>
    <w:rsid w:val="00E7315F"/>
    <w:rsid w:val="00E766BF"/>
    <w:rsid w:val="00E94C8F"/>
    <w:rsid w:val="00EA2FD9"/>
    <w:rsid w:val="00EB35C5"/>
    <w:rsid w:val="00EC1404"/>
    <w:rsid w:val="00EC1B65"/>
    <w:rsid w:val="00ED3891"/>
    <w:rsid w:val="00ED62EA"/>
    <w:rsid w:val="00EF3B57"/>
    <w:rsid w:val="00F07295"/>
    <w:rsid w:val="00F0762B"/>
    <w:rsid w:val="00F1206C"/>
    <w:rsid w:val="00F21378"/>
    <w:rsid w:val="00F22484"/>
    <w:rsid w:val="00F23A54"/>
    <w:rsid w:val="00F34058"/>
    <w:rsid w:val="00F51302"/>
    <w:rsid w:val="00F6078E"/>
    <w:rsid w:val="00F614CF"/>
    <w:rsid w:val="00F74531"/>
    <w:rsid w:val="00F80014"/>
    <w:rsid w:val="00F8193F"/>
    <w:rsid w:val="00F90777"/>
    <w:rsid w:val="00FB096F"/>
    <w:rsid w:val="00FC1ACE"/>
    <w:rsid w:val="00FC54A0"/>
    <w:rsid w:val="00FC6E1B"/>
    <w:rsid w:val="00FE0689"/>
    <w:rsid w:val="00FE3D56"/>
    <w:rsid w:val="00FF098F"/>
    <w:rsid w:val="00FF155B"/>
    <w:rsid w:val="00FF4549"/>
    <w:rsid w:val="00FF79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List Bullet 2" w:uiPriority="99"/>
    <w:lsdException w:name="List Bullet 3" w:uiPriority="99"/>
    <w:lsdException w:name="List Bullet 4" w:uiPriority="99"/>
    <w:lsdException w:name="List Bullet 5" w:uiPriority="99"/>
    <w:lsdException w:name="Title" w:qFormat="1"/>
    <w:lsdException w:name="Body Text"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572"/>
    <w:pPr>
      <w:spacing w:before="240" w:after="200"/>
      <w:ind w:hanging="737"/>
      <w:jc w:val="both"/>
    </w:pPr>
    <w:rPr>
      <w:sz w:val="22"/>
      <w:szCs w:val="22"/>
      <w:lang w:eastAsia="en-US"/>
    </w:rPr>
  </w:style>
  <w:style w:type="paragraph" w:styleId="Heading1">
    <w:name w:val="heading 1"/>
    <w:next w:val="BodyText"/>
    <w:link w:val="Heading1Char"/>
    <w:uiPriority w:val="9"/>
    <w:qFormat/>
    <w:rsid w:val="002B7AD6"/>
    <w:pPr>
      <w:keepNext/>
      <w:keepLines/>
      <w:numPr>
        <w:numId w:val="9"/>
      </w:numPr>
      <w:spacing w:before="300" w:after="300"/>
      <w:outlineLvl w:val="0"/>
    </w:pPr>
    <w:rPr>
      <w:rFonts w:ascii="Arial Bold" w:eastAsia="Times New Roman" w:hAnsi="Arial Bold"/>
      <w:b/>
      <w:bCs/>
      <w:color w:val="000080"/>
      <w:sz w:val="32"/>
      <w:szCs w:val="28"/>
    </w:rPr>
  </w:style>
  <w:style w:type="paragraph" w:styleId="Heading2">
    <w:name w:val="heading 2"/>
    <w:basedOn w:val="Heading1"/>
    <w:next w:val="BodyText"/>
    <w:link w:val="Heading2Char"/>
    <w:uiPriority w:val="9"/>
    <w:qFormat/>
    <w:rsid w:val="002B7AD6"/>
    <w:pPr>
      <w:numPr>
        <w:ilvl w:val="1"/>
      </w:numPr>
      <w:outlineLvl w:val="1"/>
    </w:pPr>
    <w:rPr>
      <w:bCs w:val="0"/>
      <w:sz w:val="22"/>
      <w:szCs w:val="26"/>
    </w:rPr>
  </w:style>
  <w:style w:type="paragraph" w:styleId="Heading3">
    <w:name w:val="heading 3"/>
    <w:basedOn w:val="Heading2"/>
    <w:next w:val="BodyText"/>
    <w:link w:val="Heading3Char"/>
    <w:uiPriority w:val="9"/>
    <w:qFormat/>
    <w:rsid w:val="002B7AD6"/>
    <w:pPr>
      <w:numPr>
        <w:ilvl w:val="2"/>
      </w:numPr>
      <w:outlineLvl w:val="2"/>
    </w:pPr>
    <w:rPr>
      <w:rFonts w:ascii="Arial" w:hAnsi="Arial"/>
      <w:b w:val="0"/>
      <w:bCs/>
    </w:rPr>
  </w:style>
  <w:style w:type="paragraph" w:styleId="Heading4">
    <w:name w:val="heading 4"/>
    <w:basedOn w:val="Heading3"/>
    <w:next w:val="BodyText"/>
    <w:link w:val="Heading4Char"/>
    <w:uiPriority w:val="9"/>
    <w:qFormat/>
    <w:rsid w:val="002B7AD6"/>
    <w:pPr>
      <w:numPr>
        <w:ilvl w:val="3"/>
      </w:numPr>
      <w:outlineLvl w:val="3"/>
    </w:pPr>
    <w:rPr>
      <w:bCs w:val="0"/>
      <w:i/>
      <w:iCs/>
      <w:color w:val="auto"/>
    </w:rPr>
  </w:style>
  <w:style w:type="paragraph" w:styleId="Heading5">
    <w:name w:val="heading 5"/>
    <w:aliases w:val="Appendix 1"/>
    <w:basedOn w:val="Normal"/>
    <w:next w:val="BodyText"/>
    <w:link w:val="Heading5Char"/>
    <w:uiPriority w:val="9"/>
    <w:qFormat/>
    <w:rsid w:val="002B7AD6"/>
    <w:pPr>
      <w:keepNext/>
      <w:keepLines/>
      <w:numPr>
        <w:ilvl w:val="4"/>
        <w:numId w:val="9"/>
      </w:numPr>
      <w:spacing w:before="300" w:after="300"/>
      <w:jc w:val="left"/>
      <w:outlineLvl w:val="4"/>
    </w:pPr>
    <w:rPr>
      <w:rFonts w:ascii="Arial Bold" w:eastAsia="Times New Roman" w:hAnsi="Arial Bold"/>
      <w:color w:val="000080"/>
      <w:sz w:val="32"/>
      <w:lang w:eastAsia="en-AU"/>
    </w:rPr>
  </w:style>
  <w:style w:type="paragraph" w:styleId="Heading6">
    <w:name w:val="heading 6"/>
    <w:aliases w:val="Appendix 2"/>
    <w:basedOn w:val="Normal"/>
    <w:next w:val="BodyText"/>
    <w:link w:val="Heading6Char"/>
    <w:uiPriority w:val="9"/>
    <w:qFormat/>
    <w:rsid w:val="002B7AD6"/>
    <w:pPr>
      <w:keepNext/>
      <w:keepLines/>
      <w:numPr>
        <w:ilvl w:val="5"/>
        <w:numId w:val="9"/>
      </w:numPr>
      <w:spacing w:before="300" w:after="300"/>
      <w:jc w:val="left"/>
      <w:outlineLvl w:val="5"/>
    </w:pPr>
    <w:rPr>
      <w:rFonts w:ascii="Arial Bold" w:eastAsia="Times New Roman" w:hAnsi="Arial Bold"/>
      <w:iCs/>
      <w:color w:val="000080"/>
      <w:lang w:eastAsia="en-AU"/>
    </w:rPr>
  </w:style>
  <w:style w:type="paragraph" w:styleId="Heading7">
    <w:name w:val="heading 7"/>
    <w:aliases w:val="Appendix 3"/>
    <w:basedOn w:val="Normal"/>
    <w:next w:val="BodyText"/>
    <w:link w:val="Heading7Char"/>
    <w:uiPriority w:val="9"/>
    <w:qFormat/>
    <w:rsid w:val="002B7AD6"/>
    <w:pPr>
      <w:keepNext/>
      <w:keepLines/>
      <w:numPr>
        <w:ilvl w:val="6"/>
        <w:numId w:val="9"/>
      </w:numPr>
      <w:spacing w:before="300" w:after="300"/>
      <w:jc w:val="left"/>
      <w:outlineLvl w:val="6"/>
    </w:pPr>
    <w:rPr>
      <w:rFonts w:ascii="Arial" w:eastAsia="Times New Roman" w:hAnsi="Arial"/>
      <w:iCs/>
      <w:color w:val="000080"/>
      <w:lang w:eastAsia="en-AU"/>
    </w:rPr>
  </w:style>
  <w:style w:type="paragraph" w:styleId="Heading8">
    <w:name w:val="heading 8"/>
    <w:aliases w:val="Appendix 4"/>
    <w:basedOn w:val="Normal"/>
    <w:next w:val="BodyText"/>
    <w:link w:val="Heading8Char"/>
    <w:uiPriority w:val="9"/>
    <w:qFormat/>
    <w:rsid w:val="002B7AD6"/>
    <w:pPr>
      <w:keepNext/>
      <w:keepLines/>
      <w:numPr>
        <w:ilvl w:val="7"/>
        <w:numId w:val="9"/>
      </w:numPr>
      <w:spacing w:before="300" w:after="300"/>
      <w:jc w:val="left"/>
      <w:outlineLvl w:val="7"/>
    </w:pPr>
    <w:rPr>
      <w:rFonts w:ascii="Arial" w:eastAsia="Times New Roman" w:hAnsi="Arial"/>
      <w:i/>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NECG) Footnote Text"/>
    <w:basedOn w:val="Normal"/>
    <w:link w:val="FootnoteTextChar"/>
    <w:uiPriority w:val="99"/>
    <w:unhideWhenUsed/>
    <w:qFormat/>
    <w:rsid w:val="00C7038F"/>
    <w:rPr>
      <w:sz w:val="20"/>
      <w:szCs w:val="20"/>
    </w:rPr>
  </w:style>
  <w:style w:type="character" w:customStyle="1" w:styleId="FootnoteTextChar">
    <w:name w:val="Footnote Text Char"/>
    <w:aliases w:val="Footnote Text Char1 Char Char1,Footnote Text Char Char Char Char1,Footnote Text Char2 Char Char Char Char1,ALTS FOOTNOTE Char2 Char Char Char Char1,Footnote Text Char1 Char1 Char Char Char Char1,(NECG) Footnote Text Char1"/>
    <w:basedOn w:val="DefaultParagraphFont"/>
    <w:link w:val="FootnoteText"/>
    <w:uiPriority w:val="99"/>
    <w:rsid w:val="00C7038F"/>
    <w:rPr>
      <w:lang w:eastAsia="en-US"/>
    </w:rPr>
  </w:style>
  <w:style w:type="character" w:styleId="FootnoteReference">
    <w:name w:val="footnote reference"/>
    <w:aliases w:val="(NECG) Footnote Reference,SFG_Footnote_Reference"/>
    <w:basedOn w:val="DefaultParagraphFont"/>
    <w:uiPriority w:val="99"/>
    <w:unhideWhenUsed/>
    <w:rsid w:val="00C7038F"/>
    <w:rPr>
      <w:vertAlign w:val="superscript"/>
    </w:rPr>
  </w:style>
  <w:style w:type="paragraph" w:styleId="BalloonText">
    <w:name w:val="Balloon Text"/>
    <w:basedOn w:val="Normal"/>
    <w:link w:val="BalloonTextChar"/>
    <w:rsid w:val="009F4F03"/>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4F03"/>
    <w:rPr>
      <w:rFonts w:ascii="Tahoma" w:hAnsi="Tahoma" w:cs="Tahoma"/>
      <w:sz w:val="16"/>
      <w:szCs w:val="16"/>
      <w:lang w:eastAsia="en-US"/>
    </w:rPr>
  </w:style>
  <w:style w:type="paragraph" w:styleId="Header">
    <w:name w:val="header"/>
    <w:basedOn w:val="Normal"/>
    <w:link w:val="HeaderChar"/>
    <w:rsid w:val="00264CA4"/>
    <w:pPr>
      <w:tabs>
        <w:tab w:val="center" w:pos="4320"/>
        <w:tab w:val="right" w:pos="8640"/>
      </w:tabs>
    </w:pPr>
  </w:style>
  <w:style w:type="character" w:customStyle="1" w:styleId="HeaderChar">
    <w:name w:val="Header Char"/>
    <w:basedOn w:val="DefaultParagraphFont"/>
    <w:link w:val="Header"/>
    <w:rsid w:val="00264CA4"/>
    <w:rPr>
      <w:sz w:val="22"/>
      <w:szCs w:val="22"/>
    </w:rPr>
  </w:style>
  <w:style w:type="character" w:styleId="PageNumber">
    <w:name w:val="page number"/>
    <w:basedOn w:val="DefaultParagraphFont"/>
    <w:rsid w:val="00264CA4"/>
  </w:style>
  <w:style w:type="character" w:customStyle="1" w:styleId="FootnoteTextChar1">
    <w:name w:val="Footnote Text Char1"/>
    <w:aliases w:val="Footnote Text Char1 Char Char,Footnote Text Char Char Char Char,Footnote Text Char2 Char Char Char Char,ALTS FOOTNOTE Char2 Char Char Char Char,Footnote Text Char1 Char1 Char Char Char Char,(NECG) Footnote Text Char"/>
    <w:basedOn w:val="DefaultParagraphFont"/>
    <w:rsid w:val="009812CD"/>
    <w:rPr>
      <w:rFonts w:eastAsia="MS Mincho"/>
      <w:sz w:val="18"/>
      <w:lang w:val="en-AU" w:eastAsia="ja-JP" w:bidi="ar-SA"/>
    </w:rPr>
  </w:style>
  <w:style w:type="paragraph" w:styleId="ListParagraph">
    <w:name w:val="List Paragraph"/>
    <w:basedOn w:val="Normal"/>
    <w:uiPriority w:val="34"/>
    <w:qFormat/>
    <w:rsid w:val="00941DCE"/>
    <w:pPr>
      <w:spacing w:before="0" w:after="0"/>
      <w:ind w:left="720" w:firstLine="0"/>
      <w:jc w:val="left"/>
    </w:pPr>
    <w:rPr>
      <w:rFonts w:ascii="Times New Roman" w:hAnsi="Times New Roman"/>
      <w:sz w:val="24"/>
      <w:szCs w:val="24"/>
      <w:lang w:eastAsia="en-AU"/>
    </w:rPr>
  </w:style>
  <w:style w:type="paragraph" w:customStyle="1" w:styleId="Default">
    <w:name w:val="Default"/>
    <w:rsid w:val="00B271B1"/>
    <w:pPr>
      <w:autoSpaceDE w:val="0"/>
      <w:autoSpaceDN w:val="0"/>
      <w:adjustRightInd w:val="0"/>
    </w:pPr>
    <w:rPr>
      <w:rFonts w:ascii="Times New Roman" w:hAnsi="Times New Roman"/>
      <w:color w:val="000000"/>
      <w:sz w:val="24"/>
      <w:szCs w:val="24"/>
    </w:rPr>
  </w:style>
  <w:style w:type="paragraph" w:styleId="Title">
    <w:name w:val="Title"/>
    <w:basedOn w:val="Normal"/>
    <w:next w:val="Subtitle"/>
    <w:link w:val="TitleChar"/>
    <w:qFormat/>
    <w:rsid w:val="00D72CE7"/>
    <w:pPr>
      <w:spacing w:before="0" w:after="240"/>
      <w:ind w:firstLine="0"/>
    </w:pPr>
    <w:rPr>
      <w:rFonts w:ascii="Century Gothic" w:eastAsia="Times New Roman" w:hAnsi="Century Gothic" w:cs="Arial"/>
      <w:b/>
      <w:bCs/>
      <w:color w:val="5C2946"/>
      <w:kern w:val="28"/>
      <w:sz w:val="40"/>
      <w:szCs w:val="32"/>
    </w:rPr>
  </w:style>
  <w:style w:type="character" w:customStyle="1" w:styleId="TitleChar">
    <w:name w:val="Title Char"/>
    <w:basedOn w:val="DefaultParagraphFont"/>
    <w:link w:val="Title"/>
    <w:rsid w:val="00D72CE7"/>
    <w:rPr>
      <w:rFonts w:ascii="Century Gothic" w:eastAsia="Times New Roman" w:hAnsi="Century Gothic" w:cs="Arial"/>
      <w:b/>
      <w:bCs/>
      <w:color w:val="5C2946"/>
      <w:kern w:val="28"/>
      <w:sz w:val="40"/>
      <w:szCs w:val="32"/>
      <w:lang w:eastAsia="en-US"/>
    </w:rPr>
  </w:style>
  <w:style w:type="paragraph" w:styleId="Subtitle">
    <w:name w:val="Subtitle"/>
    <w:basedOn w:val="Normal"/>
    <w:next w:val="Normal"/>
    <w:link w:val="SubtitleChar"/>
    <w:qFormat/>
    <w:rsid w:val="00D72CE7"/>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72CE7"/>
    <w:rPr>
      <w:rFonts w:ascii="Cambria" w:eastAsia="Times New Roman" w:hAnsi="Cambria" w:cs="Times New Roman"/>
      <w:sz w:val="24"/>
      <w:szCs w:val="24"/>
      <w:lang w:eastAsia="en-US"/>
    </w:rPr>
  </w:style>
  <w:style w:type="character" w:styleId="Hyperlink">
    <w:name w:val="Hyperlink"/>
    <w:basedOn w:val="DefaultParagraphFont"/>
    <w:uiPriority w:val="99"/>
    <w:unhideWhenUsed/>
    <w:rsid w:val="004E1C70"/>
    <w:rPr>
      <w:color w:val="003899"/>
      <w:u w:val="single"/>
    </w:rPr>
  </w:style>
  <w:style w:type="character" w:customStyle="1" w:styleId="itxtrst">
    <w:name w:val="itxtrst"/>
    <w:basedOn w:val="DefaultParagraphFont"/>
    <w:rsid w:val="00BA5F1D"/>
  </w:style>
  <w:style w:type="paragraph" w:styleId="BodyText">
    <w:name w:val="Body Text"/>
    <w:basedOn w:val="ListParagraph"/>
    <w:link w:val="BodyTextChar"/>
    <w:uiPriority w:val="99"/>
    <w:unhideWhenUsed/>
    <w:qFormat/>
    <w:rsid w:val="005B62CA"/>
    <w:pPr>
      <w:numPr>
        <w:numId w:val="2"/>
      </w:numPr>
      <w:spacing w:before="300" w:after="300"/>
      <w:jc w:val="both"/>
    </w:pPr>
    <w:rPr>
      <w:rFonts w:ascii="Arial" w:eastAsia="Times New Roman" w:hAnsi="Arial"/>
      <w:sz w:val="22"/>
      <w:szCs w:val="22"/>
    </w:rPr>
  </w:style>
  <w:style w:type="character" w:customStyle="1" w:styleId="BodyTextChar">
    <w:name w:val="Body Text Char"/>
    <w:basedOn w:val="DefaultParagraphFont"/>
    <w:link w:val="BodyText"/>
    <w:uiPriority w:val="99"/>
    <w:rsid w:val="005B62CA"/>
    <w:rPr>
      <w:rFonts w:ascii="Arial" w:eastAsia="Times New Roman" w:hAnsi="Arial"/>
      <w:sz w:val="22"/>
      <w:szCs w:val="22"/>
    </w:rPr>
  </w:style>
  <w:style w:type="paragraph" w:styleId="ListBullet">
    <w:name w:val="List Bullet"/>
    <w:basedOn w:val="BodyText"/>
    <w:unhideWhenUsed/>
    <w:rsid w:val="005B62CA"/>
    <w:pPr>
      <w:numPr>
        <w:ilvl w:val="1"/>
      </w:numPr>
      <w:tabs>
        <w:tab w:val="left" w:pos="992"/>
      </w:tabs>
      <w:spacing w:before="0" w:after="120"/>
    </w:pPr>
  </w:style>
  <w:style w:type="paragraph" w:styleId="ListBullet2">
    <w:name w:val="List Bullet 2"/>
    <w:basedOn w:val="ListBullet"/>
    <w:uiPriority w:val="99"/>
    <w:unhideWhenUsed/>
    <w:rsid w:val="005B62CA"/>
    <w:pPr>
      <w:numPr>
        <w:ilvl w:val="2"/>
      </w:numPr>
      <w:tabs>
        <w:tab w:val="clear" w:pos="992"/>
        <w:tab w:val="left" w:pos="1418"/>
      </w:tabs>
    </w:pPr>
  </w:style>
  <w:style w:type="paragraph" w:styleId="ListBullet3">
    <w:name w:val="List Bullet 3"/>
    <w:basedOn w:val="ListBullet"/>
    <w:uiPriority w:val="99"/>
    <w:unhideWhenUsed/>
    <w:rsid w:val="005B62CA"/>
    <w:pPr>
      <w:numPr>
        <w:ilvl w:val="3"/>
      </w:numPr>
    </w:pPr>
  </w:style>
  <w:style w:type="paragraph" w:styleId="ListBullet4">
    <w:name w:val="List Bullet 4"/>
    <w:basedOn w:val="ListBullet"/>
    <w:uiPriority w:val="99"/>
    <w:unhideWhenUsed/>
    <w:rsid w:val="005B62CA"/>
    <w:pPr>
      <w:numPr>
        <w:ilvl w:val="4"/>
      </w:numPr>
    </w:pPr>
  </w:style>
  <w:style w:type="paragraph" w:styleId="ListBullet5">
    <w:name w:val="List Bullet 5"/>
    <w:basedOn w:val="ListBullet2"/>
    <w:uiPriority w:val="99"/>
    <w:unhideWhenUsed/>
    <w:rsid w:val="005B62CA"/>
    <w:pPr>
      <w:numPr>
        <w:ilvl w:val="5"/>
      </w:numPr>
    </w:pPr>
  </w:style>
  <w:style w:type="paragraph" w:customStyle="1" w:styleId="ListBullet6">
    <w:name w:val="List Bullet 6"/>
    <w:basedOn w:val="ListBullet2"/>
    <w:rsid w:val="005B62CA"/>
    <w:pPr>
      <w:numPr>
        <w:ilvl w:val="6"/>
      </w:numPr>
    </w:pPr>
  </w:style>
  <w:style w:type="paragraph" w:styleId="Footer">
    <w:name w:val="footer"/>
    <w:basedOn w:val="Normal"/>
    <w:rsid w:val="00005B2E"/>
    <w:pPr>
      <w:tabs>
        <w:tab w:val="center" w:pos="4153"/>
        <w:tab w:val="right" w:pos="8306"/>
      </w:tabs>
    </w:pPr>
  </w:style>
  <w:style w:type="character" w:customStyle="1" w:styleId="Heading1Char">
    <w:name w:val="Heading 1 Char"/>
    <w:basedOn w:val="DefaultParagraphFont"/>
    <w:link w:val="Heading1"/>
    <w:uiPriority w:val="9"/>
    <w:rsid w:val="002B7AD6"/>
    <w:rPr>
      <w:rFonts w:ascii="Arial Bold" w:eastAsia="Times New Roman" w:hAnsi="Arial Bold"/>
      <w:b/>
      <w:bCs/>
      <w:color w:val="000080"/>
      <w:sz w:val="32"/>
      <w:szCs w:val="28"/>
    </w:rPr>
  </w:style>
  <w:style w:type="character" w:customStyle="1" w:styleId="Heading2Char">
    <w:name w:val="Heading 2 Char"/>
    <w:basedOn w:val="DefaultParagraphFont"/>
    <w:link w:val="Heading2"/>
    <w:uiPriority w:val="9"/>
    <w:rsid w:val="002B7AD6"/>
    <w:rPr>
      <w:rFonts w:ascii="Arial Bold" w:eastAsia="Times New Roman" w:hAnsi="Arial Bold"/>
      <w:b/>
      <w:color w:val="000080"/>
      <w:sz w:val="22"/>
      <w:szCs w:val="26"/>
    </w:rPr>
  </w:style>
  <w:style w:type="character" w:customStyle="1" w:styleId="Heading3Char">
    <w:name w:val="Heading 3 Char"/>
    <w:basedOn w:val="DefaultParagraphFont"/>
    <w:link w:val="Heading3"/>
    <w:uiPriority w:val="9"/>
    <w:rsid w:val="002B7AD6"/>
    <w:rPr>
      <w:rFonts w:ascii="Arial" w:eastAsia="Times New Roman" w:hAnsi="Arial"/>
      <w:bCs/>
      <w:color w:val="000080"/>
      <w:sz w:val="22"/>
      <w:szCs w:val="26"/>
    </w:rPr>
  </w:style>
  <w:style w:type="character" w:customStyle="1" w:styleId="Heading4Char">
    <w:name w:val="Heading 4 Char"/>
    <w:basedOn w:val="DefaultParagraphFont"/>
    <w:link w:val="Heading4"/>
    <w:uiPriority w:val="9"/>
    <w:rsid w:val="002B7AD6"/>
    <w:rPr>
      <w:rFonts w:ascii="Arial" w:eastAsia="Times New Roman" w:hAnsi="Arial"/>
      <w:i/>
      <w:iCs/>
      <w:sz w:val="22"/>
      <w:szCs w:val="26"/>
    </w:rPr>
  </w:style>
  <w:style w:type="character" w:customStyle="1" w:styleId="Heading5Char">
    <w:name w:val="Heading 5 Char"/>
    <w:aliases w:val="Appendix 1 Char"/>
    <w:basedOn w:val="DefaultParagraphFont"/>
    <w:link w:val="Heading5"/>
    <w:uiPriority w:val="9"/>
    <w:rsid w:val="002B7AD6"/>
    <w:rPr>
      <w:rFonts w:ascii="Arial Bold" w:eastAsia="Times New Roman" w:hAnsi="Arial Bold"/>
      <w:color w:val="000080"/>
      <w:sz w:val="32"/>
      <w:szCs w:val="22"/>
    </w:rPr>
  </w:style>
  <w:style w:type="character" w:customStyle="1" w:styleId="Heading6Char">
    <w:name w:val="Heading 6 Char"/>
    <w:aliases w:val="Appendix 2 Char"/>
    <w:basedOn w:val="DefaultParagraphFont"/>
    <w:link w:val="Heading6"/>
    <w:uiPriority w:val="9"/>
    <w:rsid w:val="002B7AD6"/>
    <w:rPr>
      <w:rFonts w:ascii="Arial Bold" w:eastAsia="Times New Roman" w:hAnsi="Arial Bold"/>
      <w:iCs/>
      <w:color w:val="000080"/>
      <w:sz w:val="22"/>
      <w:szCs w:val="22"/>
    </w:rPr>
  </w:style>
  <w:style w:type="character" w:customStyle="1" w:styleId="Heading7Char">
    <w:name w:val="Heading 7 Char"/>
    <w:aliases w:val="Appendix 3 Char"/>
    <w:basedOn w:val="DefaultParagraphFont"/>
    <w:link w:val="Heading7"/>
    <w:uiPriority w:val="9"/>
    <w:rsid w:val="002B7AD6"/>
    <w:rPr>
      <w:rFonts w:ascii="Arial" w:eastAsia="Times New Roman" w:hAnsi="Arial"/>
      <w:iCs/>
      <w:color w:val="000080"/>
      <w:sz w:val="22"/>
      <w:szCs w:val="22"/>
    </w:rPr>
  </w:style>
  <w:style w:type="character" w:customStyle="1" w:styleId="Heading8Char">
    <w:name w:val="Heading 8 Char"/>
    <w:aliases w:val="Appendix 4 Char"/>
    <w:basedOn w:val="DefaultParagraphFont"/>
    <w:link w:val="Heading8"/>
    <w:uiPriority w:val="9"/>
    <w:rsid w:val="002B7AD6"/>
    <w:rPr>
      <w:rFonts w:ascii="Arial" w:eastAsia="Times New Roman" w:hAnsi="Arial"/>
      <w:i/>
      <w:sz w:val="22"/>
    </w:rPr>
  </w:style>
  <w:style w:type="numbering" w:customStyle="1" w:styleId="CEGHeadingStyle">
    <w:name w:val="CEG Heading Style"/>
    <w:uiPriority w:val="99"/>
    <w:rsid w:val="002B7AD6"/>
    <w:pPr>
      <w:numPr>
        <w:numId w:val="9"/>
      </w:numPr>
    </w:pPr>
  </w:style>
  <w:style w:type="paragraph" w:customStyle="1" w:styleId="CEGQuote">
    <w:name w:val="CEG_Quote"/>
    <w:basedOn w:val="BodyText"/>
    <w:next w:val="BodyText"/>
    <w:link w:val="CEGQuoteChar"/>
    <w:qFormat/>
    <w:rsid w:val="002B7AD6"/>
    <w:pPr>
      <w:numPr>
        <w:numId w:val="0"/>
      </w:numPr>
      <w:ind w:left="851" w:right="305"/>
    </w:pPr>
    <w:rPr>
      <w:i/>
    </w:rPr>
  </w:style>
  <w:style w:type="character" w:customStyle="1" w:styleId="CEGQuoteChar">
    <w:name w:val="CEG_Quote Char"/>
    <w:link w:val="CEGQuote"/>
    <w:rsid w:val="002B7AD6"/>
    <w:rPr>
      <w:rFonts w:ascii="Arial" w:eastAsia="Times New Roman" w:hAnsi="Arial"/>
      <w:i/>
      <w:sz w:val="22"/>
      <w:szCs w:val="22"/>
    </w:rPr>
  </w:style>
</w:styles>
</file>

<file path=word/webSettings.xml><?xml version="1.0" encoding="utf-8"?>
<w:webSettings xmlns:r="http://schemas.openxmlformats.org/officeDocument/2006/relationships" xmlns:w="http://schemas.openxmlformats.org/wordprocessingml/2006/main">
  <w:divs>
    <w:div w:id="660816151">
      <w:bodyDiv w:val="1"/>
      <w:marLeft w:val="0"/>
      <w:marRight w:val="0"/>
      <w:marTop w:val="0"/>
      <w:marBottom w:val="0"/>
      <w:divBdr>
        <w:top w:val="none" w:sz="0" w:space="0" w:color="auto"/>
        <w:left w:val="none" w:sz="0" w:space="0" w:color="auto"/>
        <w:bottom w:val="none" w:sz="0" w:space="0" w:color="auto"/>
        <w:right w:val="none" w:sz="0" w:space="0" w:color="auto"/>
      </w:divBdr>
    </w:div>
    <w:div w:id="724910457">
      <w:bodyDiv w:val="1"/>
      <w:marLeft w:val="0"/>
      <w:marRight w:val="0"/>
      <w:marTop w:val="0"/>
      <w:marBottom w:val="0"/>
      <w:divBdr>
        <w:top w:val="none" w:sz="0" w:space="0" w:color="auto"/>
        <w:left w:val="none" w:sz="0" w:space="0" w:color="auto"/>
        <w:bottom w:val="none" w:sz="0" w:space="0" w:color="auto"/>
        <w:right w:val="none" w:sz="0" w:space="0" w:color="auto"/>
      </w:divBdr>
    </w:div>
    <w:div w:id="10572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terms/b/beta.asp" TargetMode="External"/><Relationship Id="rId3" Type="http://schemas.openxmlformats.org/officeDocument/2006/relationships/settings" Target="settings.xml"/><Relationship Id="rId7" Type="http://schemas.openxmlformats.org/officeDocument/2006/relationships/hyperlink" Target="http://www.investopedia.com/terms/b/beta.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1514</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8912</CharactersWithSpaces>
  <SharedDoc>false</SharedDoc>
  <HLinks>
    <vt:vector size="12" baseType="variant">
      <vt:variant>
        <vt:i4>5701640</vt:i4>
      </vt:variant>
      <vt:variant>
        <vt:i4>3</vt:i4>
      </vt:variant>
      <vt:variant>
        <vt:i4>0</vt:i4>
      </vt:variant>
      <vt:variant>
        <vt:i4>5</vt:i4>
      </vt:variant>
      <vt:variant>
        <vt:lpwstr>http://www.investopedia.com/terms/b/beta.asp</vt:lpwstr>
      </vt:variant>
      <vt:variant>
        <vt:lpwstr/>
      </vt:variant>
      <vt:variant>
        <vt:i4>5701640</vt:i4>
      </vt:variant>
      <vt:variant>
        <vt:i4>0</vt:i4>
      </vt:variant>
      <vt:variant>
        <vt:i4>0</vt:i4>
      </vt:variant>
      <vt:variant>
        <vt:i4>5</vt:i4>
      </vt:variant>
      <vt:variant>
        <vt:lpwstr>http://www.investopedia.com/terms/b/beta.asp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Groom</dc:creator>
  <cp:keywords/>
  <cp:lastModifiedBy>mereditg</cp:lastModifiedBy>
  <cp:revision>11</cp:revision>
  <cp:lastPrinted>2011-03-17T00:34:00Z</cp:lastPrinted>
  <dcterms:created xsi:type="dcterms:W3CDTF">2011-03-21T09:58:00Z</dcterms:created>
  <dcterms:modified xsi:type="dcterms:W3CDTF">2011-03-23T02:58:00Z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58000434</vt:i4>
  </property>
  <property fmtid="{D5CDD505-2E9C-101B-9397-08002B2CF9AE}" pid="3" name="DOCID">
    <vt:i4>61253764</vt:i4>
  </property>
  <property fmtid="{D5CDD505-2E9C-101B-9397-08002B2CF9AE}" pid="4" name="DOCIDEX">
    <vt:lpwstr> </vt:lpwstr>
  </property>
  <property fmtid="{D5CDD505-2E9C-101B-9397-08002B2CF9AE}" pid="5" name="COMPANYID">
    <vt:i4>2122615469</vt:i4>
  </property>
  <property fmtid="{D5CDD505-2E9C-101B-9397-08002B2CF9AE}" pid="6" name="SERIALNO">
    <vt:i4>10839</vt:i4>
  </property>
  <property fmtid="{D5CDD505-2E9C-101B-9397-08002B2CF9AE}" pid="7" name="EDITION">
    <vt:lpwstr>FM</vt:lpwstr>
  </property>
  <property fmtid="{D5CDD505-2E9C-101B-9397-08002B2CF9AE}" pid="8" name="CLIENTID">
    <vt:i4>11565</vt:i4>
  </property>
  <property fmtid="{D5CDD505-2E9C-101B-9397-08002B2CF9AE}" pid="9" name="FILEID">
    <vt:i4>58255765</vt:i4>
  </property>
  <property fmtid="{D5CDD505-2E9C-101B-9397-08002B2CF9AE}" pid="10" name="ASSOCID">
    <vt:i4>58038570</vt:i4>
  </property>
  <property fmtid="{D5CDD505-2E9C-101B-9397-08002B2CF9AE}" pid="11" name="BASEPRECTYPE">
    <vt:lpwstr>TENDER</vt:lpwstr>
  </property>
  <property fmtid="{D5CDD505-2E9C-101B-9397-08002B2CF9AE}" pid="12" name="VERSIONID">
    <vt:lpwstr>831474ab-4b8c-4c34-b451-87ae216b7d43</vt:lpwstr>
  </property>
  <property fmtid="{D5CDD505-2E9C-101B-9397-08002B2CF9AE}" pid="13" name="VERSIONLABEL">
    <vt:lpwstr>1</vt:lpwstr>
  </property>
  <property fmtid="{D5CDD505-2E9C-101B-9397-08002B2CF9AE}" pid="14" name="DOCID_2122615469">
    <vt:r8>61253764</vt:r8>
  </property>
  <property fmtid="{D5CDD505-2E9C-101B-9397-08002B2CF9AE}" pid="15" name="DOCID_2122615469_">
    <vt:r8>61253764</vt:r8>
  </property>
  <property fmtid="{D5CDD505-2E9C-101B-9397-08002B2CF9AE}" pid="16" name="DOCID_10839">
    <vt:r8>61253764</vt:r8>
  </property>
  <property fmtid="{D5CDD505-2E9C-101B-9397-08002B2CF9AE}" pid="17" name="VERSIONID_2122615469">
    <vt:lpwstr>831474ab-4b8c-4c34-b451-87ae216b7d43</vt:lpwstr>
  </property>
  <property fmtid="{D5CDD505-2E9C-101B-9397-08002B2CF9AE}" pid="18" name="VERSIONID_2122615469_">
    <vt:lpwstr>831474ab-4b8c-4c34-b451-87ae216b7d43</vt:lpwstr>
  </property>
</Properties>
</file>