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31C" w:rsidRPr="0028766C" w:rsidRDefault="00E35B50" w:rsidP="000C2FAE">
      <w:pPr>
        <w:pStyle w:val="AERheading2"/>
        <w:numPr>
          <w:ilvl w:val="0"/>
          <w:numId w:val="0"/>
        </w:numPr>
        <w:spacing w:before="0" w:after="0"/>
        <w:ind w:left="720" w:hanging="720"/>
        <w:jc w:val="both"/>
        <w:rPr>
          <w:rFonts w:ascii="Arial Narrow" w:hAnsi="Arial Narrow"/>
          <w:b/>
          <w:sz w:val="32"/>
          <w:szCs w:val="32"/>
        </w:rPr>
      </w:pPr>
      <w:r w:rsidRPr="0028766C">
        <w:rPr>
          <w:rFonts w:ascii="Arial Narrow" w:hAnsi="Arial Narrow"/>
          <w:b/>
          <w:sz w:val="32"/>
          <w:szCs w:val="32"/>
        </w:rPr>
        <w:t xml:space="preserve">Attachment </w:t>
      </w:r>
      <w:r w:rsidR="00E32845" w:rsidRPr="0028766C">
        <w:rPr>
          <w:rFonts w:ascii="Arial Narrow" w:hAnsi="Arial Narrow"/>
          <w:b/>
          <w:sz w:val="32"/>
          <w:szCs w:val="32"/>
        </w:rPr>
        <w:t>6</w:t>
      </w:r>
      <w:r w:rsidR="00114776" w:rsidRPr="0028766C">
        <w:rPr>
          <w:rFonts w:ascii="Arial Narrow" w:hAnsi="Arial Narrow"/>
          <w:b/>
          <w:sz w:val="32"/>
          <w:szCs w:val="32"/>
        </w:rPr>
        <w:t>-</w:t>
      </w:r>
      <w:r w:rsidR="00E96FE0" w:rsidRPr="0028766C">
        <w:rPr>
          <w:rFonts w:ascii="Arial Narrow" w:hAnsi="Arial Narrow"/>
          <w:b/>
          <w:sz w:val="32"/>
          <w:szCs w:val="32"/>
        </w:rPr>
        <w:t>9</w:t>
      </w:r>
      <w:r w:rsidR="0028766C">
        <w:rPr>
          <w:rFonts w:ascii="Arial Narrow" w:hAnsi="Arial Narrow"/>
          <w:b/>
          <w:sz w:val="32"/>
          <w:szCs w:val="32"/>
        </w:rPr>
        <w:t xml:space="preserve"> </w:t>
      </w:r>
      <w:r w:rsidR="00114776" w:rsidRPr="0028766C">
        <w:rPr>
          <w:rFonts w:ascii="Arial Narrow" w:hAnsi="Arial Narrow"/>
          <w:b/>
          <w:sz w:val="32"/>
          <w:szCs w:val="32"/>
        </w:rPr>
        <w:t>Draft Decision</w:t>
      </w:r>
      <w:r w:rsidR="00E96FE0" w:rsidRPr="0028766C">
        <w:rPr>
          <w:rFonts w:ascii="Arial Narrow" w:hAnsi="Arial Narrow"/>
          <w:b/>
          <w:sz w:val="32"/>
          <w:szCs w:val="32"/>
        </w:rPr>
        <w:t xml:space="preserve"> Response: </w:t>
      </w:r>
      <w:r w:rsidR="0028766C">
        <w:rPr>
          <w:rFonts w:ascii="Arial Narrow" w:hAnsi="Arial Narrow"/>
          <w:b/>
          <w:sz w:val="32"/>
          <w:szCs w:val="32"/>
        </w:rPr>
        <w:t xml:space="preserve"> </w:t>
      </w:r>
      <w:r w:rsidR="00E96FE0" w:rsidRPr="0028766C">
        <w:rPr>
          <w:rFonts w:ascii="Arial Narrow" w:hAnsi="Arial Narrow"/>
          <w:b/>
          <w:sz w:val="32"/>
          <w:szCs w:val="32"/>
        </w:rPr>
        <w:t>Operating Expenditure</w:t>
      </w:r>
    </w:p>
    <w:p w:rsidR="009142CE" w:rsidRPr="0028766C" w:rsidRDefault="009142CE" w:rsidP="000C2FAE">
      <w:pPr>
        <w:pStyle w:val="AERbodytext"/>
        <w:spacing w:after="0"/>
        <w:jc w:val="both"/>
        <w:rPr>
          <w:rFonts w:ascii="Arial Narrow" w:hAnsi="Arial Narrow"/>
        </w:rPr>
      </w:pPr>
    </w:p>
    <w:p w:rsidR="00AD19F6" w:rsidRPr="0028766C" w:rsidRDefault="00AD19F6" w:rsidP="000C2FAE">
      <w:pPr>
        <w:pStyle w:val="AERbodytext"/>
        <w:spacing w:after="0"/>
        <w:jc w:val="both"/>
        <w:rPr>
          <w:rFonts w:ascii="Arial Narrow" w:hAnsi="Arial Narrow"/>
          <w:i/>
        </w:rPr>
      </w:pPr>
      <w:r w:rsidRPr="0028766C">
        <w:rPr>
          <w:rFonts w:ascii="Arial Narrow" w:hAnsi="Arial Narrow"/>
          <w:i/>
        </w:rPr>
        <w:t xml:space="preserve">This attachment sets out </w:t>
      </w:r>
      <w:proofErr w:type="spellStart"/>
      <w:r w:rsidRPr="0028766C">
        <w:rPr>
          <w:rFonts w:ascii="Arial Narrow" w:hAnsi="Arial Narrow"/>
          <w:i/>
        </w:rPr>
        <w:t>Envestra’s</w:t>
      </w:r>
      <w:proofErr w:type="spellEnd"/>
      <w:r w:rsidRPr="0028766C">
        <w:rPr>
          <w:rFonts w:ascii="Arial Narrow" w:hAnsi="Arial Narrow"/>
          <w:i/>
        </w:rPr>
        <w:t xml:space="preserve"> response to those aspects of the Draft Decision relating to operating expenditure, which Envestra does not accept.</w:t>
      </w:r>
    </w:p>
    <w:p w:rsidR="00AD19F6" w:rsidRPr="0028766C" w:rsidRDefault="00AD19F6" w:rsidP="000C2FAE">
      <w:pPr>
        <w:pStyle w:val="AERbodytext"/>
        <w:spacing w:after="0"/>
        <w:jc w:val="both"/>
        <w:rPr>
          <w:rFonts w:ascii="Arial Narrow" w:hAnsi="Arial Narrow"/>
          <w:i/>
        </w:rPr>
      </w:pPr>
    </w:p>
    <w:p w:rsidR="009D618B" w:rsidRDefault="009D618B" w:rsidP="000C2FAE">
      <w:pPr>
        <w:pStyle w:val="AERbodytext"/>
        <w:spacing w:after="0"/>
        <w:jc w:val="both"/>
        <w:rPr>
          <w:rFonts w:ascii="Arial Narrow" w:hAnsi="Arial Narrow"/>
          <w:i/>
        </w:rPr>
      </w:pPr>
      <w:r w:rsidRPr="0028766C">
        <w:rPr>
          <w:rFonts w:ascii="Arial Narrow" w:hAnsi="Arial Narrow"/>
          <w:i/>
        </w:rPr>
        <w:t>Note:</w:t>
      </w:r>
    </w:p>
    <w:p w:rsidR="0028766C" w:rsidRPr="0028766C" w:rsidRDefault="0028766C" w:rsidP="000C2FAE">
      <w:pPr>
        <w:pStyle w:val="AERbodytext"/>
        <w:spacing w:after="0"/>
        <w:jc w:val="both"/>
        <w:rPr>
          <w:rFonts w:ascii="Arial Narrow" w:hAnsi="Arial Narrow"/>
          <w:i/>
        </w:rPr>
      </w:pPr>
    </w:p>
    <w:p w:rsidR="009D618B" w:rsidRPr="0028766C" w:rsidRDefault="009D618B" w:rsidP="00DE0E00">
      <w:pPr>
        <w:pStyle w:val="AERbodytext"/>
        <w:numPr>
          <w:ilvl w:val="0"/>
          <w:numId w:val="17"/>
        </w:numPr>
        <w:tabs>
          <w:tab w:val="left" w:pos="426"/>
        </w:tabs>
        <w:spacing w:after="0"/>
        <w:ind w:left="426" w:hanging="426"/>
        <w:jc w:val="both"/>
        <w:rPr>
          <w:rFonts w:ascii="Arial Narrow" w:hAnsi="Arial Narrow"/>
          <w:i/>
        </w:rPr>
      </w:pPr>
      <w:r w:rsidRPr="0028766C">
        <w:rPr>
          <w:rFonts w:ascii="Arial Narrow" w:hAnsi="Arial Narrow"/>
          <w:i/>
        </w:rPr>
        <w:t xml:space="preserve">Unless noted otherwise, dollar amounts are in $2009/10, consistent with </w:t>
      </w:r>
      <w:proofErr w:type="spellStart"/>
      <w:r w:rsidRPr="0028766C">
        <w:rPr>
          <w:rFonts w:ascii="Arial Narrow" w:hAnsi="Arial Narrow"/>
          <w:i/>
        </w:rPr>
        <w:t>Envestra’s</w:t>
      </w:r>
      <w:proofErr w:type="spellEnd"/>
      <w:r w:rsidRPr="0028766C">
        <w:rPr>
          <w:rFonts w:ascii="Arial Narrow" w:hAnsi="Arial Narrow"/>
          <w:i/>
        </w:rPr>
        <w:t xml:space="preserve"> original submission.</w:t>
      </w:r>
    </w:p>
    <w:p w:rsidR="009D618B" w:rsidRPr="0028766C" w:rsidRDefault="009D618B" w:rsidP="00DE0E00">
      <w:pPr>
        <w:pStyle w:val="AERbodytext"/>
        <w:numPr>
          <w:ilvl w:val="0"/>
          <w:numId w:val="17"/>
        </w:numPr>
        <w:tabs>
          <w:tab w:val="left" w:pos="426"/>
        </w:tabs>
        <w:spacing w:after="0"/>
        <w:ind w:left="426" w:hanging="426"/>
        <w:jc w:val="both"/>
        <w:rPr>
          <w:rFonts w:ascii="Arial Narrow" w:hAnsi="Arial Narrow"/>
          <w:i/>
        </w:rPr>
      </w:pPr>
      <w:r w:rsidRPr="0028766C">
        <w:rPr>
          <w:rFonts w:ascii="Arial Narrow" w:hAnsi="Arial Narrow"/>
          <w:i/>
        </w:rPr>
        <w:t xml:space="preserve">Confidential items are </w:t>
      </w:r>
      <w:r w:rsidR="00887D92">
        <w:rPr>
          <w:rFonts w:ascii="Arial Narrow" w:hAnsi="Arial Narrow"/>
          <w:i/>
        </w:rPr>
        <w:t>marked as</w:t>
      </w:r>
      <w:r w:rsidRPr="0028766C">
        <w:rPr>
          <w:rFonts w:ascii="Arial Narrow" w:hAnsi="Arial Narrow"/>
          <w:i/>
        </w:rPr>
        <w:t xml:space="preserve"> “[c-</w:t>
      </w:r>
      <w:proofErr w:type="spellStart"/>
      <w:r w:rsidRPr="0028766C">
        <w:rPr>
          <w:rFonts w:ascii="Arial Narrow" w:hAnsi="Arial Narrow"/>
          <w:i/>
        </w:rPr>
        <w:t>i</w:t>
      </w:r>
      <w:proofErr w:type="spellEnd"/>
      <w:r w:rsidRPr="0028766C">
        <w:rPr>
          <w:rFonts w:ascii="Arial Narrow" w:hAnsi="Arial Narrow"/>
          <w:i/>
        </w:rPr>
        <w:t>-c]”</w:t>
      </w:r>
    </w:p>
    <w:p w:rsidR="007C1649" w:rsidRPr="0028766C" w:rsidRDefault="007C1649" w:rsidP="000C2FAE">
      <w:pPr>
        <w:pStyle w:val="AERbodytext"/>
        <w:spacing w:after="0"/>
        <w:jc w:val="both"/>
        <w:rPr>
          <w:rFonts w:ascii="Arial Narrow" w:hAnsi="Arial Narrow"/>
        </w:rPr>
      </w:pPr>
    </w:p>
    <w:p w:rsidR="007F01F5" w:rsidRPr="0028766C" w:rsidRDefault="00E96FE0" w:rsidP="00DE0E00">
      <w:pPr>
        <w:pStyle w:val="AERbodytext"/>
        <w:numPr>
          <w:ilvl w:val="0"/>
          <w:numId w:val="2"/>
        </w:numPr>
        <w:tabs>
          <w:tab w:val="left" w:pos="426"/>
        </w:tabs>
        <w:spacing w:after="0"/>
        <w:ind w:left="426" w:hanging="426"/>
        <w:jc w:val="both"/>
        <w:rPr>
          <w:rFonts w:ascii="Arial Narrow" w:hAnsi="Arial Narrow"/>
          <w:b/>
        </w:rPr>
      </w:pPr>
      <w:r w:rsidRPr="0028766C">
        <w:rPr>
          <w:rFonts w:ascii="Arial Narrow" w:hAnsi="Arial Narrow"/>
          <w:b/>
        </w:rPr>
        <w:t>Introduction</w:t>
      </w:r>
    </w:p>
    <w:p w:rsidR="00965F74" w:rsidRPr="0028766C" w:rsidRDefault="00965F74" w:rsidP="000C2FAE">
      <w:pPr>
        <w:pStyle w:val="AERbodytext"/>
        <w:spacing w:after="0"/>
        <w:jc w:val="both"/>
        <w:rPr>
          <w:rFonts w:ascii="Arial Narrow" w:hAnsi="Arial Narrow"/>
          <w:b/>
        </w:rPr>
      </w:pPr>
    </w:p>
    <w:p w:rsidR="006B6980" w:rsidRPr="0028766C" w:rsidRDefault="006B6980" w:rsidP="000232CE">
      <w:pPr>
        <w:pStyle w:val="AERbodytext"/>
        <w:spacing w:after="0"/>
        <w:jc w:val="both"/>
        <w:rPr>
          <w:rFonts w:ascii="Arial Narrow" w:hAnsi="Arial Narrow"/>
        </w:rPr>
      </w:pPr>
      <w:r w:rsidRPr="0028766C">
        <w:rPr>
          <w:rFonts w:ascii="Arial Narrow" w:hAnsi="Arial Narrow"/>
        </w:rPr>
        <w:t xml:space="preserve">In the Draft Decision, the AER has made significant reductions to </w:t>
      </w:r>
      <w:proofErr w:type="spellStart"/>
      <w:r w:rsidRPr="0028766C">
        <w:rPr>
          <w:rFonts w:ascii="Arial Narrow" w:hAnsi="Arial Narrow"/>
        </w:rPr>
        <w:t>Envestra’s</w:t>
      </w:r>
      <w:proofErr w:type="spellEnd"/>
      <w:r w:rsidRPr="0028766C">
        <w:rPr>
          <w:rFonts w:ascii="Arial Narrow" w:hAnsi="Arial Narrow"/>
        </w:rPr>
        <w:t xml:space="preserve"> proposed operating expenditure (</w:t>
      </w:r>
      <w:proofErr w:type="spellStart"/>
      <w:r w:rsidRPr="0028766C">
        <w:rPr>
          <w:rFonts w:ascii="Arial Narrow" w:hAnsi="Arial Narrow"/>
        </w:rPr>
        <w:t>opex</w:t>
      </w:r>
      <w:proofErr w:type="spellEnd"/>
      <w:r w:rsidRPr="0028766C">
        <w:rPr>
          <w:rFonts w:ascii="Arial Narrow" w:hAnsi="Arial Narrow"/>
        </w:rPr>
        <w:t xml:space="preserve">). This has resulted in a real reduction in </w:t>
      </w:r>
      <w:proofErr w:type="spellStart"/>
      <w:r w:rsidRPr="0028766C">
        <w:rPr>
          <w:rFonts w:ascii="Arial Narrow" w:hAnsi="Arial Narrow"/>
        </w:rPr>
        <w:t>opex</w:t>
      </w:r>
      <w:proofErr w:type="spellEnd"/>
      <w:r w:rsidRPr="0028766C">
        <w:rPr>
          <w:rFonts w:ascii="Arial Narrow" w:hAnsi="Arial Narrow"/>
        </w:rPr>
        <w:t xml:space="preserve"> over the next regulatory period of 10% relative to the current period. The AER Draft Decision, if implemented, would result in 2015/16 </w:t>
      </w:r>
      <w:proofErr w:type="spellStart"/>
      <w:r w:rsidRPr="0028766C">
        <w:rPr>
          <w:rFonts w:ascii="Arial Narrow" w:hAnsi="Arial Narrow"/>
        </w:rPr>
        <w:t>opex</w:t>
      </w:r>
      <w:proofErr w:type="spellEnd"/>
      <w:r w:rsidRPr="0028766C">
        <w:rPr>
          <w:rFonts w:ascii="Arial Narrow" w:hAnsi="Arial Narrow"/>
        </w:rPr>
        <w:t xml:space="preserve"> being below 2001/02 levels, despite increases in </w:t>
      </w:r>
      <w:r w:rsidRPr="0028766C">
        <w:rPr>
          <w:rFonts w:ascii="Arial Narrow" w:hAnsi="Arial Narrow"/>
          <w:lang w:val="en-US"/>
        </w:rPr>
        <w:t xml:space="preserve">customer numbers, network size and </w:t>
      </w:r>
      <w:proofErr w:type="spellStart"/>
      <w:r w:rsidRPr="0028766C">
        <w:rPr>
          <w:rFonts w:ascii="Arial Narrow" w:hAnsi="Arial Narrow"/>
          <w:lang w:val="en-US"/>
        </w:rPr>
        <w:t>labour</w:t>
      </w:r>
      <w:proofErr w:type="spellEnd"/>
      <w:r w:rsidRPr="0028766C">
        <w:rPr>
          <w:rFonts w:ascii="Arial Narrow" w:hAnsi="Arial Narrow"/>
          <w:lang w:val="en-US"/>
        </w:rPr>
        <w:t xml:space="preserve"> and materials costs over this 15 year period.</w:t>
      </w:r>
    </w:p>
    <w:p w:rsidR="006B6980" w:rsidRPr="0028766C" w:rsidRDefault="006B6980" w:rsidP="000232CE">
      <w:pPr>
        <w:pStyle w:val="AERbodytext"/>
        <w:spacing w:after="0"/>
        <w:jc w:val="both"/>
        <w:rPr>
          <w:rFonts w:ascii="Arial Narrow" w:hAnsi="Arial Narrow"/>
        </w:rPr>
      </w:pPr>
    </w:p>
    <w:p w:rsidR="006B6980" w:rsidRPr="0028766C" w:rsidRDefault="006B6980" w:rsidP="000232CE">
      <w:pPr>
        <w:pStyle w:val="AERbodytext"/>
        <w:spacing w:after="0"/>
        <w:jc w:val="both"/>
        <w:rPr>
          <w:rFonts w:ascii="Arial Narrow" w:hAnsi="Arial Narrow"/>
          <w:lang w:val="en-US"/>
        </w:rPr>
      </w:pPr>
      <w:r w:rsidRPr="0028766C">
        <w:rPr>
          <w:rFonts w:ascii="Arial Narrow" w:hAnsi="Arial Narrow"/>
        </w:rPr>
        <w:t xml:space="preserve">Envestra believes that the magnitude of this cut is unreasonable and would result in forecast </w:t>
      </w:r>
      <w:proofErr w:type="spellStart"/>
      <w:r w:rsidRPr="0028766C">
        <w:rPr>
          <w:rFonts w:ascii="Arial Narrow" w:hAnsi="Arial Narrow"/>
        </w:rPr>
        <w:t>opex</w:t>
      </w:r>
      <w:proofErr w:type="spellEnd"/>
      <w:r w:rsidRPr="0028766C">
        <w:rPr>
          <w:rFonts w:ascii="Arial Narrow" w:hAnsi="Arial Narrow"/>
        </w:rPr>
        <w:t xml:space="preserve"> that is inconsistent with rules 74 and 91 of the National Gas Rules (NGR). The AER decision </w:t>
      </w:r>
      <w:r w:rsidRPr="0028766C">
        <w:rPr>
          <w:rFonts w:ascii="Arial Narrow" w:hAnsi="Arial Narrow"/>
          <w:lang w:val="en-US"/>
        </w:rPr>
        <w:t xml:space="preserve">would require substantial staff reductions if it were implemented and would, in </w:t>
      </w:r>
      <w:proofErr w:type="spellStart"/>
      <w:r w:rsidRPr="0028766C">
        <w:rPr>
          <w:rFonts w:ascii="Arial Narrow" w:hAnsi="Arial Narrow"/>
          <w:lang w:val="en-US"/>
        </w:rPr>
        <w:t>Envestra’s</w:t>
      </w:r>
      <w:proofErr w:type="spellEnd"/>
      <w:r w:rsidRPr="0028766C">
        <w:rPr>
          <w:rFonts w:ascii="Arial Narrow" w:hAnsi="Arial Narrow"/>
          <w:lang w:val="en-US"/>
        </w:rPr>
        <w:t xml:space="preserve"> submission, </w:t>
      </w:r>
      <w:proofErr w:type="spellStart"/>
      <w:r w:rsidRPr="0028766C">
        <w:rPr>
          <w:rFonts w:ascii="Arial Narrow" w:hAnsi="Arial Narrow"/>
          <w:lang w:val="en-US"/>
        </w:rPr>
        <w:t>jeopardise</w:t>
      </w:r>
      <w:proofErr w:type="spellEnd"/>
      <w:r w:rsidRPr="0028766C">
        <w:rPr>
          <w:rFonts w:ascii="Arial Narrow" w:hAnsi="Arial Narrow"/>
          <w:lang w:val="en-US"/>
        </w:rPr>
        <w:t xml:space="preserve"> future service standards, network safety and reliability. The key issues driving this cut in </w:t>
      </w:r>
      <w:proofErr w:type="spellStart"/>
      <w:r w:rsidRPr="0028766C">
        <w:rPr>
          <w:rFonts w:ascii="Arial Narrow" w:hAnsi="Arial Narrow"/>
          <w:lang w:val="en-US"/>
        </w:rPr>
        <w:t>opex</w:t>
      </w:r>
      <w:proofErr w:type="spellEnd"/>
      <w:r w:rsidRPr="0028766C">
        <w:rPr>
          <w:rFonts w:ascii="Arial Narrow" w:hAnsi="Arial Narrow"/>
          <w:lang w:val="en-US"/>
        </w:rPr>
        <w:t xml:space="preserve"> are in relation to the: </w:t>
      </w:r>
    </w:p>
    <w:p w:rsidR="006B6980" w:rsidRPr="0028766C" w:rsidRDefault="006B6980" w:rsidP="000232CE">
      <w:pPr>
        <w:pStyle w:val="AERbodytext"/>
        <w:spacing w:after="0"/>
        <w:jc w:val="both"/>
        <w:rPr>
          <w:rFonts w:ascii="Arial Narrow" w:hAnsi="Arial Narrow"/>
          <w:lang w:val="en-US"/>
        </w:rPr>
      </w:pPr>
    </w:p>
    <w:p w:rsidR="00965F74" w:rsidRPr="00D468C7" w:rsidRDefault="006B6980" w:rsidP="00DE0E00">
      <w:pPr>
        <w:pStyle w:val="AERbodytext"/>
        <w:numPr>
          <w:ilvl w:val="0"/>
          <w:numId w:val="17"/>
        </w:numPr>
        <w:tabs>
          <w:tab w:val="left" w:pos="426"/>
        </w:tabs>
        <w:spacing w:after="0"/>
        <w:ind w:left="426" w:hanging="425"/>
        <w:jc w:val="both"/>
        <w:rPr>
          <w:rFonts w:ascii="Arial Narrow" w:hAnsi="Arial Narrow"/>
          <w:i/>
        </w:rPr>
      </w:pPr>
      <w:r w:rsidRPr="00D468C7">
        <w:rPr>
          <w:rFonts w:ascii="Arial Narrow" w:hAnsi="Arial Narrow"/>
          <w:i/>
        </w:rPr>
        <w:t>o</w:t>
      </w:r>
      <w:r w:rsidR="00053012" w:rsidRPr="00D468C7">
        <w:rPr>
          <w:rFonts w:ascii="Arial Narrow" w:hAnsi="Arial Narrow"/>
          <w:i/>
        </w:rPr>
        <w:t>utsourcing arrangement</w:t>
      </w:r>
      <w:r w:rsidR="007E044C" w:rsidRPr="00D468C7">
        <w:rPr>
          <w:rFonts w:ascii="Arial Narrow" w:hAnsi="Arial Narrow"/>
          <w:i/>
        </w:rPr>
        <w:t>;</w:t>
      </w:r>
    </w:p>
    <w:p w:rsidR="006B6980" w:rsidRPr="00D468C7" w:rsidRDefault="006B6980" w:rsidP="00DE0E00">
      <w:pPr>
        <w:pStyle w:val="AERbodytext"/>
        <w:numPr>
          <w:ilvl w:val="0"/>
          <w:numId w:val="17"/>
        </w:numPr>
        <w:tabs>
          <w:tab w:val="left" w:pos="426"/>
        </w:tabs>
        <w:spacing w:after="0"/>
        <w:ind w:left="426" w:hanging="425"/>
        <w:jc w:val="both"/>
        <w:rPr>
          <w:rFonts w:ascii="Arial Narrow" w:hAnsi="Arial Narrow"/>
          <w:i/>
        </w:rPr>
      </w:pPr>
      <w:r w:rsidRPr="00D468C7">
        <w:rPr>
          <w:rFonts w:ascii="Arial Narrow" w:hAnsi="Arial Narrow"/>
          <w:i/>
        </w:rPr>
        <w:t>labour and material cost escalation;</w:t>
      </w:r>
    </w:p>
    <w:p w:rsidR="006B6980" w:rsidRPr="00D468C7" w:rsidRDefault="006B6980" w:rsidP="00DE0E00">
      <w:pPr>
        <w:pStyle w:val="AERbodytext"/>
        <w:numPr>
          <w:ilvl w:val="0"/>
          <w:numId w:val="17"/>
        </w:numPr>
        <w:tabs>
          <w:tab w:val="left" w:pos="426"/>
        </w:tabs>
        <w:spacing w:after="0"/>
        <w:ind w:left="426" w:hanging="425"/>
        <w:jc w:val="both"/>
        <w:rPr>
          <w:rFonts w:ascii="Arial Narrow" w:hAnsi="Arial Narrow"/>
          <w:i/>
        </w:rPr>
      </w:pPr>
      <w:r w:rsidRPr="00D468C7">
        <w:rPr>
          <w:rFonts w:ascii="Arial Narrow" w:hAnsi="Arial Narrow"/>
          <w:i/>
        </w:rPr>
        <w:t>cost of gas purchased for unaccounted for gas (UAFG); and</w:t>
      </w:r>
    </w:p>
    <w:p w:rsidR="006B6980" w:rsidRPr="00D468C7" w:rsidRDefault="006B6980" w:rsidP="00DE0E00">
      <w:pPr>
        <w:pStyle w:val="AERbodytext"/>
        <w:numPr>
          <w:ilvl w:val="0"/>
          <w:numId w:val="17"/>
        </w:numPr>
        <w:tabs>
          <w:tab w:val="left" w:pos="426"/>
        </w:tabs>
        <w:spacing w:after="0"/>
        <w:ind w:left="426" w:hanging="425"/>
        <w:jc w:val="both"/>
        <w:rPr>
          <w:rFonts w:ascii="Arial Narrow" w:hAnsi="Arial Narrow"/>
          <w:i/>
        </w:rPr>
      </w:pPr>
      <w:r w:rsidRPr="00D468C7">
        <w:rPr>
          <w:rFonts w:ascii="Arial Narrow" w:hAnsi="Arial Narrow"/>
          <w:i/>
        </w:rPr>
        <w:t>network marketing.</w:t>
      </w:r>
    </w:p>
    <w:p w:rsidR="00965F74" w:rsidRPr="0028766C" w:rsidRDefault="00965F74" w:rsidP="000232CE">
      <w:pPr>
        <w:pStyle w:val="AERbodytext"/>
        <w:spacing w:after="0"/>
        <w:jc w:val="both"/>
        <w:rPr>
          <w:rFonts w:ascii="Arial Narrow" w:hAnsi="Arial Narrow"/>
        </w:rPr>
      </w:pPr>
    </w:p>
    <w:p w:rsidR="00965F74" w:rsidRPr="0028766C" w:rsidRDefault="00965F74" w:rsidP="000232CE">
      <w:pPr>
        <w:pStyle w:val="AERbodytext"/>
        <w:spacing w:after="0"/>
        <w:jc w:val="both"/>
        <w:rPr>
          <w:rFonts w:ascii="Arial Narrow" w:hAnsi="Arial Narrow"/>
        </w:rPr>
      </w:pPr>
      <w:r w:rsidRPr="0028766C">
        <w:rPr>
          <w:rFonts w:ascii="Arial Narrow" w:hAnsi="Arial Narrow"/>
        </w:rPr>
        <w:t xml:space="preserve">These </w:t>
      </w:r>
      <w:r w:rsidR="006B6980" w:rsidRPr="0028766C">
        <w:rPr>
          <w:rFonts w:ascii="Arial Narrow" w:hAnsi="Arial Narrow"/>
        </w:rPr>
        <w:t>issues</w:t>
      </w:r>
      <w:r w:rsidRPr="0028766C">
        <w:rPr>
          <w:rFonts w:ascii="Arial Narrow" w:hAnsi="Arial Narrow"/>
        </w:rPr>
        <w:t>, a</w:t>
      </w:r>
      <w:r w:rsidR="006B6980" w:rsidRPr="0028766C">
        <w:rPr>
          <w:rFonts w:ascii="Arial Narrow" w:hAnsi="Arial Narrow"/>
        </w:rPr>
        <w:t>side</w:t>
      </w:r>
      <w:r w:rsidRPr="0028766C">
        <w:rPr>
          <w:rFonts w:ascii="Arial Narrow" w:hAnsi="Arial Narrow"/>
        </w:rPr>
        <w:t xml:space="preserve"> from the </w:t>
      </w:r>
      <w:r w:rsidR="006B6980" w:rsidRPr="0028766C">
        <w:rPr>
          <w:rFonts w:ascii="Arial Narrow" w:hAnsi="Arial Narrow"/>
        </w:rPr>
        <w:t xml:space="preserve">decision by the AER in relation to </w:t>
      </w:r>
      <w:proofErr w:type="spellStart"/>
      <w:r w:rsidR="006B6980" w:rsidRPr="0028766C">
        <w:rPr>
          <w:rFonts w:ascii="Arial Narrow" w:hAnsi="Arial Narrow"/>
        </w:rPr>
        <w:t>Envestra’s</w:t>
      </w:r>
      <w:proofErr w:type="spellEnd"/>
      <w:r w:rsidR="006B6980" w:rsidRPr="0028766C">
        <w:rPr>
          <w:rFonts w:ascii="Arial Narrow" w:hAnsi="Arial Narrow"/>
        </w:rPr>
        <w:t xml:space="preserve"> outsourcing arrangement</w:t>
      </w:r>
      <w:r w:rsidRPr="0028766C">
        <w:rPr>
          <w:rFonts w:ascii="Arial Narrow" w:hAnsi="Arial Narrow"/>
        </w:rPr>
        <w:t xml:space="preserve">, are addressed in this </w:t>
      </w:r>
      <w:r w:rsidR="006B6980" w:rsidRPr="0028766C">
        <w:rPr>
          <w:rFonts w:ascii="Arial Narrow" w:hAnsi="Arial Narrow"/>
        </w:rPr>
        <w:t>attachment</w:t>
      </w:r>
      <w:r w:rsidRPr="0028766C">
        <w:rPr>
          <w:rFonts w:ascii="Arial Narrow" w:hAnsi="Arial Narrow"/>
        </w:rPr>
        <w:t xml:space="preserve">. </w:t>
      </w:r>
      <w:proofErr w:type="spellStart"/>
      <w:r w:rsidR="006B6980" w:rsidRPr="0028766C">
        <w:rPr>
          <w:rFonts w:ascii="Arial Narrow" w:hAnsi="Arial Narrow"/>
        </w:rPr>
        <w:t>Envestra’s</w:t>
      </w:r>
      <w:proofErr w:type="spellEnd"/>
      <w:r w:rsidR="006B6980" w:rsidRPr="0028766C">
        <w:rPr>
          <w:rFonts w:ascii="Arial Narrow" w:hAnsi="Arial Narrow"/>
        </w:rPr>
        <w:t xml:space="preserve"> outsourcing a</w:t>
      </w:r>
      <w:r w:rsidR="00053012" w:rsidRPr="0028766C">
        <w:rPr>
          <w:rFonts w:ascii="Arial Narrow" w:hAnsi="Arial Narrow"/>
        </w:rPr>
        <w:t>rrangement</w:t>
      </w:r>
      <w:r w:rsidRPr="0028766C">
        <w:rPr>
          <w:rFonts w:ascii="Arial Narrow" w:hAnsi="Arial Narrow"/>
        </w:rPr>
        <w:t xml:space="preserve"> is discussed in </w:t>
      </w:r>
      <w:r w:rsidR="006F4042" w:rsidRPr="0028766C">
        <w:rPr>
          <w:rFonts w:ascii="Arial Narrow" w:hAnsi="Arial Narrow"/>
        </w:rPr>
        <w:t>A</w:t>
      </w:r>
      <w:r w:rsidRPr="0028766C">
        <w:rPr>
          <w:rFonts w:ascii="Arial Narrow" w:hAnsi="Arial Narrow"/>
        </w:rPr>
        <w:t xml:space="preserve">ttachment </w:t>
      </w:r>
      <w:r w:rsidR="00053012" w:rsidRPr="0028766C">
        <w:rPr>
          <w:rFonts w:ascii="Arial Narrow" w:hAnsi="Arial Narrow"/>
        </w:rPr>
        <w:t>5-11</w:t>
      </w:r>
      <w:r w:rsidRPr="0028766C">
        <w:rPr>
          <w:rFonts w:ascii="Arial Narrow" w:hAnsi="Arial Narrow"/>
        </w:rPr>
        <w:t xml:space="preserve"> to the revised Access Arrangement Information</w:t>
      </w:r>
      <w:r w:rsidR="006B6980" w:rsidRPr="0028766C">
        <w:rPr>
          <w:rFonts w:ascii="Arial Narrow" w:hAnsi="Arial Narrow"/>
        </w:rPr>
        <w:t xml:space="preserve"> (AAI)</w:t>
      </w:r>
      <w:r w:rsidRPr="0028766C">
        <w:rPr>
          <w:rFonts w:ascii="Arial Narrow" w:hAnsi="Arial Narrow"/>
        </w:rPr>
        <w:t>.</w:t>
      </w:r>
      <w:r w:rsidR="006B6980" w:rsidRPr="0028766C">
        <w:rPr>
          <w:rFonts w:ascii="Arial Narrow" w:hAnsi="Arial Narrow"/>
        </w:rPr>
        <w:t xml:space="preserve"> </w:t>
      </w:r>
    </w:p>
    <w:p w:rsidR="00965F74" w:rsidRPr="0028766C" w:rsidRDefault="00965F74" w:rsidP="000232CE">
      <w:pPr>
        <w:pStyle w:val="AERbodytext"/>
        <w:spacing w:after="0"/>
        <w:jc w:val="both"/>
        <w:rPr>
          <w:rFonts w:ascii="Arial Narrow" w:hAnsi="Arial Narrow"/>
        </w:rPr>
      </w:pPr>
    </w:p>
    <w:p w:rsidR="00965F74" w:rsidRPr="0028766C" w:rsidRDefault="00965F74" w:rsidP="000232CE">
      <w:pPr>
        <w:pStyle w:val="AERbodytext"/>
        <w:spacing w:after="0"/>
        <w:jc w:val="both"/>
        <w:rPr>
          <w:rFonts w:ascii="Arial Narrow" w:hAnsi="Arial Narrow"/>
        </w:rPr>
      </w:pPr>
      <w:r w:rsidRPr="0028766C">
        <w:rPr>
          <w:rFonts w:ascii="Arial Narrow" w:hAnsi="Arial Narrow"/>
        </w:rPr>
        <w:t>In addition to the above, Envestra believes th</w:t>
      </w:r>
      <w:r w:rsidR="006B6980" w:rsidRPr="0028766C">
        <w:rPr>
          <w:rFonts w:ascii="Arial Narrow" w:hAnsi="Arial Narrow"/>
        </w:rPr>
        <w:t>at</w:t>
      </w:r>
      <w:r w:rsidRPr="0028766C">
        <w:rPr>
          <w:rFonts w:ascii="Arial Narrow" w:hAnsi="Arial Narrow"/>
        </w:rPr>
        <w:t xml:space="preserve"> </w:t>
      </w:r>
      <w:r w:rsidR="006B6980" w:rsidRPr="0028766C">
        <w:rPr>
          <w:rFonts w:ascii="Arial Narrow" w:hAnsi="Arial Narrow"/>
        </w:rPr>
        <w:t xml:space="preserve">the AER decisions </w:t>
      </w:r>
      <w:r w:rsidRPr="0028766C">
        <w:rPr>
          <w:rFonts w:ascii="Arial Narrow" w:hAnsi="Arial Narrow"/>
        </w:rPr>
        <w:t>should be amended in relation to a number of other issues (which are also addressed in this document)</w:t>
      </w:r>
      <w:r w:rsidR="006B6980" w:rsidRPr="0028766C">
        <w:rPr>
          <w:rFonts w:ascii="Arial Narrow" w:hAnsi="Arial Narrow"/>
        </w:rPr>
        <w:t>, which include</w:t>
      </w:r>
      <w:r w:rsidRPr="0028766C">
        <w:rPr>
          <w:rFonts w:ascii="Arial Narrow" w:hAnsi="Arial Narrow"/>
        </w:rPr>
        <w:t>:</w:t>
      </w:r>
    </w:p>
    <w:p w:rsidR="00965F74" w:rsidRPr="0028766C" w:rsidRDefault="00965F74" w:rsidP="000232CE">
      <w:pPr>
        <w:pStyle w:val="AERbodytext"/>
        <w:spacing w:after="0"/>
        <w:ind w:hanging="283"/>
        <w:jc w:val="both"/>
        <w:rPr>
          <w:rFonts w:ascii="Arial Narrow" w:hAnsi="Arial Narrow"/>
        </w:rPr>
      </w:pPr>
    </w:p>
    <w:p w:rsidR="00965F74" w:rsidRPr="00923D91" w:rsidRDefault="006B6980"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the l</w:t>
      </w:r>
      <w:r w:rsidR="00551296" w:rsidRPr="00923D91">
        <w:rPr>
          <w:rFonts w:ascii="Arial Narrow" w:hAnsi="Arial Narrow"/>
          <w:i/>
        </w:rPr>
        <w:t>evel of UAFG;</w:t>
      </w:r>
    </w:p>
    <w:p w:rsidR="00965F74" w:rsidRPr="00923D91" w:rsidRDefault="006B6980"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the required in</w:t>
      </w:r>
      <w:r w:rsidR="00551296" w:rsidRPr="00923D91">
        <w:rPr>
          <w:rFonts w:ascii="Arial Narrow" w:hAnsi="Arial Narrow"/>
          <w:i/>
        </w:rPr>
        <w:t xml:space="preserve">crease in </w:t>
      </w:r>
      <w:r w:rsidRPr="00923D91">
        <w:rPr>
          <w:rFonts w:ascii="Arial Narrow" w:hAnsi="Arial Narrow"/>
          <w:i/>
        </w:rPr>
        <w:t>i</w:t>
      </w:r>
      <w:r w:rsidR="00551296" w:rsidRPr="00923D91">
        <w:rPr>
          <w:rFonts w:ascii="Arial Narrow" w:hAnsi="Arial Narrow"/>
          <w:i/>
        </w:rPr>
        <w:t xml:space="preserve">nsurance </w:t>
      </w:r>
      <w:r w:rsidRPr="00923D91">
        <w:rPr>
          <w:rFonts w:ascii="Arial Narrow" w:hAnsi="Arial Narrow"/>
          <w:i/>
        </w:rPr>
        <w:t>c</w:t>
      </w:r>
      <w:r w:rsidR="00551296" w:rsidRPr="00923D91">
        <w:rPr>
          <w:rFonts w:ascii="Arial Narrow" w:hAnsi="Arial Narrow"/>
          <w:i/>
        </w:rPr>
        <w:t xml:space="preserve">osts (Business Case </w:t>
      </w:r>
      <w:r w:rsidR="002F2047" w:rsidRPr="00923D91">
        <w:rPr>
          <w:rFonts w:ascii="Arial Narrow" w:hAnsi="Arial Narrow"/>
          <w:i/>
        </w:rPr>
        <w:t>S</w:t>
      </w:r>
      <w:r w:rsidR="00551296" w:rsidRPr="00923D91">
        <w:rPr>
          <w:rFonts w:ascii="Arial Narrow" w:hAnsi="Arial Narrow"/>
          <w:i/>
        </w:rPr>
        <w:t>62);</w:t>
      </w:r>
    </w:p>
    <w:p w:rsidR="00965F74" w:rsidRPr="00923D91" w:rsidRDefault="006B6980"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s</w:t>
      </w:r>
      <w:r w:rsidR="00965F74" w:rsidRPr="00923D91">
        <w:rPr>
          <w:rFonts w:ascii="Arial Narrow" w:hAnsi="Arial Narrow"/>
          <w:i/>
        </w:rPr>
        <w:t xml:space="preserve">urvey of </w:t>
      </w:r>
      <w:r w:rsidRPr="00923D91">
        <w:rPr>
          <w:rFonts w:ascii="Arial Narrow" w:hAnsi="Arial Narrow"/>
          <w:i/>
        </w:rPr>
        <w:t>d</w:t>
      </w:r>
      <w:r w:rsidR="00965F74" w:rsidRPr="00923D91">
        <w:rPr>
          <w:rFonts w:ascii="Arial Narrow" w:hAnsi="Arial Narrow"/>
          <w:i/>
        </w:rPr>
        <w:t xml:space="preserve">omestic </w:t>
      </w:r>
      <w:r w:rsidRPr="00923D91">
        <w:rPr>
          <w:rFonts w:ascii="Arial Narrow" w:hAnsi="Arial Narrow"/>
          <w:i/>
        </w:rPr>
        <w:t>r</w:t>
      </w:r>
      <w:r w:rsidR="00965F74" w:rsidRPr="00923D91">
        <w:rPr>
          <w:rFonts w:ascii="Arial Narrow" w:hAnsi="Arial Narrow"/>
          <w:i/>
        </w:rPr>
        <w:t>egulators (</w:t>
      </w:r>
      <w:r w:rsidR="002F2047" w:rsidRPr="00923D91">
        <w:rPr>
          <w:rFonts w:ascii="Arial Narrow" w:hAnsi="Arial Narrow"/>
          <w:i/>
        </w:rPr>
        <w:t xml:space="preserve">Business Case </w:t>
      </w:r>
      <w:r w:rsidR="00965F74" w:rsidRPr="00923D91">
        <w:rPr>
          <w:rFonts w:ascii="Arial Narrow" w:hAnsi="Arial Narrow"/>
          <w:i/>
        </w:rPr>
        <w:t>S03);</w:t>
      </w:r>
    </w:p>
    <w:p w:rsidR="00965F74" w:rsidRPr="00923D91" w:rsidRDefault="006B6980"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a</w:t>
      </w:r>
      <w:r w:rsidR="00965F74" w:rsidRPr="00923D91">
        <w:rPr>
          <w:rFonts w:ascii="Arial Narrow" w:hAnsi="Arial Narrow"/>
          <w:i/>
        </w:rPr>
        <w:t>dditional field crews (</w:t>
      </w:r>
      <w:r w:rsidR="002F2047" w:rsidRPr="00923D91">
        <w:rPr>
          <w:rFonts w:ascii="Arial Narrow" w:hAnsi="Arial Narrow"/>
          <w:i/>
        </w:rPr>
        <w:t>Business Case S52).</w:t>
      </w:r>
    </w:p>
    <w:p w:rsidR="009F7F67" w:rsidRPr="00923D91" w:rsidRDefault="009F7F67"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the AER’s proposed amendments to liability clauses of the Access Arrangement terms (Annexure G to the Access Arrangement) which, if implemented, would require Envestra to purchase business interruption insurance; and</w:t>
      </w:r>
    </w:p>
    <w:p w:rsidR="009F7F67" w:rsidRPr="00923D91" w:rsidRDefault="009F7F67" w:rsidP="00DE0E00">
      <w:pPr>
        <w:pStyle w:val="AERbodytext"/>
        <w:numPr>
          <w:ilvl w:val="0"/>
          <w:numId w:val="17"/>
        </w:numPr>
        <w:tabs>
          <w:tab w:val="left" w:pos="426"/>
        </w:tabs>
        <w:spacing w:after="0"/>
        <w:ind w:left="426" w:hanging="425"/>
        <w:jc w:val="both"/>
        <w:rPr>
          <w:rFonts w:ascii="Arial Narrow" w:hAnsi="Arial Narrow"/>
          <w:i/>
        </w:rPr>
      </w:pPr>
      <w:r w:rsidRPr="00923D91">
        <w:rPr>
          <w:rFonts w:ascii="Arial Narrow" w:hAnsi="Arial Narrow"/>
          <w:i/>
        </w:rPr>
        <w:t xml:space="preserve">the decision by the AER not to update base year </w:t>
      </w:r>
      <w:proofErr w:type="spellStart"/>
      <w:r w:rsidRPr="00923D91">
        <w:rPr>
          <w:rFonts w:ascii="Arial Narrow" w:hAnsi="Arial Narrow"/>
          <w:i/>
        </w:rPr>
        <w:t>opex</w:t>
      </w:r>
      <w:proofErr w:type="spellEnd"/>
      <w:r w:rsidRPr="00923D91">
        <w:rPr>
          <w:rFonts w:ascii="Arial Narrow" w:hAnsi="Arial Narrow"/>
          <w:i/>
        </w:rPr>
        <w:t xml:space="preserve"> to take into account the actual </w:t>
      </w:r>
      <w:proofErr w:type="spellStart"/>
      <w:r w:rsidRPr="00923D91">
        <w:rPr>
          <w:rFonts w:ascii="Arial Narrow" w:hAnsi="Arial Narrow"/>
          <w:i/>
        </w:rPr>
        <w:t>opex</w:t>
      </w:r>
      <w:proofErr w:type="spellEnd"/>
      <w:r w:rsidRPr="00923D91">
        <w:rPr>
          <w:rFonts w:ascii="Arial Narrow" w:hAnsi="Arial Narrow"/>
          <w:i/>
        </w:rPr>
        <w:t xml:space="preserve"> contained in </w:t>
      </w:r>
      <w:proofErr w:type="spellStart"/>
      <w:r w:rsidRPr="00923D91">
        <w:rPr>
          <w:rFonts w:ascii="Arial Narrow" w:hAnsi="Arial Narrow"/>
          <w:i/>
        </w:rPr>
        <w:t>Envestra’s</w:t>
      </w:r>
      <w:proofErr w:type="spellEnd"/>
      <w:r w:rsidRPr="00923D91">
        <w:rPr>
          <w:rFonts w:ascii="Arial Narrow" w:hAnsi="Arial Narrow"/>
          <w:i/>
        </w:rPr>
        <w:t xml:space="preserve"> regulatory accounting statements for 2009/10. </w:t>
      </w:r>
    </w:p>
    <w:p w:rsidR="009F7F67" w:rsidRPr="0028766C" w:rsidRDefault="009F7F67" w:rsidP="000232CE">
      <w:pPr>
        <w:pStyle w:val="AERbodytext"/>
        <w:spacing w:after="0"/>
        <w:jc w:val="both"/>
        <w:rPr>
          <w:rFonts w:ascii="Arial Narrow" w:hAnsi="Arial Narrow"/>
        </w:rPr>
      </w:pPr>
    </w:p>
    <w:p w:rsidR="009F7F67" w:rsidRPr="0028766C" w:rsidRDefault="009F7F67" w:rsidP="000232CE">
      <w:pPr>
        <w:pStyle w:val="AERbodytext"/>
        <w:spacing w:after="0"/>
        <w:jc w:val="both"/>
        <w:rPr>
          <w:rFonts w:ascii="Arial Narrow" w:hAnsi="Arial Narrow"/>
        </w:rPr>
      </w:pPr>
      <w:r w:rsidRPr="0028766C">
        <w:rPr>
          <w:rFonts w:ascii="Arial Narrow" w:hAnsi="Arial Narrow"/>
        </w:rPr>
        <w:t>Envestra has also identified an error in the AER’s table of amendments in relation to meter change notifications.</w:t>
      </w:r>
    </w:p>
    <w:p w:rsidR="009F7F67" w:rsidRDefault="009F7F67" w:rsidP="000C2FAE">
      <w:pPr>
        <w:pStyle w:val="AERbodytext"/>
        <w:spacing w:after="0"/>
        <w:ind w:left="426"/>
        <w:jc w:val="both"/>
        <w:rPr>
          <w:rFonts w:ascii="Arial Narrow" w:hAnsi="Arial Narrow"/>
        </w:rPr>
      </w:pPr>
    </w:p>
    <w:p w:rsidR="007A426F" w:rsidRPr="0028766C" w:rsidRDefault="007A426F" w:rsidP="000C2FAE">
      <w:pPr>
        <w:pStyle w:val="AERbodytext"/>
        <w:spacing w:after="0"/>
        <w:ind w:left="426"/>
        <w:jc w:val="both"/>
        <w:rPr>
          <w:rFonts w:ascii="Arial Narrow" w:hAnsi="Arial Narrow"/>
        </w:rPr>
      </w:pPr>
    </w:p>
    <w:p w:rsidR="009F7F67" w:rsidRPr="0028766C" w:rsidRDefault="009F7F67" w:rsidP="00EE450F">
      <w:pPr>
        <w:pStyle w:val="AERbodytext"/>
        <w:spacing w:after="0"/>
        <w:jc w:val="both"/>
        <w:rPr>
          <w:rFonts w:ascii="Arial Narrow" w:hAnsi="Arial Narrow"/>
        </w:rPr>
      </w:pPr>
      <w:r w:rsidRPr="0028766C">
        <w:rPr>
          <w:rFonts w:ascii="Arial Narrow" w:hAnsi="Arial Narrow"/>
        </w:rPr>
        <w:lastRenderedPageBreak/>
        <w:t>In its Draft Decision, the AER has relied substantially on a report provided by Wilson Cook and Co called “Review of Expenditure of Queensland &amp; South Australian Gas Distributors: Envestra Ltd (</w:t>
      </w:r>
      <w:smartTag w:uri="urn:schemas-microsoft-com:office:smarttags" w:element="place">
        <w:smartTag w:uri="urn:schemas-microsoft-com:office:smarttags" w:element="State">
          <w:r w:rsidRPr="0028766C">
            <w:rPr>
              <w:rFonts w:ascii="Arial Narrow" w:hAnsi="Arial Narrow"/>
            </w:rPr>
            <w:t>Queensland</w:t>
          </w:r>
        </w:smartTag>
      </w:smartTag>
      <w:r w:rsidRPr="0028766C">
        <w:rPr>
          <w:rFonts w:ascii="Arial Narrow" w:hAnsi="Arial Narrow"/>
        </w:rPr>
        <w:t>)” dated December 2010. This report is referred to in this attachment as the “WC Report”.</w:t>
      </w:r>
    </w:p>
    <w:p w:rsidR="00E96FE0" w:rsidRPr="0028766C" w:rsidRDefault="00E96FE0" w:rsidP="000C2FAE">
      <w:pPr>
        <w:pStyle w:val="AERbodytext"/>
        <w:spacing w:after="0"/>
        <w:ind w:left="567"/>
        <w:jc w:val="both"/>
        <w:rPr>
          <w:rFonts w:ascii="Arial Narrow" w:hAnsi="Arial Narrow"/>
        </w:rPr>
      </w:pPr>
    </w:p>
    <w:p w:rsidR="0004061A" w:rsidRPr="0028766C" w:rsidRDefault="00015FF1" w:rsidP="000C2FAE">
      <w:pPr>
        <w:pStyle w:val="Heading1"/>
        <w:spacing w:before="0" w:line="240" w:lineRule="auto"/>
        <w:rPr>
          <w:szCs w:val="24"/>
        </w:rPr>
      </w:pPr>
      <w:r w:rsidRPr="0028766C">
        <w:rPr>
          <w:szCs w:val="24"/>
        </w:rPr>
        <w:t xml:space="preserve">Labour and Material </w:t>
      </w:r>
      <w:r w:rsidR="0004061A" w:rsidRPr="0028766C">
        <w:rPr>
          <w:szCs w:val="24"/>
        </w:rPr>
        <w:t>Cost Escalat</w:t>
      </w:r>
      <w:r w:rsidR="006A74F2" w:rsidRPr="0028766C">
        <w:rPr>
          <w:szCs w:val="24"/>
        </w:rPr>
        <w:t>ors</w:t>
      </w:r>
    </w:p>
    <w:p w:rsidR="006A74F2" w:rsidRPr="0028766C" w:rsidRDefault="006A74F2" w:rsidP="000C2FAE">
      <w:pPr>
        <w:spacing w:after="0" w:line="240" w:lineRule="auto"/>
        <w:rPr>
          <w:rFonts w:ascii="Arial Narrow" w:hAnsi="Arial Narrow"/>
          <w:sz w:val="24"/>
          <w:szCs w:val="24"/>
        </w:rPr>
      </w:pPr>
    </w:p>
    <w:p w:rsidR="009F7F67" w:rsidRPr="0028766C" w:rsidRDefault="009F7F67" w:rsidP="005A56C2">
      <w:pPr>
        <w:pStyle w:val="Heading2"/>
      </w:pPr>
      <w:r w:rsidRPr="0028766C">
        <w:t>AER Draft Decision</w:t>
      </w:r>
    </w:p>
    <w:p w:rsidR="009F7F67" w:rsidRPr="0028766C" w:rsidRDefault="009F7F67" w:rsidP="000C2FAE">
      <w:pPr>
        <w:pStyle w:val="AERbodytext"/>
        <w:spacing w:after="0"/>
        <w:jc w:val="both"/>
        <w:rPr>
          <w:rFonts w:ascii="Arial Narrow" w:hAnsi="Arial Narrow"/>
          <w:b/>
        </w:rPr>
      </w:pPr>
    </w:p>
    <w:p w:rsidR="005F1811" w:rsidRDefault="005F1811" w:rsidP="00EE450F">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 xml:space="preserve">The AER rejected </w:t>
      </w:r>
      <w:proofErr w:type="spellStart"/>
      <w:r w:rsidRPr="007F230F">
        <w:rPr>
          <w:rFonts w:ascii="Arial Narrow" w:eastAsia="Times New Roman" w:hAnsi="Arial Narrow"/>
          <w:sz w:val="24"/>
          <w:szCs w:val="24"/>
        </w:rPr>
        <w:t>Envestra’s</w:t>
      </w:r>
      <w:proofErr w:type="spellEnd"/>
      <w:r w:rsidRPr="007F230F">
        <w:rPr>
          <w:rFonts w:ascii="Arial Narrow" w:eastAsia="Times New Roman" w:hAnsi="Arial Narrow"/>
          <w:sz w:val="24"/>
          <w:szCs w:val="24"/>
        </w:rPr>
        <w:t xml:space="preserve"> forecast input cost escalators, which forecasts were prepared by BIS Shrapnel (“BIS”), for a number of reasons:</w:t>
      </w:r>
    </w:p>
    <w:p w:rsidR="002E471F" w:rsidRPr="007F230F" w:rsidRDefault="002E471F" w:rsidP="00EE450F">
      <w:pPr>
        <w:spacing w:after="0" w:line="240" w:lineRule="auto"/>
        <w:ind w:firstLine="9"/>
        <w:jc w:val="both"/>
        <w:rPr>
          <w:rFonts w:ascii="Arial Narrow" w:eastAsia="Times New Roman" w:hAnsi="Arial Narrow"/>
          <w:sz w:val="24"/>
          <w:szCs w:val="24"/>
        </w:rPr>
      </w:pPr>
    </w:p>
    <w:p w:rsidR="005F1811" w:rsidRPr="007F230F" w:rsidRDefault="005F1811" w:rsidP="00DE0E00">
      <w:pPr>
        <w:numPr>
          <w:ilvl w:val="0"/>
          <w:numId w:val="13"/>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In relation to the index measure used to forecast labour price growth, Envestra proposed escalators based on the Average Weekly Ordinary Time Earnings (AWOTE) measure, whereas the AER considered that the Labour Price Index (LPI) is the better measure of changes in labour price;</w:t>
      </w:r>
    </w:p>
    <w:p w:rsidR="005F1811" w:rsidRPr="007F230F" w:rsidRDefault="005F1811" w:rsidP="00DE0E00">
      <w:pPr>
        <w:numPr>
          <w:ilvl w:val="0"/>
          <w:numId w:val="13"/>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The AER considered that BIS did not explicitly adjust the labour cost measure for the effect of productivity on each unit of output (i.e. for changes in labour productivity); and</w:t>
      </w:r>
    </w:p>
    <w:p w:rsidR="005F1811" w:rsidRPr="007F230F" w:rsidRDefault="005F1811" w:rsidP="00DE0E00">
      <w:pPr>
        <w:numPr>
          <w:ilvl w:val="0"/>
          <w:numId w:val="13"/>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The AER considered that there was a lack of detail and substantiation in the BIS report in relation to the proposed “network materials” escalator, and consequently concluded that there should be no real escalator for network materials.</w:t>
      </w:r>
    </w:p>
    <w:p w:rsidR="00A9191B" w:rsidRPr="0028766C" w:rsidRDefault="00A9191B" w:rsidP="000C2FAE">
      <w:pPr>
        <w:tabs>
          <w:tab w:val="left" w:pos="993"/>
        </w:tabs>
        <w:spacing w:after="0" w:line="240" w:lineRule="auto"/>
        <w:ind w:left="998"/>
        <w:jc w:val="both"/>
        <w:rPr>
          <w:rFonts w:ascii="Arial Narrow" w:eastAsia="Times New Roman" w:hAnsi="Arial Narrow"/>
          <w:sz w:val="24"/>
          <w:szCs w:val="24"/>
        </w:rPr>
      </w:pPr>
    </w:p>
    <w:p w:rsidR="009F7F67" w:rsidRPr="0028766C" w:rsidRDefault="009F7F67" w:rsidP="005A56C2">
      <w:pPr>
        <w:pStyle w:val="Heading2"/>
      </w:pPr>
      <w:r w:rsidRPr="0028766C">
        <w:t>Envestra Response</w:t>
      </w:r>
    </w:p>
    <w:p w:rsidR="009F7F67" w:rsidRPr="0028766C" w:rsidRDefault="009F7F67" w:rsidP="000C2FAE">
      <w:pPr>
        <w:pStyle w:val="AERbodytext"/>
        <w:spacing w:after="0"/>
        <w:jc w:val="both"/>
        <w:rPr>
          <w:rFonts w:ascii="Arial Narrow" w:hAnsi="Arial Narrow"/>
          <w:b/>
        </w:rPr>
      </w:pPr>
    </w:p>
    <w:p w:rsidR="005F1811" w:rsidRDefault="005F1811" w:rsidP="00EE450F">
      <w:pPr>
        <w:spacing w:after="0" w:line="240" w:lineRule="auto"/>
        <w:ind w:firstLine="9"/>
        <w:jc w:val="both"/>
        <w:rPr>
          <w:rFonts w:ascii="Arial Narrow" w:eastAsia="Times New Roman" w:hAnsi="Arial Narrow"/>
          <w:sz w:val="24"/>
          <w:szCs w:val="24"/>
        </w:rPr>
      </w:pPr>
      <w:r w:rsidRPr="007F230F">
        <w:rPr>
          <w:rFonts w:ascii="Arial Narrow" w:eastAsia="Times New Roman" w:hAnsi="Arial Narrow"/>
          <w:sz w:val="24"/>
          <w:szCs w:val="24"/>
        </w:rPr>
        <w:t>Envestra does not agree with the AER’s decision to use the LPI rather than AWOTE.  Envestra submits that AWOTE is the measure that complies with the requirements of the National Gas Law and the N</w:t>
      </w:r>
      <w:r>
        <w:rPr>
          <w:rFonts w:ascii="Arial Narrow" w:eastAsia="Times New Roman" w:hAnsi="Arial Narrow"/>
          <w:sz w:val="24"/>
          <w:szCs w:val="24"/>
        </w:rPr>
        <w:t xml:space="preserve">ational </w:t>
      </w:r>
      <w:r w:rsidRPr="007F230F">
        <w:rPr>
          <w:rFonts w:ascii="Arial Narrow" w:eastAsia="Times New Roman" w:hAnsi="Arial Narrow"/>
          <w:sz w:val="24"/>
          <w:szCs w:val="24"/>
        </w:rPr>
        <w:t>G</w:t>
      </w:r>
      <w:r>
        <w:rPr>
          <w:rFonts w:ascii="Arial Narrow" w:eastAsia="Times New Roman" w:hAnsi="Arial Narrow"/>
          <w:sz w:val="24"/>
          <w:szCs w:val="24"/>
        </w:rPr>
        <w:t xml:space="preserve">as </w:t>
      </w:r>
      <w:r w:rsidRPr="007F230F">
        <w:rPr>
          <w:rFonts w:ascii="Arial Narrow" w:eastAsia="Times New Roman" w:hAnsi="Arial Narrow"/>
          <w:sz w:val="24"/>
          <w:szCs w:val="24"/>
        </w:rPr>
        <w:t>R</w:t>
      </w:r>
      <w:r>
        <w:rPr>
          <w:rFonts w:ascii="Arial Narrow" w:eastAsia="Times New Roman" w:hAnsi="Arial Narrow"/>
          <w:sz w:val="24"/>
          <w:szCs w:val="24"/>
        </w:rPr>
        <w:t>ules</w:t>
      </w:r>
      <w:r w:rsidRPr="007F230F">
        <w:rPr>
          <w:rFonts w:ascii="Arial Narrow" w:eastAsia="Times New Roman" w:hAnsi="Arial Narrow"/>
          <w:sz w:val="24"/>
          <w:szCs w:val="24"/>
        </w:rPr>
        <w:t xml:space="preserve">. </w:t>
      </w:r>
    </w:p>
    <w:p w:rsidR="004D64A7" w:rsidRPr="007F230F" w:rsidRDefault="004D64A7" w:rsidP="00EE450F">
      <w:pPr>
        <w:spacing w:after="0" w:line="240" w:lineRule="auto"/>
        <w:ind w:firstLine="9"/>
        <w:jc w:val="both"/>
        <w:rPr>
          <w:rFonts w:ascii="Arial Narrow" w:eastAsia="Times New Roman" w:hAnsi="Arial Narrow"/>
          <w:sz w:val="24"/>
          <w:szCs w:val="24"/>
        </w:rPr>
      </w:pPr>
    </w:p>
    <w:p w:rsidR="005F1811" w:rsidRDefault="005F1811" w:rsidP="00EE450F">
      <w:pPr>
        <w:spacing w:after="0" w:line="240" w:lineRule="auto"/>
        <w:ind w:firstLine="9"/>
        <w:jc w:val="both"/>
        <w:rPr>
          <w:rFonts w:ascii="Arial Narrow" w:eastAsia="Times New Roman" w:hAnsi="Arial Narrow"/>
          <w:sz w:val="24"/>
          <w:szCs w:val="24"/>
        </w:rPr>
      </w:pPr>
      <w:r w:rsidRPr="007F230F">
        <w:rPr>
          <w:rFonts w:ascii="Arial Narrow" w:eastAsia="Times New Roman" w:hAnsi="Arial Narrow"/>
          <w:sz w:val="24"/>
          <w:szCs w:val="24"/>
        </w:rPr>
        <w:t xml:space="preserve">The purpose of determining a cost escalator is to identify that escalator which results in cost benchmarks that provide a service provider with a reasonable opportunity to recover at least the efficient costs of providing reference services (National Gas Law, section 24(2)). The escalator selected must therefore be that which provides the best estimate arrived at on a reasonable basis of a service provider’s efficient costs. </w:t>
      </w:r>
    </w:p>
    <w:p w:rsidR="004D64A7" w:rsidRPr="007F230F" w:rsidRDefault="004D64A7" w:rsidP="00EE450F">
      <w:pPr>
        <w:spacing w:after="0" w:line="240" w:lineRule="auto"/>
        <w:ind w:firstLine="9"/>
        <w:jc w:val="both"/>
        <w:rPr>
          <w:rFonts w:ascii="Arial Narrow" w:eastAsia="Times New Roman" w:hAnsi="Arial Narrow"/>
          <w:sz w:val="24"/>
          <w:szCs w:val="24"/>
        </w:rPr>
      </w:pPr>
    </w:p>
    <w:p w:rsidR="005F1811" w:rsidRDefault="005F1811" w:rsidP="00EE450F">
      <w:pPr>
        <w:spacing w:after="0" w:line="240" w:lineRule="auto"/>
        <w:ind w:firstLine="9"/>
        <w:jc w:val="both"/>
        <w:rPr>
          <w:rFonts w:ascii="Arial Narrow" w:eastAsia="Times New Roman" w:hAnsi="Arial Narrow"/>
          <w:sz w:val="24"/>
          <w:szCs w:val="24"/>
        </w:rPr>
      </w:pPr>
      <w:r w:rsidRPr="007F230F">
        <w:rPr>
          <w:rFonts w:ascii="Arial Narrow" w:eastAsia="Times New Roman" w:hAnsi="Arial Narrow"/>
          <w:sz w:val="24"/>
          <w:szCs w:val="24"/>
        </w:rPr>
        <w:t xml:space="preserve">The LPI does not satisfy the above criteria.  This is primarily because the LPI does not incorporate changes in the skill composition of the workforce whereas the AWOTE measure does. Compositional changes, which are ongoing in labour markets, capture the effect of there being a higher proportion of higher skilled workers, which in turn is an important driver of changes in labour cost to a firm.  </w:t>
      </w:r>
    </w:p>
    <w:p w:rsidR="004D64A7" w:rsidRPr="007F230F" w:rsidRDefault="004D64A7" w:rsidP="00EE450F">
      <w:pPr>
        <w:spacing w:after="0" w:line="240" w:lineRule="auto"/>
        <w:ind w:firstLine="9"/>
        <w:jc w:val="both"/>
        <w:rPr>
          <w:rFonts w:ascii="Arial Narrow" w:eastAsia="Times New Roman" w:hAnsi="Arial Narrow"/>
          <w:sz w:val="24"/>
          <w:szCs w:val="24"/>
        </w:rPr>
      </w:pPr>
    </w:p>
    <w:p w:rsidR="005F1811" w:rsidRPr="007F230F" w:rsidRDefault="005F1811" w:rsidP="00EE450F">
      <w:pPr>
        <w:spacing w:after="0" w:line="240" w:lineRule="auto"/>
        <w:jc w:val="both"/>
        <w:rPr>
          <w:rFonts w:ascii="Arial Narrow" w:hAnsi="Arial Narrow"/>
          <w:sz w:val="24"/>
          <w:szCs w:val="24"/>
        </w:rPr>
      </w:pPr>
      <w:r w:rsidRPr="007F230F">
        <w:rPr>
          <w:rFonts w:ascii="Arial Narrow" w:eastAsia="Times New Roman" w:hAnsi="Arial Narrow"/>
          <w:sz w:val="24"/>
          <w:szCs w:val="24"/>
        </w:rPr>
        <w:t xml:space="preserve">It is for this reason that </w:t>
      </w:r>
      <w:r w:rsidRPr="007F230F">
        <w:rPr>
          <w:rFonts w:ascii="Arial Narrow" w:hAnsi="Arial Narrow"/>
          <w:sz w:val="24"/>
          <w:szCs w:val="24"/>
        </w:rPr>
        <w:t xml:space="preserve">the use of AWOTE is not a position advocated only by service providers. Both regulators and their consultants have also </w:t>
      </w:r>
      <w:r>
        <w:rPr>
          <w:rFonts w:ascii="Arial Narrow" w:hAnsi="Arial Narrow"/>
          <w:sz w:val="24"/>
          <w:szCs w:val="24"/>
        </w:rPr>
        <w:t xml:space="preserve">used </w:t>
      </w:r>
      <w:r w:rsidRPr="007F230F">
        <w:rPr>
          <w:rFonts w:ascii="Arial Narrow" w:hAnsi="Arial Narrow"/>
          <w:sz w:val="24"/>
          <w:szCs w:val="24"/>
        </w:rPr>
        <w:t xml:space="preserve">AWOTE in past regulatory decisions. For example, in the 2008-2012 Gas Access Arrangement Review (GAAR), Pacific Economics Group, who were a consultant to the Essential Services Commission of Victoria (ESCV), stated: </w:t>
      </w:r>
    </w:p>
    <w:p w:rsidR="005F1811" w:rsidRPr="007F230F" w:rsidRDefault="005F1811" w:rsidP="000C2FAE">
      <w:pPr>
        <w:pStyle w:val="AERbodytext"/>
        <w:spacing w:after="0"/>
        <w:ind w:left="567"/>
        <w:jc w:val="both"/>
        <w:rPr>
          <w:rFonts w:ascii="Arial Narrow" w:hAnsi="Arial Narrow"/>
          <w:highlight w:val="yellow"/>
        </w:rPr>
      </w:pPr>
    </w:p>
    <w:p w:rsidR="005A5431" w:rsidRDefault="005F1811" w:rsidP="00EE450F">
      <w:pPr>
        <w:spacing w:after="0" w:line="240" w:lineRule="auto"/>
        <w:ind w:left="567" w:right="565"/>
        <w:jc w:val="both"/>
        <w:rPr>
          <w:rFonts w:ascii="Arial Narrow" w:hAnsi="Arial Narrow"/>
          <w:i/>
          <w:sz w:val="24"/>
          <w:szCs w:val="24"/>
        </w:rPr>
      </w:pPr>
      <w:r w:rsidRPr="007F230F">
        <w:rPr>
          <w:rFonts w:ascii="Arial Narrow" w:hAnsi="Arial Narrow"/>
          <w:sz w:val="24"/>
          <w:szCs w:val="24"/>
        </w:rPr>
        <w:t>“</w:t>
      </w:r>
      <w:r w:rsidRPr="007F230F">
        <w:rPr>
          <w:rFonts w:ascii="Arial Narrow" w:hAnsi="Arial Narrow"/>
          <w:i/>
          <w:sz w:val="24"/>
          <w:szCs w:val="24"/>
        </w:rPr>
        <w:t xml:space="preserve">There are two main options for </w:t>
      </w:r>
      <w:smartTag w:uri="urn:schemas-microsoft-com:office:smarttags" w:element="place">
        <w:smartTag w:uri="urn:schemas-microsoft-com:office:smarttags" w:element="country-region">
          <w:r w:rsidRPr="007F230F">
            <w:rPr>
              <w:rFonts w:ascii="Arial Narrow" w:hAnsi="Arial Narrow"/>
              <w:i/>
              <w:sz w:val="24"/>
              <w:szCs w:val="24"/>
            </w:rPr>
            <w:t>Australia</w:t>
          </w:r>
        </w:smartTag>
      </w:smartTag>
      <w:r w:rsidRPr="007F230F">
        <w:rPr>
          <w:rFonts w:ascii="Arial Narrow" w:hAnsi="Arial Narrow"/>
          <w:i/>
          <w:sz w:val="24"/>
          <w:szCs w:val="24"/>
        </w:rPr>
        <w:t xml:space="preserve">’s electric, gas and water (EGW) sector:  the AWOTE recommended by BIS Shrapnel and </w:t>
      </w:r>
      <w:proofErr w:type="spellStart"/>
      <w:r w:rsidRPr="007F230F">
        <w:rPr>
          <w:rFonts w:ascii="Arial Narrow" w:hAnsi="Arial Narrow"/>
          <w:i/>
          <w:sz w:val="24"/>
          <w:szCs w:val="24"/>
        </w:rPr>
        <w:t>Meyrick</w:t>
      </w:r>
      <w:proofErr w:type="spellEnd"/>
      <w:r w:rsidRPr="007F230F">
        <w:rPr>
          <w:rFonts w:ascii="Arial Narrow" w:hAnsi="Arial Narrow"/>
          <w:i/>
          <w:sz w:val="24"/>
          <w:szCs w:val="24"/>
        </w:rPr>
        <w:t xml:space="preserve">, and the Labour Price Index (LPI).  As a conceptual matter, PEG agrees with </w:t>
      </w:r>
      <w:proofErr w:type="spellStart"/>
      <w:r w:rsidRPr="007F230F">
        <w:rPr>
          <w:rFonts w:ascii="Arial Narrow" w:hAnsi="Arial Narrow"/>
          <w:i/>
          <w:sz w:val="24"/>
          <w:szCs w:val="24"/>
        </w:rPr>
        <w:t>Meyrick</w:t>
      </w:r>
      <w:proofErr w:type="spellEnd"/>
      <w:r w:rsidRPr="007F230F">
        <w:rPr>
          <w:rFonts w:ascii="Arial Narrow" w:hAnsi="Arial Narrow"/>
          <w:i/>
          <w:sz w:val="24"/>
          <w:szCs w:val="24"/>
        </w:rPr>
        <w:t xml:space="preserve"> and BIS Shrapnel that the AWOTE is preferred to the LPI.  The main reason is, as </w:t>
      </w:r>
      <w:proofErr w:type="spellStart"/>
      <w:r w:rsidRPr="007F230F">
        <w:rPr>
          <w:rFonts w:ascii="Arial Narrow" w:hAnsi="Arial Narrow"/>
          <w:i/>
          <w:sz w:val="24"/>
          <w:szCs w:val="24"/>
        </w:rPr>
        <w:t>Meyrick</w:t>
      </w:r>
      <w:proofErr w:type="spellEnd"/>
      <w:r w:rsidRPr="007F230F">
        <w:rPr>
          <w:rFonts w:ascii="Arial Narrow" w:hAnsi="Arial Narrow"/>
          <w:i/>
          <w:sz w:val="24"/>
          <w:szCs w:val="24"/>
        </w:rPr>
        <w:t xml:space="preserve"> has written, that the AWOTE is “more likely to accurately capture compositi</w:t>
      </w:r>
      <w:r w:rsidR="005A5431">
        <w:rPr>
          <w:rFonts w:ascii="Arial Narrow" w:hAnsi="Arial Narrow"/>
          <w:i/>
          <w:sz w:val="24"/>
          <w:szCs w:val="24"/>
        </w:rPr>
        <w:t>onal changes in the workforce.</w:t>
      </w:r>
    </w:p>
    <w:p w:rsidR="005F1811" w:rsidRDefault="005F1811" w:rsidP="00EE450F">
      <w:pPr>
        <w:spacing w:after="0" w:line="240" w:lineRule="auto"/>
        <w:ind w:left="567" w:right="565"/>
        <w:jc w:val="both"/>
        <w:rPr>
          <w:rFonts w:ascii="Arial Narrow" w:hAnsi="Arial Narrow"/>
          <w:sz w:val="24"/>
          <w:szCs w:val="24"/>
        </w:rPr>
      </w:pPr>
      <w:r w:rsidRPr="007F230F">
        <w:rPr>
          <w:rFonts w:ascii="Arial Narrow" w:hAnsi="Arial Narrow"/>
          <w:i/>
          <w:sz w:val="24"/>
          <w:szCs w:val="24"/>
        </w:rPr>
        <w:lastRenderedPageBreak/>
        <w:t xml:space="preserve">This means it will capture the effect of </w:t>
      </w:r>
      <w:proofErr w:type="spellStart"/>
      <w:r w:rsidRPr="007F230F">
        <w:rPr>
          <w:rFonts w:ascii="Arial Narrow" w:hAnsi="Arial Narrow"/>
          <w:i/>
          <w:sz w:val="24"/>
          <w:szCs w:val="24"/>
        </w:rPr>
        <w:t>upskilling</w:t>
      </w:r>
      <w:proofErr w:type="spellEnd"/>
      <w:r w:rsidRPr="007F230F">
        <w:rPr>
          <w:rFonts w:ascii="Arial Narrow" w:hAnsi="Arial Narrow"/>
          <w:i/>
          <w:sz w:val="24"/>
          <w:szCs w:val="24"/>
        </w:rPr>
        <w:t xml:space="preserve"> as employers rely less on unskilled labour and as capital is progressively substituted for labour</w:t>
      </w:r>
      <w:r w:rsidRPr="007F230F">
        <w:rPr>
          <w:rStyle w:val="FootnoteReference"/>
          <w:rFonts w:ascii="Arial Narrow" w:hAnsi="Arial Narrow"/>
          <w:i/>
          <w:sz w:val="24"/>
          <w:szCs w:val="24"/>
        </w:rPr>
        <w:footnoteReference w:id="1"/>
      </w:r>
      <w:r w:rsidRPr="007F230F">
        <w:rPr>
          <w:rFonts w:ascii="Arial Narrow" w:hAnsi="Arial Narrow"/>
          <w:i/>
          <w:sz w:val="24"/>
          <w:szCs w:val="24"/>
        </w:rPr>
        <w:t>.</w:t>
      </w:r>
      <w:r w:rsidRPr="007F230F">
        <w:rPr>
          <w:rFonts w:ascii="Arial Narrow" w:hAnsi="Arial Narrow"/>
          <w:sz w:val="24"/>
          <w:szCs w:val="24"/>
        </w:rPr>
        <w:t>”</w:t>
      </w:r>
    </w:p>
    <w:p w:rsidR="004D64A7" w:rsidRPr="007F230F" w:rsidRDefault="004D64A7" w:rsidP="000C2FAE">
      <w:pPr>
        <w:spacing w:after="0" w:line="240" w:lineRule="auto"/>
        <w:ind w:left="720"/>
        <w:rPr>
          <w:rFonts w:ascii="Arial Narrow" w:hAnsi="Arial Narrow"/>
          <w:sz w:val="24"/>
          <w:szCs w:val="24"/>
          <w:lang w:val="en-US"/>
        </w:rPr>
      </w:pPr>
    </w:p>
    <w:p w:rsidR="005F1811" w:rsidRDefault="005F1811" w:rsidP="004B67CA">
      <w:pPr>
        <w:spacing w:after="0" w:line="240" w:lineRule="auto"/>
        <w:jc w:val="both"/>
        <w:rPr>
          <w:rFonts w:ascii="Arial Narrow" w:hAnsi="Arial Narrow"/>
          <w:sz w:val="24"/>
          <w:szCs w:val="24"/>
        </w:rPr>
      </w:pPr>
      <w:r w:rsidRPr="007F230F">
        <w:rPr>
          <w:rFonts w:ascii="Arial Narrow" w:hAnsi="Arial Narrow"/>
          <w:sz w:val="24"/>
          <w:szCs w:val="24"/>
        </w:rPr>
        <w:t xml:space="preserve">Likewise, in its 2006 review of </w:t>
      </w:r>
      <w:proofErr w:type="spellStart"/>
      <w:r w:rsidRPr="007F230F">
        <w:rPr>
          <w:rFonts w:ascii="Arial Narrow" w:hAnsi="Arial Narrow"/>
          <w:sz w:val="24"/>
          <w:szCs w:val="24"/>
        </w:rPr>
        <w:t>Envestra’s</w:t>
      </w:r>
      <w:proofErr w:type="spellEnd"/>
      <w:r w:rsidRPr="007F230F">
        <w:rPr>
          <w:rFonts w:ascii="Arial Narrow" w:hAnsi="Arial Narrow"/>
          <w:sz w:val="24"/>
          <w:szCs w:val="24"/>
        </w:rPr>
        <w:t xml:space="preserve"> South Australian Access Arrangement, the Essential Services Commission of South Australia (ESCOSA) accepted that </w:t>
      </w:r>
      <w:proofErr w:type="spellStart"/>
      <w:r w:rsidRPr="007F230F">
        <w:rPr>
          <w:rFonts w:ascii="Arial Narrow" w:hAnsi="Arial Narrow"/>
          <w:sz w:val="24"/>
          <w:szCs w:val="24"/>
        </w:rPr>
        <w:t>Envestra’s</w:t>
      </w:r>
      <w:proofErr w:type="spellEnd"/>
      <w:r w:rsidRPr="007F230F">
        <w:rPr>
          <w:rFonts w:ascii="Arial Narrow" w:hAnsi="Arial Narrow"/>
          <w:sz w:val="24"/>
          <w:szCs w:val="24"/>
        </w:rPr>
        <w:t xml:space="preserve"> forecast real wage escalation, which was based on AWOTE, was “compliant with the requirements of the Code”.</w:t>
      </w:r>
      <w:r w:rsidRPr="007F230F">
        <w:rPr>
          <w:rStyle w:val="FootnoteReference"/>
          <w:rFonts w:ascii="Arial Narrow" w:hAnsi="Arial Narrow"/>
          <w:sz w:val="24"/>
          <w:szCs w:val="24"/>
        </w:rPr>
        <w:footnoteReference w:id="2"/>
      </w:r>
      <w:r w:rsidRPr="007F230F">
        <w:rPr>
          <w:rFonts w:ascii="Arial Narrow" w:hAnsi="Arial Narrow"/>
          <w:sz w:val="24"/>
          <w:szCs w:val="24"/>
        </w:rPr>
        <w:t xml:space="preserve"> The requirements of the Code relevant to considering this matter are consistent with the relevant requirements of the NGR. </w:t>
      </w:r>
    </w:p>
    <w:p w:rsidR="00601429" w:rsidRPr="007F230F" w:rsidRDefault="00601429" w:rsidP="004B67CA">
      <w:pPr>
        <w:spacing w:after="0" w:line="240" w:lineRule="auto"/>
        <w:jc w:val="both"/>
        <w:rPr>
          <w:rFonts w:ascii="Arial Narrow" w:hAnsi="Arial Narrow"/>
          <w:sz w:val="24"/>
          <w:szCs w:val="24"/>
        </w:rPr>
      </w:pPr>
    </w:p>
    <w:p w:rsidR="005F1811" w:rsidRDefault="005F1811" w:rsidP="004B67CA">
      <w:pPr>
        <w:spacing w:after="0" w:line="240" w:lineRule="auto"/>
        <w:jc w:val="both"/>
        <w:rPr>
          <w:rFonts w:ascii="Arial Narrow" w:hAnsi="Arial Narrow"/>
          <w:sz w:val="24"/>
          <w:szCs w:val="24"/>
        </w:rPr>
      </w:pPr>
      <w:r w:rsidRPr="007F230F">
        <w:rPr>
          <w:rFonts w:ascii="Arial Narrow" w:hAnsi="Arial Narrow"/>
          <w:sz w:val="24"/>
          <w:szCs w:val="24"/>
        </w:rPr>
        <w:t xml:space="preserve">In short Envestra notes that the use of AWOTE has been advocated or approved by ESCOSA, Pacific Economics Group, Economic Insights, Professor Borland, BIS Shrapnel, </w:t>
      </w:r>
      <w:proofErr w:type="spellStart"/>
      <w:r w:rsidRPr="007F230F">
        <w:rPr>
          <w:rFonts w:ascii="Arial Narrow" w:hAnsi="Arial Narrow"/>
          <w:sz w:val="24"/>
          <w:szCs w:val="24"/>
        </w:rPr>
        <w:t>Meyrick</w:t>
      </w:r>
      <w:proofErr w:type="spellEnd"/>
      <w:r w:rsidRPr="007F230F">
        <w:rPr>
          <w:rFonts w:ascii="Arial Narrow" w:hAnsi="Arial Narrow"/>
          <w:sz w:val="24"/>
          <w:szCs w:val="24"/>
        </w:rPr>
        <w:t xml:space="preserve"> and Associates and KPMG </w:t>
      </w:r>
      <w:proofErr w:type="spellStart"/>
      <w:r w:rsidRPr="007F230F">
        <w:rPr>
          <w:rFonts w:ascii="Arial Narrow" w:hAnsi="Arial Narrow"/>
          <w:sz w:val="24"/>
          <w:szCs w:val="24"/>
        </w:rPr>
        <w:t>Econtech</w:t>
      </w:r>
      <w:proofErr w:type="spellEnd"/>
      <w:r w:rsidRPr="007F230F">
        <w:rPr>
          <w:rStyle w:val="FootnoteReference"/>
          <w:rFonts w:ascii="Arial Narrow" w:hAnsi="Arial Narrow"/>
          <w:sz w:val="24"/>
          <w:szCs w:val="24"/>
        </w:rPr>
        <w:footnoteReference w:id="3"/>
      </w:r>
      <w:r w:rsidRPr="007F230F">
        <w:rPr>
          <w:rFonts w:ascii="Arial Narrow" w:hAnsi="Arial Narrow"/>
          <w:sz w:val="24"/>
          <w:szCs w:val="24"/>
        </w:rPr>
        <w:t>. The reason for the strong expert support for AWOTE is that it provides a more accurate estimate of the forecast changes in labour costs (rather than price) of a business.  The reasons for this are explained below.</w:t>
      </w:r>
    </w:p>
    <w:p w:rsidR="00677A9C" w:rsidRPr="007F230F" w:rsidRDefault="00677A9C" w:rsidP="004B67CA">
      <w:pPr>
        <w:spacing w:after="0" w:line="240" w:lineRule="auto"/>
        <w:jc w:val="both"/>
        <w:rPr>
          <w:rFonts w:ascii="Arial Narrow" w:hAnsi="Arial Narrow"/>
          <w:sz w:val="24"/>
          <w:szCs w:val="24"/>
        </w:rPr>
      </w:pPr>
    </w:p>
    <w:p w:rsidR="005F1811" w:rsidRPr="007F230F" w:rsidRDefault="005F1811" w:rsidP="004B67CA">
      <w:pPr>
        <w:pStyle w:val="AERbodytext"/>
        <w:spacing w:after="0"/>
        <w:jc w:val="both"/>
        <w:rPr>
          <w:rFonts w:ascii="Arial Narrow" w:hAnsi="Arial Narrow"/>
        </w:rPr>
      </w:pPr>
      <w:proofErr w:type="spellStart"/>
      <w:r w:rsidRPr="007F230F">
        <w:rPr>
          <w:rFonts w:ascii="Arial Narrow" w:hAnsi="Arial Narrow"/>
        </w:rPr>
        <w:t>Envestra’s</w:t>
      </w:r>
      <w:proofErr w:type="spellEnd"/>
      <w:r w:rsidRPr="007F230F">
        <w:rPr>
          <w:rFonts w:ascii="Arial Narrow" w:hAnsi="Arial Narrow"/>
        </w:rPr>
        <w:t xml:space="preserve"> submission is supported by expert reports by Professor Jeff Borland, “Labour </w:t>
      </w:r>
      <w:r>
        <w:rPr>
          <w:rFonts w:ascii="Arial Narrow" w:hAnsi="Arial Narrow"/>
        </w:rPr>
        <w:t xml:space="preserve">Cost </w:t>
      </w:r>
      <w:r w:rsidRPr="007F230F">
        <w:rPr>
          <w:rFonts w:ascii="Arial Narrow" w:hAnsi="Arial Narrow"/>
        </w:rPr>
        <w:t xml:space="preserve">Escalation </w:t>
      </w:r>
      <w:r>
        <w:rPr>
          <w:rFonts w:ascii="Arial Narrow" w:hAnsi="Arial Narrow"/>
        </w:rPr>
        <w:t>Report for Envestra Limited</w:t>
      </w:r>
      <w:r w:rsidRPr="007F230F">
        <w:rPr>
          <w:rFonts w:ascii="Arial Narrow" w:hAnsi="Arial Narrow"/>
        </w:rPr>
        <w:t>”, Economic Insights, “</w:t>
      </w:r>
      <w:r>
        <w:rPr>
          <w:rFonts w:ascii="Arial Narrow" w:hAnsi="Arial Narrow"/>
        </w:rPr>
        <w:t xml:space="preserve">Review of AER Draft Decisions on Envestra Queensland’s and Envestra South Australia’s Input Price Escalators” </w:t>
      </w:r>
      <w:r w:rsidRPr="007F230F">
        <w:rPr>
          <w:rFonts w:ascii="Arial Narrow" w:hAnsi="Arial Narrow"/>
        </w:rPr>
        <w:t>(Economic Insights 2011a) and BIS Shrapnel, “Real Cost Escalation Forecasts to 2015/16 – Queensland and South Australia” (BIS Shrapnel 2011), which reports form part of, and should be reviewed in conjunction with, this AAI.</w:t>
      </w:r>
    </w:p>
    <w:p w:rsidR="009F7F67" w:rsidRPr="0028766C" w:rsidRDefault="009F7F67" w:rsidP="000C2FAE">
      <w:pPr>
        <w:pStyle w:val="AERbodytext"/>
        <w:spacing w:after="0"/>
        <w:jc w:val="both"/>
        <w:rPr>
          <w:rFonts w:ascii="Arial Narrow" w:hAnsi="Arial Narrow"/>
        </w:rPr>
      </w:pPr>
    </w:p>
    <w:p w:rsidR="009F7F67" w:rsidRPr="0028766C" w:rsidRDefault="009F7F67" w:rsidP="005A56C2">
      <w:pPr>
        <w:pStyle w:val="Heading2"/>
      </w:pPr>
      <w:r w:rsidRPr="0028766C">
        <w:t>The Relative Merits of AWOTE and LPI</w:t>
      </w:r>
    </w:p>
    <w:p w:rsidR="009F7F67" w:rsidRPr="0028766C" w:rsidRDefault="009F7F67" w:rsidP="000C2FAE">
      <w:pPr>
        <w:pStyle w:val="AERbodytext"/>
        <w:spacing w:after="0"/>
        <w:jc w:val="both"/>
        <w:rPr>
          <w:rFonts w:ascii="Arial Narrow" w:hAnsi="Arial Narrow"/>
        </w:rPr>
      </w:pPr>
    </w:p>
    <w:p w:rsidR="00C80C45" w:rsidRDefault="00C80C45" w:rsidP="004B67CA">
      <w:pPr>
        <w:spacing w:after="0" w:line="240" w:lineRule="auto"/>
        <w:ind w:firstLine="9"/>
        <w:jc w:val="both"/>
        <w:rPr>
          <w:rFonts w:ascii="Arial Narrow" w:eastAsia="Times New Roman" w:hAnsi="Arial Narrow"/>
          <w:sz w:val="24"/>
          <w:szCs w:val="24"/>
        </w:rPr>
      </w:pPr>
      <w:r w:rsidRPr="007F230F">
        <w:rPr>
          <w:rFonts w:ascii="Arial Narrow" w:eastAsia="Times New Roman" w:hAnsi="Arial Narrow"/>
          <w:sz w:val="24"/>
          <w:szCs w:val="24"/>
        </w:rPr>
        <w:t xml:space="preserve">Envestra refers to the report prepared by Professor Jeff Borland of </w:t>
      </w:r>
      <w:smartTag w:uri="urn:schemas-microsoft-com:office:smarttags" w:element="place">
        <w:smartTag w:uri="urn:schemas-microsoft-com:office:smarttags" w:element="PlaceName">
          <w:r w:rsidRPr="007F230F">
            <w:rPr>
              <w:rFonts w:ascii="Arial Narrow" w:eastAsia="Times New Roman" w:hAnsi="Arial Narrow"/>
              <w:sz w:val="24"/>
              <w:szCs w:val="24"/>
            </w:rPr>
            <w:t>Melbourne</w:t>
          </w:r>
        </w:smartTag>
        <w:r w:rsidRPr="007F230F">
          <w:rPr>
            <w:rFonts w:ascii="Arial Narrow" w:eastAsia="Times New Roman" w:hAnsi="Arial Narrow"/>
            <w:sz w:val="24"/>
            <w:szCs w:val="24"/>
          </w:rPr>
          <w:t xml:space="preserve"> </w:t>
        </w:r>
        <w:smartTag w:uri="urn:schemas-microsoft-com:office:smarttags" w:element="PlaceType">
          <w:r w:rsidRPr="007F230F">
            <w:rPr>
              <w:rFonts w:ascii="Arial Narrow" w:eastAsia="Times New Roman" w:hAnsi="Arial Narrow"/>
              <w:sz w:val="24"/>
              <w:szCs w:val="24"/>
            </w:rPr>
            <w:t>University</w:t>
          </w:r>
        </w:smartTag>
      </w:smartTag>
      <w:r w:rsidRPr="007F230F">
        <w:rPr>
          <w:rFonts w:ascii="Arial Narrow" w:eastAsia="Times New Roman" w:hAnsi="Arial Narrow"/>
          <w:sz w:val="24"/>
          <w:szCs w:val="24"/>
        </w:rPr>
        <w:t xml:space="preserve">, which accompanies this submission. Professor Borland is an expert on the operation of labour markets in </w:t>
      </w:r>
      <w:smartTag w:uri="urn:schemas-microsoft-com:office:smarttags" w:element="place">
        <w:smartTag w:uri="urn:schemas-microsoft-com:office:smarttags" w:element="country-region">
          <w:r w:rsidRPr="007F230F">
            <w:rPr>
              <w:rFonts w:ascii="Arial Narrow" w:eastAsia="Times New Roman" w:hAnsi="Arial Narrow"/>
              <w:sz w:val="24"/>
              <w:szCs w:val="24"/>
            </w:rPr>
            <w:t>Australia</w:t>
          </w:r>
        </w:smartTag>
      </w:smartTag>
      <w:r w:rsidRPr="007F230F">
        <w:rPr>
          <w:rFonts w:ascii="Arial Narrow" w:eastAsia="Times New Roman" w:hAnsi="Arial Narrow"/>
          <w:sz w:val="24"/>
          <w:szCs w:val="24"/>
        </w:rPr>
        <w:t xml:space="preserve">. </w:t>
      </w:r>
    </w:p>
    <w:p w:rsidR="005B6BC9" w:rsidRPr="007F230F" w:rsidRDefault="005B6BC9" w:rsidP="004B67CA">
      <w:pPr>
        <w:spacing w:after="0" w:line="240" w:lineRule="auto"/>
        <w:ind w:firstLine="9"/>
        <w:jc w:val="both"/>
        <w:rPr>
          <w:rFonts w:ascii="Arial Narrow" w:eastAsia="Times New Roman" w:hAnsi="Arial Narrow"/>
          <w:sz w:val="24"/>
          <w:szCs w:val="24"/>
        </w:rPr>
      </w:pPr>
    </w:p>
    <w:p w:rsidR="00C80C45" w:rsidRDefault="00C80C45" w:rsidP="004B67CA">
      <w:pPr>
        <w:spacing w:after="0" w:line="240" w:lineRule="auto"/>
        <w:ind w:firstLine="9"/>
        <w:jc w:val="both"/>
        <w:rPr>
          <w:rFonts w:ascii="Arial Narrow" w:eastAsia="Times New Roman" w:hAnsi="Arial Narrow"/>
          <w:sz w:val="24"/>
          <w:szCs w:val="24"/>
        </w:rPr>
      </w:pPr>
      <w:r w:rsidRPr="007F230F">
        <w:rPr>
          <w:rFonts w:ascii="Arial Narrow" w:eastAsia="Times New Roman" w:hAnsi="Arial Narrow"/>
          <w:sz w:val="24"/>
          <w:szCs w:val="24"/>
        </w:rPr>
        <w:t>Professor Borland makes the following points in his report:</w:t>
      </w:r>
    </w:p>
    <w:p w:rsidR="005B6BC9" w:rsidRPr="007F230F" w:rsidRDefault="005B6BC9" w:rsidP="000C2FAE">
      <w:pPr>
        <w:spacing w:after="0" w:line="240" w:lineRule="auto"/>
        <w:ind w:left="567" w:firstLine="9"/>
        <w:jc w:val="both"/>
        <w:rPr>
          <w:rFonts w:ascii="Arial Narrow" w:eastAsia="Times New Roman" w:hAnsi="Arial Narrow"/>
          <w:sz w:val="24"/>
          <w:szCs w:val="24"/>
        </w:rPr>
      </w:pPr>
    </w:p>
    <w:p w:rsidR="00C80C45" w:rsidRPr="007F230F" w:rsidRDefault="00C80C45" w:rsidP="00DE0E00">
      <w:pPr>
        <w:numPr>
          <w:ilvl w:val="0"/>
          <w:numId w:val="14"/>
        </w:numPr>
        <w:tabs>
          <w:tab w:val="clear" w:pos="936"/>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unlike the AWOTE, the LPI does not capture changes in the cost of labour to a firm stemming from increases in workforce productivity that are driven by changes in the skill composition of the workforce. For example, a higher share of skilled workers and a lower share of low skilled workers will increase AWOTE but not the LPI.</w:t>
      </w:r>
      <w:r w:rsidRPr="007F230F">
        <w:rPr>
          <w:rStyle w:val="FootnoteReference"/>
          <w:rFonts w:ascii="Arial Narrow" w:eastAsia="Times New Roman" w:hAnsi="Arial Narrow"/>
          <w:sz w:val="24"/>
          <w:szCs w:val="24"/>
        </w:rPr>
        <w:footnoteReference w:id="4"/>
      </w:r>
      <w:r w:rsidRPr="007F230F">
        <w:rPr>
          <w:rFonts w:ascii="Arial Narrow" w:eastAsia="Times New Roman" w:hAnsi="Arial Narrow"/>
          <w:sz w:val="24"/>
          <w:szCs w:val="24"/>
        </w:rPr>
        <w:t xml:space="preserve"> Moreover, the LPI measure will only partially capture changes in the cost of labour driven by the increased productivity of individual workers;</w:t>
      </w:r>
    </w:p>
    <w:p w:rsidR="00C80C45" w:rsidRPr="007F230F" w:rsidRDefault="00C80C45" w:rsidP="00DE0E00">
      <w:pPr>
        <w:numPr>
          <w:ilvl w:val="0"/>
          <w:numId w:val="14"/>
        </w:numPr>
        <w:tabs>
          <w:tab w:val="clear" w:pos="936"/>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the AWOTE measure will therefore include all the components of productivity improvements that drive real wage growth while the LPI will not. To use the LPI as an earnings measure and then adjust for changes to labour productivity is to double-adjust for productivity changes (as the full cost of achieving gains in labour productivity are not reflected in the cost of labour used). The methodology employed by Access Economics, and accepted by the AER (of adjusting the LPI for changes in labour productivity) results in a downwardly biased measure of labour costs as it effectively adjusts for labour productivity twice;</w:t>
      </w:r>
    </w:p>
    <w:p w:rsidR="00C80C45" w:rsidRPr="007F230F" w:rsidRDefault="00C80C45" w:rsidP="00DE0E00">
      <w:pPr>
        <w:numPr>
          <w:ilvl w:val="0"/>
          <w:numId w:val="14"/>
        </w:numPr>
        <w:tabs>
          <w:tab w:val="clear" w:pos="936"/>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 xml:space="preserve">changes in the skill composition of the workforce are ongoing in the economy (that is, labour markets are not static); </w:t>
      </w:r>
    </w:p>
    <w:p w:rsidR="00C80C45" w:rsidRPr="007F230F" w:rsidRDefault="00C80C45" w:rsidP="00DE0E00">
      <w:pPr>
        <w:numPr>
          <w:ilvl w:val="0"/>
          <w:numId w:val="14"/>
        </w:numPr>
        <w:tabs>
          <w:tab w:val="clear" w:pos="936"/>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lastRenderedPageBreak/>
        <w:t>the argument by Access Economics that LPI best reflects price growth over time is not correct. The fundamental drivers of wages growth are labour productivity changes and CPI.  Over the period 1997/98 to 2009/10 the sum of CPI and labour productivity (4.45%) is best approximated by AWOTE (4.55%) and not LPI (3.6%), because LPI understates the true costs of labour;</w:t>
      </w:r>
    </w:p>
    <w:p w:rsidR="00C80C45" w:rsidRDefault="00C80C45" w:rsidP="00DE0E00">
      <w:pPr>
        <w:numPr>
          <w:ilvl w:val="0"/>
          <w:numId w:val="14"/>
        </w:numPr>
        <w:tabs>
          <w:tab w:val="clear" w:pos="936"/>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any difference in volatility between AWOTE and LPI is not an issue for forecasting. As long as there are multiple data points (which there are) those points can be used to forecast the trend of wages growth over time.</w:t>
      </w:r>
    </w:p>
    <w:p w:rsidR="004B7D66" w:rsidRPr="007F230F" w:rsidRDefault="004B7D66" w:rsidP="004B7D66">
      <w:pPr>
        <w:tabs>
          <w:tab w:val="left" w:pos="993"/>
        </w:tabs>
        <w:spacing w:after="0" w:line="240" w:lineRule="auto"/>
        <w:ind w:left="993"/>
        <w:jc w:val="both"/>
        <w:rPr>
          <w:rFonts w:ascii="Arial Narrow" w:eastAsia="Times New Roman" w:hAnsi="Arial Narrow"/>
          <w:sz w:val="24"/>
          <w:szCs w:val="24"/>
        </w:rPr>
      </w:pPr>
    </w:p>
    <w:p w:rsidR="00C80C45" w:rsidRDefault="00C80C45" w:rsidP="00BE794D">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Professor Borland concludes that:</w:t>
      </w:r>
    </w:p>
    <w:p w:rsidR="004B7D66" w:rsidRPr="007F230F" w:rsidRDefault="004B7D66" w:rsidP="000C2FAE">
      <w:pPr>
        <w:spacing w:after="0" w:line="240" w:lineRule="auto"/>
        <w:ind w:left="567" w:firstLine="9"/>
        <w:jc w:val="both"/>
        <w:rPr>
          <w:rFonts w:ascii="Arial Narrow" w:eastAsia="Times New Roman" w:hAnsi="Arial Narrow"/>
          <w:sz w:val="24"/>
          <w:szCs w:val="24"/>
        </w:rPr>
      </w:pPr>
    </w:p>
    <w:p w:rsidR="00407377" w:rsidRPr="002E55E6" w:rsidRDefault="00407377" w:rsidP="00407377">
      <w:pPr>
        <w:spacing w:before="240" w:after="0" w:line="240" w:lineRule="auto"/>
        <w:ind w:left="540"/>
        <w:jc w:val="both"/>
        <w:rPr>
          <w:rFonts w:ascii="Arial Narrow" w:hAnsi="Arial Narrow"/>
          <w:sz w:val="24"/>
          <w:szCs w:val="24"/>
        </w:rPr>
      </w:pPr>
      <w:r>
        <w:rPr>
          <w:rFonts w:ascii="Arial Narrow" w:hAnsi="Arial Narrow"/>
          <w:sz w:val="24"/>
          <w:szCs w:val="24"/>
        </w:rPr>
        <w:t>“</w:t>
      </w:r>
      <w:r w:rsidRPr="002E55E6">
        <w:rPr>
          <w:rFonts w:ascii="Arial Narrow" w:hAnsi="Arial Narrow"/>
          <w:i/>
          <w:sz w:val="24"/>
          <w:szCs w:val="24"/>
        </w:rPr>
        <w:t>The AWOTE series is, in my opinion, on both theoretical and practical grounds, the best series according to the test to be used as the basis for forecasts of future labour costs.  First, in deriving a productivity adjusted measure of labour costs, it is necessary for the earnings measure used to incorporate effects of changes to labour productivity – both due to composition effects and increases in the productivity of individual workers; otherwise the measure of changes to labour costs will under-estimate true changes in labour costs.  It is the AWOTE series that best reflects the effects of changes to average worker productivity on earnings.  That AWOTE reflects labour market fundamentals has been confirmed by the benchmarking exercise I have undertaken which shows that – over the longer-term – the rate of change in AWOTE is closely related to the sum of the rates of change in the CPI and labour productivity.  Second, for forecasting future earnings, and on the basis of the length of the time series of data available, I am not aware of practical problems with using AWOTE that would not also exist for other earnings series such as LPI.</w:t>
      </w:r>
      <w:r>
        <w:rPr>
          <w:rFonts w:ascii="Arial Narrow" w:hAnsi="Arial Narrow"/>
          <w:sz w:val="24"/>
          <w:szCs w:val="24"/>
        </w:rPr>
        <w:t>”</w:t>
      </w:r>
      <w:r>
        <w:rPr>
          <w:rStyle w:val="FootnoteReference"/>
          <w:rFonts w:ascii="Arial Narrow" w:hAnsi="Arial Narrow"/>
          <w:sz w:val="24"/>
          <w:szCs w:val="24"/>
        </w:rPr>
        <w:footnoteReference w:id="5"/>
      </w:r>
    </w:p>
    <w:p w:rsidR="004B7D66" w:rsidRPr="00B9208C" w:rsidRDefault="004B7D66" w:rsidP="000C2FAE">
      <w:pPr>
        <w:spacing w:after="0" w:line="240" w:lineRule="auto"/>
        <w:ind w:left="1260" w:firstLine="9"/>
        <w:jc w:val="both"/>
        <w:rPr>
          <w:rFonts w:ascii="Arial Narrow" w:eastAsia="Times New Roman" w:hAnsi="Arial Narrow"/>
          <w:sz w:val="24"/>
          <w:szCs w:val="24"/>
        </w:rPr>
      </w:pPr>
    </w:p>
    <w:p w:rsidR="00C80C45" w:rsidRDefault="00C80C45" w:rsidP="00BE794D">
      <w:pPr>
        <w:spacing w:after="0" w:line="240" w:lineRule="auto"/>
        <w:jc w:val="both"/>
        <w:rPr>
          <w:rFonts w:ascii="Arial Narrow" w:hAnsi="Arial Narrow"/>
          <w:sz w:val="24"/>
          <w:szCs w:val="24"/>
        </w:rPr>
      </w:pPr>
      <w:r w:rsidRPr="007F230F">
        <w:rPr>
          <w:rFonts w:ascii="Arial Narrow" w:hAnsi="Arial Narrow"/>
          <w:sz w:val="24"/>
          <w:szCs w:val="24"/>
        </w:rPr>
        <w:t>In addition to the report of Professor Borland, Envestra refers to the expert report of Economic Insights 2011a, which report supports the conclusions of Professor Borland.  Specifically Economic Insights states:</w:t>
      </w:r>
    </w:p>
    <w:p w:rsidR="00DE7C85" w:rsidRPr="007F230F" w:rsidRDefault="00DE7C85" w:rsidP="000C2FAE">
      <w:pPr>
        <w:spacing w:after="0" w:line="240" w:lineRule="auto"/>
        <w:ind w:left="567" w:firstLine="9"/>
        <w:jc w:val="both"/>
        <w:rPr>
          <w:rFonts w:ascii="Arial Narrow" w:hAnsi="Arial Narrow"/>
          <w:sz w:val="24"/>
          <w:szCs w:val="24"/>
        </w:rPr>
      </w:pPr>
    </w:p>
    <w:p w:rsidR="00C80C45" w:rsidRPr="007F230F" w:rsidRDefault="00C80C45" w:rsidP="00BE794D">
      <w:pPr>
        <w:spacing w:after="0" w:line="240" w:lineRule="auto"/>
        <w:ind w:left="567" w:right="565"/>
        <w:jc w:val="both"/>
        <w:rPr>
          <w:rFonts w:ascii="Arial Narrow" w:hAnsi="Arial Narrow"/>
          <w:i/>
          <w:sz w:val="24"/>
          <w:szCs w:val="24"/>
        </w:rPr>
      </w:pPr>
      <w:r w:rsidRPr="007F230F">
        <w:rPr>
          <w:rFonts w:ascii="Arial Narrow" w:hAnsi="Arial Narrow"/>
          <w:sz w:val="24"/>
          <w:szCs w:val="24"/>
        </w:rPr>
        <w:t>“</w:t>
      </w:r>
      <w:r w:rsidRPr="007F230F">
        <w:rPr>
          <w:rFonts w:ascii="Arial Narrow" w:hAnsi="Arial Narrow"/>
          <w:i/>
          <w:sz w:val="24"/>
          <w:szCs w:val="24"/>
        </w:rPr>
        <w:t xml:space="preserve">AWOTE is, thus, more likely to accurately capture compositional changes in the workforce. This means it will capture the effect of </w:t>
      </w:r>
      <w:proofErr w:type="spellStart"/>
      <w:r w:rsidRPr="007F230F">
        <w:rPr>
          <w:rFonts w:ascii="Arial Narrow" w:hAnsi="Arial Narrow"/>
          <w:i/>
          <w:sz w:val="24"/>
          <w:szCs w:val="24"/>
        </w:rPr>
        <w:t>upskilling</w:t>
      </w:r>
      <w:proofErr w:type="spellEnd"/>
      <w:r w:rsidRPr="007F230F">
        <w:rPr>
          <w:rFonts w:ascii="Arial Narrow" w:hAnsi="Arial Narrow"/>
          <w:i/>
          <w:sz w:val="24"/>
          <w:szCs w:val="24"/>
        </w:rPr>
        <w:t xml:space="preserve"> as employers rely less on unskilled labour and as capital is progressively substituted for labou</w:t>
      </w:r>
      <w:r>
        <w:rPr>
          <w:rFonts w:ascii="Arial Narrow" w:hAnsi="Arial Narrow"/>
          <w:i/>
          <w:sz w:val="24"/>
          <w:szCs w:val="24"/>
        </w:rPr>
        <w:t xml:space="preserve">r. These are important means of achieving productivity growth over time.  They are not picked up by the LPI which effectively assumes a completely static situation. </w:t>
      </w:r>
      <w:r w:rsidRPr="007F230F">
        <w:rPr>
          <w:rFonts w:ascii="Arial Narrow" w:hAnsi="Arial Narrow"/>
          <w:i/>
          <w:sz w:val="24"/>
          <w:szCs w:val="24"/>
        </w:rPr>
        <w:t xml:space="preserve"> Moreover, AWOTE will better reflect labour price pressures in a tight labour market as it picks up the effect of employers prematurely promoting individuals they want to retain and ‘reclassifying’ jobs as a means of paying staff more to prevent them from being poached by other organisations. The LPI will fail to capture these important characteristics of a tight labour market situation in a particular industry as it uses a fixed basket of job classifications that is not updated to reflect changing circumstances</w:t>
      </w:r>
      <w:r>
        <w:rPr>
          <w:rFonts w:ascii="Arial Narrow" w:hAnsi="Arial Narrow"/>
          <w:i/>
          <w:sz w:val="24"/>
          <w:szCs w:val="24"/>
        </w:rPr>
        <w:t xml:space="preserve"> and the ongoing dynamics of labour markets</w:t>
      </w:r>
      <w:r w:rsidRPr="007F230F">
        <w:rPr>
          <w:rFonts w:ascii="Arial Narrow" w:hAnsi="Arial Narrow"/>
          <w:i/>
          <w:sz w:val="24"/>
          <w:szCs w:val="24"/>
        </w:rPr>
        <w:t>.</w:t>
      </w:r>
      <w:r>
        <w:rPr>
          <w:rStyle w:val="FootnoteReference"/>
          <w:rFonts w:ascii="Arial Narrow" w:hAnsi="Arial Narrow"/>
          <w:i/>
          <w:sz w:val="24"/>
          <w:szCs w:val="24"/>
        </w:rPr>
        <w:footnoteReference w:id="6"/>
      </w:r>
      <w:r w:rsidRPr="007F230F">
        <w:rPr>
          <w:rFonts w:ascii="Arial Narrow" w:hAnsi="Arial Narrow"/>
          <w:sz w:val="24"/>
          <w:szCs w:val="24"/>
        </w:rPr>
        <w:t>”</w:t>
      </w:r>
      <w:r w:rsidRPr="007F230F">
        <w:rPr>
          <w:rFonts w:ascii="Arial Narrow" w:hAnsi="Arial Narrow"/>
          <w:i/>
          <w:sz w:val="24"/>
          <w:szCs w:val="24"/>
        </w:rPr>
        <w:t xml:space="preserve"> </w:t>
      </w:r>
    </w:p>
    <w:p w:rsidR="003F6986" w:rsidRDefault="003F6986" w:rsidP="000C2FAE">
      <w:pPr>
        <w:spacing w:after="0" w:line="240" w:lineRule="auto"/>
        <w:ind w:left="567" w:firstLine="9"/>
        <w:jc w:val="both"/>
        <w:rPr>
          <w:rFonts w:ascii="Arial Narrow" w:hAnsi="Arial Narrow"/>
          <w:sz w:val="24"/>
          <w:szCs w:val="24"/>
        </w:rPr>
      </w:pPr>
    </w:p>
    <w:p w:rsidR="00C80C45" w:rsidRDefault="00BE794D" w:rsidP="00BE794D">
      <w:pPr>
        <w:spacing w:after="0" w:line="240" w:lineRule="auto"/>
        <w:jc w:val="both"/>
        <w:rPr>
          <w:rFonts w:ascii="Arial Narrow" w:hAnsi="Arial Narrow"/>
          <w:sz w:val="24"/>
          <w:szCs w:val="24"/>
        </w:rPr>
      </w:pPr>
      <w:r>
        <w:rPr>
          <w:rFonts w:ascii="Arial Narrow" w:hAnsi="Arial Narrow"/>
          <w:sz w:val="24"/>
          <w:szCs w:val="24"/>
        </w:rPr>
        <w:t>a</w:t>
      </w:r>
      <w:r w:rsidR="00C80C45" w:rsidRPr="007F230F">
        <w:rPr>
          <w:rFonts w:ascii="Arial Narrow" w:hAnsi="Arial Narrow"/>
          <w:sz w:val="24"/>
          <w:szCs w:val="24"/>
        </w:rPr>
        <w:t>nd</w:t>
      </w:r>
    </w:p>
    <w:p w:rsidR="00BE794D" w:rsidRPr="007F230F" w:rsidRDefault="00BE794D" w:rsidP="00BE794D">
      <w:pPr>
        <w:spacing w:after="0" w:line="240" w:lineRule="auto"/>
        <w:jc w:val="both"/>
        <w:rPr>
          <w:rFonts w:ascii="Arial Narrow" w:hAnsi="Arial Narrow"/>
          <w:sz w:val="24"/>
          <w:szCs w:val="24"/>
        </w:rPr>
      </w:pPr>
    </w:p>
    <w:p w:rsidR="000C70DD" w:rsidRDefault="00C80C45" w:rsidP="00BE794D">
      <w:pPr>
        <w:pStyle w:val="Text"/>
        <w:spacing w:after="0" w:line="240" w:lineRule="auto"/>
        <w:ind w:left="567" w:right="565"/>
        <w:rPr>
          <w:rFonts w:ascii="Arial Narrow" w:hAnsi="Arial Narrow"/>
          <w:i/>
          <w:szCs w:val="24"/>
        </w:rPr>
      </w:pPr>
      <w:r w:rsidRPr="007F230F">
        <w:rPr>
          <w:rFonts w:ascii="Arial Narrow" w:hAnsi="Arial Narrow"/>
          <w:szCs w:val="24"/>
        </w:rPr>
        <w:t>“</w:t>
      </w:r>
      <w:r w:rsidRPr="007F230F">
        <w:rPr>
          <w:rFonts w:ascii="Arial Narrow" w:hAnsi="Arial Narrow"/>
          <w:i/>
          <w:szCs w:val="24"/>
        </w:rPr>
        <w:t>The input price escalator used in regulation needs to reflect the actual costs incurred by GDBs. In tight labour markets this means changes in composition of the workforce in response to shortages, substitution towards capital and associated ‘</w:t>
      </w:r>
      <w:proofErr w:type="spellStart"/>
      <w:r w:rsidRPr="007F230F">
        <w:rPr>
          <w:rFonts w:ascii="Arial Narrow" w:hAnsi="Arial Narrow"/>
          <w:i/>
          <w:szCs w:val="24"/>
        </w:rPr>
        <w:t>upskilling</w:t>
      </w:r>
      <w:proofErr w:type="spellEnd"/>
      <w:r w:rsidRPr="007F230F">
        <w:rPr>
          <w:rFonts w:ascii="Arial Narrow" w:hAnsi="Arial Narrow"/>
          <w:i/>
          <w:szCs w:val="24"/>
        </w:rPr>
        <w:t xml:space="preserve">’ and changes in response to technological change </w:t>
      </w:r>
      <w:r>
        <w:rPr>
          <w:rFonts w:ascii="Arial Narrow" w:hAnsi="Arial Narrow"/>
          <w:i/>
          <w:szCs w:val="24"/>
        </w:rPr>
        <w:t xml:space="preserve">and productivity growth </w:t>
      </w:r>
      <w:r w:rsidRPr="007F230F">
        <w:rPr>
          <w:rFonts w:ascii="Arial Narrow" w:hAnsi="Arial Narrow"/>
          <w:i/>
          <w:szCs w:val="24"/>
        </w:rPr>
        <w:t>over t</w:t>
      </w:r>
      <w:r w:rsidR="000C70DD">
        <w:rPr>
          <w:rFonts w:ascii="Arial Narrow" w:hAnsi="Arial Narrow"/>
          <w:i/>
          <w:szCs w:val="24"/>
        </w:rPr>
        <w:t>ime all need to be allowed for.</w:t>
      </w:r>
    </w:p>
    <w:p w:rsidR="00C80C45" w:rsidRDefault="00C80C45" w:rsidP="00BE794D">
      <w:pPr>
        <w:pStyle w:val="Text"/>
        <w:spacing w:after="0" w:line="240" w:lineRule="auto"/>
        <w:ind w:left="567" w:right="565"/>
        <w:rPr>
          <w:rFonts w:ascii="Arial Narrow" w:hAnsi="Arial Narrow"/>
          <w:szCs w:val="24"/>
        </w:rPr>
      </w:pPr>
      <w:r w:rsidRPr="007F230F">
        <w:rPr>
          <w:rFonts w:ascii="Arial Narrow" w:hAnsi="Arial Narrow"/>
          <w:i/>
          <w:szCs w:val="24"/>
        </w:rPr>
        <w:lastRenderedPageBreak/>
        <w:t>The correct measure thus needs to reflect changes in the actual composition of employment rather than an abstract measure of ‘underlying’ wage inflation which makes no allowance for compositional changes</w:t>
      </w:r>
      <w:r>
        <w:rPr>
          <w:rFonts w:ascii="Arial Narrow" w:hAnsi="Arial Narrow"/>
          <w:i/>
          <w:szCs w:val="24"/>
        </w:rPr>
        <w:t xml:space="preserve"> and their ongoing drivers</w:t>
      </w:r>
      <w:r w:rsidRPr="007F230F">
        <w:rPr>
          <w:rFonts w:ascii="Arial Narrow" w:hAnsi="Arial Narrow"/>
          <w:i/>
          <w:szCs w:val="24"/>
        </w:rPr>
        <w:t xml:space="preserve">. </w:t>
      </w:r>
      <w:r>
        <w:rPr>
          <w:rFonts w:ascii="Arial Narrow" w:hAnsi="Arial Narrow"/>
          <w:i/>
          <w:szCs w:val="24"/>
        </w:rPr>
        <w:t xml:space="preserve">All else equal, the LPI will tend to understate the rate of labour cost increase GDBs face in achieving productivity </w:t>
      </w:r>
      <w:r w:rsidRPr="004C0FEA">
        <w:rPr>
          <w:rFonts w:ascii="Arial Narrow" w:hAnsi="Arial Narrow"/>
          <w:szCs w:val="24"/>
        </w:rPr>
        <w:t>growth</w:t>
      </w:r>
      <w:r>
        <w:rPr>
          <w:rFonts w:ascii="Arial Narrow" w:hAnsi="Arial Narrow"/>
          <w:szCs w:val="24"/>
        </w:rPr>
        <w:t>.”</w:t>
      </w:r>
      <w:r>
        <w:rPr>
          <w:rStyle w:val="FootnoteReference"/>
          <w:rFonts w:ascii="Arial Narrow" w:hAnsi="Arial Narrow"/>
          <w:szCs w:val="24"/>
        </w:rPr>
        <w:footnoteReference w:id="7"/>
      </w:r>
      <w:r>
        <w:rPr>
          <w:rFonts w:ascii="Arial Narrow" w:hAnsi="Arial Narrow"/>
          <w:szCs w:val="24"/>
        </w:rPr>
        <w:t xml:space="preserve"> </w:t>
      </w:r>
    </w:p>
    <w:p w:rsidR="00C80C45" w:rsidRPr="007F230F" w:rsidRDefault="00C80C45" w:rsidP="000C2FAE">
      <w:pPr>
        <w:pStyle w:val="Text"/>
        <w:spacing w:after="0" w:line="240" w:lineRule="auto"/>
        <w:ind w:left="1260"/>
        <w:rPr>
          <w:rFonts w:ascii="Arial Narrow" w:hAnsi="Arial Narrow"/>
          <w:i/>
          <w:szCs w:val="24"/>
        </w:rPr>
      </w:pPr>
      <w:r w:rsidRPr="007F230F">
        <w:rPr>
          <w:rFonts w:ascii="Arial Narrow" w:hAnsi="Arial Narrow"/>
          <w:i/>
          <w:szCs w:val="24"/>
        </w:rPr>
        <w:t xml:space="preserve"> </w:t>
      </w:r>
    </w:p>
    <w:p w:rsidR="00C80C45" w:rsidRDefault="00C80C45" w:rsidP="00E90641">
      <w:pPr>
        <w:pStyle w:val="Text"/>
        <w:spacing w:after="0" w:line="240" w:lineRule="auto"/>
        <w:ind w:left="567" w:right="565"/>
        <w:rPr>
          <w:rFonts w:ascii="Arial Narrow" w:hAnsi="Arial Narrow"/>
          <w:i/>
          <w:szCs w:val="24"/>
        </w:rPr>
      </w:pPr>
      <w:r>
        <w:rPr>
          <w:rFonts w:ascii="Arial Narrow" w:hAnsi="Arial Narrow"/>
          <w:szCs w:val="24"/>
        </w:rPr>
        <w:t>“</w:t>
      </w:r>
      <w:r w:rsidRPr="007F230F">
        <w:rPr>
          <w:rFonts w:ascii="Arial Narrow" w:hAnsi="Arial Narrow"/>
          <w:i/>
          <w:szCs w:val="24"/>
        </w:rPr>
        <w:t>Access Economics (2010, pp.86–7) justifies its preference for the LPI on the grounds that it is the Australian Bureau of Statistics’ preferred measure of labour prices and because it is less volatile than the AWOTE measure. However, the preferred index for abstract statistical purposes or for macroeconomic analysis is not automatically the correct index for regulatory purposes. As indicated above, given the central role of FCM</w:t>
      </w:r>
      <w:r>
        <w:rPr>
          <w:rStyle w:val="FootnoteReference"/>
          <w:rFonts w:ascii="Arial Narrow" w:hAnsi="Arial Narrow"/>
          <w:i/>
          <w:szCs w:val="24"/>
        </w:rPr>
        <w:footnoteReference w:id="8"/>
      </w:r>
      <w:r w:rsidRPr="007F230F">
        <w:rPr>
          <w:rFonts w:ascii="Arial Narrow" w:hAnsi="Arial Narrow"/>
          <w:i/>
          <w:szCs w:val="24"/>
        </w:rPr>
        <w:t xml:space="preserve"> in building blocks regulation, the correct index is the one that best reflects movements in actual labour prices faced by the GDB, not an abstract </w:t>
      </w:r>
      <w:r>
        <w:rPr>
          <w:rFonts w:ascii="Arial Narrow" w:hAnsi="Arial Narrow"/>
          <w:i/>
          <w:szCs w:val="24"/>
        </w:rPr>
        <w:t xml:space="preserve">‘underlying’ </w:t>
      </w:r>
      <w:r w:rsidRPr="007F230F">
        <w:rPr>
          <w:rFonts w:ascii="Arial Narrow" w:hAnsi="Arial Narrow"/>
          <w:i/>
          <w:szCs w:val="24"/>
        </w:rPr>
        <w:t>index that may not well reflect conditions on the ground</w:t>
      </w:r>
      <w:r>
        <w:rPr>
          <w:rFonts w:ascii="Arial Narrow" w:hAnsi="Arial Narrow"/>
          <w:i/>
          <w:szCs w:val="24"/>
        </w:rPr>
        <w:t>…</w:t>
      </w:r>
    </w:p>
    <w:p w:rsidR="00614ABE" w:rsidRPr="007F230F" w:rsidRDefault="00614ABE" w:rsidP="00E90641">
      <w:pPr>
        <w:pStyle w:val="Text"/>
        <w:spacing w:after="0" w:line="240" w:lineRule="auto"/>
        <w:ind w:left="567" w:right="565"/>
        <w:rPr>
          <w:rFonts w:ascii="Arial Narrow" w:hAnsi="Arial Narrow"/>
          <w:i/>
          <w:szCs w:val="24"/>
        </w:rPr>
      </w:pPr>
    </w:p>
    <w:p w:rsidR="00C80C45" w:rsidRDefault="00C80C45" w:rsidP="00E90641">
      <w:pPr>
        <w:pStyle w:val="Text"/>
        <w:spacing w:after="0" w:line="240" w:lineRule="auto"/>
        <w:ind w:left="567" w:right="565"/>
        <w:rPr>
          <w:rFonts w:ascii="Arial Narrow" w:hAnsi="Arial Narrow"/>
          <w:i/>
          <w:szCs w:val="24"/>
        </w:rPr>
      </w:pPr>
      <w:r>
        <w:rPr>
          <w:rFonts w:ascii="Arial Narrow" w:hAnsi="Arial Narrow"/>
          <w:i/>
          <w:szCs w:val="24"/>
        </w:rPr>
        <w:t xml:space="preserve"> The other argument in favour of the LPI used by Access Economics (2010) regarding the relative volatility of the AWOTE versus LPI measures in the past provides no excuse for not using the theoretically correct index for regulatory purposes.  In any case, the BIS Shrapnel (2010) forecasts for AWOTE generally show no more volatility than their forecasts for the LPI</w:t>
      </w:r>
      <w:r>
        <w:rPr>
          <w:rFonts w:ascii="Arial Narrow" w:hAnsi="Arial Narrow"/>
          <w:szCs w:val="24"/>
        </w:rPr>
        <w:t>.”</w:t>
      </w:r>
      <w:r>
        <w:rPr>
          <w:rStyle w:val="FootnoteReference"/>
          <w:rFonts w:ascii="Arial Narrow" w:hAnsi="Arial Narrow"/>
          <w:szCs w:val="24"/>
        </w:rPr>
        <w:footnoteReference w:id="9"/>
      </w:r>
      <w:r>
        <w:rPr>
          <w:rFonts w:ascii="Arial Narrow" w:hAnsi="Arial Narrow"/>
          <w:i/>
          <w:szCs w:val="24"/>
        </w:rPr>
        <w:t xml:space="preserve">      </w:t>
      </w:r>
    </w:p>
    <w:p w:rsidR="00614ABE" w:rsidRPr="007F230F" w:rsidRDefault="00614ABE" w:rsidP="000C2FAE">
      <w:pPr>
        <w:pStyle w:val="Text"/>
        <w:spacing w:after="0" w:line="240" w:lineRule="auto"/>
        <w:ind w:left="1260"/>
        <w:rPr>
          <w:rFonts w:ascii="Arial Narrow" w:hAnsi="Arial Narrow"/>
          <w:szCs w:val="24"/>
        </w:rPr>
      </w:pPr>
    </w:p>
    <w:p w:rsidR="00C80C45" w:rsidRDefault="00C80C45" w:rsidP="00E90641">
      <w:pPr>
        <w:spacing w:after="0" w:line="240" w:lineRule="auto"/>
        <w:jc w:val="both"/>
        <w:rPr>
          <w:rFonts w:ascii="Arial Narrow" w:hAnsi="Arial Narrow"/>
          <w:sz w:val="24"/>
          <w:szCs w:val="24"/>
        </w:rPr>
      </w:pPr>
      <w:r w:rsidRPr="007F230F">
        <w:rPr>
          <w:rFonts w:ascii="Arial Narrow" w:hAnsi="Arial Narrow"/>
          <w:sz w:val="24"/>
          <w:szCs w:val="24"/>
        </w:rPr>
        <w:t>Finally in their updated report, BIS Shrapnel 2011 state:</w:t>
      </w:r>
    </w:p>
    <w:p w:rsidR="00614ABE" w:rsidRPr="007F230F" w:rsidRDefault="00614ABE" w:rsidP="000C2FAE">
      <w:pPr>
        <w:spacing w:after="0" w:line="240" w:lineRule="auto"/>
        <w:ind w:left="567" w:firstLine="9"/>
        <w:jc w:val="both"/>
        <w:rPr>
          <w:rFonts w:ascii="Arial Narrow" w:hAnsi="Arial Narrow"/>
          <w:sz w:val="24"/>
          <w:szCs w:val="24"/>
        </w:rPr>
      </w:pPr>
    </w:p>
    <w:p w:rsidR="00C80C45" w:rsidRDefault="00C80C45" w:rsidP="00E90641">
      <w:pPr>
        <w:pStyle w:val="BodyText"/>
        <w:tabs>
          <w:tab w:val="clear" w:pos="737"/>
        </w:tabs>
        <w:spacing w:before="0" w:after="0" w:line="240" w:lineRule="auto"/>
        <w:ind w:left="567" w:right="565"/>
        <w:jc w:val="both"/>
        <w:rPr>
          <w:rFonts w:ascii="Arial Narrow" w:hAnsi="Arial Narrow"/>
          <w:i/>
          <w:sz w:val="24"/>
          <w:szCs w:val="24"/>
        </w:rPr>
      </w:pPr>
      <w:r>
        <w:rPr>
          <w:rFonts w:ascii="Arial Narrow" w:hAnsi="Arial Narrow"/>
          <w:sz w:val="24"/>
          <w:szCs w:val="24"/>
        </w:rPr>
        <w:t>“</w:t>
      </w:r>
      <w:r w:rsidRPr="00711F5B">
        <w:rPr>
          <w:rFonts w:ascii="Arial Narrow" w:hAnsi="Arial Narrow"/>
          <w:i/>
          <w:sz w:val="24"/>
          <w:szCs w:val="24"/>
        </w:rPr>
        <w:t>BIS Shrapnel notes that in its recent draft decision for the Victorian Draft Determination, the Australian Energy Regulator (</w:t>
      </w:r>
      <w:smartTag w:uri="urn:schemas-microsoft-com:office:smarttags" w:element="stockticker">
        <w:r w:rsidRPr="00711F5B">
          <w:rPr>
            <w:rFonts w:ascii="Arial Narrow" w:hAnsi="Arial Narrow"/>
            <w:i/>
            <w:sz w:val="24"/>
            <w:szCs w:val="24"/>
          </w:rPr>
          <w:t>AER</w:t>
        </w:r>
      </w:smartTag>
      <w:r w:rsidRPr="00711F5B">
        <w:rPr>
          <w:rFonts w:ascii="Arial Narrow" w:hAnsi="Arial Narrow"/>
          <w:i/>
          <w:sz w:val="24"/>
          <w:szCs w:val="24"/>
        </w:rPr>
        <w:t xml:space="preserve">) stated that “consistent with previous </w:t>
      </w:r>
      <w:smartTag w:uri="urn:schemas-microsoft-com:office:smarttags" w:element="stockticker">
        <w:r w:rsidRPr="00711F5B">
          <w:rPr>
            <w:rFonts w:ascii="Arial Narrow" w:hAnsi="Arial Narrow"/>
            <w:i/>
            <w:sz w:val="24"/>
            <w:szCs w:val="24"/>
          </w:rPr>
          <w:t>AER</w:t>
        </w:r>
      </w:smartTag>
      <w:r w:rsidRPr="00711F5B">
        <w:rPr>
          <w:rFonts w:ascii="Arial Narrow" w:hAnsi="Arial Narrow"/>
          <w:i/>
          <w:sz w:val="24"/>
          <w:szCs w:val="24"/>
        </w:rPr>
        <w:t xml:space="preserve"> determinations, the </w:t>
      </w:r>
      <w:smartTag w:uri="urn:schemas-microsoft-com:office:smarttags" w:element="stockticker">
        <w:r w:rsidRPr="00711F5B">
          <w:rPr>
            <w:rFonts w:ascii="Arial Narrow" w:hAnsi="Arial Narrow"/>
            <w:i/>
            <w:sz w:val="24"/>
            <w:szCs w:val="24"/>
          </w:rPr>
          <w:t>AER</w:t>
        </w:r>
      </w:smartTag>
      <w:r w:rsidRPr="00711F5B">
        <w:rPr>
          <w:rFonts w:ascii="Arial Narrow" w:hAnsi="Arial Narrow"/>
          <w:i/>
          <w:sz w:val="24"/>
          <w:szCs w:val="24"/>
        </w:rPr>
        <w:t xml:space="preserve"> considers that the LPI is the measure that most reasonably reflects the labour costs that a Victorian DNSP is likely to incur”.</w:t>
      </w:r>
    </w:p>
    <w:p w:rsidR="009862B8" w:rsidRPr="00711F5B" w:rsidRDefault="009862B8" w:rsidP="00E90641">
      <w:pPr>
        <w:pStyle w:val="BodyText"/>
        <w:tabs>
          <w:tab w:val="clear" w:pos="737"/>
        </w:tabs>
        <w:spacing w:before="0" w:after="0" w:line="240" w:lineRule="auto"/>
        <w:ind w:left="567" w:right="565"/>
        <w:jc w:val="both"/>
        <w:rPr>
          <w:rFonts w:ascii="Arial Narrow" w:hAnsi="Arial Narrow"/>
          <w:i/>
          <w:sz w:val="24"/>
          <w:szCs w:val="24"/>
        </w:rPr>
      </w:pPr>
    </w:p>
    <w:p w:rsidR="00C80C45" w:rsidRDefault="00C80C45" w:rsidP="00E90641">
      <w:pPr>
        <w:pStyle w:val="BodyText"/>
        <w:tabs>
          <w:tab w:val="clear" w:pos="737"/>
        </w:tabs>
        <w:spacing w:before="0" w:after="0" w:line="240" w:lineRule="auto"/>
        <w:ind w:left="567" w:right="565"/>
        <w:jc w:val="both"/>
        <w:rPr>
          <w:rFonts w:ascii="Arial Narrow" w:hAnsi="Arial Narrow"/>
          <w:i/>
          <w:sz w:val="24"/>
          <w:szCs w:val="24"/>
        </w:rPr>
      </w:pPr>
      <w:r w:rsidRPr="00711F5B">
        <w:rPr>
          <w:rFonts w:ascii="Arial Narrow" w:hAnsi="Arial Narrow"/>
          <w:i/>
          <w:sz w:val="24"/>
          <w:szCs w:val="24"/>
        </w:rPr>
        <w:t xml:space="preserve">We disagree with this statement from the AER. Changes in labour costs for an enterprise (such as Envestra Limited) or an industry (such as the Electricity, Gas and Water Supply sector) are driven both by changes in the price of grades of specific labour and by changes in skill levels (for which employees are promoted to higher grades, at a higher cost to the enterprise). </w:t>
      </w:r>
    </w:p>
    <w:p w:rsidR="009862B8" w:rsidRPr="00711F5B" w:rsidRDefault="009862B8" w:rsidP="00E90641">
      <w:pPr>
        <w:pStyle w:val="BodyText"/>
        <w:tabs>
          <w:tab w:val="clear" w:pos="737"/>
        </w:tabs>
        <w:spacing w:before="0" w:after="0" w:line="240" w:lineRule="auto"/>
        <w:ind w:left="567" w:right="565"/>
        <w:jc w:val="both"/>
        <w:rPr>
          <w:rFonts w:ascii="Arial Narrow" w:hAnsi="Arial Narrow"/>
          <w:i/>
          <w:sz w:val="24"/>
          <w:szCs w:val="24"/>
        </w:rPr>
      </w:pPr>
    </w:p>
    <w:p w:rsidR="00C80C45" w:rsidRDefault="00C80C45" w:rsidP="00E90641">
      <w:pPr>
        <w:pStyle w:val="BodyText"/>
        <w:tabs>
          <w:tab w:val="clear" w:pos="737"/>
        </w:tabs>
        <w:spacing w:before="0" w:after="0" w:line="240" w:lineRule="auto"/>
        <w:ind w:left="567" w:right="565"/>
        <w:jc w:val="both"/>
        <w:rPr>
          <w:rFonts w:ascii="Arial Narrow" w:hAnsi="Arial Narrow"/>
          <w:i/>
          <w:sz w:val="24"/>
          <w:szCs w:val="24"/>
        </w:rPr>
      </w:pPr>
      <w:r w:rsidRPr="00711F5B">
        <w:rPr>
          <w:rFonts w:ascii="Arial Narrow" w:hAnsi="Arial Narrow"/>
          <w:i/>
          <w:sz w:val="24"/>
          <w:szCs w:val="24"/>
        </w:rPr>
        <w:t xml:space="preserve">The labour price index only measures changes in the </w:t>
      </w:r>
      <w:r w:rsidRPr="00711F5B">
        <w:rPr>
          <w:rFonts w:ascii="Arial Narrow" w:hAnsi="Arial Narrow"/>
          <w:i/>
          <w:iCs/>
          <w:sz w:val="24"/>
          <w:szCs w:val="24"/>
        </w:rPr>
        <w:t>price</w:t>
      </w:r>
      <w:r w:rsidRPr="00711F5B">
        <w:rPr>
          <w:rFonts w:ascii="Arial Narrow" w:hAnsi="Arial Narrow"/>
          <w:i/>
          <w:sz w:val="24"/>
          <w:szCs w:val="24"/>
        </w:rPr>
        <w:t xml:space="preserve"> of labour, or wage rates, for specific occupations or job classification, which are then aggregated into a measure of the collective variations in wage </w:t>
      </w:r>
      <w:r w:rsidRPr="00711F5B">
        <w:rPr>
          <w:rFonts w:ascii="Arial Narrow" w:hAnsi="Arial Narrow"/>
          <w:i/>
          <w:iCs/>
          <w:sz w:val="24"/>
          <w:szCs w:val="24"/>
        </w:rPr>
        <w:t>rates</w:t>
      </w:r>
      <w:r w:rsidRPr="00711F5B">
        <w:rPr>
          <w:rFonts w:ascii="Arial Narrow" w:hAnsi="Arial Narrow"/>
          <w:i/>
          <w:sz w:val="24"/>
          <w:szCs w:val="24"/>
        </w:rPr>
        <w:t xml:space="preserve"> made to the current occupants of the </w:t>
      </w:r>
      <w:r w:rsidRPr="00711F5B">
        <w:rPr>
          <w:rFonts w:ascii="Arial Narrow" w:hAnsi="Arial Narrow"/>
          <w:i/>
          <w:iCs/>
          <w:sz w:val="24"/>
          <w:szCs w:val="24"/>
        </w:rPr>
        <w:t>same</w:t>
      </w:r>
      <w:r w:rsidRPr="00711F5B">
        <w:rPr>
          <w:rFonts w:ascii="Arial Narrow" w:hAnsi="Arial Narrow"/>
          <w:i/>
          <w:sz w:val="24"/>
          <w:szCs w:val="24"/>
        </w:rPr>
        <w:t xml:space="preserve"> set of specific jobs. That is, the labour price index is a measure of </w:t>
      </w:r>
      <w:r w:rsidRPr="00711F5B">
        <w:rPr>
          <w:rFonts w:ascii="Arial Narrow" w:hAnsi="Arial Narrow"/>
          <w:i/>
          <w:iCs/>
          <w:sz w:val="24"/>
          <w:szCs w:val="24"/>
        </w:rPr>
        <w:t>underlying</w:t>
      </w:r>
      <w:r w:rsidRPr="00711F5B">
        <w:rPr>
          <w:rFonts w:ascii="Arial Narrow" w:hAnsi="Arial Narrow"/>
          <w:i/>
          <w:sz w:val="24"/>
          <w:szCs w:val="24"/>
        </w:rPr>
        <w:t xml:space="preserve"> wage inflation in the economy. The LPI, therefore, reflects pure price changes, but does not measure variations in quality of the quantity of work performed. The LPI also does not reliably measure the changes in total labour costs which the Victorian DNSP incur, because the LPI does not reflect changes in the skill levels of employees within an enterprise or industry. As skills are acquired, employees will be promoted to a higher grade or job classification, and with this promotion will move onto a higher base pay. So the change in the cost of labour over, say a year, includes increases in the base pay rates (which the LPI measures) and the higher average base pay level. The AWOTE captures both these elements, while the LPI only captures the first element. Basically, promoting employees to a higher occupation does not necessarily show up in the LPI, but the employer’s total wages bill (and average unit labour costs) is higher, as is AWOTE.</w:t>
      </w:r>
    </w:p>
    <w:p w:rsidR="00C80C45" w:rsidRPr="00711F5B" w:rsidRDefault="00C80C45" w:rsidP="00FD6FE1">
      <w:pPr>
        <w:pStyle w:val="BodyText"/>
        <w:tabs>
          <w:tab w:val="clear" w:pos="737"/>
        </w:tabs>
        <w:spacing w:before="0" w:after="0" w:line="240" w:lineRule="auto"/>
        <w:ind w:left="567" w:right="565"/>
        <w:jc w:val="both"/>
        <w:rPr>
          <w:rFonts w:ascii="Arial Narrow" w:hAnsi="Arial Narrow"/>
          <w:i/>
          <w:sz w:val="24"/>
          <w:szCs w:val="24"/>
        </w:rPr>
      </w:pPr>
      <w:r w:rsidRPr="00711F5B">
        <w:rPr>
          <w:rFonts w:ascii="Arial Narrow" w:hAnsi="Arial Narrow"/>
          <w:i/>
          <w:sz w:val="24"/>
          <w:szCs w:val="24"/>
        </w:rPr>
        <w:lastRenderedPageBreak/>
        <w:t xml:space="preserve">For this reason, </w:t>
      </w:r>
      <w:smartTag w:uri="urn:schemas-microsoft-com:office:smarttags" w:element="stockticker">
        <w:r w:rsidRPr="00711F5B">
          <w:rPr>
            <w:rFonts w:ascii="Arial Narrow" w:hAnsi="Arial Narrow"/>
            <w:i/>
            <w:sz w:val="24"/>
            <w:szCs w:val="24"/>
          </w:rPr>
          <w:t>BIS</w:t>
        </w:r>
      </w:smartTag>
      <w:r w:rsidRPr="00711F5B">
        <w:rPr>
          <w:rFonts w:ascii="Arial Narrow" w:hAnsi="Arial Narrow"/>
          <w:i/>
          <w:sz w:val="24"/>
          <w:szCs w:val="24"/>
        </w:rPr>
        <w:t xml:space="preserve"> Shrapnel prefers using AWOTE as the measure that best reflects the increase in wage cost changes (or unit labour costs, net of productivity increases) for business and the public sector across the economy. Nonetheless, to enable comparisons with the Access Economics’ forecasts provided to the AER, we have included forecasts of the LPI for the EGW sector in </w:t>
      </w:r>
      <w:smartTag w:uri="urn:schemas-microsoft-com:office:smarttags" w:element="State">
        <w:r w:rsidRPr="00711F5B">
          <w:rPr>
            <w:rFonts w:ascii="Arial Narrow" w:hAnsi="Arial Narrow"/>
            <w:i/>
            <w:sz w:val="24"/>
            <w:szCs w:val="24"/>
          </w:rPr>
          <w:t>Queensland</w:t>
        </w:r>
      </w:smartTag>
      <w:r w:rsidRPr="00711F5B">
        <w:rPr>
          <w:rFonts w:ascii="Arial Narrow" w:hAnsi="Arial Narrow"/>
          <w:i/>
          <w:sz w:val="24"/>
          <w:szCs w:val="24"/>
        </w:rPr>
        <w:t xml:space="preserve"> and </w:t>
      </w:r>
      <w:smartTag w:uri="urn:schemas-microsoft-com:office:smarttags" w:element="place">
        <w:smartTag w:uri="urn:schemas-microsoft-com:office:smarttags" w:element="State">
          <w:r w:rsidRPr="00711F5B">
            <w:rPr>
              <w:rFonts w:ascii="Arial Narrow" w:hAnsi="Arial Narrow"/>
              <w:i/>
              <w:sz w:val="24"/>
              <w:szCs w:val="24"/>
            </w:rPr>
            <w:t>South Australia</w:t>
          </w:r>
        </w:smartTag>
      </w:smartTag>
      <w:r w:rsidRPr="00711F5B">
        <w:rPr>
          <w:rFonts w:ascii="Arial Narrow" w:hAnsi="Arial Narrow"/>
          <w:i/>
          <w:sz w:val="24"/>
          <w:szCs w:val="24"/>
        </w:rPr>
        <w:t>. This is based on the national EGW LPI forecasts as the LPI data is not available for the EGW sector by state.</w:t>
      </w:r>
      <w:r>
        <w:rPr>
          <w:rFonts w:ascii="Arial Narrow" w:hAnsi="Arial Narrow"/>
          <w:sz w:val="24"/>
          <w:szCs w:val="24"/>
        </w:rPr>
        <w:t>”</w:t>
      </w:r>
      <w:r>
        <w:rPr>
          <w:rStyle w:val="FootnoteReference"/>
          <w:rFonts w:ascii="Arial Narrow" w:hAnsi="Arial Narrow"/>
          <w:sz w:val="24"/>
          <w:szCs w:val="24"/>
        </w:rPr>
        <w:footnoteReference w:id="10"/>
      </w:r>
      <w:r w:rsidRPr="00711F5B">
        <w:rPr>
          <w:rFonts w:ascii="Arial Narrow" w:hAnsi="Arial Narrow"/>
          <w:i/>
          <w:sz w:val="24"/>
          <w:szCs w:val="24"/>
        </w:rPr>
        <w:t xml:space="preserve"> </w:t>
      </w:r>
    </w:p>
    <w:p w:rsidR="00C80C45" w:rsidRPr="007F230F" w:rsidRDefault="00C80C45" w:rsidP="000C2FAE">
      <w:pPr>
        <w:spacing w:after="0" w:line="240" w:lineRule="auto"/>
        <w:ind w:left="567" w:firstLine="9"/>
        <w:jc w:val="both"/>
        <w:rPr>
          <w:rFonts w:ascii="Arial Narrow" w:hAnsi="Arial Narrow"/>
          <w:sz w:val="24"/>
          <w:szCs w:val="24"/>
        </w:rPr>
      </w:pPr>
    </w:p>
    <w:p w:rsidR="00C80C45" w:rsidRPr="007F230F" w:rsidRDefault="00C80C45" w:rsidP="00FD6FE1">
      <w:pPr>
        <w:spacing w:after="0" w:line="240" w:lineRule="auto"/>
        <w:ind w:firstLine="9"/>
        <w:jc w:val="both"/>
        <w:rPr>
          <w:rFonts w:ascii="Arial Narrow" w:hAnsi="Arial Narrow"/>
          <w:sz w:val="24"/>
          <w:szCs w:val="24"/>
        </w:rPr>
      </w:pPr>
      <w:r w:rsidRPr="007F230F">
        <w:rPr>
          <w:rFonts w:ascii="Arial Narrow" w:hAnsi="Arial Narrow"/>
          <w:sz w:val="24"/>
          <w:szCs w:val="24"/>
        </w:rPr>
        <w:t xml:space="preserve">The above demonstrates that the LPI measure clearly does not reflect the labour costs of the firm and does not allow the firm to recover its efficient costs.  The impact of this on resource costs will not be captured by the LPI, demonstrating that this measure is not compliant with the National Gas Law or the NGR, particularly rule 74 that requires forecasts to reflect best estimates arrived at on a reasonable basis. </w:t>
      </w:r>
    </w:p>
    <w:p w:rsidR="00C80C45" w:rsidRDefault="00C80C45" w:rsidP="000C2FAE">
      <w:pPr>
        <w:spacing w:after="0" w:line="240" w:lineRule="auto"/>
        <w:ind w:left="567" w:firstLine="9"/>
        <w:jc w:val="both"/>
        <w:rPr>
          <w:rFonts w:ascii="Arial Narrow" w:eastAsia="Times New Roman" w:hAnsi="Arial Narrow"/>
          <w:sz w:val="24"/>
          <w:szCs w:val="24"/>
        </w:rPr>
      </w:pPr>
    </w:p>
    <w:p w:rsidR="00CE2645" w:rsidRDefault="00CE2645" w:rsidP="005A56C2">
      <w:pPr>
        <w:pStyle w:val="Heading2"/>
      </w:pPr>
      <w:r>
        <w:t>Productivity Adjustment</w:t>
      </w:r>
    </w:p>
    <w:p w:rsidR="00CE2645" w:rsidRDefault="00CE2645" w:rsidP="000C2FAE">
      <w:pPr>
        <w:spacing w:after="0" w:line="240" w:lineRule="auto"/>
        <w:ind w:left="567" w:firstLine="9"/>
        <w:jc w:val="both"/>
        <w:rPr>
          <w:rFonts w:ascii="Arial Narrow" w:hAnsi="Arial Narrow"/>
          <w:sz w:val="24"/>
          <w:szCs w:val="24"/>
        </w:rPr>
      </w:pPr>
    </w:p>
    <w:p w:rsidR="00CE2645" w:rsidRDefault="00CE2645" w:rsidP="00FD6FE1">
      <w:pPr>
        <w:spacing w:after="0" w:line="240" w:lineRule="auto"/>
        <w:jc w:val="both"/>
        <w:rPr>
          <w:rFonts w:ascii="Arial Narrow" w:hAnsi="Arial Narrow"/>
          <w:sz w:val="24"/>
          <w:szCs w:val="24"/>
        </w:rPr>
      </w:pPr>
      <w:r>
        <w:rPr>
          <w:rFonts w:ascii="Arial Narrow" w:hAnsi="Arial Narrow"/>
          <w:sz w:val="24"/>
          <w:szCs w:val="24"/>
        </w:rPr>
        <w:t xml:space="preserve">The AER, on the basis of the recommendation of Access Economics, makes an annual </w:t>
      </w:r>
      <w:r w:rsidR="00831371">
        <w:rPr>
          <w:rFonts w:ascii="Arial Narrow" w:hAnsi="Arial Narrow"/>
          <w:sz w:val="24"/>
          <w:szCs w:val="24"/>
        </w:rPr>
        <w:t xml:space="preserve">labour </w:t>
      </w:r>
      <w:r>
        <w:rPr>
          <w:rFonts w:ascii="Arial Narrow" w:hAnsi="Arial Narrow"/>
          <w:sz w:val="24"/>
          <w:szCs w:val="24"/>
        </w:rPr>
        <w:t xml:space="preserve">productivity </w:t>
      </w:r>
      <w:r w:rsidRPr="00276960">
        <w:rPr>
          <w:rFonts w:ascii="Arial Narrow" w:hAnsi="Arial Narrow"/>
          <w:sz w:val="24"/>
          <w:szCs w:val="24"/>
        </w:rPr>
        <w:t xml:space="preserve">adjustment of 2% for </w:t>
      </w:r>
      <w:smartTag w:uri="urn:schemas-microsoft-com:office:smarttags" w:element="State">
        <w:smartTag w:uri="urn:schemas-microsoft-com:office:smarttags" w:element="place">
          <w:r w:rsidRPr="00276960">
            <w:rPr>
              <w:rFonts w:ascii="Arial Narrow" w:hAnsi="Arial Narrow"/>
              <w:sz w:val="24"/>
              <w:szCs w:val="24"/>
            </w:rPr>
            <w:t>South Australia</w:t>
          </w:r>
        </w:smartTag>
      </w:smartTag>
      <w:r>
        <w:rPr>
          <w:rFonts w:ascii="Arial Narrow" w:hAnsi="Arial Narrow"/>
          <w:sz w:val="24"/>
          <w:szCs w:val="24"/>
        </w:rPr>
        <w:t xml:space="preserve">.  As  Economics </w:t>
      </w:r>
      <w:r w:rsidR="006D11DF">
        <w:rPr>
          <w:rFonts w:ascii="Arial Narrow" w:hAnsi="Arial Narrow"/>
          <w:sz w:val="24"/>
          <w:szCs w:val="24"/>
        </w:rPr>
        <w:t xml:space="preserve">Insights </w:t>
      </w:r>
      <w:r>
        <w:rPr>
          <w:rFonts w:ascii="Arial Narrow" w:hAnsi="Arial Narrow"/>
          <w:sz w:val="24"/>
          <w:szCs w:val="24"/>
        </w:rPr>
        <w:t xml:space="preserve">notes on page 7 of their report this produces a negative real labour cost escalator. </w:t>
      </w:r>
    </w:p>
    <w:p w:rsidR="00AC5B62" w:rsidRDefault="00AC5B62" w:rsidP="00FD6FE1">
      <w:pPr>
        <w:spacing w:after="0" w:line="240" w:lineRule="auto"/>
        <w:jc w:val="both"/>
        <w:rPr>
          <w:rFonts w:ascii="Arial Narrow" w:hAnsi="Arial Narrow"/>
          <w:sz w:val="24"/>
          <w:szCs w:val="24"/>
        </w:rPr>
      </w:pPr>
    </w:p>
    <w:p w:rsidR="00EC60B5" w:rsidRDefault="00EC60B5" w:rsidP="00536BA3">
      <w:pPr>
        <w:spacing w:after="0" w:line="240" w:lineRule="auto"/>
        <w:ind w:firstLine="11"/>
        <w:jc w:val="both"/>
        <w:rPr>
          <w:rFonts w:ascii="Arial Narrow" w:hAnsi="Arial Narrow"/>
          <w:sz w:val="24"/>
          <w:szCs w:val="24"/>
        </w:rPr>
      </w:pPr>
      <w:r>
        <w:rPr>
          <w:rFonts w:ascii="Arial Narrow" w:hAnsi="Arial Narrow"/>
          <w:sz w:val="24"/>
          <w:szCs w:val="24"/>
        </w:rPr>
        <w:t>Economic Insights points out that this produ</w:t>
      </w:r>
      <w:r w:rsidR="003E3A69">
        <w:rPr>
          <w:rFonts w:ascii="Arial Narrow" w:hAnsi="Arial Narrow"/>
          <w:sz w:val="24"/>
          <w:szCs w:val="24"/>
        </w:rPr>
        <w:t xml:space="preserve">ctivity adjustment is a </w:t>
      </w:r>
      <w:r>
        <w:rPr>
          <w:rFonts w:ascii="Arial Narrow" w:hAnsi="Arial Narrow"/>
          <w:sz w:val="24"/>
          <w:szCs w:val="24"/>
        </w:rPr>
        <w:t xml:space="preserve">departure from the approach taken by the AER in the past, particularly in the </w:t>
      </w:r>
      <w:proofErr w:type="spellStart"/>
      <w:r>
        <w:rPr>
          <w:rFonts w:ascii="Arial Narrow" w:hAnsi="Arial Narrow"/>
          <w:sz w:val="24"/>
          <w:szCs w:val="24"/>
        </w:rPr>
        <w:t>Jemena</w:t>
      </w:r>
      <w:proofErr w:type="spellEnd"/>
      <w:r>
        <w:rPr>
          <w:rFonts w:ascii="Arial Narrow" w:hAnsi="Arial Narrow"/>
          <w:sz w:val="24"/>
          <w:szCs w:val="24"/>
        </w:rPr>
        <w:t xml:space="preserve"> gas access arrangement review and the Victorian Distribution Network Service Provider review. </w:t>
      </w:r>
    </w:p>
    <w:p w:rsidR="00AC5B62" w:rsidRDefault="00AC5B62" w:rsidP="00FD6FE1">
      <w:pPr>
        <w:spacing w:after="0" w:line="240" w:lineRule="auto"/>
        <w:jc w:val="both"/>
        <w:rPr>
          <w:rFonts w:ascii="Arial Narrow" w:hAnsi="Arial Narrow"/>
          <w:sz w:val="24"/>
          <w:szCs w:val="24"/>
        </w:rPr>
      </w:pPr>
    </w:p>
    <w:p w:rsidR="00EF06ED" w:rsidRDefault="00EF06ED" w:rsidP="00FD6FE1">
      <w:pPr>
        <w:spacing w:after="0" w:line="240" w:lineRule="auto"/>
        <w:jc w:val="both"/>
        <w:rPr>
          <w:rFonts w:ascii="Arial Narrow" w:hAnsi="Arial Narrow"/>
          <w:sz w:val="24"/>
          <w:szCs w:val="24"/>
        </w:rPr>
      </w:pPr>
      <w:r>
        <w:rPr>
          <w:rFonts w:ascii="Arial Narrow" w:hAnsi="Arial Narrow"/>
          <w:sz w:val="24"/>
          <w:szCs w:val="24"/>
        </w:rPr>
        <w:t xml:space="preserve">The approach used by the AER to adjust for productivity is incorrect.  In forecasting operating costs, Envestra has explicitly taken into account the potential for improving productivity.  For example, implementation of the mains replacement program reduces UAFG costs and leak repairs, improving productivity.  These productivity improvements are already built into </w:t>
      </w:r>
      <w:proofErr w:type="spellStart"/>
      <w:r>
        <w:rPr>
          <w:rFonts w:ascii="Arial Narrow" w:hAnsi="Arial Narrow"/>
          <w:sz w:val="24"/>
          <w:szCs w:val="24"/>
        </w:rPr>
        <w:t>Envestra’s</w:t>
      </w:r>
      <w:proofErr w:type="spellEnd"/>
      <w:r>
        <w:rPr>
          <w:rFonts w:ascii="Arial Narrow" w:hAnsi="Arial Narrow"/>
          <w:sz w:val="24"/>
          <w:szCs w:val="24"/>
        </w:rPr>
        <w:t xml:space="preserve"> forecast </w:t>
      </w:r>
      <w:proofErr w:type="spellStart"/>
      <w:r>
        <w:rPr>
          <w:rFonts w:ascii="Arial Narrow" w:hAnsi="Arial Narrow"/>
          <w:sz w:val="24"/>
          <w:szCs w:val="24"/>
        </w:rPr>
        <w:t>opex</w:t>
      </w:r>
      <w:proofErr w:type="spellEnd"/>
      <w:r w:rsidR="00F24402">
        <w:rPr>
          <w:rFonts w:ascii="Arial Narrow" w:hAnsi="Arial Narrow"/>
          <w:sz w:val="24"/>
          <w:szCs w:val="24"/>
        </w:rPr>
        <w:t xml:space="preserve">. </w:t>
      </w:r>
      <w:r>
        <w:rPr>
          <w:rFonts w:ascii="Arial Narrow" w:hAnsi="Arial Narrow"/>
          <w:sz w:val="24"/>
          <w:szCs w:val="24"/>
        </w:rPr>
        <w:t xml:space="preserve">   More specifically Envestra has forecast leak repair savings of $5.5m </w:t>
      </w:r>
      <w:r w:rsidR="00F24402">
        <w:rPr>
          <w:rFonts w:ascii="Arial Narrow" w:hAnsi="Arial Narrow"/>
          <w:sz w:val="24"/>
          <w:szCs w:val="24"/>
        </w:rPr>
        <w:t xml:space="preserve">by 2015/16 </w:t>
      </w:r>
      <w:r>
        <w:rPr>
          <w:rFonts w:ascii="Arial Narrow" w:hAnsi="Arial Narrow"/>
          <w:sz w:val="24"/>
          <w:szCs w:val="24"/>
        </w:rPr>
        <w:t>(Refer Business Case S60) and a reduction in the cost of UAFG from $12.79m in 2011/12 to $9.48m in 2015/16.</w:t>
      </w:r>
    </w:p>
    <w:p w:rsidR="00EF06ED" w:rsidRDefault="00EF06ED" w:rsidP="00FD6FE1">
      <w:pPr>
        <w:spacing w:after="0" w:line="240" w:lineRule="auto"/>
        <w:jc w:val="both"/>
        <w:rPr>
          <w:rFonts w:ascii="Arial Narrow" w:hAnsi="Arial Narrow"/>
          <w:sz w:val="24"/>
          <w:szCs w:val="24"/>
        </w:rPr>
      </w:pPr>
    </w:p>
    <w:p w:rsidR="00B565EC" w:rsidRDefault="00B565EC" w:rsidP="00B565EC">
      <w:pPr>
        <w:spacing w:after="0" w:line="240" w:lineRule="auto"/>
        <w:jc w:val="both"/>
        <w:rPr>
          <w:rFonts w:ascii="Arial Narrow" w:hAnsi="Arial Narrow"/>
          <w:sz w:val="24"/>
          <w:szCs w:val="24"/>
        </w:rPr>
      </w:pPr>
      <w:r>
        <w:rPr>
          <w:rFonts w:ascii="Arial Narrow" w:hAnsi="Arial Narrow"/>
          <w:sz w:val="24"/>
          <w:szCs w:val="24"/>
        </w:rPr>
        <w:t xml:space="preserve">As noted above, where a productivity adjustment is combined with LPI this double adjusts downwards for productivity.  By also factoring in productivity improvements built into </w:t>
      </w:r>
      <w:proofErr w:type="spellStart"/>
      <w:r>
        <w:rPr>
          <w:rFonts w:ascii="Arial Narrow" w:hAnsi="Arial Narrow"/>
          <w:sz w:val="24"/>
          <w:szCs w:val="24"/>
        </w:rPr>
        <w:t>opex</w:t>
      </w:r>
      <w:proofErr w:type="spellEnd"/>
      <w:r>
        <w:rPr>
          <w:rFonts w:ascii="Arial Narrow" w:hAnsi="Arial Narrow"/>
          <w:sz w:val="24"/>
          <w:szCs w:val="24"/>
        </w:rPr>
        <w:t xml:space="preserve"> forecasts, AER is in effect adjusting for productivity three times.</w:t>
      </w:r>
      <w:r w:rsidR="000D0B61">
        <w:rPr>
          <w:rFonts w:ascii="Arial Narrow" w:hAnsi="Arial Narrow"/>
          <w:sz w:val="24"/>
          <w:szCs w:val="24"/>
        </w:rPr>
        <w:t xml:space="preserve">  The correct approach is to escalate costs using AWOTE and use productivity forecasts in the operating costs forecast proposed by Envestra.</w:t>
      </w:r>
    </w:p>
    <w:p w:rsidR="00B565EC" w:rsidRDefault="00B565EC" w:rsidP="00FD6FE1">
      <w:pPr>
        <w:spacing w:after="0" w:line="240" w:lineRule="auto"/>
        <w:jc w:val="both"/>
        <w:rPr>
          <w:rFonts w:ascii="Arial Narrow" w:hAnsi="Arial Narrow"/>
          <w:sz w:val="24"/>
          <w:szCs w:val="24"/>
        </w:rPr>
      </w:pPr>
    </w:p>
    <w:p w:rsidR="00CE2645" w:rsidRDefault="00CE2645" w:rsidP="00FD6FE1">
      <w:pPr>
        <w:spacing w:after="0" w:line="240" w:lineRule="auto"/>
        <w:jc w:val="both"/>
        <w:rPr>
          <w:rFonts w:ascii="Arial Narrow" w:hAnsi="Arial Narrow"/>
          <w:sz w:val="24"/>
          <w:szCs w:val="24"/>
        </w:rPr>
      </w:pPr>
      <w:r>
        <w:rPr>
          <w:rFonts w:ascii="Arial Narrow" w:hAnsi="Arial Narrow"/>
          <w:sz w:val="24"/>
          <w:szCs w:val="24"/>
        </w:rPr>
        <w:t>Furthermore</w:t>
      </w:r>
      <w:r w:rsidR="00092D35">
        <w:rPr>
          <w:rFonts w:ascii="Arial Narrow" w:hAnsi="Arial Narrow"/>
          <w:sz w:val="24"/>
          <w:szCs w:val="24"/>
        </w:rPr>
        <w:t>,</w:t>
      </w:r>
      <w:r>
        <w:rPr>
          <w:rFonts w:ascii="Arial Narrow" w:hAnsi="Arial Narrow"/>
          <w:sz w:val="24"/>
          <w:szCs w:val="24"/>
        </w:rPr>
        <w:t xml:space="preserve"> there is no basis for assuming that the utilities sector will achieve </w:t>
      </w:r>
      <w:r w:rsidR="008B2B93">
        <w:rPr>
          <w:rFonts w:ascii="Arial Narrow" w:hAnsi="Arial Narrow"/>
          <w:sz w:val="24"/>
          <w:szCs w:val="24"/>
        </w:rPr>
        <w:t xml:space="preserve">2% </w:t>
      </w:r>
      <w:r>
        <w:rPr>
          <w:rFonts w:ascii="Arial Narrow" w:hAnsi="Arial Narrow"/>
          <w:sz w:val="24"/>
          <w:szCs w:val="24"/>
        </w:rPr>
        <w:t xml:space="preserve">positive productivity growth.  As Economic Insights has pointed out the ABS EGW labour PFP series has consistently declined at the annual rate of 3.6% since 1998.  This sector is, clearly, the relevant sector to use for any forecast of productivity trends in </w:t>
      </w:r>
      <w:proofErr w:type="spellStart"/>
      <w:r>
        <w:rPr>
          <w:rFonts w:ascii="Arial Narrow" w:hAnsi="Arial Narrow"/>
          <w:sz w:val="24"/>
          <w:szCs w:val="24"/>
        </w:rPr>
        <w:t>Envestra’s</w:t>
      </w:r>
      <w:proofErr w:type="spellEnd"/>
      <w:r>
        <w:rPr>
          <w:rFonts w:ascii="Arial Narrow" w:hAnsi="Arial Narrow"/>
          <w:sz w:val="24"/>
          <w:szCs w:val="24"/>
        </w:rPr>
        <w:t xml:space="preserve"> workforce as this is the sector which comprises that forecast. </w:t>
      </w:r>
    </w:p>
    <w:p w:rsidR="00AC5B62" w:rsidRDefault="00AC5B62" w:rsidP="00FD6FE1">
      <w:pPr>
        <w:spacing w:after="0" w:line="240" w:lineRule="auto"/>
        <w:jc w:val="both"/>
        <w:rPr>
          <w:rFonts w:ascii="Arial Narrow" w:hAnsi="Arial Narrow"/>
          <w:sz w:val="24"/>
          <w:szCs w:val="24"/>
        </w:rPr>
      </w:pPr>
    </w:p>
    <w:p w:rsidR="00CE2645" w:rsidRDefault="00CE2645" w:rsidP="00FD6FE1">
      <w:pPr>
        <w:spacing w:after="0" w:line="240" w:lineRule="auto"/>
        <w:jc w:val="both"/>
        <w:rPr>
          <w:rFonts w:ascii="Arial Narrow" w:hAnsi="Arial Narrow"/>
          <w:sz w:val="24"/>
          <w:szCs w:val="24"/>
        </w:rPr>
      </w:pPr>
      <w:r>
        <w:rPr>
          <w:rFonts w:ascii="Arial Narrow" w:hAnsi="Arial Narrow"/>
          <w:sz w:val="24"/>
          <w:szCs w:val="24"/>
        </w:rPr>
        <w:t>Access Economics gives various reasons for their view that there will be a major reversal in productivity trends.  For the reasons set out in the BIS Shrapnel Report these reasons are not cogent.  BIS Shrapnel states as follows:</w:t>
      </w:r>
    </w:p>
    <w:p w:rsidR="00AC5B62" w:rsidRDefault="00AC5B62" w:rsidP="000C2FAE">
      <w:pPr>
        <w:spacing w:after="0" w:line="240" w:lineRule="auto"/>
        <w:ind w:left="567" w:firstLine="9"/>
        <w:jc w:val="both"/>
        <w:rPr>
          <w:rFonts w:ascii="Arial Narrow" w:hAnsi="Arial Narrow"/>
          <w:sz w:val="24"/>
          <w:szCs w:val="24"/>
        </w:rPr>
      </w:pPr>
    </w:p>
    <w:p w:rsidR="004C6779" w:rsidRDefault="00CE2645" w:rsidP="00FD6FE1">
      <w:pPr>
        <w:spacing w:after="0" w:line="240" w:lineRule="auto"/>
        <w:ind w:left="567" w:right="565"/>
        <w:jc w:val="both"/>
        <w:rPr>
          <w:rFonts w:ascii="Arial Narrow" w:hAnsi="Arial Narrow"/>
          <w:i/>
          <w:sz w:val="24"/>
          <w:szCs w:val="24"/>
        </w:rPr>
      </w:pPr>
      <w:r>
        <w:t>“</w:t>
      </w:r>
      <w:r w:rsidRPr="003E2A0C">
        <w:rPr>
          <w:rFonts w:ascii="Arial Narrow" w:hAnsi="Arial Narrow"/>
          <w:i/>
          <w:sz w:val="24"/>
          <w:szCs w:val="24"/>
        </w:rPr>
        <w:t xml:space="preserve">Access Economics numerical forecasts of productivity growth, as presented to the </w:t>
      </w:r>
      <w:smartTag w:uri="urn:schemas-microsoft-com:office:smarttags" w:element="stockticker">
        <w:r w:rsidRPr="003E2A0C">
          <w:rPr>
            <w:rFonts w:ascii="Arial Narrow" w:hAnsi="Arial Narrow"/>
            <w:i/>
            <w:sz w:val="24"/>
            <w:szCs w:val="24"/>
          </w:rPr>
          <w:t>AER</w:t>
        </w:r>
      </w:smartTag>
      <w:r w:rsidRPr="003E2A0C">
        <w:rPr>
          <w:rFonts w:ascii="Arial Narrow" w:hAnsi="Arial Narrow"/>
          <w:i/>
          <w:sz w:val="24"/>
          <w:szCs w:val="24"/>
        </w:rPr>
        <w:t>, show that future productivity growth will be strong in the utilities sector at the Australian and state (</w:t>
      </w:r>
      <w:smartTag w:uri="urn:schemas-microsoft-com:office:smarttags" w:element="State">
        <w:r w:rsidRPr="003E2A0C">
          <w:rPr>
            <w:rFonts w:ascii="Arial Narrow" w:hAnsi="Arial Narrow"/>
            <w:i/>
            <w:sz w:val="24"/>
            <w:szCs w:val="24"/>
          </w:rPr>
          <w:t>Queensland</w:t>
        </w:r>
      </w:smartTag>
      <w:r w:rsidRPr="003E2A0C">
        <w:rPr>
          <w:rFonts w:ascii="Arial Narrow" w:hAnsi="Arial Narrow"/>
          <w:i/>
          <w:sz w:val="24"/>
          <w:szCs w:val="24"/>
        </w:rPr>
        <w:t xml:space="preserve"> and </w:t>
      </w:r>
      <w:smartTag w:uri="urn:schemas-microsoft-com:office:smarttags" w:element="place">
        <w:smartTag w:uri="urn:schemas-microsoft-com:office:smarttags" w:element="State">
          <w:r w:rsidRPr="003E2A0C">
            <w:rPr>
              <w:rFonts w:ascii="Arial Narrow" w:hAnsi="Arial Narrow"/>
              <w:i/>
              <w:sz w:val="24"/>
              <w:szCs w:val="24"/>
            </w:rPr>
            <w:t>South Australia</w:t>
          </w:r>
        </w:smartTag>
      </w:smartTag>
      <w:r w:rsidRPr="003E2A0C">
        <w:rPr>
          <w:rFonts w:ascii="Arial Narrow" w:hAnsi="Arial Narrow"/>
          <w:i/>
          <w:sz w:val="24"/>
          <w:szCs w:val="24"/>
        </w:rPr>
        <w:t>) level. This is in contrast to the observed productivity growth for the ind</w:t>
      </w:r>
      <w:r w:rsidR="004C6779">
        <w:rPr>
          <w:rFonts w:ascii="Arial Narrow" w:hAnsi="Arial Narrow"/>
          <w:i/>
          <w:sz w:val="24"/>
          <w:szCs w:val="24"/>
        </w:rPr>
        <w:t>ustry over the previous decade.</w:t>
      </w:r>
    </w:p>
    <w:p w:rsidR="00F55DF5" w:rsidRDefault="00CE2645" w:rsidP="00FD6FE1">
      <w:pPr>
        <w:spacing w:after="0" w:line="240" w:lineRule="auto"/>
        <w:ind w:left="567" w:right="565"/>
        <w:jc w:val="both"/>
        <w:rPr>
          <w:rFonts w:ascii="Arial Narrow" w:hAnsi="Arial Narrow"/>
          <w:i/>
          <w:sz w:val="24"/>
          <w:szCs w:val="24"/>
        </w:rPr>
      </w:pPr>
      <w:r w:rsidRPr="003E2A0C">
        <w:rPr>
          <w:rFonts w:ascii="Arial Narrow" w:hAnsi="Arial Narrow"/>
          <w:i/>
          <w:sz w:val="24"/>
          <w:szCs w:val="24"/>
        </w:rPr>
        <w:lastRenderedPageBreak/>
        <w:t>Over the six years from 2010/11 to 2015/16, Access Economics expects the average productivity growth in the national utilities industry to be 1.8% per</w:t>
      </w:r>
      <w:r w:rsidRPr="003E2A0C">
        <w:rPr>
          <w:rFonts w:ascii="Arial Narrow" w:hAnsi="Arial Narrow"/>
          <w:sz w:val="24"/>
          <w:szCs w:val="24"/>
        </w:rPr>
        <w:t xml:space="preserve"> </w:t>
      </w:r>
      <w:r w:rsidR="00F55DF5">
        <w:rPr>
          <w:rFonts w:ascii="Arial Narrow" w:hAnsi="Arial Narrow"/>
          <w:i/>
          <w:sz w:val="24"/>
          <w:szCs w:val="24"/>
        </w:rPr>
        <w:t>annum.</w:t>
      </w:r>
    </w:p>
    <w:p w:rsidR="004C6779" w:rsidRDefault="004C6779" w:rsidP="00FD6FE1">
      <w:pPr>
        <w:spacing w:after="0" w:line="240" w:lineRule="auto"/>
        <w:ind w:left="567" w:right="565"/>
        <w:jc w:val="both"/>
        <w:rPr>
          <w:rFonts w:ascii="Arial Narrow" w:hAnsi="Arial Narrow"/>
          <w:i/>
          <w:sz w:val="24"/>
          <w:szCs w:val="24"/>
        </w:rPr>
      </w:pPr>
    </w:p>
    <w:p w:rsidR="00CE2645" w:rsidRDefault="00CE2645" w:rsidP="00FD6FE1">
      <w:pPr>
        <w:spacing w:after="0" w:line="240" w:lineRule="auto"/>
        <w:ind w:left="567" w:right="565"/>
        <w:jc w:val="both"/>
        <w:rPr>
          <w:rFonts w:ascii="Arial Narrow" w:hAnsi="Arial Narrow"/>
          <w:i/>
          <w:sz w:val="24"/>
          <w:szCs w:val="24"/>
        </w:rPr>
      </w:pPr>
      <w:r w:rsidRPr="003E2A0C">
        <w:rPr>
          <w:rFonts w:ascii="Arial Narrow" w:hAnsi="Arial Narrow"/>
          <w:i/>
          <w:sz w:val="24"/>
          <w:szCs w:val="24"/>
        </w:rPr>
        <w:t xml:space="preserve">For </w:t>
      </w:r>
      <w:smartTag w:uri="urn:schemas-microsoft-com:office:smarttags" w:element="State">
        <w:r w:rsidRPr="003E2A0C">
          <w:rPr>
            <w:rFonts w:ascii="Arial Narrow" w:hAnsi="Arial Narrow"/>
            <w:i/>
            <w:sz w:val="24"/>
            <w:szCs w:val="24"/>
          </w:rPr>
          <w:t>Queensland</w:t>
        </w:r>
      </w:smartTag>
      <w:r w:rsidRPr="003E2A0C">
        <w:rPr>
          <w:rFonts w:ascii="Arial Narrow" w:hAnsi="Arial Narrow"/>
          <w:i/>
          <w:sz w:val="24"/>
          <w:szCs w:val="24"/>
        </w:rPr>
        <w:t xml:space="preserve"> and </w:t>
      </w:r>
      <w:smartTag w:uri="urn:schemas-microsoft-com:office:smarttags" w:element="place">
        <w:smartTag w:uri="urn:schemas-microsoft-com:office:smarttags" w:element="State">
          <w:r w:rsidRPr="003E2A0C">
            <w:rPr>
              <w:rFonts w:ascii="Arial Narrow" w:hAnsi="Arial Narrow"/>
              <w:i/>
              <w:sz w:val="24"/>
              <w:szCs w:val="24"/>
            </w:rPr>
            <w:t>South Australia</w:t>
          </w:r>
        </w:smartTag>
      </w:smartTag>
      <w:r w:rsidRPr="003E2A0C">
        <w:rPr>
          <w:rFonts w:ascii="Arial Narrow" w:hAnsi="Arial Narrow"/>
          <w:i/>
          <w:sz w:val="24"/>
          <w:szCs w:val="24"/>
        </w:rPr>
        <w:t xml:space="preserve">, Access Economics predicts average productivity growth of 1.6% and 1.9%, respectively. This compares with an average productivity growth of -3.6%, -3.5% and -1.7% per annum for </w:t>
      </w:r>
      <w:smartTag w:uri="urn:schemas-microsoft-com:office:smarttags" w:element="country-region">
        <w:r w:rsidRPr="003E2A0C">
          <w:rPr>
            <w:rFonts w:ascii="Arial Narrow" w:hAnsi="Arial Narrow"/>
            <w:i/>
            <w:sz w:val="24"/>
            <w:szCs w:val="24"/>
          </w:rPr>
          <w:t>Australia</w:t>
        </w:r>
      </w:smartTag>
      <w:r w:rsidRPr="003E2A0C">
        <w:rPr>
          <w:rFonts w:ascii="Arial Narrow" w:hAnsi="Arial Narrow"/>
          <w:i/>
          <w:sz w:val="24"/>
          <w:szCs w:val="24"/>
        </w:rPr>
        <w:t xml:space="preserve">, </w:t>
      </w:r>
      <w:smartTag w:uri="urn:schemas-microsoft-com:office:smarttags" w:element="State">
        <w:r w:rsidRPr="003E2A0C">
          <w:rPr>
            <w:rFonts w:ascii="Arial Narrow" w:hAnsi="Arial Narrow"/>
            <w:i/>
            <w:sz w:val="24"/>
            <w:szCs w:val="24"/>
          </w:rPr>
          <w:t>Queensland</w:t>
        </w:r>
      </w:smartTag>
      <w:r w:rsidRPr="003E2A0C">
        <w:rPr>
          <w:rFonts w:ascii="Arial Narrow" w:hAnsi="Arial Narrow"/>
          <w:i/>
          <w:sz w:val="24"/>
          <w:szCs w:val="24"/>
        </w:rPr>
        <w:t xml:space="preserve"> and </w:t>
      </w:r>
      <w:smartTag w:uri="urn:schemas-microsoft-com:office:smarttags" w:element="place">
        <w:smartTag w:uri="urn:schemas-microsoft-com:office:smarttags" w:element="State">
          <w:r w:rsidRPr="003E2A0C">
            <w:rPr>
              <w:rFonts w:ascii="Arial Narrow" w:hAnsi="Arial Narrow"/>
              <w:i/>
              <w:sz w:val="24"/>
              <w:szCs w:val="24"/>
            </w:rPr>
            <w:t>South Australia</w:t>
          </w:r>
        </w:smartTag>
      </w:smartTag>
      <w:r w:rsidRPr="003E2A0C">
        <w:rPr>
          <w:rFonts w:ascii="Arial Narrow" w:hAnsi="Arial Narrow"/>
          <w:i/>
          <w:sz w:val="24"/>
          <w:szCs w:val="24"/>
        </w:rPr>
        <w:t>, respectively over the previous decade</w:t>
      </w:r>
      <w:r>
        <w:rPr>
          <w:rFonts w:ascii="Arial Narrow" w:hAnsi="Arial Narrow"/>
          <w:i/>
          <w:sz w:val="24"/>
          <w:szCs w:val="24"/>
        </w:rPr>
        <w:t>…</w:t>
      </w:r>
    </w:p>
    <w:p w:rsidR="00AC5B62" w:rsidRPr="003E2A0C" w:rsidRDefault="00AC5B62" w:rsidP="000C2FAE">
      <w:pPr>
        <w:spacing w:after="0" w:line="240" w:lineRule="auto"/>
        <w:ind w:left="1430" w:firstLine="9"/>
        <w:jc w:val="both"/>
        <w:rPr>
          <w:rFonts w:ascii="Arial Narrow" w:hAnsi="Arial Narrow"/>
          <w:i/>
          <w:sz w:val="24"/>
          <w:szCs w:val="24"/>
        </w:rPr>
      </w:pPr>
    </w:p>
    <w:p w:rsidR="00CE2645" w:rsidRDefault="00CE2645" w:rsidP="00A664EC">
      <w:pPr>
        <w:pStyle w:val="BodyText"/>
        <w:tabs>
          <w:tab w:val="clear" w:pos="737"/>
        </w:tabs>
        <w:spacing w:before="0" w:after="0" w:line="240" w:lineRule="auto"/>
        <w:ind w:left="567" w:right="565"/>
        <w:jc w:val="both"/>
        <w:rPr>
          <w:rFonts w:ascii="Arial Narrow" w:hAnsi="Arial Narrow"/>
          <w:i/>
          <w:sz w:val="24"/>
          <w:szCs w:val="24"/>
        </w:rPr>
      </w:pPr>
      <w:r w:rsidRPr="003E2A0C">
        <w:rPr>
          <w:rFonts w:ascii="Arial Narrow" w:hAnsi="Arial Narrow"/>
          <w:i/>
          <w:sz w:val="24"/>
          <w:szCs w:val="24"/>
        </w:rPr>
        <w:t>Even discounting for the observed volatility in the EGW labour productivity growth, we view Access Economics’ forecasts of productivity growth as too optimistic.</w:t>
      </w:r>
    </w:p>
    <w:p w:rsidR="00CE2645" w:rsidRDefault="00CE2645" w:rsidP="00A664EC">
      <w:pPr>
        <w:pStyle w:val="BodyText"/>
        <w:tabs>
          <w:tab w:val="clear" w:pos="737"/>
        </w:tabs>
        <w:spacing w:before="0" w:after="0" w:line="240" w:lineRule="auto"/>
        <w:ind w:left="567" w:right="565"/>
        <w:jc w:val="both"/>
        <w:rPr>
          <w:rFonts w:ascii="Arial Narrow" w:hAnsi="Arial Narrow"/>
          <w:i/>
          <w:sz w:val="24"/>
          <w:szCs w:val="24"/>
        </w:rPr>
      </w:pPr>
      <w:r w:rsidRPr="003E2A0C">
        <w:rPr>
          <w:rFonts w:ascii="Arial Narrow" w:hAnsi="Arial Narrow"/>
          <w:i/>
          <w:sz w:val="24"/>
          <w:szCs w:val="24"/>
        </w:rPr>
        <w:t xml:space="preserve">According to Access Economics, the sanguine productivity outlook is based on </w:t>
      </w:r>
      <w:r w:rsidRPr="003E2A0C">
        <w:rPr>
          <w:rFonts w:ascii="Arial Narrow" w:hAnsi="Arial Narrow" w:cs="Calibri"/>
          <w:i/>
          <w:sz w:val="24"/>
          <w:szCs w:val="24"/>
        </w:rPr>
        <w:t>easing of drought conditions on the east coast</w:t>
      </w:r>
      <w:r w:rsidRPr="003E2A0C">
        <w:rPr>
          <w:rFonts w:ascii="Arial Narrow" w:hAnsi="Arial Narrow"/>
          <w:i/>
          <w:sz w:val="24"/>
          <w:szCs w:val="24"/>
        </w:rPr>
        <w:t xml:space="preserve"> as well as an unwinding of factors which they believe weighed down the productivity performance of the utilities sector over the previous decade. Access Economics lists the negative factors for the industry as follows (p.48):</w:t>
      </w:r>
    </w:p>
    <w:p w:rsidR="00AC5B62" w:rsidRPr="003E2A0C" w:rsidRDefault="00AC5B62" w:rsidP="000C2FAE">
      <w:pPr>
        <w:pStyle w:val="BodyText"/>
        <w:spacing w:before="0" w:after="0" w:line="240" w:lineRule="auto"/>
        <w:ind w:left="1430"/>
        <w:jc w:val="both"/>
        <w:rPr>
          <w:rFonts w:ascii="Arial Narrow" w:hAnsi="Arial Narrow"/>
          <w:i/>
          <w:sz w:val="24"/>
          <w:szCs w:val="24"/>
        </w:rPr>
      </w:pPr>
    </w:p>
    <w:p w:rsidR="00CE2645" w:rsidRPr="003E2A0C" w:rsidRDefault="00CE2645" w:rsidP="00A664EC">
      <w:pPr>
        <w:pStyle w:val="Bullet"/>
        <w:tabs>
          <w:tab w:val="clear" w:pos="227"/>
          <w:tab w:val="clear" w:pos="360"/>
          <w:tab w:val="num" w:pos="993"/>
        </w:tabs>
        <w:ind w:left="993" w:right="565" w:hanging="426"/>
        <w:jc w:val="both"/>
        <w:rPr>
          <w:rFonts w:ascii="Arial Narrow" w:hAnsi="Arial Narrow"/>
          <w:i/>
          <w:sz w:val="24"/>
          <w:szCs w:val="24"/>
        </w:rPr>
      </w:pPr>
      <w:r w:rsidRPr="003E2A0C">
        <w:rPr>
          <w:rFonts w:ascii="Arial Narrow" w:hAnsi="Arial Narrow"/>
          <w:i/>
          <w:sz w:val="24"/>
          <w:szCs w:val="24"/>
        </w:rPr>
        <w:t xml:space="preserve">The downswing in employment in the sector had arguably gone too far, requiring a degree of catch up (meaning that, in effect, relative productivity in the period 1997 to 2002 may have been unsustainably high).  Spending on maintenance has lifted, and so too has spending on some new infrastructure (albeit with the latter still falling short of future requirements).  That increased spending has added to employment without adding to output, hence weighing on measured productivity. </w:t>
      </w:r>
    </w:p>
    <w:p w:rsidR="00CE2645" w:rsidRPr="003E2A0C" w:rsidRDefault="00CE2645" w:rsidP="00A664EC">
      <w:pPr>
        <w:pStyle w:val="Bullet"/>
        <w:tabs>
          <w:tab w:val="clear" w:pos="227"/>
          <w:tab w:val="clear" w:pos="360"/>
          <w:tab w:val="num" w:pos="993"/>
        </w:tabs>
        <w:ind w:left="993" w:right="565" w:hanging="426"/>
        <w:jc w:val="both"/>
        <w:rPr>
          <w:rFonts w:ascii="Arial Narrow" w:hAnsi="Arial Narrow"/>
          <w:i/>
          <w:sz w:val="24"/>
          <w:szCs w:val="24"/>
        </w:rPr>
      </w:pPr>
      <w:r w:rsidRPr="003E2A0C">
        <w:rPr>
          <w:rFonts w:ascii="Arial Narrow" w:hAnsi="Arial Narrow" w:cs="Calibri"/>
          <w:i/>
          <w:sz w:val="24"/>
          <w:szCs w:val="24"/>
        </w:rPr>
        <w:t xml:space="preserve">A </w:t>
      </w:r>
      <w:r w:rsidRPr="003E2A0C">
        <w:rPr>
          <w:rFonts w:ascii="Arial Narrow" w:hAnsi="Arial Narrow"/>
          <w:i/>
          <w:sz w:val="24"/>
          <w:szCs w:val="24"/>
        </w:rPr>
        <w:t xml:space="preserve">compositional switch in the sector away from water to electricity and gas has also worked to lower measured average productivity in the sector. </w:t>
      </w:r>
    </w:p>
    <w:p w:rsidR="00CE2645" w:rsidRPr="003E2A0C" w:rsidRDefault="00CE2645" w:rsidP="00A664EC">
      <w:pPr>
        <w:pStyle w:val="Bullet"/>
        <w:tabs>
          <w:tab w:val="clear" w:pos="227"/>
          <w:tab w:val="clear" w:pos="360"/>
          <w:tab w:val="num" w:pos="993"/>
        </w:tabs>
        <w:ind w:left="993" w:right="565" w:hanging="426"/>
        <w:jc w:val="both"/>
        <w:rPr>
          <w:rFonts w:ascii="Arial Narrow" w:hAnsi="Arial Narrow"/>
          <w:i/>
          <w:sz w:val="24"/>
          <w:szCs w:val="24"/>
        </w:rPr>
      </w:pPr>
      <w:r w:rsidRPr="003E2A0C">
        <w:rPr>
          <w:rFonts w:ascii="Arial Narrow" w:hAnsi="Arial Narrow"/>
          <w:i/>
          <w:sz w:val="24"/>
          <w:szCs w:val="24"/>
        </w:rPr>
        <w:t xml:space="preserve">Within the water sector, a series of droughts in a number of States also ate into measured productivity levels. </w:t>
      </w:r>
    </w:p>
    <w:p w:rsidR="00CE2645" w:rsidRPr="003E2A0C" w:rsidRDefault="00CE2645" w:rsidP="00A664EC">
      <w:pPr>
        <w:pStyle w:val="Bullet"/>
        <w:tabs>
          <w:tab w:val="clear" w:pos="227"/>
          <w:tab w:val="clear" w:pos="360"/>
          <w:tab w:val="num" w:pos="993"/>
        </w:tabs>
        <w:ind w:left="993" w:right="565" w:hanging="426"/>
        <w:jc w:val="both"/>
        <w:rPr>
          <w:rFonts w:ascii="Arial Narrow" w:hAnsi="Arial Narrow"/>
          <w:i/>
          <w:sz w:val="24"/>
          <w:szCs w:val="24"/>
        </w:rPr>
      </w:pPr>
      <w:r w:rsidRPr="003E2A0C">
        <w:rPr>
          <w:rFonts w:ascii="Arial Narrow" w:hAnsi="Arial Narrow"/>
          <w:i/>
          <w:sz w:val="24"/>
          <w:szCs w:val="24"/>
        </w:rPr>
        <w:t xml:space="preserve">Industry sources suggest that a reduction in outsourcing in recent years may also have raised employment without raising output. </w:t>
      </w:r>
    </w:p>
    <w:p w:rsidR="00CE2645" w:rsidRPr="003E2A0C" w:rsidRDefault="00CE2645" w:rsidP="00A664EC">
      <w:pPr>
        <w:pStyle w:val="Bullet"/>
        <w:tabs>
          <w:tab w:val="clear" w:pos="227"/>
          <w:tab w:val="clear" w:pos="360"/>
          <w:tab w:val="num" w:pos="993"/>
        </w:tabs>
        <w:ind w:left="993" w:right="565" w:hanging="426"/>
        <w:jc w:val="both"/>
        <w:rPr>
          <w:rFonts w:ascii="Arial Narrow" w:hAnsi="Arial Narrow" w:cs="Calibri"/>
          <w:i/>
          <w:sz w:val="24"/>
          <w:szCs w:val="24"/>
        </w:rPr>
      </w:pPr>
      <w:r w:rsidRPr="003E2A0C">
        <w:rPr>
          <w:rFonts w:ascii="Arial Narrow" w:hAnsi="Arial Narrow"/>
          <w:i/>
          <w:sz w:val="24"/>
          <w:szCs w:val="24"/>
        </w:rPr>
        <w:t>The reform momentum</w:t>
      </w:r>
      <w:r w:rsidRPr="003E2A0C">
        <w:rPr>
          <w:rFonts w:ascii="Arial Narrow" w:hAnsi="Arial Narrow" w:cs="Calibri"/>
          <w:i/>
          <w:sz w:val="24"/>
          <w:szCs w:val="24"/>
        </w:rPr>
        <w:t xml:space="preserve"> of earlier years faltered.</w:t>
      </w:r>
    </w:p>
    <w:p w:rsidR="00847AF3" w:rsidRDefault="00847AF3" w:rsidP="000C2FAE">
      <w:pPr>
        <w:pStyle w:val="Bullet"/>
        <w:numPr>
          <w:ilvl w:val="0"/>
          <w:numId w:val="0"/>
        </w:numPr>
        <w:ind w:left="1203"/>
        <w:jc w:val="both"/>
        <w:rPr>
          <w:rFonts w:ascii="Arial Narrow" w:hAnsi="Arial Narrow"/>
          <w:i/>
          <w:sz w:val="24"/>
          <w:szCs w:val="24"/>
        </w:rPr>
      </w:pPr>
    </w:p>
    <w:p w:rsidR="00CE2645" w:rsidRDefault="00CE2645" w:rsidP="00B53066">
      <w:pPr>
        <w:pStyle w:val="Bullet"/>
        <w:numPr>
          <w:ilvl w:val="0"/>
          <w:numId w:val="0"/>
        </w:numPr>
        <w:tabs>
          <w:tab w:val="clear" w:pos="227"/>
        </w:tabs>
        <w:ind w:left="567" w:right="565"/>
        <w:jc w:val="both"/>
        <w:rPr>
          <w:rFonts w:ascii="Arial Narrow" w:hAnsi="Arial Narrow"/>
          <w:i/>
          <w:sz w:val="24"/>
          <w:szCs w:val="24"/>
        </w:rPr>
      </w:pPr>
      <w:r w:rsidRPr="003E2A0C">
        <w:rPr>
          <w:rFonts w:ascii="Arial Narrow" w:hAnsi="Arial Narrow"/>
          <w:i/>
          <w:sz w:val="24"/>
          <w:szCs w:val="24"/>
        </w:rPr>
        <w:t>However, Access Economics (AE) provides little discussion or evidence to support the claims that most of the negative factors from the last decade will actually reverse over the next six years. With reference to the first point above, AE basically agrees with our assessment (and that of most of the utilities in their submissions to the AER over recent years) that spending on new infrastructure is still well short of future requirements, and that high levels of infrastructure spending will continue over the next few years. This suggests that these higher levels will continue to “add to employment without adding to output”…and hence continue to” weigh down on measured productivity”. It should also be noted that a significant portion of the recent and future infrastructure spending is related to network enhancement and maintenance for reliability, rather than for increasing capacity (</w:t>
      </w:r>
      <w:proofErr w:type="spellStart"/>
      <w:r w:rsidRPr="003E2A0C">
        <w:rPr>
          <w:rFonts w:ascii="Arial Narrow" w:hAnsi="Arial Narrow"/>
          <w:i/>
          <w:sz w:val="24"/>
          <w:szCs w:val="24"/>
        </w:rPr>
        <w:t>ie</w:t>
      </w:r>
      <w:proofErr w:type="spellEnd"/>
      <w:r w:rsidRPr="003E2A0C">
        <w:rPr>
          <w:rFonts w:ascii="Arial Narrow" w:hAnsi="Arial Narrow"/>
          <w:i/>
          <w:sz w:val="24"/>
          <w:szCs w:val="24"/>
        </w:rPr>
        <w:t xml:space="preserve"> future output).</w:t>
      </w:r>
    </w:p>
    <w:p w:rsidR="00847AF3" w:rsidRPr="003E2A0C" w:rsidRDefault="00847AF3" w:rsidP="00B53066">
      <w:pPr>
        <w:pStyle w:val="Bullet"/>
        <w:numPr>
          <w:ilvl w:val="0"/>
          <w:numId w:val="0"/>
        </w:numPr>
        <w:tabs>
          <w:tab w:val="clear" w:pos="227"/>
        </w:tabs>
        <w:ind w:left="567" w:right="565"/>
        <w:jc w:val="both"/>
        <w:rPr>
          <w:rFonts w:ascii="Arial Narrow" w:hAnsi="Arial Narrow"/>
          <w:i/>
          <w:sz w:val="24"/>
          <w:szCs w:val="24"/>
        </w:rPr>
      </w:pPr>
    </w:p>
    <w:p w:rsidR="00CE2645" w:rsidRDefault="00CE2645" w:rsidP="00B53066">
      <w:pPr>
        <w:pStyle w:val="Bullet"/>
        <w:numPr>
          <w:ilvl w:val="0"/>
          <w:numId w:val="0"/>
        </w:numPr>
        <w:tabs>
          <w:tab w:val="clear" w:pos="227"/>
        </w:tabs>
        <w:ind w:left="567" w:right="565"/>
        <w:jc w:val="both"/>
        <w:rPr>
          <w:rFonts w:ascii="Arial Narrow" w:hAnsi="Arial Narrow"/>
          <w:i/>
          <w:sz w:val="24"/>
          <w:szCs w:val="24"/>
        </w:rPr>
      </w:pPr>
      <w:r w:rsidRPr="003E2A0C">
        <w:rPr>
          <w:rFonts w:ascii="Arial Narrow" w:hAnsi="Arial Narrow"/>
          <w:i/>
          <w:sz w:val="24"/>
          <w:szCs w:val="24"/>
        </w:rPr>
        <w:t xml:space="preserve">With reference to the second point above, there is no evidence or discussion provided that a compositional switch back to water will occur over the next few years, let alone act to raise measured productivity in the overall sector. The output of the water sector may increase over the medium term compared to the drought-affected 2000s (given the construction of desalination plants around </w:t>
      </w:r>
      <w:smartTag w:uri="urn:schemas-microsoft-com:office:smarttags" w:element="place">
        <w:smartTag w:uri="urn:schemas-microsoft-com:office:smarttags" w:element="country-region">
          <w:r w:rsidRPr="003E2A0C">
            <w:rPr>
              <w:rFonts w:ascii="Arial Narrow" w:hAnsi="Arial Narrow"/>
              <w:i/>
              <w:sz w:val="24"/>
              <w:szCs w:val="24"/>
            </w:rPr>
            <w:t>Australia</w:t>
          </w:r>
        </w:smartTag>
      </w:smartTag>
      <w:r w:rsidRPr="003E2A0C">
        <w:rPr>
          <w:rFonts w:ascii="Arial Narrow" w:hAnsi="Arial Narrow"/>
          <w:i/>
          <w:sz w:val="24"/>
          <w:szCs w:val="24"/>
        </w:rPr>
        <w:t>), but given sharp rises in water prices and slower population growth, growth in water (and sewerage-related) demand and output is unlikely to be rapid, and significantly outpace the electricity and gas sub-sectors.</w:t>
      </w:r>
    </w:p>
    <w:p w:rsidR="00503D9D" w:rsidRPr="003E2A0C" w:rsidRDefault="00503D9D" w:rsidP="00503D9D">
      <w:pPr>
        <w:pStyle w:val="Bullet"/>
        <w:numPr>
          <w:ilvl w:val="0"/>
          <w:numId w:val="0"/>
        </w:numPr>
        <w:ind w:left="1134" w:right="565"/>
        <w:jc w:val="both"/>
        <w:rPr>
          <w:rFonts w:ascii="Arial Narrow" w:hAnsi="Arial Narrow"/>
          <w:i/>
          <w:sz w:val="24"/>
          <w:szCs w:val="24"/>
        </w:rPr>
      </w:pPr>
    </w:p>
    <w:p w:rsidR="00A6108C" w:rsidRDefault="00CE2645" w:rsidP="00B53066">
      <w:pPr>
        <w:pStyle w:val="Bullet"/>
        <w:numPr>
          <w:ilvl w:val="0"/>
          <w:numId w:val="0"/>
        </w:numPr>
        <w:tabs>
          <w:tab w:val="clear" w:pos="227"/>
        </w:tabs>
        <w:ind w:left="567" w:right="565"/>
        <w:jc w:val="both"/>
        <w:rPr>
          <w:rFonts w:ascii="Arial Narrow" w:hAnsi="Arial Narrow"/>
          <w:i/>
          <w:sz w:val="24"/>
          <w:szCs w:val="24"/>
        </w:rPr>
      </w:pPr>
      <w:r w:rsidRPr="003E2A0C">
        <w:rPr>
          <w:rFonts w:ascii="Arial Narrow" w:hAnsi="Arial Narrow"/>
          <w:i/>
          <w:sz w:val="24"/>
          <w:szCs w:val="24"/>
        </w:rPr>
        <w:lastRenderedPageBreak/>
        <w:t>With reference to the fourth point above, no evidence or discussion has been provided to suggest there will be a reversal of the trend away from outsourcing (</w:t>
      </w:r>
      <w:proofErr w:type="spellStart"/>
      <w:r w:rsidRPr="003E2A0C">
        <w:rPr>
          <w:rFonts w:ascii="Arial Narrow" w:hAnsi="Arial Narrow"/>
          <w:i/>
          <w:sz w:val="24"/>
          <w:szCs w:val="24"/>
        </w:rPr>
        <w:t>ie</w:t>
      </w:r>
      <w:proofErr w:type="spellEnd"/>
      <w:r w:rsidRPr="003E2A0C">
        <w:rPr>
          <w:rFonts w:ascii="Arial Narrow" w:hAnsi="Arial Narrow"/>
          <w:i/>
          <w:sz w:val="24"/>
          <w:szCs w:val="24"/>
        </w:rPr>
        <w:t xml:space="preserve"> and therefo</w:t>
      </w:r>
      <w:r w:rsidR="00A6108C">
        <w:rPr>
          <w:rFonts w:ascii="Arial Narrow" w:hAnsi="Arial Narrow"/>
          <w:i/>
          <w:sz w:val="24"/>
          <w:szCs w:val="24"/>
        </w:rPr>
        <w:t>re perform more work in-house).</w:t>
      </w:r>
    </w:p>
    <w:p w:rsidR="00175607" w:rsidRPr="00B14A00" w:rsidRDefault="00175607" w:rsidP="00B53066">
      <w:pPr>
        <w:pStyle w:val="Bullet"/>
        <w:numPr>
          <w:ilvl w:val="0"/>
          <w:numId w:val="0"/>
        </w:numPr>
        <w:tabs>
          <w:tab w:val="clear" w:pos="227"/>
        </w:tabs>
        <w:ind w:left="567" w:right="565"/>
        <w:jc w:val="both"/>
        <w:rPr>
          <w:rFonts w:ascii="Arial Narrow" w:hAnsi="Arial Narrow"/>
          <w:i/>
          <w:sz w:val="22"/>
          <w:szCs w:val="22"/>
        </w:rPr>
      </w:pPr>
    </w:p>
    <w:p w:rsidR="00CE2645" w:rsidRDefault="00CE2645" w:rsidP="00B53066">
      <w:pPr>
        <w:pStyle w:val="Bullet"/>
        <w:numPr>
          <w:ilvl w:val="0"/>
          <w:numId w:val="0"/>
        </w:numPr>
        <w:tabs>
          <w:tab w:val="clear" w:pos="227"/>
        </w:tabs>
        <w:ind w:left="567" w:right="565"/>
        <w:jc w:val="both"/>
        <w:rPr>
          <w:rFonts w:ascii="Arial Narrow" w:hAnsi="Arial Narrow"/>
          <w:i/>
          <w:sz w:val="24"/>
          <w:szCs w:val="24"/>
        </w:rPr>
      </w:pPr>
      <w:r w:rsidRPr="003E2A0C">
        <w:rPr>
          <w:rFonts w:ascii="Arial Narrow" w:hAnsi="Arial Narrow"/>
          <w:i/>
          <w:sz w:val="24"/>
          <w:szCs w:val="24"/>
        </w:rPr>
        <w:t>Indeed, our discussions with several utilities suggest that the major reason for the increase in employment in the sector over the past decade was to have less reliance on outsourced services, particularly maintenance and regular system enhancement capital programs. Having invested heavily in hiring and training these increased numbers of employees, the utilities are unlikely to shed labour and increase outsourcing over the next few years.</w:t>
      </w:r>
    </w:p>
    <w:p w:rsidR="008E586C" w:rsidRPr="00B14A00" w:rsidRDefault="008E586C" w:rsidP="00503D9D">
      <w:pPr>
        <w:pStyle w:val="Bullet"/>
        <w:numPr>
          <w:ilvl w:val="0"/>
          <w:numId w:val="0"/>
        </w:numPr>
        <w:ind w:left="1134" w:right="565"/>
        <w:jc w:val="both"/>
        <w:rPr>
          <w:rFonts w:ascii="Arial Narrow" w:hAnsi="Arial Narrow"/>
          <w:i/>
          <w:sz w:val="22"/>
          <w:szCs w:val="22"/>
        </w:rPr>
      </w:pPr>
    </w:p>
    <w:p w:rsidR="00CE2645" w:rsidRDefault="00CE2645" w:rsidP="00B53066">
      <w:pPr>
        <w:pStyle w:val="Bullet"/>
        <w:numPr>
          <w:ilvl w:val="0"/>
          <w:numId w:val="0"/>
        </w:numPr>
        <w:tabs>
          <w:tab w:val="clear" w:pos="227"/>
        </w:tabs>
        <w:ind w:left="567" w:right="565"/>
        <w:jc w:val="both"/>
        <w:rPr>
          <w:rFonts w:ascii="Arial Narrow" w:hAnsi="Arial Narrow"/>
          <w:i/>
          <w:sz w:val="24"/>
          <w:szCs w:val="24"/>
        </w:rPr>
      </w:pPr>
      <w:r w:rsidRPr="003E2A0C">
        <w:rPr>
          <w:rFonts w:ascii="Arial Narrow" w:hAnsi="Arial Narrow"/>
          <w:i/>
          <w:sz w:val="24"/>
          <w:szCs w:val="24"/>
        </w:rPr>
        <w:t>With reference to the last AE point above, most of the easy reforms in terms of manning practices and enterprise bargained productivity enhancements occurred in the deregulation period of the 1990s – in effect, “all the low hanging fruit has been plucked”. There are few reforms left which will significantly lift productivity in the utilities sector, and so we are unlikely to see a pick up in “reform momentum” over the next few years.</w:t>
      </w:r>
    </w:p>
    <w:p w:rsidR="00503D9D" w:rsidRPr="00B14A00" w:rsidRDefault="00503D9D" w:rsidP="00B53066">
      <w:pPr>
        <w:pStyle w:val="Bullet"/>
        <w:numPr>
          <w:ilvl w:val="0"/>
          <w:numId w:val="0"/>
        </w:numPr>
        <w:tabs>
          <w:tab w:val="clear" w:pos="227"/>
        </w:tabs>
        <w:ind w:left="567" w:right="565"/>
        <w:jc w:val="both"/>
        <w:rPr>
          <w:rFonts w:ascii="Arial Narrow" w:hAnsi="Arial Narrow"/>
          <w:i/>
          <w:sz w:val="22"/>
          <w:szCs w:val="22"/>
        </w:rPr>
      </w:pPr>
    </w:p>
    <w:p w:rsidR="00CE2645" w:rsidRDefault="00CE2645" w:rsidP="00B53066">
      <w:pPr>
        <w:pStyle w:val="Bullet"/>
        <w:numPr>
          <w:ilvl w:val="0"/>
          <w:numId w:val="0"/>
        </w:numPr>
        <w:tabs>
          <w:tab w:val="clear" w:pos="227"/>
        </w:tabs>
        <w:ind w:left="567" w:right="565"/>
        <w:jc w:val="both"/>
        <w:rPr>
          <w:rFonts w:ascii="Arial Narrow" w:hAnsi="Arial Narrow"/>
          <w:sz w:val="24"/>
          <w:szCs w:val="24"/>
        </w:rPr>
      </w:pPr>
      <w:r w:rsidRPr="003E2A0C">
        <w:rPr>
          <w:rFonts w:ascii="Arial Narrow" w:hAnsi="Arial Narrow"/>
          <w:i/>
          <w:sz w:val="24"/>
          <w:szCs w:val="24"/>
        </w:rPr>
        <w:t>Overall, there is not a compelling case to believe there will be higher labour productivity in the utilities sector over the next few years.</w:t>
      </w:r>
      <w:r w:rsidRPr="003E2A0C">
        <w:rPr>
          <w:rFonts w:ascii="Arial Narrow" w:hAnsi="Arial Narrow"/>
          <w:sz w:val="24"/>
          <w:szCs w:val="24"/>
        </w:rPr>
        <w:t>”</w:t>
      </w:r>
      <w:r w:rsidRPr="003E2A0C">
        <w:rPr>
          <w:rStyle w:val="FootnoteReference"/>
          <w:rFonts w:ascii="Arial Narrow" w:hAnsi="Arial Narrow"/>
          <w:sz w:val="24"/>
          <w:szCs w:val="24"/>
        </w:rPr>
        <w:footnoteReference w:id="11"/>
      </w:r>
    </w:p>
    <w:p w:rsidR="00503D9D" w:rsidRPr="00B14A00" w:rsidRDefault="00503D9D" w:rsidP="000C2FAE">
      <w:pPr>
        <w:pStyle w:val="Bullet"/>
        <w:numPr>
          <w:ilvl w:val="0"/>
          <w:numId w:val="0"/>
        </w:numPr>
        <w:ind w:left="1203"/>
        <w:jc w:val="both"/>
        <w:rPr>
          <w:rFonts w:ascii="Arial Narrow" w:hAnsi="Arial Narrow"/>
          <w:sz w:val="22"/>
          <w:szCs w:val="22"/>
        </w:rPr>
      </w:pPr>
    </w:p>
    <w:p w:rsidR="00CE2645" w:rsidRDefault="00CE2645" w:rsidP="001E1621">
      <w:pPr>
        <w:spacing w:after="0" w:line="240" w:lineRule="auto"/>
        <w:jc w:val="both"/>
        <w:rPr>
          <w:rFonts w:ascii="Arial Narrow" w:hAnsi="Arial Narrow"/>
          <w:sz w:val="24"/>
          <w:szCs w:val="24"/>
        </w:rPr>
      </w:pPr>
      <w:r>
        <w:rPr>
          <w:rFonts w:ascii="Arial Narrow" w:hAnsi="Arial Narrow"/>
          <w:sz w:val="24"/>
          <w:szCs w:val="24"/>
        </w:rPr>
        <w:t>Envestra notes the requirement in section 24(2) of the National Gas Law that a service provider should be provided with a reasonable opportunity to recover at least the efficient costs the service provider incurs in providing references services and complying with a regulatory obligation or requirement or making a regulatory pa</w:t>
      </w:r>
      <w:r w:rsidR="003F1824">
        <w:rPr>
          <w:rFonts w:ascii="Arial Narrow" w:hAnsi="Arial Narrow"/>
          <w:sz w:val="24"/>
          <w:szCs w:val="24"/>
        </w:rPr>
        <w:t xml:space="preserve">yment.  </w:t>
      </w:r>
      <w:r>
        <w:rPr>
          <w:rFonts w:ascii="Arial Narrow" w:hAnsi="Arial Narrow"/>
          <w:sz w:val="24"/>
          <w:szCs w:val="24"/>
        </w:rPr>
        <w:t xml:space="preserve">Given this, Envestra does not consider it is appropriate to lightly conclude that there will be a reversal of a 12 year trend in </w:t>
      </w:r>
      <w:r w:rsidR="00092D35">
        <w:rPr>
          <w:rFonts w:ascii="Arial Narrow" w:hAnsi="Arial Narrow"/>
          <w:sz w:val="24"/>
          <w:szCs w:val="24"/>
        </w:rPr>
        <w:t xml:space="preserve">declining </w:t>
      </w:r>
      <w:r>
        <w:rPr>
          <w:rFonts w:ascii="Arial Narrow" w:hAnsi="Arial Narrow"/>
          <w:sz w:val="24"/>
          <w:szCs w:val="24"/>
        </w:rPr>
        <w:t xml:space="preserve">productivity performance where that assumption reduces a service provider’s recoverable costs and therefore creates a material risk of non compliance with section 24(2).  Forecasts should not be made on the basis of such a reversal unless there is compelling empirical or other evidence to substantiate that the reversal is in fact occurring.  To do so is in conflict with section 24(2) and also is not a best estimate arrived at on a reasonable basis. </w:t>
      </w:r>
    </w:p>
    <w:p w:rsidR="003F1824" w:rsidRPr="00B14A00" w:rsidRDefault="003F1824" w:rsidP="001E1621">
      <w:pPr>
        <w:spacing w:after="0" w:line="240" w:lineRule="auto"/>
        <w:jc w:val="both"/>
        <w:rPr>
          <w:rFonts w:ascii="Arial Narrow" w:hAnsi="Arial Narrow"/>
        </w:rPr>
      </w:pPr>
    </w:p>
    <w:p w:rsidR="00CE2645" w:rsidRPr="003E2A0C" w:rsidRDefault="00CE2645" w:rsidP="001E1621">
      <w:pPr>
        <w:spacing w:after="0" w:line="240" w:lineRule="auto"/>
        <w:jc w:val="both"/>
        <w:rPr>
          <w:rFonts w:ascii="Arial Narrow" w:hAnsi="Arial Narrow"/>
          <w:sz w:val="24"/>
          <w:szCs w:val="24"/>
        </w:rPr>
      </w:pPr>
      <w:r>
        <w:rPr>
          <w:rFonts w:ascii="Arial Narrow" w:hAnsi="Arial Narrow"/>
          <w:sz w:val="24"/>
          <w:szCs w:val="24"/>
        </w:rPr>
        <w:t>Envestra therefore submits that the productivity adjustments proposed to be made by the AER are not compliant with the National Gas Law and Rules.</w:t>
      </w:r>
    </w:p>
    <w:p w:rsidR="00A10304" w:rsidRPr="00B14A00" w:rsidRDefault="00A10304" w:rsidP="000C2FAE">
      <w:pPr>
        <w:spacing w:after="0" w:line="240" w:lineRule="auto"/>
        <w:ind w:left="567" w:firstLine="9"/>
        <w:jc w:val="both"/>
        <w:rPr>
          <w:rFonts w:ascii="Arial Narrow" w:hAnsi="Arial Narrow"/>
        </w:rPr>
      </w:pPr>
    </w:p>
    <w:p w:rsidR="009F7F67" w:rsidRPr="0028766C" w:rsidRDefault="009F7F67" w:rsidP="005A56C2">
      <w:pPr>
        <w:pStyle w:val="Heading2"/>
      </w:pPr>
      <w:r w:rsidRPr="0028766C">
        <w:t>Significant Shifts in AER Labour Escalation</w:t>
      </w:r>
    </w:p>
    <w:p w:rsidR="009F7F67" w:rsidRPr="00B14A00" w:rsidRDefault="009F7F67" w:rsidP="000C2FAE">
      <w:pPr>
        <w:pStyle w:val="AERbodytext"/>
        <w:spacing w:after="0"/>
        <w:jc w:val="both"/>
        <w:rPr>
          <w:rFonts w:ascii="Arial Narrow" w:hAnsi="Arial Narrow"/>
          <w:sz w:val="22"/>
          <w:szCs w:val="22"/>
        </w:rPr>
      </w:pPr>
    </w:p>
    <w:p w:rsidR="009F7F67" w:rsidRPr="0028766C" w:rsidRDefault="009F7F67" w:rsidP="00730D54">
      <w:pPr>
        <w:pStyle w:val="AERbodytext"/>
        <w:spacing w:after="0"/>
        <w:jc w:val="both"/>
        <w:rPr>
          <w:rFonts w:ascii="Arial Narrow" w:hAnsi="Arial Narrow"/>
        </w:rPr>
      </w:pPr>
      <w:r w:rsidRPr="0028766C">
        <w:rPr>
          <w:rFonts w:ascii="Arial Narrow" w:hAnsi="Arial Narrow"/>
        </w:rPr>
        <w:t xml:space="preserve">The AER also engaged Access Economics to advise it on labour escalation rates in </w:t>
      </w:r>
      <w:smartTag w:uri="urn:schemas-microsoft-com:office:smarttags" w:element="State">
        <w:r w:rsidRPr="0028766C">
          <w:rPr>
            <w:rFonts w:ascii="Arial Narrow" w:hAnsi="Arial Narrow"/>
          </w:rPr>
          <w:t>South Australia</w:t>
        </w:r>
      </w:smartTag>
      <w:r w:rsidRPr="0028766C">
        <w:rPr>
          <w:rFonts w:ascii="Arial Narrow" w:hAnsi="Arial Narrow"/>
        </w:rPr>
        <w:t xml:space="preserve"> and </w:t>
      </w:r>
      <w:smartTag w:uri="urn:schemas-microsoft-com:office:smarttags" w:element="place">
        <w:smartTag w:uri="urn:schemas-microsoft-com:office:smarttags" w:element="State">
          <w:r w:rsidRPr="0028766C">
            <w:rPr>
              <w:rFonts w:ascii="Arial Narrow" w:hAnsi="Arial Narrow"/>
            </w:rPr>
            <w:t>Queensland</w:t>
          </w:r>
        </w:smartTag>
      </w:smartTag>
      <w:r w:rsidRPr="0028766C">
        <w:rPr>
          <w:rFonts w:ascii="Arial Narrow" w:hAnsi="Arial Narrow"/>
        </w:rPr>
        <w:t xml:space="preserve"> as part </w:t>
      </w:r>
      <w:r w:rsidR="00CE2645">
        <w:rPr>
          <w:rFonts w:ascii="Arial Narrow" w:hAnsi="Arial Narrow"/>
        </w:rPr>
        <w:t xml:space="preserve">of </w:t>
      </w:r>
      <w:r w:rsidRPr="0028766C">
        <w:rPr>
          <w:rFonts w:ascii="Arial Narrow" w:hAnsi="Arial Narrow"/>
        </w:rPr>
        <w:t>its electricity distribution reviews in those states. The AER accepted the advice of Access Economics in its report dated 16 September 2009</w:t>
      </w:r>
      <w:r w:rsidRPr="0028766C">
        <w:rPr>
          <w:rStyle w:val="FootnoteReference"/>
          <w:rFonts w:ascii="Arial Narrow" w:hAnsi="Arial Narrow"/>
        </w:rPr>
        <w:footnoteReference w:id="12"/>
      </w:r>
      <w:r w:rsidRPr="0028766C">
        <w:rPr>
          <w:rFonts w:ascii="Arial Narrow" w:hAnsi="Arial Narrow"/>
        </w:rPr>
        <w:t xml:space="preserve"> for the purposes of making its Draft Decision and also accepted the revised advice dated 16 March 2010</w:t>
      </w:r>
      <w:r w:rsidRPr="0028766C">
        <w:rPr>
          <w:rStyle w:val="FootnoteReference"/>
          <w:rFonts w:ascii="Arial Narrow" w:hAnsi="Arial Narrow"/>
        </w:rPr>
        <w:footnoteReference w:id="13"/>
      </w:r>
      <w:r w:rsidRPr="0028766C">
        <w:rPr>
          <w:rFonts w:ascii="Arial Narrow" w:hAnsi="Arial Narrow"/>
        </w:rPr>
        <w:t xml:space="preserve"> for the purposes of its Final Decision. </w:t>
      </w:r>
    </w:p>
    <w:p w:rsidR="009F7F67" w:rsidRPr="00B14A00" w:rsidRDefault="009F7F67" w:rsidP="00730D54">
      <w:pPr>
        <w:pStyle w:val="AERbodytext"/>
        <w:spacing w:after="0"/>
        <w:jc w:val="both"/>
        <w:rPr>
          <w:rFonts w:ascii="Arial Narrow" w:hAnsi="Arial Narrow"/>
          <w:sz w:val="22"/>
          <w:szCs w:val="22"/>
        </w:rPr>
      </w:pPr>
    </w:p>
    <w:p w:rsidR="009F7F67" w:rsidRPr="0028766C" w:rsidRDefault="009F7F67" w:rsidP="00730D54">
      <w:pPr>
        <w:pStyle w:val="AERbodytext"/>
        <w:spacing w:after="0"/>
        <w:jc w:val="both"/>
        <w:rPr>
          <w:rFonts w:ascii="Arial Narrow" w:hAnsi="Arial Narrow"/>
        </w:rPr>
      </w:pPr>
      <w:r w:rsidRPr="0028766C">
        <w:rPr>
          <w:rFonts w:ascii="Arial Narrow" w:hAnsi="Arial Narrow"/>
        </w:rPr>
        <w:t>The AER, in both its Final Decision and Draft Decision, accepted the advice of Access Economics on labour cost escalation, which escalation was based on the LPI. Envestra has in the below figures compared Access Economics’ “utilities” and “construction” forecasts in its December 2010</w:t>
      </w:r>
      <w:r w:rsidRPr="0028766C">
        <w:rPr>
          <w:rStyle w:val="FootnoteReference"/>
          <w:rFonts w:ascii="Arial Narrow" w:hAnsi="Arial Narrow"/>
        </w:rPr>
        <w:footnoteReference w:id="14"/>
      </w:r>
      <w:r w:rsidRPr="0028766C">
        <w:rPr>
          <w:rFonts w:ascii="Arial Narrow" w:hAnsi="Arial Narrow"/>
        </w:rPr>
        <w:t>, March 2010</w:t>
      </w:r>
      <w:r w:rsidRPr="0028766C">
        <w:rPr>
          <w:rStyle w:val="FootnoteReference"/>
          <w:rFonts w:ascii="Arial Narrow" w:hAnsi="Arial Narrow"/>
        </w:rPr>
        <w:footnoteReference w:id="15"/>
      </w:r>
      <w:r w:rsidRPr="0028766C">
        <w:rPr>
          <w:rFonts w:ascii="Arial Narrow" w:hAnsi="Arial Narrow"/>
        </w:rPr>
        <w:t xml:space="preserve"> and September 2009</w:t>
      </w:r>
      <w:r w:rsidRPr="0028766C">
        <w:rPr>
          <w:rStyle w:val="FootnoteReference"/>
          <w:rFonts w:ascii="Arial Narrow" w:hAnsi="Arial Narrow"/>
        </w:rPr>
        <w:footnoteReference w:id="16"/>
      </w:r>
      <w:r w:rsidRPr="0028766C">
        <w:rPr>
          <w:rFonts w:ascii="Arial Narrow" w:hAnsi="Arial Narrow"/>
        </w:rPr>
        <w:t xml:space="preserve"> reports. This shows that Access Economics has materially changed its views on labour escalation over the past year. </w:t>
      </w:r>
    </w:p>
    <w:p w:rsidR="005B0392" w:rsidRPr="0028766C" w:rsidRDefault="00E75F3C" w:rsidP="00730D54">
      <w:pPr>
        <w:pStyle w:val="AERbodytext"/>
        <w:spacing w:after="0"/>
        <w:jc w:val="both"/>
        <w:rPr>
          <w:rFonts w:ascii="Arial Narrow" w:hAnsi="Arial Narrow"/>
        </w:rPr>
      </w:pPr>
      <w:r>
        <w:rPr>
          <w:rFonts w:ascii="Arial Narrow" w:hAnsi="Arial Narrow"/>
          <w:noProof/>
          <w:lang w:eastAsia="en-AU"/>
        </w:rPr>
        <w:lastRenderedPageBreak/>
        <w:drawing>
          <wp:inline distT="0" distB="0" distL="0" distR="0">
            <wp:extent cx="5491858" cy="4504789"/>
            <wp:effectExtent l="14505" t="7318" r="8612" b="2743"/>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B0392" w:rsidRPr="0028766C" w:rsidRDefault="005B0392" w:rsidP="000C2FAE">
      <w:pPr>
        <w:pStyle w:val="AERbodytext"/>
        <w:spacing w:after="0"/>
        <w:jc w:val="both"/>
        <w:rPr>
          <w:rFonts w:ascii="Arial Narrow" w:hAnsi="Arial Narrow"/>
        </w:rPr>
      </w:pPr>
    </w:p>
    <w:p w:rsidR="005B0392" w:rsidRPr="0028766C" w:rsidRDefault="00E75F3C" w:rsidP="00730D54">
      <w:pPr>
        <w:pStyle w:val="AERbodytext"/>
        <w:spacing w:after="0"/>
        <w:jc w:val="both"/>
        <w:rPr>
          <w:rFonts w:ascii="Arial Narrow" w:hAnsi="Arial Narrow"/>
        </w:rPr>
      </w:pPr>
      <w:r>
        <w:rPr>
          <w:rFonts w:ascii="Arial Narrow" w:hAnsi="Arial Narrow"/>
          <w:noProof/>
          <w:lang w:eastAsia="en-AU"/>
        </w:rPr>
        <w:drawing>
          <wp:inline distT="0" distB="0" distL="0" distR="0">
            <wp:extent cx="5492997" cy="3963073"/>
            <wp:effectExtent l="14652" t="6438" r="7326" b="2414"/>
            <wp:docPr id="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394B" w:rsidRPr="0028766C" w:rsidRDefault="000C394B" w:rsidP="000C2FAE">
      <w:pPr>
        <w:pStyle w:val="AERbodytext"/>
        <w:spacing w:after="0"/>
        <w:jc w:val="both"/>
        <w:rPr>
          <w:rFonts w:ascii="Arial Narrow" w:hAnsi="Arial Narrow"/>
        </w:rPr>
      </w:pPr>
    </w:p>
    <w:p w:rsidR="006F3EB8" w:rsidRPr="007F230F" w:rsidRDefault="006F3EB8" w:rsidP="00B03A25">
      <w:pPr>
        <w:pStyle w:val="AERbodytext"/>
        <w:spacing w:after="0"/>
        <w:jc w:val="both"/>
        <w:rPr>
          <w:rFonts w:ascii="Arial Narrow" w:hAnsi="Arial Narrow"/>
        </w:rPr>
      </w:pPr>
      <w:r w:rsidRPr="007F230F">
        <w:rPr>
          <w:rFonts w:ascii="Arial Narrow" w:hAnsi="Arial Narrow"/>
        </w:rPr>
        <w:lastRenderedPageBreak/>
        <w:t>Envestra, reflecting its considerable concern over such significant shifts in the advice of Access Economics, engaged Professor Borland to also review the plausibility of any s</w:t>
      </w:r>
      <w:r>
        <w:rPr>
          <w:rFonts w:ascii="Arial Narrow" w:hAnsi="Arial Narrow"/>
        </w:rPr>
        <w:t>u</w:t>
      </w:r>
      <w:r w:rsidRPr="007F230F">
        <w:rPr>
          <w:rFonts w:ascii="Arial Narrow" w:hAnsi="Arial Narrow"/>
        </w:rPr>
        <w:t>ch changes. In reviewing this matter, Professor Borland commented that:</w:t>
      </w:r>
    </w:p>
    <w:p w:rsidR="006F3EB8" w:rsidRPr="007F230F" w:rsidRDefault="006F3EB8" w:rsidP="000C2FAE">
      <w:pPr>
        <w:pStyle w:val="AERbodytext"/>
        <w:spacing w:after="0"/>
        <w:ind w:left="567"/>
        <w:jc w:val="both"/>
        <w:rPr>
          <w:rFonts w:ascii="Arial Narrow" w:hAnsi="Arial Narrow"/>
        </w:rPr>
      </w:pPr>
    </w:p>
    <w:p w:rsidR="00407377" w:rsidRPr="00844719" w:rsidRDefault="00407377" w:rsidP="00407377">
      <w:pPr>
        <w:spacing w:before="240" w:after="0" w:line="240" w:lineRule="auto"/>
        <w:ind w:left="540"/>
        <w:jc w:val="both"/>
        <w:rPr>
          <w:rFonts w:ascii="Times New Roman" w:hAnsi="Times New Roman"/>
          <w:i/>
          <w:sz w:val="24"/>
          <w:szCs w:val="24"/>
        </w:rPr>
      </w:pPr>
      <w:r>
        <w:rPr>
          <w:rFonts w:ascii="Times New Roman" w:hAnsi="Times New Roman"/>
          <w:sz w:val="24"/>
          <w:szCs w:val="24"/>
        </w:rPr>
        <w:t>“</w:t>
      </w:r>
      <w:r w:rsidRPr="00844719">
        <w:rPr>
          <w:rFonts w:ascii="Times New Roman" w:hAnsi="Times New Roman"/>
          <w:i/>
          <w:sz w:val="24"/>
          <w:szCs w:val="24"/>
        </w:rPr>
        <w:t>The main feature evident from comparison of the reports is that Access Economics have made substantial increases in their forecasts of average annual growth in productivity from 16 September 2009 and 16 March 2010 to 13 December 2010.  For example, in the 13 December 2010 report it is forecast that average annual growth in productivity in the utilities sector in Queensland from 2011-12 to 2015-16 will be 0.88 percentage points higher than in the 16 March 2010 report.</w:t>
      </w:r>
    </w:p>
    <w:p w:rsidR="00407377" w:rsidRDefault="00407377" w:rsidP="00407377">
      <w:pPr>
        <w:spacing w:before="240" w:after="0" w:line="240" w:lineRule="auto"/>
        <w:ind w:left="540"/>
        <w:jc w:val="both"/>
        <w:rPr>
          <w:rFonts w:ascii="Times New Roman" w:hAnsi="Times New Roman"/>
          <w:sz w:val="24"/>
          <w:szCs w:val="24"/>
        </w:rPr>
      </w:pPr>
      <w:r w:rsidRPr="00844719">
        <w:rPr>
          <w:rFonts w:ascii="Times New Roman" w:hAnsi="Times New Roman"/>
          <w:i/>
          <w:sz w:val="24"/>
          <w:szCs w:val="24"/>
        </w:rPr>
        <w:t xml:space="preserve">I make several observations on the changes in forecasts of labour productivity growth in the reports from Access Economics.  First, these must be regarded as substantial revisions. Where average growth in labour productivity in </w:t>
      </w:r>
      <w:smartTag w:uri="urn:schemas-microsoft-com:office:smarttags" w:element="country-region">
        <w:smartTag w:uri="urn:schemas-microsoft-com:office:smarttags" w:element="place">
          <w:r w:rsidRPr="00844719">
            <w:rPr>
              <w:rFonts w:ascii="Times New Roman" w:hAnsi="Times New Roman"/>
              <w:i/>
              <w:sz w:val="24"/>
              <w:szCs w:val="24"/>
            </w:rPr>
            <w:t>Australia</w:t>
          </w:r>
        </w:smartTag>
      </w:smartTag>
      <w:r w:rsidRPr="00844719">
        <w:rPr>
          <w:rFonts w:ascii="Times New Roman" w:hAnsi="Times New Roman"/>
          <w:i/>
          <w:sz w:val="24"/>
          <w:szCs w:val="24"/>
        </w:rPr>
        <w:t xml:space="preserve"> is about 1.5% per annum, changes in forecasts of around 0.8% in Queensland and 0.5% in SA, are a large fraction of what are likely to be the actual rates of productivity growth.  Second, the revisions to forecasts of productivity growth are larger in the utilities sector and construction sector than for all industries in both Queensland and SA</w:t>
      </w:r>
      <w:r>
        <w:rPr>
          <w:rFonts w:ascii="Times New Roman" w:hAnsi="Times New Roman"/>
          <w:sz w:val="24"/>
          <w:szCs w:val="24"/>
        </w:rPr>
        <w:t>.”</w:t>
      </w:r>
      <w:r>
        <w:rPr>
          <w:rStyle w:val="FootnoteReference"/>
          <w:rFonts w:ascii="Times New Roman" w:hAnsi="Times New Roman"/>
          <w:sz w:val="24"/>
          <w:szCs w:val="24"/>
        </w:rPr>
        <w:footnoteReference w:id="17"/>
      </w:r>
    </w:p>
    <w:p w:rsidR="006F3EB8" w:rsidRPr="007F230F" w:rsidRDefault="006F3EB8" w:rsidP="000C2FAE">
      <w:pPr>
        <w:pStyle w:val="AERbodytext"/>
        <w:spacing w:after="0"/>
        <w:ind w:left="567"/>
        <w:jc w:val="both"/>
        <w:rPr>
          <w:rFonts w:ascii="Arial Narrow" w:hAnsi="Arial Narrow"/>
        </w:rPr>
      </w:pPr>
    </w:p>
    <w:p w:rsidR="006F3EB8" w:rsidRDefault="006F3EB8" w:rsidP="00B03A25">
      <w:pPr>
        <w:pStyle w:val="AERbodytext"/>
        <w:spacing w:after="0"/>
        <w:jc w:val="both"/>
        <w:rPr>
          <w:rFonts w:ascii="Arial Narrow" w:hAnsi="Arial Narrow"/>
        </w:rPr>
      </w:pPr>
      <w:r w:rsidRPr="007F230F">
        <w:rPr>
          <w:rFonts w:ascii="Arial Narrow" w:hAnsi="Arial Narrow"/>
        </w:rPr>
        <w:t>Professor Borland went on to comment that:</w:t>
      </w:r>
    </w:p>
    <w:p w:rsidR="006F3EB8" w:rsidRDefault="006F3EB8" w:rsidP="000C2FAE">
      <w:pPr>
        <w:pStyle w:val="AERbodytext"/>
        <w:spacing w:after="0"/>
        <w:ind w:left="567"/>
        <w:jc w:val="both"/>
        <w:rPr>
          <w:rFonts w:ascii="Arial Narrow" w:hAnsi="Arial Narrow"/>
        </w:rPr>
      </w:pPr>
    </w:p>
    <w:p w:rsidR="00407377" w:rsidRPr="00844719" w:rsidRDefault="00407377" w:rsidP="00407377">
      <w:pPr>
        <w:spacing w:before="240" w:after="0" w:line="240" w:lineRule="auto"/>
        <w:ind w:left="540"/>
        <w:jc w:val="both"/>
        <w:rPr>
          <w:rFonts w:ascii="Times New Roman" w:hAnsi="Times New Roman"/>
          <w:sz w:val="24"/>
          <w:szCs w:val="24"/>
        </w:rPr>
      </w:pPr>
      <w:r>
        <w:rPr>
          <w:rFonts w:ascii="Times New Roman" w:hAnsi="Times New Roman"/>
          <w:sz w:val="24"/>
          <w:szCs w:val="24"/>
        </w:rPr>
        <w:t>“</w:t>
      </w:r>
      <w:r w:rsidRPr="00844719">
        <w:rPr>
          <w:rFonts w:ascii="Times New Roman" w:hAnsi="Times New Roman"/>
          <w:i/>
          <w:sz w:val="24"/>
          <w:szCs w:val="24"/>
        </w:rPr>
        <w:t>In my opinion the substantial magnitude of the change in forecasts of productivity made by Access Economics would require a large change in underlying conditions or modelling assumptions to be justified.  I have not been able to find any discussion of such changes to underlying conditions or modelling assumptions in the reports from Access Economics. In the absence of such large changes in underlying conditions or modelling assumptions it raises the possibility of non-robustness in the forecasting method.</w:t>
      </w:r>
      <w:r>
        <w:rPr>
          <w:rFonts w:ascii="Times New Roman" w:hAnsi="Times New Roman"/>
          <w:sz w:val="24"/>
          <w:szCs w:val="24"/>
        </w:rPr>
        <w:t>”</w:t>
      </w:r>
      <w:r>
        <w:rPr>
          <w:rStyle w:val="FootnoteReference"/>
          <w:rFonts w:ascii="Times New Roman" w:hAnsi="Times New Roman"/>
          <w:sz w:val="24"/>
          <w:szCs w:val="24"/>
        </w:rPr>
        <w:footnoteReference w:id="18"/>
      </w:r>
    </w:p>
    <w:p w:rsidR="006F3EB8" w:rsidRPr="007F230F" w:rsidRDefault="006F3EB8" w:rsidP="000C2FAE">
      <w:pPr>
        <w:pStyle w:val="AERbodytext"/>
        <w:spacing w:after="0"/>
        <w:ind w:left="567"/>
        <w:jc w:val="both"/>
        <w:rPr>
          <w:rFonts w:ascii="Arial Narrow" w:hAnsi="Arial Narrow"/>
        </w:rPr>
      </w:pPr>
    </w:p>
    <w:p w:rsidR="006F3EB8" w:rsidRPr="007F230F" w:rsidRDefault="006F3EB8" w:rsidP="00B03A25">
      <w:pPr>
        <w:pStyle w:val="AERbodytext"/>
        <w:spacing w:after="0"/>
        <w:jc w:val="both"/>
        <w:rPr>
          <w:rFonts w:ascii="Arial Narrow" w:hAnsi="Arial Narrow"/>
        </w:rPr>
      </w:pPr>
      <w:r w:rsidRPr="007F230F">
        <w:rPr>
          <w:rFonts w:ascii="Arial Narrow" w:hAnsi="Arial Narrow"/>
        </w:rPr>
        <w:t xml:space="preserve">Envestra is concerned by such significant shifts in the advice of Access Economics and the position of the AER, particularly given the lack of any substantiation for such shifts. Envestra also notes that the resultant average annual decline in real labour costs over the next regulatory period forecast in the most recent Access Economics advice appears contrary to generally accepted views on future labour costs in the economy. </w:t>
      </w:r>
    </w:p>
    <w:p w:rsidR="009F7F67" w:rsidRDefault="009F7F67" w:rsidP="000C2FAE">
      <w:pPr>
        <w:pStyle w:val="AERbodytext"/>
        <w:spacing w:after="0"/>
        <w:ind w:left="567"/>
        <w:jc w:val="both"/>
        <w:rPr>
          <w:rFonts w:ascii="Arial Narrow" w:hAnsi="Arial Narrow"/>
        </w:rPr>
      </w:pPr>
    </w:p>
    <w:p w:rsidR="006F3EB8" w:rsidRDefault="006F3EB8" w:rsidP="005A56C2">
      <w:pPr>
        <w:pStyle w:val="Heading2"/>
      </w:pPr>
      <w:r>
        <w:t xml:space="preserve">Other Matters </w:t>
      </w:r>
    </w:p>
    <w:p w:rsidR="006F3EB8" w:rsidRDefault="006F3EB8" w:rsidP="000C2FAE">
      <w:pPr>
        <w:pStyle w:val="AERbodytext"/>
        <w:spacing w:after="0"/>
        <w:jc w:val="both"/>
        <w:rPr>
          <w:rFonts w:ascii="Arial Narrow" w:hAnsi="Arial Narrow"/>
        </w:rPr>
      </w:pPr>
    </w:p>
    <w:p w:rsidR="006F3EB8" w:rsidRPr="00F623F7" w:rsidRDefault="006F3EB8" w:rsidP="00B03A25">
      <w:pPr>
        <w:spacing w:after="0" w:line="240" w:lineRule="auto"/>
        <w:jc w:val="both"/>
        <w:rPr>
          <w:rFonts w:ascii="Arial Narrow" w:hAnsi="Arial Narrow"/>
          <w:sz w:val="24"/>
          <w:szCs w:val="24"/>
        </w:rPr>
      </w:pPr>
      <w:r w:rsidRPr="007F230F">
        <w:rPr>
          <w:rFonts w:ascii="Arial Narrow" w:hAnsi="Arial Narrow"/>
          <w:sz w:val="24"/>
          <w:szCs w:val="24"/>
        </w:rPr>
        <w:t xml:space="preserve">Envestra notes that there is likely to be significant pressure on labour costs over the next regulatory period given the resources boom. For example, the development of the Coal Seam Methane industry </w:t>
      </w:r>
      <w:r w:rsidRPr="00F623F7">
        <w:rPr>
          <w:rFonts w:ascii="Arial Narrow" w:hAnsi="Arial Narrow"/>
          <w:sz w:val="24"/>
          <w:szCs w:val="24"/>
        </w:rPr>
        <w:t>will see that industry increasingly competing with inputs used by Envestra for gas distribution (main laying, operations, planning etc).</w:t>
      </w:r>
      <w:r w:rsidRPr="00F623F7">
        <w:rPr>
          <w:rStyle w:val="FootnoteReference"/>
          <w:rFonts w:ascii="Arial Narrow" w:hAnsi="Arial Narrow"/>
          <w:sz w:val="24"/>
          <w:szCs w:val="24"/>
        </w:rPr>
        <w:footnoteReference w:id="19"/>
      </w:r>
      <w:r w:rsidR="00F623F7" w:rsidRPr="00F623F7">
        <w:rPr>
          <w:rFonts w:ascii="Arial Narrow" w:hAnsi="Arial Narrow"/>
          <w:sz w:val="24"/>
          <w:szCs w:val="24"/>
        </w:rPr>
        <w:t>,</w:t>
      </w:r>
      <w:r w:rsidRPr="00F623F7">
        <w:rPr>
          <w:rStyle w:val="FootnoteReference"/>
          <w:rFonts w:ascii="Arial Narrow" w:hAnsi="Arial Narrow"/>
          <w:sz w:val="24"/>
          <w:szCs w:val="24"/>
        </w:rPr>
        <w:footnoteReference w:id="20"/>
      </w:r>
    </w:p>
    <w:p w:rsidR="00E85F33" w:rsidRPr="00F623F7" w:rsidRDefault="00E85F33" w:rsidP="00B03A25">
      <w:pPr>
        <w:spacing w:after="0" w:line="240" w:lineRule="auto"/>
        <w:jc w:val="both"/>
        <w:rPr>
          <w:rFonts w:ascii="Arial Narrow" w:hAnsi="Arial Narrow"/>
          <w:sz w:val="24"/>
          <w:szCs w:val="24"/>
        </w:rPr>
      </w:pPr>
    </w:p>
    <w:p w:rsidR="00B03A25" w:rsidRDefault="006F3EB8" w:rsidP="00B03A25">
      <w:pPr>
        <w:spacing w:after="0" w:line="240" w:lineRule="auto"/>
        <w:jc w:val="both"/>
        <w:rPr>
          <w:rFonts w:ascii="Arial Narrow" w:hAnsi="Arial Narrow"/>
          <w:sz w:val="24"/>
          <w:szCs w:val="24"/>
        </w:rPr>
      </w:pPr>
      <w:r w:rsidRPr="00F623F7">
        <w:rPr>
          <w:rFonts w:ascii="Arial Narrow" w:hAnsi="Arial Narrow"/>
          <w:sz w:val="24"/>
          <w:szCs w:val="24"/>
        </w:rPr>
        <w:lastRenderedPageBreak/>
        <w:t xml:space="preserve">Further the reconstruction efforts in </w:t>
      </w:r>
      <w:smartTag w:uri="urn:schemas-microsoft-com:office:smarttags" w:element="State">
        <w:r w:rsidRPr="00F623F7">
          <w:rPr>
            <w:rFonts w:ascii="Arial Narrow" w:hAnsi="Arial Narrow"/>
            <w:sz w:val="24"/>
            <w:szCs w:val="24"/>
          </w:rPr>
          <w:t>Queensland</w:t>
        </w:r>
      </w:smartTag>
      <w:r w:rsidRPr="00F623F7">
        <w:rPr>
          <w:rFonts w:ascii="Arial Narrow" w:hAnsi="Arial Narrow"/>
          <w:sz w:val="24"/>
          <w:szCs w:val="24"/>
        </w:rPr>
        <w:t xml:space="preserve"> and </w:t>
      </w:r>
      <w:smartTag w:uri="urn:schemas-microsoft-com:office:smarttags" w:element="place">
        <w:smartTag w:uri="urn:schemas-microsoft-com:office:smarttags" w:element="State">
          <w:r w:rsidRPr="00F623F7">
            <w:rPr>
              <w:rFonts w:ascii="Arial Narrow" w:hAnsi="Arial Narrow"/>
              <w:sz w:val="24"/>
              <w:szCs w:val="24"/>
            </w:rPr>
            <w:t>Victoria</w:t>
          </w:r>
        </w:smartTag>
      </w:smartTag>
      <w:r w:rsidRPr="00F623F7">
        <w:rPr>
          <w:rFonts w:ascii="Arial Narrow" w:hAnsi="Arial Narrow"/>
          <w:sz w:val="24"/>
          <w:szCs w:val="24"/>
        </w:rPr>
        <w:t xml:space="preserve"> following the early 2011 floods and Cyclone </w:t>
      </w:r>
      <w:proofErr w:type="spellStart"/>
      <w:r w:rsidRPr="00F623F7">
        <w:rPr>
          <w:rFonts w:ascii="Arial Narrow" w:hAnsi="Arial Narrow"/>
          <w:sz w:val="24"/>
          <w:szCs w:val="24"/>
        </w:rPr>
        <w:t>Yasi</w:t>
      </w:r>
      <w:proofErr w:type="spellEnd"/>
      <w:r w:rsidRPr="00F623F7">
        <w:rPr>
          <w:rFonts w:ascii="Arial Narrow" w:hAnsi="Arial Narrow"/>
          <w:sz w:val="24"/>
          <w:szCs w:val="24"/>
        </w:rPr>
        <w:t xml:space="preserve"> will put further pressure on labour costs, not anticipated at the time of preparation of the 2010 BIS Shrapnel forecasts and</w:t>
      </w:r>
      <w:r w:rsidRPr="00464424">
        <w:rPr>
          <w:rFonts w:ascii="Arial Narrow" w:hAnsi="Arial Narrow"/>
          <w:sz w:val="24"/>
          <w:szCs w:val="24"/>
        </w:rPr>
        <w:t xml:space="preserve"> t</w:t>
      </w:r>
      <w:r w:rsidR="00B03A25">
        <w:rPr>
          <w:rFonts w:ascii="Arial Narrow" w:hAnsi="Arial Narrow"/>
          <w:sz w:val="24"/>
          <w:szCs w:val="24"/>
        </w:rPr>
        <w:t>he Access Economics forecasts.</w:t>
      </w:r>
    </w:p>
    <w:p w:rsidR="006F3EB8" w:rsidRDefault="006F3EB8" w:rsidP="00B03A25">
      <w:pPr>
        <w:spacing w:after="0" w:line="240" w:lineRule="auto"/>
        <w:jc w:val="both"/>
        <w:rPr>
          <w:rFonts w:ascii="Arial Narrow" w:hAnsi="Arial Narrow"/>
          <w:sz w:val="24"/>
          <w:szCs w:val="24"/>
        </w:rPr>
      </w:pPr>
      <w:r w:rsidRPr="00464424">
        <w:rPr>
          <w:rFonts w:ascii="Arial Narrow" w:hAnsi="Arial Narrow"/>
          <w:sz w:val="24"/>
          <w:szCs w:val="24"/>
        </w:rPr>
        <w:t xml:space="preserve">While these factors relate to events outside of </w:t>
      </w:r>
      <w:smartTag w:uri="urn:schemas-microsoft-com:office:smarttags" w:element="State">
        <w:r w:rsidRPr="00464424">
          <w:rPr>
            <w:rFonts w:ascii="Arial Narrow" w:hAnsi="Arial Narrow"/>
            <w:sz w:val="24"/>
            <w:szCs w:val="24"/>
          </w:rPr>
          <w:t>South Australia</w:t>
        </w:r>
      </w:smartTag>
      <w:r w:rsidRPr="00464424">
        <w:rPr>
          <w:rFonts w:ascii="Arial Narrow" w:hAnsi="Arial Narrow"/>
          <w:sz w:val="24"/>
          <w:szCs w:val="24"/>
        </w:rPr>
        <w:t xml:space="preserve">, given their magnitude they would still be expected to impact on costs in </w:t>
      </w:r>
      <w:smartTag w:uri="urn:schemas-microsoft-com:office:smarttags" w:element="State">
        <w:smartTag w:uri="urn:schemas-microsoft-com:office:smarttags" w:element="place">
          <w:r w:rsidRPr="00464424">
            <w:rPr>
              <w:rFonts w:ascii="Arial Narrow" w:hAnsi="Arial Narrow"/>
              <w:sz w:val="24"/>
              <w:szCs w:val="24"/>
            </w:rPr>
            <w:t>South Australia</w:t>
          </w:r>
        </w:smartTag>
      </w:smartTag>
      <w:r w:rsidRPr="00464424">
        <w:rPr>
          <w:rFonts w:ascii="Arial Narrow" w:hAnsi="Arial Narrow"/>
          <w:sz w:val="24"/>
          <w:szCs w:val="24"/>
        </w:rPr>
        <w:t>.</w:t>
      </w:r>
    </w:p>
    <w:p w:rsidR="00B03A25" w:rsidRPr="00464424" w:rsidRDefault="00B03A25" w:rsidP="00B03A25">
      <w:pPr>
        <w:spacing w:after="0" w:line="240" w:lineRule="auto"/>
        <w:jc w:val="both"/>
        <w:rPr>
          <w:rFonts w:ascii="Arial Narrow" w:hAnsi="Arial Narrow"/>
          <w:sz w:val="24"/>
          <w:szCs w:val="24"/>
        </w:rPr>
      </w:pPr>
    </w:p>
    <w:p w:rsidR="009F7F67" w:rsidRPr="0028766C" w:rsidRDefault="009F7F67" w:rsidP="005A56C2">
      <w:pPr>
        <w:pStyle w:val="Heading2"/>
      </w:pPr>
      <w:r w:rsidRPr="0028766C">
        <w:t>Forecast network materials price growth</w:t>
      </w:r>
    </w:p>
    <w:p w:rsidR="009F7F67" w:rsidRPr="0028766C" w:rsidRDefault="009F7F67" w:rsidP="000C2FAE">
      <w:pPr>
        <w:spacing w:after="0" w:line="240" w:lineRule="auto"/>
        <w:ind w:left="709"/>
        <w:jc w:val="both"/>
        <w:rPr>
          <w:rFonts w:ascii="Arial Narrow" w:eastAsia="Times New Roman" w:hAnsi="Arial Narrow"/>
          <w:sz w:val="24"/>
          <w:szCs w:val="24"/>
        </w:rPr>
      </w:pPr>
    </w:p>
    <w:p w:rsidR="00FA059D" w:rsidRPr="0028766C" w:rsidRDefault="00FA059D" w:rsidP="00F4600D">
      <w:pPr>
        <w:pStyle w:val="AERbodytext"/>
        <w:spacing w:after="0"/>
        <w:jc w:val="both"/>
        <w:rPr>
          <w:rFonts w:ascii="Arial Narrow" w:hAnsi="Arial Narrow"/>
        </w:rPr>
      </w:pPr>
      <w:r w:rsidRPr="0028766C">
        <w:rPr>
          <w:rFonts w:ascii="Arial Narrow" w:hAnsi="Arial Narrow"/>
        </w:rPr>
        <w:t xml:space="preserve">In its access arrangement proposal Envestra proposed a “network materials” real input cost escalator based on movements in the international crude oil price. </w:t>
      </w:r>
    </w:p>
    <w:p w:rsidR="00FA059D" w:rsidRPr="0028766C" w:rsidRDefault="00FA059D" w:rsidP="00F4600D">
      <w:pPr>
        <w:pStyle w:val="AERbodytext"/>
        <w:spacing w:after="0"/>
        <w:jc w:val="both"/>
        <w:rPr>
          <w:rFonts w:ascii="Arial Narrow" w:hAnsi="Arial Narrow"/>
        </w:rPr>
      </w:pPr>
    </w:p>
    <w:p w:rsidR="00FA059D" w:rsidRPr="0028766C" w:rsidRDefault="00FA059D" w:rsidP="00F4600D">
      <w:pPr>
        <w:pStyle w:val="AERbodytext"/>
        <w:spacing w:after="0"/>
        <w:jc w:val="both"/>
        <w:rPr>
          <w:rFonts w:ascii="Arial Narrow" w:hAnsi="Arial Narrow"/>
        </w:rPr>
      </w:pPr>
      <w:r w:rsidRPr="0028766C">
        <w:rPr>
          <w:rFonts w:ascii="Arial Narrow" w:hAnsi="Arial Narrow"/>
        </w:rPr>
        <w:t>The AER rejecte</w:t>
      </w:r>
      <w:r w:rsidR="00EF145B" w:rsidRPr="0028766C">
        <w:rPr>
          <w:rFonts w:ascii="Arial Narrow" w:hAnsi="Arial Narrow"/>
        </w:rPr>
        <w:t xml:space="preserve">d these forecasts on the basis that </w:t>
      </w:r>
      <w:r w:rsidRPr="0028766C">
        <w:rPr>
          <w:rFonts w:ascii="Arial Narrow" w:hAnsi="Arial Narrow"/>
        </w:rPr>
        <w:t xml:space="preserve">“The AER considers that the BIS Shrapnel report provided insufficient detail on the methodology, approach to, and computation of the ...” </w:t>
      </w:r>
      <w:r w:rsidRPr="0028766C">
        <w:rPr>
          <w:rStyle w:val="FootnoteReference"/>
          <w:rFonts w:ascii="Arial Narrow" w:hAnsi="Arial Narrow"/>
        </w:rPr>
        <w:footnoteReference w:id="21"/>
      </w:r>
      <w:r w:rsidRPr="0028766C">
        <w:rPr>
          <w:rFonts w:ascii="Arial Narrow" w:hAnsi="Arial Narrow"/>
        </w:rPr>
        <w:t xml:space="preserve"> proposed network materials escalator.</w:t>
      </w:r>
    </w:p>
    <w:p w:rsidR="00EF145B" w:rsidRPr="0028766C" w:rsidRDefault="00EF145B" w:rsidP="00F4600D">
      <w:pPr>
        <w:pStyle w:val="AERbodytext"/>
        <w:spacing w:after="0"/>
        <w:jc w:val="both"/>
        <w:rPr>
          <w:rFonts w:ascii="Arial Narrow" w:hAnsi="Arial Narrow"/>
        </w:rPr>
      </w:pPr>
    </w:p>
    <w:p w:rsidR="00FA059D" w:rsidRPr="0028766C" w:rsidRDefault="00FA059D" w:rsidP="00F4600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Network materials are predominantly made up of polyethylene piping and therefore the change in cost over time is closely related to its main raw input material, namely crude oil.</w:t>
      </w:r>
    </w:p>
    <w:p w:rsidR="00FA059D" w:rsidRPr="0028766C" w:rsidRDefault="00FA059D" w:rsidP="00F4600D">
      <w:pPr>
        <w:spacing w:after="0" w:line="240" w:lineRule="auto"/>
        <w:jc w:val="both"/>
        <w:rPr>
          <w:rFonts w:ascii="Arial Narrow" w:eastAsia="Times New Roman" w:hAnsi="Arial Narrow"/>
          <w:sz w:val="24"/>
          <w:szCs w:val="24"/>
        </w:rPr>
      </w:pPr>
    </w:p>
    <w:p w:rsidR="00FA059D" w:rsidRPr="0028766C" w:rsidRDefault="00FA059D" w:rsidP="00F4600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To forecast network materials (mainly polyethylene piping), Envestra has used the BIS derived escalator based on movements in the international crude oil price (in US$ per barrel) and the </w:t>
      </w:r>
      <w:smartTag w:uri="urn:schemas-microsoft-com:office:smarttags" w:element="place">
        <w:smartTag w:uri="urn:schemas-microsoft-com:office:smarttags" w:element="country-region">
          <w:r w:rsidRPr="0028766C">
            <w:rPr>
              <w:rFonts w:ascii="Arial Narrow" w:eastAsia="Times New Roman" w:hAnsi="Arial Narrow"/>
              <w:sz w:val="24"/>
              <w:szCs w:val="24"/>
            </w:rPr>
            <w:t>US</w:t>
          </w:r>
        </w:smartTag>
      </w:smartTag>
      <w:r w:rsidRPr="0028766C">
        <w:rPr>
          <w:rFonts w:ascii="Arial Narrow" w:eastAsia="Times New Roman" w:hAnsi="Arial Narrow"/>
          <w:sz w:val="24"/>
          <w:szCs w:val="24"/>
        </w:rPr>
        <w:t>$/A$ exchange rate.</w:t>
      </w:r>
    </w:p>
    <w:p w:rsidR="00FA059D" w:rsidRPr="0028766C" w:rsidRDefault="00FA059D" w:rsidP="00F4600D">
      <w:pPr>
        <w:spacing w:after="0" w:line="240" w:lineRule="auto"/>
        <w:jc w:val="both"/>
        <w:rPr>
          <w:rFonts w:ascii="Arial Narrow" w:eastAsia="Times New Roman" w:hAnsi="Arial Narrow"/>
          <w:sz w:val="24"/>
          <w:szCs w:val="24"/>
        </w:rPr>
      </w:pPr>
    </w:p>
    <w:p w:rsidR="00FA059D" w:rsidRPr="0028766C" w:rsidRDefault="00FA059D" w:rsidP="00F4600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Crude oil is a key ingredient in the manufacture of thermoplastic resins, which is the main material used in polyethylene pipe.</w:t>
      </w:r>
    </w:p>
    <w:p w:rsidR="00FA059D" w:rsidRPr="0028766C" w:rsidRDefault="00FA059D" w:rsidP="00F4600D">
      <w:pPr>
        <w:spacing w:after="0" w:line="240" w:lineRule="auto"/>
        <w:jc w:val="both"/>
        <w:rPr>
          <w:rFonts w:ascii="Arial Narrow" w:eastAsia="Times New Roman" w:hAnsi="Arial Narrow"/>
          <w:sz w:val="24"/>
          <w:szCs w:val="24"/>
        </w:rPr>
      </w:pPr>
    </w:p>
    <w:p w:rsidR="00FA059D" w:rsidRPr="0028766C" w:rsidRDefault="00FA059D" w:rsidP="00F4600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In its March 2011 report, BIS has provided detail on its methodology, approach and computation of the proposed network materials escalator.</w:t>
      </w:r>
    </w:p>
    <w:p w:rsidR="00FA059D" w:rsidRPr="0028766C" w:rsidRDefault="00FA059D" w:rsidP="00F4600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Further analysis undertaken by BIS shows that:</w:t>
      </w:r>
    </w:p>
    <w:p w:rsidR="00FA059D" w:rsidRPr="0028766C" w:rsidRDefault="00FA059D" w:rsidP="000C2FAE">
      <w:pPr>
        <w:spacing w:after="0" w:line="240" w:lineRule="auto"/>
        <w:ind w:left="709"/>
        <w:jc w:val="both"/>
        <w:rPr>
          <w:rFonts w:ascii="Arial Narrow" w:eastAsia="Times New Roman" w:hAnsi="Arial Narrow"/>
          <w:sz w:val="24"/>
          <w:szCs w:val="24"/>
        </w:rPr>
      </w:pPr>
    </w:p>
    <w:p w:rsidR="00FA059D" w:rsidRDefault="00FA059D" w:rsidP="00F4600D">
      <w:pPr>
        <w:tabs>
          <w:tab w:val="left" w:pos="8222"/>
        </w:tabs>
        <w:spacing w:after="0" w:line="240" w:lineRule="auto"/>
        <w:ind w:left="567" w:right="565"/>
        <w:jc w:val="both"/>
        <w:rPr>
          <w:rFonts w:ascii="Arial Narrow" w:eastAsia="Times New Roman" w:hAnsi="Arial Narrow"/>
          <w:i/>
          <w:sz w:val="24"/>
          <w:szCs w:val="24"/>
        </w:rPr>
      </w:pPr>
      <w:r w:rsidRPr="0028766C">
        <w:rPr>
          <w:rFonts w:ascii="Arial Narrow" w:eastAsia="Times New Roman" w:hAnsi="Arial Narrow"/>
          <w:i/>
          <w:sz w:val="24"/>
          <w:szCs w:val="24"/>
        </w:rPr>
        <w:t xml:space="preserve">“through an application of an appropriate econometric model, we have demonstrated that oil prices are a key determinant of polyethylene prices. This relationship is statistically significant and is valid for both the </w:t>
      </w:r>
      <w:smartTag w:uri="urn:schemas-microsoft-com:office:smarttags" w:element="place">
        <w:smartTag w:uri="urn:schemas-microsoft-com:office:smarttags" w:element="country-region">
          <w:r w:rsidRPr="0028766C">
            <w:rPr>
              <w:rFonts w:ascii="Arial Narrow" w:eastAsia="Times New Roman" w:hAnsi="Arial Narrow"/>
              <w:i/>
              <w:sz w:val="24"/>
              <w:szCs w:val="24"/>
            </w:rPr>
            <w:t>US</w:t>
          </w:r>
        </w:smartTag>
      </w:smartTag>
      <w:r w:rsidRPr="0028766C">
        <w:rPr>
          <w:rFonts w:ascii="Arial Narrow" w:eastAsia="Times New Roman" w:hAnsi="Arial Narrow"/>
          <w:i/>
          <w:sz w:val="24"/>
          <w:szCs w:val="24"/>
        </w:rPr>
        <w:t xml:space="preserve"> and Australian markets”</w:t>
      </w:r>
      <w:r w:rsidRPr="0028766C">
        <w:rPr>
          <w:rStyle w:val="FootnoteReference"/>
          <w:rFonts w:ascii="Arial Narrow" w:eastAsia="Times New Roman" w:hAnsi="Arial Narrow"/>
          <w:i/>
          <w:sz w:val="24"/>
          <w:szCs w:val="24"/>
        </w:rPr>
        <w:footnoteReference w:id="22"/>
      </w:r>
    </w:p>
    <w:p w:rsidR="000D3A58" w:rsidRPr="0028766C" w:rsidRDefault="000D3A58" w:rsidP="000C2FAE">
      <w:pPr>
        <w:spacing w:after="0" w:line="240" w:lineRule="auto"/>
        <w:ind w:left="1276" w:right="565"/>
        <w:jc w:val="both"/>
        <w:rPr>
          <w:rFonts w:ascii="Arial Narrow" w:eastAsia="Times New Roman" w:hAnsi="Arial Narrow"/>
          <w:i/>
          <w:sz w:val="24"/>
          <w:szCs w:val="24"/>
        </w:rPr>
      </w:pPr>
    </w:p>
    <w:p w:rsidR="000D3A58" w:rsidRDefault="000D3A58" w:rsidP="003155BE">
      <w:pPr>
        <w:spacing w:after="0" w:line="240" w:lineRule="auto"/>
        <w:jc w:val="both"/>
        <w:rPr>
          <w:rFonts w:ascii="Arial Narrow" w:eastAsia="Times New Roman" w:hAnsi="Arial Narrow"/>
          <w:sz w:val="24"/>
          <w:szCs w:val="24"/>
        </w:rPr>
      </w:pPr>
      <w:r>
        <w:rPr>
          <w:rFonts w:ascii="Arial Narrow" w:eastAsia="Times New Roman" w:hAnsi="Arial Narrow"/>
          <w:sz w:val="24"/>
          <w:szCs w:val="24"/>
        </w:rPr>
        <w:t>In contrast the AER has used the CPI to forecast materials prices.  As noted by Economic Insights the CPI is likely to be a poor proxy for materials prices facing a gas distribution business as the basket of goods making up the CPI bears little relation to inputs purchased by a gas distributor.</w:t>
      </w:r>
      <w:r>
        <w:rPr>
          <w:rStyle w:val="FootnoteReference"/>
          <w:rFonts w:ascii="Arial Narrow" w:eastAsia="Times New Roman" w:hAnsi="Arial Narrow"/>
          <w:sz w:val="24"/>
          <w:szCs w:val="24"/>
        </w:rPr>
        <w:footnoteReference w:id="23"/>
      </w:r>
      <w:r>
        <w:rPr>
          <w:rFonts w:ascii="Arial Narrow" w:eastAsia="Times New Roman" w:hAnsi="Arial Narrow"/>
          <w:sz w:val="24"/>
          <w:szCs w:val="24"/>
        </w:rPr>
        <w:t xml:space="preserve">  </w:t>
      </w:r>
    </w:p>
    <w:p w:rsidR="000D3A58" w:rsidRDefault="000D3A58" w:rsidP="003155BE">
      <w:pPr>
        <w:spacing w:after="0" w:line="240" w:lineRule="auto"/>
        <w:jc w:val="both"/>
        <w:rPr>
          <w:rFonts w:ascii="Arial Narrow" w:eastAsia="Times New Roman" w:hAnsi="Arial Narrow"/>
          <w:sz w:val="24"/>
          <w:szCs w:val="24"/>
        </w:rPr>
      </w:pPr>
    </w:p>
    <w:p w:rsidR="000D3A58" w:rsidRPr="0012307A" w:rsidRDefault="000D3A58" w:rsidP="003155BE">
      <w:pPr>
        <w:spacing w:after="0" w:line="240" w:lineRule="auto"/>
        <w:jc w:val="both"/>
        <w:rPr>
          <w:rFonts w:ascii="Arial Narrow" w:eastAsia="Times New Roman" w:hAnsi="Arial Narrow"/>
          <w:sz w:val="24"/>
          <w:szCs w:val="24"/>
        </w:rPr>
      </w:pPr>
      <w:r>
        <w:rPr>
          <w:rFonts w:ascii="Arial Narrow" w:eastAsia="Times New Roman" w:hAnsi="Arial Narrow"/>
          <w:sz w:val="24"/>
          <w:szCs w:val="24"/>
        </w:rPr>
        <w:t>Given the above, Envestra submits that the BIS escalator is the best estimate on a reasonable basis of network materials prices.</w:t>
      </w:r>
    </w:p>
    <w:p w:rsidR="000D3A58" w:rsidRDefault="000D3A58" w:rsidP="003155BE">
      <w:pPr>
        <w:spacing w:after="0" w:line="240" w:lineRule="auto"/>
        <w:jc w:val="both"/>
        <w:rPr>
          <w:rFonts w:ascii="Arial Narrow" w:eastAsia="Times New Roman" w:hAnsi="Arial Narrow"/>
          <w:sz w:val="24"/>
          <w:szCs w:val="24"/>
        </w:rPr>
      </w:pPr>
    </w:p>
    <w:p w:rsidR="00FA059D" w:rsidRPr="0028766C" w:rsidRDefault="00FA059D" w:rsidP="003155BE">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On this basis Envestra has used the March 2011 BIS forecasts for network materials.</w:t>
      </w:r>
    </w:p>
    <w:p w:rsidR="009F7F67" w:rsidRPr="0028766C" w:rsidRDefault="009F7F67" w:rsidP="000C2FAE">
      <w:pPr>
        <w:pStyle w:val="AERbodytext"/>
        <w:spacing w:after="0"/>
        <w:jc w:val="both"/>
        <w:rPr>
          <w:rFonts w:ascii="Arial Narrow" w:hAnsi="Arial Narrow"/>
        </w:rPr>
      </w:pPr>
    </w:p>
    <w:p w:rsidR="009F7F67" w:rsidRPr="0028766C" w:rsidRDefault="009F7F67" w:rsidP="005A56C2">
      <w:pPr>
        <w:pStyle w:val="Heading2"/>
      </w:pPr>
      <w:r w:rsidRPr="0028766C">
        <w:t>Conclusion on Labour and Materials Cost Escalation</w:t>
      </w:r>
    </w:p>
    <w:p w:rsidR="009F7F67" w:rsidRPr="0028766C" w:rsidRDefault="009F7F67" w:rsidP="000C2FAE">
      <w:pPr>
        <w:pStyle w:val="AERbodytext"/>
        <w:spacing w:after="0"/>
        <w:jc w:val="both"/>
        <w:rPr>
          <w:rFonts w:ascii="Arial Narrow" w:hAnsi="Arial Narrow"/>
        </w:rPr>
      </w:pPr>
    </w:p>
    <w:p w:rsidR="009F7F67" w:rsidRPr="0028766C" w:rsidRDefault="009F7F67" w:rsidP="00730D54">
      <w:pPr>
        <w:pStyle w:val="AERbodytext"/>
        <w:spacing w:after="0"/>
        <w:jc w:val="both"/>
        <w:rPr>
          <w:rFonts w:ascii="Arial Narrow" w:hAnsi="Arial Narrow"/>
        </w:rPr>
      </w:pPr>
      <w:r w:rsidRPr="0028766C">
        <w:rPr>
          <w:rFonts w:ascii="Arial Narrow" w:hAnsi="Arial Narrow"/>
        </w:rPr>
        <w:t xml:space="preserve">For the reasons described above, Envestra </w:t>
      </w:r>
      <w:r w:rsidR="000D3A58">
        <w:rPr>
          <w:rFonts w:ascii="Arial Narrow" w:hAnsi="Arial Narrow"/>
        </w:rPr>
        <w:t>submits</w:t>
      </w:r>
      <w:r w:rsidRPr="0028766C">
        <w:rPr>
          <w:rFonts w:ascii="Arial Narrow" w:hAnsi="Arial Narrow"/>
        </w:rPr>
        <w:t xml:space="preserve"> that the updated BIS real input cost escalation forecasts</w:t>
      </w:r>
      <w:r w:rsidRPr="0028766C">
        <w:rPr>
          <w:rStyle w:val="FootnoteReference"/>
          <w:rFonts w:ascii="Arial Narrow" w:hAnsi="Arial Narrow"/>
        </w:rPr>
        <w:footnoteReference w:id="24"/>
      </w:r>
      <w:r w:rsidRPr="0028766C">
        <w:rPr>
          <w:rFonts w:ascii="Arial Narrow" w:hAnsi="Arial Narrow"/>
        </w:rPr>
        <w:t xml:space="preserve"> for general labour, contractor labour (</w:t>
      </w:r>
      <w:proofErr w:type="spellStart"/>
      <w:r w:rsidRPr="0028766C">
        <w:rPr>
          <w:rFonts w:ascii="Arial Narrow" w:hAnsi="Arial Narrow"/>
        </w:rPr>
        <w:t>capex</w:t>
      </w:r>
      <w:proofErr w:type="spellEnd"/>
      <w:r w:rsidRPr="0028766C">
        <w:rPr>
          <w:rFonts w:ascii="Arial Narrow" w:hAnsi="Arial Narrow"/>
        </w:rPr>
        <w:t xml:space="preserve"> only), EGW labour and network materials represent the best estimates arrived at on a reasonable basis for labour and materials escalation. </w:t>
      </w:r>
      <w:r w:rsidRPr="0028766C">
        <w:rPr>
          <w:rFonts w:ascii="Arial Narrow" w:hAnsi="Arial Narrow"/>
        </w:rPr>
        <w:lastRenderedPageBreak/>
        <w:t xml:space="preserve">The following updated AAI table 6.3 sets out the updated input cost escalators as determined by BIS Shrapnel in its March 2011 report (see </w:t>
      </w:r>
      <w:r w:rsidR="00077B15" w:rsidRPr="0028766C">
        <w:rPr>
          <w:rFonts w:ascii="Arial Narrow" w:hAnsi="Arial Narrow"/>
        </w:rPr>
        <w:t>A</w:t>
      </w:r>
      <w:r w:rsidRPr="0028766C">
        <w:rPr>
          <w:rFonts w:ascii="Arial Narrow" w:hAnsi="Arial Narrow"/>
        </w:rPr>
        <w:t>ttachment 6-4</w:t>
      </w:r>
      <w:r w:rsidR="00077B15" w:rsidRPr="0028766C">
        <w:rPr>
          <w:rFonts w:ascii="Arial Narrow" w:hAnsi="Arial Narrow"/>
        </w:rPr>
        <w:t>C</w:t>
      </w:r>
      <w:r w:rsidRPr="0028766C">
        <w:rPr>
          <w:rFonts w:ascii="Arial Narrow" w:hAnsi="Arial Narrow"/>
        </w:rPr>
        <w:t>).</w:t>
      </w:r>
    </w:p>
    <w:p w:rsidR="004979A6" w:rsidRDefault="004979A6" w:rsidP="000C2FAE">
      <w:pPr>
        <w:spacing w:after="0" w:line="240" w:lineRule="auto"/>
        <w:ind w:left="567" w:firstLine="9"/>
        <w:jc w:val="both"/>
        <w:rPr>
          <w:rFonts w:ascii="Arial Narrow" w:eastAsia="Times New Roman" w:hAnsi="Arial Narrow"/>
          <w:sz w:val="24"/>
          <w:szCs w:val="24"/>
        </w:rPr>
      </w:pPr>
    </w:p>
    <w:p w:rsidR="00CC55CA" w:rsidRPr="0028766C" w:rsidRDefault="00CC55CA" w:rsidP="000C2FAE">
      <w:pPr>
        <w:spacing w:after="0" w:line="240" w:lineRule="auto"/>
        <w:ind w:left="567" w:firstLine="9"/>
        <w:jc w:val="both"/>
        <w:rPr>
          <w:rFonts w:ascii="Arial Narrow" w:eastAsia="Times New Roman" w:hAnsi="Arial Narrow"/>
          <w:sz w:val="24"/>
          <w:szCs w:val="24"/>
        </w:rPr>
      </w:pPr>
    </w:p>
    <w:p w:rsidR="009F7F67" w:rsidRDefault="009F7F67" w:rsidP="00FF7328">
      <w:pPr>
        <w:spacing w:after="0" w:line="240" w:lineRule="auto"/>
        <w:jc w:val="both"/>
        <w:rPr>
          <w:rFonts w:ascii="Arial Narrow" w:eastAsia="Times New Roman" w:hAnsi="Arial Narrow"/>
          <w:b/>
          <w:sz w:val="24"/>
          <w:szCs w:val="24"/>
        </w:rPr>
      </w:pPr>
      <w:r w:rsidRPr="00FE1F81">
        <w:rPr>
          <w:rFonts w:ascii="Arial Narrow" w:eastAsia="Times New Roman" w:hAnsi="Arial Narrow"/>
          <w:b/>
          <w:sz w:val="24"/>
          <w:szCs w:val="24"/>
        </w:rPr>
        <w:t>Updated Table 6.3   Labour and Materials Escalators</w:t>
      </w:r>
    </w:p>
    <w:p w:rsidR="00FE1F81" w:rsidRPr="00CF2C20" w:rsidRDefault="00FE1F81" w:rsidP="000C2FAE">
      <w:pPr>
        <w:spacing w:after="0" w:line="240" w:lineRule="auto"/>
        <w:ind w:left="567" w:firstLine="9"/>
        <w:jc w:val="both"/>
        <w:rPr>
          <w:rFonts w:ascii="Arial Narrow" w:eastAsia="Times New Roman" w:hAnsi="Arial Narrow"/>
          <w:b/>
        </w:rPr>
      </w:pPr>
    </w:p>
    <w:tbl>
      <w:tblPr>
        <w:tblW w:w="8705"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1928"/>
        <w:gridCol w:w="964"/>
        <w:gridCol w:w="964"/>
        <w:gridCol w:w="964"/>
        <w:gridCol w:w="964"/>
        <w:gridCol w:w="964"/>
        <w:gridCol w:w="964"/>
        <w:gridCol w:w="993"/>
      </w:tblGrid>
      <w:tr w:rsidR="003B5AE4" w:rsidRPr="0028766C" w:rsidTr="00C76F56">
        <w:trPr>
          <w:trHeight w:val="454"/>
        </w:trPr>
        <w:tc>
          <w:tcPr>
            <w:tcW w:w="1928" w:type="dxa"/>
            <w:tcBorders>
              <w:right w:val="single" w:sz="4" w:space="0" w:color="548DD4"/>
            </w:tcBorders>
            <w:shd w:val="clear" w:color="auto" w:fill="548DD4"/>
            <w:vAlign w:val="center"/>
          </w:tcPr>
          <w:p w:rsidR="003B5AE4" w:rsidRPr="0028766C" w:rsidRDefault="003B5AE4" w:rsidP="00C51142">
            <w:pPr>
              <w:spacing w:before="40" w:after="40" w:line="240" w:lineRule="auto"/>
              <w:jc w:val="center"/>
              <w:rPr>
                <w:rFonts w:ascii="Arial Narrow" w:hAnsi="Arial Narrow"/>
                <w:b/>
                <w:color w:val="FFFFFF"/>
                <w:sz w:val="24"/>
                <w:szCs w:val="24"/>
              </w:rPr>
            </w:pP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2010-11</w:t>
            </w: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964" w:type="dxa"/>
            <w:tcBorders>
              <w:left w:val="single" w:sz="4" w:space="0" w:color="548DD4"/>
              <w:right w:val="single" w:sz="4" w:space="0" w:color="548DD4"/>
            </w:tcBorders>
            <w:shd w:val="clear" w:color="auto" w:fill="548DD4"/>
            <w:noWrap/>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c>
          <w:tcPr>
            <w:tcW w:w="993" w:type="dxa"/>
            <w:tcBorders>
              <w:left w:val="single" w:sz="4" w:space="0" w:color="548DD4"/>
            </w:tcBorders>
            <w:shd w:val="clear" w:color="auto" w:fill="548DD4"/>
            <w:vAlign w:val="center"/>
          </w:tcPr>
          <w:p w:rsidR="003B5AE4" w:rsidRPr="0028766C" w:rsidRDefault="003B5AE4" w:rsidP="00C51142">
            <w:pPr>
              <w:spacing w:before="40" w:after="40" w:line="240" w:lineRule="auto"/>
              <w:jc w:val="center"/>
              <w:rPr>
                <w:rFonts w:ascii="Arial Narrow" w:hAnsi="Arial Narrow"/>
                <w:b/>
                <w:color w:val="FFFFFF"/>
                <w:sz w:val="24"/>
                <w:szCs w:val="24"/>
              </w:rPr>
            </w:pPr>
            <w:r w:rsidRPr="0028766C">
              <w:rPr>
                <w:rFonts w:ascii="Arial Narrow" w:hAnsi="Arial Narrow"/>
                <w:b/>
                <w:color w:val="FFFFFF"/>
                <w:sz w:val="24"/>
                <w:szCs w:val="24"/>
              </w:rPr>
              <w:t>6 Year Average</w:t>
            </w:r>
          </w:p>
        </w:tc>
      </w:tr>
      <w:tr w:rsidR="003B5AE4" w:rsidRPr="0028766C" w:rsidTr="00C76F56">
        <w:trPr>
          <w:trHeight w:val="454"/>
        </w:trPr>
        <w:tc>
          <w:tcPr>
            <w:tcW w:w="1928" w:type="dxa"/>
            <w:shd w:val="clear" w:color="auto" w:fill="auto"/>
            <w:noWrap/>
            <w:vAlign w:val="center"/>
          </w:tcPr>
          <w:p w:rsidR="003B5AE4" w:rsidRPr="0028766C" w:rsidRDefault="003B5AE4" w:rsidP="007E63DF">
            <w:pPr>
              <w:spacing w:before="40" w:after="40" w:line="240" w:lineRule="auto"/>
              <w:rPr>
                <w:rFonts w:ascii="Arial Narrow" w:hAnsi="Arial Narrow"/>
                <w:sz w:val="24"/>
                <w:szCs w:val="24"/>
              </w:rPr>
            </w:pPr>
            <w:r w:rsidRPr="0028766C">
              <w:rPr>
                <w:rFonts w:ascii="Arial Narrow" w:hAnsi="Arial Narrow"/>
                <w:sz w:val="24"/>
                <w:szCs w:val="24"/>
              </w:rPr>
              <w:t>EGW Lab</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-3.2%</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2.8%</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2.3%</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3.3%</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0.2%</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1.8%</w:t>
            </w:r>
          </w:p>
        </w:tc>
        <w:tc>
          <w:tcPr>
            <w:tcW w:w="993" w:type="dxa"/>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1.2%</w:t>
            </w:r>
          </w:p>
        </w:tc>
      </w:tr>
      <w:tr w:rsidR="003B5AE4" w:rsidRPr="0028766C" w:rsidTr="00C76F56">
        <w:trPr>
          <w:trHeight w:val="454"/>
        </w:trPr>
        <w:tc>
          <w:tcPr>
            <w:tcW w:w="1928" w:type="dxa"/>
            <w:shd w:val="clear" w:color="auto" w:fill="auto"/>
            <w:noWrap/>
            <w:vAlign w:val="center"/>
          </w:tcPr>
          <w:p w:rsidR="003B5AE4" w:rsidRPr="0028766C" w:rsidRDefault="003B5AE4" w:rsidP="007E63DF">
            <w:pPr>
              <w:spacing w:before="40" w:after="40" w:line="240" w:lineRule="auto"/>
              <w:rPr>
                <w:rFonts w:ascii="Arial Narrow" w:hAnsi="Arial Narrow"/>
                <w:sz w:val="24"/>
                <w:szCs w:val="24"/>
              </w:rPr>
            </w:pPr>
            <w:r w:rsidRPr="0028766C">
              <w:rPr>
                <w:rFonts w:ascii="Arial Narrow" w:hAnsi="Arial Narrow"/>
                <w:sz w:val="24"/>
                <w:szCs w:val="24"/>
              </w:rPr>
              <w:t>General Lab</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-11.4%</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3.1%</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0.1%</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1.7%</w:t>
            </w:r>
          </w:p>
        </w:tc>
        <w:tc>
          <w:tcPr>
            <w:tcW w:w="993" w:type="dxa"/>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-0.6%</w:t>
            </w:r>
          </w:p>
        </w:tc>
      </w:tr>
      <w:tr w:rsidR="003B5AE4" w:rsidRPr="0028766C" w:rsidTr="00C76F56">
        <w:trPr>
          <w:trHeight w:val="454"/>
        </w:trPr>
        <w:tc>
          <w:tcPr>
            <w:tcW w:w="1928" w:type="dxa"/>
            <w:shd w:val="clear" w:color="auto" w:fill="auto"/>
            <w:noWrap/>
            <w:vAlign w:val="center"/>
          </w:tcPr>
          <w:p w:rsidR="003B5AE4" w:rsidRPr="0028766C" w:rsidRDefault="003B5AE4" w:rsidP="007E63DF">
            <w:pPr>
              <w:spacing w:before="40" w:after="40" w:line="240" w:lineRule="auto"/>
              <w:rPr>
                <w:rFonts w:ascii="Arial Narrow" w:hAnsi="Arial Narrow"/>
                <w:sz w:val="24"/>
                <w:szCs w:val="24"/>
              </w:rPr>
            </w:pPr>
            <w:r w:rsidRPr="0028766C">
              <w:rPr>
                <w:rFonts w:ascii="Arial Narrow" w:hAnsi="Arial Narrow"/>
                <w:sz w:val="24"/>
                <w:szCs w:val="24"/>
              </w:rPr>
              <w:t>N/W Materials</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1.4%</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6.4%</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5.2%</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0.9%</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-2.6%</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-2.9%</w:t>
            </w:r>
          </w:p>
        </w:tc>
        <w:tc>
          <w:tcPr>
            <w:tcW w:w="993" w:type="dxa"/>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n/a</w:t>
            </w:r>
          </w:p>
        </w:tc>
      </w:tr>
      <w:tr w:rsidR="003B5AE4" w:rsidRPr="0028766C" w:rsidTr="00C76F56">
        <w:trPr>
          <w:trHeight w:val="454"/>
        </w:trPr>
        <w:tc>
          <w:tcPr>
            <w:tcW w:w="1928" w:type="dxa"/>
            <w:shd w:val="clear" w:color="auto" w:fill="auto"/>
            <w:noWrap/>
            <w:vAlign w:val="center"/>
          </w:tcPr>
          <w:p w:rsidR="003B5AE4" w:rsidRPr="0028766C" w:rsidRDefault="003B5AE4" w:rsidP="007E63DF">
            <w:pPr>
              <w:spacing w:before="40" w:after="40" w:line="240" w:lineRule="auto"/>
              <w:rPr>
                <w:rFonts w:ascii="Arial Narrow" w:hAnsi="Arial Narrow"/>
                <w:sz w:val="24"/>
                <w:szCs w:val="24"/>
              </w:rPr>
            </w:pPr>
            <w:r w:rsidRPr="0028766C">
              <w:rPr>
                <w:rFonts w:ascii="Arial Narrow" w:hAnsi="Arial Narrow"/>
                <w:sz w:val="24"/>
                <w:szCs w:val="24"/>
              </w:rPr>
              <w:t>General Materials</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0.0%</w:t>
            </w:r>
          </w:p>
        </w:tc>
        <w:tc>
          <w:tcPr>
            <w:tcW w:w="993" w:type="dxa"/>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n/a</w:t>
            </w:r>
          </w:p>
        </w:tc>
      </w:tr>
      <w:tr w:rsidR="003B5AE4" w:rsidRPr="0028766C" w:rsidTr="00C76F56">
        <w:trPr>
          <w:trHeight w:val="454"/>
        </w:trPr>
        <w:tc>
          <w:tcPr>
            <w:tcW w:w="1928" w:type="dxa"/>
            <w:shd w:val="clear" w:color="auto" w:fill="auto"/>
            <w:noWrap/>
            <w:vAlign w:val="center"/>
          </w:tcPr>
          <w:p w:rsidR="003B5AE4" w:rsidRPr="0028766C" w:rsidRDefault="003B5AE4" w:rsidP="007E63DF">
            <w:pPr>
              <w:spacing w:before="40" w:after="40" w:line="240" w:lineRule="auto"/>
              <w:rPr>
                <w:rFonts w:ascii="Arial Narrow" w:hAnsi="Arial Narrow"/>
                <w:sz w:val="24"/>
                <w:szCs w:val="24"/>
              </w:rPr>
            </w:pPr>
            <w:r w:rsidRPr="0028766C">
              <w:rPr>
                <w:rFonts w:ascii="Arial Narrow" w:hAnsi="Arial Narrow"/>
                <w:sz w:val="24"/>
                <w:szCs w:val="24"/>
              </w:rPr>
              <w:t>Construction (</w:t>
            </w:r>
            <w:proofErr w:type="spellStart"/>
            <w:r w:rsidRPr="0028766C">
              <w:rPr>
                <w:rFonts w:ascii="Arial Narrow" w:hAnsi="Arial Narrow"/>
                <w:sz w:val="24"/>
                <w:szCs w:val="24"/>
              </w:rPr>
              <w:t>capex</w:t>
            </w:r>
            <w:proofErr w:type="spellEnd"/>
            <w:r w:rsidRPr="0028766C">
              <w:rPr>
                <w:rFonts w:ascii="Arial Narrow" w:hAnsi="Arial Narrow"/>
                <w:sz w:val="24"/>
                <w:szCs w:val="24"/>
              </w:rPr>
              <w:t xml:space="preserve"> only)</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24.3%</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3.0%</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-4.8%</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10.3%</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1.6%</w:t>
            </w:r>
          </w:p>
        </w:tc>
        <w:tc>
          <w:tcPr>
            <w:tcW w:w="964" w:type="dxa"/>
            <w:shd w:val="clear" w:color="auto" w:fill="auto"/>
            <w:noWrap/>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1.9%</w:t>
            </w:r>
          </w:p>
        </w:tc>
        <w:tc>
          <w:tcPr>
            <w:tcW w:w="993" w:type="dxa"/>
            <w:vAlign w:val="center"/>
          </w:tcPr>
          <w:p w:rsidR="003B5AE4" w:rsidRPr="0028766C" w:rsidRDefault="003B5AE4" w:rsidP="007E63DF">
            <w:pPr>
              <w:spacing w:before="40" w:after="40" w:line="240" w:lineRule="auto"/>
              <w:jc w:val="center"/>
              <w:rPr>
                <w:rFonts w:ascii="Arial Narrow" w:hAnsi="Arial Narrow"/>
                <w:sz w:val="24"/>
                <w:szCs w:val="24"/>
                <w:highlight w:val="yellow"/>
              </w:rPr>
            </w:pPr>
            <w:r w:rsidRPr="0028766C">
              <w:rPr>
                <w:rFonts w:ascii="Arial Narrow" w:hAnsi="Arial Narrow"/>
                <w:sz w:val="24"/>
                <w:szCs w:val="24"/>
              </w:rPr>
              <w:t>6.1%</w:t>
            </w:r>
          </w:p>
        </w:tc>
      </w:tr>
    </w:tbl>
    <w:p w:rsidR="00A23777" w:rsidRPr="00CF2C20" w:rsidRDefault="00A23777" w:rsidP="000C2FAE">
      <w:pPr>
        <w:pStyle w:val="Heading1"/>
        <w:numPr>
          <w:ilvl w:val="0"/>
          <w:numId w:val="0"/>
        </w:numPr>
        <w:spacing w:before="0" w:line="240" w:lineRule="auto"/>
        <w:ind w:left="432"/>
        <w:rPr>
          <w:sz w:val="22"/>
          <w:szCs w:val="22"/>
          <w:highlight w:val="cyan"/>
        </w:rPr>
      </w:pPr>
    </w:p>
    <w:p w:rsidR="007945F6" w:rsidRPr="002F3E9A" w:rsidRDefault="007945F6" w:rsidP="008E12D0">
      <w:pPr>
        <w:pStyle w:val="Heading1"/>
        <w:tabs>
          <w:tab w:val="clear" w:pos="432"/>
          <w:tab w:val="num" w:pos="540"/>
        </w:tabs>
        <w:spacing w:before="0" w:line="240" w:lineRule="auto"/>
        <w:ind w:left="540" w:hanging="540"/>
        <w:rPr>
          <w:szCs w:val="24"/>
        </w:rPr>
      </w:pPr>
      <w:r w:rsidRPr="002F3E9A">
        <w:rPr>
          <w:szCs w:val="24"/>
        </w:rPr>
        <w:t>Network Development</w:t>
      </w:r>
    </w:p>
    <w:p w:rsidR="007945F6" w:rsidRPr="00CF2C20" w:rsidRDefault="007945F6" w:rsidP="000C2FAE">
      <w:pPr>
        <w:spacing w:after="0" w:line="240" w:lineRule="auto"/>
        <w:jc w:val="both"/>
        <w:rPr>
          <w:rFonts w:ascii="Arial Narrow" w:hAnsi="Arial Narrow"/>
        </w:rPr>
      </w:pPr>
    </w:p>
    <w:p w:rsidR="007945F6" w:rsidRPr="007945F6" w:rsidRDefault="007945F6" w:rsidP="005A56C2">
      <w:pPr>
        <w:pStyle w:val="Heading2"/>
      </w:pPr>
      <w:r w:rsidRPr="002F3E9A">
        <w:t>Introduction</w:t>
      </w:r>
    </w:p>
    <w:p w:rsidR="007945F6" w:rsidRPr="00CF2C20" w:rsidRDefault="007945F6" w:rsidP="000C2FAE">
      <w:pPr>
        <w:spacing w:after="0" w:line="240" w:lineRule="auto"/>
        <w:jc w:val="both"/>
        <w:rPr>
          <w:rFonts w:ascii="Arial Narrow" w:hAnsi="Arial Narrow"/>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The AER approved an allowance of $21.84m for Network Development in </w:t>
      </w:r>
      <w:smartTag w:uri="urn:schemas-microsoft-com:office:smarttags" w:element="place">
        <w:smartTag w:uri="urn:schemas-microsoft-com:office:smarttags" w:element="State">
          <w:r w:rsidRPr="007945F6">
            <w:rPr>
              <w:rFonts w:ascii="Arial Narrow" w:hAnsi="Arial Narrow"/>
              <w:sz w:val="24"/>
              <w:szCs w:val="24"/>
            </w:rPr>
            <w:t>South Australia</w:t>
          </w:r>
        </w:smartTag>
      </w:smartTag>
      <w:r w:rsidRPr="007945F6">
        <w:rPr>
          <w:rFonts w:ascii="Arial Narrow" w:hAnsi="Arial Narrow"/>
          <w:sz w:val="24"/>
          <w:szCs w:val="24"/>
        </w:rPr>
        <w:t xml:space="preserve">.  However, it disallowed $21.2m on the grounds that Envestra had not provided sufficient information to support the forecast of network development </w:t>
      </w:r>
      <w:proofErr w:type="spellStart"/>
      <w:r w:rsidRPr="007945F6">
        <w:rPr>
          <w:rFonts w:ascii="Arial Narrow" w:hAnsi="Arial Narrow"/>
          <w:sz w:val="24"/>
          <w:szCs w:val="24"/>
        </w:rPr>
        <w:t>opex</w:t>
      </w:r>
      <w:proofErr w:type="spellEnd"/>
      <w:r w:rsidRPr="007945F6">
        <w:rPr>
          <w:rFonts w:ascii="Arial Narrow" w:hAnsi="Arial Narrow"/>
          <w:sz w:val="24"/>
          <w:szCs w:val="24"/>
        </w:rPr>
        <w:t xml:space="preserve"> as required by r. 74(2)(a) of the NGR. Specifically insufficient information was provided to forecast uptake numbers or incentives to demonstrate that the forecasts were based on sound economic judgement.</w:t>
      </w: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The programs disallowed were:</w:t>
      </w:r>
    </w:p>
    <w:p w:rsidR="007945F6" w:rsidRPr="0010513D" w:rsidRDefault="007945F6" w:rsidP="000C2FAE">
      <w:pPr>
        <w:spacing w:after="0" w:line="240" w:lineRule="auto"/>
        <w:jc w:val="both"/>
        <w:rPr>
          <w:rFonts w:ascii="Arial Narrow" w:hAnsi="Arial Narrow"/>
        </w:rPr>
      </w:pPr>
    </w:p>
    <w:p w:rsidR="007945F6" w:rsidRPr="007945F6" w:rsidRDefault="007945F6" w:rsidP="00DE0E00">
      <w:pPr>
        <w:numPr>
          <w:ilvl w:val="0"/>
          <w:numId w:val="22"/>
        </w:numPr>
        <w:tabs>
          <w:tab w:val="left" w:pos="426"/>
        </w:tabs>
        <w:spacing w:after="0" w:line="240" w:lineRule="auto"/>
        <w:ind w:left="426" w:hanging="426"/>
        <w:jc w:val="both"/>
        <w:rPr>
          <w:rFonts w:ascii="Arial Narrow" w:hAnsi="Arial Narrow"/>
          <w:sz w:val="24"/>
          <w:szCs w:val="24"/>
        </w:rPr>
      </w:pPr>
      <w:r w:rsidRPr="007945F6">
        <w:rPr>
          <w:rFonts w:ascii="Arial Narrow" w:hAnsi="Arial Narrow"/>
          <w:sz w:val="24"/>
          <w:szCs w:val="24"/>
        </w:rPr>
        <w:t>Incentive payments</w:t>
      </w:r>
    </w:p>
    <w:p w:rsidR="007945F6" w:rsidRPr="007945F6" w:rsidRDefault="007945F6" w:rsidP="00DE0E00">
      <w:pPr>
        <w:numPr>
          <w:ilvl w:val="0"/>
          <w:numId w:val="22"/>
        </w:numPr>
        <w:tabs>
          <w:tab w:val="left" w:pos="426"/>
        </w:tabs>
        <w:spacing w:after="0" w:line="240" w:lineRule="auto"/>
        <w:ind w:left="426" w:hanging="426"/>
        <w:jc w:val="both"/>
        <w:rPr>
          <w:rFonts w:ascii="Arial Narrow" w:hAnsi="Arial Narrow"/>
          <w:sz w:val="24"/>
          <w:szCs w:val="24"/>
        </w:rPr>
      </w:pPr>
      <w:r w:rsidRPr="007945F6">
        <w:rPr>
          <w:rFonts w:ascii="Arial Narrow" w:hAnsi="Arial Narrow"/>
          <w:sz w:val="24"/>
          <w:szCs w:val="24"/>
        </w:rPr>
        <w:t>Website costs</w:t>
      </w:r>
    </w:p>
    <w:p w:rsidR="007945F6" w:rsidRPr="007945F6" w:rsidRDefault="007945F6" w:rsidP="00DE0E00">
      <w:pPr>
        <w:numPr>
          <w:ilvl w:val="0"/>
          <w:numId w:val="22"/>
        </w:numPr>
        <w:tabs>
          <w:tab w:val="left" w:pos="426"/>
        </w:tabs>
        <w:spacing w:after="0" w:line="240" w:lineRule="auto"/>
        <w:ind w:left="426" w:hanging="426"/>
        <w:jc w:val="both"/>
        <w:rPr>
          <w:rFonts w:ascii="Arial Narrow" w:hAnsi="Arial Narrow"/>
          <w:sz w:val="24"/>
          <w:szCs w:val="24"/>
        </w:rPr>
      </w:pPr>
      <w:r w:rsidRPr="007945F6">
        <w:rPr>
          <w:rFonts w:ascii="Arial Narrow" w:hAnsi="Arial Narrow"/>
          <w:sz w:val="24"/>
          <w:szCs w:val="24"/>
        </w:rPr>
        <w:t>Development and deployment</w:t>
      </w:r>
    </w:p>
    <w:p w:rsidR="007945F6" w:rsidRPr="0010513D" w:rsidRDefault="007945F6" w:rsidP="000C2FAE">
      <w:pPr>
        <w:spacing w:after="0" w:line="240" w:lineRule="auto"/>
        <w:ind w:left="360"/>
        <w:jc w:val="both"/>
        <w:rPr>
          <w:rFonts w:ascii="Arial Narrow" w:hAnsi="Arial Narrow"/>
        </w:rPr>
      </w:pPr>
    </w:p>
    <w:p w:rsid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In this submission, Envestra provides additional information to support its forecast for the project</w:t>
      </w:r>
      <w:r w:rsidR="00BB27AD">
        <w:rPr>
          <w:rFonts w:ascii="Arial Narrow" w:hAnsi="Arial Narrow"/>
          <w:sz w:val="24"/>
          <w:szCs w:val="24"/>
        </w:rPr>
        <w:t>s disallowed by the AER.</w:t>
      </w:r>
    </w:p>
    <w:p w:rsidR="00BB27AD" w:rsidRPr="0010513D" w:rsidRDefault="00BB27AD" w:rsidP="000C2FAE">
      <w:pPr>
        <w:spacing w:after="0" w:line="240" w:lineRule="auto"/>
        <w:jc w:val="both"/>
        <w:rPr>
          <w:rFonts w:ascii="Arial Narrow" w:hAnsi="Arial Narrow"/>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Envestra maintains that the forecast provided in the 1 October submission remains prudent and consistent with that incurred by a prudent service provider acting efficiently, in accordance with accepted good industry practice, to achieve the lowest sustainable cost of delivering pipeline services and is consistent with r. 74(2).  </w:t>
      </w:r>
    </w:p>
    <w:p w:rsidR="007945F6" w:rsidRPr="00CF2C20" w:rsidRDefault="007945F6" w:rsidP="000C2FAE">
      <w:pPr>
        <w:spacing w:after="0" w:line="240" w:lineRule="auto"/>
        <w:jc w:val="both"/>
        <w:rPr>
          <w:rFonts w:ascii="Arial Narrow" w:hAnsi="Arial Narrow"/>
        </w:rPr>
      </w:pPr>
    </w:p>
    <w:p w:rsidR="007945F6" w:rsidRPr="002F3E9A" w:rsidRDefault="007945F6" w:rsidP="005A56C2">
      <w:pPr>
        <w:pStyle w:val="Heading2"/>
      </w:pPr>
      <w:r w:rsidRPr="002F3E9A">
        <w:t>Incentive payments</w:t>
      </w:r>
    </w:p>
    <w:p w:rsidR="007945F6" w:rsidRPr="0010513D" w:rsidRDefault="007945F6" w:rsidP="000C2FAE">
      <w:pPr>
        <w:spacing w:after="0" w:line="240" w:lineRule="auto"/>
        <w:jc w:val="both"/>
        <w:rPr>
          <w:rFonts w:ascii="Arial Narrow" w:hAnsi="Arial Narrow"/>
          <w:i/>
        </w:rPr>
      </w:pPr>
    </w:p>
    <w:p w:rsidR="007945F6" w:rsidRPr="007945F6" w:rsidRDefault="002F3E9A" w:rsidP="008E12D0">
      <w:pPr>
        <w:pStyle w:val="Heading3"/>
        <w:tabs>
          <w:tab w:val="clear" w:pos="720"/>
          <w:tab w:val="num" w:pos="540"/>
        </w:tabs>
        <w:ind w:left="540" w:hanging="540"/>
      </w:pPr>
      <w:r>
        <w:t>3.2.1</w:t>
      </w:r>
      <w:r>
        <w:tab/>
      </w:r>
      <w:r w:rsidR="007945F6" w:rsidRPr="007945F6">
        <w:t>AER Draft Decision</w:t>
      </w:r>
    </w:p>
    <w:p w:rsidR="007945F6" w:rsidRPr="0010513D" w:rsidRDefault="007945F6" w:rsidP="000C2FAE">
      <w:pPr>
        <w:spacing w:after="0" w:line="240" w:lineRule="auto"/>
        <w:jc w:val="both"/>
        <w:rPr>
          <w:rFonts w:ascii="Arial Narrow" w:hAnsi="Arial Narrow"/>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Envestra proposed to spend $16 million ($2009-10) to provide incentive programs to increase uptake of gat hot water systems, gas heaters and gas air conditioners in </w:t>
      </w:r>
      <w:smartTag w:uri="urn:schemas-microsoft-com:office:smarttags" w:element="place">
        <w:smartTag w:uri="urn:schemas-microsoft-com:office:smarttags" w:element="State">
          <w:r w:rsidRPr="007945F6">
            <w:rPr>
              <w:rFonts w:ascii="Arial Narrow" w:hAnsi="Arial Narrow"/>
              <w:sz w:val="24"/>
              <w:szCs w:val="24"/>
            </w:rPr>
            <w:t>South Australia</w:t>
          </w:r>
        </w:smartTag>
      </w:smartTag>
      <w:r w:rsidRPr="007945F6">
        <w:rPr>
          <w:rFonts w:ascii="Arial Narrow" w:hAnsi="Arial Narrow"/>
          <w:sz w:val="24"/>
          <w:szCs w:val="24"/>
        </w:rPr>
        <w:t xml:space="preserve"> as summarised below:</w:t>
      </w:r>
    </w:p>
    <w:p w:rsidR="007945F6" w:rsidRPr="0010513D" w:rsidRDefault="007945F6" w:rsidP="000C2FAE">
      <w:pPr>
        <w:spacing w:after="0" w:line="240" w:lineRule="auto"/>
        <w:jc w:val="both"/>
        <w:rPr>
          <w:rFonts w:ascii="Arial Narrow" w:hAnsi="Arial Narrow"/>
        </w:rPr>
      </w:pPr>
    </w:p>
    <w:tbl>
      <w:tblPr>
        <w:tblW w:w="8822"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2699"/>
        <w:gridCol w:w="1020"/>
        <w:gridCol w:w="1020"/>
        <w:gridCol w:w="1020"/>
        <w:gridCol w:w="1020"/>
        <w:gridCol w:w="1020"/>
        <w:gridCol w:w="1023"/>
      </w:tblGrid>
      <w:tr w:rsidR="007945F6" w:rsidRPr="007945F6" w:rsidTr="002460F0">
        <w:tc>
          <w:tcPr>
            <w:tcW w:w="2699" w:type="dxa"/>
            <w:tcBorders>
              <w:right w:val="single" w:sz="4" w:space="0" w:color="548DD4"/>
            </w:tcBorders>
            <w:shd w:val="clear" w:color="auto" w:fill="548DD4"/>
            <w:vAlign w:val="center"/>
          </w:tcPr>
          <w:p w:rsidR="007945F6" w:rsidRPr="007945F6" w:rsidRDefault="007945F6" w:rsidP="007A5020">
            <w:pPr>
              <w:spacing w:before="40" w:after="40" w:line="240" w:lineRule="auto"/>
              <w:rPr>
                <w:rFonts w:ascii="Arial Narrow" w:hAnsi="Arial Narrow" w:cs="Arial"/>
                <w:b/>
                <w:color w:val="FFFFFF"/>
                <w:sz w:val="24"/>
                <w:szCs w:val="24"/>
              </w:rPr>
            </w:pPr>
            <w:r w:rsidRPr="007945F6">
              <w:rPr>
                <w:rFonts w:ascii="Arial Narrow" w:hAnsi="Arial Narrow"/>
                <w:sz w:val="24"/>
                <w:szCs w:val="24"/>
              </w:rPr>
              <w:br w:type="page"/>
            </w:r>
          </w:p>
        </w:tc>
        <w:tc>
          <w:tcPr>
            <w:tcW w:w="6123" w:type="dxa"/>
            <w:gridSpan w:val="6"/>
            <w:tcBorders>
              <w:left w:val="single" w:sz="4" w:space="0" w:color="548DD4"/>
              <w:bottom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Year</w:t>
            </w:r>
          </w:p>
        </w:tc>
      </w:tr>
      <w:tr w:rsidR="007945F6" w:rsidRPr="007945F6" w:rsidTr="002460F0">
        <w:tc>
          <w:tcPr>
            <w:tcW w:w="2699" w:type="dxa"/>
            <w:tcBorders>
              <w:right w:val="single" w:sz="4" w:space="0" w:color="548DD4"/>
            </w:tcBorders>
            <w:shd w:val="clear" w:color="auto" w:fill="548DD4"/>
            <w:vAlign w:val="center"/>
          </w:tcPr>
          <w:p w:rsidR="007945F6" w:rsidRPr="007945F6" w:rsidRDefault="007945F6" w:rsidP="007A5020">
            <w:pPr>
              <w:spacing w:before="40" w:after="40" w:line="240" w:lineRule="auto"/>
              <w:rPr>
                <w:rFonts w:ascii="Arial Narrow" w:hAnsi="Arial Narrow" w:cs="Arial"/>
                <w:b/>
                <w:color w:val="FFFFFF"/>
                <w:sz w:val="24"/>
                <w:szCs w:val="24"/>
              </w:rPr>
            </w:pPr>
            <w:r w:rsidRPr="007945F6">
              <w:rPr>
                <w:rFonts w:ascii="Arial Narrow" w:hAnsi="Arial Narrow" w:cs="Arial"/>
                <w:b/>
                <w:color w:val="FFFFFF"/>
                <w:sz w:val="24"/>
                <w:szCs w:val="24"/>
              </w:rPr>
              <w:t>Activities</w:t>
            </w:r>
          </w:p>
        </w:tc>
        <w:tc>
          <w:tcPr>
            <w:tcW w:w="1020" w:type="dxa"/>
            <w:tcBorders>
              <w:top w:val="single" w:sz="4" w:space="0" w:color="548DD4"/>
              <w:left w:val="single" w:sz="4" w:space="0" w:color="548DD4"/>
              <w:righ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2011-12</w:t>
            </w:r>
          </w:p>
        </w:tc>
        <w:tc>
          <w:tcPr>
            <w:tcW w:w="1020" w:type="dxa"/>
            <w:tcBorders>
              <w:top w:val="single" w:sz="4" w:space="0" w:color="548DD4"/>
              <w:left w:val="single" w:sz="4" w:space="0" w:color="548DD4"/>
              <w:righ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2012-13</w:t>
            </w:r>
          </w:p>
        </w:tc>
        <w:tc>
          <w:tcPr>
            <w:tcW w:w="1020" w:type="dxa"/>
            <w:tcBorders>
              <w:top w:val="single" w:sz="4" w:space="0" w:color="548DD4"/>
              <w:left w:val="single" w:sz="4" w:space="0" w:color="548DD4"/>
              <w:righ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2013-14</w:t>
            </w:r>
          </w:p>
        </w:tc>
        <w:tc>
          <w:tcPr>
            <w:tcW w:w="1020" w:type="dxa"/>
            <w:tcBorders>
              <w:top w:val="single" w:sz="4" w:space="0" w:color="548DD4"/>
              <w:left w:val="single" w:sz="4" w:space="0" w:color="548DD4"/>
              <w:righ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2014-15</w:t>
            </w:r>
          </w:p>
        </w:tc>
        <w:tc>
          <w:tcPr>
            <w:tcW w:w="1020" w:type="dxa"/>
            <w:tcBorders>
              <w:top w:val="single" w:sz="4" w:space="0" w:color="548DD4"/>
              <w:left w:val="single" w:sz="4" w:space="0" w:color="548DD4"/>
              <w:righ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2015-16</w:t>
            </w:r>
          </w:p>
        </w:tc>
        <w:tc>
          <w:tcPr>
            <w:tcW w:w="1020" w:type="dxa"/>
            <w:tcBorders>
              <w:top w:val="single" w:sz="4" w:space="0" w:color="548DD4"/>
              <w:left w:val="single" w:sz="4" w:space="0" w:color="548DD4"/>
            </w:tcBorders>
            <w:shd w:val="clear" w:color="auto" w:fill="548DD4"/>
            <w:vAlign w:val="center"/>
          </w:tcPr>
          <w:p w:rsidR="007945F6" w:rsidRPr="007945F6" w:rsidRDefault="007945F6" w:rsidP="007A5020">
            <w:pPr>
              <w:spacing w:before="40" w:after="4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Total</w:t>
            </w:r>
          </w:p>
        </w:tc>
      </w:tr>
      <w:tr w:rsidR="007945F6" w:rsidRPr="007945F6" w:rsidTr="002460F0">
        <w:tc>
          <w:tcPr>
            <w:tcW w:w="2699" w:type="dxa"/>
            <w:vAlign w:val="center"/>
          </w:tcPr>
          <w:p w:rsidR="007945F6" w:rsidRPr="007945F6" w:rsidRDefault="007945F6" w:rsidP="00075AFE">
            <w:pPr>
              <w:spacing w:before="40" w:after="40" w:line="240" w:lineRule="auto"/>
              <w:rPr>
                <w:rFonts w:ascii="Arial Narrow" w:hAnsi="Arial Narrow" w:cs="Arial"/>
                <w:b/>
                <w:sz w:val="24"/>
                <w:szCs w:val="24"/>
              </w:rPr>
            </w:pPr>
            <w:r w:rsidRPr="007945F6">
              <w:rPr>
                <w:rFonts w:ascii="Arial Narrow" w:hAnsi="Arial Narrow" w:cs="Arial"/>
                <w:b/>
                <w:sz w:val="24"/>
                <w:szCs w:val="24"/>
              </w:rPr>
              <w:t>Incentive Payments</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p>
        </w:tc>
      </w:tr>
      <w:tr w:rsidR="007945F6" w:rsidRPr="007945F6" w:rsidTr="002460F0">
        <w:tc>
          <w:tcPr>
            <w:tcW w:w="2699" w:type="dxa"/>
            <w:vAlign w:val="center"/>
          </w:tcPr>
          <w:p w:rsidR="007945F6" w:rsidRPr="007945F6" w:rsidRDefault="007945F6" w:rsidP="00075AFE">
            <w:pPr>
              <w:tabs>
                <w:tab w:val="left" w:pos="284"/>
              </w:tabs>
              <w:spacing w:before="40" w:after="40" w:line="240" w:lineRule="auto"/>
              <w:ind w:left="284" w:hanging="284"/>
              <w:rPr>
                <w:rFonts w:ascii="Arial Narrow" w:hAnsi="Arial Narrow" w:cs="Arial"/>
                <w:sz w:val="24"/>
                <w:szCs w:val="24"/>
              </w:rPr>
            </w:pPr>
            <w:r w:rsidRPr="007945F6">
              <w:rPr>
                <w:rFonts w:ascii="Arial Narrow" w:hAnsi="Arial Narrow" w:cs="Arial"/>
                <w:sz w:val="24"/>
                <w:szCs w:val="24"/>
              </w:rPr>
              <w:lastRenderedPageBreak/>
              <w:tab/>
              <w:t>Hot Water Program</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5.0</w:t>
            </w:r>
          </w:p>
        </w:tc>
      </w:tr>
      <w:tr w:rsidR="007945F6" w:rsidRPr="007945F6" w:rsidTr="002460F0">
        <w:tc>
          <w:tcPr>
            <w:tcW w:w="2699" w:type="dxa"/>
            <w:vAlign w:val="center"/>
          </w:tcPr>
          <w:p w:rsidR="007945F6" w:rsidRPr="007945F6" w:rsidRDefault="007945F6" w:rsidP="00075AFE">
            <w:pPr>
              <w:tabs>
                <w:tab w:val="left" w:pos="284"/>
              </w:tabs>
              <w:spacing w:before="40" w:after="40" w:line="240" w:lineRule="auto"/>
              <w:ind w:left="284" w:hanging="284"/>
              <w:rPr>
                <w:rFonts w:ascii="Arial Narrow" w:hAnsi="Arial Narrow" w:cs="Arial"/>
                <w:sz w:val="24"/>
                <w:szCs w:val="24"/>
              </w:rPr>
            </w:pPr>
            <w:r w:rsidRPr="007945F6">
              <w:rPr>
                <w:rFonts w:ascii="Arial Narrow" w:hAnsi="Arial Narrow" w:cs="Arial"/>
                <w:sz w:val="24"/>
                <w:szCs w:val="24"/>
              </w:rPr>
              <w:tab/>
              <w:t>Central Heater Program</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1.5</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1.5</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1.5</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1.5</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1.5</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7.5</w:t>
            </w:r>
          </w:p>
        </w:tc>
      </w:tr>
      <w:tr w:rsidR="007945F6" w:rsidRPr="007945F6" w:rsidTr="002460F0">
        <w:tc>
          <w:tcPr>
            <w:tcW w:w="2699" w:type="dxa"/>
            <w:vAlign w:val="center"/>
          </w:tcPr>
          <w:p w:rsidR="007945F6" w:rsidRPr="007945F6" w:rsidRDefault="007945F6" w:rsidP="00075AFE">
            <w:pPr>
              <w:tabs>
                <w:tab w:val="left" w:pos="284"/>
              </w:tabs>
              <w:spacing w:before="40" w:after="40" w:line="240" w:lineRule="auto"/>
              <w:ind w:left="284" w:hanging="284"/>
              <w:rPr>
                <w:rFonts w:ascii="Arial Narrow" w:hAnsi="Arial Narrow" w:cs="Arial"/>
                <w:sz w:val="24"/>
                <w:szCs w:val="24"/>
              </w:rPr>
            </w:pPr>
            <w:r w:rsidRPr="007945F6">
              <w:rPr>
                <w:rFonts w:ascii="Arial Narrow" w:hAnsi="Arial Narrow" w:cs="Arial"/>
                <w:sz w:val="24"/>
                <w:szCs w:val="24"/>
              </w:rPr>
              <w:tab/>
              <w:t>Gas Air Conditioning</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0.3</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0.7</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0.8</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0.8</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1.0</w:t>
            </w:r>
          </w:p>
        </w:tc>
        <w:tc>
          <w:tcPr>
            <w:tcW w:w="1020" w:type="dxa"/>
            <w:vAlign w:val="center"/>
          </w:tcPr>
          <w:p w:rsidR="007945F6" w:rsidRPr="007945F6" w:rsidRDefault="007945F6" w:rsidP="00075AFE">
            <w:pPr>
              <w:spacing w:before="40" w:after="40" w:line="240" w:lineRule="auto"/>
              <w:jc w:val="center"/>
              <w:rPr>
                <w:rFonts w:ascii="Arial Narrow" w:hAnsi="Arial Narrow" w:cs="Arial"/>
                <w:sz w:val="24"/>
                <w:szCs w:val="24"/>
              </w:rPr>
            </w:pPr>
            <w:r w:rsidRPr="007945F6">
              <w:rPr>
                <w:rFonts w:ascii="Arial Narrow" w:hAnsi="Arial Narrow" w:cs="Arial"/>
                <w:sz w:val="24"/>
                <w:szCs w:val="24"/>
              </w:rPr>
              <w:t>3.6</w:t>
            </w:r>
          </w:p>
        </w:tc>
      </w:tr>
    </w:tbl>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The program was forecast to result in an uptake number of 2000 additional hot water and heating systems per year and 1,400 new air conditioners over the five year period. Envestra submitted that the forecast for hot water and heating connections were based on the results of previous programs in 2005, 2006 and 2010.  </w:t>
      </w:r>
    </w:p>
    <w:p w:rsidR="007945F6" w:rsidRPr="007945F6" w:rsidRDefault="007945F6" w:rsidP="000C2FAE">
      <w:pPr>
        <w:spacing w:after="0" w:line="240" w:lineRule="auto"/>
        <w:jc w:val="both"/>
        <w:rPr>
          <w:rFonts w:ascii="Arial Narrow" w:hAnsi="Arial Narrow"/>
          <w:sz w:val="24"/>
          <w:szCs w:val="24"/>
        </w:rPr>
      </w:pPr>
    </w:p>
    <w:p w:rsid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The AER reviewed the uptake number forecast for this program and could not find sufficient evidence that the program would lead to an uptake of the forecast number of units per year.  It was not evident to the AER how Envestra has extrapolated the results of previous programs to arrive at its submitted figure.</w:t>
      </w:r>
    </w:p>
    <w:p w:rsidR="00A16270" w:rsidRPr="007945F6" w:rsidRDefault="00A16270"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As such, the AER considered that contrary to r. 74(2) Envestra had not demonstrated that the estimate had been arrived at on a reasonable basis nor that it represented the best estimate.</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Further, the AER does not consider that Envestra had adequately explained the level of incentive payment that is required to induce uptake.  Such an assessment necessarily needs to demonstrate how the level of incentive payment is economically efficient and consistent with the lowest sustainable costs, as required under r .91 of the NGR.</w:t>
      </w:r>
    </w:p>
    <w:p w:rsidR="008E12D0" w:rsidRDefault="008E12D0" w:rsidP="005A56C2">
      <w:pPr>
        <w:pStyle w:val="Heading2"/>
        <w:numPr>
          <w:ilvl w:val="0"/>
          <w:numId w:val="0"/>
        </w:numPr>
        <w:rPr>
          <w:rFonts w:eastAsia="Calibri"/>
        </w:rPr>
      </w:pPr>
    </w:p>
    <w:p w:rsidR="007945F6" w:rsidRPr="005A56C2" w:rsidRDefault="008E12D0" w:rsidP="005A56C2">
      <w:pPr>
        <w:rPr>
          <w:rFonts w:ascii="Arial Narrow" w:hAnsi="Arial Narrow"/>
          <w:b/>
          <w:sz w:val="24"/>
          <w:szCs w:val="24"/>
        </w:rPr>
      </w:pPr>
      <w:r w:rsidRPr="005A56C2">
        <w:rPr>
          <w:rFonts w:ascii="Arial Narrow" w:hAnsi="Arial Narrow"/>
          <w:b/>
          <w:sz w:val="24"/>
          <w:szCs w:val="24"/>
        </w:rPr>
        <w:t>3.2.2</w:t>
      </w:r>
      <w:r w:rsidRPr="005A56C2">
        <w:rPr>
          <w:rFonts w:ascii="Arial Narrow" w:hAnsi="Arial Narrow"/>
          <w:b/>
          <w:sz w:val="24"/>
          <w:szCs w:val="24"/>
        </w:rPr>
        <w:tab/>
      </w:r>
      <w:r w:rsidR="007945F6" w:rsidRPr="005A56C2">
        <w:rPr>
          <w:rFonts w:ascii="Arial Narrow" w:hAnsi="Arial Narrow"/>
          <w:b/>
          <w:sz w:val="24"/>
          <w:szCs w:val="24"/>
        </w:rPr>
        <w:t>Envestra Response</w:t>
      </w:r>
    </w:p>
    <w:p w:rsidR="007945F6" w:rsidRPr="007945F6" w:rsidRDefault="007945F6" w:rsidP="000C2FAE">
      <w:pPr>
        <w:spacing w:after="0" w:line="240" w:lineRule="auto"/>
        <w:jc w:val="both"/>
        <w:rPr>
          <w:rFonts w:ascii="Arial Narrow" w:hAnsi="Arial Narrow"/>
          <w:sz w:val="24"/>
          <w:szCs w:val="24"/>
          <w:u w:val="single"/>
        </w:rPr>
      </w:pPr>
      <w:r w:rsidRPr="007945F6">
        <w:rPr>
          <w:rFonts w:ascii="Arial Narrow" w:hAnsi="Arial Narrow"/>
          <w:sz w:val="24"/>
          <w:szCs w:val="24"/>
          <w:u w:val="single"/>
        </w:rPr>
        <w:t>Rate of Uptake</w:t>
      </w:r>
    </w:p>
    <w:p w:rsidR="007945F6" w:rsidRPr="007945F6" w:rsidRDefault="007945F6" w:rsidP="000C2FAE">
      <w:pPr>
        <w:spacing w:after="0" w:line="240" w:lineRule="auto"/>
        <w:jc w:val="both"/>
        <w:rPr>
          <w:rFonts w:ascii="Arial Narrow" w:hAnsi="Arial Narrow"/>
          <w:sz w:val="24"/>
          <w:szCs w:val="24"/>
          <w:u w:val="single"/>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Estimating the level of uptake is not an exact science.  It requires judgement which Envestra applied taking into account past success in implementing incentive based programs.  </w:t>
      </w:r>
    </w:p>
    <w:p w:rsidR="007945F6" w:rsidRPr="007945F6" w:rsidRDefault="007945F6" w:rsidP="000C2FAE">
      <w:pPr>
        <w:spacing w:after="0" w:line="240" w:lineRule="auto"/>
        <w:jc w:val="both"/>
        <w:rPr>
          <w:rFonts w:ascii="Arial Narrow" w:hAnsi="Arial Narrow" w:cs="Arial"/>
          <w:sz w:val="24"/>
          <w:szCs w:val="24"/>
        </w:rPr>
      </w:pPr>
    </w:p>
    <w:p w:rsid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In </w:t>
      </w:r>
      <w:smartTag w:uri="urn:schemas-microsoft-com:office:smarttags" w:element="place">
        <w:smartTag w:uri="urn:schemas-microsoft-com:office:smarttags" w:element="State">
          <w:r w:rsidRPr="007945F6">
            <w:rPr>
              <w:rFonts w:ascii="Arial Narrow" w:hAnsi="Arial Narrow" w:cs="Arial"/>
              <w:sz w:val="24"/>
              <w:szCs w:val="24"/>
            </w:rPr>
            <w:t>South Australia</w:t>
          </w:r>
        </w:smartTag>
      </w:smartTag>
      <w:r w:rsidRPr="007945F6">
        <w:rPr>
          <w:rFonts w:ascii="Arial Narrow" w:hAnsi="Arial Narrow" w:cs="Arial"/>
          <w:sz w:val="24"/>
          <w:szCs w:val="24"/>
        </w:rPr>
        <w:t xml:space="preserve">, the most recent campaign was undertaken in 2010. However as explained in Attachment 6.5, at the time of preparing the Access Arrangement Revision, this program had only been operating for 5 months (April to August).  Notwithstanding the limited duration of the campaign, it had produced 2,203 new sales (1,421 central heater units and 882 hot water units).  On the basis of this information, Envestra estimated that if the program ran for a full 12 month period, it would be feasible to achieve an additional 2000 hot water appliances and 2000 gas heaters.  </w:t>
      </w:r>
    </w:p>
    <w:p w:rsidR="000232CE" w:rsidRPr="007945F6" w:rsidRDefault="000232CE"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The rationale for these assumptions, which were used in preparing the Network Development incentive forecast, was as follows:</w:t>
      </w:r>
    </w:p>
    <w:p w:rsidR="007945F6" w:rsidRPr="007945F6" w:rsidRDefault="007945F6" w:rsidP="000C2FAE">
      <w:pPr>
        <w:spacing w:after="0" w:line="240" w:lineRule="auto"/>
        <w:jc w:val="both"/>
        <w:rPr>
          <w:rFonts w:ascii="Arial Narrow" w:hAnsi="Arial Narrow" w:cs="Arial"/>
          <w:i/>
          <w:sz w:val="24"/>
          <w:szCs w:val="24"/>
        </w:rPr>
      </w:pPr>
    </w:p>
    <w:p w:rsidR="007945F6" w:rsidRPr="007945F6" w:rsidRDefault="007945F6" w:rsidP="00DE0E00">
      <w:pPr>
        <w:numPr>
          <w:ilvl w:val="0"/>
          <w:numId w:val="22"/>
        </w:numPr>
        <w:tabs>
          <w:tab w:val="left" w:pos="426"/>
        </w:tabs>
        <w:spacing w:after="0" w:line="240" w:lineRule="auto"/>
        <w:ind w:left="426" w:hanging="426"/>
        <w:jc w:val="both"/>
        <w:rPr>
          <w:rFonts w:ascii="Arial Narrow" w:hAnsi="Arial Narrow"/>
          <w:sz w:val="24"/>
          <w:szCs w:val="24"/>
        </w:rPr>
      </w:pPr>
      <w:r w:rsidRPr="007945F6">
        <w:rPr>
          <w:rFonts w:ascii="Arial Narrow" w:hAnsi="Arial Narrow" w:cs="Arial"/>
          <w:sz w:val="24"/>
          <w:szCs w:val="24"/>
        </w:rPr>
        <w:t xml:space="preserve">It was </w:t>
      </w:r>
      <w:r w:rsidRPr="007945F6">
        <w:rPr>
          <w:rFonts w:ascii="Arial Narrow" w:hAnsi="Arial Narrow"/>
          <w:sz w:val="24"/>
          <w:szCs w:val="24"/>
        </w:rPr>
        <w:t>assumed that the hot water market would continue for a full 12 months.  The 2010 program had achieved 882 units in 5 months (about 176 per month). It was further assumed that the expected monthly uptake rates for hot water systems would be lower in the summer months than those observed over the winter period.  This assumption recognises that the failure rate for hot water systems is likely to be directionally higher in the cooler months when they work harder compared to the summer months. Taking these factors into account, Envestra assumed an average monthly uptake rate of 165 new appliances per month over a 12 month period.  Assuming this up-take rate, total connections would be around 2000.</w:t>
      </w:r>
    </w:p>
    <w:p w:rsidR="007945F6" w:rsidRPr="007945F6" w:rsidRDefault="007945F6" w:rsidP="000C2FAE">
      <w:pPr>
        <w:tabs>
          <w:tab w:val="left" w:pos="426"/>
        </w:tabs>
        <w:spacing w:after="0" w:line="240" w:lineRule="auto"/>
        <w:ind w:left="426" w:hanging="426"/>
        <w:jc w:val="both"/>
        <w:rPr>
          <w:rFonts w:ascii="Arial Narrow" w:hAnsi="Arial Narrow"/>
          <w:sz w:val="24"/>
          <w:szCs w:val="24"/>
        </w:rPr>
      </w:pPr>
    </w:p>
    <w:p w:rsidR="007945F6" w:rsidRDefault="007945F6" w:rsidP="00DE0E00">
      <w:pPr>
        <w:numPr>
          <w:ilvl w:val="0"/>
          <w:numId w:val="22"/>
        </w:numPr>
        <w:tabs>
          <w:tab w:val="left" w:pos="426"/>
        </w:tabs>
        <w:spacing w:after="0" w:line="240" w:lineRule="auto"/>
        <w:ind w:left="426" w:hanging="426"/>
        <w:jc w:val="both"/>
        <w:rPr>
          <w:rFonts w:ascii="Arial Narrow" w:hAnsi="Arial Narrow"/>
          <w:sz w:val="24"/>
          <w:szCs w:val="24"/>
        </w:rPr>
      </w:pPr>
      <w:r w:rsidRPr="007945F6">
        <w:rPr>
          <w:rFonts w:ascii="Arial Narrow" w:hAnsi="Arial Narrow"/>
          <w:sz w:val="24"/>
          <w:szCs w:val="24"/>
        </w:rPr>
        <w:t xml:space="preserve">The gas heating program had produced 1421 sales (about 285 per month) over the five month period.  The 2010 scheme was terminated on 31 August.   This forecast was increased further because the 2010 program was restricted to gas central heaters only.  By expanding the heating incentive to include space heaters and gas log fires, it was considered likely that a </w:t>
      </w:r>
      <w:r w:rsidRPr="007945F6">
        <w:rPr>
          <w:rFonts w:ascii="Arial Narrow" w:hAnsi="Arial Narrow"/>
          <w:sz w:val="24"/>
          <w:szCs w:val="24"/>
        </w:rPr>
        <w:lastRenderedPageBreak/>
        <w:t>target of 2000 new appliances could be obtained.  Further evidence to support this conclusion is obtained by looking at the success of the program in 2006, the last time a heating incentive program was run which targeted space heaters as well as central heaters, when 2049 new gas heaters were connected.</w:t>
      </w:r>
    </w:p>
    <w:p w:rsidR="007945F6" w:rsidRPr="007945F6" w:rsidRDefault="007945F6" w:rsidP="003C5968">
      <w:pPr>
        <w:spacing w:after="0" w:line="240" w:lineRule="auto"/>
        <w:ind w:right="-2"/>
        <w:jc w:val="both"/>
        <w:rPr>
          <w:rFonts w:ascii="Arial Narrow" w:hAnsi="Arial Narrow" w:cs="Arial"/>
          <w:sz w:val="24"/>
          <w:szCs w:val="24"/>
        </w:rPr>
      </w:pPr>
      <w:r w:rsidRPr="007945F6">
        <w:rPr>
          <w:rFonts w:ascii="Arial Narrow" w:hAnsi="Arial Narrow" w:cs="Arial"/>
          <w:sz w:val="24"/>
          <w:szCs w:val="24"/>
        </w:rPr>
        <w:t>On the basis of this analysis, Envestra forecast that a target of 2000 new hot water heaters and 2000 gas heaters was achievable.  It was considered that if anything these uptake rates were likely to be conservative because when the 2010 campaign commenced, it was slow to take off.  This reflected the fact that Envestra had not actively promoted natural gas since 2005/06.  It took time to re-establish relationships with key stakeholders, publicise the new programs and to develop their confidence in the schemes being implemented.  Since 2010, Envestra has been having ongoing discussions with key stakeholders and expects the up-take rates to be higher in the earlier part of 2011 relative to that achieved in 2010. Envestra also adjusted its program half way through the winter 2010 program to focus on plumbers.</w:t>
      </w:r>
      <w:r w:rsidR="00537659">
        <w:rPr>
          <w:rFonts w:ascii="Arial Narrow" w:hAnsi="Arial Narrow" w:cs="Arial"/>
          <w:sz w:val="24"/>
          <w:szCs w:val="24"/>
        </w:rPr>
        <w:t xml:space="preserve">  </w:t>
      </w:r>
      <w:r w:rsidRPr="007945F6">
        <w:rPr>
          <w:rFonts w:ascii="Arial Narrow" w:hAnsi="Arial Narrow" w:cs="Arial"/>
          <w:sz w:val="24"/>
          <w:szCs w:val="24"/>
        </w:rPr>
        <w:t>This change in strategy improved the effectiveness of the campaign.  It is anticipated that total up-take roles in 2011 will be higher as a result of this change in strategy, which will be implemented over the entire campaign.</w:t>
      </w:r>
    </w:p>
    <w:p w:rsidR="007945F6" w:rsidRPr="007945F6" w:rsidRDefault="007945F6" w:rsidP="003C5968">
      <w:pPr>
        <w:spacing w:after="0" w:line="240" w:lineRule="auto"/>
        <w:ind w:right="-2"/>
        <w:jc w:val="both"/>
        <w:rPr>
          <w:rFonts w:ascii="Arial Narrow" w:hAnsi="Arial Narrow" w:cs="Arial"/>
          <w:sz w:val="24"/>
          <w:szCs w:val="24"/>
        </w:rPr>
      </w:pPr>
    </w:p>
    <w:p w:rsidR="007945F6" w:rsidRPr="007945F6" w:rsidRDefault="007945F6" w:rsidP="003C5968">
      <w:pPr>
        <w:spacing w:after="0" w:line="240" w:lineRule="auto"/>
        <w:ind w:right="-2"/>
        <w:jc w:val="both"/>
        <w:rPr>
          <w:rFonts w:ascii="Arial Narrow" w:hAnsi="Arial Narrow" w:cs="Arial"/>
          <w:sz w:val="24"/>
          <w:szCs w:val="24"/>
        </w:rPr>
      </w:pPr>
      <w:r w:rsidRPr="007945F6">
        <w:rPr>
          <w:rFonts w:ascii="Arial Narrow" w:hAnsi="Arial Narrow" w:cs="Arial"/>
          <w:sz w:val="24"/>
          <w:szCs w:val="24"/>
        </w:rPr>
        <w:t xml:space="preserve">Since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Revision was lodged on 1 October 2010, we have continued the hot water initiative and now have additional information to support the forecast up-take rates.  This data is analysed in the attached report prepared by PricewaterhouseCoopers (PwC) (Attachment 6-14).  The analysis confirms that a forecast of 2000 units over a full year period is achievable.</w:t>
      </w:r>
    </w:p>
    <w:p w:rsidR="007945F6" w:rsidRPr="007945F6" w:rsidRDefault="007945F6" w:rsidP="000C2FAE">
      <w:pPr>
        <w:tabs>
          <w:tab w:val="left" w:pos="426"/>
        </w:tabs>
        <w:spacing w:after="0" w:line="240" w:lineRule="auto"/>
        <w:ind w:left="426" w:right="-2" w:hanging="426"/>
        <w:jc w:val="both"/>
        <w:rPr>
          <w:rFonts w:ascii="Arial Narrow" w:hAnsi="Arial Narrow" w:cs="Arial"/>
          <w:sz w:val="24"/>
          <w:szCs w:val="24"/>
        </w:rPr>
      </w:pPr>
    </w:p>
    <w:p w:rsidR="007945F6" w:rsidRPr="007945F6" w:rsidRDefault="007945F6" w:rsidP="003C5968">
      <w:pPr>
        <w:spacing w:after="0" w:line="240" w:lineRule="auto"/>
        <w:ind w:right="-2"/>
        <w:jc w:val="both"/>
        <w:rPr>
          <w:rFonts w:ascii="Arial Narrow" w:hAnsi="Arial Narrow" w:cs="Arial"/>
          <w:sz w:val="24"/>
          <w:szCs w:val="24"/>
        </w:rPr>
      </w:pPr>
      <w:r w:rsidRPr="007945F6">
        <w:rPr>
          <w:rFonts w:ascii="Arial Narrow" w:hAnsi="Arial Narrow" w:cs="Arial"/>
          <w:sz w:val="24"/>
          <w:szCs w:val="24"/>
        </w:rPr>
        <w:t>PwC state that:</w:t>
      </w:r>
    </w:p>
    <w:p w:rsidR="007945F6" w:rsidRPr="007945F6" w:rsidRDefault="007945F6" w:rsidP="000C2FAE">
      <w:pPr>
        <w:tabs>
          <w:tab w:val="left" w:pos="426"/>
        </w:tabs>
        <w:spacing w:after="0" w:line="240" w:lineRule="auto"/>
        <w:ind w:left="426" w:right="-2" w:hanging="426"/>
        <w:jc w:val="both"/>
        <w:rPr>
          <w:rFonts w:ascii="Arial Narrow" w:hAnsi="Arial Narrow" w:cs="Arial"/>
          <w:sz w:val="24"/>
          <w:szCs w:val="24"/>
        </w:rPr>
      </w:pPr>
    </w:p>
    <w:p w:rsidR="007945F6" w:rsidRPr="007945F6" w:rsidRDefault="007945F6" w:rsidP="003C5968">
      <w:pPr>
        <w:spacing w:after="0" w:line="240" w:lineRule="auto"/>
        <w:ind w:left="567" w:right="565"/>
        <w:jc w:val="both"/>
        <w:rPr>
          <w:rFonts w:ascii="Arial Narrow" w:hAnsi="Arial Narrow" w:cs="Arial"/>
          <w:i/>
          <w:sz w:val="24"/>
          <w:szCs w:val="24"/>
        </w:rPr>
      </w:pPr>
      <w:r w:rsidRPr="007945F6">
        <w:rPr>
          <w:rFonts w:ascii="Arial Narrow" w:hAnsi="Arial Narrow" w:cs="Arial"/>
          <w:i/>
          <w:sz w:val="24"/>
          <w:szCs w:val="24"/>
        </w:rPr>
        <w:t>“Given that 2049 rebates were achieved in FY06, a 2000-unit forecast for central h</w:t>
      </w:r>
      <w:r w:rsidR="00537659">
        <w:rPr>
          <w:rFonts w:ascii="Arial Narrow" w:hAnsi="Arial Narrow" w:cs="Arial"/>
          <w:i/>
          <w:sz w:val="24"/>
          <w:szCs w:val="24"/>
        </w:rPr>
        <w:t>eater rebates is achievable p.26</w:t>
      </w:r>
    </w:p>
    <w:p w:rsidR="007945F6" w:rsidRPr="007945F6" w:rsidRDefault="007945F6" w:rsidP="000C2FAE">
      <w:pPr>
        <w:tabs>
          <w:tab w:val="left" w:pos="993"/>
        </w:tabs>
        <w:spacing w:after="0" w:line="240" w:lineRule="auto"/>
        <w:ind w:left="993" w:right="565"/>
        <w:jc w:val="both"/>
        <w:rPr>
          <w:rFonts w:ascii="Arial Narrow" w:hAnsi="Arial Narrow" w:cs="Arial"/>
          <w:i/>
          <w:sz w:val="24"/>
          <w:szCs w:val="24"/>
        </w:rPr>
      </w:pPr>
    </w:p>
    <w:p w:rsidR="007945F6" w:rsidRPr="007945F6" w:rsidRDefault="007945F6" w:rsidP="003C5968">
      <w:pPr>
        <w:spacing w:after="0" w:line="240" w:lineRule="auto"/>
        <w:ind w:right="565"/>
        <w:jc w:val="both"/>
        <w:rPr>
          <w:rFonts w:ascii="Arial Narrow" w:hAnsi="Arial Narrow" w:cs="Arial"/>
          <w:sz w:val="24"/>
          <w:szCs w:val="24"/>
        </w:rPr>
      </w:pPr>
      <w:r w:rsidRPr="007945F6">
        <w:rPr>
          <w:rFonts w:ascii="Arial Narrow" w:hAnsi="Arial Narrow" w:cs="Arial"/>
          <w:sz w:val="24"/>
          <w:szCs w:val="24"/>
        </w:rPr>
        <w:t>and in relation to hot water;</w:t>
      </w:r>
    </w:p>
    <w:p w:rsidR="007945F6" w:rsidRPr="007945F6" w:rsidRDefault="007945F6" w:rsidP="000C2FAE">
      <w:pPr>
        <w:tabs>
          <w:tab w:val="left" w:pos="993"/>
        </w:tabs>
        <w:spacing w:after="0" w:line="240" w:lineRule="auto"/>
        <w:ind w:left="993" w:right="565"/>
        <w:jc w:val="both"/>
        <w:rPr>
          <w:rFonts w:ascii="Arial Narrow" w:hAnsi="Arial Narrow" w:cs="Arial"/>
          <w:i/>
          <w:sz w:val="24"/>
          <w:szCs w:val="24"/>
        </w:rPr>
      </w:pPr>
    </w:p>
    <w:p w:rsidR="007945F6" w:rsidRPr="007945F6" w:rsidRDefault="007945F6" w:rsidP="003C5968">
      <w:pPr>
        <w:spacing w:after="0" w:line="240" w:lineRule="auto"/>
        <w:ind w:left="567" w:right="565"/>
        <w:jc w:val="both"/>
        <w:rPr>
          <w:rFonts w:ascii="Arial Narrow" w:hAnsi="Arial Narrow" w:cs="Arial"/>
          <w:i/>
          <w:sz w:val="24"/>
          <w:szCs w:val="24"/>
        </w:rPr>
      </w:pPr>
      <w:r w:rsidRPr="007945F6">
        <w:rPr>
          <w:rFonts w:ascii="Arial Narrow" w:hAnsi="Arial Narrow" w:cs="Arial"/>
          <w:i/>
          <w:sz w:val="24"/>
          <w:szCs w:val="24"/>
        </w:rPr>
        <w:t xml:space="preserve">. . . extrapolating out </w:t>
      </w:r>
      <w:proofErr w:type="spellStart"/>
      <w:r w:rsidRPr="007945F6">
        <w:rPr>
          <w:rFonts w:ascii="Arial Narrow" w:hAnsi="Arial Narrow" w:cs="Arial"/>
          <w:i/>
          <w:sz w:val="24"/>
          <w:szCs w:val="24"/>
        </w:rPr>
        <w:t>Envestra’s</w:t>
      </w:r>
      <w:proofErr w:type="spellEnd"/>
      <w:r w:rsidRPr="007945F6">
        <w:rPr>
          <w:rFonts w:ascii="Arial Narrow" w:hAnsi="Arial Narrow" w:cs="Arial"/>
          <w:i/>
          <w:sz w:val="24"/>
          <w:szCs w:val="24"/>
        </w:rPr>
        <w:t xml:space="preserve"> performance to date in FY11 and accounting for the opening of the scheme to plumbers . . . suggests 2000 units is an optimistic but achievable forecast p.2</w:t>
      </w:r>
      <w:r w:rsidR="00537659">
        <w:rPr>
          <w:rFonts w:ascii="Arial Narrow" w:hAnsi="Arial Narrow" w:cs="Arial"/>
          <w:i/>
          <w:sz w:val="24"/>
          <w:szCs w:val="24"/>
        </w:rPr>
        <w:t>9</w:t>
      </w:r>
      <w:r w:rsidRPr="007945F6">
        <w:rPr>
          <w:rFonts w:ascii="Arial Narrow" w:hAnsi="Arial Narrow" w:cs="Arial"/>
          <w:i/>
          <w:sz w:val="24"/>
          <w:szCs w:val="24"/>
        </w:rPr>
        <w:t>”</w:t>
      </w:r>
    </w:p>
    <w:p w:rsidR="007945F6" w:rsidRPr="007945F6" w:rsidRDefault="007945F6" w:rsidP="000C2FAE">
      <w:pPr>
        <w:tabs>
          <w:tab w:val="left" w:pos="426"/>
        </w:tabs>
        <w:spacing w:after="0" w:line="240" w:lineRule="auto"/>
        <w:ind w:left="426" w:right="-2" w:hanging="426"/>
        <w:jc w:val="both"/>
        <w:rPr>
          <w:rFonts w:ascii="Arial Narrow" w:hAnsi="Arial Narrow" w:cs="Arial"/>
          <w:sz w:val="24"/>
          <w:szCs w:val="24"/>
        </w:rPr>
      </w:pPr>
    </w:p>
    <w:p w:rsidR="007945F6" w:rsidRPr="007945F6" w:rsidRDefault="007945F6" w:rsidP="003C5968">
      <w:pPr>
        <w:spacing w:after="0" w:line="240" w:lineRule="auto"/>
        <w:ind w:right="-2"/>
        <w:jc w:val="both"/>
        <w:rPr>
          <w:rFonts w:ascii="Arial Narrow" w:hAnsi="Arial Narrow" w:cs="Arial"/>
          <w:sz w:val="24"/>
          <w:szCs w:val="24"/>
        </w:rPr>
      </w:pP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incentive arrangements also included a program designed to achieve connection of 1,400 new gas heat pump air conditioners.  Envestra has not implemented any gas air conditioning programs and is therefore unable to provide data from previous programs to support this forecast.  However, it is noted that the heat pump air conditioning technology has been embraced by Australian customers with demand for heat pump air conditioning being very strong.</w:t>
      </w:r>
    </w:p>
    <w:p w:rsidR="007945F6" w:rsidRPr="007945F6" w:rsidRDefault="007945F6" w:rsidP="003C5968">
      <w:pPr>
        <w:spacing w:after="0" w:line="240" w:lineRule="auto"/>
        <w:ind w:right="-2"/>
        <w:jc w:val="both"/>
        <w:rPr>
          <w:rFonts w:ascii="Arial Narrow" w:hAnsi="Arial Narrow" w:cs="Arial"/>
          <w:sz w:val="24"/>
          <w:szCs w:val="24"/>
        </w:rPr>
      </w:pPr>
    </w:p>
    <w:p w:rsidR="007945F6" w:rsidRPr="007945F6" w:rsidRDefault="007945F6" w:rsidP="003C5968">
      <w:pPr>
        <w:spacing w:after="0" w:line="240" w:lineRule="auto"/>
        <w:ind w:right="-2"/>
        <w:jc w:val="both"/>
        <w:rPr>
          <w:rFonts w:ascii="Arial Narrow" w:hAnsi="Arial Narrow" w:cs="Arial"/>
          <w:sz w:val="24"/>
          <w:szCs w:val="24"/>
        </w:rPr>
      </w:pP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Network Development Plan included ABS data demonstrating that the penetration of reverse cycle air conditioning increased from 28% to 37% between March 2005 and March 2008 (Appendix 1, Average Residential Consumption in </w:t>
      </w:r>
      <w:smartTag w:uri="urn:schemas-microsoft-com:office:smarttags" w:element="place">
        <w:smartTag w:uri="urn:schemas-microsoft-com:office:smarttags" w:element="State">
          <w:r w:rsidRPr="007945F6">
            <w:rPr>
              <w:rFonts w:ascii="Arial Narrow" w:hAnsi="Arial Narrow" w:cs="Arial"/>
              <w:sz w:val="24"/>
              <w:szCs w:val="24"/>
            </w:rPr>
            <w:t>South Australia</w:t>
          </w:r>
        </w:smartTag>
      </w:smartTag>
      <w:r w:rsidRPr="007945F6">
        <w:rPr>
          <w:rFonts w:ascii="Arial Narrow" w:hAnsi="Arial Narrow" w:cs="Arial"/>
          <w:sz w:val="24"/>
          <w:szCs w:val="24"/>
        </w:rPr>
        <w:t xml:space="preserve">, p.9).  Around 27,000 ducted split system air conditioners with a power rating of 13 to 15kW were sold in </w:t>
      </w:r>
      <w:smartTag w:uri="urn:schemas-microsoft-com:office:smarttags" w:element="place">
        <w:smartTag w:uri="urn:schemas-microsoft-com:office:smarttags" w:element="country-region">
          <w:r w:rsidRPr="007945F6">
            <w:rPr>
              <w:rFonts w:ascii="Arial Narrow" w:hAnsi="Arial Narrow" w:cs="Arial"/>
              <w:sz w:val="24"/>
              <w:szCs w:val="24"/>
            </w:rPr>
            <w:t>Australia</w:t>
          </w:r>
        </w:smartTag>
      </w:smartTag>
      <w:r w:rsidRPr="007945F6">
        <w:rPr>
          <w:rFonts w:ascii="Arial Narrow" w:hAnsi="Arial Narrow" w:cs="Arial"/>
          <w:sz w:val="24"/>
          <w:szCs w:val="24"/>
        </w:rPr>
        <w:t xml:space="preserve"> over the last 12 months</w:t>
      </w:r>
      <w:r w:rsidRPr="007945F6">
        <w:rPr>
          <w:rStyle w:val="FootnoteReference"/>
          <w:rFonts w:ascii="Arial Narrow" w:hAnsi="Arial Narrow"/>
          <w:sz w:val="24"/>
          <w:szCs w:val="24"/>
        </w:rPr>
        <w:footnoteReference w:id="25"/>
      </w:r>
      <w:r w:rsidRPr="007945F6">
        <w:rPr>
          <w:rFonts w:ascii="Arial Narrow" w:hAnsi="Arial Narrow" w:cs="Arial"/>
          <w:sz w:val="24"/>
          <w:szCs w:val="24"/>
        </w:rPr>
        <w:t xml:space="preserve">.  There were an additional 10,000 systems with a rating of 16-18kW sold.  In </w:t>
      </w:r>
      <w:smartTag w:uri="urn:schemas-microsoft-com:office:smarttags" w:element="place">
        <w:smartTag w:uri="urn:schemas-microsoft-com:office:smarttags" w:element="State">
          <w:r w:rsidRPr="007945F6">
            <w:rPr>
              <w:rFonts w:ascii="Arial Narrow" w:hAnsi="Arial Narrow" w:cs="Arial"/>
              <w:sz w:val="24"/>
              <w:szCs w:val="24"/>
            </w:rPr>
            <w:t>South Australia</w:t>
          </w:r>
        </w:smartTag>
      </w:smartTag>
      <w:r w:rsidRPr="007945F6">
        <w:rPr>
          <w:rFonts w:ascii="Arial Narrow" w:hAnsi="Arial Narrow" w:cs="Arial"/>
          <w:sz w:val="24"/>
          <w:szCs w:val="24"/>
        </w:rPr>
        <w:t xml:space="preserve">, the corresponding figures are 3,200 for a 13-15 kW unit and 800 for the 16-18kW unit.  It is this market where there is potential for the current </w:t>
      </w:r>
      <w:proofErr w:type="spellStart"/>
      <w:r w:rsidRPr="007945F6">
        <w:rPr>
          <w:rFonts w:ascii="Arial Narrow" w:hAnsi="Arial Narrow" w:cs="Arial"/>
          <w:sz w:val="24"/>
          <w:szCs w:val="24"/>
        </w:rPr>
        <w:t>Yanmar</w:t>
      </w:r>
      <w:proofErr w:type="spellEnd"/>
      <w:r w:rsidRPr="007945F6">
        <w:rPr>
          <w:rFonts w:ascii="Arial Narrow" w:hAnsi="Arial Narrow" w:cs="Arial"/>
          <w:sz w:val="24"/>
          <w:szCs w:val="24"/>
        </w:rPr>
        <w:t xml:space="preserve"> models being trialled by Envestra to compete.</w:t>
      </w:r>
    </w:p>
    <w:p w:rsidR="007945F6" w:rsidRPr="007945F6" w:rsidRDefault="007945F6" w:rsidP="000C2FAE">
      <w:pPr>
        <w:tabs>
          <w:tab w:val="left" w:pos="426"/>
        </w:tabs>
        <w:spacing w:after="0" w:line="240" w:lineRule="auto"/>
        <w:ind w:left="426" w:right="-2" w:hanging="426"/>
        <w:jc w:val="both"/>
        <w:rPr>
          <w:rFonts w:ascii="Arial Narrow" w:hAnsi="Arial Narrow" w:cs="Arial"/>
          <w:sz w:val="24"/>
          <w:szCs w:val="24"/>
        </w:rPr>
      </w:pPr>
    </w:p>
    <w:p w:rsidR="007945F6" w:rsidRPr="007945F6" w:rsidRDefault="007945F6" w:rsidP="00427595">
      <w:pPr>
        <w:spacing w:after="0" w:line="240" w:lineRule="auto"/>
        <w:ind w:right="-2"/>
        <w:jc w:val="both"/>
        <w:rPr>
          <w:rFonts w:ascii="Arial Narrow" w:hAnsi="Arial Narrow" w:cs="Arial"/>
          <w:sz w:val="24"/>
          <w:szCs w:val="24"/>
        </w:rPr>
      </w:pPr>
      <w:r w:rsidRPr="007945F6">
        <w:rPr>
          <w:rFonts w:ascii="Arial Narrow" w:hAnsi="Arial Narrow" w:cs="Arial"/>
          <w:sz w:val="24"/>
          <w:szCs w:val="24"/>
        </w:rPr>
        <w:lastRenderedPageBreak/>
        <w:t xml:space="preserve">Envestra proposed to ramp up installations of air conditioners from 200 to 500 per year over the period, to achieve 1,400 units over 5 years in </w:t>
      </w:r>
      <w:smartTag w:uri="urn:schemas-microsoft-com:office:smarttags" w:element="place">
        <w:smartTag w:uri="urn:schemas-microsoft-com:office:smarttags" w:element="State">
          <w:r w:rsidRPr="007945F6">
            <w:rPr>
              <w:rFonts w:ascii="Arial Narrow" w:hAnsi="Arial Narrow" w:cs="Arial"/>
              <w:sz w:val="24"/>
              <w:szCs w:val="24"/>
            </w:rPr>
            <w:t>South Australia</w:t>
          </w:r>
        </w:smartTag>
      </w:smartTag>
      <w:r w:rsidRPr="007945F6">
        <w:rPr>
          <w:rFonts w:ascii="Arial Narrow" w:hAnsi="Arial Narrow" w:cs="Arial"/>
          <w:sz w:val="24"/>
          <w:szCs w:val="24"/>
        </w:rPr>
        <w:t xml:space="preserve">.  If this were achieved, it would represent a 7% penetration rate into the existing 13-18kw market. This is a challenging target, but considered to be achievable.  </w:t>
      </w:r>
    </w:p>
    <w:p w:rsidR="00D36481" w:rsidRDefault="00EE25E3" w:rsidP="00EE25E3">
      <w:pPr>
        <w:spacing w:after="0" w:line="240" w:lineRule="auto"/>
        <w:ind w:right="-2"/>
        <w:jc w:val="both"/>
        <w:rPr>
          <w:rFonts w:ascii="Arial Narrow" w:hAnsi="Arial Narrow" w:cs="Arial"/>
          <w:sz w:val="24"/>
          <w:szCs w:val="24"/>
        </w:rPr>
      </w:pPr>
      <w:r>
        <w:rPr>
          <w:rFonts w:ascii="Arial Narrow" w:hAnsi="Arial Narrow" w:cs="Arial"/>
          <w:sz w:val="24"/>
          <w:szCs w:val="24"/>
        </w:rPr>
        <w:t>PwC also analysed up-take rates for solar PV between 2</w:t>
      </w:r>
      <w:r w:rsidR="00D36481">
        <w:rPr>
          <w:rFonts w:ascii="Arial Narrow" w:hAnsi="Arial Narrow" w:cs="Arial"/>
          <w:sz w:val="24"/>
          <w:szCs w:val="24"/>
        </w:rPr>
        <w:t>001 and 2009 and concluded that:</w:t>
      </w:r>
    </w:p>
    <w:p w:rsidR="00D36481" w:rsidRDefault="00D36481" w:rsidP="00EE25E3">
      <w:pPr>
        <w:spacing w:after="0" w:line="240" w:lineRule="auto"/>
        <w:ind w:right="-2"/>
        <w:jc w:val="both"/>
        <w:rPr>
          <w:rFonts w:ascii="Arial Narrow" w:hAnsi="Arial Narrow" w:cs="Arial"/>
          <w:sz w:val="24"/>
          <w:szCs w:val="24"/>
        </w:rPr>
      </w:pPr>
    </w:p>
    <w:p w:rsidR="00EE25E3" w:rsidRDefault="00EE25E3" w:rsidP="00D36481">
      <w:pPr>
        <w:spacing w:after="0" w:line="240" w:lineRule="auto"/>
        <w:ind w:left="567" w:right="565"/>
        <w:jc w:val="both"/>
        <w:rPr>
          <w:rFonts w:ascii="Arial Narrow" w:hAnsi="Arial Narrow" w:cs="Arial"/>
          <w:sz w:val="24"/>
          <w:szCs w:val="24"/>
        </w:rPr>
      </w:pPr>
      <w:r w:rsidRPr="00D36481">
        <w:rPr>
          <w:rFonts w:ascii="Arial Narrow" w:hAnsi="Arial Narrow" w:cs="Arial"/>
          <w:i/>
          <w:sz w:val="24"/>
          <w:szCs w:val="24"/>
        </w:rPr>
        <w:t xml:space="preserve">“The forecast volumes of 1,400 gas air conditioning units in </w:t>
      </w:r>
      <w:proofErr w:type="spellStart"/>
      <w:r w:rsidRPr="00D36481">
        <w:rPr>
          <w:rFonts w:ascii="Arial Narrow" w:hAnsi="Arial Narrow" w:cs="Arial"/>
          <w:i/>
          <w:sz w:val="24"/>
          <w:szCs w:val="24"/>
        </w:rPr>
        <w:t>Envestra’s</w:t>
      </w:r>
      <w:proofErr w:type="spellEnd"/>
      <w:r w:rsidRPr="00D36481">
        <w:rPr>
          <w:rFonts w:ascii="Arial Narrow" w:hAnsi="Arial Narrow" w:cs="Arial"/>
          <w:i/>
          <w:sz w:val="24"/>
          <w:szCs w:val="24"/>
        </w:rPr>
        <w:t xml:space="preserve"> Network Development Plan appear to be in line with the experience of photovoltaic solar”</w:t>
      </w:r>
      <w:r>
        <w:rPr>
          <w:rFonts w:ascii="Arial Narrow" w:hAnsi="Arial Narrow" w:cs="Arial"/>
          <w:sz w:val="24"/>
          <w:szCs w:val="24"/>
        </w:rPr>
        <w:t xml:space="preserve"> (p,40).</w:t>
      </w:r>
    </w:p>
    <w:p w:rsidR="00EE25E3" w:rsidRPr="007945F6" w:rsidRDefault="00EE25E3" w:rsidP="00EE25E3">
      <w:pPr>
        <w:spacing w:after="0" w:line="240" w:lineRule="auto"/>
        <w:ind w:right="-2"/>
        <w:jc w:val="both"/>
        <w:rPr>
          <w:rFonts w:ascii="Arial Narrow" w:hAnsi="Arial Narrow" w:cs="Arial"/>
          <w:sz w:val="24"/>
          <w:szCs w:val="24"/>
        </w:rPr>
      </w:pPr>
    </w:p>
    <w:p w:rsidR="007945F6" w:rsidRPr="007945F6" w:rsidRDefault="007945F6" w:rsidP="00027655">
      <w:pPr>
        <w:spacing w:after="0" w:line="240" w:lineRule="auto"/>
        <w:ind w:right="-2"/>
        <w:jc w:val="both"/>
        <w:rPr>
          <w:rFonts w:ascii="Arial Narrow" w:hAnsi="Arial Narrow" w:cs="Arial"/>
          <w:sz w:val="24"/>
          <w:szCs w:val="24"/>
          <w:u w:val="single"/>
        </w:rPr>
      </w:pPr>
      <w:r w:rsidRPr="007945F6">
        <w:rPr>
          <w:rFonts w:ascii="Arial Narrow" w:hAnsi="Arial Narrow" w:cs="Arial"/>
          <w:sz w:val="24"/>
          <w:szCs w:val="24"/>
          <w:u w:val="single"/>
        </w:rPr>
        <w:t>Level of Incentive</w:t>
      </w:r>
    </w:p>
    <w:p w:rsidR="007945F6" w:rsidRPr="007945F6" w:rsidRDefault="007945F6" w:rsidP="00027655">
      <w:pPr>
        <w:spacing w:after="0" w:line="240" w:lineRule="auto"/>
        <w:ind w:right="-2"/>
        <w:jc w:val="both"/>
        <w:rPr>
          <w:rFonts w:ascii="Arial Narrow" w:hAnsi="Arial Narrow" w:cs="Arial"/>
          <w:sz w:val="24"/>
          <w:szCs w:val="24"/>
        </w:rPr>
      </w:pPr>
    </w:p>
    <w:p w:rsidR="007945F6" w:rsidRPr="007945F6" w:rsidRDefault="007945F6" w:rsidP="00027655">
      <w:pPr>
        <w:tabs>
          <w:tab w:val="left" w:pos="8222"/>
        </w:tabs>
        <w:spacing w:after="0" w:line="240" w:lineRule="auto"/>
        <w:ind w:right="-2"/>
        <w:jc w:val="both"/>
        <w:rPr>
          <w:rFonts w:ascii="Arial Narrow" w:hAnsi="Arial Narrow" w:cs="Arial"/>
          <w:sz w:val="24"/>
          <w:szCs w:val="24"/>
        </w:rPr>
      </w:pPr>
      <w:r w:rsidRPr="007945F6">
        <w:rPr>
          <w:rFonts w:ascii="Arial Narrow" w:hAnsi="Arial Narrow" w:cs="Arial"/>
          <w:sz w:val="24"/>
          <w:szCs w:val="24"/>
        </w:rPr>
        <w:t>The table below summarises the costs and benefits of funding the Performance Based Incentive Programs for</w:t>
      </w:r>
      <w:r w:rsidR="00971200">
        <w:rPr>
          <w:rFonts w:ascii="Arial Narrow" w:hAnsi="Arial Narrow" w:cs="Arial"/>
          <w:sz w:val="24"/>
          <w:szCs w:val="24"/>
        </w:rPr>
        <w:t xml:space="preserve"> new homes and existing homes.</w:t>
      </w:r>
      <w:r w:rsidR="00C81478">
        <w:rPr>
          <w:rFonts w:ascii="Arial Narrow" w:hAnsi="Arial Narrow" w:cs="Arial"/>
          <w:sz w:val="24"/>
          <w:szCs w:val="24"/>
        </w:rPr>
        <w:t xml:space="preserve">  </w:t>
      </w:r>
      <w:proofErr w:type="spellStart"/>
      <w:r w:rsidR="00C81478">
        <w:rPr>
          <w:rFonts w:ascii="Arial Narrow" w:hAnsi="Arial Narrow" w:cs="Arial"/>
          <w:sz w:val="24"/>
          <w:szCs w:val="24"/>
        </w:rPr>
        <w:t>Envestra’s</w:t>
      </w:r>
      <w:proofErr w:type="spellEnd"/>
      <w:r w:rsidR="00C81478">
        <w:rPr>
          <w:rFonts w:ascii="Arial Narrow" w:hAnsi="Arial Narrow" w:cs="Arial"/>
          <w:sz w:val="24"/>
          <w:szCs w:val="24"/>
        </w:rPr>
        <w:t xml:space="preserve"> original analysis,</w:t>
      </w:r>
      <w:r w:rsidR="00971200">
        <w:rPr>
          <w:rFonts w:ascii="Arial Narrow" w:hAnsi="Arial Narrow" w:cs="Arial"/>
          <w:sz w:val="24"/>
          <w:szCs w:val="24"/>
        </w:rPr>
        <w:t xml:space="preserve"> </w:t>
      </w:r>
      <w:r w:rsidR="00C81478">
        <w:rPr>
          <w:rFonts w:ascii="Arial Narrow" w:hAnsi="Arial Narrow" w:cs="Arial"/>
          <w:sz w:val="24"/>
          <w:szCs w:val="24"/>
        </w:rPr>
        <w:t>(</w:t>
      </w:r>
      <w:r w:rsidRPr="007945F6">
        <w:rPr>
          <w:rFonts w:ascii="Arial Narrow" w:hAnsi="Arial Narrow" w:cs="Arial"/>
          <w:sz w:val="24"/>
          <w:szCs w:val="24"/>
        </w:rPr>
        <w:t>Section 11 of the Network Development Plan</w:t>
      </w:r>
      <w:r w:rsidR="00C81478">
        <w:rPr>
          <w:rFonts w:ascii="Arial Narrow" w:hAnsi="Arial Narrow" w:cs="Arial"/>
          <w:sz w:val="24"/>
          <w:szCs w:val="24"/>
        </w:rPr>
        <w:t>)</w:t>
      </w:r>
      <w:r w:rsidR="00971200">
        <w:rPr>
          <w:rFonts w:ascii="Arial Narrow" w:hAnsi="Arial Narrow" w:cs="Arial"/>
          <w:sz w:val="24"/>
          <w:szCs w:val="24"/>
        </w:rPr>
        <w:t xml:space="preserve"> has been updated to reflect the AER Draft Decision and to include a revised estimate of incremental load for a gas air conditioner in line with </w:t>
      </w:r>
      <w:proofErr w:type="spellStart"/>
      <w:r w:rsidR="00971200">
        <w:rPr>
          <w:rFonts w:ascii="Arial Narrow" w:hAnsi="Arial Narrow" w:cs="Arial"/>
          <w:sz w:val="24"/>
          <w:szCs w:val="24"/>
        </w:rPr>
        <w:t>Envestra’s</w:t>
      </w:r>
      <w:proofErr w:type="spellEnd"/>
      <w:r w:rsidR="00971200">
        <w:rPr>
          <w:rFonts w:ascii="Arial Narrow" w:hAnsi="Arial Narrow" w:cs="Arial"/>
          <w:sz w:val="24"/>
          <w:szCs w:val="24"/>
        </w:rPr>
        <w:t xml:space="preserve"> latest view on gas use</w:t>
      </w:r>
      <w:r w:rsidRPr="007945F6">
        <w:rPr>
          <w:rFonts w:ascii="Arial Narrow" w:hAnsi="Arial Narrow" w:cs="Arial"/>
          <w:sz w:val="24"/>
          <w:szCs w:val="24"/>
        </w:rPr>
        <w:t>.</w:t>
      </w:r>
    </w:p>
    <w:p w:rsidR="007945F6" w:rsidRPr="007945F6" w:rsidRDefault="007945F6" w:rsidP="000C2FAE">
      <w:pPr>
        <w:tabs>
          <w:tab w:val="left" w:pos="8222"/>
        </w:tabs>
        <w:spacing w:after="0" w:line="240" w:lineRule="auto"/>
        <w:ind w:left="426" w:right="-2"/>
        <w:jc w:val="both"/>
        <w:rPr>
          <w:rFonts w:ascii="Arial Narrow" w:hAnsi="Arial Narrow" w:cs="Arial"/>
          <w:sz w:val="24"/>
          <w:szCs w:val="24"/>
        </w:rPr>
      </w:pPr>
    </w:p>
    <w:tbl>
      <w:tblPr>
        <w:tblW w:w="8809" w:type="dxa"/>
        <w:tblInd w:w="108" w:type="dxa"/>
        <w:tblLook w:val="04A0"/>
      </w:tblPr>
      <w:tblGrid>
        <w:gridCol w:w="3061"/>
        <w:gridCol w:w="2346"/>
        <w:gridCol w:w="1361"/>
        <w:gridCol w:w="2041"/>
      </w:tblGrid>
      <w:tr w:rsidR="007945F6" w:rsidRPr="007945F6" w:rsidTr="00E53247">
        <w:trPr>
          <w:trHeight w:val="907"/>
        </w:trPr>
        <w:tc>
          <w:tcPr>
            <w:tcW w:w="3061" w:type="dxa"/>
            <w:tcBorders>
              <w:top w:val="single" w:sz="4" w:space="0" w:color="548DD4"/>
              <w:left w:val="single" w:sz="4" w:space="0" w:color="548DD4"/>
              <w:bottom w:val="single" w:sz="4" w:space="0" w:color="548DD4"/>
              <w:right w:val="single" w:sz="4" w:space="0" w:color="548DD4"/>
            </w:tcBorders>
            <w:shd w:val="clear" w:color="auto" w:fill="548DD4"/>
            <w:noWrap/>
            <w:vAlign w:val="center"/>
          </w:tcPr>
          <w:p w:rsidR="007945F6" w:rsidRPr="007945F6" w:rsidRDefault="007945F6" w:rsidP="00830E5A">
            <w:pPr>
              <w:pBdr>
                <w:top w:val="single" w:sz="4" w:space="1" w:color="auto"/>
                <w:left w:val="single" w:sz="4" w:space="4" w:color="auto"/>
              </w:pBdr>
              <w:spacing w:before="60" w:after="60" w:line="240" w:lineRule="auto"/>
              <w:rPr>
                <w:rFonts w:ascii="Arial Narrow" w:hAnsi="Arial Narrow" w:cs="Arial"/>
                <w:b/>
                <w:color w:val="FFFFFF"/>
                <w:sz w:val="24"/>
                <w:szCs w:val="24"/>
              </w:rPr>
            </w:pPr>
            <w:r w:rsidRPr="007945F6">
              <w:rPr>
                <w:rFonts w:ascii="Arial Narrow" w:hAnsi="Arial Narrow" w:cs="Arial"/>
                <w:b/>
                <w:color w:val="FFFFFF"/>
                <w:sz w:val="24"/>
                <w:szCs w:val="24"/>
              </w:rPr>
              <w:br w:type="page"/>
            </w:r>
            <w:r w:rsidRPr="007945F6">
              <w:rPr>
                <w:rFonts w:ascii="Arial Narrow" w:hAnsi="Arial Narrow" w:cs="Arial"/>
                <w:b/>
                <w:bCs/>
                <w:color w:val="FFFFFF"/>
                <w:sz w:val="24"/>
                <w:szCs w:val="24"/>
              </w:rPr>
              <w:t>A - Already Connected Homes</w:t>
            </w:r>
          </w:p>
        </w:tc>
        <w:tc>
          <w:tcPr>
            <w:tcW w:w="2346"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Incremental Load (GJ/customer)</w:t>
            </w:r>
          </w:p>
        </w:tc>
        <w:tc>
          <w:tcPr>
            <w:tcW w:w="136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NPV @ 10%</w:t>
            </w:r>
          </w:p>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(15 years)</w:t>
            </w:r>
          </w:p>
        </w:tc>
        <w:tc>
          <w:tcPr>
            <w:tcW w:w="204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Proposed Incentive ($)</w:t>
            </w:r>
          </w:p>
        </w:tc>
      </w:tr>
      <w:tr w:rsidR="007945F6" w:rsidRPr="007945F6" w:rsidTr="00E53247">
        <w:trPr>
          <w:trHeight w:val="255"/>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r w:rsidRPr="007945F6">
              <w:rPr>
                <w:rFonts w:ascii="Arial Narrow" w:hAnsi="Arial Narrow" w:cs="Arial"/>
                <w:sz w:val="24"/>
                <w:szCs w:val="24"/>
              </w:rPr>
              <w:t>Electric to gas HW conversion</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12</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$1,205</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$500</w:t>
            </w:r>
          </w:p>
        </w:tc>
      </w:tr>
      <w:tr w:rsidR="007945F6" w:rsidRPr="007945F6" w:rsidTr="00E53247">
        <w:trPr>
          <w:trHeight w:val="255"/>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smartTag w:uri="urn:schemas-microsoft-com:office:smarttags" w:element="place">
              <w:r w:rsidRPr="007945F6">
                <w:rPr>
                  <w:rFonts w:ascii="Arial Narrow" w:hAnsi="Arial Narrow" w:cs="Arial"/>
                  <w:sz w:val="24"/>
                  <w:szCs w:val="24"/>
                </w:rPr>
                <w:t>CHU</w:t>
              </w:r>
            </w:smartTag>
            <w:r w:rsidRPr="007945F6">
              <w:rPr>
                <w:rFonts w:ascii="Arial Narrow" w:hAnsi="Arial Narrow" w:cs="Arial"/>
                <w:sz w:val="24"/>
                <w:szCs w:val="24"/>
              </w:rPr>
              <w:t xml:space="preserve"> added</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29</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954C65">
            <w:pPr>
              <w:spacing w:before="60" w:after="60" w:line="240" w:lineRule="auto"/>
              <w:jc w:val="center"/>
              <w:rPr>
                <w:rFonts w:ascii="Arial Narrow" w:hAnsi="Arial Narrow" w:cs="Arial"/>
                <w:sz w:val="24"/>
                <w:szCs w:val="24"/>
              </w:rPr>
            </w:pPr>
            <w:r w:rsidRPr="007945F6">
              <w:rPr>
                <w:rFonts w:ascii="Arial Narrow" w:hAnsi="Arial Narrow" w:cs="Arial"/>
                <w:sz w:val="24"/>
                <w:szCs w:val="24"/>
              </w:rPr>
              <w:t>$1,</w:t>
            </w:r>
            <w:r w:rsidR="00954C65">
              <w:rPr>
                <w:rFonts w:ascii="Arial Narrow" w:hAnsi="Arial Narrow" w:cs="Arial"/>
                <w:sz w:val="24"/>
                <w:szCs w:val="24"/>
              </w:rPr>
              <w:t>50</w:t>
            </w:r>
            <w:r w:rsidRPr="007945F6">
              <w:rPr>
                <w:rFonts w:ascii="Arial Narrow" w:hAnsi="Arial Narrow" w:cs="Arial"/>
                <w:sz w:val="24"/>
                <w:szCs w:val="24"/>
              </w:rPr>
              <w:t>8</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$750</w:t>
            </w:r>
          </w:p>
        </w:tc>
      </w:tr>
      <w:tr w:rsidR="007945F6" w:rsidRPr="007945F6" w:rsidTr="00E53247">
        <w:trPr>
          <w:trHeight w:val="270"/>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r w:rsidRPr="007945F6">
              <w:rPr>
                <w:rFonts w:ascii="Arial Narrow" w:hAnsi="Arial Narrow" w:cs="Arial"/>
                <w:sz w:val="24"/>
                <w:szCs w:val="24"/>
              </w:rPr>
              <w:t>Gas Fired A/C added</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47</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954C65" w:rsidP="00830E5A">
            <w:pPr>
              <w:spacing w:before="60" w:after="60" w:line="240" w:lineRule="auto"/>
              <w:jc w:val="center"/>
              <w:rPr>
                <w:rFonts w:ascii="Arial Narrow" w:hAnsi="Arial Narrow" w:cs="Arial"/>
                <w:sz w:val="24"/>
                <w:szCs w:val="24"/>
              </w:rPr>
            </w:pPr>
            <w:r>
              <w:rPr>
                <w:rFonts w:ascii="Arial Narrow" w:hAnsi="Arial Narrow" w:cs="Arial"/>
                <w:sz w:val="24"/>
                <w:szCs w:val="24"/>
              </w:rPr>
              <w:t>$2,344</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$2,000</w:t>
            </w:r>
          </w:p>
        </w:tc>
      </w:tr>
      <w:tr w:rsidR="007945F6" w:rsidRPr="007945F6" w:rsidTr="00E53247">
        <w:trPr>
          <w:trHeight w:val="270"/>
        </w:trPr>
        <w:tc>
          <w:tcPr>
            <w:tcW w:w="3061" w:type="dxa"/>
            <w:tcBorders>
              <w:top w:val="single" w:sz="4" w:space="0" w:color="548DD4"/>
              <w:left w:val="nil"/>
              <w:bottom w:val="single" w:sz="4" w:space="0" w:color="548DD4"/>
              <w:right w:val="nil"/>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p>
        </w:tc>
        <w:tc>
          <w:tcPr>
            <w:tcW w:w="2346" w:type="dxa"/>
            <w:tcBorders>
              <w:top w:val="single" w:sz="4" w:space="0" w:color="548DD4"/>
              <w:left w:val="nil"/>
              <w:bottom w:val="single" w:sz="4" w:space="0" w:color="548DD4"/>
              <w:right w:val="nil"/>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p>
        </w:tc>
        <w:tc>
          <w:tcPr>
            <w:tcW w:w="1361" w:type="dxa"/>
            <w:tcBorders>
              <w:top w:val="single" w:sz="4" w:space="0" w:color="548DD4"/>
              <w:left w:val="nil"/>
              <w:bottom w:val="single" w:sz="4" w:space="0" w:color="548DD4"/>
              <w:right w:val="nil"/>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p>
        </w:tc>
        <w:tc>
          <w:tcPr>
            <w:tcW w:w="2041" w:type="dxa"/>
            <w:tcBorders>
              <w:top w:val="single" w:sz="4" w:space="0" w:color="548DD4"/>
              <w:left w:val="nil"/>
              <w:bottom w:val="single" w:sz="4" w:space="0" w:color="548DD4"/>
              <w:right w:val="nil"/>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p>
        </w:tc>
      </w:tr>
      <w:tr w:rsidR="007945F6" w:rsidRPr="007945F6" w:rsidTr="00E53247">
        <w:trPr>
          <w:trHeight w:val="907"/>
        </w:trPr>
        <w:tc>
          <w:tcPr>
            <w:tcW w:w="3061" w:type="dxa"/>
            <w:tcBorders>
              <w:top w:val="single" w:sz="4" w:space="0" w:color="548DD4"/>
              <w:left w:val="single" w:sz="4" w:space="0" w:color="548DD4"/>
              <w:bottom w:val="single" w:sz="4" w:space="0" w:color="548DD4"/>
              <w:right w:val="single" w:sz="4" w:space="0" w:color="548DD4"/>
            </w:tcBorders>
            <w:shd w:val="clear" w:color="auto" w:fill="548DD4"/>
            <w:noWrap/>
            <w:vAlign w:val="center"/>
          </w:tcPr>
          <w:p w:rsidR="007945F6" w:rsidRPr="007945F6" w:rsidRDefault="007945F6" w:rsidP="00830E5A">
            <w:pPr>
              <w:spacing w:before="60" w:after="60" w:line="240" w:lineRule="auto"/>
              <w:rPr>
                <w:rFonts w:ascii="Arial Narrow" w:hAnsi="Arial Narrow" w:cs="Arial"/>
                <w:b/>
                <w:color w:val="FFFFFF"/>
                <w:sz w:val="24"/>
                <w:szCs w:val="24"/>
              </w:rPr>
            </w:pPr>
            <w:r w:rsidRPr="007945F6">
              <w:rPr>
                <w:rFonts w:ascii="Arial Narrow" w:hAnsi="Arial Narrow" w:cs="Arial"/>
                <w:b/>
                <w:bCs/>
                <w:color w:val="FFFFFF"/>
                <w:sz w:val="24"/>
                <w:szCs w:val="24"/>
              </w:rPr>
              <w:t>B - New Homes</w:t>
            </w:r>
          </w:p>
        </w:tc>
        <w:tc>
          <w:tcPr>
            <w:tcW w:w="2346"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Incremental Load (GJ/customer)</w:t>
            </w:r>
          </w:p>
        </w:tc>
        <w:tc>
          <w:tcPr>
            <w:tcW w:w="136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NPV @ 10%</w:t>
            </w:r>
          </w:p>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(15 years)</w:t>
            </w:r>
          </w:p>
        </w:tc>
        <w:tc>
          <w:tcPr>
            <w:tcW w:w="2041" w:type="dxa"/>
            <w:tcBorders>
              <w:top w:val="single" w:sz="4" w:space="0" w:color="548DD4"/>
              <w:left w:val="single" w:sz="4" w:space="0" w:color="548DD4"/>
              <w:bottom w:val="single" w:sz="4" w:space="0" w:color="548DD4"/>
              <w:right w:val="single" w:sz="4" w:space="0" w:color="548DD4"/>
            </w:tcBorders>
            <w:shd w:val="clear" w:color="auto" w:fill="548DD4"/>
            <w:vAlign w:val="center"/>
          </w:tcPr>
          <w:p w:rsidR="007945F6" w:rsidRPr="007945F6" w:rsidRDefault="007945F6" w:rsidP="00830E5A">
            <w:pPr>
              <w:spacing w:before="60" w:after="60" w:line="240" w:lineRule="auto"/>
              <w:jc w:val="center"/>
              <w:rPr>
                <w:rFonts w:ascii="Arial Narrow" w:hAnsi="Arial Narrow" w:cs="Arial"/>
                <w:b/>
                <w:color w:val="FFFFFF"/>
                <w:sz w:val="24"/>
                <w:szCs w:val="24"/>
              </w:rPr>
            </w:pPr>
            <w:r w:rsidRPr="007945F6">
              <w:rPr>
                <w:rFonts w:ascii="Arial Narrow" w:hAnsi="Arial Narrow" w:cs="Arial"/>
                <w:b/>
                <w:color w:val="FFFFFF"/>
                <w:sz w:val="24"/>
                <w:szCs w:val="24"/>
              </w:rPr>
              <w:t>NPV @ 10%</w:t>
            </w:r>
          </w:p>
        </w:tc>
      </w:tr>
      <w:tr w:rsidR="007945F6" w:rsidRPr="007945F6" w:rsidTr="00E53247">
        <w:trPr>
          <w:trHeight w:val="255"/>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r w:rsidRPr="007945F6">
              <w:rPr>
                <w:rFonts w:ascii="Arial Narrow" w:hAnsi="Arial Narrow" w:cs="Arial"/>
                <w:sz w:val="24"/>
                <w:szCs w:val="24"/>
              </w:rPr>
              <w:t>Gas HW only</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12</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954C65">
            <w:pPr>
              <w:spacing w:before="60" w:after="60" w:line="240" w:lineRule="auto"/>
              <w:jc w:val="center"/>
              <w:rPr>
                <w:rFonts w:ascii="Arial Narrow" w:hAnsi="Arial Narrow" w:cs="Arial"/>
                <w:sz w:val="24"/>
                <w:szCs w:val="24"/>
              </w:rPr>
            </w:pPr>
            <w:r w:rsidRPr="007945F6">
              <w:rPr>
                <w:rFonts w:ascii="Arial Narrow" w:hAnsi="Arial Narrow" w:cs="Arial"/>
                <w:sz w:val="24"/>
                <w:szCs w:val="24"/>
              </w:rPr>
              <w:t>$</w:t>
            </w:r>
            <w:r w:rsidR="00954C65">
              <w:rPr>
                <w:rFonts w:ascii="Arial Narrow" w:hAnsi="Arial Narrow" w:cs="Arial"/>
                <w:sz w:val="24"/>
                <w:szCs w:val="24"/>
              </w:rPr>
              <w:t>751</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$500</w:t>
            </w:r>
          </w:p>
        </w:tc>
      </w:tr>
      <w:tr w:rsidR="007945F6" w:rsidRPr="007945F6" w:rsidTr="00E53247">
        <w:trPr>
          <w:trHeight w:val="255"/>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smartTag w:uri="urn:schemas-microsoft-com:office:smarttags" w:element="place">
              <w:r w:rsidRPr="007945F6">
                <w:rPr>
                  <w:rFonts w:ascii="Arial Narrow" w:hAnsi="Arial Narrow" w:cs="Arial"/>
                  <w:sz w:val="24"/>
                  <w:szCs w:val="24"/>
                </w:rPr>
                <w:t>CHU</w:t>
              </w:r>
            </w:smartTag>
            <w:r w:rsidRPr="007945F6">
              <w:rPr>
                <w:rFonts w:ascii="Arial Narrow" w:hAnsi="Arial Narrow" w:cs="Arial"/>
                <w:sz w:val="24"/>
                <w:szCs w:val="24"/>
              </w:rPr>
              <w:t xml:space="preserve"> only</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29</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954C65" w:rsidP="00954C65">
            <w:pPr>
              <w:spacing w:before="60" w:after="60" w:line="240" w:lineRule="auto"/>
              <w:jc w:val="center"/>
              <w:rPr>
                <w:rFonts w:ascii="Arial Narrow" w:hAnsi="Arial Narrow" w:cs="Arial"/>
                <w:sz w:val="24"/>
                <w:szCs w:val="24"/>
              </w:rPr>
            </w:pPr>
            <w:r>
              <w:rPr>
                <w:rFonts w:ascii="Arial Narrow" w:hAnsi="Arial Narrow" w:cs="Arial"/>
                <w:sz w:val="24"/>
                <w:szCs w:val="24"/>
              </w:rPr>
              <w:t>$1,864</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$750</w:t>
            </w:r>
          </w:p>
        </w:tc>
      </w:tr>
      <w:tr w:rsidR="007945F6" w:rsidRPr="007945F6" w:rsidTr="00E53247">
        <w:trPr>
          <w:trHeight w:val="270"/>
        </w:trPr>
        <w:tc>
          <w:tcPr>
            <w:tcW w:w="30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rPr>
                <w:rFonts w:ascii="Arial Narrow" w:hAnsi="Arial Narrow" w:cs="Arial"/>
                <w:sz w:val="24"/>
                <w:szCs w:val="24"/>
              </w:rPr>
            </w:pPr>
            <w:r w:rsidRPr="007945F6">
              <w:rPr>
                <w:rFonts w:ascii="Arial Narrow" w:hAnsi="Arial Narrow" w:cs="Arial"/>
                <w:sz w:val="24"/>
                <w:szCs w:val="24"/>
              </w:rPr>
              <w:t>Gas Fired A/C only</w:t>
            </w:r>
          </w:p>
        </w:tc>
        <w:tc>
          <w:tcPr>
            <w:tcW w:w="2346"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47</w:t>
            </w:r>
          </w:p>
        </w:tc>
        <w:tc>
          <w:tcPr>
            <w:tcW w:w="136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954C65" w:rsidP="00830E5A">
            <w:pPr>
              <w:spacing w:before="60" w:after="60" w:line="240" w:lineRule="auto"/>
              <w:jc w:val="center"/>
              <w:rPr>
                <w:rFonts w:ascii="Arial Narrow" w:hAnsi="Arial Narrow" w:cs="Arial"/>
                <w:sz w:val="24"/>
                <w:szCs w:val="24"/>
              </w:rPr>
            </w:pPr>
            <w:r>
              <w:rPr>
                <w:rFonts w:ascii="Arial Narrow" w:hAnsi="Arial Narrow" w:cs="Arial"/>
                <w:sz w:val="24"/>
                <w:szCs w:val="24"/>
              </w:rPr>
              <w:t>$2,700</w:t>
            </w:r>
          </w:p>
        </w:tc>
        <w:tc>
          <w:tcPr>
            <w:tcW w:w="2041" w:type="dxa"/>
            <w:tcBorders>
              <w:top w:val="single" w:sz="4" w:space="0" w:color="548DD4"/>
              <w:left w:val="single" w:sz="4" w:space="0" w:color="548DD4"/>
              <w:bottom w:val="single" w:sz="4" w:space="0" w:color="548DD4"/>
              <w:right w:val="single" w:sz="4" w:space="0" w:color="548DD4"/>
            </w:tcBorders>
            <w:shd w:val="clear" w:color="auto" w:fill="auto"/>
            <w:noWrap/>
            <w:vAlign w:val="center"/>
          </w:tcPr>
          <w:p w:rsidR="007945F6" w:rsidRPr="007945F6" w:rsidRDefault="007945F6" w:rsidP="00830E5A">
            <w:pPr>
              <w:spacing w:before="60" w:after="60" w:line="240" w:lineRule="auto"/>
              <w:jc w:val="center"/>
              <w:rPr>
                <w:rFonts w:ascii="Arial Narrow" w:hAnsi="Arial Narrow" w:cs="Arial"/>
                <w:sz w:val="24"/>
                <w:szCs w:val="24"/>
              </w:rPr>
            </w:pPr>
            <w:r w:rsidRPr="007945F6">
              <w:rPr>
                <w:rFonts w:ascii="Arial Narrow" w:hAnsi="Arial Narrow" w:cs="Arial"/>
                <w:sz w:val="24"/>
                <w:szCs w:val="24"/>
              </w:rPr>
              <w:t>$2,000</w:t>
            </w:r>
          </w:p>
        </w:tc>
      </w:tr>
    </w:tbl>
    <w:p w:rsidR="007945F6" w:rsidRPr="007945F6" w:rsidRDefault="007945F6" w:rsidP="000C2FAE">
      <w:pPr>
        <w:spacing w:after="0" w:line="240" w:lineRule="auto"/>
        <w:ind w:left="426" w:right="-2"/>
        <w:jc w:val="both"/>
        <w:rPr>
          <w:rFonts w:ascii="Arial Narrow" w:hAnsi="Arial Narrow" w:cs="Arial"/>
          <w:sz w:val="24"/>
          <w:szCs w:val="24"/>
        </w:rPr>
      </w:pPr>
    </w:p>
    <w:p w:rsidR="007945F6" w:rsidRPr="007945F6" w:rsidRDefault="007945F6" w:rsidP="00A43EDA">
      <w:pPr>
        <w:spacing w:after="0" w:line="240" w:lineRule="auto"/>
        <w:ind w:right="-2"/>
        <w:jc w:val="both"/>
        <w:rPr>
          <w:rFonts w:ascii="Arial Narrow" w:hAnsi="Arial Narrow" w:cs="Arial"/>
          <w:sz w:val="24"/>
          <w:szCs w:val="24"/>
        </w:rPr>
      </w:pPr>
      <w:r w:rsidRPr="007945F6">
        <w:rPr>
          <w:rFonts w:ascii="Arial Narrow" w:hAnsi="Arial Narrow" w:cs="Arial"/>
          <w:sz w:val="24"/>
          <w:szCs w:val="24"/>
        </w:rPr>
        <w:t>This analysis demonstrates that the level of incentive proposed is prudent.  The net present value of the incremental revenue for each activity is positive, and exceeds the cost of the proposed incentives.  To the extent that net present value of the incremental revenue exceeds the cost of incentive, the network is better off.  Assuming everything else remains constant, a positive net present value to the network will translate directly in to lower tariffs for consumers at the time of the next Access Arrangement because the value of the additional volume of gas used is greater than the cost of the incentive.  Thus the level of incentive proposed by Envestra is set at a rate that will increase economic welfare, and is in the long term interests of customers.</w:t>
      </w:r>
    </w:p>
    <w:p w:rsidR="007945F6" w:rsidRPr="007945F6" w:rsidRDefault="007945F6" w:rsidP="00A43EDA">
      <w:pPr>
        <w:spacing w:after="0" w:line="240" w:lineRule="auto"/>
        <w:ind w:right="-2"/>
        <w:rPr>
          <w:rFonts w:ascii="Arial Narrow" w:hAnsi="Arial Narrow" w:cs="Arial"/>
          <w:sz w:val="24"/>
          <w:szCs w:val="24"/>
        </w:rPr>
      </w:pPr>
    </w:p>
    <w:p w:rsidR="007945F6" w:rsidRPr="007945F6" w:rsidRDefault="007945F6" w:rsidP="00A43EDA">
      <w:pPr>
        <w:spacing w:after="0" w:line="240" w:lineRule="auto"/>
        <w:ind w:right="-2"/>
        <w:jc w:val="both"/>
        <w:rPr>
          <w:rFonts w:ascii="Arial Narrow" w:hAnsi="Arial Narrow" w:cs="Arial"/>
          <w:sz w:val="24"/>
          <w:szCs w:val="24"/>
        </w:rPr>
      </w:pPr>
      <w:r w:rsidRPr="007945F6">
        <w:rPr>
          <w:rFonts w:ascii="Arial Narrow" w:hAnsi="Arial Narrow" w:cs="Arial"/>
          <w:sz w:val="24"/>
          <w:szCs w:val="24"/>
        </w:rPr>
        <w:t xml:space="preserve">The only remaining question is whether the incentive payment is too high.  That is could Envestra achieve the same result using a lower incentive payment?  Envestra is incentivised through the regulatory regime to minimise the amount of incentive offered and to maximise the benefit from the available funds. The properties embodied in the regulatory framework, whereby the regulator provides a fixed allowance for incentive payments, and provides the opportunity for the business to increase the number of connections above those forecast, keeping the benefits of additional consumption until the next Access Arrangement Review, provides a powerful incentive for the business to ensure that the incentive is offered at an economically efficient level. Envestra </w:t>
      </w:r>
      <w:r w:rsidRPr="007945F6">
        <w:rPr>
          <w:rFonts w:ascii="Arial Narrow" w:hAnsi="Arial Narrow" w:cs="Arial"/>
          <w:sz w:val="24"/>
          <w:szCs w:val="24"/>
        </w:rPr>
        <w:lastRenderedPageBreak/>
        <w:t xml:space="preserve">undertakes post implementation reviews of marketing programs to maximise their effectiveness.  In the past, this review has resulted in changes to the level of incentives provided to improve outcomes.  This should provide comfort to the AER that Envestra will not offer excessive or economically inefficient incentive payments.   </w:t>
      </w:r>
    </w:p>
    <w:p w:rsidR="007945F6" w:rsidRPr="007945F6" w:rsidRDefault="007945F6" w:rsidP="00AB30D6">
      <w:pPr>
        <w:spacing w:after="0" w:line="240" w:lineRule="auto"/>
        <w:ind w:right="-2"/>
        <w:jc w:val="both"/>
        <w:rPr>
          <w:rFonts w:ascii="Arial Narrow" w:hAnsi="Arial Narrow" w:cs="Arial"/>
          <w:sz w:val="24"/>
          <w:szCs w:val="24"/>
        </w:rPr>
      </w:pPr>
      <w:r w:rsidRPr="007945F6">
        <w:rPr>
          <w:rFonts w:ascii="Arial Narrow" w:hAnsi="Arial Narrow" w:cs="Arial"/>
          <w:sz w:val="24"/>
          <w:szCs w:val="24"/>
        </w:rPr>
        <w:t>Nonetheless, assessing the level of incentive required is not an exact science, but rather a matter for judgement taking into account available facts. Envestra has set the level of incentives taking into consideration the experience gained through experimenting with incentive arrangements since 2004.  It is known that:</w:t>
      </w:r>
    </w:p>
    <w:p w:rsidR="007945F6" w:rsidRPr="007945F6" w:rsidRDefault="007945F6" w:rsidP="000C2FAE">
      <w:pPr>
        <w:spacing w:after="0" w:line="240" w:lineRule="auto"/>
        <w:ind w:right="565"/>
        <w:jc w:val="both"/>
        <w:rPr>
          <w:rFonts w:ascii="Arial Narrow" w:hAnsi="Arial Narrow" w:cs="Arial"/>
          <w:i/>
          <w:sz w:val="24"/>
          <w:szCs w:val="24"/>
        </w:rPr>
      </w:pPr>
    </w:p>
    <w:p w:rsidR="007945F6" w:rsidRPr="007945F6" w:rsidRDefault="007945F6" w:rsidP="00DE0E00">
      <w:pPr>
        <w:numPr>
          <w:ilvl w:val="0"/>
          <w:numId w:val="21"/>
        </w:numPr>
        <w:tabs>
          <w:tab w:val="clear" w:pos="720"/>
          <w:tab w:val="num" w:pos="426"/>
        </w:tabs>
        <w:spacing w:after="0" w:line="240" w:lineRule="auto"/>
        <w:ind w:left="426" w:right="-2" w:hanging="426"/>
        <w:jc w:val="both"/>
        <w:rPr>
          <w:rFonts w:ascii="Arial Narrow" w:hAnsi="Arial Narrow" w:cs="Arial"/>
          <w:sz w:val="24"/>
          <w:szCs w:val="24"/>
        </w:rPr>
      </w:pPr>
      <w:r w:rsidRPr="007945F6">
        <w:rPr>
          <w:rFonts w:ascii="Arial Narrow" w:hAnsi="Arial Narrow" w:cs="Arial"/>
          <w:sz w:val="24"/>
          <w:szCs w:val="24"/>
        </w:rPr>
        <w:t>An incentive of $500 for the conversion of electric to gas hot water systems and $750 for a central heater have been found to be effective in achieving the desired results in South Australia.  Since 2004, Envestra has experimented with various levels of incentives varying from $80 to $500 for hot water and $300 to $750 for heating.  The current recommendations of $500 for hot water and $750 for heating takes into account this experience.</w:t>
      </w:r>
    </w:p>
    <w:p w:rsidR="007945F6" w:rsidRPr="007945F6" w:rsidRDefault="007945F6" w:rsidP="00DE0E00">
      <w:pPr>
        <w:numPr>
          <w:ilvl w:val="0"/>
          <w:numId w:val="21"/>
        </w:numPr>
        <w:tabs>
          <w:tab w:val="clear" w:pos="720"/>
          <w:tab w:val="num" w:pos="426"/>
        </w:tabs>
        <w:spacing w:after="0" w:line="240" w:lineRule="auto"/>
        <w:ind w:left="426" w:right="-2" w:hanging="426"/>
        <w:jc w:val="both"/>
        <w:rPr>
          <w:rFonts w:ascii="Arial Narrow" w:hAnsi="Arial Narrow" w:cs="Arial"/>
          <w:sz w:val="24"/>
          <w:szCs w:val="24"/>
        </w:rPr>
      </w:pPr>
      <w:r w:rsidRPr="007945F6">
        <w:rPr>
          <w:rFonts w:ascii="Arial Narrow" w:hAnsi="Arial Narrow" w:cs="Arial"/>
          <w:sz w:val="24"/>
          <w:szCs w:val="24"/>
        </w:rPr>
        <w:t>Past experience has shown that the amount of rebate needs to be material.  A rebate of $100 or $200 is insufficient to affect the consumer’s decision.</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Based on the above, it is judged that an incentive of $500 for hot water is set at or on appropriate level to achieve the desired outcomes.  The proposed rebate of $750 for gas heating has also been demonstrated to be necessary to achieve the required outcomes.  PwC confirm that the incentive payments are prudent, economically efficient and consistent with good industry practice (Attachment 6-14, p.26).</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The level of incentive of $2,000 per air conditioner has been set on the basis of the NPV analysis above.  While there is no actual data available on the impact of the incentive rate or the uptake of gas air conditioners, the analysis demonstrates that an incentive payment of $2,000 would provide net benefits to customers installing the appliances.  There would also be a commensurate benefit to all customers on the network equivalent to the difference between the cost of the incentive and the NPV, which would be reflected in lower tariffs.  PwC confirm that the proposal incentive payment is prudent (p.3</w:t>
      </w:r>
      <w:r w:rsidR="00CD4CD5">
        <w:rPr>
          <w:rFonts w:ascii="Arial Narrow" w:hAnsi="Arial Narrow" w:cs="Arial"/>
          <w:sz w:val="24"/>
          <w:szCs w:val="24"/>
        </w:rPr>
        <w:t>8</w:t>
      </w:r>
      <w:r w:rsidRPr="007945F6">
        <w:rPr>
          <w:rFonts w:ascii="Arial Narrow" w:hAnsi="Arial Narrow" w:cs="Arial"/>
          <w:sz w:val="24"/>
          <w:szCs w:val="24"/>
        </w:rPr>
        <w:t>).</w:t>
      </w:r>
    </w:p>
    <w:p w:rsidR="00201C54" w:rsidRPr="007945F6" w:rsidRDefault="00201C54" w:rsidP="000C2FAE">
      <w:pPr>
        <w:spacing w:after="0" w:line="240" w:lineRule="auto"/>
        <w:jc w:val="both"/>
        <w:rPr>
          <w:rFonts w:ascii="Arial Narrow" w:hAnsi="Arial Narrow" w:cs="Arial"/>
          <w:i/>
          <w:sz w:val="24"/>
          <w:szCs w:val="24"/>
        </w:rPr>
      </w:pPr>
    </w:p>
    <w:p w:rsidR="007945F6" w:rsidRPr="008E12D0" w:rsidRDefault="007945F6" w:rsidP="005A56C2">
      <w:pPr>
        <w:pStyle w:val="Heading2"/>
      </w:pPr>
      <w:r w:rsidRPr="008E12D0">
        <w:t>Website and IT management</w:t>
      </w:r>
    </w:p>
    <w:p w:rsidR="007945F6" w:rsidRPr="007945F6" w:rsidRDefault="007945F6" w:rsidP="000C2FAE">
      <w:pPr>
        <w:spacing w:after="0" w:line="240" w:lineRule="auto"/>
        <w:jc w:val="both"/>
        <w:rPr>
          <w:rFonts w:ascii="Arial Narrow" w:hAnsi="Arial Narrow"/>
          <w:sz w:val="24"/>
          <w:szCs w:val="24"/>
        </w:rPr>
      </w:pPr>
    </w:p>
    <w:p w:rsidR="007945F6" w:rsidRPr="007945F6" w:rsidRDefault="008E12D0" w:rsidP="008E12D0">
      <w:pPr>
        <w:tabs>
          <w:tab w:val="left" w:pos="540"/>
        </w:tabs>
        <w:spacing w:after="0" w:line="240" w:lineRule="auto"/>
        <w:ind w:left="709" w:hanging="709"/>
        <w:jc w:val="both"/>
        <w:rPr>
          <w:rFonts w:ascii="Arial Narrow" w:hAnsi="Arial Narrow"/>
          <w:b/>
          <w:sz w:val="24"/>
          <w:szCs w:val="24"/>
        </w:rPr>
      </w:pPr>
      <w:r>
        <w:rPr>
          <w:rFonts w:ascii="Arial Narrow" w:hAnsi="Arial Narrow"/>
          <w:b/>
          <w:sz w:val="24"/>
          <w:szCs w:val="24"/>
        </w:rPr>
        <w:t>3.3.1</w:t>
      </w:r>
      <w:r>
        <w:rPr>
          <w:rFonts w:ascii="Arial Narrow" w:hAnsi="Arial Narrow"/>
          <w:b/>
          <w:sz w:val="24"/>
          <w:szCs w:val="24"/>
        </w:rPr>
        <w:tab/>
      </w:r>
      <w:r w:rsidR="007945F6" w:rsidRPr="007945F6">
        <w:rPr>
          <w:rFonts w:ascii="Arial Narrow" w:hAnsi="Arial Narrow"/>
          <w:b/>
          <w:sz w:val="24"/>
          <w:szCs w:val="24"/>
        </w:rPr>
        <w:t>AER Draft Decision</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Envestra proposed  $0.6 million ($2009-10) in total over the access arrangement period to develop a website to provide a range of information, including: promotion of natural gas; informing customers on how to connect and arrange for appliance installation; facilitating new connections or upgrades and, collating market research information.</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While in general, such programs may have some merit, the AER considers that Envestra has not submitted sufficient information to indicate if the website is to be in addition to </w:t>
      </w:r>
      <w:proofErr w:type="spellStart"/>
      <w:r w:rsidRPr="007945F6">
        <w:rPr>
          <w:rFonts w:ascii="Arial Narrow" w:hAnsi="Arial Narrow"/>
          <w:sz w:val="24"/>
          <w:szCs w:val="24"/>
        </w:rPr>
        <w:t>Envestra’s</w:t>
      </w:r>
      <w:proofErr w:type="spellEnd"/>
      <w:r w:rsidRPr="007945F6">
        <w:rPr>
          <w:rFonts w:ascii="Arial Narrow" w:hAnsi="Arial Narrow"/>
          <w:sz w:val="24"/>
          <w:szCs w:val="24"/>
        </w:rPr>
        <w:t xml:space="preserve"> current website, and if so, why the proposed features cannot be accommodated in its current website.  Further, the AER is concerned that expenditure on website development for the purpose of market development could be double counting on other information technology related costs that are already included in </w:t>
      </w:r>
      <w:proofErr w:type="spellStart"/>
      <w:r w:rsidRPr="007945F6">
        <w:rPr>
          <w:rFonts w:ascii="Arial Narrow" w:hAnsi="Arial Narrow"/>
          <w:sz w:val="24"/>
          <w:szCs w:val="24"/>
        </w:rPr>
        <w:t>Envestra’s</w:t>
      </w:r>
      <w:proofErr w:type="spellEnd"/>
      <w:r w:rsidRPr="007945F6">
        <w:rPr>
          <w:rFonts w:ascii="Arial Narrow" w:hAnsi="Arial Narrow"/>
          <w:sz w:val="24"/>
          <w:szCs w:val="24"/>
        </w:rPr>
        <w:t xml:space="preserve"> base year costs.  A case has not been set out as to how the proposed expenditures differ and are in addition to those in the base year, and that those in the base year would still be required.  As such, the AER considers that the proposed expenditure for website and IT management is neither prudent nor efficient as required under r. 91 of the NGR.</w:t>
      </w:r>
    </w:p>
    <w:p w:rsidR="007945F6" w:rsidRPr="007945F6" w:rsidRDefault="007945F6" w:rsidP="000C2FAE">
      <w:pPr>
        <w:spacing w:after="0" w:line="240" w:lineRule="auto"/>
        <w:jc w:val="both"/>
        <w:rPr>
          <w:rFonts w:ascii="Arial Narrow" w:hAnsi="Arial Narrow"/>
          <w:sz w:val="24"/>
          <w:szCs w:val="24"/>
        </w:rPr>
      </w:pPr>
    </w:p>
    <w:p w:rsidR="007945F6" w:rsidRPr="007945F6" w:rsidRDefault="005A56C2" w:rsidP="005A56C2">
      <w:pPr>
        <w:tabs>
          <w:tab w:val="left" w:pos="540"/>
        </w:tabs>
        <w:spacing w:after="0" w:line="240" w:lineRule="auto"/>
        <w:jc w:val="both"/>
        <w:rPr>
          <w:rFonts w:ascii="Arial Narrow" w:hAnsi="Arial Narrow" w:cs="Arial"/>
          <w:sz w:val="24"/>
          <w:szCs w:val="24"/>
        </w:rPr>
      </w:pPr>
      <w:r>
        <w:rPr>
          <w:rFonts w:ascii="Arial Narrow" w:hAnsi="Arial Narrow" w:cs="Arial"/>
          <w:b/>
          <w:sz w:val="24"/>
          <w:szCs w:val="24"/>
        </w:rPr>
        <w:t>3.3.2</w:t>
      </w:r>
      <w:r>
        <w:rPr>
          <w:rFonts w:ascii="Arial Narrow" w:hAnsi="Arial Narrow" w:cs="Arial"/>
          <w:b/>
          <w:sz w:val="24"/>
          <w:szCs w:val="24"/>
        </w:rPr>
        <w:tab/>
      </w:r>
      <w:r w:rsidR="007945F6" w:rsidRPr="007945F6">
        <w:rPr>
          <w:rFonts w:ascii="Arial Narrow" w:hAnsi="Arial Narrow" w:cs="Arial"/>
          <w:b/>
          <w:sz w:val="24"/>
          <w:szCs w:val="24"/>
        </w:rPr>
        <w:t>Envestra Response:</w:t>
      </w:r>
      <w:r w:rsidR="007945F6" w:rsidRPr="007945F6">
        <w:rPr>
          <w:rFonts w:ascii="Arial Narrow" w:hAnsi="Arial Narrow" w:cs="Arial"/>
          <w:sz w:val="24"/>
          <w:szCs w:val="24"/>
        </w:rPr>
        <w:t xml:space="preserve"> </w:t>
      </w:r>
    </w:p>
    <w:p w:rsidR="007945F6" w:rsidRPr="007945F6" w:rsidRDefault="007945F6" w:rsidP="000C2FAE">
      <w:pPr>
        <w:spacing w:after="0" w:line="240" w:lineRule="auto"/>
        <w:jc w:val="both"/>
        <w:rPr>
          <w:rFonts w:ascii="Arial Narrow" w:hAnsi="Arial Narrow" w:cs="Arial"/>
          <w:i/>
          <w:sz w:val="24"/>
          <w:szCs w:val="24"/>
        </w:rPr>
      </w:pPr>
    </w:p>
    <w:p w:rsidR="007945F6" w:rsidRPr="007945F6" w:rsidRDefault="007945F6" w:rsidP="000C2FAE">
      <w:pPr>
        <w:spacing w:after="0" w:line="240" w:lineRule="auto"/>
        <w:jc w:val="both"/>
        <w:rPr>
          <w:rFonts w:ascii="Arial Narrow" w:hAnsi="Arial Narrow" w:cs="Arial"/>
          <w:sz w:val="24"/>
          <w:szCs w:val="24"/>
        </w:rPr>
      </w:pPr>
      <w:proofErr w:type="spellStart"/>
      <w:r w:rsidRPr="007945F6">
        <w:rPr>
          <w:rFonts w:ascii="Arial Narrow" w:hAnsi="Arial Narrow" w:cs="Arial"/>
          <w:sz w:val="24"/>
          <w:szCs w:val="24"/>
        </w:rPr>
        <w:lastRenderedPageBreak/>
        <w:t>Envestra’s</w:t>
      </w:r>
      <w:proofErr w:type="spellEnd"/>
      <w:r w:rsidRPr="007945F6">
        <w:rPr>
          <w:rFonts w:ascii="Arial Narrow" w:hAnsi="Arial Narrow" w:cs="Arial"/>
          <w:sz w:val="24"/>
          <w:szCs w:val="24"/>
        </w:rPr>
        <w:t xml:space="preserve"> Natural Gas Website (</w:t>
      </w:r>
      <w:hyperlink r:id="rId9" w:history="1">
        <w:r w:rsidRPr="007945F6">
          <w:rPr>
            <w:rStyle w:val="Hyperlink"/>
            <w:rFonts w:ascii="Arial Narrow" w:hAnsi="Arial Narrow" w:cs="Arial"/>
            <w:sz w:val="24"/>
            <w:szCs w:val="24"/>
          </w:rPr>
          <w:t>www.natural-gas.com.au</w:t>
        </w:r>
      </w:hyperlink>
      <w:r w:rsidRPr="007945F6">
        <w:rPr>
          <w:rFonts w:ascii="Arial Narrow" w:hAnsi="Arial Narrow" w:cs="Arial"/>
          <w:sz w:val="24"/>
          <w:szCs w:val="24"/>
        </w:rPr>
        <w:t>) is a separate web-site to the corporate site.  The natural gas web site has not been updated in any material way over the last 5 years, and there has been no material expenditure on the website in the current Access Arrangement Period.  This confirms that the proposed expenditure is additional to base year (2010) expenditures.</w:t>
      </w: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The Natural Gas Website is currently out of date and urgently requires upgrading. Indeed for this reason, the 2010 Network Development program did not even refer to the Natural Gas Website web-site.  It was simply not capable of meeting the web needs of the campaign.</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Envestra has commenced scoping out the work required to develop an effective website with its website developer.  On the basis of this work, Envestra plans to build a completely new site, with considerably more functionality than the existing web-site.</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The new website will be more consumer friendly, integrated to a greater degree with the operational business (connection process), and be more dynamic in terms of reflecting current Network Development activities and campaigns </w:t>
      </w:r>
      <w:proofErr w:type="spellStart"/>
      <w:r w:rsidRPr="007945F6">
        <w:rPr>
          <w:rFonts w:ascii="Arial Narrow" w:hAnsi="Arial Narrow" w:cs="Arial"/>
          <w:sz w:val="24"/>
          <w:szCs w:val="24"/>
        </w:rPr>
        <w:t>eg</w:t>
      </w:r>
      <w:proofErr w:type="spellEnd"/>
      <w:r w:rsidRPr="007945F6">
        <w:rPr>
          <w:rFonts w:ascii="Arial Narrow" w:hAnsi="Arial Narrow" w:cs="Arial"/>
          <w:sz w:val="24"/>
          <w:szCs w:val="24"/>
        </w:rPr>
        <w:t xml:space="preserve"> promotions, current deals offered by appliance retailers etc).  It will be a source of up-to-date information that will assist consumers making decisions about using natural gas.</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An example of the type of website to be constructed is the existing </w:t>
      </w:r>
      <w:proofErr w:type="spellStart"/>
      <w:r w:rsidRPr="007945F6">
        <w:rPr>
          <w:rFonts w:ascii="Arial Narrow" w:hAnsi="Arial Narrow" w:cs="Arial"/>
          <w:sz w:val="24"/>
          <w:szCs w:val="24"/>
        </w:rPr>
        <w:t>Jemena</w:t>
      </w:r>
      <w:proofErr w:type="spellEnd"/>
      <w:r w:rsidRPr="007945F6">
        <w:rPr>
          <w:rFonts w:ascii="Arial Narrow" w:hAnsi="Arial Narrow" w:cs="Arial"/>
          <w:sz w:val="24"/>
          <w:szCs w:val="24"/>
        </w:rPr>
        <w:t xml:space="preserve"> website (</w:t>
      </w:r>
      <w:hyperlink r:id="rId10" w:history="1">
        <w:r w:rsidRPr="007945F6">
          <w:rPr>
            <w:rStyle w:val="Hyperlink"/>
            <w:rFonts w:ascii="Arial Narrow" w:hAnsi="Arial Narrow" w:cs="Arial"/>
            <w:sz w:val="24"/>
            <w:szCs w:val="24"/>
          </w:rPr>
          <w:t>www.thenaturalchoice.com.au</w:t>
        </w:r>
      </w:hyperlink>
      <w:r w:rsidRPr="007945F6">
        <w:rPr>
          <w:rFonts w:ascii="Arial Narrow" w:hAnsi="Arial Narrow" w:cs="Arial"/>
          <w:sz w:val="24"/>
          <w:szCs w:val="24"/>
        </w:rPr>
        <w:t xml:space="preserve">).  However, Envestra plans to take its new website a step further to link directly to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connection processes.  The objective will be to make it as easy as possible for a customer to correct to the network, purchase a new appliance or upgrade their connection.  The current website has not been designed to allow this functionality, and is unsuitable for the task.  For this reason, it is intended to design the new website from scratch.            </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The IT related costs that have been proposed elsewhere in the Access Arrangement do not include any expenditure allowance for the upgrade of the natural gas website.  The scope of the other IT projects has been fully defined in the business cases (SO1, SO8, SO9, S54, S21 and S63) submitted on 1 October.  In summary these projects are as follows:</w:t>
      </w:r>
    </w:p>
    <w:p w:rsidR="007945F6" w:rsidRPr="007945F6" w:rsidRDefault="007945F6" w:rsidP="000C2FAE">
      <w:pPr>
        <w:spacing w:after="0" w:line="240" w:lineRule="auto"/>
        <w:jc w:val="both"/>
        <w:rPr>
          <w:rFonts w:ascii="Arial Narrow" w:hAnsi="Arial Narrow" w:cs="Arial"/>
          <w:i/>
          <w:sz w:val="24"/>
          <w:szCs w:val="24"/>
        </w:rPr>
      </w:pP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S01 – This project is required to develop a knowledge management approach to more effectively document operational practices.  It will not focus on the consumer interface as is the purpose of the Natural Gas website project.</w:t>
      </w: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S08 – This project is required to manage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regulations obligations under Retail Market Rules.  In contrast, the Natural Gas website project is required to make it easier for customers to obtain information on natural gas and connect to the network.</w:t>
      </w: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S09 - This project is required to support the periodic upgrade of Envestra IT Infrastructure (i.e. upgrades and renewals) and the standardised use of Virtualisation, Storage Area Network and Server Blade technologies over the Access Arrangement period. There is no link between this project and the Natural Gas Website project.</w:t>
      </w: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S21 – The purpose of this project is to develop an IT Roadmap to provide for asset management optimisation, data integrity, establishment of a data mart, field data capture and work allocation optimisation.  These are operational requirements that have no link between this project and the Natural Gas Website project.</w:t>
      </w: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S54 - The purpose of this business case is to detail the funding requirements to relocate the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data centre.  There is no link between this project and the Natural Gas Website project.</w:t>
      </w:r>
    </w:p>
    <w:p w:rsidR="007945F6" w:rsidRPr="007945F6" w:rsidRDefault="007945F6" w:rsidP="00DE0E00">
      <w:pPr>
        <w:numPr>
          <w:ilvl w:val="0"/>
          <w:numId w:val="23"/>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S63 – This project is required to manage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existing head office IT infrastructure including IT infrastructure upgrades and renewals, IT security, fixed and mobile phone telephony and implementation of a wireless network infrastructure. Renewal of the Natural Gas Website project is not included in this project scope.</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lastRenderedPageBreak/>
        <w:t>This demonstrates that there is no duplication between the scope of the proposal to build a new Natural Gas Website and other IT projects proposed by Envestra in its submission.</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PwC note that E-commerce will become an increasingly important part of Australian business</w:t>
      </w:r>
      <w:r w:rsidR="00B4507C">
        <w:rPr>
          <w:rFonts w:ascii="Arial Narrow" w:hAnsi="Arial Narrow" w:cs="Arial"/>
          <w:sz w:val="24"/>
          <w:szCs w:val="24"/>
        </w:rPr>
        <w:t xml:space="preserve"> (p.41)</w:t>
      </w:r>
      <w:r w:rsidRPr="007945F6">
        <w:rPr>
          <w:rFonts w:ascii="Arial Narrow" w:hAnsi="Arial Narrow" w:cs="Arial"/>
          <w:sz w:val="24"/>
          <w:szCs w:val="24"/>
        </w:rPr>
        <w:t xml:space="preserve">.  The new website will assist Envestra to make this change.  PwC agreed that there was no duplication of these costs with other </w:t>
      </w:r>
      <w:proofErr w:type="spellStart"/>
      <w:r w:rsidRPr="007945F6">
        <w:rPr>
          <w:rFonts w:ascii="Arial Narrow" w:hAnsi="Arial Narrow" w:cs="Arial"/>
          <w:sz w:val="24"/>
          <w:szCs w:val="24"/>
        </w:rPr>
        <w:t>opex</w:t>
      </w:r>
      <w:proofErr w:type="spellEnd"/>
      <w:r w:rsidRPr="007945F6">
        <w:rPr>
          <w:rFonts w:ascii="Arial Narrow" w:hAnsi="Arial Narrow" w:cs="Arial"/>
          <w:sz w:val="24"/>
          <w:szCs w:val="24"/>
        </w:rPr>
        <w:t xml:space="preserve"> and </w:t>
      </w:r>
      <w:proofErr w:type="spellStart"/>
      <w:r w:rsidRPr="007945F6">
        <w:rPr>
          <w:rFonts w:ascii="Arial Narrow" w:hAnsi="Arial Narrow" w:cs="Arial"/>
          <w:sz w:val="24"/>
          <w:szCs w:val="24"/>
        </w:rPr>
        <w:t>capex</w:t>
      </w:r>
      <w:proofErr w:type="spellEnd"/>
      <w:r w:rsidRPr="007945F6">
        <w:rPr>
          <w:rFonts w:ascii="Arial Narrow" w:hAnsi="Arial Narrow" w:cs="Arial"/>
          <w:sz w:val="24"/>
          <w:szCs w:val="24"/>
        </w:rPr>
        <w:t xml:space="preserve"> projects (p.45).</w:t>
      </w:r>
    </w:p>
    <w:p w:rsidR="007945F6" w:rsidRPr="007945F6" w:rsidRDefault="007945F6" w:rsidP="000C2FAE">
      <w:pPr>
        <w:spacing w:after="0" w:line="240" w:lineRule="auto"/>
        <w:jc w:val="both"/>
        <w:rPr>
          <w:rFonts w:ascii="Arial Narrow" w:hAnsi="Arial Narrow" w:cs="Arial"/>
          <w:sz w:val="24"/>
          <w:szCs w:val="24"/>
        </w:rPr>
      </w:pPr>
    </w:p>
    <w:p w:rsidR="007945F6" w:rsidRPr="005A56C2" w:rsidRDefault="007945F6" w:rsidP="005A56C2">
      <w:pPr>
        <w:pStyle w:val="Heading2"/>
      </w:pPr>
      <w:r w:rsidRPr="005A56C2">
        <w:t>Development and deployment</w:t>
      </w:r>
    </w:p>
    <w:p w:rsidR="007945F6" w:rsidRPr="007945F6" w:rsidRDefault="007945F6" w:rsidP="000C2FAE">
      <w:pPr>
        <w:spacing w:after="0" w:line="240" w:lineRule="auto"/>
        <w:jc w:val="both"/>
        <w:rPr>
          <w:rFonts w:ascii="Arial Narrow" w:hAnsi="Arial Narrow"/>
          <w:i/>
          <w:sz w:val="24"/>
          <w:szCs w:val="24"/>
        </w:rPr>
      </w:pPr>
    </w:p>
    <w:p w:rsidR="007945F6" w:rsidRPr="007945F6" w:rsidRDefault="005A56C2" w:rsidP="005A56C2">
      <w:pPr>
        <w:tabs>
          <w:tab w:val="left" w:pos="540"/>
        </w:tabs>
        <w:spacing w:after="0" w:line="240" w:lineRule="auto"/>
        <w:ind w:left="540" w:hanging="540"/>
        <w:jc w:val="both"/>
        <w:rPr>
          <w:rFonts w:ascii="Arial Narrow" w:hAnsi="Arial Narrow"/>
          <w:b/>
          <w:sz w:val="24"/>
          <w:szCs w:val="24"/>
        </w:rPr>
      </w:pPr>
      <w:r>
        <w:rPr>
          <w:rFonts w:ascii="Arial Narrow" w:hAnsi="Arial Narrow"/>
          <w:b/>
          <w:sz w:val="24"/>
          <w:szCs w:val="24"/>
        </w:rPr>
        <w:t>3.4.1</w:t>
      </w:r>
      <w:r>
        <w:rPr>
          <w:rFonts w:ascii="Arial Narrow" w:hAnsi="Arial Narrow"/>
          <w:b/>
          <w:sz w:val="24"/>
          <w:szCs w:val="24"/>
        </w:rPr>
        <w:tab/>
      </w:r>
      <w:r w:rsidR="007945F6" w:rsidRPr="007945F6">
        <w:rPr>
          <w:rFonts w:ascii="Arial Narrow" w:hAnsi="Arial Narrow"/>
          <w:b/>
          <w:sz w:val="24"/>
          <w:szCs w:val="24"/>
        </w:rPr>
        <w:t>AER Draft Decision</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vertAlign w:val="superscript"/>
        </w:rPr>
      </w:pPr>
      <w:r w:rsidRPr="007945F6">
        <w:rPr>
          <w:rFonts w:ascii="Arial Narrow" w:hAnsi="Arial Narrow"/>
          <w:sz w:val="24"/>
          <w:szCs w:val="24"/>
        </w:rPr>
        <w:t>Envestra proposed spending $4 million ($2009-10) over the access arrangement period to establish a role in facilitating the deployment of evolving new technologies in the South Australian market.</w:t>
      </w:r>
      <w:r w:rsidRPr="007945F6">
        <w:rPr>
          <w:rFonts w:ascii="Arial Narrow" w:hAnsi="Arial Narrow"/>
          <w:sz w:val="24"/>
          <w:szCs w:val="24"/>
          <w:vertAlign w:val="superscript"/>
        </w:rPr>
        <w:t>92</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The AER is generally supportive of efforts to develop the market for pipeline services where these can lead to increases in demand that in effect disperse the individual impact of tariffs to recover network costs.  While accepting that such efforts can have lagged effects, the AER needs to be satisfied that the expenditures are efficient and prudent.  The activities proposed within </w:t>
      </w:r>
      <w:proofErr w:type="spellStart"/>
      <w:r w:rsidRPr="007945F6">
        <w:rPr>
          <w:rFonts w:ascii="Arial Narrow" w:hAnsi="Arial Narrow"/>
          <w:sz w:val="24"/>
          <w:szCs w:val="24"/>
        </w:rPr>
        <w:t>Envestra’s</w:t>
      </w:r>
      <w:proofErr w:type="spellEnd"/>
      <w:r w:rsidRPr="007945F6">
        <w:rPr>
          <w:rFonts w:ascii="Arial Narrow" w:hAnsi="Arial Narrow"/>
          <w:sz w:val="24"/>
          <w:szCs w:val="24"/>
        </w:rPr>
        <w:t xml:space="preserve"> development and deployment project appear to go some way beyond market promotion activities and into activities of a more developmental nature.  The AER noted that the forecasts are even more prospective than the other incentive programs proposed by Envestra.  Origin in its submission to the AER, has questioned the reasonableness of </w:t>
      </w:r>
      <w:proofErr w:type="spellStart"/>
      <w:r w:rsidRPr="007945F6">
        <w:rPr>
          <w:rFonts w:ascii="Arial Narrow" w:hAnsi="Arial Narrow"/>
          <w:sz w:val="24"/>
          <w:szCs w:val="24"/>
        </w:rPr>
        <w:t>Envestra’s</w:t>
      </w:r>
      <w:proofErr w:type="spellEnd"/>
      <w:r w:rsidRPr="007945F6">
        <w:rPr>
          <w:rFonts w:ascii="Arial Narrow" w:hAnsi="Arial Narrow"/>
          <w:sz w:val="24"/>
          <w:szCs w:val="24"/>
        </w:rPr>
        <w:t xml:space="preserve"> proposed network development expenditure.  It submitted that it was not aware of any new gas technologies in the medium term that could lead to an increase in gas consumption in homes likely to have below average consumption.  It further considered that it was not apparent that Envestra as the gas distributor is best placed to develop the market for the relevant technologies.</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 xml:space="preserve">The AER considered these concerns in the context of the NGR and NGL requirements and with regard to the business case advanced by Envestra.  The AER considers that Envestra has not sufficiently demonstrated how the efficiency of this project has been assessed.  Further, while the benefits have loosely been described in the context of mitigating falling average consumption in </w:t>
      </w:r>
      <w:smartTag w:uri="urn:schemas-microsoft-com:office:smarttags" w:element="place">
        <w:smartTag w:uri="urn:schemas-microsoft-com:office:smarttags" w:element="State">
          <w:r w:rsidRPr="007945F6">
            <w:rPr>
              <w:rFonts w:ascii="Arial Narrow" w:hAnsi="Arial Narrow"/>
              <w:sz w:val="24"/>
              <w:szCs w:val="24"/>
            </w:rPr>
            <w:t>Queensland</w:t>
          </w:r>
        </w:smartTag>
      </w:smartTag>
      <w:r w:rsidRPr="007945F6">
        <w:rPr>
          <w:rFonts w:ascii="Arial Narrow" w:hAnsi="Arial Narrow"/>
          <w:sz w:val="24"/>
          <w:szCs w:val="24"/>
        </w:rPr>
        <w:t xml:space="preserve"> the AER cannot find evidence to suggest that a link has been advanced by Envestra as to the likely impact of these programs on its demand forecast.</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The AER also considered that proposed activities in the development and deployment program appeared to overlap with these proposed under its “representation” project.</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sz w:val="24"/>
          <w:szCs w:val="24"/>
        </w:rPr>
      </w:pPr>
      <w:r w:rsidRPr="007945F6">
        <w:rPr>
          <w:rFonts w:ascii="Arial Narrow" w:hAnsi="Arial Narrow"/>
          <w:sz w:val="24"/>
          <w:szCs w:val="24"/>
        </w:rPr>
        <w:t>As such, the AER considers that there is insufficient evidence to support the proposed expenditure on development and deployment as efficient under the terms set out in r. 91 of the NGR.</w:t>
      </w:r>
    </w:p>
    <w:p w:rsidR="007945F6" w:rsidRPr="007945F6" w:rsidRDefault="007945F6" w:rsidP="000C2FAE">
      <w:pPr>
        <w:spacing w:after="0" w:line="240" w:lineRule="auto"/>
        <w:jc w:val="both"/>
        <w:rPr>
          <w:rFonts w:ascii="Arial Narrow" w:hAnsi="Arial Narrow"/>
          <w:sz w:val="24"/>
          <w:szCs w:val="24"/>
        </w:rPr>
      </w:pPr>
    </w:p>
    <w:p w:rsidR="007945F6" w:rsidRPr="007945F6" w:rsidRDefault="005A56C2" w:rsidP="005A56C2">
      <w:pPr>
        <w:tabs>
          <w:tab w:val="left" w:pos="540"/>
        </w:tabs>
        <w:spacing w:after="0" w:line="240" w:lineRule="auto"/>
        <w:ind w:left="540" w:hanging="540"/>
        <w:jc w:val="both"/>
        <w:rPr>
          <w:rFonts w:ascii="Arial Narrow" w:hAnsi="Arial Narrow"/>
          <w:b/>
          <w:sz w:val="24"/>
          <w:szCs w:val="24"/>
        </w:rPr>
      </w:pPr>
      <w:r>
        <w:rPr>
          <w:rFonts w:ascii="Arial Narrow" w:hAnsi="Arial Narrow"/>
          <w:b/>
          <w:sz w:val="24"/>
          <w:szCs w:val="24"/>
        </w:rPr>
        <w:t>3.4.2</w:t>
      </w:r>
      <w:r w:rsidR="007945F6" w:rsidRPr="007945F6">
        <w:rPr>
          <w:rFonts w:ascii="Arial Narrow" w:hAnsi="Arial Narrow"/>
          <w:b/>
          <w:sz w:val="24"/>
          <w:szCs w:val="24"/>
        </w:rPr>
        <w:tab/>
        <w:t>Envestra Response</w:t>
      </w:r>
    </w:p>
    <w:p w:rsidR="007945F6" w:rsidRPr="007945F6" w:rsidRDefault="007945F6" w:rsidP="000C2FAE">
      <w:pPr>
        <w:spacing w:after="0" w:line="240" w:lineRule="auto"/>
        <w:jc w:val="both"/>
        <w:rPr>
          <w:rFonts w:ascii="Arial Narrow" w:hAnsi="Arial Narrow"/>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Envestra proposed in its October Revision that the development and deployment activity would cost approximately $4m.  The initial focus of the program will be on gas air conditioning.  As noted above, it was forecast that this program would provide 1400 new appliances over the Access Arrangement Period.  If Envestra was successful in realising its target of 1,400 gas-fired air-conditioners installed over the period, there would be significant benefits to consumers. Due to the potential benefit associated with this technology, Envestra maintains that there should be an allowance in the operating forecasts to fund development and deployment activities.  This is prudent to provide an opportunity for the business to develop and more effectively meet the needs of customers</w:t>
      </w:r>
    </w:p>
    <w:p w:rsidR="007945F6" w:rsidRPr="007945F6" w:rsidRDefault="007945F6" w:rsidP="000C2FAE">
      <w:pPr>
        <w:spacing w:after="0" w:line="240" w:lineRule="auto"/>
        <w:jc w:val="both"/>
        <w:rPr>
          <w:rFonts w:ascii="Arial Narrow" w:hAnsi="Arial Narrow" w:cs="Arial"/>
          <w:sz w:val="24"/>
          <w:szCs w:val="24"/>
        </w:rPr>
      </w:pPr>
    </w:p>
    <w:p w:rsidR="00014E2C"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lastRenderedPageBreak/>
        <w:t>Envestra notes that Origin submitted that it was not aware of any new gas technologies in the medium term that could increase gas consum</w:t>
      </w:r>
      <w:r w:rsidR="00014E2C">
        <w:rPr>
          <w:rFonts w:ascii="Arial Narrow" w:hAnsi="Arial Narrow" w:cs="Arial"/>
          <w:sz w:val="24"/>
          <w:szCs w:val="24"/>
        </w:rPr>
        <w:t>ption (p. 154 Final Decision).</w:t>
      </w:r>
    </w:p>
    <w:p w:rsidR="00014E2C" w:rsidRDefault="00014E2C" w:rsidP="000C2FAE">
      <w:pPr>
        <w:spacing w:after="0" w:line="240" w:lineRule="auto"/>
        <w:jc w:val="both"/>
        <w:rPr>
          <w:rFonts w:ascii="Arial Narrow" w:hAnsi="Arial Narrow" w:cs="Arial"/>
          <w:sz w:val="24"/>
          <w:szCs w:val="24"/>
        </w:rPr>
      </w:pPr>
    </w:p>
    <w:p w:rsidR="00E82B81" w:rsidRDefault="00DC7FCD" w:rsidP="000C2FAE">
      <w:pPr>
        <w:spacing w:after="0" w:line="240" w:lineRule="auto"/>
        <w:jc w:val="both"/>
        <w:rPr>
          <w:rFonts w:ascii="Arial Narrow" w:hAnsi="Arial Narrow" w:cs="Arial"/>
          <w:sz w:val="24"/>
          <w:szCs w:val="24"/>
        </w:rPr>
      </w:pPr>
      <w:r>
        <w:rPr>
          <w:rFonts w:ascii="Arial Narrow" w:hAnsi="Arial Narrow" w:cs="Arial"/>
          <w:sz w:val="24"/>
          <w:szCs w:val="24"/>
        </w:rPr>
        <w:t>However t</w:t>
      </w:r>
      <w:r w:rsidR="007945F6" w:rsidRPr="007945F6">
        <w:rPr>
          <w:rFonts w:ascii="Arial Narrow" w:hAnsi="Arial Narrow" w:cs="Arial"/>
          <w:sz w:val="24"/>
          <w:szCs w:val="24"/>
        </w:rPr>
        <w:t xml:space="preserve">his statement </w:t>
      </w:r>
      <w:r>
        <w:rPr>
          <w:rFonts w:ascii="Arial Narrow" w:hAnsi="Arial Narrow" w:cs="Arial"/>
          <w:sz w:val="24"/>
          <w:szCs w:val="24"/>
        </w:rPr>
        <w:t xml:space="preserve">overlooks that  </w:t>
      </w:r>
      <w:r w:rsidR="007945F6" w:rsidRPr="007945F6">
        <w:rPr>
          <w:rFonts w:ascii="Arial Narrow" w:hAnsi="Arial Narrow" w:cs="Arial"/>
          <w:sz w:val="24"/>
          <w:szCs w:val="24"/>
        </w:rPr>
        <w:t xml:space="preserve">Origin is currently working with </w:t>
      </w:r>
      <w:proofErr w:type="spellStart"/>
      <w:r w:rsidR="007945F6" w:rsidRPr="007945F6">
        <w:rPr>
          <w:rFonts w:ascii="Arial Narrow" w:hAnsi="Arial Narrow" w:cs="Arial"/>
          <w:sz w:val="24"/>
          <w:szCs w:val="24"/>
        </w:rPr>
        <w:t>Yanmar</w:t>
      </w:r>
      <w:proofErr w:type="spellEnd"/>
      <w:r w:rsidR="007945F6" w:rsidRPr="007945F6">
        <w:rPr>
          <w:rFonts w:ascii="Arial Narrow" w:hAnsi="Arial Narrow" w:cs="Arial"/>
          <w:sz w:val="24"/>
          <w:szCs w:val="24"/>
        </w:rPr>
        <w:t>, a reputable Japanese company that has been in operation for 100 years who manufacture gas heat pump air conditioners and distribute the appliances in Australia</w:t>
      </w:r>
      <w:r>
        <w:rPr>
          <w:rFonts w:ascii="Arial Narrow" w:hAnsi="Arial Narrow" w:cs="Arial"/>
          <w:sz w:val="24"/>
          <w:szCs w:val="24"/>
        </w:rPr>
        <w:t xml:space="preserve"> (Attachment 6-15)</w:t>
      </w:r>
      <w:r w:rsidR="007945F6" w:rsidRPr="007945F6">
        <w:rPr>
          <w:rFonts w:ascii="Arial Narrow" w:hAnsi="Arial Narrow" w:cs="Arial"/>
          <w:sz w:val="24"/>
          <w:szCs w:val="24"/>
        </w:rPr>
        <w:t xml:space="preserve">.  </w:t>
      </w:r>
      <w:r>
        <w:rPr>
          <w:rFonts w:ascii="Arial Narrow" w:hAnsi="Arial Narrow" w:cs="Arial"/>
          <w:sz w:val="24"/>
          <w:szCs w:val="24"/>
        </w:rPr>
        <w:t xml:space="preserve">As Envestra understands it </w:t>
      </w:r>
      <w:r w:rsidR="007945F6" w:rsidRPr="007945F6">
        <w:rPr>
          <w:rFonts w:ascii="Arial Narrow" w:hAnsi="Arial Narrow" w:cs="Arial"/>
          <w:sz w:val="24"/>
          <w:szCs w:val="24"/>
        </w:rPr>
        <w:t xml:space="preserve">Origin has installed around 250 gas heat pump air conditioners across </w:t>
      </w:r>
      <w:smartTag w:uri="urn:schemas-microsoft-com:office:smarttags" w:element="country-region">
        <w:smartTag w:uri="urn:schemas-microsoft-com:office:smarttags" w:element="place">
          <w:r w:rsidR="007945F6" w:rsidRPr="007945F6">
            <w:rPr>
              <w:rFonts w:ascii="Arial Narrow" w:hAnsi="Arial Narrow" w:cs="Arial"/>
              <w:sz w:val="24"/>
              <w:szCs w:val="24"/>
            </w:rPr>
            <w:t>Australia</w:t>
          </w:r>
        </w:smartTag>
      </w:smartTag>
      <w:r w:rsidR="007945F6" w:rsidRPr="007945F6">
        <w:rPr>
          <w:rFonts w:ascii="Arial Narrow" w:hAnsi="Arial Narrow" w:cs="Arial"/>
          <w:sz w:val="24"/>
          <w:szCs w:val="24"/>
        </w:rPr>
        <w:t xml:space="preserve">, mainly in commercial premises.  </w:t>
      </w:r>
    </w:p>
    <w:p w:rsidR="00014E2C" w:rsidRPr="007945F6" w:rsidRDefault="00014E2C"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Origin’s gas air conditioning strategy has not focussed on appliances suitable for residential customers.  However, Envestra sees great potential for gas heat pumps in the residential market.  Should the market develop, it would be expected that the cost of units will decline.  Even if the cost remains at current levels, there is a niche market where the technology would be demanded </w:t>
      </w:r>
      <w:proofErr w:type="spellStart"/>
      <w:r w:rsidRPr="007945F6">
        <w:rPr>
          <w:rFonts w:ascii="Arial Narrow" w:hAnsi="Arial Narrow" w:cs="Arial"/>
          <w:sz w:val="24"/>
          <w:szCs w:val="24"/>
        </w:rPr>
        <w:t>ie</w:t>
      </w:r>
      <w:proofErr w:type="spellEnd"/>
      <w:r w:rsidRPr="007945F6">
        <w:rPr>
          <w:rFonts w:ascii="Arial Narrow" w:hAnsi="Arial Narrow" w:cs="Arial"/>
          <w:sz w:val="24"/>
          <w:szCs w:val="24"/>
        </w:rPr>
        <w:t xml:space="preserve"> high value homes, where the occupants want air conditioning with an improved environmental outcome relative to the alternative electric options or in areas where increased demand for electricity for air conditioning will place pressure on existing electricity networks.  In order to realise these benefits, work is required to develop the technology and the market.  </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As noted in Attachment 6-5 of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submission (Section 5), other participants in the market have insufficient incentives to devote the optimal level of resources to developing new technologies. </w:t>
      </w: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As the gas network owner will continue to transport gas to gas customers over many years, it has an incentive to undertake activities to develop new technologies.  However, this work will only occur if there is an allowance in the regulatory benchmark for such activities as the benefits from the scheme will be realised across at least three Access Arrangement Periods, whereas the costs will be incurred in the first Access Arrangement Period.  In anticipation that an allowance will be approved by the AER, Envestra is working with Origin/</w:t>
      </w:r>
      <w:proofErr w:type="spellStart"/>
      <w:r w:rsidRPr="007945F6">
        <w:rPr>
          <w:rFonts w:ascii="Arial Narrow" w:hAnsi="Arial Narrow" w:cs="Arial"/>
          <w:sz w:val="24"/>
          <w:szCs w:val="24"/>
        </w:rPr>
        <w:t>Yanmar</w:t>
      </w:r>
      <w:proofErr w:type="spellEnd"/>
      <w:r w:rsidRPr="007945F6">
        <w:rPr>
          <w:rFonts w:ascii="Arial Narrow" w:hAnsi="Arial Narrow" w:cs="Arial"/>
          <w:sz w:val="24"/>
          <w:szCs w:val="24"/>
        </w:rPr>
        <w:t xml:space="preserve"> to develop the opportunity further.  It was on this basis that the gas heat pumps were identified as the initial focus of the development and deployment initiative proposed by Envestra in its 1 October Revision.  </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The main impediment to wide scale adoption of the technology is the cost of the unit.  </w:t>
      </w:r>
      <w:proofErr w:type="spellStart"/>
      <w:r w:rsidRPr="007945F6">
        <w:rPr>
          <w:rFonts w:ascii="Arial Narrow" w:hAnsi="Arial Narrow" w:cs="Arial"/>
          <w:sz w:val="24"/>
          <w:szCs w:val="24"/>
        </w:rPr>
        <w:t>Yanmar</w:t>
      </w:r>
      <w:proofErr w:type="spellEnd"/>
      <w:r w:rsidRPr="007945F6">
        <w:rPr>
          <w:rFonts w:ascii="Arial Narrow" w:hAnsi="Arial Narrow" w:cs="Arial"/>
          <w:sz w:val="24"/>
          <w:szCs w:val="24"/>
        </w:rPr>
        <w:t xml:space="preserve"> has not developed the 14-18kW unit for the Japanese market as the energy rating is too small for the type of unit typically demanded in </w:t>
      </w:r>
      <w:smartTag w:uri="urn:schemas-microsoft-com:office:smarttags" w:element="place">
        <w:smartTag w:uri="urn:schemas-microsoft-com:office:smarttags" w:element="country-region">
          <w:r w:rsidRPr="007945F6">
            <w:rPr>
              <w:rFonts w:ascii="Arial Narrow" w:hAnsi="Arial Narrow" w:cs="Arial"/>
              <w:sz w:val="24"/>
              <w:szCs w:val="24"/>
            </w:rPr>
            <w:t>Japan</w:t>
          </w:r>
        </w:smartTag>
      </w:smartTag>
      <w:r w:rsidRPr="007945F6">
        <w:rPr>
          <w:rFonts w:ascii="Arial Narrow" w:hAnsi="Arial Narrow" w:cs="Arial"/>
          <w:sz w:val="24"/>
          <w:szCs w:val="24"/>
        </w:rPr>
        <w:t xml:space="preserve">.  </w:t>
      </w:r>
      <w:proofErr w:type="spellStart"/>
      <w:r w:rsidRPr="007945F6">
        <w:rPr>
          <w:rFonts w:ascii="Arial Narrow" w:hAnsi="Arial Narrow" w:cs="Arial"/>
          <w:sz w:val="24"/>
          <w:szCs w:val="24"/>
        </w:rPr>
        <w:t>Yanmar</w:t>
      </w:r>
      <w:proofErr w:type="spellEnd"/>
      <w:r w:rsidRPr="007945F6">
        <w:rPr>
          <w:rFonts w:ascii="Arial Narrow" w:hAnsi="Arial Narrow" w:cs="Arial"/>
          <w:sz w:val="24"/>
          <w:szCs w:val="24"/>
        </w:rPr>
        <w:t xml:space="preserve"> has advised that it is interested in working with Envestra to promote demonstration models of the smaller rated units, and their distribution to the residential market.  Preliminary meetings have recognised that this will only happen if </w:t>
      </w:r>
      <w:proofErr w:type="spellStart"/>
      <w:r w:rsidRPr="007945F6">
        <w:rPr>
          <w:rFonts w:ascii="Arial Narrow" w:hAnsi="Arial Narrow" w:cs="Arial"/>
          <w:sz w:val="24"/>
          <w:szCs w:val="24"/>
        </w:rPr>
        <w:t>Yanmar</w:t>
      </w:r>
      <w:proofErr w:type="spellEnd"/>
      <w:r w:rsidRPr="007945F6">
        <w:rPr>
          <w:rFonts w:ascii="Arial Narrow" w:hAnsi="Arial Narrow" w:cs="Arial"/>
          <w:sz w:val="24"/>
          <w:szCs w:val="24"/>
        </w:rPr>
        <w:t>, Origin and Envestra are prepared to bring incentives to the market to facilitate the development of the technology.  The purpose of the project proposed by Envestra in its 1 October submission was to provide funding to contribute to the development of the technology.  If this was successful, it would result in benefits to Envestra and gas consumers.  Gas consumption for each unit is estimated to be 47GJ per annum.  Development of this technology would:</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Offset the trend for decline in average consumption;</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reduce capacity growth on the electricity transmission and distribution system anticipated to meet future load growth from increasing demand for air conditioning; and</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provide environmental benefits through lower greenhouse emissions, relative to electric heat pumps.</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A further advantage of the program for Envestra is that it would provide a gas option for producing renewable energy through the heat pump technology.  Currently gas is seen as a fossil fuel with lower greenhouse emissions than coal or oil.  However, the focus of the energy sector is to maximise in a cost effective manner the use of renewable energy.  If the gas industry is to prosper in the future, it needs to become more sustainable.  This will require the development of the next generation of </w:t>
      </w:r>
      <w:r w:rsidRPr="007945F6">
        <w:rPr>
          <w:rFonts w:ascii="Arial Narrow" w:hAnsi="Arial Narrow" w:cs="Arial"/>
          <w:sz w:val="24"/>
          <w:szCs w:val="24"/>
        </w:rPr>
        <w:lastRenderedPageBreak/>
        <w:t>gas appliances where gas is used to facilitate or back up renewable energy.  The heat pump technology is ideal in that respect, generating renewable energy from the air (extracting heat).</w:t>
      </w:r>
    </w:p>
    <w:p w:rsidR="007945F6" w:rsidRPr="007945F6" w:rsidRDefault="007945F6" w:rsidP="000C2FAE">
      <w:pPr>
        <w:spacing w:after="0" w:line="240" w:lineRule="auto"/>
        <w:jc w:val="both"/>
        <w:rPr>
          <w:rFonts w:ascii="Arial Narrow" w:hAnsi="Arial Narrow" w:cs="Arial"/>
          <w:sz w:val="24"/>
          <w:szCs w:val="24"/>
        </w:rPr>
      </w:pPr>
    </w:p>
    <w:p w:rsid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It may also be cheaper than some of the current technology options being developed (and subsidised by Governments) such as solar and wind energy.  </w:t>
      </w:r>
    </w:p>
    <w:p w:rsidR="00670BE0" w:rsidRPr="007945F6" w:rsidRDefault="00670BE0" w:rsidP="000C2FAE">
      <w:pPr>
        <w:spacing w:after="0" w:line="240" w:lineRule="auto"/>
        <w:jc w:val="both"/>
        <w:rPr>
          <w:rFonts w:ascii="Arial Narrow" w:hAnsi="Arial Narrow" w:cs="Arial"/>
          <w:sz w:val="24"/>
          <w:szCs w:val="24"/>
        </w:rPr>
      </w:pPr>
    </w:p>
    <w:p w:rsid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While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1 October submission was based around gas heat pump air conditioning, the critical issue at stake here is the need to innovate to develop new gas appliances.  As was pointed out in the submission, other opportunities are available to increase consumption of natural gas including:</w:t>
      </w:r>
    </w:p>
    <w:p w:rsidR="00270525" w:rsidRPr="007945F6" w:rsidRDefault="00270525" w:rsidP="000C2FAE">
      <w:pPr>
        <w:spacing w:after="0" w:line="240" w:lineRule="auto"/>
        <w:jc w:val="both"/>
        <w:rPr>
          <w:rFonts w:ascii="Arial Narrow" w:hAnsi="Arial Narrow" w:cs="Arial"/>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natural gas as a vehicular fuel, </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proofErr w:type="spellStart"/>
      <w:r w:rsidRPr="007945F6">
        <w:rPr>
          <w:rFonts w:ascii="Arial Narrow" w:hAnsi="Arial Narrow" w:cs="Arial"/>
          <w:sz w:val="24"/>
          <w:szCs w:val="24"/>
        </w:rPr>
        <w:t>microgeneration</w:t>
      </w:r>
      <w:proofErr w:type="spellEnd"/>
      <w:r w:rsidRPr="007945F6">
        <w:rPr>
          <w:rFonts w:ascii="Arial Narrow" w:hAnsi="Arial Narrow" w:cs="Arial"/>
          <w:sz w:val="24"/>
          <w:szCs w:val="24"/>
        </w:rPr>
        <w:t xml:space="preserve"> and </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fuel cells.  </w:t>
      </w:r>
    </w:p>
    <w:p w:rsidR="007945F6" w:rsidRPr="007945F6" w:rsidRDefault="007945F6" w:rsidP="000C2FAE">
      <w:pPr>
        <w:spacing w:after="0" w:line="240" w:lineRule="auto"/>
        <w:ind w:left="60"/>
        <w:jc w:val="both"/>
        <w:rPr>
          <w:rFonts w:ascii="Arial Narrow" w:hAnsi="Arial Narrow" w:cs="Arial"/>
          <w:sz w:val="24"/>
          <w:szCs w:val="24"/>
        </w:rPr>
      </w:pPr>
    </w:p>
    <w:p w:rsidR="007945F6" w:rsidRPr="007945F6" w:rsidRDefault="007945F6" w:rsidP="000C2FAE">
      <w:pPr>
        <w:spacing w:after="0" w:line="240" w:lineRule="auto"/>
        <w:ind w:left="60"/>
        <w:jc w:val="both"/>
        <w:rPr>
          <w:rFonts w:ascii="Arial Narrow" w:hAnsi="Arial Narrow" w:cs="Arial"/>
          <w:sz w:val="24"/>
          <w:szCs w:val="24"/>
        </w:rPr>
      </w:pPr>
      <w:r w:rsidRPr="007945F6">
        <w:rPr>
          <w:rFonts w:ascii="Arial Narrow" w:hAnsi="Arial Narrow" w:cs="Arial"/>
          <w:sz w:val="24"/>
          <w:szCs w:val="24"/>
        </w:rPr>
        <w:t xml:space="preserve">All of these technologies are under-developed.  </w:t>
      </w:r>
    </w:p>
    <w:p w:rsidR="007945F6" w:rsidRPr="007945F6" w:rsidRDefault="007945F6" w:rsidP="000C2FAE">
      <w:pPr>
        <w:spacing w:after="0" w:line="240" w:lineRule="auto"/>
        <w:ind w:left="60"/>
        <w:jc w:val="both"/>
        <w:rPr>
          <w:rFonts w:ascii="Arial Narrow" w:hAnsi="Arial Narrow" w:cs="Arial"/>
          <w:sz w:val="24"/>
          <w:szCs w:val="24"/>
        </w:rPr>
      </w:pPr>
    </w:p>
    <w:p w:rsidR="007945F6" w:rsidRPr="007945F6" w:rsidRDefault="007945F6" w:rsidP="000C2FAE">
      <w:pPr>
        <w:spacing w:after="0" w:line="240" w:lineRule="auto"/>
        <w:ind w:left="60"/>
        <w:jc w:val="both"/>
        <w:rPr>
          <w:rFonts w:ascii="Arial Narrow" w:hAnsi="Arial Narrow" w:cs="Arial"/>
          <w:sz w:val="24"/>
          <w:szCs w:val="24"/>
        </w:rPr>
      </w:pPr>
      <w:r w:rsidRPr="007945F6">
        <w:rPr>
          <w:rFonts w:ascii="Arial Narrow" w:hAnsi="Arial Narrow" w:cs="Arial"/>
          <w:sz w:val="24"/>
          <w:szCs w:val="24"/>
        </w:rPr>
        <w:t>It is now well accepted that the five year regulatory process embodied in the NGR is likely to lead to under-investment in innovation when the benefits of that innovation /investment are likely to extend</w:t>
      </w:r>
      <w:r w:rsidRPr="007945F6">
        <w:rPr>
          <w:rFonts w:ascii="Arial Narrow" w:hAnsi="Arial Narrow" w:cs="Arial"/>
          <w:i/>
          <w:sz w:val="24"/>
          <w:szCs w:val="24"/>
        </w:rPr>
        <w:t xml:space="preserve"> </w:t>
      </w:r>
      <w:r w:rsidRPr="007945F6">
        <w:rPr>
          <w:rFonts w:ascii="Arial Narrow" w:hAnsi="Arial Narrow" w:cs="Arial"/>
          <w:sz w:val="24"/>
          <w:szCs w:val="24"/>
        </w:rPr>
        <w:t>beyond 5 years unless a specific incentive mechanism is provided in the regulatory decisions applicable to the business.  For example NERA state that the regulatory framework is:</w:t>
      </w:r>
    </w:p>
    <w:p w:rsidR="007945F6" w:rsidRPr="007945F6" w:rsidRDefault="007945F6" w:rsidP="000C2FAE">
      <w:pPr>
        <w:spacing w:after="0" w:line="240" w:lineRule="auto"/>
        <w:ind w:left="60"/>
        <w:jc w:val="both"/>
        <w:rPr>
          <w:rFonts w:ascii="Arial Narrow" w:hAnsi="Arial Narrow" w:cs="Arial"/>
          <w:sz w:val="24"/>
          <w:szCs w:val="24"/>
        </w:rPr>
      </w:pPr>
    </w:p>
    <w:p w:rsidR="007945F6" w:rsidRPr="007945F6" w:rsidRDefault="007945F6" w:rsidP="000C2FAE">
      <w:pPr>
        <w:spacing w:after="0" w:line="240" w:lineRule="auto"/>
        <w:ind w:left="567" w:right="565"/>
        <w:jc w:val="both"/>
        <w:rPr>
          <w:rFonts w:ascii="Arial Narrow" w:hAnsi="Arial Narrow" w:cs="Arial"/>
          <w:i/>
          <w:sz w:val="24"/>
          <w:szCs w:val="24"/>
        </w:rPr>
      </w:pPr>
      <w:r w:rsidRPr="007945F6">
        <w:rPr>
          <w:rFonts w:ascii="Arial Narrow" w:hAnsi="Arial Narrow" w:cs="Arial"/>
          <w:i/>
          <w:sz w:val="24"/>
          <w:szCs w:val="24"/>
        </w:rPr>
        <w:t xml:space="preserve">“likely to create </w:t>
      </w:r>
      <w:proofErr w:type="spellStart"/>
      <w:r w:rsidRPr="007945F6">
        <w:rPr>
          <w:rFonts w:ascii="Arial Narrow" w:hAnsi="Arial Narrow" w:cs="Arial"/>
          <w:i/>
          <w:sz w:val="24"/>
          <w:szCs w:val="24"/>
        </w:rPr>
        <w:t>discincentive</w:t>
      </w:r>
      <w:proofErr w:type="spellEnd"/>
      <w:r w:rsidRPr="007945F6">
        <w:rPr>
          <w:rFonts w:ascii="Arial Narrow" w:hAnsi="Arial Narrow" w:cs="Arial"/>
          <w:i/>
          <w:sz w:val="24"/>
          <w:szCs w:val="24"/>
        </w:rPr>
        <w:t xml:space="preserve"> to undertake research and development because:</w:t>
      </w:r>
    </w:p>
    <w:p w:rsidR="007945F6" w:rsidRPr="007945F6" w:rsidRDefault="007945F6" w:rsidP="000C2FAE">
      <w:pPr>
        <w:spacing w:after="0" w:line="240" w:lineRule="auto"/>
        <w:ind w:left="567" w:right="565"/>
        <w:jc w:val="both"/>
        <w:rPr>
          <w:rFonts w:ascii="Arial Narrow" w:hAnsi="Arial Narrow" w:cs="Arial"/>
          <w:i/>
          <w:sz w:val="24"/>
          <w:szCs w:val="24"/>
        </w:rPr>
      </w:pPr>
    </w:p>
    <w:p w:rsidR="007945F6" w:rsidRPr="007945F6" w:rsidRDefault="007945F6" w:rsidP="00DE0E00">
      <w:pPr>
        <w:numPr>
          <w:ilvl w:val="0"/>
          <w:numId w:val="24"/>
        </w:numPr>
        <w:tabs>
          <w:tab w:val="left" w:pos="993"/>
        </w:tabs>
        <w:spacing w:after="0" w:line="240" w:lineRule="auto"/>
        <w:ind w:left="993" w:right="565" w:hanging="426"/>
        <w:jc w:val="both"/>
        <w:rPr>
          <w:rFonts w:ascii="Arial Narrow" w:hAnsi="Arial Narrow" w:cs="Arial"/>
          <w:i/>
          <w:sz w:val="24"/>
          <w:szCs w:val="24"/>
        </w:rPr>
      </w:pPr>
      <w:r w:rsidRPr="007945F6">
        <w:rPr>
          <w:rFonts w:ascii="Arial Narrow" w:hAnsi="Arial Narrow" w:cs="Arial"/>
          <w:i/>
          <w:sz w:val="24"/>
          <w:szCs w:val="24"/>
        </w:rPr>
        <w:t>the speculative nature of some research and development might not satisfy the capital expenditure tests of the regulator;</w:t>
      </w:r>
    </w:p>
    <w:p w:rsidR="007945F6" w:rsidRPr="007945F6" w:rsidRDefault="007945F6" w:rsidP="00DE0E00">
      <w:pPr>
        <w:numPr>
          <w:ilvl w:val="0"/>
          <w:numId w:val="24"/>
        </w:numPr>
        <w:tabs>
          <w:tab w:val="left" w:pos="993"/>
        </w:tabs>
        <w:spacing w:after="0" w:line="240" w:lineRule="auto"/>
        <w:ind w:left="993" w:right="565" w:hanging="426"/>
        <w:jc w:val="both"/>
        <w:rPr>
          <w:rFonts w:ascii="Arial Narrow" w:hAnsi="Arial Narrow" w:cs="Arial"/>
          <w:i/>
          <w:sz w:val="24"/>
          <w:szCs w:val="24"/>
        </w:rPr>
      </w:pPr>
      <w:r w:rsidRPr="007945F6">
        <w:rPr>
          <w:rFonts w:ascii="Arial Narrow" w:hAnsi="Arial Narrow" w:cs="Arial"/>
          <w:i/>
          <w:sz w:val="24"/>
          <w:szCs w:val="24"/>
        </w:rPr>
        <w:t>many innovation projects are likely to have payback periods that extend across regulatory periods and the regulatory framework does not allow the firm to keep those benefits in order to justify the initial investments; and</w:t>
      </w:r>
    </w:p>
    <w:p w:rsidR="007945F6" w:rsidRPr="007945F6" w:rsidRDefault="007945F6" w:rsidP="00DE0E00">
      <w:pPr>
        <w:numPr>
          <w:ilvl w:val="0"/>
          <w:numId w:val="24"/>
        </w:numPr>
        <w:tabs>
          <w:tab w:val="left" w:pos="993"/>
        </w:tabs>
        <w:spacing w:after="0" w:line="240" w:lineRule="auto"/>
        <w:ind w:left="993" w:right="565" w:hanging="426"/>
        <w:jc w:val="both"/>
        <w:rPr>
          <w:rFonts w:ascii="Arial Narrow" w:hAnsi="Arial Narrow" w:cs="Arial"/>
          <w:i/>
          <w:sz w:val="24"/>
          <w:szCs w:val="24"/>
        </w:rPr>
      </w:pPr>
      <w:r w:rsidRPr="007945F6">
        <w:rPr>
          <w:rFonts w:ascii="Arial Narrow" w:hAnsi="Arial Narrow" w:cs="Arial"/>
          <w:i/>
          <w:sz w:val="24"/>
          <w:szCs w:val="24"/>
        </w:rPr>
        <w:t>cost efficiency benefits are ultimately passed onto customers in the form of lower prices, and so distributors may be reluctant to invest in research and development if the benefit stream is not sufficient to justify the initial outlay.</w:t>
      </w:r>
    </w:p>
    <w:p w:rsidR="007945F6" w:rsidRPr="007945F6" w:rsidRDefault="007945F6" w:rsidP="000C2FAE">
      <w:pPr>
        <w:tabs>
          <w:tab w:val="left" w:pos="426"/>
        </w:tabs>
        <w:spacing w:after="0" w:line="240" w:lineRule="auto"/>
        <w:jc w:val="both"/>
        <w:rPr>
          <w:rFonts w:ascii="Arial Narrow" w:hAnsi="Arial Narrow" w:cs="Arial"/>
          <w:sz w:val="24"/>
          <w:szCs w:val="24"/>
        </w:rPr>
      </w:pPr>
    </w:p>
    <w:p w:rsidR="007945F6" w:rsidRPr="007945F6" w:rsidRDefault="007945F6" w:rsidP="00270525">
      <w:pPr>
        <w:spacing w:after="0" w:line="240" w:lineRule="auto"/>
        <w:ind w:left="567" w:right="565"/>
        <w:jc w:val="both"/>
        <w:rPr>
          <w:rFonts w:ascii="Arial Narrow" w:hAnsi="Arial Narrow" w:cs="Arial"/>
          <w:i/>
          <w:sz w:val="24"/>
          <w:szCs w:val="24"/>
        </w:rPr>
      </w:pPr>
      <w:r w:rsidRPr="007945F6">
        <w:rPr>
          <w:rFonts w:ascii="Arial Narrow" w:hAnsi="Arial Narrow" w:cs="Arial"/>
          <w:i/>
          <w:sz w:val="24"/>
          <w:szCs w:val="24"/>
        </w:rPr>
        <w:t>In our opinion this highlights how the existing regulatory arrangements might result in less than optimal investment in research and development that leads to overall cost savings unless those savings are achieved within the same regulatory period”.  (Attachment 6-16, p.7).</w:t>
      </w:r>
    </w:p>
    <w:p w:rsidR="007945F6" w:rsidRPr="007945F6" w:rsidRDefault="007945F6" w:rsidP="000C2FAE">
      <w:pPr>
        <w:spacing w:after="0" w:line="240" w:lineRule="auto"/>
        <w:ind w:left="60"/>
        <w:jc w:val="both"/>
        <w:rPr>
          <w:rFonts w:ascii="Arial Narrow" w:hAnsi="Arial Narrow" w:cs="Arial"/>
          <w:sz w:val="24"/>
          <w:szCs w:val="24"/>
        </w:rPr>
      </w:pPr>
    </w:p>
    <w:p w:rsidR="007945F6" w:rsidRPr="007945F6" w:rsidRDefault="007945F6" w:rsidP="000C2FAE">
      <w:pPr>
        <w:spacing w:after="0" w:line="240" w:lineRule="auto"/>
        <w:ind w:left="60"/>
        <w:jc w:val="both"/>
        <w:rPr>
          <w:rFonts w:ascii="Arial Narrow" w:hAnsi="Arial Narrow" w:cs="Arial"/>
          <w:sz w:val="24"/>
          <w:szCs w:val="24"/>
        </w:rPr>
      </w:pPr>
      <w:r w:rsidRPr="007945F6">
        <w:rPr>
          <w:rFonts w:ascii="Arial Narrow" w:hAnsi="Arial Narrow" w:cs="Arial"/>
          <w:sz w:val="24"/>
          <w:szCs w:val="24"/>
        </w:rPr>
        <w:t xml:space="preserve">On the basis of this evidence, Envestra considers that it is prudent to include an allowance in operating costs for development and deployment activities.  We note that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proposal of $4m over the period for development and deployment is around 0.45% of regulated revenue ($4m / $909m), consistent with the quantum of funding made available by </w:t>
      </w:r>
      <w:proofErr w:type="spellStart"/>
      <w:r w:rsidRPr="007945F6">
        <w:rPr>
          <w:rFonts w:ascii="Arial Narrow" w:hAnsi="Arial Narrow" w:cs="Arial"/>
          <w:sz w:val="24"/>
          <w:szCs w:val="24"/>
        </w:rPr>
        <w:t>OfGem</w:t>
      </w:r>
      <w:proofErr w:type="spellEnd"/>
      <w:r w:rsidRPr="007945F6">
        <w:rPr>
          <w:rFonts w:ascii="Arial Narrow" w:hAnsi="Arial Narrow" w:cs="Arial"/>
          <w:sz w:val="24"/>
          <w:szCs w:val="24"/>
        </w:rPr>
        <w:t xml:space="preserve"> for research and development (0.5%, Attachment 6-16, p.22). This provides further evidence that the level of funding proposed by Envestra for development and deployment is consistent with an amount that is prudent, and is therefore consistent with the NGR.  </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Finally,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proposal included employment of a Manager and Senior Engineer to manage the development and deployment activity.  The 1 October proposal (Appendix 4) noted that these resources would have “appropriate commercial and engineering experience” to “facilitate the deployment of evolving gas technologies” (p.4).</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271EEE" w:rsidP="000C2FAE">
      <w:pPr>
        <w:spacing w:after="0" w:line="240" w:lineRule="auto"/>
        <w:jc w:val="both"/>
        <w:rPr>
          <w:rFonts w:ascii="Arial Narrow" w:hAnsi="Arial Narrow" w:cs="Arial"/>
          <w:sz w:val="24"/>
          <w:szCs w:val="24"/>
        </w:rPr>
      </w:pPr>
      <w:r>
        <w:rPr>
          <w:rFonts w:ascii="Arial Narrow" w:hAnsi="Arial Narrow" w:cs="Arial"/>
          <w:sz w:val="24"/>
          <w:szCs w:val="24"/>
        </w:rPr>
        <w:br w:type="page"/>
      </w:r>
      <w:r w:rsidR="007945F6" w:rsidRPr="007945F6">
        <w:rPr>
          <w:rFonts w:ascii="Arial Narrow" w:hAnsi="Arial Narrow" w:cs="Arial"/>
          <w:sz w:val="24"/>
          <w:szCs w:val="24"/>
        </w:rPr>
        <w:lastRenderedPageBreak/>
        <w:t>In contrast, the representation activity proposed establishing five new roles who were experts in:</w:t>
      </w:r>
    </w:p>
    <w:p w:rsidR="007945F6" w:rsidRPr="007945F6" w:rsidRDefault="007945F6" w:rsidP="000C2FAE">
      <w:pPr>
        <w:spacing w:after="0" w:line="240" w:lineRule="auto"/>
        <w:jc w:val="both"/>
        <w:rPr>
          <w:rFonts w:ascii="Arial Narrow" w:hAnsi="Arial Narrow" w:cs="Arial"/>
          <w:i/>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hot water</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heating</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cooking</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industry relations</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market analysis</w:t>
      </w:r>
    </w:p>
    <w:p w:rsidR="009B1243" w:rsidRDefault="009B1243" w:rsidP="000C2FAE">
      <w:pPr>
        <w:tabs>
          <w:tab w:val="left" w:pos="426"/>
        </w:tabs>
        <w:spacing w:after="0" w:line="240" w:lineRule="auto"/>
        <w:jc w:val="both"/>
        <w:rPr>
          <w:rFonts w:ascii="Arial Narrow" w:hAnsi="Arial Narrow" w:cs="Arial"/>
          <w:sz w:val="24"/>
          <w:szCs w:val="24"/>
        </w:rPr>
      </w:pPr>
    </w:p>
    <w:p w:rsidR="007945F6" w:rsidRPr="007945F6" w:rsidRDefault="007945F6" w:rsidP="000C2FAE">
      <w:pPr>
        <w:tabs>
          <w:tab w:val="left" w:pos="426"/>
        </w:tabs>
        <w:spacing w:after="0" w:line="240" w:lineRule="auto"/>
        <w:jc w:val="both"/>
        <w:rPr>
          <w:rFonts w:ascii="Arial Narrow" w:hAnsi="Arial Narrow" w:cs="Arial"/>
          <w:sz w:val="24"/>
          <w:szCs w:val="24"/>
        </w:rPr>
      </w:pPr>
      <w:r w:rsidRPr="007945F6">
        <w:rPr>
          <w:rFonts w:ascii="Arial Narrow" w:hAnsi="Arial Narrow" w:cs="Arial"/>
          <w:sz w:val="24"/>
          <w:szCs w:val="24"/>
        </w:rPr>
        <w:t>Their purpose would be to develop relationships with key influencers and operate as functional experts in their respective areas to service the needs of domestic and commercial customers (Network Development Plan p.27) so as to increase uptake of gas appliances.</w:t>
      </w:r>
    </w:p>
    <w:p w:rsidR="007945F6" w:rsidRPr="007945F6" w:rsidRDefault="007945F6" w:rsidP="000C2FAE">
      <w:pPr>
        <w:tabs>
          <w:tab w:val="left" w:pos="426"/>
        </w:tabs>
        <w:spacing w:after="0" w:line="240" w:lineRule="auto"/>
        <w:jc w:val="both"/>
        <w:rPr>
          <w:rFonts w:ascii="Arial Narrow" w:hAnsi="Arial Narrow" w:cs="Arial"/>
          <w:sz w:val="24"/>
          <w:szCs w:val="24"/>
        </w:rPr>
      </w:pPr>
    </w:p>
    <w:p w:rsidR="007945F6" w:rsidRPr="007945F6" w:rsidRDefault="007945F6" w:rsidP="000C2FAE">
      <w:pPr>
        <w:tabs>
          <w:tab w:val="left" w:pos="426"/>
        </w:tabs>
        <w:spacing w:after="0" w:line="240" w:lineRule="auto"/>
        <w:jc w:val="both"/>
        <w:rPr>
          <w:rFonts w:ascii="Arial Narrow" w:hAnsi="Arial Narrow" w:cs="Arial"/>
          <w:sz w:val="24"/>
          <w:szCs w:val="24"/>
        </w:rPr>
      </w:pPr>
      <w:r w:rsidRPr="007945F6">
        <w:rPr>
          <w:rFonts w:ascii="Arial Narrow" w:hAnsi="Arial Narrow" w:cs="Arial"/>
          <w:sz w:val="24"/>
          <w:szCs w:val="24"/>
        </w:rPr>
        <w:t>The skill sets of these two projects are different; one being around engineering research and development with the other involving development of relationships with key influencers to increase sales of gas appliances.  Consequently, there is no overlap.  PwC confirm that there is no duplication between the representation and development / deployment activities (p.45).</w:t>
      </w:r>
    </w:p>
    <w:p w:rsidR="007945F6" w:rsidRPr="007945F6" w:rsidRDefault="007945F6" w:rsidP="000C2FAE">
      <w:pPr>
        <w:spacing w:after="0" w:line="240" w:lineRule="auto"/>
        <w:jc w:val="both"/>
        <w:rPr>
          <w:rFonts w:ascii="Arial Narrow" w:hAnsi="Arial Narrow" w:cs="Arial"/>
          <w:sz w:val="24"/>
          <w:szCs w:val="24"/>
        </w:rPr>
      </w:pPr>
    </w:p>
    <w:p w:rsidR="007945F6" w:rsidRPr="007945F6" w:rsidRDefault="005A56C2" w:rsidP="000C2FAE">
      <w:pPr>
        <w:tabs>
          <w:tab w:val="left" w:pos="567"/>
        </w:tabs>
        <w:spacing w:after="0" w:line="240" w:lineRule="auto"/>
        <w:ind w:left="567" w:hanging="567"/>
        <w:jc w:val="both"/>
        <w:rPr>
          <w:rFonts w:ascii="Arial Narrow" w:hAnsi="Arial Narrow" w:cs="Arial"/>
          <w:sz w:val="24"/>
          <w:szCs w:val="24"/>
        </w:rPr>
      </w:pPr>
      <w:r>
        <w:rPr>
          <w:rFonts w:ascii="Arial Narrow" w:hAnsi="Arial Narrow" w:cs="Arial"/>
          <w:b/>
          <w:sz w:val="24"/>
          <w:szCs w:val="24"/>
        </w:rPr>
        <w:t>3.4.3</w:t>
      </w:r>
      <w:r>
        <w:rPr>
          <w:rFonts w:ascii="Arial Narrow" w:hAnsi="Arial Narrow" w:cs="Arial"/>
          <w:b/>
          <w:sz w:val="24"/>
          <w:szCs w:val="24"/>
        </w:rPr>
        <w:tab/>
      </w:r>
      <w:r w:rsidR="007945F6" w:rsidRPr="007945F6">
        <w:rPr>
          <w:rFonts w:ascii="Arial Narrow" w:hAnsi="Arial Narrow" w:cs="Arial"/>
          <w:b/>
          <w:sz w:val="24"/>
          <w:szCs w:val="24"/>
        </w:rPr>
        <w:t xml:space="preserve">Independent Review of </w:t>
      </w:r>
      <w:proofErr w:type="spellStart"/>
      <w:r w:rsidR="007945F6" w:rsidRPr="007945F6">
        <w:rPr>
          <w:rFonts w:ascii="Arial Narrow" w:hAnsi="Arial Narrow" w:cs="Arial"/>
          <w:b/>
          <w:sz w:val="24"/>
          <w:szCs w:val="24"/>
        </w:rPr>
        <w:t>Envestra’s</w:t>
      </w:r>
      <w:proofErr w:type="spellEnd"/>
      <w:r w:rsidR="007945F6" w:rsidRPr="007945F6">
        <w:rPr>
          <w:rFonts w:ascii="Arial Narrow" w:hAnsi="Arial Narrow" w:cs="Arial"/>
          <w:b/>
          <w:sz w:val="24"/>
          <w:szCs w:val="24"/>
        </w:rPr>
        <w:t xml:space="preserve"> 2010 Marketing and Proposed 2011-16 Plan</w:t>
      </w:r>
    </w:p>
    <w:p w:rsidR="007945F6" w:rsidRPr="007945F6" w:rsidRDefault="007945F6" w:rsidP="000C2FAE">
      <w:pPr>
        <w:spacing w:after="0" w:line="240" w:lineRule="auto"/>
        <w:jc w:val="both"/>
        <w:rPr>
          <w:rFonts w:ascii="Arial Narrow" w:hAnsi="Arial Narrow" w:cs="Arial"/>
          <w:i/>
          <w:sz w:val="24"/>
          <w:szCs w:val="24"/>
        </w:rPr>
      </w:pPr>
    </w:p>
    <w:p w:rsidR="007945F6" w:rsidRPr="007945F6" w:rsidRDefault="007945F6" w:rsidP="000C2FAE">
      <w:pPr>
        <w:spacing w:after="0" w:line="240" w:lineRule="auto"/>
        <w:jc w:val="both"/>
        <w:rPr>
          <w:rFonts w:ascii="Arial Narrow" w:hAnsi="Arial Narrow" w:cs="Arial"/>
          <w:sz w:val="24"/>
          <w:szCs w:val="24"/>
        </w:rPr>
      </w:pPr>
      <w:r w:rsidRPr="007945F6">
        <w:rPr>
          <w:rFonts w:ascii="Arial Narrow" w:hAnsi="Arial Narrow" w:cs="Arial"/>
          <w:sz w:val="24"/>
          <w:szCs w:val="24"/>
        </w:rPr>
        <w:t xml:space="preserve">Envestra engaged PwC </w:t>
      </w:r>
      <w:smartTag w:uri="urn:schemas-microsoft-com:office:smarttags" w:element="place">
        <w:smartTag w:uri="urn:schemas-microsoft-com:office:smarttags" w:element="country-region">
          <w:r w:rsidRPr="007945F6">
            <w:rPr>
              <w:rFonts w:ascii="Arial Narrow" w:hAnsi="Arial Narrow" w:cs="Arial"/>
              <w:sz w:val="24"/>
              <w:szCs w:val="24"/>
            </w:rPr>
            <w:t>Australia</w:t>
          </w:r>
        </w:smartTag>
      </w:smartTag>
      <w:r w:rsidRPr="007945F6">
        <w:rPr>
          <w:rFonts w:ascii="Arial Narrow" w:hAnsi="Arial Narrow" w:cs="Arial"/>
          <w:sz w:val="24"/>
          <w:szCs w:val="24"/>
        </w:rPr>
        <w:t xml:space="preserve"> to advise on its 2010 marketing campaign and its proposed network development plan for the next Access Arrangement Period. A report prepared by PwC is provided in Attachment 6-14.  PwC concluded that:  </w:t>
      </w:r>
    </w:p>
    <w:p w:rsidR="007945F6" w:rsidRPr="007945F6" w:rsidRDefault="007945F6" w:rsidP="000C2FAE">
      <w:pPr>
        <w:spacing w:after="0" w:line="240" w:lineRule="auto"/>
        <w:jc w:val="both"/>
        <w:rPr>
          <w:rFonts w:ascii="Arial Narrow" w:hAnsi="Arial Narrow" w:cs="Arial"/>
          <w:sz w:val="24"/>
          <w:szCs w:val="24"/>
        </w:rPr>
      </w:pPr>
    </w:p>
    <w:p w:rsid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marketing programs </w:t>
      </w:r>
      <w:r w:rsidR="00A76535">
        <w:rPr>
          <w:rFonts w:ascii="Arial Narrow" w:hAnsi="Arial Narrow" w:cs="Arial"/>
          <w:sz w:val="24"/>
          <w:szCs w:val="24"/>
        </w:rPr>
        <w:t xml:space="preserve">are consistent with the Natural Gas Law and Rules and </w:t>
      </w:r>
      <w:r w:rsidRPr="007945F6">
        <w:rPr>
          <w:rFonts w:ascii="Arial Narrow" w:hAnsi="Arial Narrow" w:cs="Arial"/>
          <w:sz w:val="24"/>
          <w:szCs w:val="24"/>
        </w:rPr>
        <w:t>have positively impacted gas connections and installation of gas appliances.</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The rebates for hot water and central heating of $500 and $750:</w:t>
      </w:r>
    </w:p>
    <w:p w:rsidR="007945F6" w:rsidRPr="007945F6" w:rsidRDefault="007945F6" w:rsidP="000C2FAE">
      <w:pPr>
        <w:tabs>
          <w:tab w:val="left" w:pos="426"/>
        </w:tabs>
        <w:spacing w:after="0" w:line="240" w:lineRule="auto"/>
        <w:ind w:left="426"/>
        <w:jc w:val="both"/>
        <w:rPr>
          <w:rFonts w:ascii="Arial Narrow" w:hAnsi="Arial Narrow" w:cs="Arial"/>
          <w:sz w:val="24"/>
          <w:szCs w:val="24"/>
        </w:rPr>
      </w:pP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are consistent with industry practice;</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provide positive economic benefits and are therefore prudent;</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are set at an effective level; and</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are likely to achieve the forecast uptake rates of 2000 hot water and central heating units.</w:t>
      </w:r>
    </w:p>
    <w:p w:rsidR="007945F6" w:rsidRPr="007945F6" w:rsidRDefault="007945F6" w:rsidP="000C2FAE">
      <w:pPr>
        <w:tabs>
          <w:tab w:val="left" w:pos="426"/>
          <w:tab w:val="left" w:pos="851"/>
        </w:tabs>
        <w:spacing w:after="0" w:line="240" w:lineRule="auto"/>
        <w:jc w:val="both"/>
        <w:rPr>
          <w:rFonts w:ascii="Arial Narrow" w:hAnsi="Arial Narrow" w:cs="Arial"/>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 xml:space="preserve">Implementation of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network development plan will result in lower gas prices for all gas consumers</w:t>
      </w:r>
      <w:r w:rsidR="00C00CF1">
        <w:rPr>
          <w:rFonts w:ascii="Arial Narrow" w:hAnsi="Arial Narrow" w:cs="Arial"/>
          <w:sz w:val="24"/>
          <w:szCs w:val="24"/>
        </w:rPr>
        <w:t xml:space="preserve"> (4.7%)</w:t>
      </w:r>
      <w:r w:rsidRPr="007945F6">
        <w:rPr>
          <w:rFonts w:ascii="Arial Narrow" w:hAnsi="Arial Narrow" w:cs="Arial"/>
          <w:sz w:val="24"/>
          <w:szCs w:val="24"/>
        </w:rPr>
        <w:t>.</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The proposed development and deployment plan;</w:t>
      </w:r>
    </w:p>
    <w:p w:rsidR="007945F6" w:rsidRPr="007945F6" w:rsidRDefault="007945F6" w:rsidP="000C2FAE">
      <w:pPr>
        <w:tabs>
          <w:tab w:val="left" w:pos="426"/>
        </w:tabs>
        <w:spacing w:after="0" w:line="240" w:lineRule="auto"/>
        <w:ind w:left="426"/>
        <w:jc w:val="both"/>
        <w:rPr>
          <w:rFonts w:ascii="Arial Narrow" w:hAnsi="Arial Narrow" w:cs="Arial"/>
          <w:sz w:val="24"/>
          <w:szCs w:val="24"/>
        </w:rPr>
      </w:pP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does not involve any duplication of resources with the representation program;</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is based on prudent incentive of $2,000 per appliance; generating a positive value to customers;</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is likely to facilitate 1400 new air conditioner units, which is consistent with the up-take rate observed with photovoltaic solar.</w:t>
      </w:r>
    </w:p>
    <w:p w:rsidR="007945F6" w:rsidRPr="007945F6" w:rsidRDefault="007945F6" w:rsidP="000C2FAE">
      <w:pPr>
        <w:tabs>
          <w:tab w:val="left" w:pos="426"/>
          <w:tab w:val="left" w:pos="851"/>
        </w:tabs>
        <w:spacing w:after="0" w:line="240" w:lineRule="auto"/>
        <w:jc w:val="both"/>
        <w:rPr>
          <w:rFonts w:ascii="Arial Narrow" w:hAnsi="Arial Narrow" w:cs="Arial"/>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The website project:</w:t>
      </w:r>
    </w:p>
    <w:p w:rsidR="007945F6" w:rsidRPr="007945F6" w:rsidRDefault="007945F6" w:rsidP="000C2FAE">
      <w:pPr>
        <w:tabs>
          <w:tab w:val="left" w:pos="426"/>
        </w:tabs>
        <w:spacing w:after="0" w:line="240" w:lineRule="auto"/>
        <w:ind w:left="426"/>
        <w:jc w:val="both"/>
        <w:rPr>
          <w:rFonts w:ascii="Arial Narrow" w:hAnsi="Arial Narrow" w:cs="Arial"/>
          <w:sz w:val="24"/>
          <w:szCs w:val="24"/>
        </w:rPr>
      </w:pP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will be increasingly important in meeting future customer needs</w:t>
      </w:r>
    </w:p>
    <w:p w:rsidR="007945F6" w:rsidRPr="007945F6" w:rsidRDefault="007945F6" w:rsidP="00DE0E00">
      <w:pPr>
        <w:numPr>
          <w:ilvl w:val="0"/>
          <w:numId w:val="25"/>
        </w:numPr>
        <w:tabs>
          <w:tab w:val="left" w:pos="426"/>
          <w:tab w:val="left" w:pos="851"/>
        </w:tabs>
        <w:spacing w:after="0" w:line="240" w:lineRule="auto"/>
        <w:ind w:left="851" w:hanging="425"/>
        <w:jc w:val="both"/>
        <w:rPr>
          <w:rFonts w:ascii="Arial Narrow" w:hAnsi="Arial Narrow" w:cs="Arial"/>
          <w:sz w:val="24"/>
          <w:szCs w:val="24"/>
        </w:rPr>
      </w:pPr>
      <w:r w:rsidRPr="007945F6">
        <w:rPr>
          <w:rFonts w:ascii="Arial Narrow" w:hAnsi="Arial Narrow" w:cs="Arial"/>
          <w:sz w:val="24"/>
          <w:szCs w:val="24"/>
        </w:rPr>
        <w:t xml:space="preserve">will involve development of a new website, the funding of which is not included elsewhere in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submission.</w:t>
      </w:r>
    </w:p>
    <w:p w:rsidR="007945F6" w:rsidRDefault="007945F6" w:rsidP="000C2FAE">
      <w:pPr>
        <w:tabs>
          <w:tab w:val="left" w:pos="426"/>
        </w:tabs>
        <w:spacing w:after="0" w:line="240" w:lineRule="auto"/>
        <w:ind w:left="426"/>
        <w:jc w:val="both"/>
        <w:rPr>
          <w:rFonts w:ascii="Arial Narrow" w:hAnsi="Arial Narrow" w:cs="Arial"/>
          <w:sz w:val="24"/>
          <w:szCs w:val="24"/>
        </w:rPr>
      </w:pPr>
    </w:p>
    <w:p w:rsidR="00867C5D" w:rsidRPr="007945F6" w:rsidRDefault="00867C5D" w:rsidP="000C2FAE">
      <w:pPr>
        <w:tabs>
          <w:tab w:val="left" w:pos="426"/>
        </w:tabs>
        <w:spacing w:after="0" w:line="240" w:lineRule="auto"/>
        <w:ind w:left="426"/>
        <w:jc w:val="both"/>
        <w:rPr>
          <w:rFonts w:ascii="Arial Narrow" w:hAnsi="Arial Narrow" w:cs="Arial"/>
          <w:sz w:val="24"/>
          <w:szCs w:val="24"/>
        </w:rPr>
      </w:pPr>
    </w:p>
    <w:p w:rsidR="00271EEE" w:rsidRDefault="00271EEE" w:rsidP="000C2FAE">
      <w:pPr>
        <w:tabs>
          <w:tab w:val="left" w:pos="0"/>
        </w:tabs>
        <w:spacing w:after="0" w:line="240" w:lineRule="auto"/>
        <w:jc w:val="both"/>
        <w:rPr>
          <w:rFonts w:ascii="Arial Narrow" w:hAnsi="Arial Narrow" w:cs="Arial"/>
          <w:sz w:val="24"/>
          <w:szCs w:val="24"/>
        </w:rPr>
      </w:pPr>
    </w:p>
    <w:p w:rsidR="00271EEE" w:rsidRDefault="00271EEE" w:rsidP="000C2FAE">
      <w:pPr>
        <w:tabs>
          <w:tab w:val="left" w:pos="0"/>
        </w:tabs>
        <w:spacing w:after="0" w:line="240" w:lineRule="auto"/>
        <w:jc w:val="both"/>
        <w:rPr>
          <w:rFonts w:ascii="Arial Narrow" w:hAnsi="Arial Narrow" w:cs="Arial"/>
          <w:sz w:val="24"/>
          <w:szCs w:val="24"/>
        </w:rPr>
      </w:pPr>
    </w:p>
    <w:p w:rsidR="007945F6" w:rsidRPr="007945F6" w:rsidRDefault="007945F6" w:rsidP="000C2FAE">
      <w:pPr>
        <w:tabs>
          <w:tab w:val="left" w:pos="0"/>
        </w:tabs>
        <w:spacing w:after="0" w:line="240" w:lineRule="auto"/>
        <w:jc w:val="both"/>
        <w:rPr>
          <w:rFonts w:ascii="Arial Narrow" w:hAnsi="Arial Narrow" w:cs="Arial"/>
          <w:sz w:val="24"/>
          <w:szCs w:val="24"/>
        </w:rPr>
      </w:pPr>
      <w:r w:rsidRPr="007945F6">
        <w:rPr>
          <w:rFonts w:ascii="Arial Narrow" w:hAnsi="Arial Narrow" w:cs="Arial"/>
          <w:sz w:val="24"/>
          <w:szCs w:val="24"/>
        </w:rPr>
        <w:lastRenderedPageBreak/>
        <w:t xml:space="preserve">PwC’s findings support </w:t>
      </w:r>
      <w:proofErr w:type="spellStart"/>
      <w:r w:rsidRPr="007945F6">
        <w:rPr>
          <w:rFonts w:ascii="Arial Narrow" w:hAnsi="Arial Narrow" w:cs="Arial"/>
          <w:sz w:val="24"/>
          <w:szCs w:val="24"/>
        </w:rPr>
        <w:t>Envestra’s</w:t>
      </w:r>
      <w:proofErr w:type="spellEnd"/>
      <w:r w:rsidRPr="007945F6">
        <w:rPr>
          <w:rFonts w:ascii="Arial Narrow" w:hAnsi="Arial Narrow" w:cs="Arial"/>
          <w:sz w:val="24"/>
          <w:szCs w:val="24"/>
        </w:rPr>
        <w:t xml:space="preserve"> contention that the Network Development Program:</w:t>
      </w:r>
    </w:p>
    <w:p w:rsidR="007945F6" w:rsidRPr="007945F6" w:rsidRDefault="007945F6" w:rsidP="000C2FAE">
      <w:pPr>
        <w:tabs>
          <w:tab w:val="left" w:pos="0"/>
        </w:tabs>
        <w:spacing w:after="0" w:line="240" w:lineRule="auto"/>
        <w:jc w:val="both"/>
        <w:rPr>
          <w:rFonts w:ascii="Arial Narrow" w:hAnsi="Arial Narrow" w:cs="Arial"/>
          <w:sz w:val="24"/>
          <w:szCs w:val="24"/>
        </w:rPr>
      </w:pP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is consistent with Natural Gas Law objective of promoting efficient investment and operation of the network in line with the long term interests of customers;</w:t>
      </w:r>
    </w:p>
    <w:p w:rsidR="007945F6" w:rsidRP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is consistent with Rule 91 in that the costs would be incurred by a prudent operator acting efficiently in accordance with good industry practice to reduce the cost of delivering pipeline services; and</w:t>
      </w:r>
    </w:p>
    <w:p w:rsidR="007945F6" w:rsidRDefault="007945F6" w:rsidP="00DE0E00">
      <w:pPr>
        <w:numPr>
          <w:ilvl w:val="0"/>
          <w:numId w:val="24"/>
        </w:numPr>
        <w:tabs>
          <w:tab w:val="left" w:pos="426"/>
        </w:tabs>
        <w:spacing w:after="0" w:line="240" w:lineRule="auto"/>
        <w:ind w:left="426" w:hanging="426"/>
        <w:jc w:val="both"/>
        <w:rPr>
          <w:rFonts w:ascii="Arial Narrow" w:hAnsi="Arial Narrow" w:cs="Arial"/>
          <w:sz w:val="24"/>
          <w:szCs w:val="24"/>
        </w:rPr>
      </w:pPr>
      <w:r w:rsidRPr="007945F6">
        <w:rPr>
          <w:rFonts w:ascii="Arial Narrow" w:hAnsi="Arial Narrow" w:cs="Arial"/>
          <w:sz w:val="24"/>
          <w:szCs w:val="24"/>
        </w:rPr>
        <w:t>has been costed for the purpose of the Access Arrangement consistent with Rule 74 (representing the best estimate or forecast possible in the circumstances arrived on a reasonable basis).</w:t>
      </w:r>
    </w:p>
    <w:p w:rsidR="0032279B" w:rsidRPr="007945F6" w:rsidRDefault="0032279B" w:rsidP="0032279B">
      <w:pPr>
        <w:tabs>
          <w:tab w:val="left" w:pos="426"/>
        </w:tabs>
        <w:spacing w:after="0" w:line="240" w:lineRule="auto"/>
        <w:ind w:left="426"/>
        <w:jc w:val="both"/>
        <w:rPr>
          <w:rFonts w:ascii="Arial Narrow" w:hAnsi="Arial Narrow" w:cs="Arial"/>
          <w:sz w:val="24"/>
          <w:szCs w:val="24"/>
        </w:rPr>
      </w:pPr>
    </w:p>
    <w:p w:rsidR="0004061A" w:rsidRPr="00201C54" w:rsidRDefault="0004061A" w:rsidP="0032279B">
      <w:pPr>
        <w:pStyle w:val="Heading1"/>
        <w:spacing w:before="0"/>
      </w:pPr>
      <w:r w:rsidRPr="00201C54">
        <w:t xml:space="preserve">UAFG Gas </w:t>
      </w:r>
      <w:r w:rsidR="00F22849" w:rsidRPr="00201C54">
        <w:t>Price</w:t>
      </w:r>
    </w:p>
    <w:p w:rsidR="006230F0" w:rsidRPr="0028766C" w:rsidRDefault="006230F0" w:rsidP="000C2FAE">
      <w:pPr>
        <w:spacing w:after="0" w:line="240" w:lineRule="auto"/>
        <w:rPr>
          <w:rFonts w:ascii="Arial Narrow" w:hAnsi="Arial Narrow"/>
          <w:sz w:val="24"/>
          <w:szCs w:val="24"/>
        </w:rPr>
      </w:pPr>
    </w:p>
    <w:p w:rsidR="009F7F67" w:rsidRPr="0028766C" w:rsidRDefault="009F7F67" w:rsidP="005A56C2">
      <w:pPr>
        <w:pStyle w:val="Heading2"/>
      </w:pPr>
      <w:r w:rsidRPr="0028766C">
        <w:t>AER Draft Decision</w:t>
      </w:r>
    </w:p>
    <w:p w:rsidR="009F7F67" w:rsidRPr="0028766C" w:rsidRDefault="009F7F67" w:rsidP="000C2FAE">
      <w:pPr>
        <w:pStyle w:val="AERbodytext"/>
        <w:spacing w:after="0"/>
        <w:ind w:left="567"/>
        <w:jc w:val="both"/>
        <w:rPr>
          <w:rFonts w:ascii="Arial Narrow" w:hAnsi="Arial Narrow"/>
        </w:rPr>
      </w:pPr>
    </w:p>
    <w:p w:rsidR="001060C0" w:rsidRPr="0028766C" w:rsidRDefault="001060C0" w:rsidP="00876262">
      <w:pPr>
        <w:pStyle w:val="AERbodytext"/>
        <w:spacing w:after="0"/>
        <w:jc w:val="both"/>
        <w:rPr>
          <w:rFonts w:ascii="Arial Narrow" w:hAnsi="Arial Narrow"/>
        </w:rPr>
      </w:pPr>
      <w:r w:rsidRPr="0028766C">
        <w:rPr>
          <w:rFonts w:ascii="Arial Narrow" w:hAnsi="Arial Narrow"/>
        </w:rPr>
        <w:t xml:space="preserve">In its access arrangement proposal Envestra proposed a gas price for UAFG based on forecasts prepared by the Core Energy Group. The AER rejected these forecasts </w:t>
      </w:r>
      <w:r w:rsidR="0001455E">
        <w:rPr>
          <w:rFonts w:ascii="Arial Narrow" w:hAnsi="Arial Narrow"/>
        </w:rPr>
        <w:t>on the basis they included</w:t>
      </w:r>
      <w:r w:rsidR="00876262">
        <w:rPr>
          <w:rFonts w:ascii="Arial Narrow" w:hAnsi="Arial Narrow"/>
        </w:rPr>
        <w:t xml:space="preserve"> </w:t>
      </w:r>
      <w:r w:rsidRPr="0028766C">
        <w:rPr>
          <w:rFonts w:ascii="Arial Narrow" w:hAnsi="Arial Narrow"/>
        </w:rPr>
        <w:t>in the cost of gas contract premiums and retailer margins</w:t>
      </w:r>
      <w:r w:rsidR="00C01015">
        <w:rPr>
          <w:rFonts w:ascii="Arial Narrow" w:hAnsi="Arial Narrow"/>
        </w:rPr>
        <w:t xml:space="preserve">.  The AER did not consider sufficient evidence had been provided </w:t>
      </w:r>
      <w:r w:rsidRPr="0028766C">
        <w:rPr>
          <w:rFonts w:ascii="Arial Narrow" w:hAnsi="Arial Narrow"/>
        </w:rPr>
        <w:t>to demonstrate that the amount of the premiums w</w:t>
      </w:r>
      <w:r w:rsidR="00C01015">
        <w:rPr>
          <w:rFonts w:ascii="Arial Narrow" w:hAnsi="Arial Narrow"/>
        </w:rPr>
        <w:t>as</w:t>
      </w:r>
      <w:r w:rsidRPr="0028766C">
        <w:rPr>
          <w:rFonts w:ascii="Arial Narrow" w:hAnsi="Arial Narrow"/>
        </w:rPr>
        <w:t xml:space="preserve"> consistent with market practice and </w:t>
      </w:r>
      <w:r w:rsidR="00FE6011" w:rsidRPr="0028766C">
        <w:rPr>
          <w:rFonts w:ascii="Arial Narrow" w:hAnsi="Arial Narrow"/>
        </w:rPr>
        <w:t xml:space="preserve">otherwise </w:t>
      </w:r>
      <w:r w:rsidRPr="0028766C">
        <w:rPr>
          <w:rFonts w:ascii="Arial Narrow" w:hAnsi="Arial Narrow"/>
        </w:rPr>
        <w:t>justifiable.</w:t>
      </w:r>
    </w:p>
    <w:p w:rsidR="001060C0" w:rsidRPr="0028766C" w:rsidRDefault="001060C0" w:rsidP="000C2FAE">
      <w:pPr>
        <w:spacing w:after="0" w:line="240" w:lineRule="auto"/>
        <w:ind w:left="576"/>
        <w:jc w:val="both"/>
        <w:rPr>
          <w:rFonts w:ascii="Arial Narrow" w:eastAsia="Times New Roman" w:hAnsi="Arial Narrow"/>
          <w:sz w:val="24"/>
          <w:szCs w:val="24"/>
        </w:rPr>
      </w:pPr>
    </w:p>
    <w:p w:rsidR="001060C0" w:rsidRPr="0028766C" w:rsidRDefault="001060C0" w:rsidP="00876262">
      <w:pPr>
        <w:pStyle w:val="AERbodytext"/>
        <w:spacing w:after="0"/>
        <w:jc w:val="both"/>
        <w:rPr>
          <w:rFonts w:ascii="Arial Narrow" w:hAnsi="Arial Narrow"/>
        </w:rPr>
      </w:pPr>
      <w:r w:rsidRPr="0028766C">
        <w:rPr>
          <w:rFonts w:ascii="Arial Narrow" w:hAnsi="Arial Narrow"/>
        </w:rPr>
        <w:t xml:space="preserve">The AER noted in the Draft Decision that in its public submission, the ECCSA stated that its members “are currently paying or have contracted for gas prices well below the price that Envestra has proposed”. However, it is noted that </w:t>
      </w:r>
      <w:proofErr w:type="spellStart"/>
      <w:r w:rsidRPr="0028766C">
        <w:rPr>
          <w:rFonts w:ascii="Arial Narrow" w:hAnsi="Arial Narrow"/>
        </w:rPr>
        <w:t>Envestra’s</w:t>
      </w:r>
      <w:proofErr w:type="spellEnd"/>
      <w:r w:rsidRPr="0028766C">
        <w:rPr>
          <w:rFonts w:ascii="Arial Narrow" w:hAnsi="Arial Narrow"/>
        </w:rPr>
        <w:t xml:space="preserve"> proposed prices were not made public in its submission</w:t>
      </w:r>
      <w:r w:rsidR="00FE6011" w:rsidRPr="0028766C">
        <w:rPr>
          <w:rFonts w:ascii="Arial Narrow" w:hAnsi="Arial Narrow"/>
        </w:rPr>
        <w:t>, which renders the</w:t>
      </w:r>
      <w:r w:rsidRPr="0028766C">
        <w:rPr>
          <w:rFonts w:ascii="Arial Narrow" w:hAnsi="Arial Narrow"/>
        </w:rPr>
        <w:t xml:space="preserve"> ECCSA’s statement </w:t>
      </w:r>
      <w:r w:rsidR="009C4B3C">
        <w:rPr>
          <w:rFonts w:ascii="Arial Narrow" w:hAnsi="Arial Narrow"/>
        </w:rPr>
        <w:t>unsubstan</w:t>
      </w:r>
      <w:r w:rsidR="0061453E">
        <w:rPr>
          <w:rFonts w:ascii="Arial Narrow" w:hAnsi="Arial Narrow"/>
        </w:rPr>
        <w:t>t</w:t>
      </w:r>
      <w:r w:rsidR="00334879">
        <w:rPr>
          <w:rFonts w:ascii="Arial Narrow" w:hAnsi="Arial Narrow"/>
        </w:rPr>
        <w:t>ia</w:t>
      </w:r>
      <w:r w:rsidR="009C4B3C">
        <w:rPr>
          <w:rFonts w:ascii="Arial Narrow" w:hAnsi="Arial Narrow"/>
        </w:rPr>
        <w:t>ted</w:t>
      </w:r>
      <w:r w:rsidR="00FE6011" w:rsidRPr="0028766C">
        <w:rPr>
          <w:rFonts w:ascii="Arial Narrow" w:hAnsi="Arial Narrow"/>
        </w:rPr>
        <w:t xml:space="preserve">. </w:t>
      </w:r>
      <w:r w:rsidR="009C4B3C">
        <w:rPr>
          <w:rFonts w:ascii="Arial Narrow" w:hAnsi="Arial Narrow"/>
        </w:rPr>
        <w:t>Further the Envestra UAFG cont</w:t>
      </w:r>
      <w:r w:rsidR="00334879">
        <w:rPr>
          <w:rFonts w:ascii="Arial Narrow" w:hAnsi="Arial Narrow"/>
        </w:rPr>
        <w:t>r</w:t>
      </w:r>
      <w:r w:rsidR="009C4B3C">
        <w:rPr>
          <w:rFonts w:ascii="Arial Narrow" w:hAnsi="Arial Narrow"/>
        </w:rPr>
        <w:t xml:space="preserve">act has unique characteristics </w:t>
      </w:r>
      <w:r w:rsidR="00150CA1">
        <w:rPr>
          <w:rFonts w:ascii="Arial Narrow" w:hAnsi="Arial Narrow"/>
        </w:rPr>
        <w:t xml:space="preserve">which </w:t>
      </w:r>
      <w:r w:rsidR="009C4B3C">
        <w:rPr>
          <w:rFonts w:ascii="Arial Narrow" w:hAnsi="Arial Narrow"/>
        </w:rPr>
        <w:t>differentiates it from standard industrial customer contracts.</w:t>
      </w:r>
    </w:p>
    <w:p w:rsidR="00FE6011" w:rsidRPr="0028766C" w:rsidRDefault="00FE6011" w:rsidP="00876262">
      <w:pPr>
        <w:pStyle w:val="AERbodytext"/>
        <w:spacing w:after="0"/>
        <w:jc w:val="both"/>
        <w:rPr>
          <w:rFonts w:ascii="Arial Narrow" w:hAnsi="Arial Narrow"/>
        </w:rPr>
      </w:pPr>
    </w:p>
    <w:p w:rsidR="00FE6011" w:rsidRPr="0028766C" w:rsidRDefault="00FE6011" w:rsidP="00876262">
      <w:pPr>
        <w:pStyle w:val="AERbodytext"/>
        <w:spacing w:after="0"/>
        <w:jc w:val="both"/>
        <w:rPr>
          <w:rFonts w:ascii="Arial Narrow" w:hAnsi="Arial Narrow"/>
        </w:rPr>
      </w:pPr>
      <w:r w:rsidRPr="0028766C">
        <w:rPr>
          <w:rFonts w:ascii="Arial Narrow" w:hAnsi="Arial Narrow"/>
        </w:rPr>
        <w:t xml:space="preserve">That aside, this section discusses the above two issues put forward by the AER for not accepting the UAFG prices submitted by Envestra. </w:t>
      </w:r>
    </w:p>
    <w:p w:rsidR="001060C0" w:rsidRPr="0028766C" w:rsidRDefault="001060C0" w:rsidP="000C2FAE">
      <w:pPr>
        <w:pStyle w:val="AERbodytext"/>
        <w:spacing w:after="0"/>
        <w:ind w:left="567"/>
        <w:jc w:val="both"/>
        <w:rPr>
          <w:rFonts w:ascii="Arial Narrow" w:hAnsi="Arial Narrow"/>
        </w:rPr>
      </w:pPr>
    </w:p>
    <w:p w:rsidR="009F7F67" w:rsidRPr="0028766C" w:rsidRDefault="009F7F67" w:rsidP="005A56C2">
      <w:pPr>
        <w:pStyle w:val="Heading2"/>
      </w:pPr>
      <w:r w:rsidRPr="0028766C">
        <w:t>Envestra Response</w:t>
      </w:r>
    </w:p>
    <w:p w:rsidR="009F7F67" w:rsidRPr="0028766C" w:rsidRDefault="009F7F67" w:rsidP="000C2FAE">
      <w:pPr>
        <w:pStyle w:val="AERbodytext"/>
        <w:spacing w:after="0"/>
        <w:jc w:val="both"/>
        <w:rPr>
          <w:rFonts w:ascii="Arial Narrow" w:hAnsi="Arial Narrow"/>
          <w:b/>
          <w:highlight w:val="cyan"/>
        </w:rPr>
      </w:pPr>
    </w:p>
    <w:p w:rsidR="009F7F67" w:rsidRDefault="009F7F67" w:rsidP="00876262">
      <w:pPr>
        <w:spacing w:after="0" w:line="240" w:lineRule="auto"/>
        <w:jc w:val="both"/>
        <w:rPr>
          <w:rFonts w:ascii="Arial Narrow" w:hAnsi="Arial Narrow"/>
          <w:sz w:val="24"/>
          <w:szCs w:val="24"/>
        </w:rPr>
      </w:pPr>
      <w:r w:rsidRPr="0028766C">
        <w:rPr>
          <w:rFonts w:ascii="Arial Narrow" w:hAnsi="Arial Narrow"/>
          <w:sz w:val="24"/>
          <w:szCs w:val="24"/>
        </w:rPr>
        <w:t xml:space="preserve">The cost of UAFG is a material component of overall operating expenditure for the </w:t>
      </w:r>
      <w:r w:rsidR="00FE6011" w:rsidRPr="0028766C">
        <w:rPr>
          <w:rFonts w:ascii="Arial Narrow" w:hAnsi="Arial Narrow"/>
          <w:sz w:val="24"/>
          <w:szCs w:val="24"/>
        </w:rPr>
        <w:t>South Australian</w:t>
      </w:r>
      <w:r w:rsidRPr="0028766C">
        <w:rPr>
          <w:rFonts w:ascii="Arial Narrow" w:hAnsi="Arial Narrow"/>
          <w:sz w:val="24"/>
          <w:szCs w:val="24"/>
        </w:rPr>
        <w:t xml:space="preserve"> network. Because the UAFG level is peculiar to the characteristics of the network in question, and to facilitate transparency, this component of operating expenditure was separately identified in </w:t>
      </w:r>
      <w:proofErr w:type="spellStart"/>
      <w:r w:rsidRPr="0028766C">
        <w:rPr>
          <w:rFonts w:ascii="Arial Narrow" w:hAnsi="Arial Narrow"/>
          <w:sz w:val="24"/>
          <w:szCs w:val="24"/>
        </w:rPr>
        <w:t>Envestra’s</w:t>
      </w:r>
      <w:proofErr w:type="spellEnd"/>
      <w:r w:rsidRPr="0028766C">
        <w:rPr>
          <w:rFonts w:ascii="Arial Narrow" w:hAnsi="Arial Narrow"/>
          <w:sz w:val="24"/>
          <w:szCs w:val="24"/>
        </w:rPr>
        <w:t xml:space="preserve"> original AAI submission. </w:t>
      </w:r>
    </w:p>
    <w:p w:rsidR="003D001A" w:rsidRPr="0028766C" w:rsidRDefault="003D001A" w:rsidP="00876262">
      <w:pPr>
        <w:spacing w:after="0" w:line="240" w:lineRule="auto"/>
        <w:jc w:val="both"/>
        <w:rPr>
          <w:rFonts w:ascii="Arial Narrow" w:hAnsi="Arial Narrow"/>
          <w:sz w:val="24"/>
          <w:szCs w:val="24"/>
        </w:rPr>
      </w:pPr>
    </w:p>
    <w:p w:rsidR="009F7F67" w:rsidRDefault="009F7F67" w:rsidP="00876262">
      <w:pPr>
        <w:spacing w:after="0" w:line="240" w:lineRule="auto"/>
        <w:jc w:val="both"/>
        <w:rPr>
          <w:rFonts w:ascii="Arial Narrow" w:hAnsi="Arial Narrow"/>
          <w:sz w:val="24"/>
          <w:szCs w:val="24"/>
        </w:rPr>
      </w:pPr>
      <w:r w:rsidRPr="0028766C">
        <w:rPr>
          <w:rFonts w:ascii="Arial Narrow" w:hAnsi="Arial Narrow"/>
          <w:sz w:val="24"/>
          <w:szCs w:val="24"/>
        </w:rPr>
        <w:t>In that submission, Envestra advised it was:</w:t>
      </w:r>
    </w:p>
    <w:p w:rsidR="003D001A" w:rsidRPr="0028766C" w:rsidRDefault="003D001A" w:rsidP="000C2FAE">
      <w:pPr>
        <w:spacing w:after="0" w:line="240" w:lineRule="auto"/>
        <w:ind w:left="567"/>
        <w:jc w:val="both"/>
        <w:rPr>
          <w:rFonts w:ascii="Arial Narrow" w:hAnsi="Arial Narrow"/>
          <w:sz w:val="24"/>
          <w:szCs w:val="24"/>
        </w:rPr>
      </w:pPr>
    </w:p>
    <w:p w:rsidR="009F7F67" w:rsidRDefault="009F7F67" w:rsidP="00876262">
      <w:pPr>
        <w:spacing w:after="0" w:line="240" w:lineRule="auto"/>
        <w:ind w:left="567" w:right="565"/>
        <w:jc w:val="both"/>
        <w:rPr>
          <w:rFonts w:ascii="Arial Narrow" w:hAnsi="Arial Narrow"/>
          <w:i/>
          <w:sz w:val="24"/>
          <w:szCs w:val="24"/>
        </w:rPr>
      </w:pPr>
      <w:r w:rsidRPr="0028766C">
        <w:rPr>
          <w:rFonts w:ascii="Arial Narrow" w:hAnsi="Arial Narrow"/>
          <w:i/>
          <w:sz w:val="24"/>
          <w:szCs w:val="24"/>
        </w:rPr>
        <w:t xml:space="preserve">“in the process of tendering again for the supply of gas for the forecast period, but at the time of preparing its forecasts, that tendering process is not complete and no contract has been entered into. Consequently, Envestra cannot rely on a known/fixed price of gas for its UAFG </w:t>
      </w:r>
      <w:proofErr w:type="spellStart"/>
      <w:r w:rsidRPr="0028766C">
        <w:rPr>
          <w:rFonts w:ascii="Arial Narrow" w:hAnsi="Arial Narrow"/>
          <w:i/>
          <w:sz w:val="24"/>
          <w:szCs w:val="24"/>
        </w:rPr>
        <w:t>opex</w:t>
      </w:r>
      <w:proofErr w:type="spellEnd"/>
      <w:r w:rsidRPr="0028766C">
        <w:rPr>
          <w:rFonts w:ascii="Arial Narrow" w:hAnsi="Arial Narrow"/>
          <w:i/>
          <w:sz w:val="24"/>
          <w:szCs w:val="24"/>
        </w:rPr>
        <w:t xml:space="preserve"> and must rely on a best estimate of the forecast cost of gas. Envestra has relied upon expert advice from CORE Energy Group to provide a best estimate</w:t>
      </w:r>
      <w:r w:rsidR="00FE6011" w:rsidRPr="0028766C">
        <w:rPr>
          <w:rFonts w:ascii="Arial Narrow" w:hAnsi="Arial Narrow"/>
          <w:i/>
          <w:sz w:val="24"/>
          <w:szCs w:val="24"/>
        </w:rPr>
        <w:t>”</w:t>
      </w:r>
      <w:r w:rsidR="00FE6011" w:rsidRPr="0028766C">
        <w:rPr>
          <w:rStyle w:val="FootnoteReference"/>
          <w:rFonts w:ascii="Arial Narrow" w:hAnsi="Arial Narrow"/>
          <w:i/>
          <w:sz w:val="24"/>
          <w:szCs w:val="24"/>
        </w:rPr>
        <w:t xml:space="preserve"> </w:t>
      </w:r>
      <w:r w:rsidR="00FE6011" w:rsidRPr="0028766C">
        <w:rPr>
          <w:rStyle w:val="FootnoteReference"/>
          <w:rFonts w:ascii="Arial Narrow" w:hAnsi="Arial Narrow"/>
          <w:i/>
          <w:sz w:val="24"/>
          <w:szCs w:val="24"/>
        </w:rPr>
        <w:footnoteReference w:id="26"/>
      </w:r>
    </w:p>
    <w:p w:rsidR="003D001A" w:rsidRPr="0028766C" w:rsidRDefault="003D001A" w:rsidP="000C2FAE">
      <w:pPr>
        <w:spacing w:after="0" w:line="240" w:lineRule="auto"/>
        <w:ind w:left="1134"/>
        <w:jc w:val="both"/>
        <w:rPr>
          <w:rFonts w:ascii="Arial Narrow" w:hAnsi="Arial Narrow"/>
          <w:i/>
          <w:sz w:val="24"/>
          <w:szCs w:val="24"/>
        </w:rPr>
      </w:pPr>
    </w:p>
    <w:p w:rsidR="009F7F67" w:rsidRDefault="009F7F67" w:rsidP="00876262">
      <w:pPr>
        <w:spacing w:after="0" w:line="240" w:lineRule="auto"/>
        <w:jc w:val="both"/>
        <w:rPr>
          <w:rFonts w:ascii="Arial Narrow" w:hAnsi="Arial Narrow"/>
          <w:sz w:val="24"/>
          <w:szCs w:val="24"/>
        </w:rPr>
      </w:pPr>
      <w:r w:rsidRPr="0028766C">
        <w:rPr>
          <w:rFonts w:ascii="Arial Narrow" w:hAnsi="Arial Narrow"/>
          <w:sz w:val="24"/>
          <w:szCs w:val="24"/>
        </w:rPr>
        <w:t>The advice received from CORE Energy Group (CORE) was contained in Attachment 6-2 of that submission in their report “Eastern Australian Natural Gas Market - Market Overview and Price Outlook to 2016.”</w:t>
      </w:r>
    </w:p>
    <w:p w:rsidR="009F7F67" w:rsidRPr="0028766C" w:rsidRDefault="009F7F67" w:rsidP="005A56C2">
      <w:pPr>
        <w:pStyle w:val="Heading2"/>
      </w:pPr>
      <w:r w:rsidRPr="0028766C">
        <w:lastRenderedPageBreak/>
        <w:t>Envestra Tendering Process and Results</w:t>
      </w:r>
    </w:p>
    <w:p w:rsidR="009F7F67" w:rsidRPr="0028766C" w:rsidRDefault="009F7F67" w:rsidP="000C2FAE">
      <w:pPr>
        <w:spacing w:after="0" w:line="240" w:lineRule="auto"/>
        <w:jc w:val="both"/>
        <w:rPr>
          <w:rFonts w:ascii="Arial Narrow" w:hAnsi="Arial Narrow"/>
          <w:sz w:val="24"/>
          <w:szCs w:val="24"/>
        </w:rPr>
      </w:pPr>
    </w:p>
    <w:p w:rsidR="009F7F67" w:rsidRDefault="009F7F67" w:rsidP="00876262">
      <w:pPr>
        <w:spacing w:after="0" w:line="240" w:lineRule="auto"/>
        <w:jc w:val="both"/>
        <w:rPr>
          <w:rFonts w:ascii="Arial Narrow" w:hAnsi="Arial Narrow"/>
          <w:sz w:val="24"/>
          <w:szCs w:val="24"/>
        </w:rPr>
      </w:pPr>
      <w:r w:rsidRPr="0028766C">
        <w:rPr>
          <w:rFonts w:ascii="Arial Narrow" w:hAnsi="Arial Narrow"/>
          <w:sz w:val="24"/>
          <w:szCs w:val="24"/>
        </w:rPr>
        <w:t xml:space="preserve">Since its October 2010 submission, Envestra has progressed its tendering process to the point where commercial terms and conditions have been agreed and firm prices have now been offered by the preferred supplier of UAFG for the </w:t>
      </w:r>
      <w:r w:rsidR="00FC4F3B">
        <w:rPr>
          <w:rFonts w:ascii="Arial Narrow" w:hAnsi="Arial Narrow"/>
          <w:sz w:val="24"/>
          <w:szCs w:val="24"/>
        </w:rPr>
        <w:t>South Australian</w:t>
      </w:r>
      <w:r w:rsidR="00FC4F3B" w:rsidRPr="0028766C">
        <w:rPr>
          <w:rFonts w:ascii="Arial Narrow" w:hAnsi="Arial Narrow"/>
          <w:sz w:val="24"/>
          <w:szCs w:val="24"/>
        </w:rPr>
        <w:t xml:space="preserve"> </w:t>
      </w:r>
      <w:r w:rsidRPr="0028766C">
        <w:rPr>
          <w:rFonts w:ascii="Arial Narrow" w:hAnsi="Arial Narrow"/>
          <w:sz w:val="24"/>
          <w:szCs w:val="24"/>
        </w:rPr>
        <w:t>network.</w:t>
      </w:r>
    </w:p>
    <w:p w:rsidR="00F12A29" w:rsidRPr="0028766C" w:rsidRDefault="00F12A29" w:rsidP="00876262">
      <w:pPr>
        <w:spacing w:after="0" w:line="240" w:lineRule="auto"/>
        <w:jc w:val="both"/>
        <w:rPr>
          <w:rFonts w:ascii="Arial Narrow" w:hAnsi="Arial Narrow"/>
          <w:sz w:val="24"/>
          <w:szCs w:val="24"/>
        </w:rPr>
      </w:pPr>
    </w:p>
    <w:p w:rsidR="009F7F67" w:rsidRDefault="009F7F67" w:rsidP="00876262">
      <w:pPr>
        <w:spacing w:after="0" w:line="240" w:lineRule="auto"/>
        <w:jc w:val="both"/>
        <w:rPr>
          <w:rFonts w:ascii="Arial Narrow" w:hAnsi="Arial Narrow"/>
          <w:sz w:val="24"/>
          <w:szCs w:val="24"/>
        </w:rPr>
      </w:pPr>
      <w:r w:rsidRPr="0028766C">
        <w:rPr>
          <w:rFonts w:ascii="Arial Narrow" w:hAnsi="Arial Narrow"/>
          <w:sz w:val="24"/>
          <w:szCs w:val="24"/>
        </w:rPr>
        <w:t>Attachment 6-11</w:t>
      </w:r>
      <w:r w:rsidR="009D618B" w:rsidRPr="0028766C">
        <w:rPr>
          <w:rFonts w:ascii="Arial Narrow" w:hAnsi="Arial Narrow"/>
          <w:sz w:val="24"/>
          <w:szCs w:val="24"/>
        </w:rPr>
        <w:t xml:space="preserve"> to the revised AAI,</w:t>
      </w:r>
      <w:r w:rsidRPr="0028766C">
        <w:rPr>
          <w:rFonts w:ascii="Arial Narrow" w:hAnsi="Arial Narrow"/>
          <w:sz w:val="24"/>
          <w:szCs w:val="24"/>
        </w:rPr>
        <w:t xml:space="preserve"> “Unaccounted for Gas (UAFG) Prices - Tendering Process”</w:t>
      </w:r>
      <w:r w:rsidR="009D618B" w:rsidRPr="0028766C">
        <w:rPr>
          <w:rFonts w:ascii="Arial Narrow" w:hAnsi="Arial Narrow"/>
          <w:sz w:val="24"/>
          <w:szCs w:val="24"/>
        </w:rPr>
        <w:t>.</w:t>
      </w:r>
      <w:r w:rsidRPr="0028766C">
        <w:rPr>
          <w:rFonts w:ascii="Arial Narrow" w:hAnsi="Arial Narrow"/>
          <w:sz w:val="24"/>
          <w:szCs w:val="24"/>
        </w:rPr>
        <w:t xml:space="preserve"> sets out the tendering process that Envestra has conducted</w:t>
      </w:r>
      <w:r w:rsidR="00FC4F3B">
        <w:rPr>
          <w:rFonts w:ascii="Arial Narrow" w:hAnsi="Arial Narrow"/>
          <w:sz w:val="24"/>
          <w:szCs w:val="24"/>
        </w:rPr>
        <w:t xml:space="preserve"> and the results of that process</w:t>
      </w:r>
      <w:r w:rsidRPr="0028766C">
        <w:rPr>
          <w:rFonts w:ascii="Arial Narrow" w:hAnsi="Arial Narrow"/>
          <w:sz w:val="24"/>
          <w:szCs w:val="24"/>
        </w:rPr>
        <w:t>. The results of that tender process reflect the most recent market evidence of UAFG pricing, and as such, comply with rule 74 of the NGR and should be used by the AER in its Final Decision. The UAFG prices are set out in the following table.</w:t>
      </w:r>
    </w:p>
    <w:p w:rsidR="00C44442" w:rsidRDefault="00C44442" w:rsidP="000C2FAE">
      <w:pPr>
        <w:spacing w:after="0" w:line="240" w:lineRule="auto"/>
        <w:ind w:left="709"/>
        <w:jc w:val="both"/>
        <w:rPr>
          <w:rFonts w:ascii="Arial Narrow" w:hAnsi="Arial Narrow"/>
          <w:sz w:val="24"/>
          <w:szCs w:val="24"/>
        </w:rPr>
      </w:pPr>
    </w:p>
    <w:tbl>
      <w:tblPr>
        <w:tblW w:w="8786"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2551"/>
        <w:gridCol w:w="1247"/>
        <w:gridCol w:w="1247"/>
        <w:gridCol w:w="1247"/>
        <w:gridCol w:w="1247"/>
        <w:gridCol w:w="1247"/>
      </w:tblGrid>
      <w:tr w:rsidR="009F7F67" w:rsidRPr="0028766C" w:rsidTr="00876262">
        <w:trPr>
          <w:trHeight w:val="454"/>
        </w:trPr>
        <w:tc>
          <w:tcPr>
            <w:tcW w:w="2551" w:type="dxa"/>
            <w:tcBorders>
              <w:right w:val="single" w:sz="4" w:space="0" w:color="FFFFFF"/>
            </w:tcBorders>
            <w:shd w:val="clear" w:color="auto" w:fill="548DD4"/>
            <w:vAlign w:val="center"/>
          </w:tcPr>
          <w:p w:rsidR="009F7F67" w:rsidRPr="0028766C" w:rsidRDefault="00FA03B7" w:rsidP="000C2FAE">
            <w:pPr>
              <w:spacing w:after="0" w:line="240" w:lineRule="auto"/>
              <w:jc w:val="center"/>
              <w:rPr>
                <w:rFonts w:ascii="Arial Narrow" w:hAnsi="Arial Narrow"/>
                <w:b/>
                <w:color w:val="FFFFFF"/>
                <w:sz w:val="24"/>
                <w:szCs w:val="24"/>
              </w:rPr>
            </w:pPr>
            <w:r w:rsidDel="00FA03B7">
              <w:rPr>
                <w:rFonts w:ascii="Arial Narrow" w:hAnsi="Arial Narrow"/>
                <w:sz w:val="24"/>
                <w:szCs w:val="24"/>
              </w:rPr>
              <w:t xml:space="preserve"> </w:t>
            </w:r>
            <w:r w:rsidR="009F7F67" w:rsidRPr="0028766C">
              <w:rPr>
                <w:rFonts w:ascii="Arial Narrow" w:hAnsi="Arial Narrow"/>
                <w:b/>
                <w:color w:val="FFFFFF"/>
                <w:sz w:val="24"/>
                <w:szCs w:val="24"/>
              </w:rPr>
              <w:t>($, real 2010)</w:t>
            </w:r>
          </w:p>
        </w:tc>
        <w:tc>
          <w:tcPr>
            <w:tcW w:w="1247" w:type="dxa"/>
            <w:tcBorders>
              <w:left w:val="single" w:sz="4" w:space="0" w:color="FFFFFF"/>
              <w:right w:val="single" w:sz="4" w:space="0" w:color="FFFFFF"/>
            </w:tcBorders>
            <w:shd w:val="clear" w:color="auto" w:fill="548DD4"/>
            <w:noWrap/>
            <w:vAlign w:val="center"/>
          </w:tcPr>
          <w:p w:rsidR="009F7F67" w:rsidRPr="0028766C" w:rsidRDefault="009F7F67"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1247" w:type="dxa"/>
            <w:tcBorders>
              <w:left w:val="single" w:sz="4" w:space="0" w:color="FFFFFF"/>
              <w:right w:val="single" w:sz="4" w:space="0" w:color="FFFFFF"/>
            </w:tcBorders>
            <w:shd w:val="clear" w:color="auto" w:fill="548DD4"/>
            <w:noWrap/>
            <w:vAlign w:val="center"/>
          </w:tcPr>
          <w:p w:rsidR="009F7F67" w:rsidRPr="0028766C" w:rsidRDefault="009F7F67"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1247" w:type="dxa"/>
            <w:tcBorders>
              <w:left w:val="single" w:sz="4" w:space="0" w:color="FFFFFF"/>
              <w:right w:val="single" w:sz="4" w:space="0" w:color="FFFFFF"/>
            </w:tcBorders>
            <w:shd w:val="clear" w:color="auto" w:fill="548DD4"/>
            <w:noWrap/>
            <w:vAlign w:val="center"/>
          </w:tcPr>
          <w:p w:rsidR="009F7F67" w:rsidRPr="0028766C" w:rsidRDefault="009F7F67"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1247" w:type="dxa"/>
            <w:tcBorders>
              <w:left w:val="single" w:sz="4" w:space="0" w:color="FFFFFF"/>
              <w:right w:val="single" w:sz="4" w:space="0" w:color="FFFFFF"/>
            </w:tcBorders>
            <w:shd w:val="clear" w:color="auto" w:fill="548DD4"/>
            <w:noWrap/>
            <w:vAlign w:val="center"/>
          </w:tcPr>
          <w:p w:rsidR="009F7F67" w:rsidRPr="0028766C" w:rsidRDefault="009F7F67"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1247" w:type="dxa"/>
            <w:tcBorders>
              <w:left w:val="single" w:sz="4" w:space="0" w:color="FFFFFF"/>
            </w:tcBorders>
            <w:shd w:val="clear" w:color="auto" w:fill="548DD4"/>
            <w:noWrap/>
            <w:vAlign w:val="center"/>
          </w:tcPr>
          <w:p w:rsidR="009F7F67" w:rsidRPr="0028766C" w:rsidRDefault="009F7F67"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r>
      <w:tr w:rsidR="00FE6011" w:rsidRPr="0028766C" w:rsidTr="00876262">
        <w:trPr>
          <w:trHeight w:val="454"/>
        </w:trPr>
        <w:tc>
          <w:tcPr>
            <w:tcW w:w="2551" w:type="dxa"/>
            <w:shd w:val="clear" w:color="auto" w:fill="auto"/>
            <w:noWrap/>
            <w:vAlign w:val="center"/>
          </w:tcPr>
          <w:p w:rsidR="00FE6011" w:rsidRPr="0028766C" w:rsidRDefault="00FE6011" w:rsidP="000C2FAE">
            <w:pPr>
              <w:spacing w:after="0" w:line="240" w:lineRule="auto"/>
              <w:jc w:val="center"/>
              <w:rPr>
                <w:rFonts w:ascii="Arial Narrow" w:hAnsi="Arial Narrow"/>
                <w:sz w:val="24"/>
                <w:szCs w:val="24"/>
              </w:rPr>
            </w:pPr>
            <w:r w:rsidRPr="0028766C">
              <w:rPr>
                <w:rFonts w:ascii="Arial Narrow" w:hAnsi="Arial Narrow"/>
                <w:sz w:val="24"/>
                <w:szCs w:val="24"/>
              </w:rPr>
              <w:t>Cost of Gas $ / GJ</w:t>
            </w:r>
          </w:p>
        </w:tc>
        <w:tc>
          <w:tcPr>
            <w:tcW w:w="1247" w:type="dxa"/>
            <w:shd w:val="clear" w:color="auto" w:fill="auto"/>
            <w:noWrap/>
            <w:vAlign w:val="center"/>
          </w:tcPr>
          <w:p w:rsidR="00FE6011" w:rsidRPr="00326658" w:rsidRDefault="00FA03B7" w:rsidP="000C2FAE">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247" w:type="dxa"/>
            <w:shd w:val="clear" w:color="auto" w:fill="auto"/>
            <w:noWrap/>
            <w:vAlign w:val="center"/>
          </w:tcPr>
          <w:p w:rsidR="00FE6011" w:rsidRPr="00326658" w:rsidRDefault="00FA03B7" w:rsidP="000C2FAE">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247" w:type="dxa"/>
            <w:shd w:val="clear" w:color="auto" w:fill="auto"/>
            <w:noWrap/>
            <w:vAlign w:val="center"/>
          </w:tcPr>
          <w:p w:rsidR="00FE6011" w:rsidRPr="00326658" w:rsidRDefault="00FA03B7" w:rsidP="000C2FAE">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247" w:type="dxa"/>
            <w:shd w:val="clear" w:color="auto" w:fill="auto"/>
            <w:noWrap/>
            <w:vAlign w:val="center"/>
          </w:tcPr>
          <w:p w:rsidR="00FE6011" w:rsidRPr="00326658" w:rsidRDefault="00FA03B7" w:rsidP="000C2FAE">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247" w:type="dxa"/>
            <w:shd w:val="clear" w:color="auto" w:fill="auto"/>
            <w:noWrap/>
            <w:vAlign w:val="center"/>
          </w:tcPr>
          <w:p w:rsidR="00FE6011" w:rsidRPr="00326658" w:rsidRDefault="00FA03B7" w:rsidP="000C2FAE">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r>
    </w:tbl>
    <w:p w:rsidR="009F7F67" w:rsidRPr="0028766C" w:rsidRDefault="009F7F67" w:rsidP="000C2FAE">
      <w:pPr>
        <w:pStyle w:val="AERbodytext"/>
        <w:spacing w:after="0"/>
        <w:ind w:left="567"/>
        <w:jc w:val="both"/>
        <w:rPr>
          <w:rFonts w:ascii="Arial Narrow" w:hAnsi="Arial Narrow"/>
        </w:rPr>
      </w:pPr>
    </w:p>
    <w:p w:rsidR="009F7F67" w:rsidRPr="0028766C" w:rsidRDefault="00FC4F3B" w:rsidP="005A56C2">
      <w:pPr>
        <w:pStyle w:val="Heading2"/>
      </w:pPr>
      <w:r>
        <w:t>Margins</w:t>
      </w:r>
    </w:p>
    <w:p w:rsidR="009F7F67" w:rsidRPr="0028766C" w:rsidRDefault="009F7F67" w:rsidP="000C2FAE">
      <w:pPr>
        <w:spacing w:after="0" w:line="240" w:lineRule="auto"/>
        <w:rPr>
          <w:rFonts w:ascii="Arial Narrow" w:hAnsi="Arial Narrow"/>
          <w:sz w:val="24"/>
          <w:szCs w:val="24"/>
        </w:rPr>
      </w:pPr>
    </w:p>
    <w:p w:rsidR="009501D8" w:rsidRDefault="009501D8" w:rsidP="00363FD7">
      <w:pPr>
        <w:spacing w:after="0" w:line="240" w:lineRule="auto"/>
        <w:jc w:val="both"/>
        <w:rPr>
          <w:rFonts w:ascii="Arial Narrow" w:hAnsi="Arial Narrow"/>
          <w:sz w:val="24"/>
          <w:szCs w:val="24"/>
        </w:rPr>
      </w:pPr>
      <w:r w:rsidRPr="007F230F">
        <w:rPr>
          <w:rFonts w:ascii="Arial Narrow" w:hAnsi="Arial Narrow"/>
          <w:sz w:val="24"/>
          <w:szCs w:val="24"/>
        </w:rPr>
        <w:t xml:space="preserve">Notwithstanding the tender process discussed in the section above, Envestra re-engaged CORE to respond to the main issue raised by the AER in its Draft Decision, namely that estimates of UAFG price should not contain “contract premiums and retailer margins”. The CORE report, which is set out as attachment </w:t>
      </w:r>
      <w:r w:rsidR="00326658">
        <w:rPr>
          <w:rFonts w:ascii="Arial Narrow" w:hAnsi="Arial Narrow"/>
          <w:sz w:val="24"/>
          <w:szCs w:val="24"/>
        </w:rPr>
        <w:t xml:space="preserve">6-10 </w:t>
      </w:r>
      <w:r w:rsidRPr="007F230F">
        <w:rPr>
          <w:rFonts w:ascii="Arial Narrow" w:hAnsi="Arial Narrow"/>
          <w:sz w:val="24"/>
          <w:szCs w:val="24"/>
        </w:rPr>
        <w:t>to this AAI, explains why Envestra would be unable to secure UAFG through a wholesale agreement with a natural gas producer (as assumed by the AER), but must instead buy its gas from a retailer.</w:t>
      </w:r>
    </w:p>
    <w:p w:rsidR="00363FD7" w:rsidRPr="007F230F" w:rsidRDefault="00363FD7" w:rsidP="00363FD7">
      <w:pPr>
        <w:spacing w:after="0" w:line="240" w:lineRule="auto"/>
        <w:jc w:val="both"/>
        <w:rPr>
          <w:rFonts w:ascii="Arial Narrow" w:hAnsi="Arial Narrow"/>
          <w:sz w:val="24"/>
          <w:szCs w:val="24"/>
        </w:rPr>
      </w:pPr>
    </w:p>
    <w:p w:rsidR="009501D8" w:rsidRDefault="009501D8" w:rsidP="00363FD7">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Theoretically, Envestra could purchase gas from a gas producer or an entity such as AGL or Origin Energy (who in such cases would be selling in a wholesale capacity</w:t>
      </w:r>
      <w:r>
        <w:rPr>
          <w:rFonts w:ascii="Arial Narrow" w:eastAsia="Times New Roman" w:hAnsi="Arial Narrow"/>
          <w:sz w:val="24"/>
          <w:szCs w:val="24"/>
        </w:rPr>
        <w:t xml:space="preserve"> at the outlet of a gas production plant</w:t>
      </w:r>
      <w:r w:rsidRPr="007F230F">
        <w:rPr>
          <w:rFonts w:ascii="Arial Narrow" w:eastAsia="Times New Roman" w:hAnsi="Arial Narrow"/>
          <w:sz w:val="24"/>
          <w:szCs w:val="24"/>
        </w:rPr>
        <w:t xml:space="preserve">) and then pay to have that gas transported through a transmission pipeline to the distribution network.  However due to the small volumes of gas used by Envestra this proposition is merely theoretical. </w:t>
      </w:r>
      <w:proofErr w:type="spellStart"/>
      <w:r w:rsidRPr="007F230F">
        <w:rPr>
          <w:rFonts w:ascii="Arial Narrow" w:eastAsia="Times New Roman" w:hAnsi="Arial Narrow"/>
          <w:sz w:val="24"/>
          <w:szCs w:val="24"/>
        </w:rPr>
        <w:t>Envestra’s</w:t>
      </w:r>
      <w:proofErr w:type="spellEnd"/>
      <w:r w:rsidRPr="007F230F">
        <w:rPr>
          <w:rFonts w:ascii="Arial Narrow" w:eastAsia="Times New Roman" w:hAnsi="Arial Narrow"/>
          <w:sz w:val="24"/>
          <w:szCs w:val="24"/>
        </w:rPr>
        <w:t xml:space="preserve"> UAFG volumes are too small:</w:t>
      </w:r>
    </w:p>
    <w:p w:rsidR="00363FD7" w:rsidRPr="007F230F" w:rsidRDefault="00363FD7" w:rsidP="000C2FAE">
      <w:pPr>
        <w:spacing w:after="0" w:line="240" w:lineRule="auto"/>
        <w:ind w:left="567"/>
        <w:jc w:val="both"/>
        <w:rPr>
          <w:rFonts w:ascii="Arial Narrow" w:eastAsia="Times New Roman" w:hAnsi="Arial Narrow"/>
          <w:sz w:val="24"/>
          <w:szCs w:val="24"/>
        </w:rPr>
      </w:pPr>
    </w:p>
    <w:p w:rsidR="009501D8" w:rsidRPr="007F230F" w:rsidRDefault="009501D8" w:rsidP="00DE0E00">
      <w:pPr>
        <w:numPr>
          <w:ilvl w:val="0"/>
          <w:numId w:val="27"/>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 xml:space="preserve">for it to be an economic proposition for a gas producer to sell such a volume to Envestra; </w:t>
      </w:r>
    </w:p>
    <w:p w:rsidR="009501D8" w:rsidRPr="007F230F" w:rsidRDefault="009501D8" w:rsidP="00DE0E00">
      <w:pPr>
        <w:numPr>
          <w:ilvl w:val="0"/>
          <w:numId w:val="27"/>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 xml:space="preserve">for it to be economic for Envestra to buy that volume ex-plant; and  </w:t>
      </w:r>
    </w:p>
    <w:p w:rsidR="009501D8" w:rsidRPr="007F230F" w:rsidRDefault="009501D8" w:rsidP="00DE0E00">
      <w:pPr>
        <w:numPr>
          <w:ilvl w:val="0"/>
          <w:numId w:val="27"/>
        </w:numPr>
        <w:tabs>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 xml:space="preserve">to transport it through a transmission pipeline given the difficulties of managing the overrun, imbalance and other charges which would relate to such a small volume.  </w:t>
      </w:r>
    </w:p>
    <w:p w:rsidR="00363FD7" w:rsidRDefault="00363FD7" w:rsidP="000C2FAE">
      <w:pPr>
        <w:spacing w:after="0" w:line="240" w:lineRule="auto"/>
        <w:ind w:left="567"/>
        <w:jc w:val="both"/>
        <w:rPr>
          <w:rFonts w:ascii="Arial Narrow" w:eastAsia="Times New Roman" w:hAnsi="Arial Narrow"/>
          <w:sz w:val="24"/>
          <w:szCs w:val="24"/>
        </w:rPr>
      </w:pPr>
    </w:p>
    <w:p w:rsidR="009501D8" w:rsidRDefault="009501D8" w:rsidP="00363FD7">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 xml:space="preserve">Practically, and as noted in the CORE report, it is not possible for Envestra to purchase volumes of UAFG at the inlet to a transmission pipeline. </w:t>
      </w:r>
    </w:p>
    <w:p w:rsidR="00363FD7" w:rsidRPr="007F230F" w:rsidRDefault="00363FD7" w:rsidP="00363FD7">
      <w:pPr>
        <w:spacing w:after="0" w:line="240" w:lineRule="auto"/>
        <w:jc w:val="both"/>
        <w:rPr>
          <w:rFonts w:ascii="Arial Narrow" w:eastAsia="Times New Roman" w:hAnsi="Arial Narrow"/>
          <w:sz w:val="24"/>
          <w:szCs w:val="24"/>
        </w:rPr>
      </w:pPr>
    </w:p>
    <w:p w:rsidR="009501D8" w:rsidRDefault="009501D8" w:rsidP="00363FD7">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Envestra must therefore purchase its UAFG requirements at the inlet to the distribution system from a retailer. However, a retailer will not sell gas to Envestra, or anyone else, at a price which is only equal to the sum of the amount paid to acquire it from a producer plus transmission costs.</w:t>
      </w:r>
      <w:r w:rsidRPr="007F230F">
        <w:rPr>
          <w:rStyle w:val="FootnoteReference"/>
          <w:rFonts w:ascii="Arial Narrow" w:eastAsia="Times New Roman" w:hAnsi="Arial Narrow"/>
          <w:sz w:val="24"/>
          <w:szCs w:val="24"/>
        </w:rPr>
        <w:footnoteReference w:id="27"/>
      </w:r>
      <w:r w:rsidRPr="007F230F">
        <w:rPr>
          <w:rFonts w:ascii="Arial Narrow" w:eastAsia="Times New Roman" w:hAnsi="Arial Narrow"/>
          <w:sz w:val="24"/>
          <w:szCs w:val="24"/>
        </w:rPr>
        <w:t xml:space="preserve">  Like any other retail price, the retailer would apply a margin to recover the full economic cost of service provision. </w:t>
      </w:r>
    </w:p>
    <w:p w:rsidR="00363FD7" w:rsidRPr="007F230F" w:rsidRDefault="00363FD7" w:rsidP="00363FD7">
      <w:pPr>
        <w:spacing w:after="0" w:line="240" w:lineRule="auto"/>
        <w:jc w:val="both"/>
        <w:rPr>
          <w:rFonts w:ascii="Arial Narrow" w:eastAsia="Times New Roman" w:hAnsi="Arial Narrow"/>
          <w:sz w:val="24"/>
          <w:szCs w:val="24"/>
        </w:rPr>
      </w:pPr>
    </w:p>
    <w:p w:rsidR="00895BC9" w:rsidRDefault="009501D8" w:rsidP="00363FD7">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As noted in the C</w:t>
      </w:r>
      <w:r w:rsidR="00271EEE">
        <w:rPr>
          <w:rFonts w:ascii="Arial Narrow" w:eastAsia="Times New Roman" w:hAnsi="Arial Narrow"/>
          <w:sz w:val="24"/>
          <w:szCs w:val="24"/>
        </w:rPr>
        <w:t>ore</w:t>
      </w:r>
      <w:r w:rsidRPr="007F230F">
        <w:rPr>
          <w:rFonts w:ascii="Arial Narrow" w:eastAsia="Times New Roman" w:hAnsi="Arial Narrow"/>
          <w:sz w:val="24"/>
          <w:szCs w:val="24"/>
        </w:rPr>
        <w:t xml:space="preserve"> report, for the year ended </w:t>
      </w:r>
      <w:r w:rsidRPr="00750928">
        <w:rPr>
          <w:rFonts w:ascii="Arial Narrow" w:eastAsia="Times New Roman" w:hAnsi="Arial Narrow"/>
          <w:sz w:val="24"/>
          <w:szCs w:val="24"/>
        </w:rPr>
        <w:t>30 June 2010, AGL made an average margin of 10.3% on its gas sales</w:t>
      </w:r>
      <w:r w:rsidR="00363FD7" w:rsidRPr="00750928">
        <w:rPr>
          <w:rFonts w:ascii="Arial Narrow" w:eastAsia="Times New Roman" w:hAnsi="Arial Narrow"/>
          <w:sz w:val="24"/>
          <w:szCs w:val="24"/>
        </w:rPr>
        <w:t xml:space="preserve"> and Origin Energy a margin of </w:t>
      </w:r>
      <w:r w:rsidRPr="00750928">
        <w:rPr>
          <w:rFonts w:ascii="Arial Narrow" w:eastAsia="Times New Roman" w:hAnsi="Arial Narrow"/>
          <w:sz w:val="24"/>
          <w:szCs w:val="24"/>
        </w:rPr>
        <w:t>10.6%</w:t>
      </w:r>
      <w:r>
        <w:rPr>
          <w:rFonts w:ascii="Arial Narrow" w:eastAsia="Times New Roman" w:hAnsi="Arial Narrow"/>
          <w:sz w:val="24"/>
          <w:szCs w:val="24"/>
        </w:rPr>
        <w:t xml:space="preserve"> </w:t>
      </w:r>
      <w:r w:rsidRPr="007F230F">
        <w:rPr>
          <w:rFonts w:ascii="Arial Narrow" w:eastAsia="Times New Roman" w:hAnsi="Arial Narrow"/>
          <w:sz w:val="24"/>
          <w:szCs w:val="24"/>
        </w:rPr>
        <w:t>on its gas sales. Thes</w:t>
      </w:r>
      <w:r w:rsidR="00895BC9">
        <w:rPr>
          <w:rFonts w:ascii="Arial Narrow" w:eastAsia="Times New Roman" w:hAnsi="Arial Narrow"/>
          <w:sz w:val="24"/>
          <w:szCs w:val="24"/>
        </w:rPr>
        <w:t>e quoted margins are averages.</w:t>
      </w:r>
    </w:p>
    <w:p w:rsidR="00FA5F26" w:rsidRDefault="00FA5F26" w:rsidP="00363FD7">
      <w:pPr>
        <w:spacing w:after="0" w:line="240" w:lineRule="auto"/>
        <w:jc w:val="both"/>
        <w:rPr>
          <w:rFonts w:ascii="Arial Narrow" w:eastAsia="Times New Roman" w:hAnsi="Arial Narrow"/>
          <w:sz w:val="24"/>
          <w:szCs w:val="24"/>
        </w:rPr>
      </w:pPr>
    </w:p>
    <w:p w:rsidR="009501D8" w:rsidRDefault="009501D8" w:rsidP="00363FD7">
      <w:pPr>
        <w:spacing w:after="0" w:line="240" w:lineRule="auto"/>
        <w:jc w:val="both"/>
        <w:rPr>
          <w:rFonts w:ascii="Arial Narrow" w:eastAsia="Times New Roman" w:hAnsi="Arial Narrow"/>
          <w:sz w:val="24"/>
          <w:szCs w:val="24"/>
        </w:rPr>
      </w:pPr>
      <w:r w:rsidRPr="007F230F">
        <w:rPr>
          <w:rFonts w:ascii="Arial Narrow" w:eastAsia="Times New Roman" w:hAnsi="Arial Narrow"/>
          <w:sz w:val="24"/>
          <w:szCs w:val="24"/>
        </w:rPr>
        <w:t xml:space="preserve">In a particular gas sales contract the size of the margin will reflect the characteristics of the contract.  Envestra </w:t>
      </w:r>
      <w:r>
        <w:rPr>
          <w:rFonts w:ascii="Arial Narrow" w:eastAsia="Times New Roman" w:hAnsi="Arial Narrow"/>
          <w:sz w:val="24"/>
          <w:szCs w:val="24"/>
        </w:rPr>
        <w:t>South Australian</w:t>
      </w:r>
      <w:r w:rsidRPr="007F230F">
        <w:rPr>
          <w:rFonts w:ascii="Arial Narrow" w:eastAsia="Times New Roman" w:hAnsi="Arial Narrow"/>
          <w:sz w:val="24"/>
          <w:szCs w:val="24"/>
        </w:rPr>
        <w:t xml:space="preserve"> UAFG requirements have specific characteristics which suggest a higher margin (described as the “premiums” in Core’s September 2010 report) than average given that:</w:t>
      </w:r>
    </w:p>
    <w:p w:rsidR="00363FD7" w:rsidRPr="007F230F" w:rsidRDefault="00363FD7" w:rsidP="000C2FAE">
      <w:pPr>
        <w:spacing w:after="0" w:line="240" w:lineRule="auto"/>
        <w:ind w:left="567"/>
        <w:jc w:val="both"/>
        <w:rPr>
          <w:rFonts w:ascii="Arial Narrow" w:eastAsia="Times New Roman" w:hAnsi="Arial Narrow"/>
          <w:sz w:val="24"/>
          <w:szCs w:val="24"/>
        </w:rPr>
      </w:pPr>
    </w:p>
    <w:p w:rsidR="009501D8" w:rsidRPr="007F230F" w:rsidRDefault="009501D8" w:rsidP="00DE0E00">
      <w:pPr>
        <w:numPr>
          <w:ilvl w:val="0"/>
          <w:numId w:val="15"/>
        </w:numPr>
        <w:tabs>
          <w:tab w:val="clear" w:pos="1287"/>
          <w:tab w:val="num" w:pos="426"/>
        </w:tabs>
        <w:spacing w:after="0" w:line="240" w:lineRule="auto"/>
        <w:ind w:left="426" w:hanging="426"/>
        <w:jc w:val="both"/>
        <w:rPr>
          <w:rFonts w:ascii="Arial Narrow" w:eastAsia="Times New Roman" w:hAnsi="Arial Narrow"/>
          <w:sz w:val="24"/>
          <w:szCs w:val="24"/>
        </w:rPr>
      </w:pPr>
      <w:r>
        <w:rPr>
          <w:rFonts w:ascii="Arial Narrow" w:eastAsia="Times New Roman" w:hAnsi="Arial Narrow"/>
          <w:sz w:val="24"/>
          <w:szCs w:val="24"/>
        </w:rPr>
        <w:t>the contract volume is small (2.5 PJ per annum).  While materially larger than the Queensland UAFG contract this is still a relatively small volume compared to those of large scale users</w:t>
      </w:r>
      <w:r w:rsidRPr="007F230F">
        <w:rPr>
          <w:rFonts w:ascii="Arial Narrow" w:eastAsia="Times New Roman" w:hAnsi="Arial Narrow"/>
          <w:sz w:val="24"/>
          <w:szCs w:val="24"/>
        </w:rPr>
        <w:t xml:space="preserve">; </w:t>
      </w:r>
    </w:p>
    <w:p w:rsidR="009501D8" w:rsidRPr="007F230F" w:rsidRDefault="009501D8" w:rsidP="00DE0E00">
      <w:pPr>
        <w:numPr>
          <w:ilvl w:val="0"/>
          <w:numId w:val="15"/>
        </w:numPr>
        <w:tabs>
          <w:tab w:val="clear" w:pos="1287"/>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there are multiple</w:t>
      </w:r>
      <w:r>
        <w:rPr>
          <w:rFonts w:ascii="Arial Narrow" w:eastAsia="Times New Roman" w:hAnsi="Arial Narrow"/>
          <w:sz w:val="24"/>
          <w:szCs w:val="24"/>
        </w:rPr>
        <w:t xml:space="preserve"> delivery points (</w:t>
      </w:r>
      <w:proofErr w:type="spellStart"/>
      <w:r>
        <w:rPr>
          <w:rFonts w:ascii="Arial Narrow" w:eastAsia="Times New Roman" w:hAnsi="Arial Narrow"/>
          <w:sz w:val="24"/>
          <w:szCs w:val="24"/>
        </w:rPr>
        <w:t>e.g</w:t>
      </w:r>
      <w:proofErr w:type="spellEnd"/>
      <w:r>
        <w:rPr>
          <w:rFonts w:ascii="Arial Narrow" w:eastAsia="Times New Roman" w:hAnsi="Arial Narrow"/>
          <w:sz w:val="24"/>
          <w:szCs w:val="24"/>
        </w:rPr>
        <w:t xml:space="preserve"> Angaston, </w:t>
      </w:r>
      <w:smartTag w:uri="urn:schemas-microsoft-com:office:smarttags" w:element="place">
        <w:smartTag w:uri="urn:schemas-microsoft-com:office:smarttags" w:element="PlaceType">
          <w:r>
            <w:rPr>
              <w:rFonts w:ascii="Arial Narrow" w:eastAsia="Times New Roman" w:hAnsi="Arial Narrow"/>
              <w:sz w:val="24"/>
              <w:szCs w:val="24"/>
            </w:rPr>
            <w:t>Mount</w:t>
          </w:r>
        </w:smartTag>
        <w:r>
          <w:rPr>
            <w:rFonts w:ascii="Arial Narrow" w:eastAsia="Times New Roman" w:hAnsi="Arial Narrow"/>
            <w:sz w:val="24"/>
            <w:szCs w:val="24"/>
          </w:rPr>
          <w:t xml:space="preserve"> </w:t>
        </w:r>
        <w:smartTag w:uri="urn:schemas-microsoft-com:office:smarttags" w:element="PlaceName">
          <w:r>
            <w:rPr>
              <w:rFonts w:ascii="Arial Narrow" w:eastAsia="Times New Roman" w:hAnsi="Arial Narrow"/>
              <w:sz w:val="24"/>
              <w:szCs w:val="24"/>
            </w:rPr>
            <w:t>Gambier</w:t>
          </w:r>
        </w:smartTag>
      </w:smartTag>
      <w:r>
        <w:rPr>
          <w:rFonts w:ascii="Arial Narrow" w:eastAsia="Times New Roman" w:hAnsi="Arial Narrow"/>
          <w:sz w:val="24"/>
          <w:szCs w:val="24"/>
        </w:rPr>
        <w:t>, Gepps Cross, Elizabeth</w:t>
      </w:r>
      <w:r w:rsidR="00322458">
        <w:rPr>
          <w:rFonts w:ascii="Arial Narrow" w:eastAsia="Times New Roman" w:hAnsi="Arial Narrow"/>
          <w:sz w:val="24"/>
          <w:szCs w:val="24"/>
        </w:rPr>
        <w:t xml:space="preserve"> </w:t>
      </w:r>
      <w:r w:rsidRPr="007F230F">
        <w:rPr>
          <w:rFonts w:ascii="Arial Narrow" w:eastAsia="Times New Roman" w:hAnsi="Arial Narrow"/>
          <w:sz w:val="24"/>
          <w:szCs w:val="24"/>
        </w:rPr>
        <w:t>etc.</w:t>
      </w:r>
      <w:r>
        <w:rPr>
          <w:rFonts w:ascii="Arial Narrow" w:eastAsia="Times New Roman" w:hAnsi="Arial Narrow"/>
          <w:sz w:val="24"/>
          <w:szCs w:val="24"/>
        </w:rPr>
        <w:t>)</w:t>
      </w:r>
      <w:r w:rsidRPr="007F230F">
        <w:rPr>
          <w:rFonts w:ascii="Arial Narrow" w:eastAsia="Times New Roman" w:hAnsi="Arial Narrow"/>
          <w:sz w:val="24"/>
          <w:szCs w:val="24"/>
        </w:rPr>
        <w:t xml:space="preserve"> which introduces complexity; </w:t>
      </w:r>
    </w:p>
    <w:p w:rsidR="009501D8" w:rsidRPr="007F230F" w:rsidRDefault="009501D8" w:rsidP="00DE0E00">
      <w:pPr>
        <w:numPr>
          <w:ilvl w:val="0"/>
          <w:numId w:val="15"/>
        </w:numPr>
        <w:tabs>
          <w:tab w:val="clear" w:pos="1287"/>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sale volumes are uncertain and potentially highly variable</w:t>
      </w:r>
      <w:r>
        <w:rPr>
          <w:rFonts w:ascii="Arial Narrow" w:eastAsia="Times New Roman" w:hAnsi="Arial Narrow"/>
          <w:sz w:val="24"/>
          <w:szCs w:val="24"/>
        </w:rPr>
        <w:t xml:space="preserve"> </w:t>
      </w:r>
      <w:r w:rsidRPr="007F230F">
        <w:rPr>
          <w:rFonts w:ascii="Arial Narrow" w:eastAsia="Times New Roman" w:hAnsi="Arial Narrow"/>
          <w:sz w:val="24"/>
          <w:szCs w:val="24"/>
        </w:rPr>
        <w:t>(as compared, for example, to a large industrial customer who is likely to have a relatively predictable demand for gas)</w:t>
      </w:r>
      <w:r>
        <w:rPr>
          <w:rFonts w:ascii="Arial Narrow" w:eastAsia="Times New Roman" w:hAnsi="Arial Narrow"/>
          <w:sz w:val="24"/>
          <w:szCs w:val="24"/>
        </w:rPr>
        <w:t xml:space="preserve"> and there is no take or pay requirement imposed on Envestra</w:t>
      </w:r>
      <w:r w:rsidRPr="007F230F">
        <w:rPr>
          <w:rFonts w:ascii="Arial Narrow" w:eastAsia="Times New Roman" w:hAnsi="Arial Narrow"/>
          <w:sz w:val="24"/>
          <w:szCs w:val="24"/>
        </w:rPr>
        <w:t>;</w:t>
      </w:r>
    </w:p>
    <w:p w:rsidR="009501D8" w:rsidRPr="007F230F" w:rsidRDefault="009501D8" w:rsidP="00DE0E00">
      <w:pPr>
        <w:numPr>
          <w:ilvl w:val="0"/>
          <w:numId w:val="15"/>
        </w:numPr>
        <w:tabs>
          <w:tab w:val="clear" w:pos="1287"/>
          <w:tab w:val="left" w:pos="426"/>
        </w:tabs>
        <w:spacing w:after="0" w:line="240" w:lineRule="auto"/>
        <w:ind w:left="426" w:hanging="426"/>
        <w:jc w:val="both"/>
        <w:rPr>
          <w:rFonts w:ascii="Arial Narrow" w:eastAsia="Times New Roman" w:hAnsi="Arial Narrow"/>
          <w:sz w:val="24"/>
          <w:szCs w:val="24"/>
        </w:rPr>
      </w:pPr>
      <w:r w:rsidRPr="007F230F">
        <w:rPr>
          <w:rFonts w:ascii="Arial Narrow" w:eastAsia="Times New Roman" w:hAnsi="Arial Narrow"/>
          <w:sz w:val="24"/>
          <w:szCs w:val="24"/>
        </w:rPr>
        <w:t>there is an element of complexity in administering a UAFG contract due to the need to determine and agree the actual volume of UAFG used by the network over a year.</w:t>
      </w:r>
    </w:p>
    <w:p w:rsidR="009501D8" w:rsidRDefault="009501D8" w:rsidP="000C2FAE">
      <w:pPr>
        <w:spacing w:after="0" w:line="240" w:lineRule="auto"/>
        <w:ind w:left="709"/>
        <w:jc w:val="both"/>
        <w:rPr>
          <w:rFonts w:ascii="Arial Narrow" w:hAnsi="Arial Narrow"/>
          <w:sz w:val="24"/>
          <w:szCs w:val="24"/>
        </w:rPr>
      </w:pPr>
    </w:p>
    <w:p w:rsidR="009501D8" w:rsidRDefault="009501D8" w:rsidP="00A23B66">
      <w:pPr>
        <w:spacing w:after="0" w:line="240" w:lineRule="auto"/>
        <w:jc w:val="both"/>
        <w:rPr>
          <w:rFonts w:ascii="Arial Narrow" w:hAnsi="Arial Narrow"/>
          <w:sz w:val="24"/>
          <w:szCs w:val="24"/>
        </w:rPr>
      </w:pPr>
      <w:r>
        <w:rPr>
          <w:rFonts w:ascii="Arial Narrow" w:hAnsi="Arial Narrow"/>
          <w:sz w:val="24"/>
          <w:szCs w:val="24"/>
        </w:rPr>
        <w:t>In addition C</w:t>
      </w:r>
      <w:r w:rsidR="00A23B66">
        <w:rPr>
          <w:rFonts w:ascii="Arial Narrow" w:hAnsi="Arial Narrow"/>
          <w:sz w:val="24"/>
          <w:szCs w:val="24"/>
        </w:rPr>
        <w:t>ore</w:t>
      </w:r>
      <w:r>
        <w:rPr>
          <w:rFonts w:ascii="Arial Narrow" w:hAnsi="Arial Narrow"/>
          <w:sz w:val="24"/>
          <w:szCs w:val="24"/>
        </w:rPr>
        <w:t xml:space="preserve"> was requested to update its analysis of the gas market to take account of changes in market conditions since its previous report.  That analysis suggested a further tightening of available supplies in the gas market.</w:t>
      </w:r>
    </w:p>
    <w:p w:rsidR="009501D8" w:rsidRDefault="009501D8" w:rsidP="000C2FAE">
      <w:pPr>
        <w:spacing w:after="0" w:line="240" w:lineRule="auto"/>
        <w:ind w:left="709"/>
        <w:jc w:val="both"/>
        <w:rPr>
          <w:rFonts w:ascii="Arial Narrow" w:hAnsi="Arial Narrow"/>
          <w:sz w:val="24"/>
          <w:szCs w:val="24"/>
        </w:rPr>
      </w:pPr>
    </w:p>
    <w:p w:rsidR="009F7F67" w:rsidRPr="0028766C" w:rsidRDefault="009F7F67" w:rsidP="005A56C2">
      <w:pPr>
        <w:pStyle w:val="Heading2"/>
      </w:pPr>
      <w:r w:rsidRPr="0028766C">
        <w:t>Conclusion</w:t>
      </w:r>
    </w:p>
    <w:p w:rsidR="009F7F67" w:rsidRPr="0028766C" w:rsidRDefault="009F7F67" w:rsidP="000C2FAE">
      <w:pPr>
        <w:spacing w:after="0" w:line="240" w:lineRule="auto"/>
        <w:ind w:left="567"/>
        <w:jc w:val="both"/>
        <w:rPr>
          <w:rFonts w:ascii="Arial Narrow" w:hAnsi="Arial Narrow"/>
          <w:sz w:val="24"/>
          <w:szCs w:val="24"/>
        </w:rPr>
      </w:pPr>
    </w:p>
    <w:p w:rsidR="009F7F67" w:rsidRPr="0028766C" w:rsidRDefault="009F7F67" w:rsidP="004D3CD4">
      <w:pPr>
        <w:spacing w:after="0" w:line="240" w:lineRule="auto"/>
        <w:jc w:val="both"/>
        <w:rPr>
          <w:rFonts w:ascii="Arial Narrow" w:hAnsi="Arial Narrow"/>
          <w:sz w:val="24"/>
          <w:szCs w:val="24"/>
        </w:rPr>
      </w:pPr>
      <w:r w:rsidRPr="0028766C">
        <w:rPr>
          <w:rFonts w:ascii="Arial Narrow" w:hAnsi="Arial Narrow"/>
          <w:sz w:val="24"/>
          <w:szCs w:val="24"/>
        </w:rPr>
        <w:t xml:space="preserve">Envestra submits that the outcome of </w:t>
      </w:r>
      <w:proofErr w:type="spellStart"/>
      <w:r w:rsidRPr="0028766C">
        <w:rPr>
          <w:rFonts w:ascii="Arial Narrow" w:hAnsi="Arial Narrow"/>
          <w:sz w:val="24"/>
          <w:szCs w:val="24"/>
        </w:rPr>
        <w:t>Envestra’s</w:t>
      </w:r>
      <w:proofErr w:type="spellEnd"/>
      <w:r w:rsidRPr="0028766C">
        <w:rPr>
          <w:rFonts w:ascii="Arial Narrow" w:hAnsi="Arial Narrow"/>
          <w:sz w:val="24"/>
          <w:szCs w:val="24"/>
        </w:rPr>
        <w:t xml:space="preserve"> market tender process for the supply of UAFG for its </w:t>
      </w:r>
      <w:r w:rsidR="00FE221D" w:rsidRPr="0028766C">
        <w:rPr>
          <w:rFonts w:ascii="Arial Narrow" w:hAnsi="Arial Narrow"/>
          <w:sz w:val="24"/>
          <w:szCs w:val="24"/>
        </w:rPr>
        <w:t>South Australian</w:t>
      </w:r>
      <w:r w:rsidRPr="0028766C">
        <w:rPr>
          <w:rFonts w:ascii="Arial Narrow" w:hAnsi="Arial Narrow"/>
          <w:sz w:val="24"/>
          <w:szCs w:val="24"/>
        </w:rPr>
        <w:t xml:space="preserve"> network reflect the most recent and relevant information in relation to UAFG price. Envestra therefore considers that these prices provide “best available estimates” of UAFG pricing, as required under rule 74 of the N</w:t>
      </w:r>
      <w:r w:rsidR="00FE221D" w:rsidRPr="0028766C">
        <w:rPr>
          <w:rFonts w:ascii="Arial Narrow" w:hAnsi="Arial Narrow"/>
          <w:sz w:val="24"/>
          <w:szCs w:val="24"/>
        </w:rPr>
        <w:t>G</w:t>
      </w:r>
      <w:r w:rsidRPr="0028766C">
        <w:rPr>
          <w:rFonts w:ascii="Arial Narrow" w:hAnsi="Arial Narrow"/>
          <w:sz w:val="24"/>
          <w:szCs w:val="24"/>
        </w:rPr>
        <w:t>R and therefore should be used by the A</w:t>
      </w:r>
      <w:r w:rsidR="00FE221D" w:rsidRPr="0028766C">
        <w:rPr>
          <w:rFonts w:ascii="Arial Narrow" w:hAnsi="Arial Narrow"/>
          <w:sz w:val="24"/>
          <w:szCs w:val="24"/>
        </w:rPr>
        <w:t>ER in its Final Decision</w:t>
      </w:r>
      <w:r w:rsidRPr="0028766C">
        <w:rPr>
          <w:rFonts w:ascii="Arial Narrow" w:hAnsi="Arial Narrow"/>
          <w:sz w:val="24"/>
          <w:szCs w:val="24"/>
        </w:rPr>
        <w:t>.  The resultant UAFG forecast is as follows:</w:t>
      </w:r>
    </w:p>
    <w:p w:rsidR="009F7F67" w:rsidRDefault="009F7F67" w:rsidP="000C2FAE">
      <w:pPr>
        <w:spacing w:after="0" w:line="240" w:lineRule="auto"/>
        <w:ind w:left="567"/>
        <w:jc w:val="both"/>
        <w:rPr>
          <w:rFonts w:ascii="Arial Narrow" w:hAnsi="Arial Narrow"/>
          <w:sz w:val="24"/>
          <w:szCs w:val="24"/>
        </w:rPr>
      </w:pPr>
    </w:p>
    <w:p w:rsidR="00326658" w:rsidRPr="0028766C" w:rsidRDefault="00326658" w:rsidP="00326658">
      <w:pPr>
        <w:spacing w:after="0" w:line="240" w:lineRule="auto"/>
        <w:jc w:val="both"/>
        <w:rPr>
          <w:rFonts w:ascii="Arial Narrow" w:hAnsi="Arial Narrow"/>
          <w:sz w:val="24"/>
          <w:szCs w:val="24"/>
        </w:rPr>
      </w:pPr>
      <w:r>
        <w:rPr>
          <w:rFonts w:ascii="Arial Narrow" w:hAnsi="Arial Narrow"/>
          <w:sz w:val="24"/>
          <w:szCs w:val="24"/>
        </w:rPr>
        <w:t>(Commercial in Confidence)</w:t>
      </w:r>
    </w:p>
    <w:tbl>
      <w:tblPr>
        <w:tblW w:w="8728" w:type="dxa"/>
        <w:tblInd w:w="1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0" w:type="dxa"/>
          <w:right w:w="0" w:type="dxa"/>
        </w:tblCellMar>
        <w:tblLook w:val="0000"/>
      </w:tblPr>
      <w:tblGrid>
        <w:gridCol w:w="2608"/>
        <w:gridCol w:w="1020"/>
        <w:gridCol w:w="1020"/>
        <w:gridCol w:w="1020"/>
        <w:gridCol w:w="1020"/>
        <w:gridCol w:w="1020"/>
        <w:gridCol w:w="1020"/>
      </w:tblGrid>
      <w:tr w:rsidR="009F7F67" w:rsidRPr="0028766C" w:rsidTr="004D3CD4">
        <w:trPr>
          <w:trHeight w:val="227"/>
        </w:trPr>
        <w:tc>
          <w:tcPr>
            <w:tcW w:w="2608" w:type="dxa"/>
            <w:tcBorders>
              <w:right w:val="single" w:sz="4" w:space="0" w:color="FFFFFF"/>
            </w:tcBorders>
            <w:shd w:val="clear" w:color="auto" w:fill="548DD4"/>
            <w:tcMar>
              <w:top w:w="15" w:type="dxa"/>
              <w:left w:w="15" w:type="dxa"/>
              <w:bottom w:w="0" w:type="dxa"/>
              <w:right w:w="15" w:type="dxa"/>
            </w:tcMar>
            <w:vAlign w:val="center"/>
          </w:tcPr>
          <w:p w:rsidR="009F7F67" w:rsidRPr="0028766C" w:rsidRDefault="009F7F67" w:rsidP="004D3CD4">
            <w:pPr>
              <w:spacing w:before="60" w:after="60" w:line="240" w:lineRule="auto"/>
              <w:ind w:left="127"/>
              <w:rPr>
                <w:rFonts w:ascii="Arial Narrow" w:hAnsi="Arial Narrow"/>
                <w:b/>
                <w:color w:val="FFFFFF"/>
                <w:sz w:val="24"/>
                <w:szCs w:val="24"/>
              </w:rPr>
            </w:pPr>
            <w:r w:rsidRPr="0028766C">
              <w:rPr>
                <w:rFonts w:ascii="Arial Narrow" w:hAnsi="Arial Narrow"/>
                <w:b/>
                <w:color w:val="FFFFFF"/>
                <w:sz w:val="24"/>
                <w:szCs w:val="24"/>
              </w:rPr>
              <w:t>$m (real 09-10)</w:t>
            </w:r>
          </w:p>
        </w:tc>
        <w:tc>
          <w:tcPr>
            <w:tcW w:w="1020" w:type="dxa"/>
            <w:tcBorders>
              <w:left w:val="single" w:sz="4" w:space="0" w:color="FFFFFF"/>
              <w:right w:val="single" w:sz="4" w:space="0" w:color="FFFFFF"/>
            </w:tcBorders>
            <w:shd w:val="clear" w:color="auto" w:fill="548DD4"/>
            <w:noWrap/>
            <w:tcMar>
              <w:top w:w="15" w:type="dxa"/>
              <w:left w:w="15" w:type="dxa"/>
              <w:bottom w:w="0" w:type="dxa"/>
              <w:right w:w="15" w:type="dxa"/>
            </w:tcMar>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1020" w:type="dxa"/>
            <w:tcBorders>
              <w:left w:val="single" w:sz="4" w:space="0" w:color="FFFFFF"/>
              <w:right w:val="single" w:sz="4" w:space="0" w:color="FFFFFF"/>
            </w:tcBorders>
            <w:shd w:val="clear" w:color="auto" w:fill="548DD4"/>
            <w:noWrap/>
            <w:tcMar>
              <w:top w:w="15" w:type="dxa"/>
              <w:left w:w="15" w:type="dxa"/>
              <w:bottom w:w="0" w:type="dxa"/>
              <w:right w:w="15" w:type="dxa"/>
            </w:tcMar>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1020" w:type="dxa"/>
            <w:tcBorders>
              <w:left w:val="single" w:sz="4" w:space="0" w:color="FFFFFF"/>
              <w:right w:val="single" w:sz="4" w:space="0" w:color="FFFFFF"/>
            </w:tcBorders>
            <w:shd w:val="clear" w:color="auto" w:fill="548DD4"/>
            <w:noWrap/>
            <w:tcMar>
              <w:top w:w="15" w:type="dxa"/>
              <w:left w:w="15" w:type="dxa"/>
              <w:bottom w:w="0" w:type="dxa"/>
              <w:right w:w="15" w:type="dxa"/>
            </w:tcMar>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1020" w:type="dxa"/>
            <w:tcBorders>
              <w:left w:val="single" w:sz="4" w:space="0" w:color="FFFFFF"/>
              <w:right w:val="single" w:sz="4" w:space="0" w:color="FFFFFF"/>
            </w:tcBorders>
            <w:shd w:val="clear" w:color="auto" w:fill="548DD4"/>
            <w:noWrap/>
            <w:tcMar>
              <w:top w:w="15" w:type="dxa"/>
              <w:left w:w="15" w:type="dxa"/>
              <w:bottom w:w="0" w:type="dxa"/>
              <w:right w:w="15" w:type="dxa"/>
            </w:tcMar>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1020" w:type="dxa"/>
            <w:tcBorders>
              <w:left w:val="single" w:sz="4" w:space="0" w:color="FFFFFF"/>
              <w:right w:val="single" w:sz="4" w:space="0" w:color="FFFFFF"/>
            </w:tcBorders>
            <w:shd w:val="clear" w:color="auto" w:fill="548DD4"/>
            <w:noWrap/>
            <w:tcMar>
              <w:top w:w="15" w:type="dxa"/>
              <w:left w:w="15" w:type="dxa"/>
              <w:bottom w:w="0" w:type="dxa"/>
              <w:right w:w="15" w:type="dxa"/>
            </w:tcMar>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c>
          <w:tcPr>
            <w:tcW w:w="1020" w:type="dxa"/>
            <w:tcBorders>
              <w:left w:val="single" w:sz="4" w:space="0" w:color="FFFFFF"/>
            </w:tcBorders>
            <w:shd w:val="clear" w:color="auto" w:fill="548DD4"/>
            <w:vAlign w:val="center"/>
          </w:tcPr>
          <w:p w:rsidR="009F7F67" w:rsidRPr="0028766C" w:rsidRDefault="009F7F67" w:rsidP="004D3CD4">
            <w:pPr>
              <w:spacing w:before="60" w:after="60" w:line="240" w:lineRule="auto"/>
              <w:jc w:val="center"/>
              <w:rPr>
                <w:rFonts w:ascii="Arial Narrow" w:hAnsi="Arial Narrow"/>
                <w:b/>
                <w:color w:val="FFFFFF"/>
                <w:sz w:val="24"/>
                <w:szCs w:val="24"/>
              </w:rPr>
            </w:pPr>
            <w:r w:rsidRPr="0028766C">
              <w:rPr>
                <w:rFonts w:ascii="Arial Narrow" w:hAnsi="Arial Narrow"/>
                <w:b/>
                <w:color w:val="FFFFFF"/>
                <w:sz w:val="24"/>
                <w:szCs w:val="24"/>
              </w:rPr>
              <w:t>Total</w:t>
            </w:r>
          </w:p>
        </w:tc>
      </w:tr>
      <w:tr w:rsidR="00750928" w:rsidRPr="0028766C" w:rsidTr="00E500E1">
        <w:trPr>
          <w:trHeight w:val="227"/>
        </w:trPr>
        <w:tc>
          <w:tcPr>
            <w:tcW w:w="2608" w:type="dxa"/>
            <w:shd w:val="clear" w:color="auto" w:fill="FFFFFF"/>
            <w:tcMar>
              <w:top w:w="15" w:type="dxa"/>
              <w:left w:w="15" w:type="dxa"/>
              <w:bottom w:w="0" w:type="dxa"/>
              <w:right w:w="15" w:type="dxa"/>
            </w:tcMar>
            <w:vAlign w:val="center"/>
          </w:tcPr>
          <w:p w:rsidR="00750928" w:rsidRPr="0028766C" w:rsidRDefault="00750928" w:rsidP="004D3CD4">
            <w:pPr>
              <w:spacing w:before="60" w:after="60" w:line="240" w:lineRule="auto"/>
              <w:ind w:left="127"/>
              <w:rPr>
                <w:rFonts w:ascii="Arial Narrow" w:hAnsi="Arial Narrow"/>
                <w:sz w:val="24"/>
                <w:szCs w:val="24"/>
              </w:rPr>
            </w:pPr>
            <w:r w:rsidRPr="0028766C">
              <w:rPr>
                <w:rFonts w:ascii="Arial Narrow" w:hAnsi="Arial Narrow"/>
                <w:sz w:val="24"/>
                <w:szCs w:val="24"/>
              </w:rPr>
              <w:t>Volume (TJ)</w:t>
            </w:r>
          </w:p>
        </w:tc>
        <w:tc>
          <w:tcPr>
            <w:tcW w:w="1020" w:type="dxa"/>
            <w:shd w:val="clear" w:color="auto" w:fill="FFFFFF"/>
            <w:tcMar>
              <w:top w:w="15" w:type="dxa"/>
              <w:left w:w="15" w:type="dxa"/>
              <w:bottom w:w="0" w:type="dxa"/>
              <w:right w:w="15" w:type="dxa"/>
            </w:tcMar>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r>
      <w:tr w:rsidR="00FA03B7" w:rsidRPr="0028766C" w:rsidTr="009859D7">
        <w:trPr>
          <w:trHeight w:val="227"/>
        </w:trPr>
        <w:tc>
          <w:tcPr>
            <w:tcW w:w="2608" w:type="dxa"/>
            <w:shd w:val="clear" w:color="auto" w:fill="FFFFFF"/>
            <w:tcMar>
              <w:top w:w="15" w:type="dxa"/>
              <w:left w:w="15" w:type="dxa"/>
              <w:bottom w:w="0" w:type="dxa"/>
              <w:right w:w="15" w:type="dxa"/>
            </w:tcMar>
            <w:vAlign w:val="center"/>
          </w:tcPr>
          <w:p w:rsidR="00FA03B7" w:rsidRPr="0028766C" w:rsidRDefault="00FA03B7" w:rsidP="004D3CD4">
            <w:pPr>
              <w:spacing w:before="60" w:after="60" w:line="240" w:lineRule="auto"/>
              <w:ind w:left="127"/>
              <w:rPr>
                <w:rFonts w:ascii="Arial Narrow" w:hAnsi="Arial Narrow"/>
                <w:sz w:val="24"/>
                <w:szCs w:val="24"/>
              </w:rPr>
            </w:pPr>
            <w:r w:rsidRPr="0028766C">
              <w:rPr>
                <w:rFonts w:ascii="Arial Narrow" w:hAnsi="Arial Narrow"/>
                <w:sz w:val="24"/>
                <w:szCs w:val="24"/>
              </w:rPr>
              <w:t>Price ($)</w:t>
            </w:r>
          </w:p>
        </w:tc>
        <w:tc>
          <w:tcPr>
            <w:tcW w:w="1020" w:type="dxa"/>
            <w:shd w:val="clear" w:color="auto" w:fill="FFFFFF"/>
            <w:tcMar>
              <w:top w:w="15" w:type="dxa"/>
              <w:left w:w="15" w:type="dxa"/>
              <w:bottom w:w="0" w:type="dxa"/>
              <w:right w:w="15" w:type="dxa"/>
            </w:tcMar>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tcMar>
              <w:top w:w="15" w:type="dxa"/>
              <w:left w:w="15" w:type="dxa"/>
              <w:bottom w:w="0" w:type="dxa"/>
              <w:right w:w="15" w:type="dxa"/>
            </w:tcMar>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020" w:type="dxa"/>
            <w:shd w:val="clear" w:color="auto" w:fill="FFFFFF"/>
            <w:vAlign w:val="center"/>
          </w:tcPr>
          <w:p w:rsidR="00FA03B7" w:rsidRPr="00326658" w:rsidRDefault="00FA03B7"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r>
      <w:tr w:rsidR="00FE221D" w:rsidRPr="0028766C" w:rsidTr="004D3CD4">
        <w:trPr>
          <w:trHeight w:val="227"/>
        </w:trPr>
        <w:tc>
          <w:tcPr>
            <w:tcW w:w="2608" w:type="dxa"/>
            <w:shd w:val="clear" w:color="auto" w:fill="FFFFFF"/>
            <w:tcMar>
              <w:top w:w="15" w:type="dxa"/>
              <w:left w:w="15" w:type="dxa"/>
              <w:bottom w:w="0" w:type="dxa"/>
              <w:right w:w="15" w:type="dxa"/>
            </w:tcMar>
            <w:vAlign w:val="center"/>
          </w:tcPr>
          <w:p w:rsidR="00FE221D" w:rsidRPr="0028766C" w:rsidRDefault="00FE221D" w:rsidP="004D3CD4">
            <w:pPr>
              <w:spacing w:before="60" w:after="60" w:line="240" w:lineRule="auto"/>
              <w:ind w:left="127"/>
              <w:rPr>
                <w:rFonts w:ascii="Arial Narrow" w:hAnsi="Arial Narrow"/>
                <w:b/>
                <w:sz w:val="24"/>
                <w:szCs w:val="24"/>
              </w:rPr>
            </w:pPr>
            <w:r w:rsidRPr="0028766C">
              <w:rPr>
                <w:rFonts w:ascii="Arial Narrow" w:hAnsi="Arial Narrow"/>
                <w:b/>
                <w:sz w:val="24"/>
                <w:szCs w:val="24"/>
              </w:rPr>
              <w:t xml:space="preserve">Total UAFG </w:t>
            </w:r>
            <w:proofErr w:type="spellStart"/>
            <w:r w:rsidRPr="0028766C">
              <w:rPr>
                <w:rFonts w:ascii="Arial Narrow" w:hAnsi="Arial Narrow"/>
                <w:b/>
                <w:sz w:val="24"/>
                <w:szCs w:val="24"/>
              </w:rPr>
              <w:t>opex</w:t>
            </w:r>
            <w:proofErr w:type="spellEnd"/>
            <w:r w:rsidRPr="0028766C">
              <w:rPr>
                <w:rFonts w:ascii="Arial Narrow" w:hAnsi="Arial Narrow"/>
                <w:b/>
                <w:sz w:val="24"/>
                <w:szCs w:val="24"/>
              </w:rPr>
              <w:t xml:space="preserve"> ($m)</w:t>
            </w:r>
          </w:p>
        </w:tc>
        <w:tc>
          <w:tcPr>
            <w:tcW w:w="1020" w:type="dxa"/>
            <w:shd w:val="clear" w:color="auto" w:fill="FFFFFF"/>
            <w:tcMar>
              <w:top w:w="15" w:type="dxa"/>
              <w:left w:w="15" w:type="dxa"/>
              <w:bottom w:w="0" w:type="dxa"/>
              <w:right w:w="15" w:type="dxa"/>
            </w:tcMar>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12.79</w:t>
            </w:r>
          </w:p>
        </w:tc>
        <w:tc>
          <w:tcPr>
            <w:tcW w:w="1020" w:type="dxa"/>
            <w:shd w:val="clear" w:color="auto" w:fill="FFFFFF"/>
            <w:tcMar>
              <w:top w:w="15" w:type="dxa"/>
              <w:left w:w="15" w:type="dxa"/>
              <w:bottom w:w="0" w:type="dxa"/>
              <w:right w:w="15" w:type="dxa"/>
            </w:tcMar>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12.77</w:t>
            </w:r>
          </w:p>
        </w:tc>
        <w:tc>
          <w:tcPr>
            <w:tcW w:w="1020" w:type="dxa"/>
            <w:shd w:val="clear" w:color="auto" w:fill="FFFFFF"/>
            <w:tcMar>
              <w:top w:w="15" w:type="dxa"/>
              <w:left w:w="15" w:type="dxa"/>
              <w:bottom w:w="0" w:type="dxa"/>
              <w:right w:w="15" w:type="dxa"/>
            </w:tcMar>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11.95</w:t>
            </w:r>
          </w:p>
        </w:tc>
        <w:tc>
          <w:tcPr>
            <w:tcW w:w="1020" w:type="dxa"/>
            <w:shd w:val="clear" w:color="auto" w:fill="FFFFFF"/>
            <w:tcMar>
              <w:top w:w="15" w:type="dxa"/>
              <w:left w:w="15" w:type="dxa"/>
              <w:bottom w:w="0" w:type="dxa"/>
              <w:right w:w="15" w:type="dxa"/>
            </w:tcMar>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10.87</w:t>
            </w:r>
          </w:p>
        </w:tc>
        <w:tc>
          <w:tcPr>
            <w:tcW w:w="1020" w:type="dxa"/>
            <w:shd w:val="clear" w:color="auto" w:fill="FFFFFF"/>
            <w:tcMar>
              <w:top w:w="15" w:type="dxa"/>
              <w:left w:w="15" w:type="dxa"/>
              <w:bottom w:w="0" w:type="dxa"/>
              <w:right w:w="15" w:type="dxa"/>
            </w:tcMar>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9.48</w:t>
            </w:r>
          </w:p>
        </w:tc>
        <w:tc>
          <w:tcPr>
            <w:tcW w:w="1020" w:type="dxa"/>
            <w:shd w:val="clear" w:color="auto" w:fill="FFFFFF"/>
            <w:vAlign w:val="bottom"/>
          </w:tcPr>
          <w:p w:rsidR="00FE221D" w:rsidRPr="0028766C" w:rsidRDefault="00FE221D" w:rsidP="004D3CD4">
            <w:pPr>
              <w:spacing w:before="60" w:after="60" w:line="240" w:lineRule="auto"/>
              <w:jc w:val="center"/>
              <w:rPr>
                <w:rFonts w:ascii="Arial Narrow" w:hAnsi="Arial Narrow"/>
                <w:b/>
                <w:color w:val="000000"/>
                <w:sz w:val="24"/>
                <w:szCs w:val="24"/>
              </w:rPr>
            </w:pPr>
            <w:r w:rsidRPr="0028766C">
              <w:rPr>
                <w:rFonts w:ascii="Arial Narrow" w:hAnsi="Arial Narrow"/>
                <w:b/>
                <w:color w:val="000000"/>
                <w:sz w:val="24"/>
                <w:szCs w:val="24"/>
              </w:rPr>
              <w:t>57.86</w:t>
            </w:r>
          </w:p>
        </w:tc>
      </w:tr>
    </w:tbl>
    <w:p w:rsidR="00EF145B" w:rsidRPr="0028766C" w:rsidRDefault="00EF145B" w:rsidP="000C2FAE">
      <w:pPr>
        <w:spacing w:after="0" w:line="240" w:lineRule="auto"/>
        <w:ind w:left="567"/>
        <w:jc w:val="both"/>
        <w:rPr>
          <w:rFonts w:ascii="Arial Narrow" w:hAnsi="Arial Narrow"/>
          <w:sz w:val="24"/>
          <w:szCs w:val="24"/>
        </w:rPr>
      </w:pPr>
    </w:p>
    <w:p w:rsidR="008766C0" w:rsidRPr="0028766C" w:rsidRDefault="008766C0" w:rsidP="000C2FAE">
      <w:pPr>
        <w:pStyle w:val="Heading1"/>
        <w:spacing w:before="0" w:line="240" w:lineRule="auto"/>
        <w:rPr>
          <w:szCs w:val="24"/>
        </w:rPr>
      </w:pPr>
      <w:r w:rsidRPr="0028766C">
        <w:rPr>
          <w:szCs w:val="24"/>
        </w:rPr>
        <w:t>Additional Field Crews (Business Case S48)</w:t>
      </w:r>
    </w:p>
    <w:p w:rsidR="008766C0" w:rsidRPr="0028766C" w:rsidRDefault="008766C0" w:rsidP="000C2FAE">
      <w:pPr>
        <w:pStyle w:val="AERbodytext"/>
        <w:spacing w:after="0"/>
        <w:jc w:val="both"/>
        <w:rPr>
          <w:rFonts w:ascii="Arial Narrow" w:hAnsi="Arial Narrow"/>
          <w:b/>
        </w:rPr>
      </w:pPr>
    </w:p>
    <w:p w:rsidR="00015FF1" w:rsidRPr="0028766C" w:rsidRDefault="00FE221D" w:rsidP="005A56C2">
      <w:pPr>
        <w:pStyle w:val="Heading2"/>
      </w:pPr>
      <w:r w:rsidRPr="0028766C">
        <w:t xml:space="preserve">AER </w:t>
      </w:r>
      <w:r w:rsidR="00015FF1" w:rsidRPr="0028766C">
        <w:t>Draft Decision</w:t>
      </w:r>
    </w:p>
    <w:p w:rsidR="00015FF1" w:rsidRPr="0028766C" w:rsidRDefault="00015FF1" w:rsidP="000C2FAE">
      <w:pPr>
        <w:pStyle w:val="AERbodytext"/>
        <w:spacing w:after="0"/>
        <w:jc w:val="both"/>
        <w:rPr>
          <w:rFonts w:ascii="Arial Narrow" w:hAnsi="Arial Narrow"/>
          <w:b/>
        </w:rPr>
      </w:pPr>
    </w:p>
    <w:p w:rsidR="008766C0" w:rsidRPr="0028766C" w:rsidRDefault="008766C0" w:rsidP="003B7361">
      <w:pPr>
        <w:pStyle w:val="AERbodytext"/>
        <w:spacing w:after="0"/>
        <w:jc w:val="both"/>
        <w:rPr>
          <w:rFonts w:ascii="Arial Narrow" w:hAnsi="Arial Narrow"/>
        </w:rPr>
      </w:pPr>
      <w:r w:rsidRPr="0028766C">
        <w:rPr>
          <w:rFonts w:ascii="Arial Narrow" w:hAnsi="Arial Narrow"/>
        </w:rPr>
        <w:t xml:space="preserve">The </w:t>
      </w:r>
      <w:r w:rsidR="00FE221D" w:rsidRPr="0028766C">
        <w:rPr>
          <w:rFonts w:ascii="Arial Narrow" w:hAnsi="Arial Narrow"/>
        </w:rPr>
        <w:t xml:space="preserve">AER states in it </w:t>
      </w:r>
      <w:r w:rsidRPr="0028766C">
        <w:rPr>
          <w:rFonts w:ascii="Arial Narrow" w:hAnsi="Arial Narrow"/>
        </w:rPr>
        <w:t>Draft Decision (p165)</w:t>
      </w:r>
      <w:r w:rsidR="00FE221D" w:rsidRPr="0028766C">
        <w:rPr>
          <w:rFonts w:ascii="Arial Narrow" w:hAnsi="Arial Narrow"/>
        </w:rPr>
        <w:t xml:space="preserve"> that</w:t>
      </w:r>
      <w:r w:rsidRPr="0028766C">
        <w:rPr>
          <w:rFonts w:ascii="Arial Narrow" w:hAnsi="Arial Narrow"/>
        </w:rPr>
        <w:t>:</w:t>
      </w:r>
    </w:p>
    <w:p w:rsidR="008766C0" w:rsidRPr="0028766C" w:rsidRDefault="008766C0" w:rsidP="000C2FAE">
      <w:pPr>
        <w:pStyle w:val="AERbodytext"/>
        <w:spacing w:after="0"/>
        <w:ind w:left="567"/>
        <w:jc w:val="both"/>
        <w:rPr>
          <w:rFonts w:ascii="Arial Narrow" w:hAnsi="Arial Narrow"/>
        </w:rPr>
      </w:pPr>
    </w:p>
    <w:p w:rsidR="008766C0" w:rsidRPr="0028766C" w:rsidRDefault="008766C0" w:rsidP="003B7361">
      <w:pPr>
        <w:pStyle w:val="AERbodytext"/>
        <w:spacing w:after="0"/>
        <w:ind w:left="567" w:right="565"/>
        <w:jc w:val="both"/>
        <w:rPr>
          <w:rFonts w:ascii="Arial Narrow" w:hAnsi="Arial Narrow"/>
          <w:i/>
        </w:rPr>
      </w:pPr>
      <w:r w:rsidRPr="0028766C">
        <w:rPr>
          <w:rFonts w:ascii="Arial Narrow" w:hAnsi="Arial Narrow"/>
          <w:i/>
        </w:rPr>
        <w:t>“The mains replacement program is expected to result in a significant and progressive drop in the number of leaks (60 p</w:t>
      </w:r>
      <w:r w:rsidR="00FE221D" w:rsidRPr="0028766C">
        <w:rPr>
          <w:rFonts w:ascii="Arial Narrow" w:hAnsi="Arial Narrow"/>
          <w:i/>
        </w:rPr>
        <w:t>ercent</w:t>
      </w:r>
      <w:r w:rsidRPr="0028766C">
        <w:rPr>
          <w:rFonts w:ascii="Arial Narrow" w:hAnsi="Arial Narrow"/>
          <w:i/>
        </w:rPr>
        <w:t xml:space="preserve"> drop by the end of the Access Arrangement period). </w:t>
      </w:r>
      <w:r w:rsidR="00FE221D" w:rsidRPr="0028766C">
        <w:rPr>
          <w:rFonts w:ascii="Arial Narrow" w:hAnsi="Arial Narrow"/>
          <w:i/>
        </w:rPr>
        <w:t>T</w:t>
      </w:r>
      <w:r w:rsidRPr="0028766C">
        <w:rPr>
          <w:rFonts w:ascii="Arial Narrow" w:hAnsi="Arial Narrow"/>
          <w:i/>
        </w:rPr>
        <w:t>his would see a proportionate drop off in the work required outside normal business hours, but Envestra has not allowed for this in its business case; nor has the cost of alternatives to providing stand down periods been identified. The proposed expenditure is not prudent and efficient.”</w:t>
      </w:r>
    </w:p>
    <w:p w:rsidR="008766C0" w:rsidRPr="0028766C" w:rsidRDefault="008766C0" w:rsidP="000C2FAE">
      <w:pPr>
        <w:pStyle w:val="AERbodytext"/>
        <w:spacing w:after="0"/>
        <w:ind w:left="567"/>
        <w:jc w:val="both"/>
        <w:rPr>
          <w:rFonts w:ascii="Arial Narrow" w:hAnsi="Arial Narrow"/>
          <w:b/>
        </w:rPr>
      </w:pPr>
    </w:p>
    <w:p w:rsidR="00015FF1" w:rsidRPr="0028766C" w:rsidRDefault="00015FF1" w:rsidP="005A56C2">
      <w:pPr>
        <w:pStyle w:val="Heading2"/>
      </w:pPr>
      <w:r w:rsidRPr="0028766C">
        <w:t>Envestra Response</w:t>
      </w:r>
    </w:p>
    <w:p w:rsidR="00015FF1" w:rsidRPr="0028766C" w:rsidRDefault="00015FF1" w:rsidP="000C2FAE">
      <w:pPr>
        <w:pStyle w:val="AERbodytext"/>
        <w:spacing w:after="0"/>
        <w:ind w:left="567"/>
        <w:jc w:val="both"/>
        <w:rPr>
          <w:rFonts w:ascii="Arial Narrow" w:hAnsi="Arial Narrow"/>
          <w:b/>
        </w:rPr>
      </w:pPr>
    </w:p>
    <w:p w:rsidR="00B84B12" w:rsidRDefault="00FE221D"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lastRenderedPageBreak/>
        <w:t xml:space="preserve">The </w:t>
      </w:r>
      <w:r w:rsidR="008766C0" w:rsidRPr="0028766C">
        <w:rPr>
          <w:rFonts w:ascii="Arial Narrow" w:eastAsia="Times New Roman" w:hAnsi="Arial Narrow"/>
          <w:sz w:val="24"/>
          <w:szCs w:val="24"/>
        </w:rPr>
        <w:t xml:space="preserve">AER’s position has been guided by </w:t>
      </w:r>
      <w:r w:rsidRPr="0028766C">
        <w:rPr>
          <w:rFonts w:ascii="Arial Narrow" w:eastAsia="Times New Roman" w:hAnsi="Arial Narrow"/>
          <w:sz w:val="24"/>
          <w:szCs w:val="24"/>
        </w:rPr>
        <w:t xml:space="preserve">the view of </w:t>
      </w:r>
      <w:r w:rsidR="008766C0" w:rsidRPr="0028766C">
        <w:rPr>
          <w:rFonts w:ascii="Arial Narrow" w:eastAsia="Times New Roman" w:hAnsi="Arial Narrow"/>
          <w:sz w:val="24"/>
          <w:szCs w:val="24"/>
        </w:rPr>
        <w:t>Wilson Cook (WC) that the mains replacement program to remove cast iron mains from the network will reduce leaks, obviating the need for additional crews</w:t>
      </w:r>
      <w:r w:rsidR="00F67A74" w:rsidRPr="0028766C">
        <w:rPr>
          <w:rFonts w:ascii="Arial Narrow" w:eastAsia="Times New Roman" w:hAnsi="Arial Narrow"/>
          <w:sz w:val="24"/>
          <w:szCs w:val="24"/>
        </w:rPr>
        <w:t xml:space="preserve"> outside normal business hours</w:t>
      </w:r>
      <w:r w:rsidR="00B84B12">
        <w:rPr>
          <w:rFonts w:ascii="Arial Narrow" w:eastAsia="Times New Roman" w:hAnsi="Arial Narrow"/>
          <w:sz w:val="24"/>
          <w:szCs w:val="24"/>
        </w:rPr>
        <w:t>.</w:t>
      </w:r>
    </w:p>
    <w:p w:rsidR="00FE221D" w:rsidRPr="0028766C" w:rsidRDefault="008766C0"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However, while the mains replacement program will reduce and eventually eliminate leaks attributed to deteriorating cast iron and unprotected steel mains, those </w:t>
      </w:r>
      <w:r w:rsidR="00FE221D" w:rsidRPr="0028766C">
        <w:rPr>
          <w:rFonts w:ascii="Arial Narrow" w:eastAsia="Times New Roman" w:hAnsi="Arial Narrow"/>
          <w:sz w:val="24"/>
          <w:szCs w:val="24"/>
        </w:rPr>
        <w:t xml:space="preserve">leaks are </w:t>
      </w:r>
      <w:r w:rsidR="00FE221D" w:rsidRPr="0028766C">
        <w:rPr>
          <w:rFonts w:ascii="Arial Narrow" w:eastAsia="Times New Roman" w:hAnsi="Arial Narrow"/>
          <w:i/>
          <w:sz w:val="24"/>
          <w:szCs w:val="24"/>
        </w:rPr>
        <w:t>not</w:t>
      </w:r>
      <w:r w:rsidR="00FE221D" w:rsidRPr="0028766C">
        <w:rPr>
          <w:rFonts w:ascii="Arial Narrow" w:eastAsia="Times New Roman" w:hAnsi="Arial Narrow"/>
          <w:sz w:val="24"/>
          <w:szCs w:val="24"/>
        </w:rPr>
        <w:t xml:space="preserve"> major contributors</w:t>
      </w:r>
      <w:r w:rsidRPr="0028766C">
        <w:rPr>
          <w:rFonts w:ascii="Arial Narrow" w:eastAsia="Times New Roman" w:hAnsi="Arial Narrow"/>
          <w:sz w:val="24"/>
          <w:szCs w:val="24"/>
        </w:rPr>
        <w:t xml:space="preserve"> to after hours work. </w:t>
      </w:r>
    </w:p>
    <w:p w:rsidR="00FE221D" w:rsidRPr="0028766C" w:rsidRDefault="00FE221D" w:rsidP="003B7361">
      <w:pPr>
        <w:spacing w:after="0" w:line="240" w:lineRule="auto"/>
        <w:jc w:val="both"/>
        <w:rPr>
          <w:rFonts w:ascii="Arial Narrow" w:eastAsia="Times New Roman" w:hAnsi="Arial Narrow"/>
          <w:sz w:val="24"/>
          <w:szCs w:val="24"/>
        </w:rPr>
      </w:pPr>
    </w:p>
    <w:p w:rsidR="008766C0" w:rsidRPr="0028766C" w:rsidRDefault="00FE221D"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Envestra is required </w:t>
      </w:r>
      <w:r w:rsidR="008766C0" w:rsidRPr="0028766C">
        <w:rPr>
          <w:rFonts w:ascii="Arial Narrow" w:eastAsia="Times New Roman" w:hAnsi="Arial Narrow"/>
          <w:sz w:val="24"/>
          <w:szCs w:val="24"/>
        </w:rPr>
        <w:t xml:space="preserve">to maintain a 24/7 operation to effectively respond to meter leaks, third party damages, pipe failure and requests from emergency services. While the majority of after hours calls relate to leak repairs, these leaks are typically </w:t>
      </w:r>
      <w:r w:rsidRPr="0028766C">
        <w:rPr>
          <w:rFonts w:ascii="Arial Narrow" w:eastAsia="Times New Roman" w:hAnsi="Arial Narrow"/>
          <w:sz w:val="24"/>
          <w:szCs w:val="24"/>
        </w:rPr>
        <w:t xml:space="preserve">on the </w:t>
      </w:r>
      <w:r w:rsidR="008766C0" w:rsidRPr="0028766C">
        <w:rPr>
          <w:rFonts w:ascii="Arial Narrow" w:eastAsia="Times New Roman" w:hAnsi="Arial Narrow"/>
          <w:sz w:val="24"/>
          <w:szCs w:val="24"/>
        </w:rPr>
        <w:t xml:space="preserve">high pressure </w:t>
      </w:r>
      <w:r w:rsidRPr="0028766C">
        <w:rPr>
          <w:rFonts w:ascii="Arial Narrow" w:eastAsia="Times New Roman" w:hAnsi="Arial Narrow"/>
          <w:sz w:val="24"/>
          <w:szCs w:val="24"/>
        </w:rPr>
        <w:t>network</w:t>
      </w:r>
      <w:r w:rsidR="008766C0" w:rsidRPr="0028766C">
        <w:rPr>
          <w:rFonts w:ascii="Arial Narrow" w:eastAsia="Times New Roman" w:hAnsi="Arial Narrow"/>
          <w:sz w:val="24"/>
          <w:szCs w:val="24"/>
        </w:rPr>
        <w:t xml:space="preserve">, from </w:t>
      </w:r>
      <w:r w:rsidR="00F67A74" w:rsidRPr="0028766C">
        <w:rPr>
          <w:rFonts w:ascii="Arial Narrow" w:eastAsia="Times New Roman" w:hAnsi="Arial Narrow"/>
          <w:sz w:val="24"/>
          <w:szCs w:val="24"/>
        </w:rPr>
        <w:t xml:space="preserve">either </w:t>
      </w:r>
      <w:r w:rsidR="008766C0" w:rsidRPr="0028766C">
        <w:rPr>
          <w:rFonts w:ascii="Arial Narrow" w:eastAsia="Times New Roman" w:hAnsi="Arial Narrow"/>
          <w:sz w:val="24"/>
          <w:szCs w:val="24"/>
        </w:rPr>
        <w:t>meter fittings or from third party damages. Contrary to the WC view, with the replacement of low pressure cast iron with high pressure polyethylene mains and associated regulators</w:t>
      </w:r>
      <w:r w:rsidRPr="0028766C">
        <w:rPr>
          <w:rFonts w:ascii="Arial Narrow" w:eastAsia="Times New Roman" w:hAnsi="Arial Narrow"/>
          <w:sz w:val="24"/>
          <w:szCs w:val="24"/>
        </w:rPr>
        <w:t xml:space="preserve"> (</w:t>
      </w:r>
      <w:r w:rsidR="008766C0" w:rsidRPr="0028766C">
        <w:rPr>
          <w:rFonts w:ascii="Arial Narrow" w:eastAsia="Times New Roman" w:hAnsi="Arial Narrow"/>
          <w:sz w:val="24"/>
          <w:szCs w:val="24"/>
        </w:rPr>
        <w:t>etc</w:t>
      </w:r>
      <w:r w:rsidRPr="0028766C">
        <w:rPr>
          <w:rFonts w:ascii="Arial Narrow" w:eastAsia="Times New Roman" w:hAnsi="Arial Narrow"/>
          <w:sz w:val="24"/>
          <w:szCs w:val="24"/>
        </w:rPr>
        <w:t>)</w:t>
      </w:r>
      <w:r w:rsidR="008766C0" w:rsidRPr="0028766C">
        <w:rPr>
          <w:rFonts w:ascii="Arial Narrow" w:eastAsia="Times New Roman" w:hAnsi="Arial Narrow"/>
          <w:sz w:val="24"/>
          <w:szCs w:val="24"/>
        </w:rPr>
        <w:t xml:space="preserve">, it is expected that after hours callouts will actually increase over time. This is because high pressure leaks are more quickly noticed by consumers and the public and require more immediate attention compared with low pressure leaks. </w:t>
      </w:r>
    </w:p>
    <w:p w:rsidR="009D2751" w:rsidRPr="0028766C" w:rsidRDefault="009D2751" w:rsidP="000C2FAE">
      <w:pPr>
        <w:spacing w:after="0" w:line="240" w:lineRule="auto"/>
        <w:ind w:left="567"/>
        <w:jc w:val="both"/>
        <w:rPr>
          <w:rFonts w:ascii="Arial Narrow" w:eastAsia="Times New Roman" w:hAnsi="Arial Narrow"/>
          <w:sz w:val="24"/>
          <w:szCs w:val="24"/>
        </w:rPr>
      </w:pPr>
    </w:p>
    <w:p w:rsidR="008766C0" w:rsidRPr="0028766C" w:rsidRDefault="008766C0"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In relation to </w:t>
      </w:r>
      <w:proofErr w:type="spellStart"/>
      <w:r w:rsidRPr="0028766C">
        <w:rPr>
          <w:rFonts w:ascii="Arial Narrow" w:eastAsia="Times New Roman" w:hAnsi="Arial Narrow"/>
          <w:sz w:val="24"/>
          <w:szCs w:val="24"/>
        </w:rPr>
        <w:t>Envestra’s</w:t>
      </w:r>
      <w:proofErr w:type="spellEnd"/>
      <w:r w:rsidRPr="0028766C">
        <w:rPr>
          <w:rFonts w:ascii="Arial Narrow" w:eastAsia="Times New Roman" w:hAnsi="Arial Narrow"/>
          <w:sz w:val="24"/>
          <w:szCs w:val="24"/>
        </w:rPr>
        <w:t xml:space="preserve"> need to increase the number of experienced First Response and Field Repair personnel available for standby afterhours work</w:t>
      </w:r>
      <w:r w:rsidR="00450B7A" w:rsidRPr="0028766C">
        <w:rPr>
          <w:rFonts w:ascii="Arial Narrow" w:eastAsia="Times New Roman" w:hAnsi="Arial Narrow"/>
          <w:sz w:val="24"/>
          <w:szCs w:val="24"/>
        </w:rPr>
        <w:t>,</w:t>
      </w:r>
      <w:r w:rsidRPr="0028766C">
        <w:rPr>
          <w:rFonts w:ascii="Arial Narrow" w:eastAsia="Times New Roman" w:hAnsi="Arial Narrow"/>
          <w:sz w:val="24"/>
          <w:szCs w:val="24"/>
        </w:rPr>
        <w:t xml:space="preserve"> </w:t>
      </w:r>
      <w:r w:rsidR="008726CF" w:rsidRPr="0028766C">
        <w:rPr>
          <w:rFonts w:ascii="Arial Narrow" w:eastAsia="Times New Roman" w:hAnsi="Arial Narrow"/>
          <w:sz w:val="24"/>
          <w:szCs w:val="24"/>
        </w:rPr>
        <w:t>the AER</w:t>
      </w:r>
      <w:r w:rsidRPr="0028766C">
        <w:rPr>
          <w:rFonts w:ascii="Arial Narrow" w:eastAsia="Times New Roman" w:hAnsi="Arial Narrow"/>
          <w:sz w:val="24"/>
          <w:szCs w:val="24"/>
        </w:rPr>
        <w:t xml:space="preserve"> </w:t>
      </w:r>
      <w:r w:rsidR="00F67A74" w:rsidRPr="0028766C">
        <w:rPr>
          <w:rFonts w:ascii="Arial Narrow" w:eastAsia="Times New Roman" w:hAnsi="Arial Narrow"/>
          <w:sz w:val="24"/>
          <w:szCs w:val="24"/>
        </w:rPr>
        <w:t xml:space="preserve">needs to </w:t>
      </w:r>
      <w:r w:rsidRPr="0028766C">
        <w:rPr>
          <w:rFonts w:ascii="Arial Narrow" w:eastAsia="Times New Roman" w:hAnsi="Arial Narrow"/>
          <w:sz w:val="24"/>
          <w:szCs w:val="24"/>
        </w:rPr>
        <w:t>consider</w:t>
      </w:r>
      <w:r w:rsidR="00450B7A" w:rsidRPr="0028766C">
        <w:rPr>
          <w:rFonts w:ascii="Arial Narrow" w:eastAsia="Times New Roman" w:hAnsi="Arial Narrow"/>
          <w:sz w:val="24"/>
          <w:szCs w:val="24"/>
        </w:rPr>
        <w:t xml:space="preserve"> that</w:t>
      </w:r>
      <w:r w:rsidRPr="0028766C">
        <w:rPr>
          <w:rFonts w:ascii="Arial Narrow" w:eastAsia="Times New Roman" w:hAnsi="Arial Narrow"/>
          <w:sz w:val="24"/>
          <w:szCs w:val="24"/>
        </w:rPr>
        <w:t>:</w:t>
      </w:r>
    </w:p>
    <w:p w:rsidR="00E22189" w:rsidRPr="0028766C" w:rsidRDefault="00E22189" w:rsidP="000C2FAE">
      <w:pPr>
        <w:spacing w:after="0" w:line="240" w:lineRule="auto"/>
        <w:ind w:left="567"/>
        <w:jc w:val="both"/>
        <w:rPr>
          <w:rFonts w:ascii="Arial Narrow" w:eastAsia="Times New Roman" w:hAnsi="Arial Narrow"/>
          <w:sz w:val="24"/>
          <w:szCs w:val="24"/>
        </w:rPr>
      </w:pPr>
    </w:p>
    <w:p w:rsidR="00450B7A" w:rsidRPr="0028766C" w:rsidRDefault="008766C0" w:rsidP="00DE0E00">
      <w:pPr>
        <w:numPr>
          <w:ilvl w:val="0"/>
          <w:numId w:val="7"/>
        </w:numPr>
        <w:tabs>
          <w:tab w:val="clear" w:pos="150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Envestra </w:t>
      </w:r>
      <w:r w:rsidR="00450B7A" w:rsidRPr="0028766C">
        <w:rPr>
          <w:rFonts w:ascii="Arial Narrow" w:eastAsia="Times New Roman" w:hAnsi="Arial Narrow"/>
          <w:sz w:val="24"/>
          <w:szCs w:val="24"/>
        </w:rPr>
        <w:t>is</w:t>
      </w:r>
      <w:r w:rsidRPr="0028766C">
        <w:rPr>
          <w:rFonts w:ascii="Arial Narrow" w:eastAsia="Times New Roman" w:hAnsi="Arial Narrow"/>
          <w:sz w:val="24"/>
          <w:szCs w:val="24"/>
        </w:rPr>
        <w:t xml:space="preserve"> required by the Office of the Technical Regulator (OTR)</w:t>
      </w:r>
      <w:r w:rsidR="00450B7A" w:rsidRPr="0028766C">
        <w:rPr>
          <w:rFonts w:ascii="Arial Narrow" w:eastAsia="Times New Roman" w:hAnsi="Arial Narrow"/>
          <w:sz w:val="24"/>
          <w:szCs w:val="24"/>
        </w:rPr>
        <w:t>,</w:t>
      </w:r>
      <w:r w:rsidRPr="0028766C">
        <w:rPr>
          <w:rFonts w:ascii="Arial Narrow" w:eastAsia="Times New Roman" w:hAnsi="Arial Narrow"/>
          <w:sz w:val="24"/>
          <w:szCs w:val="24"/>
        </w:rPr>
        <w:t xml:space="preserve"> emergency services and the general public to have emergency response and repair crews a</w:t>
      </w:r>
      <w:r w:rsidR="00450B7A" w:rsidRPr="0028766C">
        <w:rPr>
          <w:rFonts w:ascii="Arial Narrow" w:eastAsia="Times New Roman" w:hAnsi="Arial Narrow"/>
          <w:sz w:val="24"/>
          <w:szCs w:val="24"/>
        </w:rPr>
        <w:t>vailable 24 hours 7 days a week;</w:t>
      </w:r>
    </w:p>
    <w:p w:rsidR="008766C0" w:rsidRPr="0028766C" w:rsidRDefault="00450B7A" w:rsidP="00DE0E00">
      <w:pPr>
        <w:numPr>
          <w:ilvl w:val="0"/>
          <w:numId w:val="7"/>
        </w:numPr>
        <w:tabs>
          <w:tab w:val="clear" w:pos="150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p</w:t>
      </w:r>
      <w:r w:rsidR="008766C0" w:rsidRPr="0028766C">
        <w:rPr>
          <w:rFonts w:ascii="Arial Narrow" w:eastAsia="Times New Roman" w:hAnsi="Arial Narrow"/>
          <w:sz w:val="24"/>
          <w:szCs w:val="24"/>
        </w:rPr>
        <w:t>ersonnel who carryout emergency response and repair work must be trained</w:t>
      </w:r>
      <w:r w:rsidRPr="0028766C">
        <w:rPr>
          <w:rFonts w:ascii="Arial Narrow" w:eastAsia="Times New Roman" w:hAnsi="Arial Narrow"/>
          <w:sz w:val="24"/>
          <w:szCs w:val="24"/>
        </w:rPr>
        <w:t>,</w:t>
      </w:r>
      <w:r w:rsidR="008766C0" w:rsidRPr="0028766C">
        <w:rPr>
          <w:rFonts w:ascii="Arial Narrow" w:eastAsia="Times New Roman" w:hAnsi="Arial Narrow"/>
          <w:sz w:val="24"/>
          <w:szCs w:val="24"/>
        </w:rPr>
        <w:t xml:space="preserve"> accredited and equipped to carryout repairs </w:t>
      </w:r>
      <w:r w:rsidRPr="0028766C">
        <w:rPr>
          <w:rFonts w:ascii="Arial Narrow" w:eastAsia="Times New Roman" w:hAnsi="Arial Narrow"/>
          <w:sz w:val="24"/>
          <w:szCs w:val="24"/>
        </w:rPr>
        <w:t xml:space="preserve">at </w:t>
      </w:r>
      <w:r w:rsidR="008766C0" w:rsidRPr="0028766C">
        <w:rPr>
          <w:rFonts w:ascii="Arial Narrow" w:eastAsia="Times New Roman" w:hAnsi="Arial Narrow"/>
          <w:sz w:val="24"/>
          <w:szCs w:val="24"/>
        </w:rPr>
        <w:t>any time</w:t>
      </w:r>
      <w:r w:rsidRPr="0028766C">
        <w:rPr>
          <w:rFonts w:ascii="Arial Narrow" w:eastAsia="Times New Roman" w:hAnsi="Arial Narrow"/>
          <w:sz w:val="24"/>
          <w:szCs w:val="24"/>
        </w:rPr>
        <w:t>; and</w:t>
      </w:r>
    </w:p>
    <w:p w:rsidR="008766C0" w:rsidRPr="0028766C" w:rsidRDefault="00450B7A" w:rsidP="00DE0E00">
      <w:pPr>
        <w:numPr>
          <w:ilvl w:val="0"/>
          <w:numId w:val="7"/>
        </w:numPr>
        <w:tabs>
          <w:tab w:val="clear" w:pos="150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p</w:t>
      </w:r>
      <w:r w:rsidR="008766C0" w:rsidRPr="0028766C">
        <w:rPr>
          <w:rFonts w:ascii="Arial Narrow" w:eastAsia="Times New Roman" w:hAnsi="Arial Narrow"/>
          <w:sz w:val="24"/>
          <w:szCs w:val="24"/>
        </w:rPr>
        <w:t xml:space="preserve">ipe failures and damages to above and below ground gas assets caused by third party contractors occur at all times of the day and night and these incidents require emergency response to either perform temporary or permanent repairs to maintain public safety, and with an increasing length of the network operating on high pressure, these incidents will actually increase in frequency. </w:t>
      </w:r>
    </w:p>
    <w:p w:rsidR="008766C0" w:rsidRPr="0028766C" w:rsidRDefault="008766C0" w:rsidP="000C2FAE">
      <w:pPr>
        <w:spacing w:after="0" w:line="240" w:lineRule="auto"/>
        <w:ind w:left="567"/>
        <w:jc w:val="both"/>
        <w:rPr>
          <w:rFonts w:ascii="Arial Narrow" w:eastAsia="Times New Roman" w:hAnsi="Arial Narrow"/>
          <w:sz w:val="24"/>
          <w:szCs w:val="24"/>
        </w:rPr>
      </w:pPr>
    </w:p>
    <w:p w:rsidR="008766C0" w:rsidRPr="0028766C" w:rsidRDefault="008766C0"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WC further noted that the “Working Hours Code of Practice” is not law and therefore cannot be used to justify setting up a standby arrangement which ensures First Response and Repair Crews are well rested and able to complete an afterhours working shift safely.  Envestra believe</w:t>
      </w:r>
      <w:r w:rsidR="00450B7A" w:rsidRPr="0028766C">
        <w:rPr>
          <w:rFonts w:ascii="Arial Narrow" w:eastAsia="Times New Roman" w:hAnsi="Arial Narrow"/>
          <w:sz w:val="24"/>
          <w:szCs w:val="24"/>
        </w:rPr>
        <w:t>s that</w:t>
      </w:r>
      <w:r w:rsidRPr="0028766C">
        <w:rPr>
          <w:rFonts w:ascii="Arial Narrow" w:eastAsia="Times New Roman" w:hAnsi="Arial Narrow"/>
          <w:sz w:val="24"/>
          <w:szCs w:val="24"/>
        </w:rPr>
        <w:t xml:space="preserve"> WC </w:t>
      </w:r>
      <w:r w:rsidR="00450B7A" w:rsidRPr="0028766C">
        <w:rPr>
          <w:rFonts w:ascii="Arial Narrow" w:eastAsia="Times New Roman" w:hAnsi="Arial Narrow"/>
          <w:sz w:val="24"/>
          <w:szCs w:val="24"/>
        </w:rPr>
        <w:t>has not</w:t>
      </w:r>
      <w:r w:rsidRPr="0028766C">
        <w:rPr>
          <w:rFonts w:ascii="Arial Narrow" w:eastAsia="Times New Roman" w:hAnsi="Arial Narrow"/>
          <w:sz w:val="24"/>
          <w:szCs w:val="24"/>
        </w:rPr>
        <w:t xml:space="preserve"> consider</w:t>
      </w:r>
      <w:r w:rsidR="00450B7A" w:rsidRPr="0028766C">
        <w:rPr>
          <w:rFonts w:ascii="Arial Narrow" w:eastAsia="Times New Roman" w:hAnsi="Arial Narrow"/>
          <w:sz w:val="24"/>
          <w:szCs w:val="24"/>
        </w:rPr>
        <w:t>ed</w:t>
      </w:r>
      <w:r w:rsidRPr="0028766C">
        <w:rPr>
          <w:rFonts w:ascii="Arial Narrow" w:eastAsia="Times New Roman" w:hAnsi="Arial Narrow"/>
          <w:sz w:val="24"/>
          <w:szCs w:val="24"/>
        </w:rPr>
        <w:t xml:space="preserve"> the following</w:t>
      </w:r>
      <w:r w:rsidR="00F67A74" w:rsidRPr="0028766C">
        <w:rPr>
          <w:rFonts w:ascii="Arial Narrow" w:eastAsia="Times New Roman" w:hAnsi="Arial Narrow"/>
          <w:sz w:val="24"/>
          <w:szCs w:val="24"/>
        </w:rPr>
        <w:t xml:space="preserve"> in forming its view</w:t>
      </w:r>
      <w:r w:rsidRPr="0028766C">
        <w:rPr>
          <w:rFonts w:ascii="Arial Narrow" w:eastAsia="Times New Roman" w:hAnsi="Arial Narrow"/>
          <w:sz w:val="24"/>
          <w:szCs w:val="24"/>
        </w:rPr>
        <w:t>:</w:t>
      </w:r>
    </w:p>
    <w:p w:rsidR="0087705A" w:rsidRPr="0028766C" w:rsidRDefault="0087705A" w:rsidP="000C2FAE">
      <w:pPr>
        <w:spacing w:after="0" w:line="240" w:lineRule="auto"/>
        <w:ind w:left="567"/>
        <w:jc w:val="both"/>
        <w:rPr>
          <w:rFonts w:ascii="Arial Narrow" w:eastAsia="Times New Roman" w:hAnsi="Arial Narrow"/>
          <w:sz w:val="24"/>
          <w:szCs w:val="24"/>
        </w:rPr>
      </w:pPr>
    </w:p>
    <w:p w:rsidR="008766C0" w:rsidRPr="0028766C" w:rsidRDefault="00F67A74" w:rsidP="00C839C5">
      <w:pPr>
        <w:numPr>
          <w:ilvl w:val="0"/>
          <w:numId w:val="10"/>
        </w:numPr>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f</w:t>
      </w:r>
      <w:r w:rsidR="008766C0" w:rsidRPr="0028766C">
        <w:rPr>
          <w:rFonts w:ascii="Arial Narrow" w:eastAsia="Times New Roman" w:hAnsi="Arial Narrow"/>
          <w:sz w:val="24"/>
          <w:szCs w:val="24"/>
        </w:rPr>
        <w:t>atigue is a major safety risk when driving vehicles, operating equipment and working in a hazardous environment such as an uncon</w:t>
      </w:r>
      <w:r w:rsidRPr="0028766C">
        <w:rPr>
          <w:rFonts w:ascii="Arial Narrow" w:eastAsia="Times New Roman" w:hAnsi="Arial Narrow"/>
          <w:sz w:val="24"/>
          <w:szCs w:val="24"/>
        </w:rPr>
        <w:t>trollable escape of natural gas;</w:t>
      </w:r>
      <w:r w:rsidR="008766C0" w:rsidRPr="0028766C">
        <w:rPr>
          <w:rFonts w:ascii="Arial Narrow" w:eastAsia="Times New Roman" w:hAnsi="Arial Narrow"/>
          <w:sz w:val="24"/>
          <w:szCs w:val="24"/>
        </w:rPr>
        <w:t xml:space="preserve"> </w:t>
      </w:r>
    </w:p>
    <w:p w:rsidR="008766C0" w:rsidRPr="0028766C" w:rsidRDefault="00F67A74" w:rsidP="00C839C5">
      <w:pPr>
        <w:pStyle w:val="NormalWeb"/>
        <w:numPr>
          <w:ilvl w:val="0"/>
          <w:numId w:val="10"/>
        </w:numPr>
        <w:spacing w:before="0" w:beforeAutospacing="0" w:after="0" w:afterAutospacing="0"/>
        <w:ind w:left="426" w:hanging="426"/>
        <w:jc w:val="both"/>
        <w:rPr>
          <w:rFonts w:ascii="Arial Narrow" w:hAnsi="Arial Narrow"/>
          <w:lang w:eastAsia="en-US"/>
        </w:rPr>
      </w:pPr>
      <w:r w:rsidRPr="0028766C">
        <w:rPr>
          <w:rFonts w:ascii="Arial Narrow" w:hAnsi="Arial Narrow"/>
          <w:lang w:eastAsia="en-US"/>
        </w:rPr>
        <w:t>a</w:t>
      </w:r>
      <w:r w:rsidR="008766C0" w:rsidRPr="0028766C">
        <w:rPr>
          <w:rFonts w:ascii="Arial Narrow" w:hAnsi="Arial Narrow"/>
          <w:lang w:eastAsia="en-US"/>
        </w:rPr>
        <w:t xml:space="preserve">n </w:t>
      </w:r>
      <w:r w:rsidRPr="0028766C">
        <w:rPr>
          <w:rFonts w:ascii="Arial Narrow" w:hAnsi="Arial Narrow"/>
          <w:lang w:eastAsia="en-US"/>
        </w:rPr>
        <w:t>a</w:t>
      </w:r>
      <w:r w:rsidR="008766C0" w:rsidRPr="0028766C">
        <w:rPr>
          <w:rFonts w:ascii="Arial Narrow" w:hAnsi="Arial Narrow"/>
          <w:lang w:eastAsia="en-US"/>
        </w:rPr>
        <w:t>pproved Code of Practice for Working Hours (the Code) came into effect on 1 July 2010.  The Code recognises the significant risk, particularly from fatigue, that excessive working hours poses to the health, safety and welfare of South Australian employees and thei</w:t>
      </w:r>
      <w:r w:rsidR="00E95739" w:rsidRPr="0028766C">
        <w:rPr>
          <w:rFonts w:ascii="Arial Narrow" w:hAnsi="Arial Narrow"/>
          <w:lang w:eastAsia="en-US"/>
        </w:rPr>
        <w:t xml:space="preserve">r families; </w:t>
      </w:r>
    </w:p>
    <w:p w:rsidR="008766C0" w:rsidRPr="0028766C" w:rsidRDefault="00F67A74" w:rsidP="00C839C5">
      <w:pPr>
        <w:pStyle w:val="NormalWeb"/>
        <w:numPr>
          <w:ilvl w:val="0"/>
          <w:numId w:val="10"/>
        </w:numPr>
        <w:spacing w:before="0" w:beforeAutospacing="0" w:after="0" w:afterAutospacing="0"/>
        <w:ind w:left="426" w:hanging="426"/>
        <w:jc w:val="both"/>
        <w:rPr>
          <w:rFonts w:ascii="Arial Narrow" w:hAnsi="Arial Narrow"/>
          <w:lang w:eastAsia="en-US"/>
        </w:rPr>
      </w:pPr>
      <w:r w:rsidRPr="0028766C">
        <w:rPr>
          <w:rFonts w:ascii="Arial Narrow" w:hAnsi="Arial Narrow"/>
          <w:lang w:eastAsia="en-US"/>
        </w:rPr>
        <w:t>S</w:t>
      </w:r>
      <w:r w:rsidR="008766C0" w:rsidRPr="0028766C">
        <w:rPr>
          <w:rFonts w:ascii="Arial Narrow" w:hAnsi="Arial Narrow"/>
          <w:lang w:eastAsia="en-US"/>
        </w:rPr>
        <w:t>afe Work SA states that “an approved code of practice (COP) provides practical guidance to meeting legislative obligations. It should always be followed unless there is another solution which achieves the same or a better standard of health and safety in the workplace”.</w:t>
      </w:r>
      <w:r w:rsidR="00E95739" w:rsidRPr="0028766C">
        <w:rPr>
          <w:rFonts w:ascii="Arial Narrow" w:hAnsi="Arial Narrow"/>
          <w:lang w:eastAsia="en-US"/>
        </w:rPr>
        <w:t xml:space="preserve"> </w:t>
      </w:r>
    </w:p>
    <w:p w:rsidR="008766C0" w:rsidRPr="0028766C" w:rsidRDefault="008766C0" w:rsidP="00C839C5">
      <w:pPr>
        <w:numPr>
          <w:ilvl w:val="0"/>
          <w:numId w:val="10"/>
        </w:numPr>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The Code has been approved by the State government under Section 63 of the Occupational Health, Safety and Welfare Act 1986.</w:t>
      </w:r>
    </w:p>
    <w:p w:rsidR="008766C0" w:rsidRPr="0028766C" w:rsidRDefault="008766C0" w:rsidP="000C2FAE">
      <w:pPr>
        <w:spacing w:after="0" w:line="240" w:lineRule="auto"/>
        <w:rPr>
          <w:rFonts w:ascii="Arial Narrow" w:eastAsia="Times New Roman" w:hAnsi="Arial Narrow"/>
          <w:sz w:val="24"/>
          <w:szCs w:val="24"/>
        </w:rPr>
      </w:pPr>
    </w:p>
    <w:p w:rsidR="008766C0" w:rsidRPr="0028766C" w:rsidRDefault="008766C0" w:rsidP="003B7361">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WC further commented that Envestra </w:t>
      </w:r>
      <w:r w:rsidR="00E95739" w:rsidRPr="0028766C">
        <w:rPr>
          <w:rFonts w:ascii="Arial Narrow" w:eastAsia="Times New Roman" w:hAnsi="Arial Narrow"/>
          <w:sz w:val="24"/>
          <w:szCs w:val="24"/>
        </w:rPr>
        <w:t xml:space="preserve">did not </w:t>
      </w:r>
      <w:r w:rsidRPr="0028766C">
        <w:rPr>
          <w:rFonts w:ascii="Arial Narrow" w:eastAsia="Times New Roman" w:hAnsi="Arial Narrow"/>
          <w:sz w:val="24"/>
          <w:szCs w:val="24"/>
        </w:rPr>
        <w:t xml:space="preserve">explore “other options” for standby arrangements.  Envestra </w:t>
      </w:r>
      <w:r w:rsidR="00E95739" w:rsidRPr="0028766C">
        <w:rPr>
          <w:rFonts w:ascii="Arial Narrow" w:eastAsia="Times New Roman" w:hAnsi="Arial Narrow"/>
          <w:sz w:val="24"/>
          <w:szCs w:val="24"/>
        </w:rPr>
        <w:t xml:space="preserve">believes it has done this, </w:t>
      </w:r>
      <w:r w:rsidR="00450B7A" w:rsidRPr="0028766C">
        <w:rPr>
          <w:rFonts w:ascii="Arial Narrow" w:eastAsia="Times New Roman" w:hAnsi="Arial Narrow"/>
          <w:sz w:val="24"/>
          <w:szCs w:val="24"/>
        </w:rPr>
        <w:t>for the following</w:t>
      </w:r>
      <w:r w:rsidRPr="0028766C">
        <w:rPr>
          <w:rFonts w:ascii="Arial Narrow" w:eastAsia="Times New Roman" w:hAnsi="Arial Narrow"/>
          <w:sz w:val="24"/>
          <w:szCs w:val="24"/>
        </w:rPr>
        <w:t xml:space="preserve"> the </w:t>
      </w:r>
      <w:r w:rsidR="00450B7A" w:rsidRPr="0028766C">
        <w:rPr>
          <w:rFonts w:ascii="Arial Narrow" w:eastAsia="Times New Roman" w:hAnsi="Arial Narrow"/>
          <w:sz w:val="24"/>
          <w:szCs w:val="24"/>
        </w:rPr>
        <w:t xml:space="preserve">reasons set out below. </w:t>
      </w:r>
    </w:p>
    <w:p w:rsidR="00015FF1" w:rsidRDefault="00015FF1" w:rsidP="000C2FAE">
      <w:pPr>
        <w:spacing w:after="0" w:line="240" w:lineRule="auto"/>
        <w:ind w:left="567"/>
        <w:jc w:val="both"/>
        <w:rPr>
          <w:rFonts w:ascii="Arial Narrow" w:eastAsia="Times New Roman" w:hAnsi="Arial Narrow"/>
          <w:sz w:val="24"/>
          <w:szCs w:val="24"/>
        </w:rPr>
      </w:pPr>
    </w:p>
    <w:p w:rsidR="00FA5F26" w:rsidRDefault="00FA5F26" w:rsidP="000C2FAE">
      <w:pPr>
        <w:spacing w:after="0" w:line="240" w:lineRule="auto"/>
        <w:ind w:left="567"/>
        <w:jc w:val="both"/>
        <w:rPr>
          <w:rFonts w:ascii="Arial Narrow" w:eastAsia="Times New Roman" w:hAnsi="Arial Narrow"/>
          <w:sz w:val="24"/>
          <w:szCs w:val="24"/>
        </w:rPr>
      </w:pPr>
    </w:p>
    <w:p w:rsidR="008766C0" w:rsidRPr="0028766C" w:rsidRDefault="008766C0" w:rsidP="003B7361">
      <w:pPr>
        <w:spacing w:after="0" w:line="240" w:lineRule="auto"/>
        <w:rPr>
          <w:rFonts w:ascii="Arial Narrow" w:eastAsia="Times New Roman" w:hAnsi="Arial Narrow"/>
          <w:sz w:val="24"/>
          <w:szCs w:val="24"/>
          <w:u w:val="single"/>
        </w:rPr>
      </w:pPr>
      <w:r w:rsidRPr="0028766C">
        <w:rPr>
          <w:rFonts w:ascii="Arial Narrow" w:eastAsia="Times New Roman" w:hAnsi="Arial Narrow"/>
          <w:sz w:val="24"/>
          <w:szCs w:val="24"/>
          <w:u w:val="single"/>
        </w:rPr>
        <w:t xml:space="preserve">Envestra Standby Methodology </w:t>
      </w:r>
    </w:p>
    <w:p w:rsidR="00450B7A" w:rsidRPr="0028766C" w:rsidRDefault="00450B7A" w:rsidP="000C2FAE">
      <w:pPr>
        <w:spacing w:after="0" w:line="240" w:lineRule="auto"/>
        <w:ind w:firstLine="567"/>
        <w:rPr>
          <w:rFonts w:ascii="Arial Narrow" w:eastAsia="Times New Roman" w:hAnsi="Arial Narrow"/>
          <w:sz w:val="24"/>
          <w:szCs w:val="24"/>
          <w:u w:val="single"/>
        </w:rPr>
      </w:pPr>
    </w:p>
    <w:p w:rsidR="008766C0" w:rsidRPr="0028766C" w:rsidRDefault="008766C0" w:rsidP="003B7361">
      <w:pPr>
        <w:spacing w:after="0" w:line="240" w:lineRule="auto"/>
        <w:rPr>
          <w:rFonts w:ascii="Arial Narrow" w:eastAsia="Times New Roman" w:hAnsi="Arial Narrow"/>
          <w:sz w:val="24"/>
          <w:szCs w:val="24"/>
        </w:rPr>
      </w:pPr>
      <w:proofErr w:type="spellStart"/>
      <w:r w:rsidRPr="0028766C">
        <w:rPr>
          <w:rFonts w:ascii="Arial Narrow" w:eastAsia="Times New Roman" w:hAnsi="Arial Narrow"/>
          <w:sz w:val="24"/>
          <w:szCs w:val="24"/>
        </w:rPr>
        <w:lastRenderedPageBreak/>
        <w:t>Envestra’s</w:t>
      </w:r>
      <w:proofErr w:type="spellEnd"/>
      <w:r w:rsidRPr="0028766C">
        <w:rPr>
          <w:rFonts w:ascii="Arial Narrow" w:eastAsia="Times New Roman" w:hAnsi="Arial Narrow"/>
          <w:sz w:val="24"/>
          <w:szCs w:val="24"/>
        </w:rPr>
        <w:t xml:space="preserve"> methodology on standby shifts and personnel required has been based on:</w:t>
      </w:r>
    </w:p>
    <w:p w:rsidR="00E95739" w:rsidRPr="0028766C" w:rsidRDefault="00E95739" w:rsidP="000C2FAE">
      <w:pPr>
        <w:spacing w:after="0" w:line="240" w:lineRule="auto"/>
        <w:ind w:left="567"/>
        <w:rPr>
          <w:rFonts w:ascii="Arial Narrow" w:eastAsia="Times New Roman" w:hAnsi="Arial Narrow"/>
          <w:sz w:val="24"/>
          <w:szCs w:val="24"/>
        </w:rPr>
      </w:pPr>
    </w:p>
    <w:p w:rsidR="008766C0" w:rsidRPr="0028766C" w:rsidRDefault="00E95739" w:rsidP="00DE0E00">
      <w:pPr>
        <w:numPr>
          <w:ilvl w:val="0"/>
          <w:numId w:val="5"/>
        </w:numPr>
        <w:tabs>
          <w:tab w:val="clear" w:pos="10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d</w:t>
      </w:r>
      <w:r w:rsidR="008766C0" w:rsidRPr="0028766C">
        <w:rPr>
          <w:rFonts w:ascii="Arial Narrow" w:eastAsia="Times New Roman" w:hAnsi="Arial Narrow"/>
          <w:sz w:val="24"/>
          <w:szCs w:val="24"/>
        </w:rPr>
        <w:t xml:space="preserve">irect </w:t>
      </w:r>
      <w:r w:rsidRPr="0028766C">
        <w:rPr>
          <w:rFonts w:ascii="Arial Narrow" w:eastAsia="Times New Roman" w:hAnsi="Arial Narrow"/>
          <w:sz w:val="24"/>
          <w:szCs w:val="24"/>
        </w:rPr>
        <w:t>l</w:t>
      </w:r>
      <w:r w:rsidR="008766C0" w:rsidRPr="0028766C">
        <w:rPr>
          <w:rFonts w:ascii="Arial Narrow" w:eastAsia="Times New Roman" w:hAnsi="Arial Narrow"/>
          <w:sz w:val="24"/>
          <w:szCs w:val="24"/>
        </w:rPr>
        <w:t>abour personnel and/or contractors should work no more than 16 hours con</w:t>
      </w:r>
      <w:r w:rsidRPr="0028766C">
        <w:rPr>
          <w:rFonts w:ascii="Arial Narrow" w:eastAsia="Times New Roman" w:hAnsi="Arial Narrow"/>
          <w:sz w:val="24"/>
          <w:szCs w:val="24"/>
        </w:rPr>
        <w:t>tinuously in any 24-hour period;</w:t>
      </w:r>
      <w:r w:rsidR="008766C0" w:rsidRPr="0028766C">
        <w:rPr>
          <w:rFonts w:ascii="Arial Narrow" w:eastAsia="Times New Roman" w:hAnsi="Arial Narrow"/>
          <w:sz w:val="24"/>
          <w:szCs w:val="24"/>
        </w:rPr>
        <w:t xml:space="preserve"> </w:t>
      </w:r>
    </w:p>
    <w:p w:rsidR="008766C0" w:rsidRPr="0028766C" w:rsidRDefault="00E95739" w:rsidP="00DE0E00">
      <w:pPr>
        <w:numPr>
          <w:ilvl w:val="0"/>
          <w:numId w:val="5"/>
        </w:numPr>
        <w:tabs>
          <w:tab w:val="clear" w:pos="10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i</w:t>
      </w:r>
      <w:r w:rsidR="008766C0" w:rsidRPr="0028766C">
        <w:rPr>
          <w:rFonts w:ascii="Arial Narrow" w:eastAsia="Times New Roman" w:hAnsi="Arial Narrow"/>
          <w:sz w:val="24"/>
          <w:szCs w:val="24"/>
        </w:rPr>
        <w:t>rr</w:t>
      </w:r>
      <w:r w:rsidRPr="0028766C">
        <w:rPr>
          <w:rFonts w:ascii="Arial Narrow" w:eastAsia="Times New Roman" w:hAnsi="Arial Narrow"/>
          <w:sz w:val="24"/>
          <w:szCs w:val="24"/>
        </w:rPr>
        <w:t>espective of the times worked, o</w:t>
      </w:r>
      <w:r w:rsidR="008766C0" w:rsidRPr="0028766C">
        <w:rPr>
          <w:rFonts w:ascii="Arial Narrow" w:eastAsia="Times New Roman" w:hAnsi="Arial Narrow"/>
          <w:sz w:val="24"/>
          <w:szCs w:val="24"/>
        </w:rPr>
        <w:t xml:space="preserve">peratives performing </w:t>
      </w:r>
      <w:r w:rsidRPr="0028766C">
        <w:rPr>
          <w:rFonts w:ascii="Arial Narrow" w:eastAsia="Times New Roman" w:hAnsi="Arial Narrow"/>
          <w:sz w:val="24"/>
          <w:szCs w:val="24"/>
        </w:rPr>
        <w:t>f</w:t>
      </w:r>
      <w:r w:rsidR="008766C0" w:rsidRPr="0028766C">
        <w:rPr>
          <w:rFonts w:ascii="Arial Narrow" w:eastAsia="Times New Roman" w:hAnsi="Arial Narrow"/>
          <w:sz w:val="24"/>
          <w:szCs w:val="24"/>
        </w:rPr>
        <w:t xml:space="preserve">irst </w:t>
      </w:r>
      <w:r w:rsidRPr="0028766C">
        <w:rPr>
          <w:rFonts w:ascii="Arial Narrow" w:eastAsia="Times New Roman" w:hAnsi="Arial Narrow"/>
          <w:sz w:val="24"/>
          <w:szCs w:val="24"/>
        </w:rPr>
        <w:t>r</w:t>
      </w:r>
      <w:r w:rsidR="008766C0" w:rsidRPr="0028766C">
        <w:rPr>
          <w:rFonts w:ascii="Arial Narrow" w:eastAsia="Times New Roman" w:hAnsi="Arial Narrow"/>
          <w:sz w:val="24"/>
          <w:szCs w:val="24"/>
        </w:rPr>
        <w:t xml:space="preserve">esponse and </w:t>
      </w:r>
      <w:r w:rsidRPr="0028766C">
        <w:rPr>
          <w:rFonts w:ascii="Arial Narrow" w:eastAsia="Times New Roman" w:hAnsi="Arial Narrow"/>
          <w:sz w:val="24"/>
          <w:szCs w:val="24"/>
        </w:rPr>
        <w:t>f</w:t>
      </w:r>
      <w:r w:rsidR="008766C0" w:rsidRPr="0028766C">
        <w:rPr>
          <w:rFonts w:ascii="Arial Narrow" w:eastAsia="Times New Roman" w:hAnsi="Arial Narrow"/>
          <w:sz w:val="24"/>
          <w:szCs w:val="24"/>
        </w:rPr>
        <w:t xml:space="preserve">ield </w:t>
      </w:r>
      <w:r w:rsidRPr="0028766C">
        <w:rPr>
          <w:rFonts w:ascii="Arial Narrow" w:eastAsia="Times New Roman" w:hAnsi="Arial Narrow"/>
          <w:sz w:val="24"/>
          <w:szCs w:val="24"/>
        </w:rPr>
        <w:t>r</w:t>
      </w:r>
      <w:r w:rsidR="008766C0" w:rsidRPr="0028766C">
        <w:rPr>
          <w:rFonts w:ascii="Arial Narrow" w:eastAsia="Times New Roman" w:hAnsi="Arial Narrow"/>
          <w:sz w:val="24"/>
          <w:szCs w:val="24"/>
        </w:rPr>
        <w:t>epair must maintain knowledge</w:t>
      </w:r>
      <w:r w:rsidRPr="0028766C">
        <w:rPr>
          <w:rFonts w:ascii="Arial Narrow" w:eastAsia="Times New Roman" w:hAnsi="Arial Narrow"/>
          <w:sz w:val="24"/>
          <w:szCs w:val="24"/>
        </w:rPr>
        <w:t>,</w:t>
      </w:r>
      <w:r w:rsidR="008766C0" w:rsidRPr="0028766C">
        <w:rPr>
          <w:rFonts w:ascii="Arial Narrow" w:eastAsia="Times New Roman" w:hAnsi="Arial Narrow"/>
          <w:sz w:val="24"/>
          <w:szCs w:val="24"/>
        </w:rPr>
        <w:t xml:space="preserve"> skills</w:t>
      </w:r>
      <w:r w:rsidRPr="0028766C">
        <w:rPr>
          <w:rFonts w:ascii="Arial Narrow" w:eastAsia="Times New Roman" w:hAnsi="Arial Narrow"/>
          <w:sz w:val="24"/>
          <w:szCs w:val="24"/>
        </w:rPr>
        <w:t>,</w:t>
      </w:r>
      <w:r w:rsidR="008766C0" w:rsidRPr="0028766C">
        <w:rPr>
          <w:rFonts w:ascii="Arial Narrow" w:eastAsia="Times New Roman" w:hAnsi="Arial Narrow"/>
          <w:sz w:val="24"/>
          <w:szCs w:val="24"/>
        </w:rPr>
        <w:t xml:space="preserve"> experience and be sufficient in number to be able to maintain an adequate level of response and mitigate risk to personnel engaged in this response activity the bus</w:t>
      </w:r>
      <w:r w:rsidRPr="0028766C">
        <w:rPr>
          <w:rFonts w:ascii="Arial Narrow" w:eastAsia="Times New Roman" w:hAnsi="Arial Narrow"/>
          <w:sz w:val="24"/>
          <w:szCs w:val="24"/>
        </w:rPr>
        <w:t>iness, consumers and the public; and</w:t>
      </w:r>
    </w:p>
    <w:p w:rsidR="008766C0" w:rsidRDefault="00E95739" w:rsidP="00DE0E00">
      <w:pPr>
        <w:numPr>
          <w:ilvl w:val="0"/>
          <w:numId w:val="5"/>
        </w:numPr>
        <w:tabs>
          <w:tab w:val="clear" w:pos="10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w</w:t>
      </w:r>
      <w:r w:rsidR="008766C0" w:rsidRPr="0028766C">
        <w:rPr>
          <w:rFonts w:ascii="Arial Narrow" w:eastAsia="Times New Roman" w:hAnsi="Arial Narrow"/>
          <w:sz w:val="24"/>
          <w:szCs w:val="24"/>
        </w:rPr>
        <w:t>eekend shifts be limited to 12 hours to reduce the possible impact of fatigue on personnel and contractors.</w:t>
      </w:r>
    </w:p>
    <w:p w:rsidR="001946CF" w:rsidRPr="0028766C" w:rsidRDefault="001946CF" w:rsidP="001946CF">
      <w:pPr>
        <w:tabs>
          <w:tab w:val="left" w:pos="426"/>
        </w:tabs>
        <w:spacing w:after="0" w:line="240" w:lineRule="auto"/>
        <w:ind w:left="426"/>
        <w:jc w:val="both"/>
        <w:rPr>
          <w:rFonts w:ascii="Arial Narrow" w:eastAsia="Times New Roman" w:hAnsi="Arial Narrow"/>
          <w:sz w:val="24"/>
          <w:szCs w:val="24"/>
        </w:rPr>
      </w:pPr>
    </w:p>
    <w:p w:rsidR="008766C0" w:rsidRPr="0028766C" w:rsidRDefault="008766C0" w:rsidP="00D72D6B">
      <w:pPr>
        <w:spacing w:after="0" w:line="240" w:lineRule="auto"/>
        <w:rPr>
          <w:rFonts w:ascii="Arial Narrow" w:eastAsia="Times New Roman" w:hAnsi="Arial Narrow"/>
          <w:sz w:val="24"/>
          <w:szCs w:val="24"/>
          <w:u w:val="single"/>
        </w:rPr>
      </w:pPr>
      <w:r w:rsidRPr="0028766C">
        <w:rPr>
          <w:rFonts w:ascii="Arial Narrow" w:eastAsia="Times New Roman" w:hAnsi="Arial Narrow"/>
          <w:sz w:val="24"/>
          <w:szCs w:val="24"/>
          <w:u w:val="single"/>
        </w:rPr>
        <w:t xml:space="preserve">Standby Case Specifics  </w:t>
      </w:r>
    </w:p>
    <w:p w:rsidR="00E95739" w:rsidRPr="0028766C" w:rsidRDefault="00E95739" w:rsidP="000C2FAE">
      <w:pPr>
        <w:spacing w:after="0" w:line="240" w:lineRule="auto"/>
        <w:ind w:left="567"/>
        <w:jc w:val="both"/>
        <w:rPr>
          <w:rFonts w:ascii="Arial Narrow" w:eastAsia="Times New Roman" w:hAnsi="Arial Narrow"/>
          <w:sz w:val="24"/>
          <w:szCs w:val="24"/>
        </w:rPr>
      </w:pPr>
    </w:p>
    <w:p w:rsidR="008766C0" w:rsidRPr="0028766C" w:rsidRDefault="008766C0" w:rsidP="00D72D6B">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With respect to current practices and alternatives for </w:t>
      </w:r>
      <w:r w:rsidR="00E95739" w:rsidRPr="0028766C">
        <w:rPr>
          <w:rFonts w:ascii="Arial Narrow" w:eastAsia="Times New Roman" w:hAnsi="Arial Narrow"/>
          <w:sz w:val="24"/>
          <w:szCs w:val="24"/>
        </w:rPr>
        <w:t>s</w:t>
      </w:r>
      <w:r w:rsidRPr="0028766C">
        <w:rPr>
          <w:rFonts w:ascii="Arial Narrow" w:eastAsia="Times New Roman" w:hAnsi="Arial Narrow"/>
          <w:sz w:val="24"/>
          <w:szCs w:val="24"/>
        </w:rPr>
        <w:t>tandby</w:t>
      </w:r>
      <w:r w:rsidR="00E95739" w:rsidRPr="0028766C">
        <w:rPr>
          <w:rFonts w:ascii="Arial Narrow" w:eastAsia="Times New Roman" w:hAnsi="Arial Narrow"/>
          <w:sz w:val="24"/>
          <w:szCs w:val="24"/>
        </w:rPr>
        <w:t xml:space="preserve"> shifts</w:t>
      </w:r>
      <w:r w:rsidRPr="0028766C">
        <w:rPr>
          <w:rFonts w:ascii="Arial Narrow" w:eastAsia="Times New Roman" w:hAnsi="Arial Narrow"/>
          <w:sz w:val="24"/>
          <w:szCs w:val="24"/>
        </w:rPr>
        <w:t>, it is important to note that Envestra must comply with its approved Leakage Management Plan (LMP). The LMP is a detailed plan setting out the procedure to be followed and KPIs to be achieved when classifying and repairing leaks.  This procedure is based on Australian Standard 4645 “classification and response to gas leaks” to ensure leaks are handled in a prudent, efficient and safe manner.</w:t>
      </w:r>
    </w:p>
    <w:p w:rsidR="00E95739" w:rsidRPr="0028766C" w:rsidRDefault="00E95739" w:rsidP="00D72D6B">
      <w:pPr>
        <w:spacing w:after="0" w:line="240" w:lineRule="auto"/>
        <w:jc w:val="both"/>
        <w:rPr>
          <w:rFonts w:ascii="Arial Narrow" w:eastAsia="Times New Roman" w:hAnsi="Arial Narrow"/>
          <w:sz w:val="24"/>
          <w:szCs w:val="24"/>
        </w:rPr>
      </w:pPr>
    </w:p>
    <w:p w:rsidR="008766C0" w:rsidRPr="0028766C" w:rsidRDefault="008766C0" w:rsidP="00D72D6B">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The LMP targets a minimum 95% physical response to </w:t>
      </w:r>
      <w:r w:rsidR="00E95739" w:rsidRPr="0028766C">
        <w:rPr>
          <w:rFonts w:ascii="Arial Narrow" w:eastAsia="Times New Roman" w:hAnsi="Arial Narrow"/>
          <w:sz w:val="24"/>
          <w:szCs w:val="24"/>
        </w:rPr>
        <w:t>l</w:t>
      </w:r>
      <w:r w:rsidRPr="0028766C">
        <w:rPr>
          <w:rFonts w:ascii="Arial Narrow" w:eastAsia="Times New Roman" w:hAnsi="Arial Narrow"/>
          <w:sz w:val="24"/>
          <w:szCs w:val="24"/>
        </w:rPr>
        <w:t xml:space="preserve">eaks within two hours of a public reported call.  Class 1 leaks must be monitored until the leak can be reclassified, repaired or made safe.  This requirement necessitates the First Response Operative to remain on site to monitor the leak and drives the need to ensure that more than two First Response Operatives are available for leak response during the recognised peak times, because at any time the Leak Response Operative may be required to standby a leak until the repair crew attends. </w:t>
      </w:r>
    </w:p>
    <w:p w:rsidR="00015FF1" w:rsidRPr="0028766C" w:rsidRDefault="00015FF1" w:rsidP="00D72D6B">
      <w:pPr>
        <w:spacing w:after="0" w:line="240" w:lineRule="auto"/>
        <w:jc w:val="both"/>
        <w:rPr>
          <w:rFonts w:ascii="Arial Narrow" w:eastAsia="Times New Roman" w:hAnsi="Arial Narrow"/>
          <w:sz w:val="24"/>
          <w:szCs w:val="24"/>
        </w:rPr>
      </w:pPr>
    </w:p>
    <w:p w:rsidR="008766C0" w:rsidRPr="0028766C" w:rsidRDefault="008766C0" w:rsidP="00D72D6B">
      <w:pPr>
        <w:spacing w:after="0" w:line="240" w:lineRule="auto"/>
        <w:rPr>
          <w:rFonts w:ascii="Arial Narrow" w:eastAsia="Times New Roman" w:hAnsi="Arial Narrow"/>
          <w:sz w:val="24"/>
          <w:szCs w:val="24"/>
          <w:u w:val="single"/>
        </w:rPr>
      </w:pPr>
      <w:r w:rsidRPr="0028766C">
        <w:rPr>
          <w:rFonts w:ascii="Arial Narrow" w:eastAsia="Times New Roman" w:hAnsi="Arial Narrow"/>
          <w:sz w:val="24"/>
          <w:szCs w:val="24"/>
          <w:u w:val="single"/>
        </w:rPr>
        <w:t>C</w:t>
      </w:r>
      <w:r w:rsidR="00441CD9" w:rsidRPr="0028766C">
        <w:rPr>
          <w:rFonts w:ascii="Arial Narrow" w:eastAsia="Times New Roman" w:hAnsi="Arial Narrow"/>
          <w:sz w:val="24"/>
          <w:szCs w:val="24"/>
          <w:u w:val="single"/>
        </w:rPr>
        <w:t>urrent Practice First Response S</w:t>
      </w:r>
      <w:r w:rsidRPr="0028766C">
        <w:rPr>
          <w:rFonts w:ascii="Arial Narrow" w:eastAsia="Times New Roman" w:hAnsi="Arial Narrow"/>
          <w:sz w:val="24"/>
          <w:szCs w:val="24"/>
          <w:u w:val="single"/>
        </w:rPr>
        <w:t xml:space="preserve">tandby </w:t>
      </w:r>
      <w:r w:rsidR="00441CD9" w:rsidRPr="0028766C">
        <w:rPr>
          <w:rFonts w:ascii="Arial Narrow" w:eastAsia="Times New Roman" w:hAnsi="Arial Narrow"/>
          <w:sz w:val="24"/>
          <w:szCs w:val="24"/>
          <w:u w:val="single"/>
        </w:rPr>
        <w:t>D</w:t>
      </w:r>
      <w:r w:rsidRPr="0028766C">
        <w:rPr>
          <w:rFonts w:ascii="Arial Narrow" w:eastAsia="Times New Roman" w:hAnsi="Arial Narrow"/>
          <w:sz w:val="24"/>
          <w:szCs w:val="24"/>
          <w:u w:val="single"/>
        </w:rPr>
        <w:t xml:space="preserve">uring </w:t>
      </w:r>
      <w:r w:rsidR="00441CD9" w:rsidRPr="0028766C">
        <w:rPr>
          <w:rFonts w:ascii="Arial Narrow" w:eastAsia="Times New Roman" w:hAnsi="Arial Narrow"/>
          <w:sz w:val="24"/>
          <w:szCs w:val="24"/>
          <w:u w:val="single"/>
        </w:rPr>
        <w:t>W</w:t>
      </w:r>
      <w:r w:rsidRPr="0028766C">
        <w:rPr>
          <w:rFonts w:ascii="Arial Narrow" w:eastAsia="Times New Roman" w:hAnsi="Arial Narrow"/>
          <w:sz w:val="24"/>
          <w:szCs w:val="24"/>
          <w:u w:val="single"/>
        </w:rPr>
        <w:t>eekdays</w:t>
      </w:r>
    </w:p>
    <w:p w:rsidR="00E95739" w:rsidRPr="0028766C" w:rsidRDefault="00E95739" w:rsidP="000C2FAE">
      <w:pPr>
        <w:spacing w:after="0" w:line="240" w:lineRule="auto"/>
        <w:ind w:left="567"/>
        <w:jc w:val="both"/>
        <w:rPr>
          <w:rFonts w:ascii="Arial Narrow" w:eastAsia="Times New Roman" w:hAnsi="Arial Narrow"/>
          <w:sz w:val="24"/>
          <w:szCs w:val="24"/>
        </w:rPr>
      </w:pPr>
    </w:p>
    <w:p w:rsidR="008766C0" w:rsidRPr="0028766C" w:rsidRDefault="008766C0" w:rsidP="00D72D6B">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The physical geographic size of the Adelaide Network makes it necessary to maintain at least two First Response Operatives covering the network on weekdays between 4.00pm and 9.00pm with a backup operative on standby. Two Operatives are required on weekends between 8.00am and 8.00pm to meet the requirement to respond to at least 95% of calls within two hours. A single first response fitter is adequate for the hours outside of the peak times, on weekends, and on public holidays.</w:t>
      </w:r>
    </w:p>
    <w:p w:rsidR="00E95739" w:rsidRPr="0028766C" w:rsidRDefault="00E95739" w:rsidP="00D72D6B">
      <w:pPr>
        <w:spacing w:after="0" w:line="240" w:lineRule="auto"/>
        <w:jc w:val="both"/>
        <w:rPr>
          <w:rFonts w:ascii="Arial Narrow" w:eastAsia="Times New Roman" w:hAnsi="Arial Narrow"/>
          <w:sz w:val="24"/>
          <w:szCs w:val="24"/>
        </w:rPr>
      </w:pPr>
    </w:p>
    <w:p w:rsidR="008766C0" w:rsidRPr="0028766C" w:rsidRDefault="008766C0" w:rsidP="00D72D6B">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After normal hours on weekdays First Response is carried out using a First Response Operative available for an afternoon shift between 3.30pm to midnight and then on call between midnight and 7.30am.  A second Operative works a shorter shift to cover peak time between 4.00pm and 9.00pm, a third Operative is on backup standby between 4.00pm and 9.00pm to cover contingencies such as increased calls or to back up one of the other operative if they are required to remain on the site of a Class 1 leak until a Field Repair Crew arrive.</w:t>
      </w:r>
    </w:p>
    <w:p w:rsidR="008766C0" w:rsidRPr="0028766C" w:rsidRDefault="008766C0" w:rsidP="00D72D6B">
      <w:pPr>
        <w:pStyle w:val="NormalWeb"/>
        <w:spacing w:before="0" w:beforeAutospacing="0" w:after="0" w:afterAutospacing="0"/>
        <w:jc w:val="both"/>
        <w:rPr>
          <w:rFonts w:ascii="Arial Narrow" w:hAnsi="Arial Narrow"/>
          <w:lang w:eastAsia="en-US"/>
        </w:rPr>
      </w:pPr>
    </w:p>
    <w:p w:rsidR="008766C0" w:rsidRPr="0028766C" w:rsidRDefault="008766C0" w:rsidP="00D72D6B">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The majority of after-hours public reported calls are meter related gas leaks which are expected to not only continue but increase as low pressure cast iron and unprotected pipe in the Network is replaced with high pressure polyethylene.</w:t>
      </w:r>
    </w:p>
    <w:p w:rsidR="001946CF" w:rsidRDefault="001946CF" w:rsidP="00D72D6B">
      <w:pPr>
        <w:spacing w:after="0" w:line="240" w:lineRule="auto"/>
        <w:jc w:val="both"/>
        <w:rPr>
          <w:rFonts w:ascii="Arial Narrow" w:eastAsia="Times New Roman" w:hAnsi="Arial Narrow"/>
          <w:sz w:val="24"/>
          <w:szCs w:val="24"/>
          <w:u w:val="single"/>
        </w:rPr>
      </w:pPr>
    </w:p>
    <w:p w:rsidR="00FA5F26" w:rsidRDefault="00FA5F26" w:rsidP="00D72D6B">
      <w:pPr>
        <w:spacing w:after="0" w:line="240" w:lineRule="auto"/>
        <w:jc w:val="both"/>
        <w:rPr>
          <w:rFonts w:ascii="Arial Narrow" w:eastAsia="Times New Roman" w:hAnsi="Arial Narrow"/>
          <w:sz w:val="24"/>
          <w:szCs w:val="24"/>
          <w:u w:val="single"/>
        </w:rPr>
      </w:pPr>
    </w:p>
    <w:p w:rsidR="00FA5F26" w:rsidRDefault="00FA5F26" w:rsidP="00D72D6B">
      <w:pPr>
        <w:spacing w:after="0" w:line="240" w:lineRule="auto"/>
        <w:jc w:val="both"/>
        <w:rPr>
          <w:rFonts w:ascii="Arial Narrow" w:eastAsia="Times New Roman" w:hAnsi="Arial Narrow"/>
          <w:sz w:val="24"/>
          <w:szCs w:val="24"/>
          <w:u w:val="single"/>
        </w:rPr>
      </w:pPr>
    </w:p>
    <w:p w:rsidR="00FA5F26" w:rsidRDefault="00FA5F26" w:rsidP="00D72D6B">
      <w:pPr>
        <w:spacing w:after="0" w:line="240" w:lineRule="auto"/>
        <w:jc w:val="both"/>
        <w:rPr>
          <w:rFonts w:ascii="Arial Narrow" w:eastAsia="Times New Roman" w:hAnsi="Arial Narrow"/>
          <w:sz w:val="24"/>
          <w:szCs w:val="24"/>
          <w:u w:val="single"/>
        </w:rPr>
      </w:pPr>
    </w:p>
    <w:p w:rsidR="00FA5F26" w:rsidRDefault="00FA5F26" w:rsidP="00D72D6B">
      <w:pPr>
        <w:spacing w:after="0" w:line="240" w:lineRule="auto"/>
        <w:jc w:val="both"/>
        <w:rPr>
          <w:rFonts w:ascii="Arial Narrow" w:eastAsia="Times New Roman" w:hAnsi="Arial Narrow"/>
          <w:sz w:val="24"/>
          <w:szCs w:val="24"/>
          <w:u w:val="single"/>
        </w:rPr>
      </w:pPr>
    </w:p>
    <w:p w:rsidR="008766C0" w:rsidRPr="0028766C" w:rsidRDefault="008766C0" w:rsidP="00D72D6B">
      <w:pPr>
        <w:spacing w:after="0" w:line="240" w:lineRule="auto"/>
        <w:jc w:val="both"/>
        <w:rPr>
          <w:rFonts w:ascii="Arial Narrow" w:eastAsia="Times New Roman" w:hAnsi="Arial Narrow"/>
          <w:sz w:val="24"/>
          <w:szCs w:val="24"/>
          <w:u w:val="single"/>
        </w:rPr>
      </w:pPr>
      <w:r w:rsidRPr="0028766C">
        <w:rPr>
          <w:rFonts w:ascii="Arial Narrow" w:eastAsia="Times New Roman" w:hAnsi="Arial Narrow"/>
          <w:sz w:val="24"/>
          <w:szCs w:val="24"/>
          <w:u w:val="single"/>
        </w:rPr>
        <w:t>Current Practice</w:t>
      </w:r>
      <w:r w:rsidR="00441CD9" w:rsidRPr="0028766C">
        <w:rPr>
          <w:rFonts w:ascii="Arial Narrow" w:eastAsia="Times New Roman" w:hAnsi="Arial Narrow"/>
          <w:sz w:val="24"/>
          <w:szCs w:val="24"/>
          <w:u w:val="single"/>
        </w:rPr>
        <w:t xml:space="preserve">: </w:t>
      </w:r>
      <w:r w:rsidRPr="0028766C">
        <w:rPr>
          <w:rFonts w:ascii="Arial Narrow" w:eastAsia="Times New Roman" w:hAnsi="Arial Narrow"/>
          <w:sz w:val="24"/>
          <w:szCs w:val="24"/>
          <w:u w:val="single"/>
        </w:rPr>
        <w:t xml:space="preserve"> Field </w:t>
      </w:r>
      <w:r w:rsidR="00441CD9" w:rsidRPr="0028766C">
        <w:rPr>
          <w:rFonts w:ascii="Arial Narrow" w:eastAsia="Times New Roman" w:hAnsi="Arial Narrow"/>
          <w:sz w:val="24"/>
          <w:szCs w:val="24"/>
          <w:u w:val="single"/>
        </w:rPr>
        <w:t>R</w:t>
      </w:r>
      <w:r w:rsidRPr="0028766C">
        <w:rPr>
          <w:rFonts w:ascii="Arial Narrow" w:eastAsia="Times New Roman" w:hAnsi="Arial Narrow"/>
          <w:sz w:val="24"/>
          <w:szCs w:val="24"/>
          <w:u w:val="single"/>
        </w:rPr>
        <w:t xml:space="preserve">epair </w:t>
      </w:r>
      <w:r w:rsidR="00441CD9" w:rsidRPr="0028766C">
        <w:rPr>
          <w:rFonts w:ascii="Arial Narrow" w:eastAsia="Times New Roman" w:hAnsi="Arial Narrow"/>
          <w:sz w:val="24"/>
          <w:szCs w:val="24"/>
          <w:u w:val="single"/>
        </w:rPr>
        <w:t>Crew S</w:t>
      </w:r>
      <w:r w:rsidRPr="0028766C">
        <w:rPr>
          <w:rFonts w:ascii="Arial Narrow" w:eastAsia="Times New Roman" w:hAnsi="Arial Narrow"/>
          <w:sz w:val="24"/>
          <w:szCs w:val="24"/>
          <w:u w:val="single"/>
        </w:rPr>
        <w:t xml:space="preserve">tandby </w:t>
      </w:r>
      <w:r w:rsidR="00441CD9" w:rsidRPr="0028766C">
        <w:rPr>
          <w:rFonts w:ascii="Arial Narrow" w:eastAsia="Times New Roman" w:hAnsi="Arial Narrow"/>
          <w:sz w:val="24"/>
          <w:szCs w:val="24"/>
          <w:u w:val="single"/>
        </w:rPr>
        <w:t>D</w:t>
      </w:r>
      <w:r w:rsidRPr="0028766C">
        <w:rPr>
          <w:rFonts w:ascii="Arial Narrow" w:eastAsia="Times New Roman" w:hAnsi="Arial Narrow"/>
          <w:sz w:val="24"/>
          <w:szCs w:val="24"/>
          <w:u w:val="single"/>
        </w:rPr>
        <w:t xml:space="preserve">uring </w:t>
      </w:r>
      <w:r w:rsidR="00441CD9" w:rsidRPr="0028766C">
        <w:rPr>
          <w:rFonts w:ascii="Arial Narrow" w:eastAsia="Times New Roman" w:hAnsi="Arial Narrow"/>
          <w:sz w:val="24"/>
          <w:szCs w:val="24"/>
          <w:u w:val="single"/>
        </w:rPr>
        <w:t>W</w:t>
      </w:r>
      <w:r w:rsidRPr="0028766C">
        <w:rPr>
          <w:rFonts w:ascii="Arial Narrow" w:eastAsia="Times New Roman" w:hAnsi="Arial Narrow"/>
          <w:sz w:val="24"/>
          <w:szCs w:val="24"/>
          <w:u w:val="single"/>
        </w:rPr>
        <w:t>eekdays</w:t>
      </w:r>
    </w:p>
    <w:p w:rsidR="00441CD9" w:rsidRPr="0028766C" w:rsidRDefault="00441CD9" w:rsidP="00D72D6B">
      <w:pPr>
        <w:pStyle w:val="NormalWeb"/>
        <w:spacing w:before="0" w:beforeAutospacing="0" w:after="0" w:afterAutospacing="0"/>
        <w:jc w:val="both"/>
        <w:rPr>
          <w:rFonts w:ascii="Arial Narrow" w:hAnsi="Arial Narrow"/>
          <w:lang w:eastAsia="en-US"/>
        </w:rPr>
      </w:pPr>
    </w:p>
    <w:p w:rsidR="008766C0" w:rsidRPr="0028766C" w:rsidRDefault="008766C0" w:rsidP="00D72D6B">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lastRenderedPageBreak/>
        <w:t>In response to the issue of fatigue and its impact on the safety of Field Crews, Envestra has already implemented changes to ensure an effective 24/7 response, however, this is not sustainable in the medium to long term given the small number of crews on rotation, the age and physical condition of workers.  The current practice is for a field repair crew to have the day off before they commence an afternoon shift from 3.30pm to midnight, the crew then remains on standby from midnight to 7.30am, giving a maximum of 16 continuous hours.</w:t>
      </w:r>
    </w:p>
    <w:p w:rsidR="00D9308D" w:rsidRPr="0028766C" w:rsidRDefault="00D9308D" w:rsidP="00D72D6B">
      <w:pPr>
        <w:spacing w:after="0" w:line="240" w:lineRule="auto"/>
        <w:jc w:val="both"/>
        <w:rPr>
          <w:rFonts w:ascii="Arial Narrow" w:eastAsia="Times New Roman" w:hAnsi="Arial Narrow"/>
          <w:sz w:val="24"/>
          <w:szCs w:val="24"/>
        </w:rPr>
      </w:pPr>
    </w:p>
    <w:p w:rsidR="008766C0" w:rsidRPr="0028766C" w:rsidRDefault="008766C0" w:rsidP="00D72D6B">
      <w:pPr>
        <w:spacing w:after="0" w:line="240" w:lineRule="auto"/>
        <w:jc w:val="both"/>
        <w:rPr>
          <w:rFonts w:ascii="Arial Narrow" w:eastAsia="Times New Roman" w:hAnsi="Arial Narrow"/>
          <w:sz w:val="24"/>
          <w:szCs w:val="24"/>
          <w:u w:val="single"/>
        </w:rPr>
      </w:pPr>
      <w:r w:rsidRPr="0028766C">
        <w:rPr>
          <w:rFonts w:ascii="Arial Narrow" w:eastAsia="Times New Roman" w:hAnsi="Arial Narrow"/>
          <w:sz w:val="24"/>
          <w:szCs w:val="24"/>
          <w:u w:val="single"/>
        </w:rPr>
        <w:t>Current Practice</w:t>
      </w:r>
      <w:r w:rsidR="00441CD9" w:rsidRPr="0028766C">
        <w:rPr>
          <w:rFonts w:ascii="Arial Narrow" w:eastAsia="Times New Roman" w:hAnsi="Arial Narrow"/>
          <w:sz w:val="24"/>
          <w:szCs w:val="24"/>
          <w:u w:val="single"/>
        </w:rPr>
        <w:t>:</w:t>
      </w:r>
      <w:r w:rsidRPr="0028766C">
        <w:rPr>
          <w:rFonts w:ascii="Arial Narrow" w:eastAsia="Times New Roman" w:hAnsi="Arial Narrow"/>
          <w:sz w:val="24"/>
          <w:szCs w:val="24"/>
          <w:u w:val="single"/>
        </w:rPr>
        <w:t xml:space="preserve"> </w:t>
      </w:r>
      <w:r w:rsidR="008E6713">
        <w:rPr>
          <w:rFonts w:ascii="Arial Narrow" w:eastAsia="Times New Roman" w:hAnsi="Arial Narrow"/>
          <w:sz w:val="24"/>
          <w:szCs w:val="24"/>
          <w:u w:val="single"/>
        </w:rPr>
        <w:t xml:space="preserve"> </w:t>
      </w:r>
      <w:r w:rsidRPr="0028766C">
        <w:rPr>
          <w:rFonts w:ascii="Arial Narrow" w:eastAsia="Times New Roman" w:hAnsi="Arial Narrow"/>
          <w:sz w:val="24"/>
          <w:szCs w:val="24"/>
          <w:u w:val="single"/>
        </w:rPr>
        <w:t xml:space="preserve">Field </w:t>
      </w:r>
      <w:r w:rsidR="00441CD9" w:rsidRPr="0028766C">
        <w:rPr>
          <w:rFonts w:ascii="Arial Narrow" w:eastAsia="Times New Roman" w:hAnsi="Arial Narrow"/>
          <w:sz w:val="24"/>
          <w:szCs w:val="24"/>
          <w:u w:val="single"/>
        </w:rPr>
        <w:t>R</w:t>
      </w:r>
      <w:r w:rsidRPr="0028766C">
        <w:rPr>
          <w:rFonts w:ascii="Arial Narrow" w:eastAsia="Times New Roman" w:hAnsi="Arial Narrow"/>
          <w:sz w:val="24"/>
          <w:szCs w:val="24"/>
          <w:u w:val="single"/>
        </w:rPr>
        <w:t xml:space="preserve">epair </w:t>
      </w:r>
      <w:r w:rsidR="00441CD9" w:rsidRPr="0028766C">
        <w:rPr>
          <w:rFonts w:ascii="Arial Narrow" w:eastAsia="Times New Roman" w:hAnsi="Arial Narrow"/>
          <w:sz w:val="24"/>
          <w:szCs w:val="24"/>
          <w:u w:val="single"/>
        </w:rPr>
        <w:t>C</w:t>
      </w:r>
      <w:r w:rsidRPr="0028766C">
        <w:rPr>
          <w:rFonts w:ascii="Arial Narrow" w:eastAsia="Times New Roman" w:hAnsi="Arial Narrow"/>
          <w:sz w:val="24"/>
          <w:szCs w:val="24"/>
          <w:u w:val="single"/>
        </w:rPr>
        <w:t xml:space="preserve">rew </w:t>
      </w:r>
      <w:r w:rsidR="00441CD9" w:rsidRPr="0028766C">
        <w:rPr>
          <w:rFonts w:ascii="Arial Narrow" w:eastAsia="Times New Roman" w:hAnsi="Arial Narrow"/>
          <w:sz w:val="24"/>
          <w:szCs w:val="24"/>
          <w:u w:val="single"/>
        </w:rPr>
        <w:t>S</w:t>
      </w:r>
      <w:r w:rsidRPr="0028766C">
        <w:rPr>
          <w:rFonts w:ascii="Arial Narrow" w:eastAsia="Times New Roman" w:hAnsi="Arial Narrow"/>
          <w:sz w:val="24"/>
          <w:szCs w:val="24"/>
          <w:u w:val="single"/>
        </w:rPr>
        <w:t xml:space="preserve">tandby </w:t>
      </w:r>
      <w:r w:rsidR="00441CD9" w:rsidRPr="0028766C">
        <w:rPr>
          <w:rFonts w:ascii="Arial Narrow" w:eastAsia="Times New Roman" w:hAnsi="Arial Narrow"/>
          <w:sz w:val="24"/>
          <w:szCs w:val="24"/>
          <w:u w:val="single"/>
        </w:rPr>
        <w:t>W</w:t>
      </w:r>
      <w:r w:rsidRPr="0028766C">
        <w:rPr>
          <w:rFonts w:ascii="Arial Narrow" w:eastAsia="Times New Roman" w:hAnsi="Arial Narrow"/>
          <w:sz w:val="24"/>
          <w:szCs w:val="24"/>
          <w:u w:val="single"/>
        </w:rPr>
        <w:t>eekends</w:t>
      </w:r>
    </w:p>
    <w:p w:rsidR="00441CD9" w:rsidRPr="0028766C" w:rsidRDefault="00441CD9" w:rsidP="000C2FAE">
      <w:pPr>
        <w:pStyle w:val="NormalWeb"/>
        <w:spacing w:before="0" w:beforeAutospacing="0" w:after="0" w:afterAutospacing="0"/>
        <w:ind w:left="567"/>
        <w:jc w:val="both"/>
        <w:rPr>
          <w:rFonts w:ascii="Arial Narrow" w:hAnsi="Arial Narrow"/>
          <w:lang w:eastAsia="en-US"/>
        </w:rPr>
      </w:pPr>
    </w:p>
    <w:p w:rsidR="008766C0" w:rsidRPr="0028766C" w:rsidRDefault="008766C0" w:rsidP="00D72D6B">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During weekends and on public holidays two crews are required to be on call to cover leaks that occur due to third party work in the street or on private property.  These leaks can either be quick to repair / make safe or complicated, lasting up to 16 hours and possibly preventing the crew from responding to any other leaks that may occur that day.</w:t>
      </w:r>
    </w:p>
    <w:p w:rsidR="008766C0" w:rsidRPr="0028766C" w:rsidRDefault="008766C0" w:rsidP="000C2FAE">
      <w:pPr>
        <w:pStyle w:val="NormalWeb"/>
        <w:spacing w:before="0" w:beforeAutospacing="0" w:after="0" w:afterAutospacing="0"/>
        <w:ind w:left="567"/>
        <w:jc w:val="both"/>
        <w:rPr>
          <w:rFonts w:ascii="Arial Narrow" w:hAnsi="Arial Narrow"/>
          <w:lang w:eastAsia="en-US"/>
        </w:rPr>
      </w:pPr>
    </w:p>
    <w:p w:rsidR="008766C0" w:rsidRPr="0028766C" w:rsidRDefault="008766C0" w:rsidP="000B6E38">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 xml:space="preserve">The current practice </w:t>
      </w:r>
      <w:r w:rsidR="00453E1B" w:rsidRPr="0028766C">
        <w:rPr>
          <w:rFonts w:ascii="Arial Narrow" w:hAnsi="Arial Narrow"/>
          <w:lang w:eastAsia="en-US"/>
        </w:rPr>
        <w:t>entails</w:t>
      </w:r>
      <w:r w:rsidRPr="0028766C">
        <w:rPr>
          <w:rFonts w:ascii="Arial Narrow" w:hAnsi="Arial Narrow"/>
          <w:lang w:eastAsia="en-US"/>
        </w:rPr>
        <w:t xml:space="preserve"> one crew be</w:t>
      </w:r>
      <w:r w:rsidR="00453E1B" w:rsidRPr="0028766C">
        <w:rPr>
          <w:rFonts w:ascii="Arial Narrow" w:hAnsi="Arial Narrow"/>
          <w:lang w:eastAsia="en-US"/>
        </w:rPr>
        <w:t>ing</w:t>
      </w:r>
      <w:r w:rsidRPr="0028766C">
        <w:rPr>
          <w:rFonts w:ascii="Arial Narrow" w:hAnsi="Arial Narrow"/>
          <w:lang w:eastAsia="en-US"/>
        </w:rPr>
        <w:t xml:space="preserve"> scheduled</w:t>
      </w:r>
      <w:r w:rsidR="00453E1B" w:rsidRPr="0028766C">
        <w:rPr>
          <w:rFonts w:ascii="Arial Narrow" w:hAnsi="Arial Narrow"/>
          <w:lang w:eastAsia="en-US"/>
        </w:rPr>
        <w:t xml:space="preserve"> to work</w:t>
      </w:r>
      <w:r w:rsidRPr="0028766C">
        <w:rPr>
          <w:rFonts w:ascii="Arial Narrow" w:hAnsi="Arial Narrow"/>
          <w:lang w:eastAsia="en-US"/>
        </w:rPr>
        <w:t xml:space="preserve"> for 12 hours during the day.  A second crew is on call for 24 hours, however a procedure is in place requiring that the second crew only be called prior to its allocated staring time if the event is a major leak</w:t>
      </w:r>
      <w:r w:rsidR="00453E1B" w:rsidRPr="0028766C">
        <w:rPr>
          <w:rFonts w:ascii="Arial Narrow" w:hAnsi="Arial Narrow"/>
          <w:lang w:eastAsia="en-US"/>
        </w:rPr>
        <w:t>/</w:t>
      </w:r>
      <w:r w:rsidRPr="0028766C">
        <w:rPr>
          <w:rFonts w:ascii="Arial Narrow" w:hAnsi="Arial Narrow"/>
          <w:lang w:eastAsia="en-US"/>
        </w:rPr>
        <w:t xml:space="preserve"> incident or if the </w:t>
      </w:r>
      <w:r w:rsidR="00453E1B" w:rsidRPr="0028766C">
        <w:rPr>
          <w:rFonts w:ascii="Arial Narrow" w:hAnsi="Arial Narrow"/>
          <w:lang w:eastAsia="en-US"/>
        </w:rPr>
        <w:t>number</w:t>
      </w:r>
      <w:r w:rsidRPr="0028766C">
        <w:rPr>
          <w:rFonts w:ascii="Arial Narrow" w:hAnsi="Arial Narrow"/>
          <w:lang w:eastAsia="en-US"/>
        </w:rPr>
        <w:t xml:space="preserve"> of leaks exceeds the ability </w:t>
      </w:r>
      <w:r w:rsidR="00453E1B" w:rsidRPr="0028766C">
        <w:rPr>
          <w:rFonts w:ascii="Arial Narrow" w:hAnsi="Arial Narrow"/>
          <w:lang w:eastAsia="en-US"/>
        </w:rPr>
        <w:t>of</w:t>
      </w:r>
      <w:r w:rsidRPr="0028766C">
        <w:rPr>
          <w:rFonts w:ascii="Arial Narrow" w:hAnsi="Arial Narrow"/>
          <w:lang w:eastAsia="en-US"/>
        </w:rPr>
        <w:t xml:space="preserve"> the first crew to attend in a reasonable time.  This practice is not </w:t>
      </w:r>
      <w:r w:rsidR="00453E1B" w:rsidRPr="0028766C">
        <w:rPr>
          <w:rFonts w:ascii="Arial Narrow" w:hAnsi="Arial Narrow"/>
          <w:lang w:eastAsia="en-US"/>
        </w:rPr>
        <w:t>good industry practice</w:t>
      </w:r>
      <w:r w:rsidRPr="0028766C">
        <w:rPr>
          <w:rFonts w:ascii="Arial Narrow" w:hAnsi="Arial Narrow"/>
          <w:lang w:eastAsia="en-US"/>
        </w:rPr>
        <w:t xml:space="preserve"> as it is possible for the second crew to be called out in the first 12 hours</w:t>
      </w:r>
      <w:r w:rsidR="00441CD9" w:rsidRPr="0028766C">
        <w:rPr>
          <w:rFonts w:ascii="Arial Narrow" w:hAnsi="Arial Narrow"/>
          <w:lang w:eastAsia="en-US"/>
        </w:rPr>
        <w:t xml:space="preserve">, thereby </w:t>
      </w:r>
      <w:r w:rsidRPr="0028766C">
        <w:rPr>
          <w:rFonts w:ascii="Arial Narrow" w:hAnsi="Arial Narrow"/>
          <w:lang w:eastAsia="en-US"/>
        </w:rPr>
        <w:t>mak</w:t>
      </w:r>
      <w:r w:rsidR="00441CD9" w:rsidRPr="0028766C">
        <w:rPr>
          <w:rFonts w:ascii="Arial Narrow" w:hAnsi="Arial Narrow"/>
          <w:lang w:eastAsia="en-US"/>
        </w:rPr>
        <w:t>ing</w:t>
      </w:r>
      <w:r w:rsidRPr="0028766C">
        <w:rPr>
          <w:rFonts w:ascii="Arial Narrow" w:hAnsi="Arial Narrow"/>
          <w:lang w:eastAsia="en-US"/>
        </w:rPr>
        <w:t xml:space="preserve"> it possible for that crew to exceed the 16</w:t>
      </w:r>
      <w:r w:rsidR="00453E1B" w:rsidRPr="0028766C">
        <w:rPr>
          <w:rFonts w:ascii="Arial Narrow" w:hAnsi="Arial Narrow"/>
          <w:lang w:eastAsia="en-US"/>
        </w:rPr>
        <w:t>-</w:t>
      </w:r>
      <w:r w:rsidRPr="0028766C">
        <w:rPr>
          <w:rFonts w:ascii="Arial Narrow" w:hAnsi="Arial Narrow"/>
          <w:lang w:eastAsia="en-US"/>
        </w:rPr>
        <w:t>hour maximum, placing the second crew at risk of fatigue either on the job or while travelling.</w:t>
      </w:r>
    </w:p>
    <w:p w:rsidR="008766C0" w:rsidRPr="0028766C" w:rsidRDefault="008766C0" w:rsidP="000B6E38">
      <w:pPr>
        <w:pStyle w:val="NormalWeb"/>
        <w:spacing w:before="0" w:beforeAutospacing="0" w:after="0" w:afterAutospacing="0"/>
        <w:jc w:val="both"/>
        <w:rPr>
          <w:rFonts w:ascii="Arial Narrow" w:hAnsi="Arial Narrow"/>
          <w:lang w:eastAsia="en-US"/>
        </w:rPr>
      </w:pPr>
    </w:p>
    <w:p w:rsidR="008766C0" w:rsidRPr="0028766C" w:rsidRDefault="008766C0" w:rsidP="000B6E38">
      <w:pPr>
        <w:pStyle w:val="NormalWeb"/>
        <w:spacing w:before="0" w:beforeAutospacing="0" w:after="0" w:afterAutospacing="0"/>
        <w:jc w:val="both"/>
        <w:rPr>
          <w:rFonts w:ascii="Arial Narrow" w:hAnsi="Arial Narrow"/>
          <w:lang w:eastAsia="en-US"/>
        </w:rPr>
      </w:pPr>
      <w:proofErr w:type="spellStart"/>
      <w:r w:rsidRPr="0028766C">
        <w:rPr>
          <w:rFonts w:ascii="Arial Narrow" w:hAnsi="Arial Narrow"/>
          <w:lang w:eastAsia="en-US"/>
        </w:rPr>
        <w:t>Envestra’s</w:t>
      </w:r>
      <w:proofErr w:type="spellEnd"/>
      <w:r w:rsidRPr="0028766C">
        <w:rPr>
          <w:rFonts w:ascii="Arial Narrow" w:hAnsi="Arial Narrow"/>
          <w:lang w:eastAsia="en-US"/>
        </w:rPr>
        <w:t xml:space="preserve"> proposed </w:t>
      </w:r>
      <w:r w:rsidR="00441CD9" w:rsidRPr="0028766C">
        <w:rPr>
          <w:rFonts w:ascii="Arial Narrow" w:hAnsi="Arial Narrow"/>
          <w:lang w:eastAsia="en-US"/>
        </w:rPr>
        <w:t>s</w:t>
      </w:r>
      <w:r w:rsidRPr="0028766C">
        <w:rPr>
          <w:rFonts w:ascii="Arial Narrow" w:hAnsi="Arial Narrow"/>
          <w:lang w:eastAsia="en-US"/>
        </w:rPr>
        <w:t>tandby arrangements for both First Response and Field Repair crews recognises that the current arrangement is a short term fatigue management solution and is not sustainable in the long term and a more suitable standby model is required.</w:t>
      </w:r>
    </w:p>
    <w:p w:rsidR="008766C0" w:rsidRPr="0028766C" w:rsidRDefault="008766C0" w:rsidP="000B6E38">
      <w:pPr>
        <w:pStyle w:val="NormalWeb"/>
        <w:spacing w:before="0" w:beforeAutospacing="0" w:after="0" w:afterAutospacing="0"/>
        <w:jc w:val="both"/>
        <w:rPr>
          <w:rFonts w:ascii="Arial Narrow" w:hAnsi="Arial Narrow"/>
          <w:lang w:eastAsia="en-US"/>
        </w:rPr>
      </w:pPr>
    </w:p>
    <w:p w:rsidR="008766C0" w:rsidRPr="0028766C" w:rsidRDefault="008766C0" w:rsidP="000B6E38">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 xml:space="preserve">A significant issue effecting the current standby arrangement is the limited number of crews available to rotate through the 24-hour 7-day roster. The current system relies on all personnel being available and creates difficulty when personnel are on </w:t>
      </w:r>
      <w:r w:rsidR="00441CD9" w:rsidRPr="0028766C">
        <w:rPr>
          <w:rFonts w:ascii="Arial Narrow" w:hAnsi="Arial Narrow"/>
          <w:lang w:eastAsia="en-US"/>
        </w:rPr>
        <w:t>a</w:t>
      </w:r>
      <w:r w:rsidRPr="0028766C">
        <w:rPr>
          <w:rFonts w:ascii="Arial Narrow" w:hAnsi="Arial Narrow"/>
          <w:lang w:eastAsia="en-US"/>
        </w:rPr>
        <w:t>nnual leave, long service leave and sick leave.  Additionally</w:t>
      </w:r>
      <w:r w:rsidR="00441CD9" w:rsidRPr="0028766C">
        <w:rPr>
          <w:rFonts w:ascii="Arial Narrow" w:hAnsi="Arial Narrow"/>
          <w:lang w:eastAsia="en-US"/>
        </w:rPr>
        <w:t>,</w:t>
      </w:r>
      <w:r w:rsidRPr="0028766C">
        <w:rPr>
          <w:rFonts w:ascii="Arial Narrow" w:hAnsi="Arial Narrow"/>
          <w:lang w:eastAsia="en-US"/>
        </w:rPr>
        <w:t xml:space="preserve"> the age profile of current personnel is such that at least 14 of these field workers</w:t>
      </w:r>
      <w:r w:rsidR="00453E1B" w:rsidRPr="0028766C">
        <w:rPr>
          <w:rFonts w:ascii="Arial Narrow" w:hAnsi="Arial Narrow"/>
          <w:lang w:eastAsia="en-US"/>
        </w:rPr>
        <w:t xml:space="preserve"> are aged in their late fifties and early sixties, resulting in an enhanced risk of worker fatigue and injury, as well as an increased overall safety risk in operations.</w:t>
      </w:r>
    </w:p>
    <w:p w:rsidR="008766C0" w:rsidRPr="0028766C" w:rsidRDefault="008766C0" w:rsidP="000B6E38">
      <w:pPr>
        <w:pStyle w:val="NormalWeb"/>
        <w:spacing w:before="0" w:beforeAutospacing="0" w:after="0" w:afterAutospacing="0"/>
        <w:jc w:val="both"/>
        <w:rPr>
          <w:rFonts w:ascii="Arial Narrow" w:hAnsi="Arial Narrow"/>
          <w:lang w:eastAsia="en-US"/>
        </w:rPr>
      </w:pPr>
    </w:p>
    <w:p w:rsidR="008766C0" w:rsidRPr="0028766C" w:rsidRDefault="008766C0" w:rsidP="000B6E38">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 xml:space="preserve">The additional crews proposed in the </w:t>
      </w:r>
      <w:r w:rsidR="0091116A" w:rsidRPr="0028766C">
        <w:rPr>
          <w:rFonts w:ascii="Arial Narrow" w:hAnsi="Arial Narrow"/>
          <w:lang w:eastAsia="en-US"/>
        </w:rPr>
        <w:t>business case</w:t>
      </w:r>
      <w:r w:rsidRPr="0028766C">
        <w:rPr>
          <w:rFonts w:ascii="Arial Narrow" w:hAnsi="Arial Narrow"/>
          <w:lang w:eastAsia="en-US"/>
        </w:rPr>
        <w:t xml:space="preserve"> will allow fatigue to be managed, and shifts to be spread out</w:t>
      </w:r>
      <w:r w:rsidR="00441CD9" w:rsidRPr="0028766C">
        <w:rPr>
          <w:rFonts w:ascii="Arial Narrow" w:hAnsi="Arial Narrow"/>
          <w:lang w:eastAsia="en-US"/>
        </w:rPr>
        <w:t xml:space="preserve">, thereby </w:t>
      </w:r>
      <w:r w:rsidRPr="0028766C">
        <w:rPr>
          <w:rFonts w:ascii="Arial Narrow" w:hAnsi="Arial Narrow"/>
          <w:lang w:eastAsia="en-US"/>
        </w:rPr>
        <w:t>helping to maintain a fit, healthy and satisfied workforce.  This will</w:t>
      </w:r>
      <w:r w:rsidR="00441CD9" w:rsidRPr="0028766C">
        <w:rPr>
          <w:rFonts w:ascii="Arial Narrow" w:hAnsi="Arial Narrow"/>
          <w:lang w:eastAsia="en-US"/>
        </w:rPr>
        <w:t xml:space="preserve"> in turn</w:t>
      </w:r>
      <w:r w:rsidRPr="0028766C">
        <w:rPr>
          <w:rFonts w:ascii="Arial Narrow" w:hAnsi="Arial Narrow"/>
          <w:lang w:eastAsia="en-US"/>
        </w:rPr>
        <w:t xml:space="preserve"> assist in retaining experienced personnel, maintain efficiency and assist in training and knowledge transfer to new personnel in the technical aspects through on the job training.</w:t>
      </w:r>
    </w:p>
    <w:p w:rsidR="0091116A" w:rsidRPr="0028766C" w:rsidRDefault="0091116A" w:rsidP="000B6E38">
      <w:pPr>
        <w:pStyle w:val="NormalWeb"/>
        <w:spacing w:before="0" w:beforeAutospacing="0" w:after="0" w:afterAutospacing="0"/>
        <w:jc w:val="both"/>
        <w:rPr>
          <w:rFonts w:ascii="Arial Narrow" w:hAnsi="Arial Narrow"/>
          <w:lang w:eastAsia="en-US"/>
        </w:rPr>
      </w:pPr>
    </w:p>
    <w:p w:rsidR="0091116A" w:rsidRPr="0028766C" w:rsidRDefault="0091116A" w:rsidP="000B6E38">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Envestra iterates that the current process, as reflected in the base year </w:t>
      </w:r>
      <w:proofErr w:type="spellStart"/>
      <w:r w:rsidRPr="0028766C">
        <w:rPr>
          <w:rFonts w:ascii="Arial Narrow" w:eastAsia="Times New Roman" w:hAnsi="Arial Narrow"/>
          <w:sz w:val="24"/>
          <w:szCs w:val="24"/>
        </w:rPr>
        <w:t>opex</w:t>
      </w:r>
      <w:proofErr w:type="spellEnd"/>
      <w:r w:rsidRPr="0028766C">
        <w:rPr>
          <w:rFonts w:ascii="Arial Narrow" w:eastAsia="Times New Roman" w:hAnsi="Arial Narrow"/>
          <w:sz w:val="24"/>
          <w:szCs w:val="24"/>
        </w:rPr>
        <w:t>, is not sustainable in medium to long term. Rule 91 stipulates that operating expenditure must be such as to achieve “the lowest sustainable cost of delivering pipeline services”. Hence Envestra believes that its step change is consistent wit the National Gas Rules.</w:t>
      </w:r>
    </w:p>
    <w:p w:rsidR="0091116A" w:rsidRPr="0028766C" w:rsidRDefault="0091116A" w:rsidP="000C2FAE">
      <w:pPr>
        <w:spacing w:after="0" w:line="240" w:lineRule="auto"/>
        <w:ind w:left="567"/>
        <w:jc w:val="both"/>
        <w:rPr>
          <w:rFonts w:ascii="Arial Narrow" w:eastAsia="Times New Roman" w:hAnsi="Arial Narrow"/>
          <w:sz w:val="24"/>
          <w:szCs w:val="24"/>
        </w:rPr>
      </w:pPr>
    </w:p>
    <w:p w:rsidR="0091116A" w:rsidRDefault="0091116A" w:rsidP="000B6E38">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Furthermore, rule 91 stipulates that operating expenditure must be “in accordance with accepted good industry practice”. By disallowing the proposed expenditure, the AER is inferring that it believes that:</w:t>
      </w:r>
    </w:p>
    <w:p w:rsidR="00BE3152" w:rsidRPr="0028766C" w:rsidRDefault="00BE3152" w:rsidP="000C2FAE">
      <w:pPr>
        <w:spacing w:after="0" w:line="240" w:lineRule="auto"/>
        <w:ind w:left="567"/>
        <w:jc w:val="both"/>
        <w:rPr>
          <w:rFonts w:ascii="Arial Narrow" w:eastAsia="Times New Roman" w:hAnsi="Arial Narrow"/>
          <w:sz w:val="24"/>
          <w:szCs w:val="24"/>
        </w:rPr>
      </w:pPr>
    </w:p>
    <w:p w:rsidR="0091116A" w:rsidRPr="0028766C" w:rsidRDefault="0091116A" w:rsidP="00DE0E00">
      <w:pPr>
        <w:numPr>
          <w:ilvl w:val="0"/>
          <w:numId w:val="16"/>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the procedures currently in place are accepted good industry practice; and</w:t>
      </w:r>
    </w:p>
    <w:p w:rsidR="0091116A" w:rsidRPr="0028766C" w:rsidRDefault="0091116A" w:rsidP="00DE0E00">
      <w:pPr>
        <w:numPr>
          <w:ilvl w:val="0"/>
          <w:numId w:val="16"/>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the approved Code of Practice for Working Hours does not constitute good industry practice.</w:t>
      </w:r>
    </w:p>
    <w:p w:rsidR="0091116A" w:rsidRPr="0028766C" w:rsidRDefault="0091116A" w:rsidP="000C2FAE">
      <w:pPr>
        <w:pStyle w:val="NormalWeb"/>
        <w:spacing w:before="0" w:beforeAutospacing="0" w:after="0" w:afterAutospacing="0"/>
        <w:ind w:left="567"/>
        <w:jc w:val="both"/>
        <w:rPr>
          <w:rFonts w:ascii="Arial Narrow" w:hAnsi="Arial Narrow"/>
          <w:lang w:eastAsia="en-US"/>
        </w:rPr>
      </w:pPr>
    </w:p>
    <w:p w:rsidR="0091116A" w:rsidRPr="0028766C" w:rsidRDefault="00453E1B" w:rsidP="000B6E38">
      <w:pPr>
        <w:pStyle w:val="NormalWeb"/>
        <w:spacing w:before="0" w:beforeAutospacing="0" w:after="0" w:afterAutospacing="0"/>
        <w:jc w:val="both"/>
        <w:rPr>
          <w:rFonts w:ascii="Arial Narrow" w:hAnsi="Arial Narrow"/>
          <w:lang w:eastAsia="en-US"/>
        </w:rPr>
      </w:pPr>
      <w:r w:rsidRPr="0028766C">
        <w:rPr>
          <w:rFonts w:ascii="Arial Narrow" w:hAnsi="Arial Narrow"/>
          <w:lang w:eastAsia="en-US"/>
        </w:rPr>
        <w:t xml:space="preserve">Consequently </w:t>
      </w:r>
      <w:r w:rsidR="0091116A" w:rsidRPr="0028766C">
        <w:rPr>
          <w:rFonts w:ascii="Arial Narrow" w:hAnsi="Arial Narrow"/>
          <w:lang w:eastAsia="en-US"/>
        </w:rPr>
        <w:t xml:space="preserve">Envestra </w:t>
      </w:r>
      <w:r w:rsidRPr="0028766C">
        <w:rPr>
          <w:rFonts w:ascii="Arial Narrow" w:hAnsi="Arial Narrow"/>
          <w:lang w:eastAsia="en-US"/>
        </w:rPr>
        <w:t>believes</w:t>
      </w:r>
      <w:r w:rsidR="0091116A" w:rsidRPr="0028766C">
        <w:rPr>
          <w:rFonts w:ascii="Arial Narrow" w:hAnsi="Arial Narrow"/>
          <w:lang w:eastAsia="en-US"/>
        </w:rPr>
        <w:t xml:space="preserve"> that the AER has erred in </w:t>
      </w:r>
      <w:r w:rsidRPr="0028766C">
        <w:rPr>
          <w:rFonts w:ascii="Arial Narrow" w:hAnsi="Arial Narrow"/>
          <w:lang w:eastAsia="en-US"/>
        </w:rPr>
        <w:t>its assessment.</w:t>
      </w:r>
    </w:p>
    <w:p w:rsidR="008766C0" w:rsidRPr="0028766C" w:rsidRDefault="008766C0" w:rsidP="000B6E38">
      <w:pPr>
        <w:pStyle w:val="NormalWeb"/>
        <w:spacing w:before="0" w:beforeAutospacing="0" w:after="0" w:afterAutospacing="0"/>
        <w:jc w:val="both"/>
        <w:rPr>
          <w:rFonts w:ascii="Arial Narrow" w:hAnsi="Arial Narrow"/>
          <w:lang w:eastAsia="en-US"/>
        </w:rPr>
      </w:pPr>
    </w:p>
    <w:p w:rsidR="008766C0" w:rsidRPr="0028766C" w:rsidRDefault="008766C0" w:rsidP="000B6E38">
      <w:pPr>
        <w:pStyle w:val="NormalWeb"/>
        <w:spacing w:before="0" w:beforeAutospacing="0" w:after="0" w:afterAutospacing="0"/>
        <w:jc w:val="both"/>
        <w:rPr>
          <w:rFonts w:ascii="Arial Narrow" w:hAnsi="Arial Narrow"/>
          <w:u w:val="single"/>
          <w:lang w:eastAsia="en-US"/>
        </w:rPr>
      </w:pPr>
      <w:r w:rsidRPr="0028766C">
        <w:rPr>
          <w:rFonts w:ascii="Arial Narrow" w:hAnsi="Arial Narrow"/>
          <w:u w:val="single"/>
          <w:lang w:eastAsia="en-US"/>
        </w:rPr>
        <w:lastRenderedPageBreak/>
        <w:t xml:space="preserve">Alternative </w:t>
      </w:r>
      <w:r w:rsidR="00B962E5" w:rsidRPr="0028766C">
        <w:rPr>
          <w:rFonts w:ascii="Arial Narrow" w:hAnsi="Arial Narrow"/>
          <w:u w:val="single"/>
          <w:lang w:eastAsia="en-US"/>
        </w:rPr>
        <w:t>O</w:t>
      </w:r>
      <w:r w:rsidRPr="0028766C">
        <w:rPr>
          <w:rFonts w:ascii="Arial Narrow" w:hAnsi="Arial Narrow"/>
          <w:u w:val="single"/>
          <w:lang w:eastAsia="en-US"/>
        </w:rPr>
        <w:t>ptions</w:t>
      </w:r>
    </w:p>
    <w:p w:rsidR="00441CD9" w:rsidRPr="0028766C" w:rsidRDefault="00441CD9" w:rsidP="000B6E38">
      <w:pPr>
        <w:spacing w:after="0" w:line="240" w:lineRule="auto"/>
        <w:jc w:val="both"/>
        <w:rPr>
          <w:rFonts w:ascii="Arial Narrow" w:eastAsia="Times New Roman" w:hAnsi="Arial Narrow"/>
          <w:sz w:val="24"/>
          <w:szCs w:val="24"/>
        </w:rPr>
      </w:pPr>
    </w:p>
    <w:p w:rsidR="008766C0" w:rsidRPr="0028766C" w:rsidRDefault="008766C0" w:rsidP="000B6E38">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In response to WC’s view that the cost of alternatives had not been considered, Envestra contends that the Business Case S48 did explain the alternative of contractors to replace direct labour.  The cost of contracting was considered by Envestra taking into account the current cost of contractors undertaking standby work in both First Response and Field Repair.  </w:t>
      </w:r>
    </w:p>
    <w:p w:rsidR="00B962E5" w:rsidRPr="0028766C" w:rsidRDefault="00B962E5" w:rsidP="000B6E38">
      <w:pPr>
        <w:spacing w:after="0" w:line="240" w:lineRule="auto"/>
        <w:jc w:val="both"/>
        <w:rPr>
          <w:rFonts w:ascii="Arial Narrow" w:eastAsia="Times New Roman" w:hAnsi="Arial Narrow"/>
          <w:sz w:val="24"/>
          <w:szCs w:val="24"/>
        </w:rPr>
      </w:pPr>
    </w:p>
    <w:p w:rsidR="008766C0" w:rsidRPr="0028766C" w:rsidRDefault="008766C0" w:rsidP="000B6E38">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The alternative took account of the fact that contractors in this area in SA are currently having trouble retaining personnel for normal day activities, requiring APA to continually retrain contractor personnel to maintain the number of skilled gas workers on gas assets.  In addition, contractors providing personnel for after hours work would subsequently lose productivity of their crews on the day following the standby, if required to work, and APA would still be obliged to prevent working in excess of 16 continuous hours because of significant fatigue/safety issues already discussed.</w:t>
      </w:r>
    </w:p>
    <w:p w:rsidR="00B962E5" w:rsidRPr="0028766C" w:rsidRDefault="00B962E5" w:rsidP="000C2FAE">
      <w:pPr>
        <w:spacing w:after="0" w:line="240" w:lineRule="auto"/>
        <w:ind w:left="567"/>
        <w:jc w:val="both"/>
        <w:rPr>
          <w:rFonts w:ascii="Arial Narrow" w:eastAsia="Times New Roman" w:hAnsi="Arial Narrow"/>
          <w:sz w:val="24"/>
          <w:szCs w:val="24"/>
        </w:rPr>
      </w:pPr>
    </w:p>
    <w:p w:rsidR="008766C0" w:rsidRPr="0028766C" w:rsidRDefault="008766C0" w:rsidP="006F7C8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In contrast</w:t>
      </w:r>
      <w:r w:rsidR="00B962E5" w:rsidRPr="0028766C">
        <w:rPr>
          <w:rFonts w:ascii="Arial Narrow" w:eastAsia="Times New Roman" w:hAnsi="Arial Narrow"/>
          <w:sz w:val="24"/>
          <w:szCs w:val="24"/>
        </w:rPr>
        <w:t>,</w:t>
      </w:r>
      <w:r w:rsidRPr="0028766C">
        <w:rPr>
          <w:rFonts w:ascii="Arial Narrow" w:eastAsia="Times New Roman" w:hAnsi="Arial Narrow"/>
          <w:sz w:val="24"/>
          <w:szCs w:val="24"/>
        </w:rPr>
        <w:t xml:space="preserve"> the direct labour personnel carrying out standby duties are long term employees, many with over 20 year service.  The main issue with APA personnel moving forward is the older age profile, loss of personnel due to retirement or long term injuries from wear and tear, and an insufficient number to maintain an adequate response in a timely and safe way.</w:t>
      </w:r>
    </w:p>
    <w:p w:rsidR="00B962E5" w:rsidRPr="0028766C" w:rsidRDefault="00B962E5" w:rsidP="006F7C8D">
      <w:pPr>
        <w:spacing w:after="0" w:line="240" w:lineRule="auto"/>
        <w:jc w:val="both"/>
        <w:rPr>
          <w:rFonts w:ascii="Arial Narrow" w:eastAsia="Times New Roman" w:hAnsi="Arial Narrow"/>
          <w:sz w:val="24"/>
          <w:szCs w:val="24"/>
        </w:rPr>
      </w:pPr>
    </w:p>
    <w:p w:rsidR="008766C0" w:rsidRPr="0028766C" w:rsidRDefault="008766C0" w:rsidP="006F7C8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The option of using contractors to perform after hours standby duties was considered.  It was identified that the contractor would need to employ a minimum of 12 personnel and purchase similar trucks and equipment to APA’s existing Field Repair crews.  Considering the skill gaps, training required, the remuneration a contractor would be required to offer personnel to increase their workforce and purchase vehicles and equipment for a long term contract, this option was determined to be more costly.</w:t>
      </w:r>
    </w:p>
    <w:p w:rsidR="00B962E5" w:rsidRPr="0028766C" w:rsidRDefault="00B962E5" w:rsidP="006F7C8D">
      <w:pPr>
        <w:spacing w:after="0" w:line="240" w:lineRule="auto"/>
        <w:jc w:val="both"/>
        <w:rPr>
          <w:rFonts w:ascii="Arial Narrow" w:eastAsia="Times New Roman" w:hAnsi="Arial Narrow"/>
          <w:sz w:val="24"/>
          <w:szCs w:val="24"/>
        </w:rPr>
      </w:pPr>
    </w:p>
    <w:p w:rsidR="008766C0" w:rsidRPr="0028766C" w:rsidRDefault="008766C0" w:rsidP="006F7C8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Additionally it would take time for contract crews to develop the skill, knowledge and experience required to safely respond to gas leaks.  Their technical knowledge and experience would only be gained by rotating contract crews paired up with </w:t>
      </w:r>
      <w:r w:rsidR="00B962E5" w:rsidRPr="0028766C">
        <w:rPr>
          <w:rFonts w:ascii="Arial Narrow" w:eastAsia="Times New Roman" w:hAnsi="Arial Narrow"/>
          <w:sz w:val="24"/>
          <w:szCs w:val="24"/>
        </w:rPr>
        <w:t>d</w:t>
      </w:r>
      <w:r w:rsidRPr="0028766C">
        <w:rPr>
          <w:rFonts w:ascii="Arial Narrow" w:eastAsia="Times New Roman" w:hAnsi="Arial Narrow"/>
          <w:sz w:val="24"/>
          <w:szCs w:val="24"/>
        </w:rPr>
        <w:t xml:space="preserve">irect </w:t>
      </w:r>
      <w:r w:rsidR="00B962E5" w:rsidRPr="0028766C">
        <w:rPr>
          <w:rFonts w:ascii="Arial Narrow" w:eastAsia="Times New Roman" w:hAnsi="Arial Narrow"/>
          <w:sz w:val="24"/>
          <w:szCs w:val="24"/>
        </w:rPr>
        <w:t>l</w:t>
      </w:r>
      <w:r w:rsidRPr="0028766C">
        <w:rPr>
          <w:rFonts w:ascii="Arial Narrow" w:eastAsia="Times New Roman" w:hAnsi="Arial Narrow"/>
          <w:sz w:val="24"/>
          <w:szCs w:val="24"/>
        </w:rPr>
        <w:t>abour crews to acquire skills and develop the necessary experience. This leads to inefficiency and increases the cost of repairs, training and supervision.</w:t>
      </w:r>
    </w:p>
    <w:p w:rsidR="00015FF1" w:rsidRPr="0028766C" w:rsidRDefault="00015FF1" w:rsidP="000C2FAE">
      <w:pPr>
        <w:spacing w:after="0" w:line="240" w:lineRule="auto"/>
        <w:ind w:left="567"/>
        <w:jc w:val="both"/>
        <w:rPr>
          <w:rFonts w:ascii="Arial Narrow" w:eastAsia="Times New Roman" w:hAnsi="Arial Narrow"/>
          <w:sz w:val="24"/>
          <w:szCs w:val="24"/>
        </w:rPr>
      </w:pPr>
    </w:p>
    <w:p w:rsidR="00015FF1" w:rsidRPr="0028766C" w:rsidRDefault="00015FF1" w:rsidP="005A56C2">
      <w:pPr>
        <w:pStyle w:val="Heading2"/>
      </w:pPr>
      <w:r w:rsidRPr="0028766C">
        <w:t>Summary</w:t>
      </w:r>
    </w:p>
    <w:p w:rsidR="00015FF1" w:rsidRPr="0028766C" w:rsidRDefault="00015FF1" w:rsidP="000C2FAE">
      <w:pPr>
        <w:spacing w:after="0" w:line="240" w:lineRule="auto"/>
        <w:ind w:left="567"/>
        <w:jc w:val="both"/>
        <w:rPr>
          <w:rFonts w:ascii="Arial Narrow" w:eastAsia="Times New Roman" w:hAnsi="Arial Narrow"/>
          <w:sz w:val="24"/>
          <w:szCs w:val="24"/>
        </w:rPr>
      </w:pPr>
    </w:p>
    <w:p w:rsidR="008766C0" w:rsidRPr="0028766C" w:rsidRDefault="008766C0" w:rsidP="00143266">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Envestra considers that the AER Draft Decision on </w:t>
      </w:r>
      <w:proofErr w:type="spellStart"/>
      <w:r w:rsidRPr="0028766C">
        <w:rPr>
          <w:rFonts w:ascii="Arial Narrow" w:eastAsia="Times New Roman" w:hAnsi="Arial Narrow"/>
          <w:sz w:val="24"/>
          <w:szCs w:val="24"/>
        </w:rPr>
        <w:t>Envestra’s</w:t>
      </w:r>
      <w:proofErr w:type="spellEnd"/>
      <w:r w:rsidRPr="0028766C">
        <w:rPr>
          <w:rFonts w:ascii="Arial Narrow" w:eastAsia="Times New Roman" w:hAnsi="Arial Narrow"/>
          <w:sz w:val="24"/>
          <w:szCs w:val="24"/>
        </w:rPr>
        <w:t xml:space="preserve"> proposal to employ additional standby crews is unreasonable on the basis that:</w:t>
      </w:r>
    </w:p>
    <w:p w:rsidR="008766C0" w:rsidRPr="0028766C" w:rsidRDefault="008766C0" w:rsidP="000C2FAE">
      <w:pPr>
        <w:spacing w:after="0" w:line="240" w:lineRule="auto"/>
        <w:ind w:left="567"/>
        <w:jc w:val="both"/>
        <w:rPr>
          <w:rFonts w:ascii="Arial Narrow" w:eastAsia="Times New Roman" w:hAnsi="Arial Narrow"/>
          <w:sz w:val="24"/>
          <w:szCs w:val="24"/>
        </w:rPr>
      </w:pP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APA, under the Occupational Health &amp; Safety Welfare Act 1986 part 3 section 19.1(a), has an obligation as far as is reasonably practicable to provide</w:t>
      </w:r>
      <w:r w:rsidR="00B962E5" w:rsidRPr="0028766C">
        <w:rPr>
          <w:rFonts w:ascii="Arial Narrow" w:eastAsia="Times New Roman" w:hAnsi="Arial Narrow"/>
          <w:sz w:val="24"/>
          <w:szCs w:val="24"/>
        </w:rPr>
        <w:t xml:space="preserve"> a</w:t>
      </w:r>
      <w:r w:rsidRPr="0028766C">
        <w:rPr>
          <w:rFonts w:ascii="Arial Narrow" w:eastAsia="Times New Roman" w:hAnsi="Arial Narrow"/>
          <w:sz w:val="24"/>
          <w:szCs w:val="24"/>
        </w:rPr>
        <w:t xml:space="preserve"> safe working environment and</w:t>
      </w:r>
      <w:r w:rsidR="00B962E5" w:rsidRPr="0028766C">
        <w:rPr>
          <w:rFonts w:ascii="Arial Narrow" w:eastAsia="Times New Roman" w:hAnsi="Arial Narrow"/>
          <w:sz w:val="24"/>
          <w:szCs w:val="24"/>
        </w:rPr>
        <w:t xml:space="preserve"> </w:t>
      </w:r>
      <w:r w:rsidRPr="0028766C">
        <w:rPr>
          <w:rFonts w:ascii="Arial Narrow" w:eastAsia="Times New Roman" w:hAnsi="Arial Narrow"/>
          <w:sz w:val="24"/>
          <w:szCs w:val="24"/>
        </w:rPr>
        <w:t>safe systems of work</w:t>
      </w:r>
      <w:r w:rsidR="00B962E5" w:rsidRPr="0028766C">
        <w:rPr>
          <w:rFonts w:ascii="Arial Narrow" w:eastAsia="Times New Roman" w:hAnsi="Arial Narrow"/>
          <w:sz w:val="24"/>
          <w:szCs w:val="24"/>
        </w:rPr>
        <w:t>;</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Envestra as owner and APA as operator both have a duty of care to consumers, the public, emergency services, the OTR and employees to maintain a safe, reliable and efficient afterhours response to gas leaks in the network</w:t>
      </w:r>
      <w:r w:rsidR="00B962E5" w:rsidRPr="0028766C">
        <w:rPr>
          <w:rFonts w:ascii="Arial Narrow" w:eastAsia="Times New Roman" w:hAnsi="Arial Narrow"/>
          <w:sz w:val="24"/>
          <w:szCs w:val="24"/>
        </w:rPr>
        <w:t>;</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The </w:t>
      </w:r>
      <w:r w:rsidR="00B962E5" w:rsidRPr="0028766C">
        <w:rPr>
          <w:rFonts w:ascii="Arial Narrow" w:eastAsia="Times New Roman" w:hAnsi="Arial Narrow"/>
          <w:sz w:val="24"/>
          <w:szCs w:val="24"/>
        </w:rPr>
        <w:t>m</w:t>
      </w:r>
      <w:r w:rsidRPr="0028766C">
        <w:rPr>
          <w:rFonts w:ascii="Arial Narrow" w:eastAsia="Times New Roman" w:hAnsi="Arial Narrow"/>
          <w:sz w:val="24"/>
          <w:szCs w:val="24"/>
        </w:rPr>
        <w:t xml:space="preserve">ains </w:t>
      </w:r>
      <w:r w:rsidR="00B962E5" w:rsidRPr="0028766C">
        <w:rPr>
          <w:rFonts w:ascii="Arial Narrow" w:eastAsia="Times New Roman" w:hAnsi="Arial Narrow"/>
          <w:sz w:val="24"/>
          <w:szCs w:val="24"/>
        </w:rPr>
        <w:t>r</w:t>
      </w:r>
      <w:r w:rsidRPr="0028766C">
        <w:rPr>
          <w:rFonts w:ascii="Arial Narrow" w:eastAsia="Times New Roman" w:hAnsi="Arial Narrow"/>
          <w:sz w:val="24"/>
          <w:szCs w:val="24"/>
        </w:rPr>
        <w:t>eplacement program does not alter, but in fact increases the need for Envestra to maintain and provide an ability to respond to reported es</w:t>
      </w:r>
      <w:r w:rsidR="00B962E5" w:rsidRPr="0028766C">
        <w:rPr>
          <w:rFonts w:ascii="Arial Narrow" w:eastAsia="Times New Roman" w:hAnsi="Arial Narrow"/>
          <w:sz w:val="24"/>
          <w:szCs w:val="24"/>
        </w:rPr>
        <w:t>capes/incidents on a 24</w:t>
      </w:r>
      <w:r w:rsidR="0099610E" w:rsidRPr="0028766C">
        <w:rPr>
          <w:rFonts w:ascii="Arial Narrow" w:eastAsia="Times New Roman" w:hAnsi="Arial Narrow"/>
          <w:sz w:val="24"/>
          <w:szCs w:val="24"/>
        </w:rPr>
        <w:t xml:space="preserve"> hour seven days a week</w:t>
      </w:r>
      <w:r w:rsidR="00B962E5" w:rsidRPr="0028766C">
        <w:rPr>
          <w:rFonts w:ascii="Arial Narrow" w:eastAsia="Times New Roman" w:hAnsi="Arial Narrow"/>
          <w:sz w:val="24"/>
          <w:szCs w:val="24"/>
        </w:rPr>
        <w:t xml:space="preserve"> basis;</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The number of crews required to perform an efficient, effective and safe standby 24 hours, seven days a week, is currently insufficient and although coping in the short term is not sustainable in the medium to long term.</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To maintain an after hours response, consideration must be given to fatigue of personnel while either working on assets, standing by, or being available to work and travel.</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lastRenderedPageBreak/>
        <w:t xml:space="preserve">The approved </w:t>
      </w:r>
      <w:r w:rsidR="0099610E" w:rsidRPr="0028766C">
        <w:rPr>
          <w:rFonts w:ascii="Arial Narrow" w:eastAsia="Times New Roman" w:hAnsi="Arial Narrow"/>
          <w:sz w:val="24"/>
          <w:szCs w:val="24"/>
        </w:rPr>
        <w:t>c</w:t>
      </w:r>
      <w:r w:rsidRPr="0028766C">
        <w:rPr>
          <w:rFonts w:ascii="Arial Narrow" w:eastAsia="Times New Roman" w:hAnsi="Arial Narrow"/>
          <w:sz w:val="24"/>
          <w:szCs w:val="24"/>
        </w:rPr>
        <w:t>ode of practice for working hours is relevant and should be followed unless there is another solution which achieves the same or better standard of health and safety.  Codes of practice are approved under section 63A of the 1986 OH&amp;S Act.</w:t>
      </w:r>
    </w:p>
    <w:p w:rsidR="008766C0" w:rsidRPr="0028766C"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Envestra recognise that previous standby arrangements were not conducive to reducing fatigue levels in personnel and steps were taken in late 2010 to improve this risk by changing the working hours and introducing shifts.  Prior to the changes in 2010, standby arrangements resulted in crews working up to and including 24 hours continuously. </w:t>
      </w:r>
    </w:p>
    <w:p w:rsidR="008766C0" w:rsidRPr="00DB5986"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DB5986">
        <w:rPr>
          <w:rFonts w:ascii="Arial Narrow" w:eastAsia="Times New Roman" w:hAnsi="Arial Narrow"/>
          <w:sz w:val="24"/>
          <w:szCs w:val="24"/>
        </w:rPr>
        <w:t>The project cost estimates presented by Envestra are based on current costs of establishing and maintaining a sustainable after</w:t>
      </w:r>
      <w:r w:rsidR="007F531D" w:rsidRPr="00DB5986">
        <w:rPr>
          <w:rFonts w:ascii="Arial Narrow" w:eastAsia="Times New Roman" w:hAnsi="Arial Narrow"/>
          <w:sz w:val="24"/>
          <w:szCs w:val="24"/>
        </w:rPr>
        <w:t>-</w:t>
      </w:r>
      <w:r w:rsidRPr="00DB5986">
        <w:rPr>
          <w:rFonts w:ascii="Arial Narrow" w:eastAsia="Times New Roman" w:hAnsi="Arial Narrow"/>
          <w:sz w:val="24"/>
          <w:szCs w:val="24"/>
        </w:rPr>
        <w:t>hours standby based on risk assessments using the working hours code of practice.</w:t>
      </w:r>
    </w:p>
    <w:p w:rsidR="008766C0" w:rsidRPr="00DB5986" w:rsidRDefault="008766C0" w:rsidP="00DE0E00">
      <w:pPr>
        <w:numPr>
          <w:ilvl w:val="0"/>
          <w:numId w:val="6"/>
        </w:numPr>
        <w:tabs>
          <w:tab w:val="clear" w:pos="720"/>
          <w:tab w:val="left" w:pos="426"/>
        </w:tabs>
        <w:spacing w:after="0" w:line="240" w:lineRule="auto"/>
        <w:ind w:left="426" w:hanging="426"/>
        <w:jc w:val="both"/>
        <w:rPr>
          <w:rFonts w:ascii="Arial Narrow" w:eastAsia="Times New Roman" w:hAnsi="Arial Narrow"/>
          <w:sz w:val="24"/>
          <w:szCs w:val="24"/>
        </w:rPr>
      </w:pPr>
      <w:r w:rsidRPr="00DB5986">
        <w:rPr>
          <w:rFonts w:ascii="Arial Narrow" w:eastAsia="Times New Roman" w:hAnsi="Arial Narrow"/>
          <w:sz w:val="24"/>
          <w:szCs w:val="24"/>
        </w:rPr>
        <w:t>Envestra has adopted a prudent, efficient standby proposal and transparent estimating methodology, as set out in Business Case S48.</w:t>
      </w:r>
    </w:p>
    <w:p w:rsidR="008766C0" w:rsidRPr="00DB5986" w:rsidRDefault="008766C0" w:rsidP="000C2FAE">
      <w:pPr>
        <w:spacing w:after="0" w:line="240" w:lineRule="auto"/>
        <w:ind w:left="1134" w:hanging="567"/>
        <w:jc w:val="both"/>
        <w:rPr>
          <w:rFonts w:ascii="Arial Narrow" w:eastAsia="Times New Roman" w:hAnsi="Arial Narrow"/>
          <w:sz w:val="24"/>
          <w:szCs w:val="24"/>
        </w:rPr>
      </w:pPr>
    </w:p>
    <w:p w:rsidR="008766C0" w:rsidRPr="00DB5986" w:rsidRDefault="008766C0" w:rsidP="00143266">
      <w:pPr>
        <w:spacing w:after="0" w:line="240" w:lineRule="auto"/>
        <w:jc w:val="both"/>
        <w:rPr>
          <w:rFonts w:ascii="Arial Narrow" w:eastAsia="Times New Roman" w:hAnsi="Arial Narrow"/>
          <w:sz w:val="24"/>
          <w:szCs w:val="24"/>
        </w:rPr>
      </w:pPr>
      <w:r w:rsidRPr="00DB5986">
        <w:rPr>
          <w:rFonts w:ascii="Arial Narrow" w:eastAsia="Times New Roman" w:hAnsi="Arial Narrow"/>
          <w:sz w:val="24"/>
          <w:szCs w:val="24"/>
        </w:rPr>
        <w:t>Envestra therefore believes that the costs set out in Business Case S48 are prudent and efficient and compliant with rule 91.</w:t>
      </w:r>
    </w:p>
    <w:p w:rsidR="00BA1B12" w:rsidRPr="00DB5986" w:rsidRDefault="00BA1B12" w:rsidP="00143266">
      <w:pPr>
        <w:spacing w:after="0" w:line="240" w:lineRule="auto"/>
        <w:jc w:val="both"/>
        <w:rPr>
          <w:rFonts w:ascii="Arial Narrow" w:eastAsia="Times New Roman" w:hAnsi="Arial Narrow"/>
          <w:sz w:val="24"/>
          <w:szCs w:val="24"/>
        </w:rPr>
      </w:pPr>
    </w:p>
    <w:p w:rsidR="00551296" w:rsidRPr="00DB5986" w:rsidRDefault="00551296" w:rsidP="000C2FAE">
      <w:pPr>
        <w:pStyle w:val="Heading1"/>
        <w:spacing w:before="0" w:line="240" w:lineRule="auto"/>
        <w:rPr>
          <w:szCs w:val="24"/>
        </w:rPr>
      </w:pPr>
      <w:r w:rsidRPr="00DB5986">
        <w:rPr>
          <w:szCs w:val="24"/>
        </w:rPr>
        <w:t>Level of UAFG</w:t>
      </w:r>
    </w:p>
    <w:p w:rsidR="00551296" w:rsidRPr="00DB5986" w:rsidRDefault="00551296" w:rsidP="000C2FAE">
      <w:pPr>
        <w:pStyle w:val="AERbodytext"/>
        <w:spacing w:after="0"/>
        <w:jc w:val="both"/>
        <w:rPr>
          <w:rFonts w:ascii="Arial Narrow" w:hAnsi="Arial Narrow"/>
          <w:b/>
        </w:rPr>
      </w:pPr>
    </w:p>
    <w:p w:rsidR="00500149" w:rsidRPr="00DB5986" w:rsidRDefault="0099610E" w:rsidP="005A56C2">
      <w:pPr>
        <w:pStyle w:val="Heading2"/>
      </w:pPr>
      <w:r w:rsidRPr="00DB5986">
        <w:t xml:space="preserve">AER </w:t>
      </w:r>
      <w:r w:rsidR="00500149" w:rsidRPr="00DB5986">
        <w:t>Draft Decision</w:t>
      </w:r>
    </w:p>
    <w:p w:rsidR="00500149" w:rsidRPr="00DB5986" w:rsidRDefault="00500149" w:rsidP="000C2FAE">
      <w:pPr>
        <w:pStyle w:val="AERbodytext"/>
        <w:spacing w:after="0"/>
        <w:jc w:val="both"/>
        <w:rPr>
          <w:rFonts w:ascii="Arial Narrow" w:hAnsi="Arial Narrow"/>
          <w:b/>
        </w:rPr>
      </w:pPr>
    </w:p>
    <w:p w:rsidR="00551296" w:rsidRPr="00DB5986" w:rsidRDefault="0099610E" w:rsidP="0019408A">
      <w:pPr>
        <w:spacing w:after="0" w:line="240" w:lineRule="auto"/>
        <w:rPr>
          <w:rFonts w:ascii="Arial Narrow" w:eastAsia="Times New Roman" w:hAnsi="Arial Narrow"/>
          <w:sz w:val="24"/>
          <w:szCs w:val="24"/>
        </w:rPr>
      </w:pPr>
      <w:r w:rsidRPr="00DB5986">
        <w:rPr>
          <w:rFonts w:ascii="Arial Narrow" w:eastAsia="Times New Roman" w:hAnsi="Arial Narrow"/>
          <w:sz w:val="24"/>
          <w:szCs w:val="24"/>
        </w:rPr>
        <w:t xml:space="preserve">The </w:t>
      </w:r>
      <w:r w:rsidR="00551296" w:rsidRPr="00DB5986">
        <w:rPr>
          <w:rFonts w:ascii="Arial Narrow" w:eastAsia="Times New Roman" w:hAnsi="Arial Narrow"/>
          <w:sz w:val="24"/>
          <w:szCs w:val="24"/>
        </w:rPr>
        <w:t xml:space="preserve">AER’s Draft Decision </w:t>
      </w:r>
      <w:r w:rsidRPr="00DB5986">
        <w:rPr>
          <w:rFonts w:ascii="Arial Narrow" w:eastAsia="Times New Roman" w:hAnsi="Arial Narrow"/>
          <w:sz w:val="24"/>
          <w:szCs w:val="24"/>
        </w:rPr>
        <w:t xml:space="preserve">on the level of UAFG is consistent with </w:t>
      </w:r>
      <w:r w:rsidR="00551296" w:rsidRPr="00DB5986">
        <w:rPr>
          <w:rFonts w:ascii="Arial Narrow" w:eastAsia="Times New Roman" w:hAnsi="Arial Narrow"/>
          <w:sz w:val="24"/>
          <w:szCs w:val="24"/>
        </w:rPr>
        <w:t>the view of its consultants, WC. This view was that the level of UAFG should be amended on the basis that:</w:t>
      </w:r>
    </w:p>
    <w:p w:rsidR="0099610E" w:rsidRPr="00DB5986" w:rsidRDefault="0099610E" w:rsidP="0019408A">
      <w:pPr>
        <w:spacing w:after="0" w:line="240" w:lineRule="auto"/>
        <w:rPr>
          <w:rFonts w:ascii="Arial Narrow" w:eastAsia="Times New Roman" w:hAnsi="Arial Narrow"/>
          <w:sz w:val="24"/>
          <w:szCs w:val="24"/>
        </w:rPr>
      </w:pPr>
    </w:p>
    <w:p w:rsidR="00551296" w:rsidRPr="00DB5986" w:rsidRDefault="0099610E" w:rsidP="00C839C5">
      <w:pPr>
        <w:numPr>
          <w:ilvl w:val="0"/>
          <w:numId w:val="11"/>
        </w:numPr>
        <w:tabs>
          <w:tab w:val="left" w:pos="426"/>
        </w:tabs>
        <w:spacing w:after="0" w:line="240" w:lineRule="auto"/>
        <w:ind w:left="426" w:hanging="426"/>
        <w:jc w:val="both"/>
        <w:rPr>
          <w:rFonts w:ascii="Arial Narrow" w:eastAsia="Times New Roman" w:hAnsi="Arial Narrow"/>
          <w:sz w:val="24"/>
          <w:szCs w:val="24"/>
        </w:rPr>
      </w:pPr>
      <w:r w:rsidRPr="00DB5986">
        <w:rPr>
          <w:rFonts w:ascii="Arial Narrow" w:eastAsia="Times New Roman" w:hAnsi="Arial Narrow"/>
          <w:sz w:val="24"/>
          <w:szCs w:val="24"/>
        </w:rPr>
        <w:t>t</w:t>
      </w:r>
      <w:r w:rsidR="00551296" w:rsidRPr="00DB5986">
        <w:rPr>
          <w:rFonts w:ascii="Arial Narrow" w:eastAsia="Times New Roman" w:hAnsi="Arial Narrow"/>
          <w:sz w:val="24"/>
          <w:szCs w:val="24"/>
        </w:rPr>
        <w:t xml:space="preserve">he 9% rate of network deterioration used in </w:t>
      </w:r>
      <w:proofErr w:type="spellStart"/>
      <w:r w:rsidR="00551296" w:rsidRPr="00DB5986">
        <w:rPr>
          <w:rFonts w:ascii="Arial Narrow" w:eastAsia="Times New Roman" w:hAnsi="Arial Narrow"/>
          <w:sz w:val="24"/>
          <w:szCs w:val="24"/>
        </w:rPr>
        <w:t>Envestra’s</w:t>
      </w:r>
      <w:proofErr w:type="spellEnd"/>
      <w:r w:rsidR="00551296" w:rsidRPr="00DB5986">
        <w:rPr>
          <w:rFonts w:ascii="Arial Narrow" w:eastAsia="Times New Roman" w:hAnsi="Arial Narrow"/>
          <w:sz w:val="24"/>
          <w:szCs w:val="24"/>
        </w:rPr>
        <w:t xml:space="preserve"> calculation is not supported by the leak report chart</w:t>
      </w:r>
      <w:r w:rsidRPr="00DB5986">
        <w:rPr>
          <w:rFonts w:ascii="Arial Narrow" w:eastAsia="Times New Roman" w:hAnsi="Arial Narrow"/>
          <w:sz w:val="24"/>
          <w:szCs w:val="24"/>
        </w:rPr>
        <w:t>s in the Mains Replacement Plan;</w:t>
      </w:r>
      <w:r w:rsidR="00551296" w:rsidRPr="00DB5986">
        <w:rPr>
          <w:rFonts w:ascii="Arial Narrow" w:eastAsia="Times New Roman" w:hAnsi="Arial Narrow"/>
          <w:sz w:val="24"/>
          <w:szCs w:val="24"/>
        </w:rPr>
        <w:t xml:space="preserve"> </w:t>
      </w:r>
    </w:p>
    <w:p w:rsidR="00551296" w:rsidRPr="00DB5986" w:rsidRDefault="0099610E" w:rsidP="00C839C5">
      <w:pPr>
        <w:numPr>
          <w:ilvl w:val="0"/>
          <w:numId w:val="11"/>
        </w:numPr>
        <w:tabs>
          <w:tab w:val="left" w:pos="426"/>
        </w:tabs>
        <w:spacing w:after="0" w:line="240" w:lineRule="auto"/>
        <w:ind w:left="426" w:hanging="426"/>
        <w:jc w:val="both"/>
        <w:rPr>
          <w:rFonts w:ascii="Arial Narrow" w:eastAsia="Times New Roman" w:hAnsi="Arial Narrow"/>
          <w:sz w:val="24"/>
          <w:szCs w:val="24"/>
        </w:rPr>
      </w:pPr>
      <w:r w:rsidRPr="00DB5986">
        <w:rPr>
          <w:rFonts w:ascii="Arial Narrow" w:eastAsia="Times New Roman" w:hAnsi="Arial Narrow"/>
          <w:sz w:val="24"/>
          <w:szCs w:val="24"/>
        </w:rPr>
        <w:t>i</w:t>
      </w:r>
      <w:r w:rsidR="00551296" w:rsidRPr="00DB5986">
        <w:rPr>
          <w:rFonts w:ascii="Arial Narrow" w:eastAsia="Times New Roman" w:hAnsi="Arial Narrow"/>
          <w:sz w:val="24"/>
          <w:szCs w:val="24"/>
        </w:rPr>
        <w:t xml:space="preserve">rrespective of the above point, WC could not reconcile </w:t>
      </w:r>
      <w:proofErr w:type="spellStart"/>
      <w:r w:rsidR="00551296" w:rsidRPr="00DB5986">
        <w:rPr>
          <w:rFonts w:ascii="Arial Narrow" w:eastAsia="Times New Roman" w:hAnsi="Arial Narrow"/>
          <w:sz w:val="24"/>
          <w:szCs w:val="24"/>
        </w:rPr>
        <w:t>Envestra’s</w:t>
      </w:r>
      <w:proofErr w:type="spellEnd"/>
      <w:r w:rsidR="00551296" w:rsidRPr="00DB5986">
        <w:rPr>
          <w:rFonts w:ascii="Arial Narrow" w:eastAsia="Times New Roman" w:hAnsi="Arial Narrow"/>
          <w:sz w:val="24"/>
          <w:szCs w:val="24"/>
        </w:rPr>
        <w:t xml:space="preserve"> volumetric estimates of future UAFG, suggesting </w:t>
      </w:r>
      <w:proofErr w:type="spellStart"/>
      <w:r w:rsidR="00551296" w:rsidRPr="00DB5986">
        <w:rPr>
          <w:rFonts w:ascii="Arial Narrow" w:eastAsia="Times New Roman" w:hAnsi="Arial Narrow"/>
          <w:sz w:val="24"/>
          <w:szCs w:val="24"/>
        </w:rPr>
        <w:t>Envestra’s</w:t>
      </w:r>
      <w:proofErr w:type="spellEnd"/>
      <w:r w:rsidR="00551296" w:rsidRPr="00DB5986">
        <w:rPr>
          <w:rFonts w:ascii="Arial Narrow" w:eastAsia="Times New Roman" w:hAnsi="Arial Narrow"/>
          <w:sz w:val="24"/>
          <w:szCs w:val="24"/>
        </w:rPr>
        <w:t xml:space="preserve"> calculation was flawed.  WC proposed a revised calculation methodology</w:t>
      </w:r>
      <w:r w:rsidRPr="00DB5986">
        <w:rPr>
          <w:rFonts w:ascii="Arial Narrow" w:eastAsia="Times New Roman" w:hAnsi="Arial Narrow"/>
          <w:sz w:val="24"/>
          <w:szCs w:val="24"/>
        </w:rPr>
        <w:t>; and</w:t>
      </w:r>
    </w:p>
    <w:p w:rsidR="00551296" w:rsidRPr="00DB5986" w:rsidRDefault="0099610E" w:rsidP="00C839C5">
      <w:pPr>
        <w:numPr>
          <w:ilvl w:val="0"/>
          <w:numId w:val="11"/>
        </w:numPr>
        <w:tabs>
          <w:tab w:val="left" w:pos="426"/>
        </w:tabs>
        <w:spacing w:after="0" w:line="240" w:lineRule="auto"/>
        <w:ind w:left="426" w:hanging="426"/>
        <w:jc w:val="both"/>
        <w:rPr>
          <w:rFonts w:ascii="Arial Narrow" w:eastAsia="Times New Roman" w:hAnsi="Arial Narrow"/>
          <w:sz w:val="24"/>
          <w:szCs w:val="24"/>
        </w:rPr>
      </w:pPr>
      <w:r w:rsidRPr="00DB5986">
        <w:rPr>
          <w:rFonts w:ascii="Arial Narrow" w:eastAsia="Times New Roman" w:hAnsi="Arial Narrow"/>
          <w:sz w:val="24"/>
          <w:szCs w:val="24"/>
        </w:rPr>
        <w:t>t</w:t>
      </w:r>
      <w:r w:rsidR="00551296" w:rsidRPr="00DB5986">
        <w:rPr>
          <w:rFonts w:ascii="Arial Narrow" w:eastAsia="Times New Roman" w:hAnsi="Arial Narrow"/>
          <w:sz w:val="24"/>
          <w:szCs w:val="24"/>
        </w:rPr>
        <w:t>he 9% rate of deterioration was unrealistic with WC proposing a “nominal” average of 4.7% representing an average between 0% and 9.4%.</w:t>
      </w:r>
    </w:p>
    <w:p w:rsidR="00551296" w:rsidRPr="00DB5986" w:rsidRDefault="00551296" w:rsidP="0019408A">
      <w:pPr>
        <w:spacing w:after="0" w:line="240" w:lineRule="auto"/>
        <w:rPr>
          <w:rFonts w:ascii="Arial Narrow" w:eastAsia="Times New Roman" w:hAnsi="Arial Narrow"/>
          <w:sz w:val="24"/>
          <w:szCs w:val="24"/>
        </w:rPr>
      </w:pPr>
    </w:p>
    <w:p w:rsidR="00551296" w:rsidRPr="00DB5986" w:rsidRDefault="00551296" w:rsidP="0019408A">
      <w:pPr>
        <w:spacing w:after="0" w:line="240" w:lineRule="auto"/>
        <w:jc w:val="both"/>
        <w:rPr>
          <w:rFonts w:ascii="Arial Narrow" w:eastAsia="Times New Roman" w:hAnsi="Arial Narrow"/>
          <w:sz w:val="24"/>
          <w:szCs w:val="24"/>
        </w:rPr>
      </w:pPr>
      <w:r w:rsidRPr="00DB5986">
        <w:rPr>
          <w:rFonts w:ascii="Arial Narrow" w:eastAsia="Times New Roman" w:hAnsi="Arial Narrow"/>
          <w:sz w:val="24"/>
          <w:szCs w:val="24"/>
        </w:rPr>
        <w:t xml:space="preserve">The net effect of changes proposed by WC was that UAFG in </w:t>
      </w:r>
      <w:r w:rsidR="0099610E" w:rsidRPr="00DB5986">
        <w:rPr>
          <w:rFonts w:ascii="Arial Narrow" w:eastAsia="Times New Roman" w:hAnsi="Arial Narrow"/>
          <w:sz w:val="24"/>
          <w:szCs w:val="24"/>
        </w:rPr>
        <w:t>2011/</w:t>
      </w:r>
      <w:r w:rsidRPr="00DB5986">
        <w:rPr>
          <w:rFonts w:ascii="Arial Narrow" w:eastAsia="Times New Roman" w:hAnsi="Arial Narrow"/>
          <w:sz w:val="24"/>
          <w:szCs w:val="24"/>
        </w:rPr>
        <w:t>12 will be 2130 TJ</w:t>
      </w:r>
      <w:r w:rsidR="0099610E" w:rsidRPr="00DB5986">
        <w:rPr>
          <w:rFonts w:ascii="Arial Narrow" w:eastAsia="Times New Roman" w:hAnsi="Arial Narrow"/>
          <w:sz w:val="24"/>
          <w:szCs w:val="24"/>
        </w:rPr>
        <w:t>,</w:t>
      </w:r>
      <w:r w:rsidRPr="00DB5986">
        <w:rPr>
          <w:rFonts w:ascii="Arial Narrow" w:eastAsia="Times New Roman" w:hAnsi="Arial Narrow"/>
          <w:sz w:val="24"/>
          <w:szCs w:val="24"/>
        </w:rPr>
        <w:t xml:space="preserve"> falling to 1206 TJ in </w:t>
      </w:r>
      <w:r w:rsidR="0099610E" w:rsidRPr="00DB5986">
        <w:rPr>
          <w:rFonts w:ascii="Arial Narrow" w:eastAsia="Times New Roman" w:hAnsi="Arial Narrow"/>
          <w:sz w:val="24"/>
          <w:szCs w:val="24"/>
        </w:rPr>
        <w:t>2015/</w:t>
      </w:r>
      <w:r w:rsidRPr="00DB5986">
        <w:rPr>
          <w:rFonts w:ascii="Arial Narrow" w:eastAsia="Times New Roman" w:hAnsi="Arial Narrow"/>
          <w:sz w:val="24"/>
          <w:szCs w:val="24"/>
        </w:rPr>
        <w:t xml:space="preserve">16, compared to </w:t>
      </w:r>
      <w:proofErr w:type="spellStart"/>
      <w:r w:rsidRPr="00DB5986">
        <w:rPr>
          <w:rFonts w:ascii="Arial Narrow" w:eastAsia="Times New Roman" w:hAnsi="Arial Narrow"/>
          <w:sz w:val="24"/>
          <w:szCs w:val="24"/>
        </w:rPr>
        <w:t>Envestra’s</w:t>
      </w:r>
      <w:proofErr w:type="spellEnd"/>
      <w:r w:rsidRPr="00DB5986">
        <w:rPr>
          <w:rFonts w:ascii="Arial Narrow" w:eastAsia="Times New Roman" w:hAnsi="Arial Narrow"/>
          <w:sz w:val="24"/>
          <w:szCs w:val="24"/>
        </w:rPr>
        <w:t xml:space="preserve"> submission of 2193 TJ to 1626 TJ</w:t>
      </w:r>
      <w:r w:rsidR="00804419" w:rsidRPr="00DB5986">
        <w:rPr>
          <w:rFonts w:ascii="Arial Narrow" w:eastAsia="Times New Roman" w:hAnsi="Arial Narrow"/>
          <w:sz w:val="24"/>
          <w:szCs w:val="24"/>
        </w:rPr>
        <w:t xml:space="preserve"> [c-</w:t>
      </w:r>
      <w:proofErr w:type="spellStart"/>
      <w:r w:rsidR="00804419" w:rsidRPr="00DB5986">
        <w:rPr>
          <w:rFonts w:ascii="Arial Narrow" w:eastAsia="Times New Roman" w:hAnsi="Arial Narrow"/>
          <w:sz w:val="24"/>
          <w:szCs w:val="24"/>
        </w:rPr>
        <w:t>i</w:t>
      </w:r>
      <w:proofErr w:type="spellEnd"/>
      <w:r w:rsidR="00804419" w:rsidRPr="00DB5986">
        <w:rPr>
          <w:rFonts w:ascii="Arial Narrow" w:eastAsia="Times New Roman" w:hAnsi="Arial Narrow"/>
          <w:sz w:val="24"/>
          <w:szCs w:val="24"/>
        </w:rPr>
        <w:t>-c]</w:t>
      </w:r>
      <w:r w:rsidRPr="00DB5986">
        <w:rPr>
          <w:rFonts w:ascii="Arial Narrow" w:eastAsia="Times New Roman" w:hAnsi="Arial Narrow"/>
          <w:sz w:val="24"/>
          <w:szCs w:val="24"/>
        </w:rPr>
        <w:t xml:space="preserve"> for the same period.</w:t>
      </w:r>
    </w:p>
    <w:p w:rsidR="00551296" w:rsidRPr="00DB5986" w:rsidRDefault="00551296" w:rsidP="000C2FAE">
      <w:pPr>
        <w:pStyle w:val="AERbodytext"/>
        <w:spacing w:after="0"/>
        <w:ind w:left="567"/>
        <w:jc w:val="both"/>
        <w:rPr>
          <w:rFonts w:ascii="Arial Narrow" w:hAnsi="Arial Narrow"/>
          <w:b/>
        </w:rPr>
      </w:pPr>
    </w:p>
    <w:p w:rsidR="00500149" w:rsidRPr="00DB5986" w:rsidRDefault="00500149" w:rsidP="005A56C2">
      <w:pPr>
        <w:pStyle w:val="Heading2"/>
      </w:pPr>
      <w:r w:rsidRPr="00DB5986">
        <w:t>Envestra Response</w:t>
      </w:r>
    </w:p>
    <w:p w:rsidR="00500149" w:rsidRPr="00DB5986" w:rsidRDefault="00500149" w:rsidP="000C2FAE">
      <w:pPr>
        <w:pStyle w:val="AERbodytext"/>
        <w:spacing w:after="0"/>
        <w:ind w:left="567"/>
        <w:jc w:val="both"/>
        <w:rPr>
          <w:rFonts w:ascii="Arial Narrow" w:hAnsi="Arial Narrow"/>
          <w:b/>
        </w:rPr>
      </w:pPr>
    </w:p>
    <w:p w:rsidR="00551296" w:rsidRPr="00DB5986" w:rsidRDefault="0099610E" w:rsidP="0055498F">
      <w:pPr>
        <w:pStyle w:val="AERbodytext"/>
        <w:spacing w:after="0"/>
        <w:jc w:val="both"/>
        <w:rPr>
          <w:rFonts w:ascii="Arial Narrow" w:hAnsi="Arial Narrow"/>
        </w:rPr>
      </w:pPr>
      <w:r w:rsidRPr="00DB5986">
        <w:rPr>
          <w:rFonts w:ascii="Arial Narrow" w:hAnsi="Arial Narrow"/>
        </w:rPr>
        <w:t xml:space="preserve">The analysis of UAFG </w:t>
      </w:r>
      <w:r w:rsidR="00551296" w:rsidRPr="00DB5986">
        <w:rPr>
          <w:rFonts w:ascii="Arial Narrow" w:hAnsi="Arial Narrow"/>
        </w:rPr>
        <w:t>is a complex issue</w:t>
      </w:r>
      <w:r w:rsidRPr="00DB5986">
        <w:rPr>
          <w:rFonts w:ascii="Arial Narrow" w:hAnsi="Arial Narrow"/>
        </w:rPr>
        <w:t xml:space="preserve">. Envestra believes that there are two key issues relating to the analysis undertaken by WC, particularly that: </w:t>
      </w:r>
    </w:p>
    <w:p w:rsidR="00551296" w:rsidRPr="00DB5986" w:rsidRDefault="00551296" w:rsidP="000C2FAE">
      <w:pPr>
        <w:pStyle w:val="AERbodytext"/>
        <w:spacing w:after="0"/>
        <w:ind w:left="567"/>
        <w:jc w:val="both"/>
        <w:rPr>
          <w:rFonts w:ascii="Arial Narrow" w:hAnsi="Arial Narrow"/>
        </w:rPr>
      </w:pPr>
    </w:p>
    <w:p w:rsidR="00551296" w:rsidRPr="00DB5986" w:rsidRDefault="00551296" w:rsidP="00DE0E00">
      <w:pPr>
        <w:pStyle w:val="AERbodytext"/>
        <w:numPr>
          <w:ilvl w:val="0"/>
          <w:numId w:val="18"/>
        </w:numPr>
        <w:tabs>
          <w:tab w:val="left" w:pos="426"/>
        </w:tabs>
        <w:spacing w:after="0"/>
        <w:ind w:left="426" w:hanging="426"/>
        <w:jc w:val="both"/>
        <w:rPr>
          <w:rFonts w:ascii="Arial Narrow" w:hAnsi="Arial Narrow"/>
        </w:rPr>
      </w:pPr>
      <w:r w:rsidRPr="00DB5986">
        <w:rPr>
          <w:rFonts w:ascii="Arial Narrow" w:hAnsi="Arial Narrow"/>
        </w:rPr>
        <w:t>WC mistakenly took the view that a correlation should exist between the number of leaks (either found by Envestra or reported by the public) and UAFG</w:t>
      </w:r>
      <w:r w:rsidR="0099610E" w:rsidRPr="00DB5986">
        <w:rPr>
          <w:rFonts w:ascii="Arial Narrow" w:hAnsi="Arial Narrow"/>
        </w:rPr>
        <w:t xml:space="preserve"> levels</w:t>
      </w:r>
      <w:r w:rsidRPr="00DB5986">
        <w:rPr>
          <w:rFonts w:ascii="Arial Narrow" w:hAnsi="Arial Narrow"/>
        </w:rPr>
        <w:t>; and</w:t>
      </w:r>
    </w:p>
    <w:p w:rsidR="00551296" w:rsidRPr="00DB5986" w:rsidRDefault="0099610E" w:rsidP="00DE0E00">
      <w:pPr>
        <w:pStyle w:val="AERbodytext"/>
        <w:numPr>
          <w:ilvl w:val="0"/>
          <w:numId w:val="18"/>
        </w:numPr>
        <w:tabs>
          <w:tab w:val="left" w:pos="426"/>
        </w:tabs>
        <w:spacing w:after="0"/>
        <w:ind w:left="426" w:hanging="426"/>
        <w:jc w:val="both"/>
        <w:rPr>
          <w:rFonts w:ascii="Arial Narrow" w:hAnsi="Arial Narrow"/>
        </w:rPr>
      </w:pPr>
      <w:r w:rsidRPr="00DB5986">
        <w:rPr>
          <w:rFonts w:ascii="Arial Narrow" w:hAnsi="Arial Narrow"/>
        </w:rPr>
        <w:t>r</w:t>
      </w:r>
      <w:r w:rsidR="00551296" w:rsidRPr="00DB5986">
        <w:rPr>
          <w:rFonts w:ascii="Arial Narrow" w:hAnsi="Arial Narrow"/>
        </w:rPr>
        <w:t>eplacement of a leaking main results in an immediate reduction (</w:t>
      </w:r>
      <w:r w:rsidR="00424AEB" w:rsidRPr="00DB5986">
        <w:rPr>
          <w:rFonts w:ascii="Arial Narrow" w:hAnsi="Arial Narrow"/>
        </w:rPr>
        <w:t>i.e.</w:t>
      </w:r>
      <w:r w:rsidR="00551296" w:rsidRPr="00DB5986">
        <w:rPr>
          <w:rFonts w:ascii="Arial Narrow" w:hAnsi="Arial Narrow"/>
        </w:rPr>
        <w:t xml:space="preserve"> no time lag) in the amount of UAFG payments that Envestra is required to make in respect of market settlements for gas. This led to WC commenting that “we are not able to reconcile </w:t>
      </w:r>
      <w:proofErr w:type="spellStart"/>
      <w:r w:rsidR="00551296" w:rsidRPr="00DB5986">
        <w:rPr>
          <w:rFonts w:ascii="Arial Narrow" w:hAnsi="Arial Narrow"/>
        </w:rPr>
        <w:t>Envestra’s</w:t>
      </w:r>
      <w:proofErr w:type="spellEnd"/>
      <w:r w:rsidR="00551296" w:rsidRPr="00DB5986">
        <w:rPr>
          <w:rFonts w:ascii="Arial Narrow" w:hAnsi="Arial Narrow"/>
        </w:rPr>
        <w:t xml:space="preserve"> volumetric estimates of UAFG with the proposed rate of replacement of mains.</w:t>
      </w:r>
      <w:r w:rsidR="00424AEB" w:rsidRPr="00DB5986">
        <w:rPr>
          <w:rStyle w:val="FootnoteReference"/>
          <w:rFonts w:ascii="Arial Narrow" w:hAnsi="Arial Narrow"/>
        </w:rPr>
        <w:footnoteReference w:id="28"/>
      </w:r>
      <w:r w:rsidR="00551296" w:rsidRPr="00DB5986">
        <w:rPr>
          <w:rFonts w:ascii="Arial Narrow" w:hAnsi="Arial Narrow"/>
        </w:rPr>
        <w:t xml:space="preserve"> </w:t>
      </w:r>
    </w:p>
    <w:p w:rsidR="00551296" w:rsidRPr="00DB5986" w:rsidRDefault="00551296" w:rsidP="000C2FAE">
      <w:pPr>
        <w:pStyle w:val="AERbodytext"/>
        <w:spacing w:after="0"/>
        <w:ind w:left="567"/>
        <w:jc w:val="both"/>
        <w:rPr>
          <w:rFonts w:ascii="Arial Narrow" w:hAnsi="Arial Narrow"/>
        </w:rPr>
      </w:pPr>
    </w:p>
    <w:p w:rsidR="00551296" w:rsidRPr="00DB5986" w:rsidRDefault="00551296" w:rsidP="0055498F">
      <w:pPr>
        <w:pStyle w:val="AERbodytext"/>
        <w:spacing w:after="0"/>
        <w:jc w:val="both"/>
        <w:rPr>
          <w:rFonts w:ascii="Arial Narrow" w:hAnsi="Arial Narrow"/>
        </w:rPr>
      </w:pPr>
      <w:r w:rsidRPr="00DB5986">
        <w:rPr>
          <w:rFonts w:ascii="Arial Narrow" w:hAnsi="Arial Narrow"/>
        </w:rPr>
        <w:t>These issues are dealt with in more detail below.</w:t>
      </w:r>
    </w:p>
    <w:p w:rsidR="00551296" w:rsidRPr="00DB5986" w:rsidRDefault="00551296" w:rsidP="005A56C2">
      <w:pPr>
        <w:pStyle w:val="Heading2"/>
      </w:pPr>
      <w:r w:rsidRPr="00DB5986">
        <w:t>Deterioration Rate</w:t>
      </w:r>
    </w:p>
    <w:p w:rsidR="00551296" w:rsidRPr="00DB5986" w:rsidRDefault="00551296" w:rsidP="000C2FAE">
      <w:pPr>
        <w:pStyle w:val="AERbodytext"/>
        <w:spacing w:after="0"/>
        <w:ind w:left="567"/>
        <w:jc w:val="both"/>
        <w:rPr>
          <w:rFonts w:ascii="Arial Narrow" w:hAnsi="Arial Narrow"/>
        </w:rPr>
      </w:pPr>
    </w:p>
    <w:p w:rsidR="00551296" w:rsidRPr="00DB5986" w:rsidRDefault="00551296" w:rsidP="0055498F">
      <w:pPr>
        <w:pStyle w:val="AERbodytext"/>
        <w:spacing w:after="0"/>
        <w:jc w:val="both"/>
        <w:rPr>
          <w:rFonts w:ascii="Arial Narrow" w:hAnsi="Arial Narrow"/>
        </w:rPr>
      </w:pPr>
      <w:r w:rsidRPr="00DB5986">
        <w:rPr>
          <w:rFonts w:ascii="Arial Narrow" w:hAnsi="Arial Narrow"/>
        </w:rPr>
        <w:lastRenderedPageBreak/>
        <w:t>Underpinning the AER decision on UAFG is the WC view that the rate of deterioration of the network</w:t>
      </w:r>
      <w:r w:rsidR="00424AEB" w:rsidRPr="00DB5986">
        <w:rPr>
          <w:rFonts w:ascii="Arial Narrow" w:hAnsi="Arial Narrow"/>
        </w:rPr>
        <w:t>,</w:t>
      </w:r>
      <w:r w:rsidRPr="00DB5986">
        <w:rPr>
          <w:rFonts w:ascii="Arial Narrow" w:hAnsi="Arial Narrow"/>
        </w:rPr>
        <w:t xml:space="preserve"> as determined by Envestra</w:t>
      </w:r>
      <w:r w:rsidR="00424AEB" w:rsidRPr="00DB5986">
        <w:rPr>
          <w:rFonts w:ascii="Arial Narrow" w:hAnsi="Arial Narrow"/>
        </w:rPr>
        <w:t>,</w:t>
      </w:r>
      <w:r w:rsidRPr="00DB5986">
        <w:rPr>
          <w:rFonts w:ascii="Arial Narrow" w:hAnsi="Arial Narrow"/>
        </w:rPr>
        <w:t xml:space="preserve"> is incorrect. This view was based on a belief that the rate of deterioration of the network should correlate to the rate of leak reports:</w:t>
      </w:r>
    </w:p>
    <w:p w:rsidR="00551296" w:rsidRDefault="00551296" w:rsidP="000C2FAE">
      <w:pPr>
        <w:pStyle w:val="AERbodytext"/>
        <w:spacing w:after="0"/>
        <w:ind w:left="567"/>
        <w:jc w:val="both"/>
        <w:rPr>
          <w:rFonts w:ascii="Arial Narrow" w:hAnsi="Arial Narrow"/>
        </w:rPr>
      </w:pPr>
    </w:p>
    <w:p w:rsidR="00A72582" w:rsidRDefault="00551296" w:rsidP="0055498F">
      <w:pPr>
        <w:pStyle w:val="AERbodytext"/>
        <w:spacing w:after="0"/>
        <w:ind w:left="567" w:right="565"/>
        <w:jc w:val="both"/>
        <w:rPr>
          <w:rFonts w:ascii="Arial Narrow" w:hAnsi="Arial Narrow"/>
          <w:i/>
        </w:rPr>
      </w:pPr>
      <w:r w:rsidRPr="00DB5986">
        <w:rPr>
          <w:rFonts w:ascii="Arial Narrow" w:hAnsi="Arial Narrow"/>
          <w:i/>
        </w:rPr>
        <w:t xml:space="preserve">“This implies a rate of deterioration (and thus </w:t>
      </w:r>
      <w:r w:rsidR="00A72582">
        <w:rPr>
          <w:rFonts w:ascii="Arial Narrow" w:hAnsi="Arial Narrow"/>
          <w:i/>
        </w:rPr>
        <w:t>of increased leakage) of 9.48%.</w:t>
      </w:r>
    </w:p>
    <w:p w:rsidR="00551296" w:rsidRPr="0028766C" w:rsidRDefault="00551296" w:rsidP="0055498F">
      <w:pPr>
        <w:pStyle w:val="AERbodytext"/>
        <w:spacing w:after="0"/>
        <w:ind w:left="567" w:right="565"/>
        <w:jc w:val="both"/>
        <w:rPr>
          <w:rFonts w:ascii="Arial Narrow" w:hAnsi="Arial Narrow"/>
          <w:i/>
        </w:rPr>
      </w:pPr>
      <w:r w:rsidRPr="00DB5986">
        <w:rPr>
          <w:rFonts w:ascii="Arial Narrow" w:hAnsi="Arial Narrow"/>
          <w:i/>
        </w:rPr>
        <w:t>However, the leak report charts in the Mains Replacement Plan were not considered by us to</w:t>
      </w:r>
      <w:r w:rsidRPr="0028766C">
        <w:rPr>
          <w:rFonts w:ascii="Arial Narrow" w:hAnsi="Arial Narrow"/>
          <w:i/>
        </w:rPr>
        <w:t xml:space="preserve"> support the contention of an increasing </w:t>
      </w:r>
      <w:r w:rsidRPr="0028766C">
        <w:rPr>
          <w:rFonts w:ascii="Arial Narrow" w:hAnsi="Arial Narrow"/>
          <w:b/>
          <w:i/>
        </w:rPr>
        <w:t>rate</w:t>
      </w:r>
      <w:r w:rsidRPr="0028766C">
        <w:rPr>
          <w:rFonts w:ascii="Arial Narrow" w:hAnsi="Arial Narrow"/>
          <w:i/>
        </w:rPr>
        <w:t xml:space="preserve"> of leakage as asserted by Envestra, although that may be the case or could become the case over time.”</w:t>
      </w:r>
      <w:r w:rsidRPr="0028766C">
        <w:rPr>
          <w:rStyle w:val="FootnoteReference"/>
          <w:rFonts w:ascii="Arial Narrow" w:hAnsi="Arial Narrow"/>
          <w:i/>
        </w:rPr>
        <w:footnoteReference w:id="29"/>
      </w:r>
    </w:p>
    <w:p w:rsidR="00551296" w:rsidRPr="0028766C" w:rsidRDefault="00551296" w:rsidP="000C2FAE">
      <w:pPr>
        <w:pStyle w:val="AERbodytext"/>
        <w:spacing w:after="0"/>
        <w:ind w:left="567"/>
        <w:jc w:val="both"/>
        <w:rPr>
          <w:rFonts w:ascii="Arial Narrow" w:hAnsi="Arial Narrow"/>
        </w:rPr>
      </w:pPr>
    </w:p>
    <w:p w:rsidR="00424AEB" w:rsidRPr="0028766C" w:rsidRDefault="00551296" w:rsidP="0091421D">
      <w:pPr>
        <w:pStyle w:val="AERbodytext"/>
        <w:spacing w:after="0"/>
        <w:jc w:val="both"/>
        <w:rPr>
          <w:rFonts w:ascii="Arial Narrow" w:hAnsi="Arial Narrow"/>
        </w:rPr>
      </w:pPr>
      <w:r w:rsidRPr="0028766C">
        <w:rPr>
          <w:rFonts w:ascii="Arial Narrow" w:hAnsi="Arial Narrow"/>
        </w:rPr>
        <w:t xml:space="preserve">However, as discussed in section 4.4.4 of the Mains Replacement Plan, the vast majority of UAFG is associated with “micro” leaks from over 500,000 cast iron joints, most of which are not sufficiently large to be reported by the public or detected by the settings used for leakage survey.  In addition, the slow dissipation through predominately clay soils results in stripping of odorant from the gas making it difficult for gas to collect in sufficient quantities to be detected by the public.  Reported leaks are those that are sufficiently large and vent in areas where they will be noticed by the public or, which have not diffused to the extent that they can be picked up by leak detection equipment.  </w:t>
      </w:r>
    </w:p>
    <w:p w:rsidR="00424AEB" w:rsidRPr="0028766C" w:rsidRDefault="00424AEB" w:rsidP="000C2FAE">
      <w:pPr>
        <w:pStyle w:val="AERbodytext"/>
        <w:spacing w:after="0"/>
        <w:ind w:left="709"/>
        <w:jc w:val="both"/>
        <w:rPr>
          <w:rFonts w:ascii="Arial Narrow" w:hAnsi="Arial Narrow"/>
        </w:rPr>
      </w:pPr>
    </w:p>
    <w:p w:rsidR="00424AEB" w:rsidRPr="0028766C" w:rsidRDefault="00551296" w:rsidP="0091421D">
      <w:pPr>
        <w:pStyle w:val="AERbodytext"/>
        <w:spacing w:after="0"/>
        <w:jc w:val="both"/>
        <w:rPr>
          <w:rFonts w:ascii="Arial Narrow" w:hAnsi="Arial Narrow"/>
        </w:rPr>
      </w:pPr>
      <w:r w:rsidRPr="0028766C">
        <w:rPr>
          <w:rFonts w:ascii="Arial Narrow" w:hAnsi="Arial Narrow"/>
        </w:rPr>
        <w:t>As there are various other mechanisms that also impact the sensitivity of leak reports (</w:t>
      </w:r>
      <w:r w:rsidR="00424AEB" w:rsidRPr="0028766C">
        <w:rPr>
          <w:rFonts w:ascii="Arial Narrow" w:hAnsi="Arial Narrow"/>
        </w:rPr>
        <w:t>e.g.</w:t>
      </w:r>
      <w:r w:rsidRPr="0028766C">
        <w:rPr>
          <w:rFonts w:ascii="Arial Narrow" w:hAnsi="Arial Narrow"/>
        </w:rPr>
        <w:t xml:space="preserve"> wind velocity, soil dampness), one should not expect a close correlation between increasing UAFG and increasing leak reports/repairs. Hence</w:t>
      </w:r>
      <w:r w:rsidR="00424AEB" w:rsidRPr="0028766C">
        <w:rPr>
          <w:rFonts w:ascii="Arial Narrow" w:hAnsi="Arial Narrow"/>
        </w:rPr>
        <w:t xml:space="preserve">, there is no reason to expect, as </w:t>
      </w:r>
      <w:r w:rsidRPr="0028766C">
        <w:rPr>
          <w:rFonts w:ascii="Arial Narrow" w:hAnsi="Arial Narrow"/>
        </w:rPr>
        <w:t xml:space="preserve">WC </w:t>
      </w:r>
      <w:r w:rsidR="00424AEB" w:rsidRPr="0028766C">
        <w:rPr>
          <w:rFonts w:ascii="Arial Narrow" w:hAnsi="Arial Narrow"/>
        </w:rPr>
        <w:t xml:space="preserve">did, that </w:t>
      </w:r>
      <w:r w:rsidRPr="0028766C">
        <w:rPr>
          <w:rFonts w:ascii="Arial Narrow" w:hAnsi="Arial Narrow"/>
        </w:rPr>
        <w:t>a direct correlation between the 9% deterioration rate and reported/repaired leaks</w:t>
      </w:r>
      <w:r w:rsidR="00424AEB" w:rsidRPr="0028766C">
        <w:rPr>
          <w:rFonts w:ascii="Arial Narrow" w:hAnsi="Arial Narrow"/>
        </w:rPr>
        <w:t xml:space="preserve"> exists</w:t>
      </w:r>
      <w:r w:rsidRPr="0028766C">
        <w:rPr>
          <w:rFonts w:ascii="Arial Narrow" w:hAnsi="Arial Narrow"/>
        </w:rPr>
        <w:t xml:space="preserve">.  </w:t>
      </w:r>
    </w:p>
    <w:p w:rsidR="00424AEB" w:rsidRPr="0028766C" w:rsidRDefault="00424AEB" w:rsidP="0091421D">
      <w:pPr>
        <w:pStyle w:val="AERbodytext"/>
        <w:spacing w:after="0"/>
        <w:jc w:val="both"/>
        <w:rPr>
          <w:rFonts w:ascii="Arial Narrow" w:hAnsi="Arial Narrow"/>
        </w:rPr>
      </w:pPr>
    </w:p>
    <w:p w:rsidR="00424AEB" w:rsidRDefault="00551296" w:rsidP="0091421D">
      <w:pPr>
        <w:pStyle w:val="AERbodytext"/>
        <w:spacing w:after="0"/>
        <w:jc w:val="both"/>
        <w:rPr>
          <w:rFonts w:ascii="Arial Narrow" w:hAnsi="Arial Narrow"/>
        </w:rPr>
      </w:pPr>
      <w:proofErr w:type="spellStart"/>
      <w:r w:rsidRPr="0028766C">
        <w:rPr>
          <w:rFonts w:ascii="Arial Narrow" w:hAnsi="Arial Narrow"/>
        </w:rPr>
        <w:t>Envestra’s</w:t>
      </w:r>
      <w:proofErr w:type="spellEnd"/>
      <w:r w:rsidRPr="0028766C">
        <w:rPr>
          <w:rFonts w:ascii="Arial Narrow" w:hAnsi="Arial Narrow"/>
        </w:rPr>
        <w:t xml:space="preserve"> 9% deterioration rate is based on analysis of actual historic data, where a 5% annual increase in UAFG has been observed over the last 10 years.  Over the same time, approximately 4% annual mains replacement was undertaken, suggesting an underlying network deterioration of 9%. </w:t>
      </w:r>
    </w:p>
    <w:p w:rsidR="0091421D" w:rsidRPr="0028766C" w:rsidRDefault="0091421D" w:rsidP="0091421D">
      <w:pPr>
        <w:pStyle w:val="AERbodytext"/>
        <w:spacing w:after="0"/>
        <w:jc w:val="both"/>
        <w:rPr>
          <w:rFonts w:ascii="Arial Narrow" w:hAnsi="Arial Narrow"/>
        </w:rPr>
      </w:pPr>
    </w:p>
    <w:p w:rsidR="00424AEB" w:rsidRPr="0028766C" w:rsidRDefault="00551296" w:rsidP="0091421D">
      <w:pPr>
        <w:pStyle w:val="AERbodytext"/>
        <w:spacing w:after="0"/>
        <w:jc w:val="both"/>
        <w:rPr>
          <w:rFonts w:ascii="Arial Narrow" w:hAnsi="Arial Narrow"/>
        </w:rPr>
      </w:pPr>
      <w:r w:rsidRPr="0028766C">
        <w:rPr>
          <w:rFonts w:ascii="Arial Narrow" w:hAnsi="Arial Narrow"/>
        </w:rPr>
        <w:t>While leaks reported have not increased to the same extent, they have increased, on average, by about 2.5% per year.  Hence, even by WC’s own assertion (</w:t>
      </w:r>
      <w:r w:rsidR="00424AEB" w:rsidRPr="0028766C">
        <w:rPr>
          <w:rFonts w:ascii="Arial Narrow" w:hAnsi="Arial Narrow"/>
        </w:rPr>
        <w:t>i.e.</w:t>
      </w:r>
      <w:r w:rsidRPr="0028766C">
        <w:rPr>
          <w:rFonts w:ascii="Arial Narrow" w:hAnsi="Arial Narrow"/>
        </w:rPr>
        <w:t xml:space="preserve"> relying on an incorrect assumption), given the replacement rate of 4% per year, this would imply that the deterioration rate at a minimum would be 6.5%, and not zero.</w:t>
      </w:r>
      <w:r w:rsidR="00424AEB" w:rsidRPr="0028766C">
        <w:rPr>
          <w:rFonts w:ascii="Arial Narrow" w:hAnsi="Arial Narrow"/>
        </w:rPr>
        <w:t xml:space="preserve"> </w:t>
      </w:r>
    </w:p>
    <w:p w:rsidR="00424AEB" w:rsidRPr="0028766C" w:rsidRDefault="00424AEB" w:rsidP="0091421D">
      <w:pPr>
        <w:pStyle w:val="AERbodytext"/>
        <w:spacing w:after="0"/>
        <w:jc w:val="both"/>
        <w:rPr>
          <w:rFonts w:ascii="Arial Narrow" w:hAnsi="Arial Narrow"/>
        </w:rPr>
      </w:pPr>
    </w:p>
    <w:p w:rsidR="00551296" w:rsidRPr="0028766C" w:rsidRDefault="00551296" w:rsidP="0091421D">
      <w:pPr>
        <w:pStyle w:val="AERbodytext"/>
        <w:spacing w:after="0"/>
        <w:jc w:val="both"/>
        <w:rPr>
          <w:rFonts w:ascii="Arial Narrow" w:hAnsi="Arial Narrow"/>
        </w:rPr>
      </w:pPr>
      <w:r w:rsidRPr="0028766C">
        <w:rPr>
          <w:rFonts w:ascii="Arial Narrow" w:hAnsi="Arial Narrow"/>
        </w:rPr>
        <w:t>Envestra considers that the network deterioration rate presented in the MRP is well founded, rigorous and not influenced by assumptions, having been based on long term (10-year) historic trends.  On the other hand, WC has suggested a 4.7% escalation rate based on an average of:</w:t>
      </w:r>
    </w:p>
    <w:p w:rsidR="00424AEB" w:rsidRPr="0028766C" w:rsidRDefault="00424AEB" w:rsidP="000C2FAE">
      <w:pPr>
        <w:pStyle w:val="AERbodytext"/>
        <w:spacing w:after="0"/>
        <w:ind w:left="567"/>
        <w:jc w:val="both"/>
        <w:rPr>
          <w:rFonts w:ascii="Arial Narrow" w:hAnsi="Arial Narrow"/>
        </w:rPr>
      </w:pPr>
    </w:p>
    <w:p w:rsidR="00551296" w:rsidRPr="0028766C" w:rsidRDefault="00887262" w:rsidP="00F44DEF">
      <w:pPr>
        <w:tabs>
          <w:tab w:val="left" w:pos="426"/>
        </w:tabs>
        <w:spacing w:after="0" w:line="240" w:lineRule="auto"/>
        <w:ind w:left="426" w:hanging="426"/>
        <w:jc w:val="both"/>
        <w:rPr>
          <w:rFonts w:ascii="Arial Narrow" w:eastAsia="Times New Roman" w:hAnsi="Arial Narrow"/>
          <w:sz w:val="24"/>
          <w:szCs w:val="24"/>
        </w:rPr>
      </w:pPr>
      <w:r>
        <w:rPr>
          <w:rFonts w:ascii="Arial Narrow" w:eastAsia="Times New Roman" w:hAnsi="Arial Narrow"/>
          <w:sz w:val="24"/>
          <w:szCs w:val="24"/>
        </w:rPr>
        <w:t>(a)</w:t>
      </w:r>
      <w:r>
        <w:rPr>
          <w:rFonts w:ascii="Arial Narrow" w:eastAsia="Times New Roman" w:hAnsi="Arial Narrow"/>
          <w:sz w:val="24"/>
          <w:szCs w:val="24"/>
        </w:rPr>
        <w:tab/>
      </w:r>
      <w:r w:rsidR="00551296" w:rsidRPr="0028766C">
        <w:rPr>
          <w:rFonts w:ascii="Arial Narrow" w:eastAsia="Times New Roman" w:hAnsi="Arial Narrow"/>
          <w:sz w:val="24"/>
          <w:szCs w:val="24"/>
        </w:rPr>
        <w:t>an upper bound of 9.4% (WC straight line derivation from Envestra data); and</w:t>
      </w:r>
    </w:p>
    <w:p w:rsidR="00551296" w:rsidRPr="0028766C" w:rsidRDefault="00887262" w:rsidP="00F44DEF">
      <w:pPr>
        <w:tabs>
          <w:tab w:val="left" w:pos="426"/>
        </w:tabs>
        <w:spacing w:after="0" w:line="240" w:lineRule="auto"/>
        <w:ind w:left="426" w:hanging="426"/>
        <w:jc w:val="both"/>
        <w:rPr>
          <w:rFonts w:ascii="Arial Narrow" w:eastAsia="Times New Roman" w:hAnsi="Arial Narrow"/>
          <w:sz w:val="24"/>
          <w:szCs w:val="24"/>
        </w:rPr>
      </w:pPr>
      <w:r>
        <w:rPr>
          <w:rFonts w:ascii="Arial Narrow" w:eastAsia="Times New Roman" w:hAnsi="Arial Narrow"/>
          <w:sz w:val="24"/>
          <w:szCs w:val="24"/>
        </w:rPr>
        <w:t>(b)</w:t>
      </w:r>
      <w:r>
        <w:rPr>
          <w:rFonts w:ascii="Arial Narrow" w:eastAsia="Times New Roman" w:hAnsi="Arial Narrow"/>
          <w:sz w:val="24"/>
          <w:szCs w:val="24"/>
        </w:rPr>
        <w:tab/>
      </w:r>
      <w:r w:rsidR="00551296" w:rsidRPr="0028766C">
        <w:rPr>
          <w:rFonts w:ascii="Arial Narrow" w:eastAsia="Times New Roman" w:hAnsi="Arial Narrow"/>
          <w:sz w:val="24"/>
          <w:szCs w:val="24"/>
        </w:rPr>
        <w:t xml:space="preserve">a lower bound of 0%.  </w:t>
      </w:r>
    </w:p>
    <w:p w:rsidR="00551296" w:rsidRPr="0028766C" w:rsidRDefault="00551296" w:rsidP="000C2FAE">
      <w:pPr>
        <w:spacing w:after="0" w:line="240" w:lineRule="auto"/>
        <w:jc w:val="both"/>
        <w:rPr>
          <w:rFonts w:ascii="Arial Narrow" w:eastAsia="Times New Roman" w:hAnsi="Arial Narrow"/>
          <w:sz w:val="24"/>
          <w:szCs w:val="24"/>
        </w:rPr>
      </w:pPr>
    </w:p>
    <w:p w:rsidR="00551296" w:rsidRPr="0028766C" w:rsidRDefault="00551296" w:rsidP="0091421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The lower bound of 0% has no basis, engineering or otherwise</w:t>
      </w:r>
      <w:r w:rsidR="00424AEB" w:rsidRPr="0028766C">
        <w:rPr>
          <w:rFonts w:ascii="Arial Narrow" w:eastAsia="Times New Roman" w:hAnsi="Arial Narrow"/>
          <w:sz w:val="24"/>
          <w:szCs w:val="24"/>
        </w:rPr>
        <w:t>, as su</w:t>
      </w:r>
      <w:r w:rsidR="002C5124" w:rsidRPr="0028766C">
        <w:rPr>
          <w:rFonts w:ascii="Arial Narrow" w:eastAsia="Times New Roman" w:hAnsi="Arial Narrow"/>
          <w:sz w:val="24"/>
          <w:szCs w:val="24"/>
        </w:rPr>
        <w:t>ggested by the following reason</w:t>
      </w:r>
      <w:r w:rsidR="00424AEB" w:rsidRPr="0028766C">
        <w:rPr>
          <w:rFonts w:ascii="Arial Narrow" w:eastAsia="Times New Roman" w:hAnsi="Arial Narrow"/>
          <w:sz w:val="24"/>
          <w:szCs w:val="24"/>
        </w:rPr>
        <w:t>ing</w:t>
      </w:r>
      <w:r w:rsidRPr="0028766C">
        <w:rPr>
          <w:rFonts w:ascii="Arial Narrow" w:eastAsia="Times New Roman" w:hAnsi="Arial Narrow"/>
          <w:sz w:val="24"/>
          <w:szCs w:val="24"/>
        </w:rPr>
        <w:t>:</w:t>
      </w:r>
    </w:p>
    <w:p w:rsidR="00551296" w:rsidRPr="0028766C" w:rsidRDefault="00551296" w:rsidP="000C2FAE">
      <w:pPr>
        <w:spacing w:after="0" w:line="240" w:lineRule="auto"/>
        <w:ind w:left="567"/>
        <w:jc w:val="both"/>
        <w:rPr>
          <w:rFonts w:ascii="Arial Narrow" w:eastAsia="Times New Roman" w:hAnsi="Arial Narrow"/>
          <w:sz w:val="24"/>
          <w:szCs w:val="24"/>
        </w:rPr>
      </w:pPr>
    </w:p>
    <w:p w:rsidR="00551296" w:rsidRPr="00E82E16" w:rsidRDefault="00551296" w:rsidP="0091421D">
      <w:pPr>
        <w:spacing w:after="0" w:line="240" w:lineRule="auto"/>
        <w:ind w:left="567" w:right="565"/>
        <w:jc w:val="both"/>
        <w:rPr>
          <w:rFonts w:ascii="Arial Narrow" w:eastAsia="Times New Roman" w:hAnsi="Arial Narrow"/>
          <w:i/>
          <w:sz w:val="24"/>
          <w:szCs w:val="24"/>
        </w:rPr>
      </w:pPr>
      <w:r w:rsidRPr="00E82E16">
        <w:rPr>
          <w:rFonts w:ascii="Arial Narrow" w:eastAsia="Times New Roman" w:hAnsi="Arial Narrow"/>
          <w:i/>
          <w:sz w:val="24"/>
          <w:szCs w:val="24"/>
        </w:rPr>
        <w:t>“We then re-calculated the reduction in UAFG, assuming a nil deterioration rate (rate of increase in leakage)”</w:t>
      </w:r>
      <w:r w:rsidRPr="00E82E16">
        <w:rPr>
          <w:rFonts w:ascii="Arial Narrow" w:eastAsia="Times New Roman" w:hAnsi="Arial Narrow"/>
          <w:i/>
          <w:sz w:val="24"/>
          <w:szCs w:val="24"/>
        </w:rPr>
        <w:footnoteReference w:id="30"/>
      </w:r>
      <w:r w:rsidRPr="00E82E16">
        <w:rPr>
          <w:rFonts w:ascii="Arial Narrow" w:eastAsia="Times New Roman" w:hAnsi="Arial Narrow"/>
          <w:i/>
          <w:sz w:val="24"/>
          <w:szCs w:val="24"/>
        </w:rPr>
        <w:t xml:space="preserve"> </w:t>
      </w:r>
    </w:p>
    <w:p w:rsidR="00551296" w:rsidRPr="0028766C" w:rsidRDefault="00551296" w:rsidP="000C2FAE">
      <w:pPr>
        <w:spacing w:after="0" w:line="240" w:lineRule="auto"/>
        <w:ind w:left="567"/>
        <w:jc w:val="both"/>
        <w:rPr>
          <w:rFonts w:ascii="Arial Narrow" w:eastAsia="Times New Roman" w:hAnsi="Arial Narrow"/>
          <w:sz w:val="24"/>
          <w:szCs w:val="24"/>
        </w:rPr>
      </w:pPr>
    </w:p>
    <w:p w:rsidR="00551296" w:rsidRPr="0028766C" w:rsidRDefault="00551296" w:rsidP="0091421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By assuming a lower bound of 0%, WC is inferring that old cast iron leaking mains do </w:t>
      </w:r>
      <w:r w:rsidR="002C5124" w:rsidRPr="0028766C">
        <w:rPr>
          <w:rFonts w:ascii="Arial Narrow" w:eastAsia="Times New Roman" w:hAnsi="Arial Narrow"/>
          <w:sz w:val="24"/>
          <w:szCs w:val="24"/>
        </w:rPr>
        <w:t xml:space="preserve">not deteriorate over time. This, in </w:t>
      </w:r>
      <w:proofErr w:type="spellStart"/>
      <w:r w:rsidR="002C5124" w:rsidRPr="0028766C">
        <w:rPr>
          <w:rFonts w:ascii="Arial Narrow" w:eastAsia="Times New Roman" w:hAnsi="Arial Narrow"/>
          <w:sz w:val="24"/>
          <w:szCs w:val="24"/>
        </w:rPr>
        <w:t>Envestra’s</w:t>
      </w:r>
      <w:proofErr w:type="spellEnd"/>
      <w:r w:rsidR="002C5124" w:rsidRPr="0028766C">
        <w:rPr>
          <w:rFonts w:ascii="Arial Narrow" w:eastAsia="Times New Roman" w:hAnsi="Arial Narrow"/>
          <w:sz w:val="24"/>
          <w:szCs w:val="24"/>
        </w:rPr>
        <w:t xml:space="preserve"> view, lacks logic and infers that:</w:t>
      </w:r>
    </w:p>
    <w:p w:rsidR="00551296" w:rsidRPr="0028766C" w:rsidRDefault="00551296" w:rsidP="000C2FAE">
      <w:pPr>
        <w:spacing w:after="0" w:line="240" w:lineRule="auto"/>
        <w:jc w:val="both"/>
        <w:rPr>
          <w:rFonts w:ascii="Arial Narrow" w:eastAsia="Times New Roman" w:hAnsi="Arial Narrow"/>
          <w:sz w:val="24"/>
          <w:szCs w:val="24"/>
        </w:rPr>
      </w:pPr>
    </w:p>
    <w:p w:rsidR="00551296" w:rsidRPr="0028766C" w:rsidRDefault="00887262" w:rsidP="002445E3">
      <w:pPr>
        <w:tabs>
          <w:tab w:val="left" w:pos="426"/>
        </w:tabs>
        <w:spacing w:after="0" w:line="240" w:lineRule="auto"/>
        <w:ind w:left="426" w:hanging="426"/>
        <w:jc w:val="both"/>
        <w:rPr>
          <w:rFonts w:ascii="Arial Narrow" w:eastAsia="Times New Roman" w:hAnsi="Arial Narrow"/>
          <w:sz w:val="24"/>
          <w:szCs w:val="24"/>
        </w:rPr>
      </w:pPr>
      <w:r>
        <w:rPr>
          <w:rFonts w:ascii="Arial Narrow" w:eastAsia="Times New Roman" w:hAnsi="Arial Narrow"/>
          <w:sz w:val="24"/>
          <w:szCs w:val="24"/>
        </w:rPr>
        <w:t>(a)</w:t>
      </w:r>
      <w:r>
        <w:rPr>
          <w:rFonts w:ascii="Arial Narrow" w:eastAsia="Times New Roman" w:hAnsi="Arial Narrow"/>
          <w:sz w:val="24"/>
          <w:szCs w:val="24"/>
        </w:rPr>
        <w:tab/>
      </w:r>
      <w:r w:rsidR="00551296" w:rsidRPr="0028766C">
        <w:rPr>
          <w:rFonts w:ascii="Arial Narrow" w:eastAsia="Times New Roman" w:hAnsi="Arial Narrow"/>
          <w:sz w:val="24"/>
          <w:szCs w:val="24"/>
        </w:rPr>
        <w:t xml:space="preserve">if Envestra did not replace any mains, the level of UAFG would remain static. This is contrary to all evidence presented. That evidence has led to the obligation imposed upon Envestra by the </w:t>
      </w:r>
      <w:r w:rsidR="00551296" w:rsidRPr="0028766C">
        <w:rPr>
          <w:rFonts w:ascii="Arial Narrow" w:eastAsia="Times New Roman" w:hAnsi="Arial Narrow"/>
          <w:sz w:val="24"/>
          <w:szCs w:val="24"/>
        </w:rPr>
        <w:lastRenderedPageBreak/>
        <w:t>Office of the Technical Regulator and the Essential Services Commission of South Australia, requiring Envestra to replace mains in or</w:t>
      </w:r>
      <w:r w:rsidR="002C5124" w:rsidRPr="0028766C">
        <w:rPr>
          <w:rFonts w:ascii="Arial Narrow" w:eastAsia="Times New Roman" w:hAnsi="Arial Narrow"/>
          <w:sz w:val="24"/>
          <w:szCs w:val="24"/>
        </w:rPr>
        <w:t>der to reduce the level of UAFG; and</w:t>
      </w:r>
    </w:p>
    <w:p w:rsidR="00551296" w:rsidRPr="0028766C" w:rsidRDefault="00887262" w:rsidP="002445E3">
      <w:pPr>
        <w:tabs>
          <w:tab w:val="left" w:pos="426"/>
        </w:tabs>
        <w:spacing w:after="0" w:line="240" w:lineRule="auto"/>
        <w:ind w:left="426" w:hanging="426"/>
        <w:jc w:val="both"/>
        <w:rPr>
          <w:rFonts w:ascii="Arial Narrow" w:eastAsia="Times New Roman" w:hAnsi="Arial Narrow"/>
          <w:sz w:val="24"/>
          <w:szCs w:val="24"/>
        </w:rPr>
      </w:pPr>
      <w:r>
        <w:rPr>
          <w:rFonts w:ascii="Arial Narrow" w:eastAsia="Times New Roman" w:hAnsi="Arial Narrow"/>
          <w:sz w:val="24"/>
          <w:szCs w:val="24"/>
        </w:rPr>
        <w:t>(b)</w:t>
      </w:r>
      <w:r>
        <w:rPr>
          <w:rFonts w:ascii="Arial Narrow" w:eastAsia="Times New Roman" w:hAnsi="Arial Narrow"/>
          <w:sz w:val="24"/>
          <w:szCs w:val="24"/>
        </w:rPr>
        <w:tab/>
      </w:r>
      <w:r w:rsidR="002C5124" w:rsidRPr="0028766C">
        <w:rPr>
          <w:rFonts w:ascii="Arial Narrow" w:eastAsia="Times New Roman" w:hAnsi="Arial Narrow"/>
          <w:sz w:val="24"/>
          <w:szCs w:val="24"/>
        </w:rPr>
        <w:t>a</w:t>
      </w:r>
      <w:r w:rsidR="00551296" w:rsidRPr="0028766C">
        <w:rPr>
          <w:rFonts w:ascii="Arial Narrow" w:eastAsia="Times New Roman" w:hAnsi="Arial Narrow"/>
          <w:sz w:val="24"/>
          <w:szCs w:val="24"/>
        </w:rPr>
        <w:t xml:space="preserve">ged cast iron and unprotected steel mains have an indefinite asset life, which is clearly not </w:t>
      </w:r>
      <w:bookmarkStart w:id="0" w:name="LASTCURSORPOSITION"/>
      <w:bookmarkEnd w:id="0"/>
      <w:r w:rsidR="00551296" w:rsidRPr="0028766C">
        <w:rPr>
          <w:rFonts w:ascii="Arial Narrow" w:eastAsia="Times New Roman" w:hAnsi="Arial Narrow"/>
          <w:sz w:val="24"/>
          <w:szCs w:val="24"/>
        </w:rPr>
        <w:t xml:space="preserve">the case. </w:t>
      </w:r>
    </w:p>
    <w:p w:rsidR="00551296" w:rsidRPr="0028766C" w:rsidRDefault="00551296" w:rsidP="000C2FAE">
      <w:pPr>
        <w:spacing w:after="0" w:line="240" w:lineRule="auto"/>
        <w:ind w:left="567"/>
        <w:jc w:val="both"/>
        <w:rPr>
          <w:rFonts w:ascii="Arial Narrow" w:eastAsia="Times New Roman" w:hAnsi="Arial Narrow"/>
          <w:sz w:val="24"/>
          <w:szCs w:val="24"/>
        </w:rPr>
      </w:pPr>
    </w:p>
    <w:p w:rsidR="002C5124" w:rsidRPr="0028766C" w:rsidRDefault="002C5124" w:rsidP="0091421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Envestra therefore considers that the WC estimate, as used by the AER in its Draft Decision, is contrary to the requirements of rule 74 of the NGR for a </w:t>
      </w:r>
      <w:r w:rsidR="00551296" w:rsidRPr="0028766C">
        <w:rPr>
          <w:rFonts w:ascii="Arial Narrow" w:eastAsia="Times New Roman" w:hAnsi="Arial Narrow"/>
          <w:sz w:val="24"/>
          <w:szCs w:val="24"/>
        </w:rPr>
        <w:t>forecast or estimate</w:t>
      </w:r>
      <w:r w:rsidRPr="0028766C">
        <w:rPr>
          <w:rFonts w:ascii="Arial Narrow" w:eastAsia="Times New Roman" w:hAnsi="Arial Narrow"/>
          <w:sz w:val="24"/>
          <w:szCs w:val="24"/>
        </w:rPr>
        <w:t xml:space="preserve"> to:</w:t>
      </w:r>
    </w:p>
    <w:p w:rsidR="002C5124" w:rsidRPr="0028766C" w:rsidRDefault="002C5124" w:rsidP="000C2FAE">
      <w:pPr>
        <w:spacing w:after="0" w:line="240" w:lineRule="auto"/>
        <w:ind w:left="567"/>
        <w:jc w:val="both"/>
        <w:rPr>
          <w:rFonts w:ascii="Arial Narrow" w:eastAsia="Times New Roman" w:hAnsi="Arial Narrow"/>
          <w:sz w:val="24"/>
          <w:szCs w:val="24"/>
        </w:rPr>
      </w:pPr>
    </w:p>
    <w:p w:rsidR="00551296" w:rsidRPr="0028766C" w:rsidRDefault="00551296" w:rsidP="00DE0E00">
      <w:pPr>
        <w:numPr>
          <w:ilvl w:val="0"/>
          <w:numId w:val="19"/>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be supported by a statement of the basis of the forecast or estimate (rule 74(1)); and</w:t>
      </w:r>
    </w:p>
    <w:p w:rsidR="00551296" w:rsidRPr="0028766C" w:rsidRDefault="00551296" w:rsidP="00DE0E00">
      <w:pPr>
        <w:numPr>
          <w:ilvl w:val="0"/>
          <w:numId w:val="19"/>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arrived at on a reasonable basis (rule 74(2)(a)</w:t>
      </w:r>
      <w:r w:rsidR="002C5124" w:rsidRPr="0028766C">
        <w:rPr>
          <w:rFonts w:ascii="Arial Narrow" w:eastAsia="Times New Roman" w:hAnsi="Arial Narrow"/>
          <w:sz w:val="24"/>
          <w:szCs w:val="24"/>
        </w:rPr>
        <w:t>.</w:t>
      </w:r>
    </w:p>
    <w:p w:rsidR="00551296" w:rsidRPr="0028766C" w:rsidRDefault="00551296" w:rsidP="000C2FAE">
      <w:pPr>
        <w:spacing w:after="0" w:line="240" w:lineRule="auto"/>
        <w:ind w:left="567"/>
        <w:jc w:val="both"/>
        <w:rPr>
          <w:rFonts w:ascii="Arial Narrow" w:eastAsia="Times New Roman" w:hAnsi="Arial Narrow"/>
          <w:sz w:val="24"/>
          <w:szCs w:val="24"/>
        </w:rPr>
      </w:pPr>
    </w:p>
    <w:p w:rsidR="00551296" w:rsidRPr="0028766C" w:rsidRDefault="00551296" w:rsidP="0091421D">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Envestra </w:t>
      </w:r>
      <w:r w:rsidR="002C5124" w:rsidRPr="0028766C">
        <w:rPr>
          <w:rFonts w:ascii="Arial Narrow" w:eastAsia="Times New Roman" w:hAnsi="Arial Narrow"/>
          <w:sz w:val="24"/>
          <w:szCs w:val="24"/>
        </w:rPr>
        <w:t xml:space="preserve">therefore </w:t>
      </w:r>
      <w:r w:rsidRPr="0028766C">
        <w:rPr>
          <w:rFonts w:ascii="Arial Narrow" w:eastAsia="Times New Roman" w:hAnsi="Arial Narrow"/>
          <w:sz w:val="24"/>
          <w:szCs w:val="24"/>
        </w:rPr>
        <w:t>submits that its rate of deterioration of 9% is appropriate and compliant with the rules.</w:t>
      </w:r>
    </w:p>
    <w:p w:rsidR="00551296" w:rsidRPr="0028766C" w:rsidRDefault="00551296" w:rsidP="000C2FAE">
      <w:pPr>
        <w:spacing w:after="0" w:line="240" w:lineRule="auto"/>
        <w:ind w:left="567"/>
        <w:jc w:val="both"/>
        <w:rPr>
          <w:rFonts w:ascii="Arial Narrow" w:eastAsia="Times New Roman" w:hAnsi="Arial Narrow"/>
          <w:sz w:val="24"/>
          <w:szCs w:val="24"/>
        </w:rPr>
      </w:pPr>
    </w:p>
    <w:p w:rsidR="00551296" w:rsidRPr="0028766C" w:rsidRDefault="00551296" w:rsidP="005A56C2">
      <w:pPr>
        <w:pStyle w:val="Heading2"/>
      </w:pPr>
      <w:r w:rsidRPr="0028766C">
        <w:t>UAFG Impact Time Lag</w:t>
      </w:r>
    </w:p>
    <w:p w:rsidR="00551296" w:rsidRPr="0028766C" w:rsidRDefault="00551296" w:rsidP="000C2FAE">
      <w:pPr>
        <w:spacing w:after="0" w:line="240" w:lineRule="auto"/>
        <w:ind w:left="567"/>
        <w:jc w:val="both"/>
        <w:rPr>
          <w:rFonts w:ascii="Arial Narrow" w:eastAsia="Times New Roman" w:hAnsi="Arial Narrow"/>
          <w:sz w:val="24"/>
          <w:szCs w:val="24"/>
        </w:rPr>
      </w:pPr>
    </w:p>
    <w:p w:rsidR="002C5124" w:rsidRPr="0028766C" w:rsidRDefault="00334E5C" w:rsidP="00F90A5E">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As referred to in section </w:t>
      </w:r>
      <w:r w:rsidR="00364053" w:rsidRPr="0028766C">
        <w:rPr>
          <w:rFonts w:ascii="Arial Narrow" w:eastAsia="Times New Roman" w:hAnsi="Arial Narrow"/>
          <w:sz w:val="24"/>
          <w:szCs w:val="24"/>
        </w:rPr>
        <w:t>6.1</w:t>
      </w:r>
      <w:r w:rsidRPr="0028766C">
        <w:rPr>
          <w:rFonts w:ascii="Arial Narrow" w:eastAsia="Times New Roman" w:hAnsi="Arial Narrow"/>
          <w:sz w:val="24"/>
          <w:szCs w:val="24"/>
        </w:rPr>
        <w:t xml:space="preserve"> above, WC indicated that they “were not able to reconcile </w:t>
      </w:r>
      <w:proofErr w:type="spellStart"/>
      <w:r w:rsidRPr="0028766C">
        <w:rPr>
          <w:rFonts w:ascii="Arial Narrow" w:eastAsia="Times New Roman" w:hAnsi="Arial Narrow"/>
          <w:sz w:val="24"/>
          <w:szCs w:val="24"/>
        </w:rPr>
        <w:t>Envestra’s</w:t>
      </w:r>
      <w:proofErr w:type="spellEnd"/>
      <w:r w:rsidRPr="0028766C">
        <w:rPr>
          <w:rFonts w:ascii="Arial Narrow" w:eastAsia="Times New Roman" w:hAnsi="Arial Narrow"/>
          <w:sz w:val="24"/>
          <w:szCs w:val="24"/>
        </w:rPr>
        <w:t xml:space="preserve"> estimates of UAFG with the proposed rate of replacement of the mains”</w:t>
      </w:r>
      <w:r w:rsidRPr="0028766C">
        <w:rPr>
          <w:rFonts w:ascii="Arial Narrow" w:eastAsia="Times New Roman" w:hAnsi="Arial Narrow"/>
          <w:sz w:val="24"/>
          <w:szCs w:val="24"/>
          <w:vertAlign w:val="superscript"/>
        </w:rPr>
        <w:footnoteReference w:id="31"/>
      </w:r>
      <w:r w:rsidRPr="0028766C">
        <w:rPr>
          <w:rFonts w:ascii="Arial Narrow" w:eastAsia="Times New Roman" w:hAnsi="Arial Narrow"/>
          <w:sz w:val="24"/>
          <w:szCs w:val="24"/>
        </w:rPr>
        <w:t xml:space="preserve">. </w:t>
      </w:r>
      <w:r w:rsidR="002C5124" w:rsidRPr="0028766C">
        <w:rPr>
          <w:rFonts w:ascii="Arial Narrow" w:eastAsia="Times New Roman" w:hAnsi="Arial Narrow"/>
          <w:sz w:val="24"/>
          <w:szCs w:val="24"/>
        </w:rPr>
        <w:t>Envestra</w:t>
      </w:r>
      <w:r w:rsidRPr="0028766C">
        <w:rPr>
          <w:rFonts w:ascii="Arial Narrow" w:eastAsia="Times New Roman" w:hAnsi="Arial Narrow"/>
          <w:sz w:val="24"/>
          <w:szCs w:val="24"/>
        </w:rPr>
        <w:t xml:space="preserve"> believe</w:t>
      </w:r>
      <w:r w:rsidR="002C5124" w:rsidRPr="0028766C">
        <w:rPr>
          <w:rFonts w:ascii="Arial Narrow" w:eastAsia="Times New Roman" w:hAnsi="Arial Narrow"/>
          <w:sz w:val="24"/>
          <w:szCs w:val="24"/>
        </w:rPr>
        <w:t>s</w:t>
      </w:r>
      <w:r w:rsidRPr="0028766C">
        <w:rPr>
          <w:rFonts w:ascii="Arial Narrow" w:eastAsia="Times New Roman" w:hAnsi="Arial Narrow"/>
          <w:sz w:val="24"/>
          <w:szCs w:val="24"/>
        </w:rPr>
        <w:t xml:space="preserve"> this </w:t>
      </w:r>
      <w:r w:rsidR="002C5124" w:rsidRPr="0028766C">
        <w:rPr>
          <w:rFonts w:ascii="Arial Narrow" w:eastAsia="Times New Roman" w:hAnsi="Arial Narrow"/>
          <w:sz w:val="24"/>
          <w:szCs w:val="24"/>
        </w:rPr>
        <w:t xml:space="preserve">reflects a lack of recognition by </w:t>
      </w:r>
      <w:r w:rsidRPr="0028766C">
        <w:rPr>
          <w:rFonts w:ascii="Arial Narrow" w:eastAsia="Times New Roman" w:hAnsi="Arial Narrow"/>
          <w:sz w:val="24"/>
          <w:szCs w:val="24"/>
        </w:rPr>
        <w:t xml:space="preserve">WC that there is a significant time lag between the physical activity of replacing a leaking main and the time at which Envestra </w:t>
      </w:r>
      <w:r w:rsidR="002C5124" w:rsidRPr="0028766C">
        <w:rPr>
          <w:rFonts w:ascii="Arial Narrow" w:eastAsia="Times New Roman" w:hAnsi="Arial Narrow"/>
          <w:sz w:val="24"/>
          <w:szCs w:val="24"/>
        </w:rPr>
        <w:t>recognises</w:t>
      </w:r>
      <w:r w:rsidRPr="0028766C">
        <w:rPr>
          <w:rFonts w:ascii="Arial Narrow" w:eastAsia="Times New Roman" w:hAnsi="Arial Narrow"/>
          <w:sz w:val="24"/>
          <w:szCs w:val="24"/>
        </w:rPr>
        <w:t xml:space="preserve"> the commercial benefit of reduced UAFG</w:t>
      </w:r>
      <w:r w:rsidR="002C5124" w:rsidRPr="0028766C">
        <w:rPr>
          <w:rFonts w:ascii="Arial Narrow" w:eastAsia="Times New Roman" w:hAnsi="Arial Narrow"/>
          <w:sz w:val="24"/>
          <w:szCs w:val="24"/>
        </w:rPr>
        <w:t>.</w:t>
      </w:r>
    </w:p>
    <w:p w:rsidR="002C5124" w:rsidRPr="0028766C" w:rsidRDefault="002C5124" w:rsidP="00F90A5E">
      <w:pPr>
        <w:spacing w:after="0" w:line="240" w:lineRule="auto"/>
        <w:jc w:val="both"/>
        <w:rPr>
          <w:rFonts w:ascii="Arial Narrow" w:eastAsia="Times New Roman" w:hAnsi="Arial Narrow"/>
          <w:sz w:val="24"/>
          <w:szCs w:val="24"/>
        </w:rPr>
      </w:pPr>
    </w:p>
    <w:p w:rsidR="00334E5C" w:rsidRPr="0028766C" w:rsidRDefault="00334E5C" w:rsidP="00F90A5E">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WC assumed an instant benefit, which is true from an engineering perspective, but the full commercial benefit to Envestra is not realised until the flow-on effects of meter readings and market settlements result in a reduced bill for UAFG for Envestra. It is this commercial benefit that must be reflected in the Access Arrangement (and not the engineering benefit), since the level of UAFG in the Access Arrangement is used in determining the forecast for the cost of purchasing gas. As detailed in the graph below, the commercial benefit does not fully accrue to Envestra until 26 months after a leaking main has been replaced. </w:t>
      </w:r>
    </w:p>
    <w:p w:rsidR="00334E5C" w:rsidRPr="0028766C" w:rsidRDefault="00334E5C" w:rsidP="00F90A5E">
      <w:pPr>
        <w:spacing w:after="0" w:line="240" w:lineRule="auto"/>
        <w:jc w:val="both"/>
        <w:rPr>
          <w:rFonts w:ascii="Arial Narrow" w:eastAsia="Times New Roman" w:hAnsi="Arial Narrow"/>
          <w:sz w:val="24"/>
          <w:szCs w:val="24"/>
        </w:rPr>
      </w:pPr>
    </w:p>
    <w:p w:rsidR="00334E5C" w:rsidRPr="0028766C" w:rsidRDefault="00334E5C" w:rsidP="00F90A5E">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Envestra pays for UAFG gas in terms of a Moving Annual Total (MAT) UAFG position of the elapsed year, rather than on a forecast reducing actual basis</w:t>
      </w:r>
      <w:r w:rsidR="00E0381B" w:rsidRPr="0028766C">
        <w:rPr>
          <w:rFonts w:ascii="Arial Narrow" w:eastAsia="Times New Roman" w:hAnsi="Arial Narrow"/>
          <w:sz w:val="24"/>
          <w:szCs w:val="24"/>
        </w:rPr>
        <w:t xml:space="preserve">. For example, </w:t>
      </w:r>
      <w:r w:rsidRPr="0028766C">
        <w:rPr>
          <w:rFonts w:ascii="Arial Narrow" w:eastAsia="Times New Roman" w:hAnsi="Arial Narrow"/>
          <w:sz w:val="24"/>
          <w:szCs w:val="24"/>
        </w:rPr>
        <w:t>if the UAFG level is 2 PJ in year one, then this is “deemed” to be the level in year 2 for commercial settlement. This means that the deemed position is always overstated for the year in which mains replacement activity is undertaken, as well as for the following year, taking a full 12 months before the deemed position is re-set to the correct level.</w:t>
      </w:r>
    </w:p>
    <w:p w:rsidR="00334E5C" w:rsidRPr="0028766C" w:rsidRDefault="00334E5C" w:rsidP="00F90A5E">
      <w:pPr>
        <w:spacing w:after="0" w:line="240" w:lineRule="auto"/>
        <w:jc w:val="both"/>
        <w:rPr>
          <w:rFonts w:ascii="Arial Narrow" w:eastAsia="Times New Roman" w:hAnsi="Arial Narrow"/>
          <w:sz w:val="24"/>
          <w:szCs w:val="24"/>
        </w:rPr>
      </w:pPr>
    </w:p>
    <w:p w:rsidR="00334E5C" w:rsidRPr="0028766C" w:rsidRDefault="00334E5C" w:rsidP="00F90A5E">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 xml:space="preserve">However, in addition to this, the Retail Market Rules (sections 229-245) stipulate that </w:t>
      </w:r>
      <w:r w:rsidR="00E0381B" w:rsidRPr="0028766C">
        <w:rPr>
          <w:rFonts w:ascii="Arial Narrow" w:eastAsia="Times New Roman" w:hAnsi="Arial Narrow"/>
          <w:sz w:val="24"/>
          <w:szCs w:val="24"/>
        </w:rPr>
        <w:t xml:space="preserve">the </w:t>
      </w:r>
      <w:r w:rsidRPr="0028766C">
        <w:rPr>
          <w:rFonts w:ascii="Arial Narrow" w:eastAsia="Times New Roman" w:hAnsi="Arial Narrow"/>
          <w:sz w:val="24"/>
          <w:szCs w:val="24"/>
        </w:rPr>
        <w:t>UAFG</w:t>
      </w:r>
      <w:r w:rsidR="00E0381B" w:rsidRPr="0028766C">
        <w:rPr>
          <w:rFonts w:ascii="Arial Narrow" w:eastAsia="Times New Roman" w:hAnsi="Arial Narrow"/>
          <w:sz w:val="24"/>
          <w:szCs w:val="24"/>
        </w:rPr>
        <w:t xml:space="preserve"> daily position</w:t>
      </w:r>
      <w:r w:rsidRPr="0028766C">
        <w:rPr>
          <w:rFonts w:ascii="Arial Narrow" w:eastAsia="Times New Roman" w:hAnsi="Arial Narrow"/>
          <w:sz w:val="24"/>
          <w:szCs w:val="24"/>
        </w:rPr>
        <w:t xml:space="preserve">, as reported by the Australian Energy Market Operator (AEMO), can </w:t>
      </w:r>
      <w:r w:rsidR="00E0381B" w:rsidRPr="0028766C">
        <w:rPr>
          <w:rFonts w:ascii="Arial Narrow" w:eastAsia="Times New Roman" w:hAnsi="Arial Narrow"/>
          <w:sz w:val="24"/>
          <w:szCs w:val="24"/>
        </w:rPr>
        <w:t xml:space="preserve">be </w:t>
      </w:r>
      <w:r w:rsidRPr="0028766C">
        <w:rPr>
          <w:rFonts w:ascii="Arial Narrow" w:eastAsia="Times New Roman" w:hAnsi="Arial Narrow"/>
          <w:sz w:val="24"/>
          <w:szCs w:val="24"/>
        </w:rPr>
        <w:t>revise</w:t>
      </w:r>
      <w:r w:rsidR="00E0381B" w:rsidRPr="0028766C">
        <w:rPr>
          <w:rFonts w:ascii="Arial Narrow" w:eastAsia="Times New Roman" w:hAnsi="Arial Narrow"/>
          <w:sz w:val="24"/>
          <w:szCs w:val="24"/>
        </w:rPr>
        <w:t>d</w:t>
      </w:r>
      <w:r w:rsidRPr="0028766C">
        <w:rPr>
          <w:rFonts w:ascii="Arial Narrow" w:eastAsia="Times New Roman" w:hAnsi="Arial Narrow"/>
          <w:sz w:val="24"/>
          <w:szCs w:val="24"/>
        </w:rPr>
        <w:t xml:space="preserve"> for up to 425 Days after the deemed position is reset. Envestra therefore does not undertake what is known in the industry as a “UAFG wash-up” (to recover the difference between the final actual UAFG result and the deemed position) for a further 425 days (14 months). This means that Envestra does not accrue the commercial benefit for 26 months from the date on which the mains replacement activity was undertaken. This is depicted in the following diagram.</w:t>
      </w:r>
    </w:p>
    <w:p w:rsidR="00334E5C" w:rsidRPr="0028766C" w:rsidRDefault="00334E5C" w:rsidP="000C2FAE">
      <w:pPr>
        <w:spacing w:after="0" w:line="240" w:lineRule="auto"/>
        <w:ind w:left="567"/>
        <w:jc w:val="both"/>
        <w:rPr>
          <w:rFonts w:ascii="Arial Narrow" w:eastAsia="Times New Roman" w:hAnsi="Arial Narrow"/>
          <w:sz w:val="24"/>
          <w:szCs w:val="24"/>
        </w:rPr>
      </w:pPr>
    </w:p>
    <w:p w:rsidR="00334E5C" w:rsidRPr="0028766C" w:rsidRDefault="00C51E89" w:rsidP="008D76EB">
      <w:pPr>
        <w:spacing w:after="0" w:line="240" w:lineRule="auto"/>
        <w:rPr>
          <w:rFonts w:ascii="Arial Narrow" w:hAnsi="Arial Narrow"/>
          <w:sz w:val="24"/>
          <w:szCs w:val="24"/>
        </w:rPr>
      </w:pPr>
      <w:r w:rsidRPr="00C51E89">
        <w:rPr>
          <w:rFonts w:ascii="Arial Narrow" w:eastAsia="Times New Roman" w:hAnsi="Arial Narrow"/>
          <w:noProof/>
          <w:sz w:val="24"/>
          <w:szCs w:val="24"/>
          <w:lang w:eastAsia="en-AU"/>
        </w:rPr>
        <w:lastRenderedPageBreak/>
        <w:pict>
          <v:group id="_x0000_s1026" style="position:absolute;margin-left:36.75pt;margin-top:20.65pt;width:395.7pt;height:260.35pt;z-index:251657728" coordorigin="2340,9013" coordsize="8280,5207">
            <v:line id="_x0000_s1027" style="position:absolute;flip:x y" from="5580,10260" to="5760,14040">
              <v:stroke endarrow="block"/>
            </v:line>
            <v:shapetype id="_x0000_t202" coordsize="21600,21600" o:spt="202" path="m,l,21600r21600,l21600,xe">
              <v:stroke joinstyle="miter"/>
              <v:path gradientshapeok="t" o:connecttype="rect"/>
            </v:shapetype>
            <v:shape id="_x0000_s1028" type="#_x0000_t202" style="position:absolute;left:4320;top:13468;width:2880;height:752">
              <v:textbox style="mso-next-textbox:#_x0000_s1028">
                <w:txbxContent>
                  <w:p w:rsidR="00887D92" w:rsidRPr="00A51645" w:rsidRDefault="00887D92" w:rsidP="00334E5C">
                    <w:pPr>
                      <w:spacing w:after="0" w:line="240" w:lineRule="auto"/>
                      <w:jc w:val="both"/>
                      <w:rPr>
                        <w:rFonts w:ascii="Arial Narrow" w:eastAsia="Times New Roman" w:hAnsi="Arial Narrow"/>
                        <w:sz w:val="16"/>
                        <w:szCs w:val="16"/>
                      </w:rPr>
                    </w:pPr>
                    <w:r>
                      <w:rPr>
                        <w:rFonts w:ascii="Arial Narrow" w:eastAsia="Times New Roman" w:hAnsi="Arial Narrow"/>
                        <w:sz w:val="16"/>
                        <w:szCs w:val="16"/>
                      </w:rPr>
                      <w:t>Impact lag of UAFG reduction before fully recognised in determining the deemed position - 12 months</w:t>
                    </w:r>
                  </w:p>
                  <w:p w:rsidR="00887D92" w:rsidRDefault="00887D92" w:rsidP="00334E5C">
                    <w:pPr>
                      <w:spacing w:after="0" w:line="240" w:lineRule="auto"/>
                      <w:ind w:left="567"/>
                      <w:jc w:val="both"/>
                      <w:rPr>
                        <w:rFonts w:ascii="Arial Narrow" w:eastAsia="Times New Roman" w:hAnsi="Arial Narrow"/>
                        <w:sz w:val="24"/>
                        <w:szCs w:val="24"/>
                      </w:rPr>
                    </w:pPr>
                  </w:p>
                  <w:p w:rsidR="00887D92" w:rsidRPr="000E6E93" w:rsidRDefault="00887D92" w:rsidP="00334E5C">
                    <w:pPr>
                      <w:ind w:left="567"/>
                      <w:jc w:val="both"/>
                      <w:rPr>
                        <w:rFonts w:ascii="Arial Narrow" w:hAnsi="Arial Narrow"/>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6390;top:7303;width:180;height:3600;rotation:-90"/>
            <v:line id="_x0000_s1030" style="position:absolute;flip:y" from="3240,10440" to="4860,13680">
              <v:stroke endarrow="block"/>
            </v:line>
            <v:shape id="_x0000_s1031" type="#_x0000_t202" style="position:absolute;left:2340;top:13468;width:1800;height:752">
              <v:textbox style="mso-next-textbox:#_x0000_s1031">
                <w:txbxContent>
                  <w:p w:rsidR="00887D92" w:rsidRDefault="00887D92" w:rsidP="008D76EB">
                    <w:pPr>
                      <w:spacing w:after="0" w:line="240" w:lineRule="auto"/>
                      <w:jc w:val="both"/>
                      <w:rPr>
                        <w:rFonts w:ascii="Arial Narrow" w:eastAsia="Times New Roman" w:hAnsi="Arial Narrow"/>
                        <w:sz w:val="24"/>
                        <w:szCs w:val="24"/>
                      </w:rPr>
                    </w:pPr>
                    <w:r>
                      <w:rPr>
                        <w:rFonts w:ascii="Arial Narrow" w:eastAsia="Times New Roman" w:hAnsi="Arial Narrow"/>
                        <w:sz w:val="16"/>
                        <w:szCs w:val="16"/>
                      </w:rPr>
                      <w:t>Immediate reduction in actual monthly UAFG</w:t>
                    </w:r>
                  </w:p>
                  <w:p w:rsidR="00887D92" w:rsidRPr="000E6E93" w:rsidRDefault="00887D92" w:rsidP="00334E5C">
                    <w:pPr>
                      <w:ind w:left="567"/>
                      <w:jc w:val="both"/>
                      <w:rPr>
                        <w:rFonts w:ascii="Arial Narrow" w:hAnsi="Arial Narrow"/>
                      </w:rPr>
                    </w:pPr>
                  </w:p>
                </w:txbxContent>
              </v:textbox>
            </v:shape>
            <v:shape id="_x0000_s1032" type="#_x0000_t88" style="position:absolute;left:5477;top:9103;width:206;height:1800;rotation:90;flip:x"/>
            <v:line id="_x0000_s1033" style="position:absolute;flip:x y" from="6480,9193" to="9180,14053">
              <v:stroke endarrow="block"/>
            </v:line>
            <v:shape id="_x0000_s1034" type="#_x0000_t202" style="position:absolute;left:7380;top:13468;width:3240;height:752">
              <v:textbox style="mso-next-textbox:#_x0000_s1034">
                <w:txbxContent>
                  <w:p w:rsidR="00887D92" w:rsidRPr="00A51645" w:rsidRDefault="00887D92" w:rsidP="00334E5C">
                    <w:pPr>
                      <w:spacing w:after="0" w:line="240" w:lineRule="auto"/>
                      <w:jc w:val="both"/>
                      <w:rPr>
                        <w:rFonts w:ascii="Arial Narrow" w:eastAsia="Times New Roman" w:hAnsi="Arial Narrow"/>
                        <w:sz w:val="16"/>
                        <w:szCs w:val="16"/>
                      </w:rPr>
                    </w:pPr>
                    <w:r>
                      <w:rPr>
                        <w:rFonts w:ascii="Arial Narrow" w:eastAsia="Times New Roman" w:hAnsi="Arial Narrow"/>
                        <w:sz w:val="16"/>
                        <w:szCs w:val="16"/>
                      </w:rPr>
                      <w:t>Financing impact arising from delay in full settlement of actual UAFG position - 26 months (14 months after deemed position re-set)</w:t>
                    </w:r>
                  </w:p>
                  <w:p w:rsidR="00887D92" w:rsidRDefault="00887D92" w:rsidP="00334E5C">
                    <w:pPr>
                      <w:spacing w:after="0" w:line="240" w:lineRule="auto"/>
                      <w:ind w:left="567"/>
                      <w:jc w:val="both"/>
                      <w:rPr>
                        <w:rFonts w:ascii="Arial Narrow" w:eastAsia="Times New Roman" w:hAnsi="Arial Narrow"/>
                        <w:sz w:val="24"/>
                        <w:szCs w:val="24"/>
                      </w:rPr>
                    </w:pPr>
                  </w:p>
                  <w:p w:rsidR="00887D92" w:rsidRPr="000E6E93" w:rsidRDefault="00887D92" w:rsidP="00334E5C">
                    <w:pPr>
                      <w:ind w:left="567"/>
                      <w:jc w:val="both"/>
                      <w:rPr>
                        <w:rFonts w:ascii="Arial Narrow" w:hAnsi="Arial Narrow"/>
                      </w:rPr>
                    </w:pPr>
                  </w:p>
                </w:txbxContent>
              </v:textbox>
            </v:shape>
          </v:group>
        </w:pict>
      </w:r>
      <w:r w:rsidR="00E75F3C">
        <w:rPr>
          <w:rFonts w:ascii="Arial Narrow" w:hAnsi="Arial Narrow"/>
          <w:noProof/>
          <w:sz w:val="24"/>
          <w:szCs w:val="24"/>
          <w:lang w:eastAsia="en-AU"/>
        </w:rPr>
        <w:drawing>
          <wp:inline distT="0" distB="0" distL="0" distR="0">
            <wp:extent cx="5095875" cy="27051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095875" cy="2705100"/>
                    </a:xfrm>
                    <a:prstGeom prst="rect">
                      <a:avLst/>
                    </a:prstGeom>
                    <a:noFill/>
                    <a:ln w="9525">
                      <a:noFill/>
                      <a:miter lim="800000"/>
                      <a:headEnd/>
                      <a:tailEnd/>
                    </a:ln>
                  </pic:spPr>
                </pic:pic>
              </a:graphicData>
            </a:graphic>
          </wp:inline>
        </w:drawing>
      </w:r>
    </w:p>
    <w:p w:rsidR="00334E5C" w:rsidRPr="0028766C" w:rsidRDefault="00334E5C" w:rsidP="000C2FAE">
      <w:pPr>
        <w:spacing w:after="0" w:line="240" w:lineRule="auto"/>
        <w:ind w:left="567"/>
        <w:rPr>
          <w:rFonts w:ascii="Arial Narrow" w:eastAsia="Times New Roman" w:hAnsi="Arial Narrow"/>
          <w:sz w:val="24"/>
          <w:szCs w:val="24"/>
        </w:rPr>
      </w:pPr>
    </w:p>
    <w:p w:rsidR="00A936E6" w:rsidRPr="0028766C" w:rsidRDefault="00A936E6" w:rsidP="000C2FAE">
      <w:pPr>
        <w:spacing w:after="0" w:line="240" w:lineRule="auto"/>
        <w:ind w:left="567"/>
        <w:jc w:val="both"/>
        <w:rPr>
          <w:rFonts w:ascii="Arial Narrow" w:eastAsia="Times New Roman" w:hAnsi="Arial Narrow"/>
          <w:sz w:val="24"/>
          <w:szCs w:val="24"/>
        </w:rPr>
      </w:pPr>
    </w:p>
    <w:p w:rsidR="00A936E6" w:rsidRPr="0028766C" w:rsidRDefault="00A936E6" w:rsidP="000C2FAE">
      <w:pPr>
        <w:spacing w:after="0" w:line="240" w:lineRule="auto"/>
        <w:ind w:left="567"/>
        <w:jc w:val="both"/>
        <w:rPr>
          <w:rFonts w:ascii="Arial Narrow" w:eastAsia="Times New Roman" w:hAnsi="Arial Narrow"/>
          <w:sz w:val="24"/>
          <w:szCs w:val="24"/>
        </w:rPr>
      </w:pPr>
    </w:p>
    <w:p w:rsidR="00A936E6" w:rsidRPr="0028766C" w:rsidRDefault="00A936E6" w:rsidP="000C2FAE">
      <w:pPr>
        <w:spacing w:after="0" w:line="240" w:lineRule="auto"/>
        <w:ind w:left="567"/>
        <w:jc w:val="both"/>
        <w:rPr>
          <w:rFonts w:ascii="Arial Narrow" w:eastAsia="Times New Roman" w:hAnsi="Arial Narrow"/>
          <w:sz w:val="24"/>
          <w:szCs w:val="24"/>
        </w:rPr>
      </w:pPr>
    </w:p>
    <w:p w:rsidR="002722F7" w:rsidRDefault="002722F7" w:rsidP="008D76EB">
      <w:pPr>
        <w:spacing w:after="0" w:line="240" w:lineRule="auto"/>
        <w:jc w:val="both"/>
        <w:rPr>
          <w:rFonts w:ascii="Arial Narrow" w:eastAsia="Times New Roman" w:hAnsi="Arial Narrow"/>
          <w:sz w:val="24"/>
          <w:szCs w:val="24"/>
        </w:rPr>
      </w:pPr>
    </w:p>
    <w:p w:rsidR="002722F7" w:rsidRDefault="002722F7" w:rsidP="008D76EB">
      <w:pPr>
        <w:spacing w:after="0" w:line="240" w:lineRule="auto"/>
        <w:jc w:val="both"/>
        <w:rPr>
          <w:rFonts w:ascii="Arial Narrow" w:eastAsia="Times New Roman" w:hAnsi="Arial Narrow"/>
          <w:sz w:val="24"/>
          <w:szCs w:val="24"/>
        </w:rPr>
      </w:pPr>
    </w:p>
    <w:p w:rsidR="00334E5C" w:rsidRPr="0028766C" w:rsidRDefault="00334E5C" w:rsidP="008D76EB">
      <w:pPr>
        <w:spacing w:after="0" w:line="240" w:lineRule="auto"/>
        <w:jc w:val="both"/>
        <w:rPr>
          <w:rFonts w:ascii="Arial Narrow" w:eastAsia="Times New Roman" w:hAnsi="Arial Narrow"/>
          <w:sz w:val="24"/>
          <w:szCs w:val="24"/>
        </w:rPr>
      </w:pPr>
      <w:r w:rsidRPr="0028766C">
        <w:rPr>
          <w:rFonts w:ascii="Arial Narrow" w:eastAsia="Times New Roman" w:hAnsi="Arial Narrow"/>
          <w:sz w:val="24"/>
          <w:szCs w:val="24"/>
        </w:rPr>
        <w:t>In its cost forecast, Envestra has assumed a 12-month time lag in lieu of the 26-month time lag. This overstates the benefit to Envestra, and therefore represents an under-recovery of costs. However, given that Envestra has historically used this assumption and based its submission on this parameter, Envestra does not seek an amendment in this respect.</w:t>
      </w:r>
    </w:p>
    <w:p w:rsidR="00A936E6" w:rsidRPr="0028766C" w:rsidRDefault="00A936E6" w:rsidP="000C2FAE">
      <w:pPr>
        <w:spacing w:after="0" w:line="240" w:lineRule="auto"/>
        <w:ind w:left="567"/>
        <w:jc w:val="both"/>
        <w:rPr>
          <w:rFonts w:ascii="Arial Narrow" w:eastAsia="Times New Roman" w:hAnsi="Arial Narrow"/>
          <w:sz w:val="24"/>
          <w:szCs w:val="24"/>
        </w:rPr>
      </w:pPr>
    </w:p>
    <w:p w:rsidR="00500149" w:rsidRPr="0028766C" w:rsidRDefault="00500149" w:rsidP="005A56C2">
      <w:pPr>
        <w:pStyle w:val="Heading2"/>
      </w:pPr>
      <w:r w:rsidRPr="0028766C">
        <w:t>Summary</w:t>
      </w:r>
    </w:p>
    <w:p w:rsidR="00551296" w:rsidRPr="0028766C" w:rsidRDefault="00551296" w:rsidP="000C2FAE">
      <w:pPr>
        <w:spacing w:after="0" w:line="240" w:lineRule="auto"/>
        <w:ind w:left="567"/>
        <w:jc w:val="both"/>
        <w:rPr>
          <w:rFonts w:ascii="Arial Narrow" w:eastAsia="Times New Roman" w:hAnsi="Arial Narrow"/>
          <w:sz w:val="24"/>
          <w:szCs w:val="24"/>
        </w:rPr>
      </w:pPr>
    </w:p>
    <w:p w:rsidR="00551296" w:rsidRPr="0028766C" w:rsidRDefault="00551296" w:rsidP="00593A36">
      <w:pPr>
        <w:pStyle w:val="AERbodytext"/>
        <w:spacing w:after="0"/>
        <w:jc w:val="both"/>
        <w:rPr>
          <w:rFonts w:ascii="Arial Narrow" w:hAnsi="Arial Narrow"/>
        </w:rPr>
      </w:pPr>
      <w:r w:rsidRPr="0028766C">
        <w:rPr>
          <w:rFonts w:ascii="Arial Narrow" w:hAnsi="Arial Narrow"/>
        </w:rPr>
        <w:t xml:space="preserve">The level of UAFG forecast by WC and adopted by the AER is based on </w:t>
      </w:r>
      <w:r w:rsidR="00C9409C" w:rsidRPr="0028766C">
        <w:rPr>
          <w:rFonts w:ascii="Arial Narrow" w:hAnsi="Arial Narrow"/>
        </w:rPr>
        <w:t xml:space="preserve">an assumed </w:t>
      </w:r>
      <w:r w:rsidRPr="0028766C">
        <w:rPr>
          <w:rFonts w:ascii="Arial Narrow" w:hAnsi="Arial Narrow"/>
        </w:rPr>
        <w:t>methodology</w:t>
      </w:r>
      <w:r w:rsidR="00C9409C" w:rsidRPr="0028766C">
        <w:rPr>
          <w:rFonts w:ascii="Arial Narrow" w:hAnsi="Arial Narrow"/>
        </w:rPr>
        <w:t xml:space="preserve"> that is not </w:t>
      </w:r>
      <w:r w:rsidR="00E0381B" w:rsidRPr="0028766C">
        <w:rPr>
          <w:rFonts w:ascii="Arial Narrow" w:hAnsi="Arial Narrow"/>
        </w:rPr>
        <w:t>consistent with</w:t>
      </w:r>
      <w:r w:rsidR="00C9409C" w:rsidRPr="0028766C">
        <w:rPr>
          <w:rFonts w:ascii="Arial Narrow" w:hAnsi="Arial Narrow"/>
        </w:rPr>
        <w:t xml:space="preserve"> the commercial settlement of UAFG, and which therefore does not result in an estimate that reflects the forecast cost of UAFG gas for the network. </w:t>
      </w:r>
      <w:r w:rsidR="00E0381B" w:rsidRPr="0028766C">
        <w:rPr>
          <w:rFonts w:ascii="Arial Narrow" w:hAnsi="Arial Narrow"/>
        </w:rPr>
        <w:t xml:space="preserve">The AER decision on this matter therefore </w:t>
      </w:r>
      <w:r w:rsidR="00C9409C" w:rsidRPr="0028766C">
        <w:rPr>
          <w:rFonts w:ascii="Arial Narrow" w:hAnsi="Arial Narrow"/>
        </w:rPr>
        <w:t>does not</w:t>
      </w:r>
      <w:r w:rsidRPr="0028766C">
        <w:rPr>
          <w:rFonts w:ascii="Arial Narrow" w:hAnsi="Arial Narrow"/>
        </w:rPr>
        <w:t xml:space="preserve"> comply with rules 74 and 91</w:t>
      </w:r>
      <w:r w:rsidR="00E0381B" w:rsidRPr="0028766C">
        <w:rPr>
          <w:rFonts w:ascii="Arial Narrow" w:hAnsi="Arial Narrow"/>
        </w:rPr>
        <w:t xml:space="preserve"> of the NGR</w:t>
      </w:r>
      <w:r w:rsidRPr="0028766C">
        <w:rPr>
          <w:rFonts w:ascii="Arial Narrow" w:hAnsi="Arial Narrow"/>
        </w:rPr>
        <w:t xml:space="preserve">. Envestra </w:t>
      </w:r>
      <w:r w:rsidR="0026287E" w:rsidRPr="0028766C">
        <w:rPr>
          <w:rFonts w:ascii="Arial Narrow" w:hAnsi="Arial Narrow"/>
        </w:rPr>
        <w:t>maintains that</w:t>
      </w:r>
      <w:r w:rsidR="00802CCD" w:rsidRPr="0028766C">
        <w:rPr>
          <w:rFonts w:ascii="Arial Narrow" w:hAnsi="Arial Narrow"/>
        </w:rPr>
        <w:t xml:space="preserve"> (in the original submission)</w:t>
      </w:r>
      <w:r w:rsidR="0026287E" w:rsidRPr="0028766C">
        <w:rPr>
          <w:rFonts w:ascii="Arial Narrow" w:hAnsi="Arial Narrow"/>
        </w:rPr>
        <w:t xml:space="preserve"> it </w:t>
      </w:r>
      <w:r w:rsidRPr="0028766C">
        <w:rPr>
          <w:rFonts w:ascii="Arial Narrow" w:hAnsi="Arial Narrow"/>
        </w:rPr>
        <w:t>has forecast the level of UAFG on a sound basis</w:t>
      </w:r>
      <w:r w:rsidR="00E0381B" w:rsidRPr="0028766C">
        <w:rPr>
          <w:rFonts w:ascii="Arial Narrow" w:hAnsi="Arial Narrow"/>
        </w:rPr>
        <w:t xml:space="preserve"> and in a manner that is</w:t>
      </w:r>
      <w:r w:rsidRPr="0028766C">
        <w:rPr>
          <w:rFonts w:ascii="Arial Narrow" w:hAnsi="Arial Narrow"/>
        </w:rPr>
        <w:t xml:space="preserve"> compliant with the rules. </w:t>
      </w:r>
    </w:p>
    <w:p w:rsidR="00A936E6" w:rsidRPr="0028766C" w:rsidRDefault="00A936E6" w:rsidP="000C2FAE">
      <w:pPr>
        <w:pStyle w:val="AERbodytext"/>
        <w:spacing w:after="0"/>
        <w:ind w:left="567"/>
        <w:jc w:val="both"/>
        <w:rPr>
          <w:rFonts w:ascii="Arial Narrow" w:hAnsi="Arial Narrow"/>
        </w:rPr>
      </w:pPr>
    </w:p>
    <w:p w:rsidR="00551296" w:rsidRPr="0028766C" w:rsidRDefault="00551296" w:rsidP="000C2FAE">
      <w:pPr>
        <w:pStyle w:val="Heading1"/>
        <w:spacing w:before="0" w:line="240" w:lineRule="auto"/>
        <w:jc w:val="both"/>
        <w:rPr>
          <w:szCs w:val="24"/>
        </w:rPr>
      </w:pPr>
      <w:r w:rsidRPr="0028766C">
        <w:rPr>
          <w:szCs w:val="24"/>
        </w:rPr>
        <w:t xml:space="preserve">Insurance Premiums Real Increases </w:t>
      </w:r>
    </w:p>
    <w:p w:rsidR="00E0381B" w:rsidRPr="0028766C" w:rsidRDefault="00E0381B" w:rsidP="000C2FAE">
      <w:pPr>
        <w:spacing w:after="0" w:line="240" w:lineRule="auto"/>
        <w:rPr>
          <w:rFonts w:ascii="Arial Narrow" w:hAnsi="Arial Narrow"/>
          <w:sz w:val="24"/>
          <w:szCs w:val="24"/>
        </w:rPr>
      </w:pPr>
    </w:p>
    <w:p w:rsidR="00500149" w:rsidRPr="0028766C" w:rsidRDefault="00E0381B" w:rsidP="005A56C2">
      <w:pPr>
        <w:pStyle w:val="Heading2"/>
      </w:pPr>
      <w:r w:rsidRPr="0028766C">
        <w:t xml:space="preserve">AER </w:t>
      </w:r>
      <w:r w:rsidR="00500149" w:rsidRPr="0028766C">
        <w:t>Draft Decision</w:t>
      </w:r>
    </w:p>
    <w:p w:rsidR="00500149" w:rsidRPr="0028766C" w:rsidRDefault="00500149" w:rsidP="000C2FAE">
      <w:pPr>
        <w:pStyle w:val="AERbodytext"/>
        <w:spacing w:after="0"/>
        <w:jc w:val="both"/>
        <w:rPr>
          <w:rFonts w:ascii="Arial Narrow" w:hAnsi="Arial Narrow"/>
          <w:b/>
        </w:rPr>
      </w:pPr>
    </w:p>
    <w:p w:rsidR="00004262" w:rsidRDefault="00004262" w:rsidP="00593A36">
      <w:pPr>
        <w:pStyle w:val="AERbodytext"/>
        <w:spacing w:after="0"/>
        <w:jc w:val="both"/>
        <w:rPr>
          <w:rFonts w:ascii="Arial Narrow" w:hAnsi="Arial Narrow"/>
        </w:rPr>
      </w:pPr>
      <w:r w:rsidRPr="0028766C">
        <w:rPr>
          <w:rFonts w:ascii="Arial Narrow" w:hAnsi="Arial Narrow"/>
        </w:rPr>
        <w:t xml:space="preserve">The AER rejected </w:t>
      </w:r>
      <w:proofErr w:type="spellStart"/>
      <w:r w:rsidRPr="0028766C">
        <w:rPr>
          <w:rFonts w:ascii="Arial Narrow" w:hAnsi="Arial Narrow"/>
        </w:rPr>
        <w:t>Envestra’s</w:t>
      </w:r>
      <w:proofErr w:type="spellEnd"/>
      <w:r w:rsidRPr="0028766C">
        <w:rPr>
          <w:rFonts w:ascii="Arial Narrow" w:hAnsi="Arial Narrow"/>
        </w:rPr>
        <w:t xml:space="preserve"> forecast increases in insurance costs (as provided by the Marsh report (Appendix A to Business Case S62)) because:</w:t>
      </w:r>
    </w:p>
    <w:p w:rsidR="00A54117" w:rsidRPr="0028766C" w:rsidRDefault="00A54117" w:rsidP="000C2FAE">
      <w:pPr>
        <w:pStyle w:val="AERbodytext"/>
        <w:spacing w:after="0"/>
        <w:ind w:left="576"/>
        <w:jc w:val="both"/>
        <w:rPr>
          <w:rFonts w:ascii="Arial Narrow" w:hAnsi="Arial Narrow"/>
        </w:rPr>
      </w:pPr>
    </w:p>
    <w:p w:rsidR="00004262" w:rsidRPr="0028766C" w:rsidRDefault="00004262" w:rsidP="00DE0E00">
      <w:pPr>
        <w:pStyle w:val="AERbodytext"/>
        <w:numPr>
          <w:ilvl w:val="0"/>
          <w:numId w:val="12"/>
        </w:numPr>
        <w:tabs>
          <w:tab w:val="left" w:pos="426"/>
        </w:tabs>
        <w:spacing w:after="0"/>
        <w:ind w:left="426" w:hanging="426"/>
        <w:jc w:val="both"/>
        <w:rPr>
          <w:rFonts w:ascii="Arial Narrow" w:hAnsi="Arial Narrow"/>
        </w:rPr>
      </w:pPr>
      <w:r w:rsidRPr="0028766C">
        <w:rPr>
          <w:rFonts w:ascii="Arial Narrow" w:hAnsi="Arial Narrow"/>
        </w:rPr>
        <w:t>the AER considered that the Marsh report did not demonstrate a sufficient correlation  between the general forecasting assumptions and the year by year forecast market cycle premiums for insurance;</w:t>
      </w:r>
    </w:p>
    <w:p w:rsidR="00004262" w:rsidRPr="0028766C" w:rsidRDefault="00004262" w:rsidP="00DE0E00">
      <w:pPr>
        <w:pStyle w:val="AERbodytext"/>
        <w:numPr>
          <w:ilvl w:val="0"/>
          <w:numId w:val="12"/>
        </w:numPr>
        <w:tabs>
          <w:tab w:val="left" w:pos="426"/>
        </w:tabs>
        <w:spacing w:after="0"/>
        <w:ind w:left="426" w:hanging="426"/>
        <w:jc w:val="both"/>
        <w:rPr>
          <w:rFonts w:ascii="Arial Narrow" w:hAnsi="Arial Narrow"/>
        </w:rPr>
      </w:pPr>
      <w:r w:rsidRPr="0028766C">
        <w:rPr>
          <w:rFonts w:ascii="Arial Narrow" w:hAnsi="Arial Narrow"/>
        </w:rPr>
        <w:t>the AER considered that the historical trends in property insurance prices did not support the forward looking forecast;</w:t>
      </w:r>
    </w:p>
    <w:p w:rsidR="00004262" w:rsidRPr="0028766C" w:rsidRDefault="00004262" w:rsidP="00DE0E00">
      <w:pPr>
        <w:pStyle w:val="AERbodytext"/>
        <w:numPr>
          <w:ilvl w:val="0"/>
          <w:numId w:val="12"/>
        </w:numPr>
        <w:tabs>
          <w:tab w:val="left" w:pos="426"/>
        </w:tabs>
        <w:spacing w:after="0"/>
        <w:ind w:left="426" w:hanging="426"/>
        <w:jc w:val="both"/>
        <w:rPr>
          <w:rFonts w:ascii="Arial Narrow" w:hAnsi="Arial Narrow"/>
        </w:rPr>
      </w:pPr>
      <w:r w:rsidRPr="0028766C">
        <w:rPr>
          <w:rFonts w:ascii="Arial Narrow" w:hAnsi="Arial Narrow"/>
        </w:rPr>
        <w:t>no supporting information was provided in relation to the market cycle premium forecasts for directors and officers insurance; and</w:t>
      </w:r>
    </w:p>
    <w:p w:rsidR="00004262" w:rsidRPr="0028766C" w:rsidRDefault="00004262" w:rsidP="00DE0E00">
      <w:pPr>
        <w:pStyle w:val="AERbodytext"/>
        <w:numPr>
          <w:ilvl w:val="0"/>
          <w:numId w:val="12"/>
        </w:numPr>
        <w:tabs>
          <w:tab w:val="left" w:pos="426"/>
        </w:tabs>
        <w:spacing w:after="0"/>
        <w:ind w:left="426" w:hanging="426"/>
        <w:jc w:val="both"/>
        <w:rPr>
          <w:rFonts w:ascii="Arial Narrow" w:hAnsi="Arial Narrow"/>
        </w:rPr>
      </w:pPr>
      <w:r w:rsidRPr="0028766C">
        <w:rPr>
          <w:rFonts w:ascii="Arial Narrow" w:hAnsi="Arial Narrow"/>
        </w:rPr>
        <w:t>in relation to public liability insurance, the AER believed there was insufficient detail to reconcile a forecast short term flat market with annual increases of 10%.</w:t>
      </w:r>
    </w:p>
    <w:p w:rsidR="00004262" w:rsidRPr="0028766C" w:rsidRDefault="00004262" w:rsidP="000C2FAE">
      <w:pPr>
        <w:pStyle w:val="AERbodytext"/>
        <w:spacing w:after="0"/>
        <w:ind w:left="576"/>
        <w:jc w:val="both"/>
        <w:rPr>
          <w:rFonts w:ascii="Arial Narrow" w:hAnsi="Arial Narrow"/>
          <w:b/>
        </w:rPr>
      </w:pPr>
    </w:p>
    <w:p w:rsidR="00004262" w:rsidRPr="0028766C" w:rsidRDefault="00004262" w:rsidP="005A56C2">
      <w:pPr>
        <w:pStyle w:val="Heading2"/>
      </w:pPr>
      <w:r w:rsidRPr="0028766C">
        <w:lastRenderedPageBreak/>
        <w:t>Envestra Response</w:t>
      </w:r>
    </w:p>
    <w:p w:rsidR="00004262" w:rsidRPr="005D4B28" w:rsidRDefault="00004262" w:rsidP="000C2FAE">
      <w:pPr>
        <w:pStyle w:val="AERbodytext"/>
        <w:spacing w:after="0"/>
        <w:ind w:left="576"/>
        <w:jc w:val="both"/>
        <w:rPr>
          <w:rFonts w:ascii="Arial Narrow" w:hAnsi="Arial Narrow"/>
          <w:b/>
          <w:sz w:val="22"/>
          <w:szCs w:val="22"/>
        </w:rPr>
      </w:pPr>
    </w:p>
    <w:p w:rsidR="00004262" w:rsidRDefault="00004262" w:rsidP="00593A36">
      <w:pPr>
        <w:pStyle w:val="AERbodytext"/>
        <w:spacing w:after="0"/>
        <w:jc w:val="both"/>
        <w:rPr>
          <w:rFonts w:ascii="Arial Narrow" w:hAnsi="Arial Narrow"/>
        </w:rPr>
      </w:pPr>
      <w:r w:rsidRPr="0028766C">
        <w:rPr>
          <w:rFonts w:ascii="Arial Narrow" w:hAnsi="Arial Narrow"/>
        </w:rPr>
        <w:t xml:space="preserve">Envestra re-engaged its insurance broker, Marsh (Marsh Pty Ltd), to address the AER’s issues. In their report to Envestra (see </w:t>
      </w:r>
      <w:r w:rsidR="0042176A" w:rsidRPr="0028766C">
        <w:rPr>
          <w:rFonts w:ascii="Arial Narrow" w:hAnsi="Arial Narrow"/>
        </w:rPr>
        <w:t>A</w:t>
      </w:r>
      <w:r w:rsidRPr="0028766C">
        <w:rPr>
          <w:rFonts w:ascii="Arial Narrow" w:hAnsi="Arial Narrow"/>
        </w:rPr>
        <w:t xml:space="preserve">ttachment </w:t>
      </w:r>
      <w:r w:rsidR="0042176A" w:rsidRPr="0028766C">
        <w:rPr>
          <w:rFonts w:ascii="Arial Narrow" w:hAnsi="Arial Narrow"/>
        </w:rPr>
        <w:t>6-12</w:t>
      </w:r>
      <w:r w:rsidRPr="0028766C">
        <w:rPr>
          <w:rFonts w:ascii="Arial Narrow" w:hAnsi="Arial Narrow"/>
        </w:rPr>
        <w:t xml:space="preserve">), Marsh explain their forecasting methodology and where they believe </w:t>
      </w:r>
      <w:smartTag w:uri="urn:schemas-microsoft-com:office:smarttags" w:element="place">
        <w:smartTag w:uri="urn:schemas-microsoft-com:office:smarttags" w:element="country-region">
          <w:r w:rsidRPr="0028766C">
            <w:rPr>
              <w:rFonts w:ascii="Arial Narrow" w:hAnsi="Arial Narrow"/>
            </w:rPr>
            <w:t>Australia</w:t>
          </w:r>
        </w:smartTag>
      </w:smartTag>
      <w:r w:rsidRPr="0028766C">
        <w:rPr>
          <w:rFonts w:ascii="Arial Narrow" w:hAnsi="Arial Narrow"/>
        </w:rPr>
        <w:t>, and hence Envestra, currently lie in the insurance “market cycle”.</w:t>
      </w:r>
    </w:p>
    <w:p w:rsidR="002F650C" w:rsidRPr="005D4B28" w:rsidRDefault="002F650C" w:rsidP="00593A36">
      <w:pPr>
        <w:pStyle w:val="AERbodytext"/>
        <w:spacing w:after="0"/>
        <w:jc w:val="both"/>
        <w:rPr>
          <w:rFonts w:ascii="Arial Narrow" w:hAnsi="Arial Narrow"/>
          <w:sz w:val="22"/>
          <w:szCs w:val="22"/>
        </w:rPr>
      </w:pPr>
    </w:p>
    <w:p w:rsidR="00004262" w:rsidRDefault="00004262" w:rsidP="00593A36">
      <w:pPr>
        <w:pStyle w:val="AERbodytext"/>
        <w:spacing w:after="0"/>
        <w:jc w:val="both"/>
        <w:rPr>
          <w:rFonts w:ascii="Arial Narrow" w:hAnsi="Arial Narrow"/>
        </w:rPr>
      </w:pPr>
      <w:r w:rsidRPr="0028766C">
        <w:rPr>
          <w:rFonts w:ascii="Arial Narrow" w:hAnsi="Arial Narrow"/>
        </w:rPr>
        <w:t>Additionally, they provide updated forecasts for real increases in insurance premiums as a result of the following major factors since their first report in August 2010, namely:</w:t>
      </w:r>
    </w:p>
    <w:p w:rsidR="002F650C" w:rsidRPr="005D4B28" w:rsidRDefault="002F650C" w:rsidP="000C2FAE">
      <w:pPr>
        <w:pStyle w:val="AERbodytext"/>
        <w:spacing w:after="0"/>
        <w:ind w:left="576"/>
        <w:jc w:val="both"/>
        <w:rPr>
          <w:rFonts w:ascii="Arial Narrow" w:hAnsi="Arial Narrow"/>
          <w:sz w:val="22"/>
          <w:szCs w:val="22"/>
        </w:rPr>
      </w:pPr>
    </w:p>
    <w:p w:rsidR="00004262" w:rsidRPr="0028766C" w:rsidRDefault="00004262" w:rsidP="00DE0E00">
      <w:pPr>
        <w:numPr>
          <w:ilvl w:val="0"/>
          <w:numId w:val="20"/>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the flooding in </w:t>
      </w:r>
      <w:smartTag w:uri="urn:schemas-microsoft-com:office:smarttags" w:element="State">
        <w:r w:rsidRPr="0028766C">
          <w:rPr>
            <w:rFonts w:ascii="Arial Narrow" w:eastAsia="Times New Roman" w:hAnsi="Arial Narrow"/>
            <w:sz w:val="24"/>
            <w:szCs w:val="24"/>
          </w:rPr>
          <w:t>Queensland</w:t>
        </w:r>
      </w:smartTag>
      <w:r w:rsidRPr="0028766C">
        <w:rPr>
          <w:rFonts w:ascii="Arial Narrow" w:eastAsia="Times New Roman" w:hAnsi="Arial Narrow"/>
          <w:sz w:val="24"/>
          <w:szCs w:val="24"/>
        </w:rPr>
        <w:t xml:space="preserve"> and </w:t>
      </w:r>
      <w:smartTag w:uri="urn:schemas-microsoft-com:office:smarttags" w:element="place">
        <w:smartTag w:uri="urn:schemas-microsoft-com:office:smarttags" w:element="State">
          <w:r w:rsidRPr="0028766C">
            <w:rPr>
              <w:rFonts w:ascii="Arial Narrow" w:eastAsia="Times New Roman" w:hAnsi="Arial Narrow"/>
              <w:sz w:val="24"/>
              <w:szCs w:val="24"/>
            </w:rPr>
            <w:t>Victoria</w:t>
          </w:r>
        </w:smartTag>
      </w:smartTag>
      <w:r w:rsidRPr="0028766C">
        <w:rPr>
          <w:rFonts w:ascii="Arial Narrow" w:eastAsia="Times New Roman" w:hAnsi="Arial Narrow"/>
          <w:sz w:val="24"/>
          <w:szCs w:val="24"/>
        </w:rPr>
        <w:t>;</w:t>
      </w:r>
    </w:p>
    <w:p w:rsidR="00004262" w:rsidRPr="0028766C" w:rsidRDefault="00004262" w:rsidP="00DE0E00">
      <w:pPr>
        <w:numPr>
          <w:ilvl w:val="0"/>
          <w:numId w:val="20"/>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the fires in Gippsland and </w:t>
      </w:r>
      <w:smartTag w:uri="urn:schemas-microsoft-com:office:smarttags" w:element="place">
        <w:smartTag w:uri="urn:schemas-microsoft-com:office:smarttags" w:element="City">
          <w:r w:rsidRPr="0028766C">
            <w:rPr>
              <w:rFonts w:ascii="Arial Narrow" w:eastAsia="Times New Roman" w:hAnsi="Arial Narrow"/>
              <w:sz w:val="24"/>
              <w:szCs w:val="24"/>
            </w:rPr>
            <w:t>Perth</w:t>
          </w:r>
        </w:smartTag>
      </w:smartTag>
      <w:r w:rsidRPr="0028766C">
        <w:rPr>
          <w:rFonts w:ascii="Arial Narrow" w:eastAsia="Times New Roman" w:hAnsi="Arial Narrow"/>
          <w:sz w:val="24"/>
          <w:szCs w:val="24"/>
        </w:rPr>
        <w:t>;</w:t>
      </w:r>
    </w:p>
    <w:p w:rsidR="00004262" w:rsidRPr="0028766C" w:rsidRDefault="00004262" w:rsidP="00DE0E00">
      <w:pPr>
        <w:numPr>
          <w:ilvl w:val="0"/>
          <w:numId w:val="20"/>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cyclones in </w:t>
      </w:r>
      <w:smartTag w:uri="urn:schemas-microsoft-com:office:smarttags" w:element="City">
        <w:r w:rsidRPr="0028766C">
          <w:rPr>
            <w:rFonts w:ascii="Arial Narrow" w:eastAsia="Times New Roman" w:hAnsi="Arial Narrow"/>
            <w:sz w:val="24"/>
            <w:szCs w:val="24"/>
          </w:rPr>
          <w:t>Darwin</w:t>
        </w:r>
      </w:smartTag>
      <w:r w:rsidRPr="0028766C">
        <w:rPr>
          <w:rFonts w:ascii="Arial Narrow" w:eastAsia="Times New Roman" w:hAnsi="Arial Narrow"/>
          <w:sz w:val="24"/>
          <w:szCs w:val="24"/>
        </w:rPr>
        <w:t xml:space="preserve">, North Western Australia and </w:t>
      </w:r>
      <w:smartTag w:uri="urn:schemas-microsoft-com:office:smarttags" w:element="place">
        <w:r w:rsidRPr="0028766C">
          <w:rPr>
            <w:rFonts w:ascii="Arial Narrow" w:eastAsia="Times New Roman" w:hAnsi="Arial Narrow"/>
            <w:sz w:val="24"/>
            <w:szCs w:val="24"/>
          </w:rPr>
          <w:t>Northern Queensland</w:t>
        </w:r>
      </w:smartTag>
      <w:r w:rsidRPr="0028766C">
        <w:rPr>
          <w:rFonts w:ascii="Arial Narrow" w:eastAsia="Times New Roman" w:hAnsi="Arial Narrow"/>
          <w:sz w:val="24"/>
          <w:szCs w:val="24"/>
        </w:rPr>
        <w:t>;</w:t>
      </w:r>
    </w:p>
    <w:p w:rsidR="00004262" w:rsidRPr="0028766C" w:rsidRDefault="00004262" w:rsidP="00DE0E00">
      <w:pPr>
        <w:numPr>
          <w:ilvl w:val="0"/>
          <w:numId w:val="20"/>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the earthquake in </w:t>
      </w:r>
      <w:smartTag w:uri="urn:schemas-microsoft-com:office:smarttags" w:element="place">
        <w:smartTag w:uri="urn:schemas-microsoft-com:office:smarttags" w:element="City">
          <w:r w:rsidRPr="0028766C">
            <w:rPr>
              <w:rFonts w:ascii="Arial Narrow" w:eastAsia="Times New Roman" w:hAnsi="Arial Narrow"/>
              <w:sz w:val="24"/>
              <w:szCs w:val="24"/>
            </w:rPr>
            <w:t>Christchurch</w:t>
          </w:r>
        </w:smartTag>
      </w:smartTag>
      <w:r w:rsidRPr="0028766C">
        <w:rPr>
          <w:rFonts w:ascii="Arial Narrow" w:eastAsia="Times New Roman" w:hAnsi="Arial Narrow"/>
          <w:sz w:val="24"/>
          <w:szCs w:val="24"/>
        </w:rPr>
        <w:t xml:space="preserve">; and </w:t>
      </w:r>
    </w:p>
    <w:p w:rsidR="00004262" w:rsidRPr="0028766C" w:rsidRDefault="00004262" w:rsidP="00DE0E00">
      <w:pPr>
        <w:numPr>
          <w:ilvl w:val="0"/>
          <w:numId w:val="20"/>
        </w:numPr>
        <w:tabs>
          <w:tab w:val="left" w:pos="426"/>
        </w:tabs>
        <w:spacing w:after="0" w:line="240" w:lineRule="auto"/>
        <w:ind w:left="426" w:hanging="426"/>
        <w:jc w:val="both"/>
        <w:rPr>
          <w:rFonts w:ascii="Arial Narrow" w:eastAsia="Times New Roman" w:hAnsi="Arial Narrow"/>
          <w:sz w:val="24"/>
          <w:szCs w:val="24"/>
        </w:rPr>
      </w:pPr>
      <w:r w:rsidRPr="0028766C">
        <w:rPr>
          <w:rFonts w:ascii="Arial Narrow" w:eastAsia="Times New Roman" w:hAnsi="Arial Narrow"/>
          <w:sz w:val="24"/>
          <w:szCs w:val="24"/>
        </w:rPr>
        <w:t xml:space="preserve">earthquakes, tsunami and nuclear crisis in </w:t>
      </w:r>
      <w:smartTag w:uri="urn:schemas-microsoft-com:office:smarttags" w:element="place">
        <w:smartTag w:uri="urn:schemas-microsoft-com:office:smarttags" w:element="country-region">
          <w:r w:rsidRPr="0028766C">
            <w:rPr>
              <w:rFonts w:ascii="Arial Narrow" w:eastAsia="Times New Roman" w:hAnsi="Arial Narrow"/>
              <w:sz w:val="24"/>
              <w:szCs w:val="24"/>
            </w:rPr>
            <w:t>Japan</w:t>
          </w:r>
        </w:smartTag>
      </w:smartTag>
      <w:r w:rsidRPr="0028766C">
        <w:rPr>
          <w:rFonts w:ascii="Arial Narrow" w:eastAsia="Times New Roman" w:hAnsi="Arial Narrow"/>
          <w:sz w:val="24"/>
          <w:szCs w:val="24"/>
        </w:rPr>
        <w:t>.</w:t>
      </w:r>
    </w:p>
    <w:p w:rsidR="002F650C" w:rsidRPr="005D4B28" w:rsidRDefault="002F650C" w:rsidP="000C2FAE">
      <w:pPr>
        <w:pStyle w:val="AERbodytext"/>
        <w:spacing w:after="0"/>
        <w:ind w:left="576"/>
        <w:jc w:val="both"/>
        <w:rPr>
          <w:rFonts w:ascii="Arial Narrow" w:hAnsi="Arial Narrow"/>
          <w:sz w:val="22"/>
          <w:szCs w:val="22"/>
        </w:rPr>
      </w:pPr>
    </w:p>
    <w:p w:rsidR="00004262" w:rsidRPr="0028766C" w:rsidRDefault="00004262" w:rsidP="00593A36">
      <w:pPr>
        <w:pStyle w:val="AERbodytext"/>
        <w:spacing w:after="0"/>
        <w:jc w:val="both"/>
        <w:rPr>
          <w:rFonts w:ascii="Arial Narrow" w:hAnsi="Arial Narrow"/>
        </w:rPr>
      </w:pPr>
      <w:r w:rsidRPr="0028766C">
        <w:rPr>
          <w:rFonts w:ascii="Arial Narrow" w:hAnsi="Arial Narrow"/>
        </w:rPr>
        <w:t>Details of the resultant forecasts are provided in</w:t>
      </w:r>
      <w:r w:rsidR="007F531D" w:rsidRPr="0028766C">
        <w:rPr>
          <w:rFonts w:ascii="Arial Narrow" w:hAnsi="Arial Narrow"/>
        </w:rPr>
        <w:t xml:space="preserve"> the revised business case,</w:t>
      </w:r>
      <w:r w:rsidRPr="0028766C">
        <w:rPr>
          <w:rFonts w:ascii="Arial Narrow" w:hAnsi="Arial Narrow"/>
        </w:rPr>
        <w:t xml:space="preserve"> Attachment Q62A</w:t>
      </w:r>
      <w:r w:rsidR="001C59B6" w:rsidRPr="0028766C">
        <w:rPr>
          <w:rFonts w:ascii="Arial Narrow" w:hAnsi="Arial Narrow"/>
        </w:rPr>
        <w:t>.</w:t>
      </w:r>
    </w:p>
    <w:p w:rsidR="00A936E6" w:rsidRPr="005D4B28" w:rsidRDefault="00A936E6" w:rsidP="000C2FAE">
      <w:pPr>
        <w:spacing w:after="0" w:line="240" w:lineRule="auto"/>
        <w:rPr>
          <w:rFonts w:ascii="Arial Narrow" w:hAnsi="Arial Narrow"/>
        </w:rPr>
      </w:pPr>
    </w:p>
    <w:p w:rsidR="0004061A" w:rsidRPr="0028766C" w:rsidRDefault="0004061A" w:rsidP="000C2FAE">
      <w:pPr>
        <w:pStyle w:val="Heading1"/>
        <w:spacing w:before="0" w:line="240" w:lineRule="auto"/>
        <w:rPr>
          <w:szCs w:val="24"/>
        </w:rPr>
      </w:pPr>
      <w:r w:rsidRPr="0028766C">
        <w:rPr>
          <w:szCs w:val="24"/>
        </w:rPr>
        <w:t>Business Interrupt</w:t>
      </w:r>
      <w:r w:rsidR="00334E5C" w:rsidRPr="0028766C">
        <w:rPr>
          <w:szCs w:val="24"/>
        </w:rPr>
        <w:t>ion</w:t>
      </w:r>
      <w:r w:rsidRPr="0028766C">
        <w:rPr>
          <w:szCs w:val="24"/>
        </w:rPr>
        <w:t xml:space="preserve"> Insurance</w:t>
      </w:r>
    </w:p>
    <w:p w:rsidR="0004061A" w:rsidRPr="005D4B28" w:rsidRDefault="0004061A" w:rsidP="000C2FAE">
      <w:pPr>
        <w:pStyle w:val="AERbodytext"/>
        <w:spacing w:after="0"/>
        <w:jc w:val="both"/>
        <w:rPr>
          <w:rFonts w:ascii="Arial Narrow" w:hAnsi="Arial Narrow"/>
          <w:b/>
          <w:sz w:val="22"/>
          <w:szCs w:val="22"/>
        </w:rPr>
      </w:pPr>
    </w:p>
    <w:p w:rsidR="002F650C" w:rsidRDefault="00004262" w:rsidP="00593A36">
      <w:pPr>
        <w:spacing w:after="0" w:line="240" w:lineRule="auto"/>
        <w:jc w:val="both"/>
        <w:rPr>
          <w:rFonts w:ascii="Arial Narrow" w:eastAsia="Times New Roman" w:hAnsi="Arial Narrow"/>
          <w:sz w:val="24"/>
          <w:szCs w:val="24"/>
        </w:rPr>
      </w:pPr>
      <w:proofErr w:type="spellStart"/>
      <w:r w:rsidRPr="0028766C">
        <w:rPr>
          <w:rFonts w:ascii="Arial Narrow" w:eastAsia="Times New Roman" w:hAnsi="Arial Narrow"/>
          <w:sz w:val="24"/>
          <w:szCs w:val="24"/>
        </w:rPr>
        <w:t>Envestra’s</w:t>
      </w:r>
      <w:proofErr w:type="spellEnd"/>
      <w:r w:rsidRPr="0028766C">
        <w:rPr>
          <w:rFonts w:ascii="Arial Narrow" w:eastAsia="Times New Roman" w:hAnsi="Arial Narrow"/>
          <w:sz w:val="24"/>
          <w:szCs w:val="24"/>
        </w:rPr>
        <w:t xml:space="preserve"> original AAI proposal was predicated upon the terms and conditions under which it proposed to provide services to network users. In the Draft Decision, Amendments 13.29 and 13.30 require Envestra to amend clauses 27.6 and 27.7 of the General Terms and Conditions so that Network Users have the benefit of the consequential loss exclusion (clause 27.6) and the cap on liability (clause 27.7). </w:t>
      </w:r>
    </w:p>
    <w:p w:rsidR="00004262" w:rsidRPr="005D4B28" w:rsidRDefault="00004262" w:rsidP="000C2FAE">
      <w:pPr>
        <w:spacing w:after="0" w:line="240" w:lineRule="auto"/>
        <w:ind w:left="426"/>
        <w:jc w:val="both"/>
        <w:rPr>
          <w:rFonts w:ascii="Arial Narrow" w:eastAsia="Times New Roman" w:hAnsi="Arial Narrow"/>
        </w:rPr>
      </w:pPr>
      <w:r w:rsidRPr="005D4B28">
        <w:rPr>
          <w:rFonts w:ascii="Arial Narrow" w:eastAsia="Times New Roman" w:hAnsi="Arial Narrow"/>
        </w:rPr>
        <w:t xml:space="preserve"> </w:t>
      </w:r>
    </w:p>
    <w:p w:rsidR="00004262" w:rsidRPr="0028766C" w:rsidRDefault="00004262" w:rsidP="00593A36">
      <w:pPr>
        <w:pStyle w:val="AERbodytext"/>
        <w:spacing w:after="0"/>
        <w:jc w:val="both"/>
        <w:rPr>
          <w:rFonts w:ascii="Arial Narrow" w:hAnsi="Arial Narrow"/>
        </w:rPr>
      </w:pPr>
      <w:r w:rsidRPr="0028766C">
        <w:rPr>
          <w:rFonts w:ascii="Arial Narrow" w:hAnsi="Arial Narrow"/>
        </w:rPr>
        <w:t xml:space="preserve">Envestra does not agree with these amendments, for the reasons detailed in Attachment </w:t>
      </w:r>
      <w:r w:rsidR="0042176A" w:rsidRPr="0028766C">
        <w:rPr>
          <w:rFonts w:ascii="Arial Narrow" w:hAnsi="Arial Narrow"/>
        </w:rPr>
        <w:t>16</w:t>
      </w:r>
      <w:r w:rsidR="007F531D" w:rsidRPr="0028766C">
        <w:rPr>
          <w:rFonts w:ascii="Arial Narrow" w:hAnsi="Arial Narrow"/>
        </w:rPr>
        <w:t>-1</w:t>
      </w:r>
      <w:r w:rsidRPr="0028766C">
        <w:rPr>
          <w:rFonts w:ascii="Arial Narrow" w:hAnsi="Arial Narrow"/>
        </w:rPr>
        <w:t xml:space="preserve"> (</w:t>
      </w:r>
      <w:r w:rsidR="009238F6" w:rsidRPr="0028766C">
        <w:rPr>
          <w:rFonts w:ascii="Arial Narrow" w:hAnsi="Arial Narrow"/>
        </w:rPr>
        <w:t xml:space="preserve">see page 16, </w:t>
      </w:r>
      <w:r w:rsidRPr="0028766C">
        <w:rPr>
          <w:rFonts w:ascii="Arial Narrow" w:hAnsi="Arial Narrow"/>
        </w:rPr>
        <w:t xml:space="preserve">Draft Decision Response: Non-Tariff Components). However, if the amendments were made, it would be necessary for Envestra to carry business interruption insurance to cover itself against business interruption. </w:t>
      </w:r>
    </w:p>
    <w:p w:rsidR="00004262" w:rsidRPr="005D4B28" w:rsidRDefault="00004262" w:rsidP="00593A36">
      <w:pPr>
        <w:pStyle w:val="AERbodytext"/>
        <w:spacing w:after="0"/>
        <w:jc w:val="both"/>
        <w:rPr>
          <w:rFonts w:ascii="Arial Narrow" w:hAnsi="Arial Narrow"/>
          <w:sz w:val="22"/>
          <w:szCs w:val="22"/>
        </w:rPr>
      </w:pPr>
    </w:p>
    <w:p w:rsidR="00004262" w:rsidRPr="0028766C" w:rsidRDefault="00004262" w:rsidP="00593A36">
      <w:pPr>
        <w:pStyle w:val="AERbodytext"/>
        <w:spacing w:after="0"/>
        <w:jc w:val="both"/>
        <w:rPr>
          <w:rFonts w:ascii="Arial Narrow" w:hAnsi="Arial Narrow"/>
        </w:rPr>
      </w:pPr>
      <w:r w:rsidRPr="0028766C">
        <w:rPr>
          <w:rFonts w:ascii="Arial Narrow" w:hAnsi="Arial Narrow"/>
        </w:rPr>
        <w:t xml:space="preserve">Envestra has sought the prudent and efficient cost of insuring for business interruption (see Business Case S62A). This additional cost (as set out in the table below), would arise directly from the AER’s decision if the Draft Decision was to remain unchanged in the Final Decision. The businesses interruption insurance is therefore a cost that would need to be included in the allowed </w:t>
      </w:r>
      <w:proofErr w:type="spellStart"/>
      <w:r w:rsidRPr="0028766C">
        <w:rPr>
          <w:rFonts w:ascii="Arial Narrow" w:hAnsi="Arial Narrow"/>
        </w:rPr>
        <w:t>opex</w:t>
      </w:r>
      <w:proofErr w:type="spellEnd"/>
      <w:r w:rsidRPr="0028766C">
        <w:rPr>
          <w:rFonts w:ascii="Arial Narrow" w:hAnsi="Arial Narrow"/>
        </w:rPr>
        <w:t xml:space="preserve"> for the forecast period.</w:t>
      </w:r>
    </w:p>
    <w:p w:rsidR="004979A6" w:rsidRPr="005D4B28" w:rsidRDefault="004979A6" w:rsidP="000C2FAE">
      <w:pPr>
        <w:pStyle w:val="AERbodytext"/>
        <w:spacing w:after="0"/>
        <w:ind w:left="567"/>
        <w:jc w:val="both"/>
        <w:rPr>
          <w:rFonts w:ascii="Arial Narrow" w:hAnsi="Arial Narrow"/>
          <w:sz w:val="4"/>
          <w:szCs w:val="4"/>
        </w:rPr>
      </w:pPr>
    </w:p>
    <w:tbl>
      <w:tblPr>
        <w:tblpPr w:leftFromText="180" w:rightFromText="180" w:vertAnchor="text" w:horzAnchor="margin" w:tblpX="75" w:tblpY="201"/>
        <w:tblW w:w="8296"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00"/>
      </w:tblPr>
      <w:tblGrid>
        <w:gridCol w:w="1492"/>
        <w:gridCol w:w="1134"/>
        <w:gridCol w:w="1134"/>
        <w:gridCol w:w="1134"/>
        <w:gridCol w:w="1134"/>
        <w:gridCol w:w="1134"/>
        <w:gridCol w:w="1134"/>
      </w:tblGrid>
      <w:tr w:rsidR="00B0516A" w:rsidRPr="0028766C" w:rsidTr="005D4B28">
        <w:trPr>
          <w:trHeight w:val="20"/>
        </w:trPr>
        <w:tc>
          <w:tcPr>
            <w:tcW w:w="8296" w:type="dxa"/>
            <w:gridSpan w:val="7"/>
            <w:shd w:val="clear" w:color="auto" w:fill="548DD4"/>
            <w:noWrap/>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w:t>
            </w:r>
            <w:r w:rsidR="00334E5C" w:rsidRPr="00350C72">
              <w:rPr>
                <w:rFonts w:ascii="Arial Narrow" w:eastAsia="Times New Roman" w:hAnsi="Arial Narrow"/>
                <w:b/>
                <w:color w:val="FFFFFF"/>
                <w:sz w:val="24"/>
                <w:szCs w:val="24"/>
              </w:rPr>
              <w:t>k</w:t>
            </w:r>
            <w:r w:rsidRPr="00350C72">
              <w:rPr>
                <w:rFonts w:ascii="Arial Narrow" w:eastAsia="Times New Roman" w:hAnsi="Arial Narrow"/>
                <w:b/>
                <w:color w:val="FFFFFF"/>
                <w:sz w:val="24"/>
                <w:szCs w:val="24"/>
              </w:rPr>
              <w:t xml:space="preserve"> real </w:t>
            </w:r>
            <w:r w:rsidR="0014134B" w:rsidRPr="00350C72">
              <w:rPr>
                <w:rFonts w:ascii="Arial Narrow" w:eastAsia="Times New Roman" w:hAnsi="Arial Narrow"/>
                <w:b/>
                <w:color w:val="FFFFFF"/>
                <w:sz w:val="24"/>
                <w:szCs w:val="24"/>
              </w:rPr>
              <w:t>10</w:t>
            </w:r>
            <w:r w:rsidRPr="00350C72">
              <w:rPr>
                <w:rFonts w:ascii="Arial Narrow" w:eastAsia="Times New Roman" w:hAnsi="Arial Narrow"/>
                <w:b/>
                <w:color w:val="FFFFFF"/>
                <w:sz w:val="24"/>
                <w:szCs w:val="24"/>
              </w:rPr>
              <w:t>/1</w:t>
            </w:r>
            <w:r w:rsidR="0014134B" w:rsidRPr="00350C72">
              <w:rPr>
                <w:rFonts w:ascii="Arial Narrow" w:eastAsia="Times New Roman" w:hAnsi="Arial Narrow"/>
                <w:b/>
                <w:color w:val="FFFFFF"/>
                <w:sz w:val="24"/>
                <w:szCs w:val="24"/>
              </w:rPr>
              <w:t>1</w:t>
            </w:r>
          </w:p>
        </w:tc>
      </w:tr>
      <w:tr w:rsidR="00B0516A" w:rsidRPr="0028766C" w:rsidTr="005D4B28">
        <w:trPr>
          <w:trHeight w:val="82"/>
        </w:trPr>
        <w:tc>
          <w:tcPr>
            <w:tcW w:w="1492" w:type="dxa"/>
            <w:shd w:val="clear" w:color="auto" w:fill="548DD4"/>
            <w:noWrap/>
          </w:tcPr>
          <w:p w:rsidR="00B0516A" w:rsidRPr="00350C72" w:rsidRDefault="00B0516A" w:rsidP="005D4B28">
            <w:pPr>
              <w:spacing w:before="60" w:after="60" w:line="240" w:lineRule="auto"/>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 </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2011 -12</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2012 -13</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2013 -14</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2014 -15</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2015 -16</w:t>
            </w:r>
          </w:p>
        </w:tc>
        <w:tc>
          <w:tcPr>
            <w:tcW w:w="1134" w:type="dxa"/>
            <w:shd w:val="clear" w:color="auto" w:fill="548DD4"/>
            <w:noWrap/>
            <w:vAlign w:val="center"/>
          </w:tcPr>
          <w:p w:rsidR="00B0516A" w:rsidRPr="00350C72" w:rsidRDefault="00B0516A" w:rsidP="005D4B28">
            <w:pPr>
              <w:spacing w:before="60" w:after="60" w:line="240" w:lineRule="auto"/>
              <w:jc w:val="center"/>
              <w:rPr>
                <w:rFonts w:ascii="Arial Narrow" w:eastAsia="Times New Roman" w:hAnsi="Arial Narrow"/>
                <w:b/>
                <w:color w:val="FFFFFF"/>
                <w:sz w:val="24"/>
                <w:szCs w:val="24"/>
              </w:rPr>
            </w:pPr>
            <w:r w:rsidRPr="00350C72">
              <w:rPr>
                <w:rFonts w:ascii="Arial Narrow" w:eastAsia="Times New Roman" w:hAnsi="Arial Narrow"/>
                <w:b/>
                <w:color w:val="FFFFFF"/>
                <w:sz w:val="24"/>
                <w:szCs w:val="24"/>
              </w:rPr>
              <w:t>Total</w:t>
            </w:r>
          </w:p>
        </w:tc>
      </w:tr>
      <w:tr w:rsidR="00750928" w:rsidRPr="0028766C" w:rsidTr="005D4B28">
        <w:trPr>
          <w:trHeight w:val="61"/>
        </w:trPr>
        <w:tc>
          <w:tcPr>
            <w:tcW w:w="1492" w:type="dxa"/>
            <w:shd w:val="clear" w:color="auto" w:fill="auto"/>
            <w:noWrap/>
          </w:tcPr>
          <w:p w:rsidR="00750928" w:rsidRPr="0028766C" w:rsidRDefault="00750928" w:rsidP="005D4B28">
            <w:pPr>
              <w:spacing w:before="60" w:after="60" w:line="240" w:lineRule="auto"/>
              <w:rPr>
                <w:rFonts w:ascii="Arial Narrow" w:eastAsia="Times New Roman" w:hAnsi="Arial Narrow"/>
                <w:sz w:val="24"/>
                <w:szCs w:val="24"/>
              </w:rPr>
            </w:pPr>
            <w:r w:rsidRPr="0028766C">
              <w:rPr>
                <w:rFonts w:ascii="Arial Narrow" w:eastAsia="Times New Roman" w:hAnsi="Arial Narrow"/>
                <w:sz w:val="24"/>
                <w:szCs w:val="24"/>
              </w:rPr>
              <w:t>BI Insurance</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c>
          <w:tcPr>
            <w:tcW w:w="1134" w:type="dxa"/>
            <w:shd w:val="clear" w:color="auto" w:fill="auto"/>
            <w:noWrap/>
            <w:vAlign w:val="center"/>
          </w:tcPr>
          <w:p w:rsidR="00750928" w:rsidRPr="00326658" w:rsidRDefault="00750928" w:rsidP="008A62F5">
            <w:pPr>
              <w:spacing w:after="0" w:line="240" w:lineRule="auto"/>
              <w:jc w:val="center"/>
              <w:rPr>
                <w:rFonts w:ascii="Arial Narrow" w:hAnsi="Arial Narrow"/>
                <w:sz w:val="24"/>
                <w:szCs w:val="24"/>
              </w:rPr>
            </w:pPr>
            <w:r>
              <w:rPr>
                <w:rFonts w:ascii="Arial Narrow" w:hAnsi="Arial Narrow"/>
                <w:sz w:val="24"/>
                <w:szCs w:val="24"/>
              </w:rPr>
              <w:t>[c-</w:t>
            </w:r>
            <w:proofErr w:type="spellStart"/>
            <w:r>
              <w:rPr>
                <w:rFonts w:ascii="Arial Narrow" w:hAnsi="Arial Narrow"/>
                <w:sz w:val="24"/>
                <w:szCs w:val="24"/>
              </w:rPr>
              <w:t>i</w:t>
            </w:r>
            <w:proofErr w:type="spellEnd"/>
            <w:r>
              <w:rPr>
                <w:rFonts w:ascii="Arial Narrow" w:hAnsi="Arial Narrow"/>
                <w:sz w:val="24"/>
                <w:szCs w:val="24"/>
              </w:rPr>
              <w:t>-c]</w:t>
            </w:r>
          </w:p>
        </w:tc>
      </w:tr>
    </w:tbl>
    <w:p w:rsidR="0063466D" w:rsidRPr="005D4B28" w:rsidRDefault="0063466D" w:rsidP="000C2FAE">
      <w:pPr>
        <w:pStyle w:val="AERbodytext"/>
        <w:spacing w:after="0"/>
        <w:ind w:left="567"/>
        <w:jc w:val="both"/>
        <w:rPr>
          <w:rFonts w:ascii="Arial Narrow" w:hAnsi="Arial Narrow"/>
          <w:sz w:val="22"/>
          <w:szCs w:val="22"/>
        </w:rPr>
      </w:pPr>
    </w:p>
    <w:p w:rsidR="00775B59" w:rsidRPr="0028766C" w:rsidRDefault="00775B59" w:rsidP="000C2FAE">
      <w:pPr>
        <w:pStyle w:val="Heading1"/>
        <w:spacing w:before="0" w:line="240" w:lineRule="auto"/>
        <w:rPr>
          <w:szCs w:val="24"/>
        </w:rPr>
      </w:pPr>
      <w:r w:rsidRPr="0028766C">
        <w:rPr>
          <w:szCs w:val="24"/>
        </w:rPr>
        <w:t xml:space="preserve">Base Year Regulatory Account </w:t>
      </w:r>
      <w:proofErr w:type="spellStart"/>
      <w:r w:rsidRPr="0028766C">
        <w:rPr>
          <w:szCs w:val="24"/>
        </w:rPr>
        <w:t>Actuals</w:t>
      </w:r>
      <w:proofErr w:type="spellEnd"/>
    </w:p>
    <w:p w:rsidR="006123D2" w:rsidRPr="005D4B28" w:rsidRDefault="006123D2" w:rsidP="000C2FAE">
      <w:pPr>
        <w:spacing w:after="0" w:line="240" w:lineRule="auto"/>
        <w:ind w:left="567"/>
        <w:jc w:val="both"/>
        <w:outlineLvl w:val="0"/>
        <w:rPr>
          <w:rFonts w:ascii="Arial Narrow" w:hAnsi="Arial Narrow"/>
        </w:rPr>
      </w:pPr>
    </w:p>
    <w:p w:rsidR="00004262" w:rsidRPr="0028766C" w:rsidRDefault="00004262" w:rsidP="00593A36">
      <w:pPr>
        <w:spacing w:after="0" w:line="240" w:lineRule="auto"/>
        <w:jc w:val="both"/>
        <w:outlineLvl w:val="0"/>
        <w:rPr>
          <w:rFonts w:ascii="Arial Narrow" w:eastAsia="Times New Roman" w:hAnsi="Arial Narrow"/>
          <w:sz w:val="24"/>
          <w:szCs w:val="24"/>
        </w:rPr>
      </w:pPr>
      <w:r w:rsidRPr="0028766C">
        <w:rPr>
          <w:rFonts w:ascii="Arial Narrow" w:eastAsia="Times New Roman" w:hAnsi="Arial Narrow"/>
          <w:sz w:val="24"/>
          <w:szCs w:val="24"/>
        </w:rPr>
        <w:t xml:space="preserve">Envestra selected 2009-10 as the base year for forecasting its </w:t>
      </w:r>
      <w:proofErr w:type="spellStart"/>
      <w:r w:rsidRPr="0028766C">
        <w:rPr>
          <w:rFonts w:ascii="Arial Narrow" w:eastAsia="Times New Roman" w:hAnsi="Arial Narrow"/>
          <w:sz w:val="24"/>
          <w:szCs w:val="24"/>
        </w:rPr>
        <w:t>opex</w:t>
      </w:r>
      <w:proofErr w:type="spellEnd"/>
      <w:r w:rsidRPr="0028766C">
        <w:rPr>
          <w:rFonts w:ascii="Arial Narrow" w:eastAsia="Times New Roman" w:hAnsi="Arial Narrow"/>
          <w:sz w:val="24"/>
          <w:szCs w:val="24"/>
        </w:rPr>
        <w:t xml:space="preserve"> as this represented the most recent year for which the AER would have full year information when conducting its review. However, in order to prepare its revisions by 1 October 2010, it was necessary for Envestra to rely on 9 months of actual information and 3 months (April to June 2010) of forecast information.</w:t>
      </w:r>
    </w:p>
    <w:p w:rsidR="00004262" w:rsidRPr="005D4B28" w:rsidRDefault="00004262" w:rsidP="00593A36">
      <w:pPr>
        <w:spacing w:after="0" w:line="240" w:lineRule="auto"/>
        <w:jc w:val="both"/>
        <w:outlineLvl w:val="0"/>
        <w:rPr>
          <w:rFonts w:ascii="Arial Narrow" w:eastAsia="Times New Roman" w:hAnsi="Arial Narrow"/>
        </w:rPr>
      </w:pPr>
    </w:p>
    <w:p w:rsidR="00004262" w:rsidRPr="0028766C" w:rsidRDefault="00004262" w:rsidP="00593A36">
      <w:pPr>
        <w:spacing w:after="0" w:line="240" w:lineRule="auto"/>
        <w:jc w:val="both"/>
        <w:outlineLvl w:val="0"/>
        <w:rPr>
          <w:rFonts w:ascii="Arial Narrow" w:eastAsia="Times New Roman" w:hAnsi="Arial Narrow"/>
          <w:sz w:val="24"/>
          <w:szCs w:val="24"/>
        </w:rPr>
      </w:pPr>
      <w:r w:rsidRPr="0028766C">
        <w:rPr>
          <w:rFonts w:ascii="Arial Narrow" w:eastAsia="Times New Roman" w:hAnsi="Arial Narrow"/>
          <w:sz w:val="24"/>
          <w:szCs w:val="24"/>
        </w:rPr>
        <w:t xml:space="preserve">In its </w:t>
      </w:r>
      <w:r w:rsidR="00DC0815" w:rsidRPr="0028766C">
        <w:rPr>
          <w:rFonts w:ascii="Arial Narrow" w:eastAsia="Times New Roman" w:hAnsi="Arial Narrow"/>
          <w:sz w:val="24"/>
          <w:szCs w:val="24"/>
        </w:rPr>
        <w:t>South Australian</w:t>
      </w:r>
      <w:r w:rsidRPr="0028766C">
        <w:rPr>
          <w:rFonts w:ascii="Arial Narrow" w:eastAsia="Times New Roman" w:hAnsi="Arial Narrow"/>
          <w:sz w:val="24"/>
          <w:szCs w:val="24"/>
        </w:rPr>
        <w:t xml:space="preserve"> Access Arrangement proposals submitted to the AER on 1 October 2010, Envestra proposed that the AER should replace the operating expenditure forecasts once actual information for 2009-10 was available from the audited Regulatory Accounts (refer section 6.3 of the </w:t>
      </w:r>
      <w:r w:rsidR="00DC0815" w:rsidRPr="0028766C">
        <w:rPr>
          <w:rFonts w:ascii="Arial Narrow" w:eastAsia="Times New Roman" w:hAnsi="Arial Narrow"/>
          <w:sz w:val="24"/>
          <w:szCs w:val="24"/>
        </w:rPr>
        <w:t>SA</w:t>
      </w:r>
      <w:r w:rsidRPr="0028766C">
        <w:rPr>
          <w:rFonts w:ascii="Arial Narrow" w:eastAsia="Times New Roman" w:hAnsi="Arial Narrow"/>
          <w:sz w:val="24"/>
          <w:szCs w:val="24"/>
        </w:rPr>
        <w:t xml:space="preserve"> AAI). Envestra submitted its </w:t>
      </w:r>
      <w:r w:rsidR="00DC0815" w:rsidRPr="0028766C">
        <w:rPr>
          <w:rFonts w:ascii="Arial Narrow" w:eastAsia="Times New Roman" w:hAnsi="Arial Narrow"/>
          <w:sz w:val="24"/>
          <w:szCs w:val="24"/>
        </w:rPr>
        <w:t>South Australian</w:t>
      </w:r>
      <w:r w:rsidRPr="0028766C">
        <w:rPr>
          <w:rFonts w:ascii="Arial Narrow" w:eastAsia="Times New Roman" w:hAnsi="Arial Narrow"/>
          <w:sz w:val="24"/>
          <w:szCs w:val="24"/>
        </w:rPr>
        <w:t xml:space="preserve"> 2009-10 audited Regulatory Accounts to the AER on 29 October 2010.</w:t>
      </w:r>
    </w:p>
    <w:p w:rsidR="0077677D" w:rsidRPr="0028766C" w:rsidRDefault="00004262" w:rsidP="00593A36">
      <w:pPr>
        <w:spacing w:after="0" w:line="240" w:lineRule="auto"/>
        <w:jc w:val="both"/>
        <w:outlineLvl w:val="0"/>
        <w:rPr>
          <w:rFonts w:ascii="Arial Narrow" w:eastAsia="Times New Roman" w:hAnsi="Arial Narrow"/>
          <w:sz w:val="24"/>
          <w:szCs w:val="24"/>
        </w:rPr>
      </w:pPr>
      <w:r w:rsidRPr="0028766C">
        <w:rPr>
          <w:rFonts w:ascii="Arial Narrow" w:eastAsia="Times New Roman" w:hAnsi="Arial Narrow"/>
          <w:sz w:val="24"/>
          <w:szCs w:val="24"/>
        </w:rPr>
        <w:lastRenderedPageBreak/>
        <w:t>An update of table 3.3 of the AAI is set out below. The actual operating expenditure for 2009/10 is 2.</w:t>
      </w:r>
      <w:r w:rsidR="00DC0815" w:rsidRPr="0028766C">
        <w:rPr>
          <w:rFonts w:ascii="Arial Narrow" w:eastAsia="Times New Roman" w:hAnsi="Arial Narrow"/>
          <w:sz w:val="24"/>
          <w:szCs w:val="24"/>
        </w:rPr>
        <w:t>1</w:t>
      </w:r>
      <w:r w:rsidRPr="0028766C">
        <w:rPr>
          <w:rFonts w:ascii="Arial Narrow" w:eastAsia="Times New Roman" w:hAnsi="Arial Narrow"/>
          <w:sz w:val="24"/>
          <w:szCs w:val="24"/>
        </w:rPr>
        <w:t xml:space="preserve">% </w:t>
      </w:r>
      <w:r w:rsidR="00DC0815" w:rsidRPr="0028766C">
        <w:rPr>
          <w:rFonts w:ascii="Arial Narrow" w:eastAsia="Times New Roman" w:hAnsi="Arial Narrow"/>
          <w:sz w:val="24"/>
          <w:szCs w:val="24"/>
        </w:rPr>
        <w:t>higher</w:t>
      </w:r>
      <w:r w:rsidRPr="0028766C">
        <w:rPr>
          <w:rFonts w:ascii="Arial Narrow" w:eastAsia="Times New Roman" w:hAnsi="Arial Narrow"/>
          <w:sz w:val="24"/>
          <w:szCs w:val="24"/>
        </w:rPr>
        <w:t xml:space="preserve"> than that forecast by Envestra at the time of preparing its proposed revisions to its Access Arrangement. Envestra submits that this lower base year </w:t>
      </w:r>
      <w:proofErr w:type="spellStart"/>
      <w:r w:rsidRPr="0028766C">
        <w:rPr>
          <w:rFonts w:ascii="Arial Narrow" w:eastAsia="Times New Roman" w:hAnsi="Arial Narrow"/>
          <w:sz w:val="24"/>
          <w:szCs w:val="24"/>
        </w:rPr>
        <w:t>opex</w:t>
      </w:r>
      <w:proofErr w:type="spellEnd"/>
      <w:r w:rsidRPr="0028766C">
        <w:rPr>
          <w:rFonts w:ascii="Arial Narrow" w:eastAsia="Times New Roman" w:hAnsi="Arial Narrow"/>
          <w:sz w:val="24"/>
          <w:szCs w:val="24"/>
        </w:rPr>
        <w:t xml:space="preserve"> for 2009/10 of $</w:t>
      </w:r>
      <w:r w:rsidR="00DC0815" w:rsidRPr="0028766C">
        <w:rPr>
          <w:rFonts w:ascii="Arial Narrow" w:eastAsia="Times New Roman" w:hAnsi="Arial Narrow"/>
          <w:sz w:val="24"/>
          <w:szCs w:val="24"/>
        </w:rPr>
        <w:t>56.97</w:t>
      </w:r>
      <w:r w:rsidRPr="0028766C">
        <w:rPr>
          <w:rFonts w:ascii="Arial Narrow" w:eastAsia="Times New Roman" w:hAnsi="Arial Narrow"/>
          <w:sz w:val="24"/>
          <w:szCs w:val="24"/>
        </w:rPr>
        <w:t xml:space="preserve"> million should be used by the AER in its Final Decision. </w:t>
      </w:r>
      <w:r w:rsidR="00270A3D" w:rsidRPr="0028766C">
        <w:rPr>
          <w:rFonts w:ascii="Arial Narrow" w:eastAsia="Times New Roman" w:hAnsi="Arial Narrow"/>
          <w:sz w:val="24"/>
          <w:szCs w:val="24"/>
        </w:rPr>
        <w:t xml:space="preserve">The main driver of the increase relates to leak repairs, reflecting the wetter than expected conditions in the last quarter of the year. </w:t>
      </w:r>
    </w:p>
    <w:p w:rsidR="0077677D" w:rsidRPr="0090281D" w:rsidRDefault="0077677D" w:rsidP="000C2FAE">
      <w:pPr>
        <w:spacing w:after="0" w:line="240" w:lineRule="auto"/>
        <w:ind w:left="567"/>
        <w:jc w:val="both"/>
        <w:outlineLvl w:val="0"/>
        <w:rPr>
          <w:rFonts w:ascii="Arial Narrow" w:hAnsi="Arial Narrow"/>
          <w:highlight w:val="yellow"/>
        </w:rPr>
      </w:pPr>
    </w:p>
    <w:p w:rsidR="0077677D" w:rsidRDefault="00326658" w:rsidP="00593A36">
      <w:pPr>
        <w:spacing w:after="0" w:line="240" w:lineRule="auto"/>
        <w:jc w:val="both"/>
        <w:rPr>
          <w:rFonts w:ascii="Arial Narrow" w:hAnsi="Arial Narrow"/>
          <w:b/>
          <w:color w:val="17365D"/>
          <w:sz w:val="24"/>
          <w:szCs w:val="24"/>
        </w:rPr>
      </w:pPr>
      <w:r>
        <w:rPr>
          <w:rFonts w:ascii="Arial Narrow" w:hAnsi="Arial Narrow"/>
          <w:b/>
          <w:color w:val="17365D"/>
          <w:sz w:val="24"/>
          <w:szCs w:val="24"/>
        </w:rPr>
        <w:t xml:space="preserve">Updated </w:t>
      </w:r>
      <w:r w:rsidR="00593A36">
        <w:rPr>
          <w:rFonts w:ascii="Arial Narrow" w:hAnsi="Arial Narrow"/>
          <w:b/>
          <w:color w:val="17365D"/>
          <w:sz w:val="24"/>
          <w:szCs w:val="24"/>
        </w:rPr>
        <w:t xml:space="preserve">Table 3.3   </w:t>
      </w:r>
      <w:proofErr w:type="spellStart"/>
      <w:r w:rsidR="0077677D" w:rsidRPr="0028766C">
        <w:rPr>
          <w:rFonts w:ascii="Arial Narrow" w:hAnsi="Arial Narrow"/>
          <w:b/>
          <w:color w:val="17365D"/>
          <w:sz w:val="24"/>
          <w:szCs w:val="24"/>
        </w:rPr>
        <w:t>Opex</w:t>
      </w:r>
      <w:proofErr w:type="spellEnd"/>
      <w:r w:rsidR="0077677D" w:rsidRPr="0028766C">
        <w:rPr>
          <w:rFonts w:ascii="Arial Narrow" w:hAnsi="Arial Narrow"/>
          <w:b/>
          <w:color w:val="17365D"/>
          <w:sz w:val="24"/>
          <w:szCs w:val="24"/>
        </w:rPr>
        <w:t xml:space="preserve"> for Second Access Arrangement Period</w:t>
      </w:r>
    </w:p>
    <w:p w:rsidR="000050B2" w:rsidRPr="0090281D" w:rsidRDefault="000050B2" w:rsidP="000C2FAE">
      <w:pPr>
        <w:spacing w:after="0" w:line="240" w:lineRule="auto"/>
        <w:ind w:left="567"/>
        <w:jc w:val="both"/>
        <w:rPr>
          <w:rFonts w:ascii="Arial Narrow" w:hAnsi="Arial Narrow"/>
          <w:b/>
          <w:color w:val="17365D"/>
        </w:rPr>
      </w:pPr>
    </w:p>
    <w:tbl>
      <w:tblPr>
        <w:tblW w:w="8671"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4A0"/>
      </w:tblPr>
      <w:tblGrid>
        <w:gridCol w:w="2551"/>
        <w:gridCol w:w="1020"/>
        <w:gridCol w:w="1020"/>
        <w:gridCol w:w="1020"/>
        <w:gridCol w:w="1020"/>
        <w:gridCol w:w="1020"/>
        <w:gridCol w:w="1020"/>
      </w:tblGrid>
      <w:tr w:rsidR="0077677D" w:rsidRPr="0028766C" w:rsidTr="00994DD6">
        <w:tc>
          <w:tcPr>
            <w:tcW w:w="2551" w:type="dxa"/>
            <w:tcBorders>
              <w:right w:val="single" w:sz="4" w:space="0" w:color="548DD4"/>
            </w:tcBorders>
            <w:shd w:val="clear" w:color="auto" w:fill="548DD4"/>
            <w:vAlign w:val="center"/>
          </w:tcPr>
          <w:p w:rsidR="0077677D" w:rsidRPr="0028766C" w:rsidRDefault="0077677D" w:rsidP="00994DD6">
            <w:pPr>
              <w:spacing w:before="60" w:after="60" w:line="240" w:lineRule="auto"/>
              <w:ind w:left="34"/>
              <w:jc w:val="both"/>
              <w:rPr>
                <w:rFonts w:ascii="Arial Narrow" w:hAnsi="Arial Narrow"/>
                <w:b/>
                <w:bCs/>
                <w:color w:val="FFFFFF"/>
                <w:sz w:val="24"/>
                <w:szCs w:val="24"/>
              </w:rPr>
            </w:pPr>
            <w:r w:rsidRPr="0028766C">
              <w:rPr>
                <w:rFonts w:ascii="Arial Narrow" w:hAnsi="Arial Narrow"/>
                <w:b/>
                <w:bCs/>
                <w:color w:val="FFFFFF"/>
                <w:sz w:val="24"/>
                <w:szCs w:val="24"/>
              </w:rPr>
              <w:t>$m (2009-10)</w:t>
            </w:r>
          </w:p>
        </w:tc>
        <w:tc>
          <w:tcPr>
            <w:tcW w:w="1020" w:type="dxa"/>
            <w:tcBorders>
              <w:left w:val="single" w:sz="4" w:space="0" w:color="548DD4"/>
              <w:right w:val="single" w:sz="4" w:space="0" w:color="548DD4"/>
            </w:tcBorders>
            <w:shd w:val="clear" w:color="auto" w:fill="548DD4"/>
            <w:vAlign w:val="center"/>
          </w:tcPr>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2006-07</w:t>
            </w:r>
          </w:p>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actual</w:t>
            </w:r>
          </w:p>
        </w:tc>
        <w:tc>
          <w:tcPr>
            <w:tcW w:w="1020" w:type="dxa"/>
            <w:tcBorders>
              <w:left w:val="single" w:sz="4" w:space="0" w:color="548DD4"/>
              <w:right w:val="single" w:sz="4" w:space="0" w:color="548DD4"/>
            </w:tcBorders>
            <w:shd w:val="clear" w:color="auto" w:fill="548DD4"/>
            <w:vAlign w:val="center"/>
          </w:tcPr>
          <w:p w:rsidR="0077677D" w:rsidRPr="0028766C" w:rsidRDefault="0077677D" w:rsidP="00994DD6">
            <w:pPr>
              <w:spacing w:before="60" w:after="60" w:line="240" w:lineRule="auto"/>
              <w:ind w:left="34"/>
              <w:jc w:val="center"/>
              <w:rPr>
                <w:rFonts w:ascii="Arial Narrow" w:hAnsi="Arial Narrow"/>
                <w:b/>
                <w:bCs/>
                <w:color w:val="FFFFFF"/>
                <w:sz w:val="24"/>
                <w:szCs w:val="24"/>
              </w:rPr>
            </w:pPr>
            <w:r w:rsidRPr="0028766C">
              <w:rPr>
                <w:rFonts w:ascii="Arial Narrow" w:hAnsi="Arial Narrow"/>
                <w:b/>
                <w:bCs/>
                <w:color w:val="FFFFFF"/>
                <w:sz w:val="24"/>
                <w:szCs w:val="24"/>
              </w:rPr>
              <w:t>2007-08</w:t>
            </w:r>
          </w:p>
          <w:p w:rsidR="0077677D" w:rsidRPr="0028766C" w:rsidRDefault="0077677D" w:rsidP="00994DD6">
            <w:pPr>
              <w:spacing w:before="60" w:after="60" w:line="240" w:lineRule="auto"/>
              <w:ind w:left="34"/>
              <w:jc w:val="center"/>
              <w:rPr>
                <w:rFonts w:ascii="Arial Narrow" w:hAnsi="Arial Narrow"/>
                <w:b/>
                <w:bCs/>
                <w:color w:val="FFFFFF"/>
                <w:sz w:val="24"/>
                <w:szCs w:val="24"/>
              </w:rPr>
            </w:pPr>
            <w:r w:rsidRPr="0028766C">
              <w:rPr>
                <w:rFonts w:ascii="Arial Narrow" w:hAnsi="Arial Narrow"/>
                <w:b/>
                <w:bCs/>
                <w:color w:val="FFFFFF"/>
                <w:sz w:val="24"/>
                <w:szCs w:val="24"/>
              </w:rPr>
              <w:t>actual</w:t>
            </w:r>
          </w:p>
        </w:tc>
        <w:tc>
          <w:tcPr>
            <w:tcW w:w="1020" w:type="dxa"/>
            <w:tcBorders>
              <w:left w:val="single" w:sz="4" w:space="0" w:color="548DD4"/>
              <w:right w:val="single" w:sz="4" w:space="0" w:color="548DD4"/>
            </w:tcBorders>
            <w:shd w:val="clear" w:color="auto" w:fill="548DD4"/>
            <w:vAlign w:val="center"/>
          </w:tcPr>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2008-09</w:t>
            </w:r>
          </w:p>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actual</w:t>
            </w:r>
          </w:p>
        </w:tc>
        <w:tc>
          <w:tcPr>
            <w:tcW w:w="1020" w:type="dxa"/>
            <w:tcBorders>
              <w:left w:val="single" w:sz="4" w:space="0" w:color="548DD4"/>
              <w:right w:val="single" w:sz="4" w:space="0" w:color="548DD4"/>
            </w:tcBorders>
            <w:shd w:val="clear" w:color="auto" w:fill="548DD4"/>
            <w:vAlign w:val="center"/>
          </w:tcPr>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2009-10</w:t>
            </w:r>
          </w:p>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actual</w:t>
            </w:r>
          </w:p>
        </w:tc>
        <w:tc>
          <w:tcPr>
            <w:tcW w:w="1020" w:type="dxa"/>
            <w:tcBorders>
              <w:left w:val="single" w:sz="4" w:space="0" w:color="548DD4"/>
              <w:right w:val="single" w:sz="4" w:space="0" w:color="548DD4"/>
            </w:tcBorders>
            <w:shd w:val="clear" w:color="auto" w:fill="548DD4"/>
            <w:vAlign w:val="center"/>
          </w:tcPr>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2010-11</w:t>
            </w:r>
          </w:p>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forecast</w:t>
            </w:r>
          </w:p>
        </w:tc>
        <w:tc>
          <w:tcPr>
            <w:tcW w:w="1020" w:type="dxa"/>
            <w:tcBorders>
              <w:left w:val="single" w:sz="4" w:space="0" w:color="548DD4"/>
            </w:tcBorders>
            <w:shd w:val="clear" w:color="auto" w:fill="548DD4"/>
            <w:vAlign w:val="center"/>
          </w:tcPr>
          <w:p w:rsidR="0077677D" w:rsidRPr="0028766C" w:rsidRDefault="0077677D" w:rsidP="00994DD6">
            <w:pPr>
              <w:spacing w:before="60" w:after="60" w:line="240" w:lineRule="auto"/>
              <w:jc w:val="center"/>
              <w:rPr>
                <w:rFonts w:ascii="Arial Narrow" w:hAnsi="Arial Narrow"/>
                <w:b/>
                <w:bCs/>
                <w:color w:val="FFFFFF"/>
                <w:sz w:val="24"/>
                <w:szCs w:val="24"/>
              </w:rPr>
            </w:pPr>
            <w:r w:rsidRPr="0028766C">
              <w:rPr>
                <w:rFonts w:ascii="Arial Narrow" w:hAnsi="Arial Narrow"/>
                <w:b/>
                <w:bCs/>
                <w:color w:val="FFFFFF"/>
                <w:sz w:val="24"/>
                <w:szCs w:val="24"/>
              </w:rPr>
              <w:t>Total</w:t>
            </w:r>
          </w:p>
        </w:tc>
      </w:tr>
      <w:tr w:rsidR="0077677D" w:rsidRPr="0028766C" w:rsidTr="00994DD6">
        <w:tc>
          <w:tcPr>
            <w:tcW w:w="2551" w:type="dxa"/>
          </w:tcPr>
          <w:p w:rsidR="0077677D" w:rsidRPr="0028766C" w:rsidRDefault="0077677D" w:rsidP="00994DD6">
            <w:pPr>
              <w:spacing w:before="60" w:after="60" w:line="240" w:lineRule="auto"/>
              <w:ind w:left="34"/>
              <w:rPr>
                <w:rFonts w:ascii="Arial Narrow" w:hAnsi="Arial Narrow"/>
                <w:sz w:val="24"/>
                <w:szCs w:val="24"/>
              </w:rPr>
            </w:pPr>
            <w:r w:rsidRPr="0028766C">
              <w:rPr>
                <w:rFonts w:ascii="Arial Narrow" w:hAnsi="Arial Narrow"/>
                <w:sz w:val="24"/>
                <w:szCs w:val="24"/>
              </w:rPr>
              <w:t>Operating &amp; Maintenance</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30.63</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29.54</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33.56</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35.48</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35.</w:t>
            </w:r>
            <w:r w:rsidR="00DE28CD" w:rsidRPr="0028766C">
              <w:rPr>
                <w:rFonts w:ascii="Arial Narrow" w:hAnsi="Arial Narrow" w:cs="Arial"/>
                <w:bCs/>
                <w:sz w:val="24"/>
                <w:szCs w:val="24"/>
              </w:rPr>
              <w:t>92</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165.1</w:t>
            </w:r>
            <w:r w:rsidR="002A6D9E" w:rsidRPr="0028766C">
              <w:rPr>
                <w:rFonts w:ascii="Arial Narrow" w:hAnsi="Arial Narrow" w:cs="Arial"/>
                <w:b/>
                <w:bCs/>
                <w:sz w:val="24"/>
                <w:szCs w:val="24"/>
              </w:rPr>
              <w:t>3</w:t>
            </w:r>
          </w:p>
        </w:tc>
      </w:tr>
      <w:tr w:rsidR="0077677D" w:rsidRPr="0028766C" w:rsidTr="00994DD6">
        <w:tc>
          <w:tcPr>
            <w:tcW w:w="2551" w:type="dxa"/>
          </w:tcPr>
          <w:p w:rsidR="0077677D" w:rsidRPr="0028766C" w:rsidRDefault="0077677D" w:rsidP="00994DD6">
            <w:pPr>
              <w:spacing w:before="60" w:after="60" w:line="240" w:lineRule="auto"/>
              <w:ind w:left="34"/>
              <w:rPr>
                <w:rFonts w:ascii="Arial Narrow" w:hAnsi="Arial Narrow"/>
                <w:sz w:val="24"/>
                <w:szCs w:val="24"/>
              </w:rPr>
            </w:pPr>
            <w:r w:rsidRPr="0028766C">
              <w:rPr>
                <w:rFonts w:ascii="Arial Narrow" w:hAnsi="Arial Narrow"/>
                <w:sz w:val="24"/>
                <w:szCs w:val="24"/>
              </w:rPr>
              <w:t>Administration &amp; General</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4.69</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8.11</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7.68</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6.15</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6.</w:t>
            </w:r>
            <w:r w:rsidR="00DE28CD" w:rsidRPr="0028766C">
              <w:rPr>
                <w:rFonts w:ascii="Arial Narrow" w:hAnsi="Arial Narrow" w:cs="Arial"/>
                <w:bCs/>
                <w:sz w:val="24"/>
                <w:szCs w:val="24"/>
              </w:rPr>
              <w:t>12</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32.</w:t>
            </w:r>
            <w:r w:rsidR="002A6D9E" w:rsidRPr="0028766C">
              <w:rPr>
                <w:rFonts w:ascii="Arial Narrow" w:hAnsi="Arial Narrow" w:cs="Arial"/>
                <w:b/>
                <w:bCs/>
                <w:sz w:val="24"/>
                <w:szCs w:val="24"/>
              </w:rPr>
              <w:t>75</w:t>
            </w:r>
          </w:p>
        </w:tc>
      </w:tr>
      <w:tr w:rsidR="0077677D" w:rsidRPr="0028766C" w:rsidTr="00994DD6">
        <w:tc>
          <w:tcPr>
            <w:tcW w:w="2551" w:type="dxa"/>
            <w:vAlign w:val="bottom"/>
          </w:tcPr>
          <w:p w:rsidR="0077677D" w:rsidRPr="0028766C" w:rsidRDefault="0077677D" w:rsidP="00994DD6">
            <w:pPr>
              <w:spacing w:before="60" w:after="60" w:line="240" w:lineRule="auto"/>
              <w:ind w:left="34"/>
              <w:rPr>
                <w:rFonts w:ascii="Arial Narrow" w:hAnsi="Arial Narrow"/>
                <w:sz w:val="24"/>
                <w:szCs w:val="24"/>
              </w:rPr>
            </w:pPr>
            <w:r w:rsidRPr="0028766C">
              <w:rPr>
                <w:rFonts w:ascii="Arial Narrow" w:hAnsi="Arial Narrow"/>
                <w:sz w:val="24"/>
                <w:szCs w:val="24"/>
              </w:rPr>
              <w:t>Network Development / Marketing</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6.17</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3.68</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1.21</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4.42</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7.20</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22.67</w:t>
            </w:r>
          </w:p>
        </w:tc>
      </w:tr>
      <w:tr w:rsidR="0077677D" w:rsidRPr="0028766C" w:rsidTr="00994DD6">
        <w:tc>
          <w:tcPr>
            <w:tcW w:w="2551" w:type="dxa"/>
            <w:vAlign w:val="bottom"/>
          </w:tcPr>
          <w:p w:rsidR="0077677D" w:rsidRPr="0028766C" w:rsidRDefault="0077677D" w:rsidP="00994DD6">
            <w:pPr>
              <w:spacing w:before="60" w:after="60" w:line="240" w:lineRule="auto"/>
              <w:ind w:left="34"/>
              <w:rPr>
                <w:rFonts w:ascii="Arial Narrow" w:hAnsi="Arial Narrow"/>
                <w:sz w:val="24"/>
                <w:szCs w:val="24"/>
              </w:rPr>
            </w:pPr>
            <w:r w:rsidRPr="0028766C">
              <w:rPr>
                <w:rFonts w:ascii="Arial Narrow" w:hAnsi="Arial Narrow"/>
                <w:sz w:val="24"/>
                <w:szCs w:val="24"/>
              </w:rPr>
              <w:t>FRC Operating Costs</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4.69</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3.86</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2.27</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10.82</w:t>
            </w:r>
          </w:p>
        </w:tc>
      </w:tr>
      <w:tr w:rsidR="0077677D" w:rsidRPr="0028766C" w:rsidTr="00994DD6">
        <w:tc>
          <w:tcPr>
            <w:tcW w:w="2551" w:type="dxa"/>
            <w:vAlign w:val="bottom"/>
          </w:tcPr>
          <w:p w:rsidR="0077677D" w:rsidRPr="0028766C" w:rsidRDefault="0077677D" w:rsidP="00994DD6">
            <w:pPr>
              <w:spacing w:before="60" w:after="60" w:line="240" w:lineRule="auto"/>
              <w:ind w:left="34"/>
              <w:rPr>
                <w:rFonts w:ascii="Arial Narrow" w:hAnsi="Arial Narrow"/>
                <w:sz w:val="24"/>
                <w:szCs w:val="24"/>
              </w:rPr>
            </w:pPr>
            <w:r w:rsidRPr="0028766C">
              <w:rPr>
                <w:rFonts w:ascii="Arial Narrow" w:hAnsi="Arial Narrow"/>
                <w:sz w:val="24"/>
                <w:szCs w:val="24"/>
              </w:rPr>
              <w:t>UAFG</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8.13</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10.56</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Cs/>
                <w:sz w:val="24"/>
                <w:szCs w:val="24"/>
              </w:rPr>
            </w:pPr>
            <w:r w:rsidRPr="0028766C">
              <w:rPr>
                <w:rFonts w:ascii="Arial Narrow" w:hAnsi="Arial Narrow" w:cs="Arial"/>
                <w:bCs/>
                <w:sz w:val="24"/>
                <w:szCs w:val="24"/>
              </w:rPr>
              <w:t>10.60</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10.93</w:t>
            </w:r>
          </w:p>
        </w:tc>
        <w:tc>
          <w:tcPr>
            <w:tcW w:w="1020" w:type="dxa"/>
            <w:vAlign w:val="center"/>
          </w:tcPr>
          <w:p w:rsidR="0077677D" w:rsidRPr="0028766C" w:rsidRDefault="0077677D" w:rsidP="00994DD6">
            <w:pPr>
              <w:spacing w:before="60" w:after="60" w:line="240" w:lineRule="auto"/>
              <w:jc w:val="center"/>
              <w:rPr>
                <w:rFonts w:ascii="Arial Narrow" w:hAnsi="Arial Narrow" w:cs="Arial"/>
                <w:bCs/>
                <w:sz w:val="24"/>
                <w:szCs w:val="24"/>
              </w:rPr>
            </w:pPr>
            <w:r w:rsidRPr="0028766C">
              <w:rPr>
                <w:rFonts w:ascii="Arial Narrow" w:hAnsi="Arial Narrow" w:cs="Arial"/>
                <w:bCs/>
                <w:sz w:val="24"/>
                <w:szCs w:val="24"/>
              </w:rPr>
              <w:t>10.93</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51.14</w:t>
            </w:r>
          </w:p>
        </w:tc>
      </w:tr>
      <w:tr w:rsidR="0077677D" w:rsidRPr="0028766C" w:rsidTr="00994DD6">
        <w:tc>
          <w:tcPr>
            <w:tcW w:w="2551" w:type="dxa"/>
            <w:vAlign w:val="bottom"/>
          </w:tcPr>
          <w:p w:rsidR="0077677D" w:rsidRPr="0028766C" w:rsidRDefault="0077677D" w:rsidP="00994DD6">
            <w:pPr>
              <w:spacing w:before="60" w:after="60" w:line="240" w:lineRule="auto"/>
              <w:ind w:left="34"/>
              <w:rPr>
                <w:rFonts w:ascii="Arial Narrow" w:hAnsi="Arial Narrow"/>
                <w:b/>
                <w:sz w:val="24"/>
                <w:szCs w:val="24"/>
              </w:rPr>
            </w:pPr>
            <w:r w:rsidRPr="0028766C">
              <w:rPr>
                <w:rFonts w:ascii="Arial Narrow" w:hAnsi="Arial Narrow"/>
                <w:b/>
                <w:sz w:val="24"/>
                <w:szCs w:val="24"/>
              </w:rPr>
              <w:t>Total</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
                <w:bCs/>
                <w:sz w:val="24"/>
                <w:szCs w:val="24"/>
              </w:rPr>
            </w:pPr>
            <w:r w:rsidRPr="0028766C">
              <w:rPr>
                <w:rFonts w:ascii="Arial Narrow" w:hAnsi="Arial Narrow" w:cs="Arial"/>
                <w:b/>
                <w:bCs/>
                <w:sz w:val="24"/>
                <w:szCs w:val="24"/>
              </w:rPr>
              <w:t>54.32</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
                <w:bCs/>
                <w:sz w:val="24"/>
                <w:szCs w:val="24"/>
              </w:rPr>
            </w:pPr>
            <w:r w:rsidRPr="0028766C">
              <w:rPr>
                <w:rFonts w:ascii="Arial Narrow" w:hAnsi="Arial Narrow" w:cs="Arial"/>
                <w:b/>
                <w:bCs/>
                <w:sz w:val="24"/>
                <w:szCs w:val="24"/>
              </w:rPr>
              <w:t>55.74</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
                <w:bCs/>
                <w:sz w:val="24"/>
                <w:szCs w:val="24"/>
              </w:rPr>
            </w:pPr>
            <w:r w:rsidRPr="0028766C">
              <w:rPr>
                <w:rFonts w:ascii="Arial Narrow" w:hAnsi="Arial Narrow" w:cs="Arial"/>
                <w:b/>
                <w:bCs/>
                <w:sz w:val="24"/>
                <w:szCs w:val="24"/>
              </w:rPr>
              <w:t>55.32</w:t>
            </w:r>
          </w:p>
        </w:tc>
        <w:tc>
          <w:tcPr>
            <w:tcW w:w="1020" w:type="dxa"/>
            <w:vAlign w:val="center"/>
          </w:tcPr>
          <w:p w:rsidR="0077677D" w:rsidRPr="0028766C" w:rsidRDefault="0077677D" w:rsidP="00994DD6">
            <w:pPr>
              <w:spacing w:before="60" w:after="60" w:line="240" w:lineRule="auto"/>
              <w:ind w:left="34"/>
              <w:jc w:val="center"/>
              <w:rPr>
                <w:rFonts w:ascii="Arial Narrow" w:hAnsi="Arial Narrow" w:cs="Arial"/>
                <w:b/>
                <w:bCs/>
                <w:sz w:val="24"/>
                <w:szCs w:val="24"/>
              </w:rPr>
            </w:pPr>
            <w:r w:rsidRPr="0028766C">
              <w:rPr>
                <w:rFonts w:ascii="Arial Narrow" w:hAnsi="Arial Narrow" w:cs="Arial"/>
                <w:b/>
                <w:bCs/>
                <w:sz w:val="24"/>
                <w:szCs w:val="24"/>
              </w:rPr>
              <w:t>56.97</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60.</w:t>
            </w:r>
            <w:r w:rsidR="00DE28CD" w:rsidRPr="0028766C">
              <w:rPr>
                <w:rFonts w:ascii="Arial Narrow" w:hAnsi="Arial Narrow" w:cs="Arial"/>
                <w:b/>
                <w:bCs/>
                <w:sz w:val="24"/>
                <w:szCs w:val="24"/>
              </w:rPr>
              <w:t>16</w:t>
            </w:r>
          </w:p>
        </w:tc>
        <w:tc>
          <w:tcPr>
            <w:tcW w:w="1020" w:type="dxa"/>
            <w:vAlign w:val="center"/>
          </w:tcPr>
          <w:p w:rsidR="0077677D" w:rsidRPr="0028766C" w:rsidRDefault="0077677D" w:rsidP="00994DD6">
            <w:pPr>
              <w:spacing w:before="60" w:after="60" w:line="240" w:lineRule="auto"/>
              <w:jc w:val="center"/>
              <w:rPr>
                <w:rFonts w:ascii="Arial Narrow" w:hAnsi="Arial Narrow" w:cs="Arial"/>
                <w:b/>
                <w:bCs/>
                <w:sz w:val="24"/>
                <w:szCs w:val="24"/>
              </w:rPr>
            </w:pPr>
            <w:r w:rsidRPr="0028766C">
              <w:rPr>
                <w:rFonts w:ascii="Arial Narrow" w:hAnsi="Arial Narrow" w:cs="Arial"/>
                <w:b/>
                <w:bCs/>
                <w:sz w:val="24"/>
                <w:szCs w:val="24"/>
              </w:rPr>
              <w:t>282.5</w:t>
            </w:r>
            <w:r w:rsidR="002A6D9E" w:rsidRPr="0028766C">
              <w:rPr>
                <w:rFonts w:ascii="Arial Narrow" w:hAnsi="Arial Narrow" w:cs="Arial"/>
                <w:b/>
                <w:bCs/>
                <w:sz w:val="24"/>
                <w:szCs w:val="24"/>
              </w:rPr>
              <w:t>1</w:t>
            </w:r>
          </w:p>
        </w:tc>
      </w:tr>
    </w:tbl>
    <w:p w:rsidR="0077677D" w:rsidRPr="0090281D" w:rsidRDefault="0077677D" w:rsidP="000C2FAE">
      <w:pPr>
        <w:tabs>
          <w:tab w:val="left" w:pos="567"/>
        </w:tabs>
        <w:spacing w:after="0" w:line="240" w:lineRule="auto"/>
        <w:ind w:left="567"/>
        <w:jc w:val="both"/>
        <w:rPr>
          <w:rFonts w:ascii="Arial Narrow" w:hAnsi="Arial Narrow"/>
          <w:sz w:val="16"/>
          <w:szCs w:val="16"/>
        </w:rPr>
      </w:pPr>
    </w:p>
    <w:p w:rsidR="0077677D" w:rsidRPr="0073438D" w:rsidRDefault="0077677D" w:rsidP="00A87434">
      <w:pPr>
        <w:tabs>
          <w:tab w:val="left" w:pos="567"/>
        </w:tabs>
        <w:spacing w:after="0" w:line="240" w:lineRule="auto"/>
        <w:ind w:left="567" w:hanging="567"/>
        <w:jc w:val="both"/>
        <w:rPr>
          <w:rFonts w:ascii="Arial Narrow" w:hAnsi="Arial Narrow"/>
          <w:b/>
          <w:sz w:val="24"/>
          <w:szCs w:val="24"/>
        </w:rPr>
      </w:pPr>
      <w:r w:rsidRPr="0073438D">
        <w:rPr>
          <w:rFonts w:ascii="Arial Narrow" w:hAnsi="Arial Narrow"/>
          <w:b/>
          <w:sz w:val="24"/>
          <w:szCs w:val="24"/>
        </w:rPr>
        <w:t>Note:</w:t>
      </w:r>
      <w:r w:rsidR="0073438D">
        <w:rPr>
          <w:rFonts w:ascii="Arial Narrow" w:hAnsi="Arial Narrow"/>
          <w:b/>
          <w:sz w:val="24"/>
          <w:szCs w:val="24"/>
        </w:rPr>
        <w:tab/>
      </w:r>
      <w:r w:rsidR="0073438D" w:rsidRPr="0073438D">
        <w:rPr>
          <w:rFonts w:ascii="Arial Narrow" w:hAnsi="Arial Narrow"/>
          <w:b/>
          <w:sz w:val="24"/>
          <w:szCs w:val="24"/>
        </w:rPr>
        <w:t>F</w:t>
      </w:r>
      <w:r w:rsidRPr="0073438D">
        <w:rPr>
          <w:rFonts w:ascii="Arial Narrow" w:hAnsi="Arial Narrow"/>
          <w:b/>
          <w:sz w:val="24"/>
          <w:szCs w:val="24"/>
        </w:rPr>
        <w:t>rom 2009-10, “FRC” costs are treated as “business as usual” and are included in “Operating &amp; Maintenance” in the Regulatory Accounts.</w:t>
      </w:r>
    </w:p>
    <w:p w:rsidR="00E96FE0" w:rsidRPr="0090281D" w:rsidRDefault="00E96FE0" w:rsidP="000C2FAE">
      <w:pPr>
        <w:tabs>
          <w:tab w:val="left" w:pos="567"/>
        </w:tabs>
        <w:spacing w:after="0" w:line="240" w:lineRule="auto"/>
        <w:ind w:left="567"/>
        <w:jc w:val="both"/>
        <w:rPr>
          <w:rFonts w:ascii="Arial Narrow" w:hAnsi="Arial Narrow"/>
          <w:b/>
        </w:rPr>
      </w:pPr>
    </w:p>
    <w:p w:rsidR="008766C0" w:rsidRPr="0028766C" w:rsidRDefault="008766C0" w:rsidP="000C2FAE">
      <w:pPr>
        <w:pStyle w:val="Heading1"/>
        <w:spacing w:before="0" w:line="240" w:lineRule="auto"/>
        <w:rPr>
          <w:szCs w:val="24"/>
        </w:rPr>
      </w:pPr>
      <w:r w:rsidRPr="0028766C">
        <w:rPr>
          <w:szCs w:val="24"/>
        </w:rPr>
        <w:t>Survey of Domestic Regulators (S03)</w:t>
      </w:r>
    </w:p>
    <w:p w:rsidR="008766C0" w:rsidRPr="0090281D" w:rsidRDefault="008766C0" w:rsidP="000C2FAE">
      <w:pPr>
        <w:pStyle w:val="AERbodytext"/>
        <w:spacing w:after="0"/>
        <w:jc w:val="both"/>
        <w:rPr>
          <w:rFonts w:ascii="Arial Narrow" w:hAnsi="Arial Narrow"/>
          <w:b/>
          <w:sz w:val="22"/>
          <w:szCs w:val="22"/>
        </w:rPr>
      </w:pPr>
    </w:p>
    <w:p w:rsidR="00157422" w:rsidRPr="0028766C" w:rsidRDefault="008766C0" w:rsidP="00A87434">
      <w:pPr>
        <w:pStyle w:val="AERbodytext"/>
        <w:spacing w:after="0"/>
        <w:jc w:val="both"/>
        <w:rPr>
          <w:rFonts w:ascii="Arial Narrow" w:hAnsi="Arial Narrow"/>
        </w:rPr>
      </w:pPr>
      <w:r w:rsidRPr="0028766C">
        <w:rPr>
          <w:rFonts w:ascii="Arial Narrow" w:hAnsi="Arial Narrow"/>
        </w:rPr>
        <w:t xml:space="preserve">The </w:t>
      </w:r>
      <w:r w:rsidR="00157422" w:rsidRPr="0028766C">
        <w:rPr>
          <w:rFonts w:ascii="Arial Narrow" w:hAnsi="Arial Narrow"/>
        </w:rPr>
        <w:t xml:space="preserve">AER has decided that contingency </w:t>
      </w:r>
      <w:r w:rsidR="00DC0815" w:rsidRPr="0028766C">
        <w:rPr>
          <w:rFonts w:ascii="Arial Narrow" w:hAnsi="Arial Narrow"/>
        </w:rPr>
        <w:t xml:space="preserve">amounts </w:t>
      </w:r>
      <w:r w:rsidR="00157422" w:rsidRPr="0028766C">
        <w:rPr>
          <w:rFonts w:ascii="Arial Narrow" w:hAnsi="Arial Narrow"/>
        </w:rPr>
        <w:t xml:space="preserve">should be removed from the forecast cost. The issue of contingency is dealt with in detail in </w:t>
      </w:r>
      <w:r w:rsidR="00804419" w:rsidRPr="0028766C">
        <w:rPr>
          <w:rFonts w:ascii="Arial Narrow" w:hAnsi="Arial Narrow"/>
        </w:rPr>
        <w:t>A</w:t>
      </w:r>
      <w:r w:rsidR="00DC0815" w:rsidRPr="0028766C">
        <w:rPr>
          <w:rFonts w:ascii="Arial Narrow" w:hAnsi="Arial Narrow"/>
        </w:rPr>
        <w:t>ttachment 7-7 of this AAI</w:t>
      </w:r>
      <w:r w:rsidR="00157422" w:rsidRPr="0028766C">
        <w:rPr>
          <w:rFonts w:ascii="Arial Narrow" w:hAnsi="Arial Narrow"/>
        </w:rPr>
        <w:t xml:space="preserve"> (SA </w:t>
      </w:r>
      <w:proofErr w:type="spellStart"/>
      <w:r w:rsidR="00157422" w:rsidRPr="0028766C">
        <w:rPr>
          <w:rFonts w:ascii="Arial Narrow" w:hAnsi="Arial Narrow"/>
        </w:rPr>
        <w:t>Capex</w:t>
      </w:r>
      <w:proofErr w:type="spellEnd"/>
      <w:r w:rsidR="00157422" w:rsidRPr="0028766C">
        <w:rPr>
          <w:rFonts w:ascii="Arial Narrow" w:hAnsi="Arial Narrow"/>
        </w:rPr>
        <w:t xml:space="preserve"> – Response to Draft Decision).</w:t>
      </w:r>
      <w:r w:rsidR="00DC0815" w:rsidRPr="0028766C">
        <w:rPr>
          <w:rFonts w:ascii="Arial Narrow" w:hAnsi="Arial Narrow"/>
        </w:rPr>
        <w:t xml:space="preserve"> In short, </w:t>
      </w:r>
      <w:r w:rsidR="00157422" w:rsidRPr="0028766C">
        <w:rPr>
          <w:rFonts w:ascii="Arial Narrow" w:hAnsi="Arial Narrow"/>
        </w:rPr>
        <w:t>Envestra submits that:</w:t>
      </w:r>
    </w:p>
    <w:p w:rsidR="00DC0815" w:rsidRPr="0090281D" w:rsidRDefault="00DC0815" w:rsidP="000C2FAE">
      <w:pPr>
        <w:pStyle w:val="AERbodytext"/>
        <w:spacing w:after="0"/>
        <w:ind w:left="567"/>
        <w:jc w:val="both"/>
        <w:rPr>
          <w:rFonts w:ascii="Arial Narrow" w:hAnsi="Arial Narrow"/>
          <w:sz w:val="22"/>
          <w:szCs w:val="22"/>
        </w:rPr>
      </w:pPr>
    </w:p>
    <w:p w:rsidR="00157422" w:rsidRPr="0028766C" w:rsidRDefault="00157422" w:rsidP="00DE0E00">
      <w:pPr>
        <w:pStyle w:val="AERbodytext"/>
        <w:numPr>
          <w:ilvl w:val="0"/>
          <w:numId w:val="4"/>
        </w:numPr>
        <w:tabs>
          <w:tab w:val="left" w:pos="426"/>
        </w:tabs>
        <w:spacing w:after="0"/>
        <w:ind w:left="426" w:hanging="426"/>
        <w:jc w:val="both"/>
        <w:rPr>
          <w:rFonts w:ascii="Arial Narrow" w:hAnsi="Arial Narrow"/>
        </w:rPr>
      </w:pPr>
      <w:r w:rsidRPr="0028766C">
        <w:rPr>
          <w:rFonts w:ascii="Arial Narrow" w:hAnsi="Arial Narrow"/>
        </w:rPr>
        <w:t>WC and the AER have misconstrued the meaning of contingency in respect to the way it has been applied by Envestra; and</w:t>
      </w:r>
    </w:p>
    <w:p w:rsidR="00157422" w:rsidRPr="0028766C" w:rsidRDefault="00157422" w:rsidP="00DE0E00">
      <w:pPr>
        <w:pStyle w:val="AERbodytext"/>
        <w:numPr>
          <w:ilvl w:val="0"/>
          <w:numId w:val="4"/>
        </w:numPr>
        <w:tabs>
          <w:tab w:val="left" w:pos="426"/>
        </w:tabs>
        <w:spacing w:after="0"/>
        <w:ind w:left="426" w:hanging="426"/>
        <w:jc w:val="both"/>
        <w:rPr>
          <w:rFonts w:ascii="Arial Narrow" w:hAnsi="Arial Narrow"/>
        </w:rPr>
      </w:pPr>
      <w:r w:rsidRPr="0028766C">
        <w:rPr>
          <w:rFonts w:ascii="Arial Narrow" w:hAnsi="Arial Narrow"/>
        </w:rPr>
        <w:t>it is appropriate to allow a level of contingency.</w:t>
      </w:r>
    </w:p>
    <w:p w:rsidR="00157422" w:rsidRPr="0090281D" w:rsidRDefault="00157422" w:rsidP="000C2FAE">
      <w:pPr>
        <w:pStyle w:val="AERbodytext"/>
        <w:spacing w:after="0"/>
        <w:ind w:left="567"/>
        <w:jc w:val="both"/>
        <w:rPr>
          <w:rFonts w:ascii="Arial Narrow" w:hAnsi="Arial Narrow"/>
          <w:sz w:val="22"/>
          <w:szCs w:val="22"/>
          <w:highlight w:val="cyan"/>
        </w:rPr>
      </w:pPr>
    </w:p>
    <w:p w:rsidR="00157422" w:rsidRPr="0028766C" w:rsidRDefault="00824259" w:rsidP="00225B76">
      <w:pPr>
        <w:pStyle w:val="AERbodytext"/>
        <w:spacing w:after="0"/>
        <w:jc w:val="both"/>
        <w:rPr>
          <w:rFonts w:ascii="Arial Narrow" w:hAnsi="Arial Narrow"/>
          <w:highlight w:val="cyan"/>
        </w:rPr>
      </w:pPr>
      <w:r w:rsidRPr="0028766C">
        <w:rPr>
          <w:rFonts w:ascii="Arial Narrow" w:hAnsi="Arial Narrow"/>
        </w:rPr>
        <w:t xml:space="preserve">In accordance with </w:t>
      </w:r>
      <w:r w:rsidR="007F531D" w:rsidRPr="0028766C">
        <w:rPr>
          <w:rFonts w:ascii="Arial Narrow" w:hAnsi="Arial Narrow"/>
        </w:rPr>
        <w:t>A</w:t>
      </w:r>
      <w:r w:rsidR="00157422" w:rsidRPr="0028766C">
        <w:rPr>
          <w:rFonts w:ascii="Arial Narrow" w:hAnsi="Arial Narrow"/>
        </w:rPr>
        <w:t>tt</w:t>
      </w:r>
      <w:r w:rsidRPr="0028766C">
        <w:rPr>
          <w:rFonts w:ascii="Arial Narrow" w:hAnsi="Arial Narrow"/>
        </w:rPr>
        <w:t xml:space="preserve">achment 7-7 (and as set out in </w:t>
      </w:r>
      <w:r w:rsidR="007F531D" w:rsidRPr="0028766C">
        <w:rPr>
          <w:rFonts w:ascii="Arial Narrow" w:hAnsi="Arial Narrow"/>
        </w:rPr>
        <w:t>A</w:t>
      </w:r>
      <w:r w:rsidR="00157422" w:rsidRPr="0028766C">
        <w:rPr>
          <w:rFonts w:ascii="Arial Narrow" w:hAnsi="Arial Narrow"/>
        </w:rPr>
        <w:t>ppendix A to that attachment), the level of contingency has been reduced by 25%, from $78k to $20</w:t>
      </w:r>
      <w:r w:rsidRPr="0028766C">
        <w:rPr>
          <w:rFonts w:ascii="Arial Narrow" w:hAnsi="Arial Narrow"/>
        </w:rPr>
        <w:t>k</w:t>
      </w:r>
      <w:r w:rsidR="00157422" w:rsidRPr="0028766C">
        <w:rPr>
          <w:rFonts w:ascii="Arial Narrow" w:hAnsi="Arial Narrow"/>
        </w:rPr>
        <w:t>. This results in the following cost for this project.</w:t>
      </w:r>
    </w:p>
    <w:p w:rsidR="00295553" w:rsidRPr="0090281D" w:rsidRDefault="00295553" w:rsidP="000C2FAE">
      <w:pPr>
        <w:pStyle w:val="AERbodytext"/>
        <w:spacing w:after="0"/>
        <w:ind w:left="567"/>
        <w:jc w:val="both"/>
        <w:rPr>
          <w:rFonts w:ascii="Arial Narrow" w:hAnsi="Arial Narrow"/>
          <w:sz w:val="22"/>
          <w:szCs w:val="22"/>
          <w:highlight w:val="cyan"/>
        </w:rPr>
      </w:pPr>
    </w:p>
    <w:tbl>
      <w:tblPr>
        <w:tblW w:w="8790"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4A0"/>
      </w:tblPr>
      <w:tblGrid>
        <w:gridCol w:w="2835"/>
        <w:gridCol w:w="1191"/>
        <w:gridCol w:w="1191"/>
        <w:gridCol w:w="1191"/>
        <w:gridCol w:w="1191"/>
        <w:gridCol w:w="1191"/>
      </w:tblGrid>
      <w:tr w:rsidR="00157422" w:rsidRPr="0028766C" w:rsidTr="00225B76">
        <w:trPr>
          <w:trHeight w:val="411"/>
        </w:trPr>
        <w:tc>
          <w:tcPr>
            <w:tcW w:w="2835" w:type="dxa"/>
            <w:tcBorders>
              <w:right w:val="single" w:sz="4" w:space="0" w:color="FFFFFF"/>
            </w:tcBorders>
            <w:shd w:val="clear" w:color="auto" w:fill="548DD4"/>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 xml:space="preserve">($k </w:t>
            </w:r>
            <w:proofErr w:type="spellStart"/>
            <w:r w:rsidRPr="0028766C">
              <w:rPr>
                <w:rFonts w:ascii="Arial Narrow" w:hAnsi="Arial Narrow"/>
                <w:b/>
                <w:color w:val="FFFFFF"/>
                <w:sz w:val="24"/>
                <w:szCs w:val="24"/>
              </w:rPr>
              <w:t>opex</w:t>
            </w:r>
            <w:proofErr w:type="spellEnd"/>
            <w:r w:rsidRPr="0028766C">
              <w:rPr>
                <w:rFonts w:ascii="Arial Narrow" w:hAnsi="Arial Narrow"/>
                <w:b/>
                <w:color w:val="FFFFFF"/>
                <w:sz w:val="24"/>
                <w:szCs w:val="24"/>
              </w:rPr>
              <w:t>)</w:t>
            </w:r>
          </w:p>
        </w:tc>
        <w:tc>
          <w:tcPr>
            <w:tcW w:w="1191" w:type="dxa"/>
            <w:tcBorders>
              <w:left w:val="single" w:sz="4" w:space="0" w:color="FFFFFF"/>
              <w:right w:val="single" w:sz="4" w:space="0" w:color="FFFFFF"/>
            </w:tcBorders>
            <w:shd w:val="clear" w:color="auto" w:fill="548DD4"/>
            <w:noWrap/>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1191" w:type="dxa"/>
            <w:tcBorders>
              <w:left w:val="single" w:sz="4" w:space="0" w:color="FFFFFF"/>
              <w:right w:val="single" w:sz="4" w:space="0" w:color="FFFFFF"/>
            </w:tcBorders>
            <w:shd w:val="clear" w:color="auto" w:fill="548DD4"/>
            <w:noWrap/>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1191" w:type="dxa"/>
            <w:tcBorders>
              <w:left w:val="single" w:sz="4" w:space="0" w:color="FFFFFF"/>
              <w:right w:val="single" w:sz="4" w:space="0" w:color="FFFFFF"/>
            </w:tcBorders>
            <w:shd w:val="clear" w:color="auto" w:fill="548DD4"/>
            <w:noWrap/>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1191" w:type="dxa"/>
            <w:tcBorders>
              <w:left w:val="single" w:sz="4" w:space="0" w:color="FFFFFF"/>
              <w:right w:val="single" w:sz="4" w:space="0" w:color="FFFFFF"/>
            </w:tcBorders>
            <w:shd w:val="clear" w:color="auto" w:fill="548DD4"/>
            <w:noWrap/>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1191" w:type="dxa"/>
            <w:tcBorders>
              <w:left w:val="single" w:sz="4" w:space="0" w:color="FFFFFF"/>
            </w:tcBorders>
            <w:shd w:val="clear" w:color="auto" w:fill="548DD4"/>
            <w:noWrap/>
            <w:vAlign w:val="center"/>
          </w:tcPr>
          <w:p w:rsidR="00157422" w:rsidRPr="0028766C" w:rsidRDefault="00157422"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r>
      <w:tr w:rsidR="00295553" w:rsidRPr="0028766C" w:rsidTr="00225B76">
        <w:trPr>
          <w:trHeight w:val="411"/>
        </w:trPr>
        <w:tc>
          <w:tcPr>
            <w:tcW w:w="2835" w:type="dxa"/>
            <w:shd w:val="clear" w:color="auto" w:fill="auto"/>
            <w:noWrap/>
            <w:vAlign w:val="center"/>
          </w:tcPr>
          <w:p w:rsidR="00295553" w:rsidRPr="0028766C" w:rsidRDefault="00295553" w:rsidP="00AD0C66">
            <w:pPr>
              <w:spacing w:after="0" w:line="240" w:lineRule="auto"/>
              <w:rPr>
                <w:rFonts w:ascii="Arial Narrow" w:hAnsi="Arial Narrow"/>
                <w:sz w:val="24"/>
                <w:szCs w:val="24"/>
              </w:rPr>
            </w:pPr>
            <w:r w:rsidRPr="0028766C">
              <w:rPr>
                <w:rFonts w:ascii="Arial Narrow" w:hAnsi="Arial Narrow"/>
                <w:sz w:val="24"/>
                <w:szCs w:val="24"/>
              </w:rPr>
              <w:t>Original submission Cost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468</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r>
      <w:tr w:rsidR="00295553" w:rsidRPr="0028766C" w:rsidTr="00225B76">
        <w:trPr>
          <w:trHeight w:val="411"/>
        </w:trPr>
        <w:tc>
          <w:tcPr>
            <w:tcW w:w="2835" w:type="dxa"/>
            <w:shd w:val="clear" w:color="auto" w:fill="auto"/>
            <w:noWrap/>
            <w:vAlign w:val="center"/>
          </w:tcPr>
          <w:p w:rsidR="00295553" w:rsidRPr="0028766C" w:rsidRDefault="00295553" w:rsidP="00AD0C66">
            <w:pPr>
              <w:spacing w:after="0" w:line="240" w:lineRule="auto"/>
              <w:rPr>
                <w:rFonts w:ascii="Arial Narrow" w:hAnsi="Arial Narrow"/>
                <w:sz w:val="24"/>
                <w:szCs w:val="24"/>
              </w:rPr>
            </w:pPr>
            <w:r w:rsidRPr="0028766C">
              <w:rPr>
                <w:rFonts w:ascii="Arial Narrow" w:hAnsi="Arial Narrow"/>
                <w:sz w:val="24"/>
                <w:szCs w:val="24"/>
              </w:rPr>
              <w:t>Revised Cost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449</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c>
          <w:tcPr>
            <w:tcW w:w="1191" w:type="dxa"/>
            <w:shd w:val="clear" w:color="auto" w:fill="auto"/>
            <w:noWrap/>
            <w:vAlign w:val="center"/>
          </w:tcPr>
          <w:p w:rsidR="00295553" w:rsidRPr="0028766C" w:rsidRDefault="00295553" w:rsidP="000C2FAE">
            <w:pPr>
              <w:spacing w:after="0" w:line="240" w:lineRule="auto"/>
              <w:jc w:val="center"/>
              <w:rPr>
                <w:rFonts w:ascii="Arial Narrow" w:hAnsi="Arial Narrow"/>
                <w:sz w:val="24"/>
                <w:szCs w:val="24"/>
              </w:rPr>
            </w:pPr>
            <w:r w:rsidRPr="0028766C">
              <w:rPr>
                <w:rFonts w:ascii="Arial Narrow" w:hAnsi="Arial Narrow"/>
                <w:sz w:val="24"/>
                <w:szCs w:val="24"/>
              </w:rPr>
              <w:t>-</w:t>
            </w:r>
          </w:p>
        </w:tc>
      </w:tr>
    </w:tbl>
    <w:p w:rsidR="006A74F2" w:rsidRPr="0090281D" w:rsidRDefault="006A74F2" w:rsidP="000C2FAE">
      <w:pPr>
        <w:pStyle w:val="AERbodytext"/>
        <w:spacing w:after="0"/>
        <w:ind w:left="567"/>
        <w:jc w:val="both"/>
        <w:rPr>
          <w:rFonts w:ascii="Arial Narrow" w:hAnsi="Arial Narrow"/>
          <w:b/>
          <w:sz w:val="22"/>
          <w:szCs w:val="22"/>
        </w:rPr>
      </w:pPr>
    </w:p>
    <w:p w:rsidR="00147246" w:rsidRPr="0028766C" w:rsidRDefault="00824259" w:rsidP="000C2FAE">
      <w:pPr>
        <w:pStyle w:val="Heading1"/>
        <w:spacing w:before="0" w:line="240" w:lineRule="auto"/>
        <w:rPr>
          <w:szCs w:val="24"/>
        </w:rPr>
      </w:pPr>
      <w:r w:rsidRPr="0028766C">
        <w:rPr>
          <w:szCs w:val="24"/>
        </w:rPr>
        <w:t xml:space="preserve">Calculation </w:t>
      </w:r>
      <w:r w:rsidR="00147246" w:rsidRPr="0028766C">
        <w:rPr>
          <w:szCs w:val="24"/>
        </w:rPr>
        <w:t>Error in the Draft Decision</w:t>
      </w:r>
    </w:p>
    <w:p w:rsidR="00147246" w:rsidRPr="0090281D" w:rsidRDefault="00147246" w:rsidP="000C2FAE">
      <w:pPr>
        <w:pStyle w:val="AERbodytext"/>
        <w:spacing w:after="0"/>
        <w:jc w:val="both"/>
        <w:rPr>
          <w:rFonts w:ascii="Arial Narrow" w:hAnsi="Arial Narrow"/>
          <w:b/>
          <w:sz w:val="22"/>
          <w:szCs w:val="22"/>
          <w:highlight w:val="green"/>
        </w:rPr>
      </w:pPr>
    </w:p>
    <w:p w:rsidR="008030CA" w:rsidRPr="0028766C" w:rsidRDefault="00147246" w:rsidP="00A67355">
      <w:pPr>
        <w:pStyle w:val="AERbodytext"/>
        <w:spacing w:after="0"/>
        <w:jc w:val="both"/>
        <w:rPr>
          <w:rFonts w:ascii="Arial Narrow" w:hAnsi="Arial Narrow"/>
        </w:rPr>
      </w:pPr>
      <w:r w:rsidRPr="0028766C">
        <w:rPr>
          <w:rFonts w:ascii="Arial Narrow" w:hAnsi="Arial Narrow"/>
        </w:rPr>
        <w:t xml:space="preserve">In its Draft Decision, the AER adopted the WC recommendation in concluding that </w:t>
      </w:r>
      <w:proofErr w:type="spellStart"/>
      <w:r w:rsidRPr="0028766C">
        <w:rPr>
          <w:rFonts w:ascii="Arial Narrow" w:hAnsi="Arial Narrow"/>
        </w:rPr>
        <w:t>Envestra’s</w:t>
      </w:r>
      <w:proofErr w:type="spellEnd"/>
      <w:r w:rsidRPr="0028766C">
        <w:rPr>
          <w:rFonts w:ascii="Arial Narrow" w:hAnsi="Arial Narrow"/>
        </w:rPr>
        <w:t xml:space="preserve"> costs should be “amended to include only the direct and administration costs”</w:t>
      </w:r>
      <w:r w:rsidR="008030CA" w:rsidRPr="0028766C">
        <w:rPr>
          <w:rStyle w:val="FootnoteReference"/>
          <w:rFonts w:ascii="Arial Narrow" w:hAnsi="Arial Narrow"/>
        </w:rPr>
        <w:footnoteReference w:id="32"/>
      </w:r>
      <w:r w:rsidR="008030CA" w:rsidRPr="0028766C">
        <w:rPr>
          <w:rFonts w:ascii="Arial Narrow" w:hAnsi="Arial Narrow"/>
        </w:rPr>
        <w:t>. WC recommended a reduction in cost, in line with their recommendation, of $60k per year (</w:t>
      </w:r>
      <w:r w:rsidR="00824259" w:rsidRPr="0028766C">
        <w:rPr>
          <w:rFonts w:ascii="Arial Narrow" w:hAnsi="Arial Narrow"/>
        </w:rPr>
        <w:t xml:space="preserve">see table 6.7, page </w:t>
      </w:r>
      <w:r w:rsidR="008030CA" w:rsidRPr="0028766C">
        <w:rPr>
          <w:rFonts w:ascii="Arial Narrow" w:hAnsi="Arial Narrow"/>
        </w:rPr>
        <w:t xml:space="preserve">62 of </w:t>
      </w:r>
      <w:r w:rsidR="00824259" w:rsidRPr="0028766C">
        <w:rPr>
          <w:rFonts w:ascii="Arial Narrow" w:hAnsi="Arial Narrow"/>
        </w:rPr>
        <w:t xml:space="preserve">the </w:t>
      </w:r>
      <w:r w:rsidR="008030CA" w:rsidRPr="0028766C">
        <w:rPr>
          <w:rFonts w:ascii="Arial Narrow" w:hAnsi="Arial Narrow"/>
        </w:rPr>
        <w:t>WC report), reflecting the step change (from the base year) of direct and administration costs of $76k per year.</w:t>
      </w:r>
    </w:p>
    <w:p w:rsidR="00147246" w:rsidRPr="0028766C" w:rsidRDefault="008030CA" w:rsidP="00A67355">
      <w:pPr>
        <w:pStyle w:val="AERbodytext"/>
        <w:spacing w:after="0"/>
        <w:jc w:val="both"/>
        <w:rPr>
          <w:rFonts w:ascii="Arial Narrow" w:hAnsi="Arial Narrow"/>
        </w:rPr>
      </w:pPr>
      <w:r w:rsidRPr="0028766C">
        <w:rPr>
          <w:rFonts w:ascii="Arial Narrow" w:hAnsi="Arial Narrow"/>
        </w:rPr>
        <w:lastRenderedPageBreak/>
        <w:t>However, Table 8.13 (p168) of the Draft Decision shows a reduction of $90k per year. Envestra accepts the Draft Decision intent as set out in the WC report and page 164 of the Draft Decision, and has reflected the correct number in its revised A</w:t>
      </w:r>
      <w:r w:rsidR="007F531D" w:rsidRPr="0028766C">
        <w:rPr>
          <w:rFonts w:ascii="Arial Narrow" w:hAnsi="Arial Narrow"/>
        </w:rPr>
        <w:t>AI</w:t>
      </w:r>
      <w:r w:rsidRPr="0028766C">
        <w:rPr>
          <w:rFonts w:ascii="Arial Narrow" w:hAnsi="Arial Narrow"/>
        </w:rPr>
        <w:t>.</w:t>
      </w:r>
    </w:p>
    <w:p w:rsidR="00E96FE0" w:rsidRPr="0028766C" w:rsidRDefault="00E96FE0" w:rsidP="000C2FAE">
      <w:pPr>
        <w:pStyle w:val="AERbodytext"/>
        <w:spacing w:after="0"/>
        <w:ind w:left="567"/>
        <w:jc w:val="both"/>
        <w:rPr>
          <w:rFonts w:ascii="Arial Narrow" w:hAnsi="Arial Narrow"/>
          <w:b/>
        </w:rPr>
      </w:pPr>
    </w:p>
    <w:p w:rsidR="00E96FE0" w:rsidRPr="0028766C" w:rsidRDefault="00E96FE0" w:rsidP="000C2FAE">
      <w:pPr>
        <w:pStyle w:val="Heading1"/>
        <w:spacing w:before="0" w:line="240" w:lineRule="auto"/>
        <w:rPr>
          <w:szCs w:val="24"/>
        </w:rPr>
      </w:pPr>
      <w:r w:rsidRPr="0028766C">
        <w:rPr>
          <w:szCs w:val="24"/>
        </w:rPr>
        <w:t>Su</w:t>
      </w:r>
      <w:r w:rsidR="00147246" w:rsidRPr="0028766C">
        <w:rPr>
          <w:szCs w:val="24"/>
        </w:rPr>
        <w:t>mmary</w:t>
      </w:r>
    </w:p>
    <w:p w:rsidR="00E96FE0" w:rsidRPr="0028766C" w:rsidRDefault="00E96FE0" w:rsidP="000C2FAE">
      <w:pPr>
        <w:pStyle w:val="AERbodytext"/>
        <w:spacing w:after="0"/>
        <w:ind w:left="567"/>
        <w:jc w:val="both"/>
        <w:rPr>
          <w:rFonts w:ascii="Arial Narrow" w:hAnsi="Arial Narrow"/>
          <w:b/>
        </w:rPr>
      </w:pPr>
    </w:p>
    <w:p w:rsidR="00E96FE0" w:rsidRPr="0028766C" w:rsidRDefault="00E96FE0" w:rsidP="00A67355">
      <w:pPr>
        <w:pStyle w:val="AERbodytext"/>
        <w:spacing w:after="0"/>
        <w:jc w:val="both"/>
        <w:rPr>
          <w:rFonts w:ascii="Arial Narrow" w:hAnsi="Arial Narrow"/>
        </w:rPr>
      </w:pPr>
      <w:proofErr w:type="spellStart"/>
      <w:r w:rsidRPr="0028766C">
        <w:rPr>
          <w:rFonts w:ascii="Arial Narrow" w:hAnsi="Arial Narrow"/>
        </w:rPr>
        <w:t>Envestra’s</w:t>
      </w:r>
      <w:proofErr w:type="spellEnd"/>
      <w:r w:rsidRPr="0028766C">
        <w:rPr>
          <w:rFonts w:ascii="Arial Narrow" w:hAnsi="Arial Narrow"/>
        </w:rPr>
        <w:t xml:space="preserve"> original AAI contained the following forecast (as per Table 6.1) of </w:t>
      </w:r>
      <w:proofErr w:type="spellStart"/>
      <w:r w:rsidRPr="0028766C">
        <w:rPr>
          <w:rFonts w:ascii="Arial Narrow" w:hAnsi="Arial Narrow"/>
        </w:rPr>
        <w:t>opex</w:t>
      </w:r>
      <w:proofErr w:type="spellEnd"/>
      <w:r w:rsidRPr="0028766C">
        <w:rPr>
          <w:rFonts w:ascii="Arial Narrow" w:hAnsi="Arial Narrow"/>
        </w:rPr>
        <w:t>.</w:t>
      </w:r>
    </w:p>
    <w:p w:rsidR="00E96FE0" w:rsidRPr="0028766C" w:rsidRDefault="00E96FE0" w:rsidP="000C2FAE">
      <w:pPr>
        <w:pStyle w:val="AERbodytext"/>
        <w:spacing w:after="0"/>
        <w:ind w:left="567"/>
        <w:jc w:val="both"/>
        <w:rPr>
          <w:rFonts w:ascii="Arial Narrow" w:hAnsi="Arial Narrow"/>
        </w:rPr>
      </w:pPr>
    </w:p>
    <w:tbl>
      <w:tblPr>
        <w:tblW w:w="8841" w:type="dxa"/>
        <w:tblInd w:w="1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0" w:type="dxa"/>
          <w:right w:w="0" w:type="dxa"/>
        </w:tblCellMar>
        <w:tblLook w:val="0000"/>
      </w:tblPr>
      <w:tblGrid>
        <w:gridCol w:w="2721"/>
        <w:gridCol w:w="1020"/>
        <w:gridCol w:w="1020"/>
        <w:gridCol w:w="1020"/>
        <w:gridCol w:w="1020"/>
        <w:gridCol w:w="1020"/>
        <w:gridCol w:w="1020"/>
      </w:tblGrid>
      <w:tr w:rsidR="00E96FE0" w:rsidRPr="0028766C" w:rsidTr="00C82CCA">
        <w:trPr>
          <w:trHeight w:val="706"/>
        </w:trPr>
        <w:tc>
          <w:tcPr>
            <w:tcW w:w="2721" w:type="dxa"/>
            <w:tcBorders>
              <w:right w:val="single" w:sz="4" w:space="0" w:color="548DD4"/>
            </w:tcBorders>
            <w:shd w:val="clear" w:color="auto" w:fill="548DD4"/>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b/>
                <w:color w:val="FFFFFF"/>
                <w:sz w:val="24"/>
                <w:szCs w:val="24"/>
              </w:rPr>
            </w:pPr>
            <w:proofErr w:type="spellStart"/>
            <w:r w:rsidRPr="0028766C">
              <w:rPr>
                <w:rFonts w:ascii="Arial Narrow" w:hAnsi="Arial Narrow"/>
                <w:b/>
                <w:color w:val="FFFFFF"/>
                <w:sz w:val="24"/>
                <w:szCs w:val="24"/>
              </w:rPr>
              <w:t>Opex</w:t>
            </w:r>
            <w:proofErr w:type="spellEnd"/>
            <w:r w:rsidRPr="0028766C">
              <w:rPr>
                <w:rFonts w:ascii="Arial Narrow" w:hAnsi="Arial Narrow"/>
                <w:b/>
                <w:color w:val="FFFFFF"/>
                <w:sz w:val="24"/>
                <w:szCs w:val="24"/>
              </w:rPr>
              <w:t xml:space="preserve"> Summary</w:t>
            </w:r>
          </w:p>
          <w:p w:rsidR="00E96FE0" w:rsidRPr="0028766C" w:rsidRDefault="00E96FE0" w:rsidP="000C2FAE">
            <w:pPr>
              <w:spacing w:after="0" w:line="240" w:lineRule="auto"/>
              <w:ind w:left="127"/>
              <w:rPr>
                <w:rFonts w:ascii="Arial Narrow" w:hAnsi="Arial Narrow"/>
                <w:b/>
                <w:color w:val="FFFFFF"/>
                <w:sz w:val="24"/>
                <w:szCs w:val="24"/>
              </w:rPr>
            </w:pPr>
            <w:r w:rsidRPr="0028766C">
              <w:rPr>
                <w:rFonts w:ascii="Arial Narrow" w:hAnsi="Arial Narrow"/>
                <w:b/>
                <w:color w:val="FFFFFF"/>
                <w:sz w:val="24"/>
                <w:szCs w:val="24"/>
              </w:rPr>
              <w:t>$m (real 09-10)</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c>
          <w:tcPr>
            <w:tcW w:w="1020" w:type="dxa"/>
            <w:tcBorders>
              <w:left w:val="single" w:sz="4" w:space="0" w:color="548DD4"/>
            </w:tcBorders>
            <w:shd w:val="clear" w:color="auto" w:fill="548DD4"/>
            <w:vAlign w:val="center"/>
          </w:tcPr>
          <w:p w:rsidR="00E96FE0" w:rsidRPr="0028766C" w:rsidRDefault="00E96FE0" w:rsidP="00C82CCA">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Total</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Operating &amp; Maintenance</w:t>
            </w:r>
          </w:p>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(includes FRC)</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32.84</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33.40</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34.01</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34.49</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34.92</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169.66</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Admin &amp; General</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8.49</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8.67</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8.88</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9.07</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9.23</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44.35</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UAFG</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13.91</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13.89</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13.00</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11.82</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10.31</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62.92</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Network Development</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7.82</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8.14</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8.46</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8.79</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8.70</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41.91</w:t>
            </w:r>
          </w:p>
        </w:tc>
      </w:tr>
      <w:tr w:rsidR="00E96FE0" w:rsidRPr="0028766C" w:rsidTr="00C82CCA">
        <w:trPr>
          <w:trHeight w:val="454"/>
        </w:trPr>
        <w:tc>
          <w:tcPr>
            <w:tcW w:w="2721" w:type="dxa"/>
            <w:shd w:val="clear" w:color="auto" w:fill="FFFFFF"/>
            <w:vAlign w:val="center"/>
          </w:tcPr>
          <w:p w:rsidR="00E96FE0" w:rsidRPr="0028766C" w:rsidRDefault="00E96FE0" w:rsidP="00E229BB">
            <w:pPr>
              <w:spacing w:after="0" w:line="240" w:lineRule="auto"/>
              <w:ind w:left="142"/>
              <w:rPr>
                <w:rFonts w:ascii="Arial Narrow" w:hAnsi="Arial Narrow"/>
                <w:sz w:val="24"/>
                <w:szCs w:val="24"/>
              </w:rPr>
            </w:pPr>
            <w:r w:rsidRPr="0028766C">
              <w:rPr>
                <w:rFonts w:ascii="Arial Narrow" w:hAnsi="Arial Narrow"/>
                <w:sz w:val="24"/>
                <w:szCs w:val="24"/>
              </w:rPr>
              <w:t>Non Base Year Costs</w:t>
            </w:r>
          </w:p>
        </w:tc>
        <w:tc>
          <w:tcPr>
            <w:tcW w:w="1020" w:type="dxa"/>
            <w:shd w:val="clear" w:color="auto" w:fill="FFFFFF"/>
            <w:tcMar>
              <w:bottom w:w="0" w:type="dxa"/>
            </w:tcMar>
            <w:vAlign w:val="center"/>
          </w:tcPr>
          <w:p w:rsidR="00E96FE0" w:rsidRPr="0028766C" w:rsidRDefault="00E96FE0" w:rsidP="00A922CA">
            <w:pPr>
              <w:spacing w:after="0" w:line="240" w:lineRule="auto"/>
              <w:ind w:left="-27"/>
              <w:jc w:val="center"/>
              <w:rPr>
                <w:rFonts w:ascii="Arial Narrow" w:hAnsi="Arial Narrow"/>
                <w:sz w:val="24"/>
                <w:szCs w:val="24"/>
              </w:rPr>
            </w:pPr>
            <w:r w:rsidRPr="0028766C">
              <w:rPr>
                <w:rFonts w:ascii="Arial Narrow" w:hAnsi="Arial Narrow"/>
                <w:sz w:val="24"/>
                <w:szCs w:val="24"/>
              </w:rPr>
              <w:t>3.72</w:t>
            </w:r>
          </w:p>
        </w:tc>
        <w:tc>
          <w:tcPr>
            <w:tcW w:w="1020" w:type="dxa"/>
            <w:shd w:val="clear" w:color="auto" w:fill="FFFFFF"/>
            <w:tcMar>
              <w:top w:w="15" w:type="dxa"/>
              <w:left w:w="180" w:type="dxa"/>
              <w:bottom w:w="0" w:type="dxa"/>
              <w:right w:w="15" w:type="dxa"/>
            </w:tcMar>
            <w:vAlign w:val="center"/>
          </w:tcPr>
          <w:p w:rsidR="00E96FE0" w:rsidRPr="0028766C" w:rsidRDefault="00E96FE0" w:rsidP="00C82CCA">
            <w:pPr>
              <w:spacing w:after="0" w:line="240" w:lineRule="auto"/>
              <w:ind w:left="-211"/>
              <w:jc w:val="center"/>
              <w:rPr>
                <w:rFonts w:ascii="Arial Narrow" w:hAnsi="Arial Narrow"/>
                <w:sz w:val="24"/>
                <w:szCs w:val="24"/>
              </w:rPr>
            </w:pPr>
            <w:r w:rsidRPr="0028766C">
              <w:rPr>
                <w:rFonts w:ascii="Arial Narrow" w:hAnsi="Arial Narrow"/>
                <w:sz w:val="24"/>
                <w:szCs w:val="24"/>
              </w:rPr>
              <w:t>3.43</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2.87</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2.37</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ind w:left="-12"/>
              <w:jc w:val="center"/>
              <w:rPr>
                <w:rFonts w:ascii="Arial Narrow" w:hAnsi="Arial Narrow"/>
                <w:sz w:val="24"/>
                <w:szCs w:val="24"/>
              </w:rPr>
            </w:pPr>
            <w:r w:rsidRPr="0028766C">
              <w:rPr>
                <w:rFonts w:ascii="Arial Narrow" w:hAnsi="Arial Narrow"/>
                <w:sz w:val="24"/>
                <w:szCs w:val="24"/>
              </w:rPr>
              <w:t>1.68</w:t>
            </w:r>
          </w:p>
        </w:tc>
        <w:tc>
          <w:tcPr>
            <w:tcW w:w="1020" w:type="dxa"/>
            <w:shd w:val="clear" w:color="auto" w:fill="FFFFFF"/>
            <w:vAlign w:val="center"/>
          </w:tcPr>
          <w:p w:rsidR="00E96FE0" w:rsidRPr="0028766C" w:rsidRDefault="00E96FE0" w:rsidP="00C82CCA">
            <w:pPr>
              <w:spacing w:after="0" w:line="240" w:lineRule="auto"/>
              <w:ind w:left="-38"/>
              <w:jc w:val="center"/>
              <w:rPr>
                <w:rFonts w:ascii="Arial Narrow" w:hAnsi="Arial Narrow"/>
                <w:b/>
                <w:sz w:val="24"/>
                <w:szCs w:val="24"/>
              </w:rPr>
            </w:pPr>
            <w:r w:rsidRPr="0028766C">
              <w:rPr>
                <w:rFonts w:ascii="Arial Narrow" w:hAnsi="Arial Narrow"/>
                <w:b/>
                <w:sz w:val="24"/>
                <w:szCs w:val="24"/>
              </w:rPr>
              <w:t>14.08</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sz w:val="24"/>
                <w:szCs w:val="24"/>
              </w:rPr>
            </w:pPr>
            <w:r w:rsidRPr="0028766C">
              <w:rPr>
                <w:rFonts w:ascii="Arial Narrow" w:hAnsi="Arial Narrow"/>
                <w:sz w:val="24"/>
                <w:szCs w:val="24"/>
              </w:rPr>
              <w:t>Incremental Growth</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0.20</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0.37</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0.54</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sz w:val="24"/>
                <w:szCs w:val="24"/>
              </w:rPr>
            </w:pPr>
            <w:r w:rsidRPr="0028766C">
              <w:rPr>
                <w:rFonts w:ascii="Arial Narrow" w:hAnsi="Arial Narrow"/>
                <w:sz w:val="24"/>
                <w:szCs w:val="24"/>
              </w:rPr>
              <w:t>0.73</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sz w:val="24"/>
                <w:szCs w:val="24"/>
              </w:rPr>
            </w:pPr>
            <w:r w:rsidRPr="0028766C">
              <w:rPr>
                <w:rFonts w:ascii="Arial Narrow" w:hAnsi="Arial Narrow"/>
                <w:sz w:val="24"/>
                <w:szCs w:val="24"/>
              </w:rPr>
              <w:t>0.92</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2.76</w:t>
            </w:r>
          </w:p>
        </w:tc>
      </w:tr>
      <w:tr w:rsidR="00E96FE0" w:rsidRPr="0028766C" w:rsidTr="00C82CCA">
        <w:trPr>
          <w:trHeight w:val="454"/>
        </w:trPr>
        <w:tc>
          <w:tcPr>
            <w:tcW w:w="2721" w:type="dxa"/>
            <w:shd w:val="clear" w:color="auto" w:fill="FFFFFF"/>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b/>
                <w:sz w:val="24"/>
                <w:szCs w:val="24"/>
              </w:rPr>
            </w:pPr>
            <w:r w:rsidRPr="0028766C">
              <w:rPr>
                <w:rFonts w:ascii="Arial Narrow" w:hAnsi="Arial Narrow"/>
                <w:b/>
                <w:sz w:val="24"/>
                <w:szCs w:val="24"/>
              </w:rPr>
              <w:t xml:space="preserve">Total $m </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66.98</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67.90</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67.76</w:t>
            </w:r>
          </w:p>
        </w:tc>
        <w:tc>
          <w:tcPr>
            <w:tcW w:w="1020" w:type="dxa"/>
            <w:shd w:val="clear" w:color="auto" w:fill="FFFFFF"/>
            <w:tcMar>
              <w:top w:w="15" w:type="dxa"/>
              <w:left w:w="15" w:type="dxa"/>
              <w:bottom w:w="0" w:type="dxa"/>
              <w:right w:w="15" w:type="dxa"/>
            </w:tcMar>
            <w:vAlign w:val="center"/>
          </w:tcPr>
          <w:p w:rsidR="00E96FE0" w:rsidRPr="0028766C" w:rsidRDefault="00E96FE0" w:rsidP="009E3BA2">
            <w:pPr>
              <w:spacing w:after="0" w:line="240" w:lineRule="auto"/>
              <w:jc w:val="center"/>
              <w:rPr>
                <w:rFonts w:ascii="Arial Narrow" w:hAnsi="Arial Narrow"/>
                <w:b/>
                <w:sz w:val="24"/>
                <w:szCs w:val="24"/>
              </w:rPr>
            </w:pPr>
            <w:r w:rsidRPr="0028766C">
              <w:rPr>
                <w:rFonts w:ascii="Arial Narrow" w:hAnsi="Arial Narrow"/>
                <w:b/>
                <w:sz w:val="24"/>
                <w:szCs w:val="24"/>
              </w:rPr>
              <w:t>67.28</w:t>
            </w:r>
          </w:p>
        </w:tc>
        <w:tc>
          <w:tcPr>
            <w:tcW w:w="1020" w:type="dxa"/>
            <w:shd w:val="clear" w:color="auto" w:fill="FFFFFF"/>
            <w:tcMar>
              <w:top w:w="15" w:type="dxa"/>
              <w:left w:w="15" w:type="dxa"/>
              <w:bottom w:w="0" w:type="dxa"/>
              <w:right w:w="15" w:type="dxa"/>
            </w:tcMar>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65.76</w:t>
            </w:r>
          </w:p>
        </w:tc>
        <w:tc>
          <w:tcPr>
            <w:tcW w:w="1020" w:type="dxa"/>
            <w:shd w:val="clear" w:color="auto" w:fill="FFFFFF"/>
            <w:vAlign w:val="center"/>
          </w:tcPr>
          <w:p w:rsidR="00E96FE0" w:rsidRPr="0028766C" w:rsidRDefault="00E96FE0" w:rsidP="00C82CCA">
            <w:pPr>
              <w:spacing w:after="0" w:line="240" w:lineRule="auto"/>
              <w:jc w:val="center"/>
              <w:rPr>
                <w:rFonts w:ascii="Arial Narrow" w:hAnsi="Arial Narrow"/>
                <w:b/>
                <w:sz w:val="24"/>
                <w:szCs w:val="24"/>
              </w:rPr>
            </w:pPr>
            <w:r w:rsidRPr="0028766C">
              <w:rPr>
                <w:rFonts w:ascii="Arial Narrow" w:hAnsi="Arial Narrow"/>
                <w:b/>
                <w:sz w:val="24"/>
                <w:szCs w:val="24"/>
              </w:rPr>
              <w:t>335.69</w:t>
            </w:r>
          </w:p>
        </w:tc>
      </w:tr>
    </w:tbl>
    <w:p w:rsidR="00E96FE0" w:rsidRPr="0028766C" w:rsidRDefault="00E96FE0" w:rsidP="000C2FAE">
      <w:pPr>
        <w:pStyle w:val="AERbodytext"/>
        <w:spacing w:after="0"/>
        <w:ind w:left="567"/>
        <w:jc w:val="both"/>
        <w:rPr>
          <w:rFonts w:ascii="Arial Narrow" w:hAnsi="Arial Narrow"/>
        </w:rPr>
      </w:pPr>
    </w:p>
    <w:p w:rsidR="00E96FE0" w:rsidRPr="0028766C" w:rsidRDefault="00E96FE0" w:rsidP="00543D8C">
      <w:pPr>
        <w:pStyle w:val="AERbodytext"/>
        <w:spacing w:after="0"/>
        <w:jc w:val="both"/>
        <w:rPr>
          <w:rFonts w:ascii="Arial Narrow" w:hAnsi="Arial Narrow"/>
        </w:rPr>
      </w:pPr>
      <w:r w:rsidRPr="0028766C">
        <w:rPr>
          <w:rFonts w:ascii="Arial Narrow" w:hAnsi="Arial Narrow"/>
        </w:rPr>
        <w:t xml:space="preserve">Taking into account the Draft Decision and the issues discussed in this document, the following table sets out </w:t>
      </w:r>
      <w:proofErr w:type="spellStart"/>
      <w:r w:rsidRPr="0028766C">
        <w:rPr>
          <w:rFonts w:ascii="Arial Narrow" w:hAnsi="Arial Narrow"/>
        </w:rPr>
        <w:t>Envestra’s</w:t>
      </w:r>
      <w:proofErr w:type="spellEnd"/>
      <w:r w:rsidRPr="0028766C">
        <w:rPr>
          <w:rFonts w:ascii="Arial Narrow" w:hAnsi="Arial Narrow"/>
        </w:rPr>
        <w:t xml:space="preserve"> revised </w:t>
      </w:r>
      <w:proofErr w:type="spellStart"/>
      <w:r w:rsidRPr="0028766C">
        <w:rPr>
          <w:rFonts w:ascii="Arial Narrow" w:hAnsi="Arial Narrow"/>
        </w:rPr>
        <w:t>opex</w:t>
      </w:r>
      <w:proofErr w:type="spellEnd"/>
      <w:r w:rsidRPr="0028766C">
        <w:rPr>
          <w:rFonts w:ascii="Arial Narrow" w:hAnsi="Arial Narrow"/>
        </w:rPr>
        <w:t xml:space="preserve"> in this revised A</w:t>
      </w:r>
      <w:r w:rsidR="00824259" w:rsidRPr="0028766C">
        <w:rPr>
          <w:rFonts w:ascii="Arial Narrow" w:hAnsi="Arial Narrow"/>
        </w:rPr>
        <w:t>AI</w:t>
      </w:r>
      <w:r w:rsidRPr="0028766C">
        <w:rPr>
          <w:rFonts w:ascii="Arial Narrow" w:hAnsi="Arial Narrow"/>
        </w:rPr>
        <w:t>.</w:t>
      </w:r>
    </w:p>
    <w:p w:rsidR="00E96FE0" w:rsidRPr="0028766C" w:rsidRDefault="00E96FE0" w:rsidP="000C2FAE">
      <w:pPr>
        <w:pStyle w:val="AERbodytext"/>
        <w:spacing w:after="0"/>
        <w:ind w:left="567"/>
        <w:jc w:val="both"/>
        <w:rPr>
          <w:rFonts w:ascii="Arial Narrow" w:hAnsi="Arial Narrow"/>
        </w:rPr>
      </w:pPr>
    </w:p>
    <w:tbl>
      <w:tblPr>
        <w:tblW w:w="8841" w:type="dxa"/>
        <w:tblInd w:w="1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CellMar>
          <w:left w:w="0" w:type="dxa"/>
          <w:right w:w="0" w:type="dxa"/>
        </w:tblCellMar>
        <w:tblLook w:val="0000"/>
      </w:tblPr>
      <w:tblGrid>
        <w:gridCol w:w="2721"/>
        <w:gridCol w:w="1020"/>
        <w:gridCol w:w="1020"/>
        <w:gridCol w:w="1020"/>
        <w:gridCol w:w="1020"/>
        <w:gridCol w:w="1020"/>
        <w:gridCol w:w="1020"/>
      </w:tblGrid>
      <w:tr w:rsidR="00E96FE0" w:rsidRPr="0028766C" w:rsidTr="0058101F">
        <w:trPr>
          <w:trHeight w:val="706"/>
        </w:trPr>
        <w:tc>
          <w:tcPr>
            <w:tcW w:w="2721" w:type="dxa"/>
            <w:tcBorders>
              <w:right w:val="single" w:sz="4" w:space="0" w:color="548DD4"/>
            </w:tcBorders>
            <w:shd w:val="clear" w:color="auto" w:fill="548DD4"/>
            <w:tcMar>
              <w:top w:w="15" w:type="dxa"/>
              <w:left w:w="15" w:type="dxa"/>
              <w:bottom w:w="0" w:type="dxa"/>
              <w:right w:w="15" w:type="dxa"/>
            </w:tcMar>
            <w:vAlign w:val="center"/>
          </w:tcPr>
          <w:p w:rsidR="00E96FE0" w:rsidRPr="0028766C" w:rsidRDefault="00E96FE0" w:rsidP="000C2FAE">
            <w:pPr>
              <w:spacing w:after="0" w:line="240" w:lineRule="auto"/>
              <w:ind w:left="127"/>
              <w:rPr>
                <w:rFonts w:ascii="Arial Narrow" w:hAnsi="Arial Narrow"/>
                <w:b/>
                <w:color w:val="FFFFFF"/>
                <w:sz w:val="24"/>
                <w:szCs w:val="24"/>
              </w:rPr>
            </w:pPr>
            <w:proofErr w:type="spellStart"/>
            <w:r w:rsidRPr="0028766C">
              <w:rPr>
                <w:rFonts w:ascii="Arial Narrow" w:hAnsi="Arial Narrow"/>
                <w:b/>
                <w:color w:val="FFFFFF"/>
                <w:sz w:val="24"/>
                <w:szCs w:val="24"/>
              </w:rPr>
              <w:t>Opex</w:t>
            </w:r>
            <w:proofErr w:type="spellEnd"/>
            <w:r w:rsidRPr="0028766C">
              <w:rPr>
                <w:rFonts w:ascii="Arial Narrow" w:hAnsi="Arial Narrow"/>
                <w:b/>
                <w:color w:val="FFFFFF"/>
                <w:sz w:val="24"/>
                <w:szCs w:val="24"/>
              </w:rPr>
              <w:t xml:space="preserve"> Summary</w:t>
            </w:r>
          </w:p>
          <w:p w:rsidR="00E96FE0" w:rsidRPr="0028766C" w:rsidRDefault="00E96FE0" w:rsidP="000C2FAE">
            <w:pPr>
              <w:spacing w:after="0" w:line="240" w:lineRule="auto"/>
              <w:ind w:left="127"/>
              <w:rPr>
                <w:rFonts w:ascii="Arial Narrow" w:hAnsi="Arial Narrow"/>
                <w:b/>
                <w:color w:val="FFFFFF"/>
                <w:sz w:val="24"/>
                <w:szCs w:val="24"/>
              </w:rPr>
            </w:pPr>
            <w:r w:rsidRPr="0028766C">
              <w:rPr>
                <w:rFonts w:ascii="Arial Narrow" w:hAnsi="Arial Narrow"/>
                <w:b/>
                <w:color w:val="FFFFFF"/>
                <w:sz w:val="24"/>
                <w:szCs w:val="24"/>
              </w:rPr>
              <w:t>$m (real 09-10)</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2011-12</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2012-13</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2013-14</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2014-15</w:t>
            </w:r>
          </w:p>
        </w:tc>
        <w:tc>
          <w:tcPr>
            <w:tcW w:w="1020" w:type="dxa"/>
            <w:tcBorders>
              <w:left w:val="single" w:sz="4" w:space="0" w:color="548DD4"/>
              <w:right w:val="single" w:sz="4" w:space="0" w:color="548DD4"/>
            </w:tcBorders>
            <w:shd w:val="clear" w:color="auto" w:fill="548DD4"/>
            <w:noWrap/>
            <w:tcMar>
              <w:top w:w="15" w:type="dxa"/>
              <w:left w:w="15" w:type="dxa"/>
              <w:bottom w:w="0" w:type="dxa"/>
              <w:right w:w="15" w:type="dxa"/>
            </w:tcMar>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2015-16</w:t>
            </w:r>
          </w:p>
        </w:tc>
        <w:tc>
          <w:tcPr>
            <w:tcW w:w="1020" w:type="dxa"/>
            <w:tcBorders>
              <w:left w:val="single" w:sz="4" w:space="0" w:color="548DD4"/>
            </w:tcBorders>
            <w:shd w:val="clear" w:color="auto" w:fill="548DD4"/>
            <w:vAlign w:val="center"/>
          </w:tcPr>
          <w:p w:rsidR="00E96FE0" w:rsidRPr="0028766C" w:rsidRDefault="00E96FE0" w:rsidP="000C2FAE">
            <w:pPr>
              <w:spacing w:after="0" w:line="240" w:lineRule="auto"/>
              <w:jc w:val="center"/>
              <w:rPr>
                <w:rFonts w:ascii="Arial Narrow" w:hAnsi="Arial Narrow"/>
                <w:b/>
                <w:color w:val="FFFFFF"/>
                <w:sz w:val="24"/>
                <w:szCs w:val="24"/>
              </w:rPr>
            </w:pPr>
            <w:r w:rsidRPr="0028766C">
              <w:rPr>
                <w:rFonts w:ascii="Arial Narrow" w:hAnsi="Arial Narrow"/>
                <w:b/>
                <w:color w:val="FFFFFF"/>
                <w:sz w:val="24"/>
                <w:szCs w:val="24"/>
              </w:rPr>
              <w:t>Total</w:t>
            </w:r>
          </w:p>
        </w:tc>
      </w:tr>
      <w:tr w:rsidR="008C717B" w:rsidRPr="0028766C" w:rsidTr="00CC4470">
        <w:trPr>
          <w:trHeight w:val="454"/>
        </w:trPr>
        <w:tc>
          <w:tcPr>
            <w:tcW w:w="2721" w:type="dxa"/>
            <w:shd w:val="clear" w:color="auto" w:fill="FFFFFF"/>
            <w:tcMar>
              <w:top w:w="15" w:type="dxa"/>
              <w:left w:w="15" w:type="dxa"/>
              <w:bottom w:w="0" w:type="dxa"/>
              <w:right w:w="15" w:type="dxa"/>
            </w:tcMar>
            <w:vAlign w:val="center"/>
          </w:tcPr>
          <w:p w:rsidR="008C717B" w:rsidRPr="0028766C" w:rsidRDefault="008C717B" w:rsidP="000C2FAE">
            <w:pPr>
              <w:spacing w:after="0" w:line="240" w:lineRule="auto"/>
              <w:ind w:left="127"/>
              <w:rPr>
                <w:rFonts w:ascii="Arial Narrow" w:hAnsi="Arial Narrow"/>
                <w:sz w:val="24"/>
                <w:szCs w:val="24"/>
              </w:rPr>
            </w:pPr>
            <w:r w:rsidRPr="0028766C">
              <w:rPr>
                <w:rFonts w:ascii="Arial Narrow" w:hAnsi="Arial Narrow"/>
                <w:sz w:val="24"/>
                <w:szCs w:val="24"/>
              </w:rPr>
              <w:t>Operating &amp; Maintenance</w:t>
            </w:r>
          </w:p>
          <w:p w:rsidR="008C717B" w:rsidRPr="0028766C" w:rsidRDefault="008C717B" w:rsidP="008C717B">
            <w:pPr>
              <w:spacing w:after="0" w:line="240" w:lineRule="auto"/>
              <w:ind w:left="127"/>
              <w:rPr>
                <w:rFonts w:ascii="Arial Narrow" w:hAnsi="Arial Narrow"/>
                <w:sz w:val="24"/>
                <w:szCs w:val="24"/>
              </w:rPr>
            </w:pPr>
            <w:r w:rsidRPr="0028766C">
              <w:rPr>
                <w:rFonts w:ascii="Arial Narrow" w:hAnsi="Arial Narrow"/>
                <w:sz w:val="24"/>
                <w:szCs w:val="24"/>
              </w:rPr>
              <w:t xml:space="preserve">(includes FRC) </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 xml:space="preserve">37.41 </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38.92</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40.20</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40.55</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40.86</w:t>
            </w:r>
          </w:p>
        </w:tc>
        <w:tc>
          <w:tcPr>
            <w:tcW w:w="1020" w:type="dxa"/>
            <w:shd w:val="clear" w:color="auto" w:fill="FFFFFF"/>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197.94</w:t>
            </w:r>
          </w:p>
        </w:tc>
      </w:tr>
      <w:tr w:rsidR="007C71B3" w:rsidRPr="0028766C" w:rsidTr="0058101F">
        <w:trPr>
          <w:trHeight w:val="454"/>
        </w:trPr>
        <w:tc>
          <w:tcPr>
            <w:tcW w:w="2721" w:type="dxa"/>
            <w:shd w:val="clear" w:color="auto" w:fill="FFFFFF"/>
            <w:tcMar>
              <w:top w:w="15" w:type="dxa"/>
              <w:left w:w="15" w:type="dxa"/>
              <w:bottom w:w="0" w:type="dxa"/>
              <w:right w:w="15" w:type="dxa"/>
            </w:tcMar>
            <w:vAlign w:val="center"/>
          </w:tcPr>
          <w:p w:rsidR="007C71B3" w:rsidRPr="0028766C" w:rsidRDefault="007C71B3" w:rsidP="000C2FAE">
            <w:pPr>
              <w:spacing w:after="0" w:line="240" w:lineRule="auto"/>
              <w:ind w:left="127"/>
              <w:rPr>
                <w:rFonts w:ascii="Arial Narrow" w:hAnsi="Arial Narrow"/>
                <w:sz w:val="24"/>
                <w:szCs w:val="24"/>
              </w:rPr>
            </w:pPr>
            <w:r w:rsidRPr="0028766C">
              <w:rPr>
                <w:rFonts w:ascii="Arial Narrow" w:hAnsi="Arial Narrow"/>
                <w:sz w:val="24"/>
                <w:szCs w:val="24"/>
              </w:rPr>
              <w:t>Admin &amp; General</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6.09</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6.06</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6.02</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5.99</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5.96</w:t>
            </w:r>
          </w:p>
        </w:tc>
        <w:tc>
          <w:tcPr>
            <w:tcW w:w="1020" w:type="dxa"/>
            <w:shd w:val="clear" w:color="auto" w:fill="FFFFFF"/>
            <w:vAlign w:val="center"/>
          </w:tcPr>
          <w:p w:rsidR="007C71B3" w:rsidRPr="008C717B" w:rsidRDefault="007C71B3" w:rsidP="000C2FAE">
            <w:pPr>
              <w:spacing w:after="0" w:line="240" w:lineRule="auto"/>
              <w:jc w:val="center"/>
              <w:rPr>
                <w:rFonts w:ascii="Arial Narrow" w:hAnsi="Arial Narrow"/>
                <w:b/>
                <w:bCs/>
                <w:color w:val="000000"/>
                <w:sz w:val="24"/>
                <w:szCs w:val="24"/>
              </w:rPr>
            </w:pPr>
            <w:r w:rsidRPr="0028766C">
              <w:rPr>
                <w:rFonts w:ascii="Arial Narrow" w:hAnsi="Arial Narrow"/>
                <w:b/>
                <w:bCs/>
                <w:color w:val="000000"/>
                <w:sz w:val="24"/>
                <w:szCs w:val="24"/>
              </w:rPr>
              <w:t>30.12</w:t>
            </w:r>
          </w:p>
        </w:tc>
      </w:tr>
      <w:tr w:rsidR="007C71B3" w:rsidRPr="0028766C" w:rsidTr="0058101F">
        <w:trPr>
          <w:trHeight w:val="454"/>
        </w:trPr>
        <w:tc>
          <w:tcPr>
            <w:tcW w:w="2721" w:type="dxa"/>
            <w:shd w:val="clear" w:color="auto" w:fill="FFFFFF"/>
            <w:tcMar>
              <w:top w:w="15" w:type="dxa"/>
              <w:left w:w="15" w:type="dxa"/>
              <w:bottom w:w="0" w:type="dxa"/>
              <w:right w:w="15" w:type="dxa"/>
            </w:tcMar>
            <w:vAlign w:val="center"/>
          </w:tcPr>
          <w:p w:rsidR="007C71B3" w:rsidRPr="0028766C" w:rsidRDefault="007C71B3" w:rsidP="000C2FAE">
            <w:pPr>
              <w:spacing w:after="0" w:line="240" w:lineRule="auto"/>
              <w:ind w:left="127"/>
              <w:rPr>
                <w:rFonts w:ascii="Arial Narrow" w:hAnsi="Arial Narrow"/>
                <w:sz w:val="24"/>
                <w:szCs w:val="24"/>
              </w:rPr>
            </w:pPr>
            <w:r w:rsidRPr="0028766C">
              <w:rPr>
                <w:rFonts w:ascii="Arial Narrow" w:hAnsi="Arial Narrow"/>
                <w:sz w:val="24"/>
                <w:szCs w:val="24"/>
              </w:rPr>
              <w:t>UAFG</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12.79</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12.77</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11.95</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10.87</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9.48</w:t>
            </w:r>
          </w:p>
        </w:tc>
        <w:tc>
          <w:tcPr>
            <w:tcW w:w="1020" w:type="dxa"/>
            <w:shd w:val="clear" w:color="auto" w:fill="FFFFFF"/>
            <w:vAlign w:val="center"/>
          </w:tcPr>
          <w:p w:rsidR="007C71B3" w:rsidRPr="008C717B" w:rsidRDefault="007C71B3" w:rsidP="000C2FAE">
            <w:pPr>
              <w:spacing w:after="0" w:line="240" w:lineRule="auto"/>
              <w:jc w:val="center"/>
              <w:rPr>
                <w:rFonts w:ascii="Arial Narrow" w:hAnsi="Arial Narrow"/>
                <w:b/>
                <w:bCs/>
                <w:color w:val="000000"/>
                <w:sz w:val="24"/>
                <w:szCs w:val="24"/>
              </w:rPr>
            </w:pPr>
            <w:r w:rsidRPr="0028766C">
              <w:rPr>
                <w:rFonts w:ascii="Arial Narrow" w:hAnsi="Arial Narrow"/>
                <w:b/>
                <w:bCs/>
                <w:color w:val="000000"/>
                <w:sz w:val="24"/>
                <w:szCs w:val="24"/>
              </w:rPr>
              <w:t>57.86</w:t>
            </w:r>
          </w:p>
        </w:tc>
      </w:tr>
      <w:tr w:rsidR="007C71B3" w:rsidRPr="0028766C" w:rsidTr="0058101F">
        <w:trPr>
          <w:trHeight w:val="454"/>
        </w:trPr>
        <w:tc>
          <w:tcPr>
            <w:tcW w:w="2721" w:type="dxa"/>
            <w:shd w:val="clear" w:color="auto" w:fill="FFFFFF"/>
            <w:tcMar>
              <w:top w:w="15" w:type="dxa"/>
              <w:left w:w="15" w:type="dxa"/>
              <w:bottom w:w="0" w:type="dxa"/>
              <w:right w:w="15" w:type="dxa"/>
            </w:tcMar>
            <w:vAlign w:val="center"/>
          </w:tcPr>
          <w:p w:rsidR="007C71B3" w:rsidRPr="0028766C" w:rsidRDefault="007C71B3" w:rsidP="000C2FAE">
            <w:pPr>
              <w:spacing w:after="0" w:line="240" w:lineRule="auto"/>
              <w:ind w:left="127"/>
              <w:rPr>
                <w:rFonts w:ascii="Arial Narrow" w:hAnsi="Arial Narrow"/>
                <w:sz w:val="24"/>
                <w:szCs w:val="24"/>
              </w:rPr>
            </w:pPr>
            <w:r w:rsidRPr="0028766C">
              <w:rPr>
                <w:rFonts w:ascii="Arial Narrow" w:hAnsi="Arial Narrow"/>
                <w:sz w:val="24"/>
                <w:szCs w:val="24"/>
              </w:rPr>
              <w:t>Network Development</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7.82</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8.13</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8.44</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8.76</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8.67</w:t>
            </w:r>
          </w:p>
        </w:tc>
        <w:tc>
          <w:tcPr>
            <w:tcW w:w="1020" w:type="dxa"/>
            <w:shd w:val="clear" w:color="auto" w:fill="FFFFFF"/>
            <w:vAlign w:val="center"/>
          </w:tcPr>
          <w:p w:rsidR="007C71B3" w:rsidRPr="008C717B" w:rsidRDefault="007C71B3" w:rsidP="000C2FAE">
            <w:pPr>
              <w:spacing w:after="0" w:line="240" w:lineRule="auto"/>
              <w:jc w:val="center"/>
              <w:rPr>
                <w:rFonts w:ascii="Arial Narrow" w:hAnsi="Arial Narrow"/>
                <w:b/>
                <w:bCs/>
                <w:color w:val="000000"/>
                <w:sz w:val="24"/>
                <w:szCs w:val="24"/>
              </w:rPr>
            </w:pPr>
            <w:r w:rsidRPr="0028766C">
              <w:rPr>
                <w:rFonts w:ascii="Arial Narrow" w:hAnsi="Arial Narrow"/>
                <w:b/>
                <w:bCs/>
                <w:color w:val="000000"/>
                <w:sz w:val="24"/>
                <w:szCs w:val="24"/>
              </w:rPr>
              <w:t>41.82</w:t>
            </w:r>
          </w:p>
        </w:tc>
      </w:tr>
      <w:tr w:rsidR="007C71B3" w:rsidRPr="0028766C" w:rsidTr="0058101F">
        <w:trPr>
          <w:trHeight w:val="454"/>
        </w:trPr>
        <w:tc>
          <w:tcPr>
            <w:tcW w:w="2721" w:type="dxa"/>
            <w:shd w:val="clear" w:color="auto" w:fill="FFFFFF"/>
            <w:vAlign w:val="center"/>
          </w:tcPr>
          <w:p w:rsidR="007C71B3" w:rsidRPr="0028766C" w:rsidRDefault="007C71B3" w:rsidP="00E733C8">
            <w:pPr>
              <w:spacing w:after="0" w:line="240" w:lineRule="auto"/>
              <w:ind w:left="141"/>
              <w:rPr>
                <w:rFonts w:ascii="Arial Narrow" w:hAnsi="Arial Narrow"/>
                <w:sz w:val="24"/>
                <w:szCs w:val="24"/>
              </w:rPr>
            </w:pPr>
            <w:r w:rsidRPr="0028766C">
              <w:rPr>
                <w:rFonts w:ascii="Arial Narrow" w:hAnsi="Arial Narrow"/>
                <w:sz w:val="24"/>
                <w:szCs w:val="24"/>
              </w:rPr>
              <w:t>Non Base Year Costs</w:t>
            </w:r>
          </w:p>
        </w:tc>
        <w:tc>
          <w:tcPr>
            <w:tcW w:w="1020" w:type="dxa"/>
            <w:shd w:val="clear" w:color="auto" w:fill="FFFFFF"/>
            <w:tcMar>
              <w:bottom w:w="0" w:type="dxa"/>
            </w:tcMar>
            <w:vAlign w:val="center"/>
          </w:tcPr>
          <w:p w:rsidR="007C71B3" w:rsidRPr="008C717B" w:rsidRDefault="007C71B3" w:rsidP="000C2FAE">
            <w:pPr>
              <w:spacing w:after="0" w:line="240" w:lineRule="auto"/>
              <w:ind w:left="-38"/>
              <w:jc w:val="center"/>
              <w:rPr>
                <w:rFonts w:ascii="Arial Narrow" w:hAnsi="Arial Narrow"/>
                <w:color w:val="000000"/>
                <w:sz w:val="24"/>
                <w:szCs w:val="24"/>
              </w:rPr>
            </w:pPr>
            <w:r w:rsidRPr="0028766C">
              <w:rPr>
                <w:rFonts w:ascii="Arial Narrow" w:hAnsi="Arial Narrow"/>
                <w:color w:val="000000"/>
                <w:sz w:val="24"/>
                <w:szCs w:val="24"/>
              </w:rPr>
              <w:t>2.96</w:t>
            </w:r>
          </w:p>
        </w:tc>
        <w:tc>
          <w:tcPr>
            <w:tcW w:w="1020" w:type="dxa"/>
            <w:shd w:val="clear" w:color="auto" w:fill="FFFFFF"/>
            <w:tcMar>
              <w:top w:w="15" w:type="dxa"/>
              <w:left w:w="180" w:type="dxa"/>
              <w:bottom w:w="0" w:type="dxa"/>
              <w:right w:w="15" w:type="dxa"/>
            </w:tcMar>
            <w:vAlign w:val="center"/>
          </w:tcPr>
          <w:p w:rsidR="007C71B3" w:rsidRPr="008C717B" w:rsidRDefault="007C71B3" w:rsidP="000C2FAE">
            <w:pPr>
              <w:spacing w:after="0" w:line="240" w:lineRule="auto"/>
              <w:ind w:left="-211"/>
              <w:jc w:val="center"/>
              <w:rPr>
                <w:rFonts w:ascii="Arial Narrow" w:hAnsi="Arial Narrow"/>
                <w:color w:val="000000"/>
                <w:sz w:val="24"/>
                <w:szCs w:val="24"/>
              </w:rPr>
            </w:pPr>
            <w:r w:rsidRPr="0028766C">
              <w:rPr>
                <w:rFonts w:ascii="Arial Narrow" w:hAnsi="Arial Narrow"/>
                <w:color w:val="000000"/>
                <w:sz w:val="24"/>
                <w:szCs w:val="24"/>
              </w:rPr>
              <w:t>2.33</w:t>
            </w:r>
          </w:p>
        </w:tc>
        <w:tc>
          <w:tcPr>
            <w:tcW w:w="1020" w:type="dxa"/>
            <w:shd w:val="clear" w:color="auto" w:fill="FFFFFF"/>
            <w:tcMar>
              <w:top w:w="15" w:type="dxa"/>
              <w:left w:w="15" w:type="dxa"/>
              <w:bottom w:w="0" w:type="dxa"/>
              <w:right w:w="15" w:type="dxa"/>
            </w:tcMar>
            <w:vAlign w:val="center"/>
          </w:tcPr>
          <w:p w:rsidR="007C71B3" w:rsidRPr="008C717B" w:rsidRDefault="007C71B3" w:rsidP="000C2FAE">
            <w:pPr>
              <w:spacing w:after="0" w:line="240" w:lineRule="auto"/>
              <w:ind w:left="-182"/>
              <w:jc w:val="center"/>
              <w:rPr>
                <w:rFonts w:ascii="Arial Narrow" w:hAnsi="Arial Narrow"/>
                <w:color w:val="000000"/>
                <w:sz w:val="24"/>
                <w:szCs w:val="24"/>
              </w:rPr>
            </w:pPr>
            <w:r w:rsidRPr="0028766C">
              <w:rPr>
                <w:rFonts w:ascii="Arial Narrow" w:hAnsi="Arial Narrow"/>
                <w:color w:val="000000"/>
                <w:sz w:val="24"/>
                <w:szCs w:val="24"/>
              </w:rPr>
              <w:t>1.89</w:t>
            </w:r>
          </w:p>
        </w:tc>
        <w:tc>
          <w:tcPr>
            <w:tcW w:w="1020" w:type="dxa"/>
            <w:shd w:val="clear" w:color="auto" w:fill="FFFFFF"/>
            <w:tcMar>
              <w:top w:w="15" w:type="dxa"/>
              <w:left w:w="15" w:type="dxa"/>
              <w:bottom w:w="0" w:type="dxa"/>
              <w:right w:w="15" w:type="dxa"/>
            </w:tcMar>
            <w:vAlign w:val="center"/>
          </w:tcPr>
          <w:p w:rsidR="007C71B3" w:rsidRPr="008C717B" w:rsidRDefault="007C71B3" w:rsidP="000C2FAE">
            <w:pPr>
              <w:spacing w:after="0" w:line="240" w:lineRule="auto"/>
              <w:ind w:left="-154"/>
              <w:jc w:val="center"/>
              <w:rPr>
                <w:rFonts w:ascii="Arial Narrow" w:hAnsi="Arial Narrow"/>
                <w:color w:val="000000"/>
                <w:sz w:val="24"/>
                <w:szCs w:val="24"/>
              </w:rPr>
            </w:pPr>
            <w:r w:rsidRPr="0028766C">
              <w:rPr>
                <w:rFonts w:ascii="Arial Narrow" w:hAnsi="Arial Narrow"/>
                <w:color w:val="000000"/>
                <w:sz w:val="24"/>
                <w:szCs w:val="24"/>
              </w:rPr>
              <w:t>1.35</w:t>
            </w:r>
          </w:p>
        </w:tc>
        <w:tc>
          <w:tcPr>
            <w:tcW w:w="1020" w:type="dxa"/>
            <w:shd w:val="clear" w:color="auto" w:fill="FFFFFF"/>
            <w:tcMar>
              <w:top w:w="15" w:type="dxa"/>
              <w:left w:w="15" w:type="dxa"/>
              <w:bottom w:w="0" w:type="dxa"/>
              <w:right w:w="15" w:type="dxa"/>
            </w:tcMar>
            <w:vAlign w:val="center"/>
          </w:tcPr>
          <w:p w:rsidR="007C71B3" w:rsidRPr="008C717B" w:rsidRDefault="007C71B3" w:rsidP="000C2FAE">
            <w:pPr>
              <w:spacing w:after="0" w:line="240" w:lineRule="auto"/>
              <w:ind w:left="-126"/>
              <w:jc w:val="center"/>
              <w:rPr>
                <w:rFonts w:ascii="Arial Narrow" w:hAnsi="Arial Narrow"/>
                <w:color w:val="000000"/>
                <w:sz w:val="24"/>
                <w:szCs w:val="24"/>
              </w:rPr>
            </w:pPr>
            <w:r w:rsidRPr="0028766C">
              <w:rPr>
                <w:rFonts w:ascii="Arial Narrow" w:hAnsi="Arial Narrow"/>
                <w:color w:val="000000"/>
                <w:sz w:val="24"/>
                <w:szCs w:val="24"/>
              </w:rPr>
              <w:t>0.74</w:t>
            </w:r>
          </w:p>
        </w:tc>
        <w:tc>
          <w:tcPr>
            <w:tcW w:w="1020" w:type="dxa"/>
            <w:shd w:val="clear" w:color="auto" w:fill="FFFFFF"/>
            <w:vAlign w:val="center"/>
          </w:tcPr>
          <w:p w:rsidR="007C71B3" w:rsidRPr="008C717B" w:rsidRDefault="007C71B3"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9.27</w:t>
            </w:r>
          </w:p>
        </w:tc>
      </w:tr>
      <w:tr w:rsidR="007C71B3" w:rsidRPr="0028766C" w:rsidTr="0058101F">
        <w:trPr>
          <w:trHeight w:val="454"/>
        </w:trPr>
        <w:tc>
          <w:tcPr>
            <w:tcW w:w="2721" w:type="dxa"/>
            <w:shd w:val="clear" w:color="auto" w:fill="FFFFFF"/>
            <w:tcMar>
              <w:top w:w="15" w:type="dxa"/>
              <w:left w:w="15" w:type="dxa"/>
              <w:bottom w:w="0" w:type="dxa"/>
              <w:right w:w="15" w:type="dxa"/>
            </w:tcMar>
            <w:vAlign w:val="center"/>
          </w:tcPr>
          <w:p w:rsidR="007C71B3" w:rsidRPr="0028766C" w:rsidRDefault="007C71B3" w:rsidP="000C2FAE">
            <w:pPr>
              <w:spacing w:after="0" w:line="240" w:lineRule="auto"/>
              <w:ind w:left="127"/>
              <w:rPr>
                <w:rFonts w:ascii="Arial Narrow" w:hAnsi="Arial Narrow"/>
                <w:sz w:val="24"/>
                <w:szCs w:val="24"/>
              </w:rPr>
            </w:pPr>
            <w:r w:rsidRPr="0028766C">
              <w:rPr>
                <w:rFonts w:ascii="Arial Narrow" w:hAnsi="Arial Narrow"/>
                <w:sz w:val="24"/>
                <w:szCs w:val="24"/>
              </w:rPr>
              <w:t>Incremental Growth</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0.12</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0.21</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0.32</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0.42</w:t>
            </w:r>
          </w:p>
        </w:tc>
        <w:tc>
          <w:tcPr>
            <w:tcW w:w="1020" w:type="dxa"/>
            <w:shd w:val="clear" w:color="auto" w:fill="FFFFFF"/>
            <w:tcMar>
              <w:top w:w="15" w:type="dxa"/>
              <w:left w:w="15" w:type="dxa"/>
              <w:bottom w:w="0" w:type="dxa"/>
              <w:right w:w="15" w:type="dxa"/>
            </w:tcMar>
            <w:vAlign w:val="center"/>
          </w:tcPr>
          <w:p w:rsidR="007C71B3" w:rsidRPr="008C717B" w:rsidRDefault="007C71B3" w:rsidP="008C717B">
            <w:pPr>
              <w:spacing w:after="0" w:line="240" w:lineRule="auto"/>
              <w:ind w:left="-38"/>
              <w:jc w:val="center"/>
              <w:rPr>
                <w:rFonts w:ascii="Arial Narrow" w:hAnsi="Arial Narrow"/>
                <w:color w:val="000000"/>
                <w:sz w:val="24"/>
                <w:szCs w:val="24"/>
              </w:rPr>
            </w:pPr>
            <w:r w:rsidRPr="008C717B">
              <w:rPr>
                <w:rFonts w:ascii="Arial Narrow" w:hAnsi="Arial Narrow"/>
                <w:color w:val="000000"/>
                <w:sz w:val="24"/>
                <w:szCs w:val="24"/>
              </w:rPr>
              <w:t>0.54</w:t>
            </w:r>
          </w:p>
        </w:tc>
        <w:tc>
          <w:tcPr>
            <w:tcW w:w="1020" w:type="dxa"/>
            <w:shd w:val="clear" w:color="auto" w:fill="FFFFFF"/>
            <w:vAlign w:val="center"/>
          </w:tcPr>
          <w:p w:rsidR="007C71B3" w:rsidRPr="008C717B" w:rsidRDefault="007C71B3" w:rsidP="000C2FAE">
            <w:pPr>
              <w:spacing w:after="0" w:line="240" w:lineRule="auto"/>
              <w:jc w:val="center"/>
              <w:rPr>
                <w:rFonts w:ascii="Arial Narrow" w:hAnsi="Arial Narrow"/>
                <w:b/>
                <w:bCs/>
                <w:color w:val="000000"/>
                <w:sz w:val="24"/>
                <w:szCs w:val="24"/>
              </w:rPr>
            </w:pPr>
            <w:r w:rsidRPr="0028766C">
              <w:rPr>
                <w:rFonts w:ascii="Arial Narrow" w:hAnsi="Arial Narrow"/>
                <w:b/>
                <w:bCs/>
                <w:color w:val="000000"/>
                <w:sz w:val="24"/>
                <w:szCs w:val="24"/>
              </w:rPr>
              <w:t>1.61</w:t>
            </w:r>
          </w:p>
        </w:tc>
      </w:tr>
      <w:tr w:rsidR="008C717B" w:rsidRPr="0028766C" w:rsidTr="00CC4470">
        <w:trPr>
          <w:trHeight w:val="454"/>
        </w:trPr>
        <w:tc>
          <w:tcPr>
            <w:tcW w:w="2721" w:type="dxa"/>
            <w:shd w:val="clear" w:color="auto" w:fill="FFFFFF"/>
            <w:tcMar>
              <w:top w:w="15" w:type="dxa"/>
              <w:left w:w="15" w:type="dxa"/>
              <w:bottom w:w="0" w:type="dxa"/>
              <w:right w:w="15" w:type="dxa"/>
            </w:tcMar>
            <w:vAlign w:val="center"/>
          </w:tcPr>
          <w:p w:rsidR="008C717B" w:rsidRPr="0028766C" w:rsidRDefault="008C717B" w:rsidP="000C2FAE">
            <w:pPr>
              <w:spacing w:after="0" w:line="240" w:lineRule="auto"/>
              <w:ind w:left="127"/>
              <w:rPr>
                <w:rFonts w:ascii="Arial Narrow" w:hAnsi="Arial Narrow"/>
                <w:b/>
                <w:sz w:val="24"/>
                <w:szCs w:val="24"/>
              </w:rPr>
            </w:pPr>
            <w:r w:rsidRPr="0028766C">
              <w:rPr>
                <w:rFonts w:ascii="Arial Narrow" w:hAnsi="Arial Narrow"/>
                <w:b/>
                <w:sz w:val="24"/>
                <w:szCs w:val="24"/>
              </w:rPr>
              <w:t xml:space="preserve">Total $m </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67.17</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 xml:space="preserve">68.42 </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68.82</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67.96</w:t>
            </w:r>
          </w:p>
        </w:tc>
        <w:tc>
          <w:tcPr>
            <w:tcW w:w="1020" w:type="dxa"/>
            <w:shd w:val="clear" w:color="auto" w:fill="FFFFFF"/>
            <w:tcMar>
              <w:top w:w="15" w:type="dxa"/>
              <w:left w:w="15" w:type="dxa"/>
              <w:bottom w:w="0" w:type="dxa"/>
              <w:right w:w="15" w:type="dxa"/>
            </w:tcMar>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66.25</w:t>
            </w:r>
          </w:p>
        </w:tc>
        <w:tc>
          <w:tcPr>
            <w:tcW w:w="1020" w:type="dxa"/>
            <w:shd w:val="clear" w:color="auto" w:fill="FFFFFF"/>
            <w:vAlign w:val="bottom"/>
          </w:tcPr>
          <w:p w:rsidR="008C717B" w:rsidRPr="008C717B" w:rsidRDefault="008C717B" w:rsidP="008C717B">
            <w:pPr>
              <w:spacing w:after="0" w:line="240" w:lineRule="auto"/>
              <w:jc w:val="center"/>
              <w:rPr>
                <w:rFonts w:ascii="Arial Narrow" w:hAnsi="Arial Narrow"/>
                <w:b/>
                <w:bCs/>
                <w:color w:val="000000"/>
                <w:sz w:val="24"/>
                <w:szCs w:val="24"/>
              </w:rPr>
            </w:pPr>
            <w:r w:rsidRPr="008C717B">
              <w:rPr>
                <w:rFonts w:ascii="Arial Narrow" w:hAnsi="Arial Narrow"/>
                <w:b/>
                <w:bCs/>
                <w:color w:val="000000"/>
                <w:sz w:val="24"/>
                <w:szCs w:val="24"/>
              </w:rPr>
              <w:t>338.62</w:t>
            </w:r>
          </w:p>
        </w:tc>
      </w:tr>
    </w:tbl>
    <w:p w:rsidR="00E96FE0" w:rsidRPr="0028766C" w:rsidRDefault="00E96FE0" w:rsidP="000C2FAE">
      <w:pPr>
        <w:tabs>
          <w:tab w:val="left" w:pos="567"/>
        </w:tabs>
        <w:spacing w:after="0" w:line="240" w:lineRule="auto"/>
        <w:ind w:left="567"/>
        <w:jc w:val="both"/>
        <w:rPr>
          <w:rFonts w:ascii="Arial Narrow" w:hAnsi="Arial Narrow"/>
          <w:sz w:val="24"/>
          <w:szCs w:val="24"/>
        </w:rPr>
      </w:pPr>
    </w:p>
    <w:p w:rsidR="00D37A4A" w:rsidRDefault="00D37A4A" w:rsidP="00BA0A71">
      <w:pPr>
        <w:spacing w:after="0" w:line="240" w:lineRule="auto"/>
        <w:jc w:val="both"/>
        <w:rPr>
          <w:rFonts w:ascii="Arial Narrow" w:hAnsi="Arial Narrow"/>
          <w:sz w:val="24"/>
          <w:szCs w:val="24"/>
        </w:rPr>
      </w:pPr>
      <w:r>
        <w:rPr>
          <w:rFonts w:ascii="Arial Narrow" w:hAnsi="Arial Narrow"/>
          <w:sz w:val="24"/>
          <w:szCs w:val="24"/>
        </w:rPr>
        <w:t>Section 24(2) of the National Gas Law states that a service provider should be provided with a reasonable opportunity to recover at least the efficient costs the service provider incurs in providing references services and complying with a regulatory obligation or requirement or making a regulatory payment.</w:t>
      </w:r>
    </w:p>
    <w:p w:rsidR="00D37A4A" w:rsidRPr="007F230F" w:rsidRDefault="00D37A4A" w:rsidP="00BA0A71">
      <w:pPr>
        <w:spacing w:after="0" w:line="240" w:lineRule="auto"/>
        <w:jc w:val="both"/>
        <w:rPr>
          <w:rFonts w:ascii="Arial Narrow" w:hAnsi="Arial Narrow"/>
          <w:sz w:val="24"/>
          <w:szCs w:val="24"/>
        </w:rPr>
      </w:pPr>
    </w:p>
    <w:p w:rsidR="00D37A4A" w:rsidRDefault="00D37A4A" w:rsidP="00BA0A71">
      <w:pPr>
        <w:spacing w:after="0" w:line="240" w:lineRule="auto"/>
        <w:jc w:val="both"/>
        <w:rPr>
          <w:rFonts w:ascii="Arial Narrow" w:hAnsi="Arial Narrow"/>
          <w:sz w:val="24"/>
          <w:szCs w:val="24"/>
        </w:rPr>
      </w:pPr>
      <w:r w:rsidRPr="007F230F">
        <w:rPr>
          <w:rFonts w:ascii="Arial Narrow" w:hAnsi="Arial Narrow"/>
          <w:sz w:val="24"/>
          <w:szCs w:val="24"/>
        </w:rPr>
        <w:t xml:space="preserve">Rule 91 requires operating expenditure to be such as would be incurred by a prudent service provider acting efficiently, in accordance with good industry practice, to achieve the lowest sustainable cost of delivering pipeline services. </w:t>
      </w:r>
    </w:p>
    <w:p w:rsidR="00D37A4A" w:rsidRDefault="00D37A4A" w:rsidP="00BA0A71">
      <w:pPr>
        <w:spacing w:after="0" w:line="240" w:lineRule="auto"/>
        <w:jc w:val="both"/>
        <w:rPr>
          <w:rFonts w:ascii="Arial Narrow" w:hAnsi="Arial Narrow"/>
          <w:sz w:val="24"/>
          <w:szCs w:val="24"/>
        </w:rPr>
      </w:pPr>
    </w:p>
    <w:p w:rsidR="00D37A4A" w:rsidRDefault="00D37A4A" w:rsidP="00BA0A71">
      <w:pPr>
        <w:spacing w:after="0" w:line="240" w:lineRule="auto"/>
        <w:jc w:val="both"/>
        <w:rPr>
          <w:rFonts w:ascii="Arial Narrow" w:hAnsi="Arial Narrow"/>
          <w:sz w:val="24"/>
          <w:szCs w:val="24"/>
        </w:rPr>
      </w:pPr>
      <w:r>
        <w:rPr>
          <w:rFonts w:ascii="Arial Narrow" w:hAnsi="Arial Narrow"/>
          <w:sz w:val="24"/>
          <w:szCs w:val="24"/>
        </w:rPr>
        <w:lastRenderedPageBreak/>
        <w:t xml:space="preserve">Rule 74(2) requires forecasts to be best estimates on a reasonable basis. </w:t>
      </w:r>
    </w:p>
    <w:p w:rsidR="00D37A4A" w:rsidRDefault="00D37A4A" w:rsidP="00BA0A71">
      <w:pPr>
        <w:spacing w:after="0" w:line="240" w:lineRule="auto"/>
        <w:jc w:val="both"/>
        <w:rPr>
          <w:rFonts w:ascii="Arial Narrow" w:hAnsi="Arial Narrow"/>
          <w:sz w:val="24"/>
          <w:szCs w:val="24"/>
        </w:rPr>
      </w:pPr>
    </w:p>
    <w:p w:rsidR="00E96FE0" w:rsidRPr="001A6C91" w:rsidRDefault="00D37A4A" w:rsidP="001A6C91">
      <w:pPr>
        <w:spacing w:after="0" w:line="240" w:lineRule="auto"/>
        <w:jc w:val="both"/>
        <w:rPr>
          <w:rFonts w:ascii="Arial Narrow" w:hAnsi="Arial Narrow"/>
          <w:sz w:val="24"/>
          <w:szCs w:val="24"/>
        </w:rPr>
      </w:pPr>
      <w:r>
        <w:rPr>
          <w:rFonts w:ascii="Arial Narrow" w:hAnsi="Arial Narrow"/>
          <w:sz w:val="24"/>
          <w:szCs w:val="24"/>
        </w:rPr>
        <w:t xml:space="preserve">For the reasons set out above in this submission, Envestra submits that its revised operating expenditure forecasts meet these </w:t>
      </w:r>
      <w:r w:rsidR="002C1B02">
        <w:rPr>
          <w:rFonts w:ascii="Arial Narrow" w:hAnsi="Arial Narrow"/>
          <w:sz w:val="24"/>
          <w:szCs w:val="24"/>
        </w:rPr>
        <w:t>criteria</w:t>
      </w:r>
      <w:r>
        <w:rPr>
          <w:rFonts w:ascii="Arial Narrow" w:hAnsi="Arial Narrow"/>
          <w:sz w:val="24"/>
          <w:szCs w:val="24"/>
        </w:rPr>
        <w:t>.</w:t>
      </w:r>
    </w:p>
    <w:sectPr w:rsidR="00E96FE0" w:rsidRPr="001A6C91" w:rsidSect="0028766C">
      <w:headerReference w:type="even" r:id="rId12"/>
      <w:headerReference w:type="default" r:id="rId13"/>
      <w:footerReference w:type="even" r:id="rId14"/>
      <w:footerReference w:type="default" r:id="rId15"/>
      <w:headerReference w:type="first" r:id="rId16"/>
      <w:footerReference w:type="first" r:id="rId17"/>
      <w:pgSz w:w="11906" w:h="16838"/>
      <w:pgMar w:top="1134" w:right="1418"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D92" w:rsidRDefault="00887D92" w:rsidP="007C1649">
      <w:pPr>
        <w:spacing w:after="0" w:line="240" w:lineRule="auto"/>
      </w:pPr>
      <w:r>
        <w:separator/>
      </w:r>
    </w:p>
  </w:endnote>
  <w:endnote w:type="continuationSeparator" w:id="0">
    <w:p w:rsidR="00887D92" w:rsidRDefault="00887D92" w:rsidP="007C1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old">
    <w:panose1 w:val="020B0704020202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Default="00887D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Pr="007C1649" w:rsidRDefault="00887D92" w:rsidP="00BC0C97">
    <w:pPr>
      <w:pStyle w:val="Footer"/>
      <w:tabs>
        <w:tab w:val="clear" w:pos="9026"/>
        <w:tab w:val="right" w:pos="8789"/>
      </w:tabs>
      <w:spacing w:after="0" w:line="240" w:lineRule="auto"/>
      <w:rPr>
        <w:rFonts w:ascii="Arial Narrow" w:hAnsi="Arial Narrow"/>
        <w:sz w:val="20"/>
        <w:szCs w:val="20"/>
      </w:rPr>
    </w:pPr>
    <w:r>
      <w:rPr>
        <w:rFonts w:ascii="Arial Narrow" w:hAnsi="Arial Narrow"/>
        <w:sz w:val="20"/>
        <w:szCs w:val="20"/>
      </w:rPr>
      <w:t>SA</w:t>
    </w:r>
    <w:r w:rsidRPr="007C1649">
      <w:rPr>
        <w:rFonts w:ascii="Arial Narrow" w:hAnsi="Arial Narrow"/>
        <w:sz w:val="20"/>
        <w:szCs w:val="20"/>
      </w:rPr>
      <w:t xml:space="preserve"> Access Arrangement Information</w:t>
    </w:r>
    <w:r>
      <w:rPr>
        <w:rFonts w:ascii="Arial Narrow" w:hAnsi="Arial Narrow"/>
        <w:sz w:val="20"/>
        <w:szCs w:val="20"/>
      </w:rPr>
      <w:t>, March 2011 Attachment 6-9</w:t>
    </w:r>
    <w:r>
      <w:rPr>
        <w:rFonts w:ascii="Arial Narrow" w:hAnsi="Arial Narrow"/>
        <w:sz w:val="20"/>
        <w:szCs w:val="20"/>
      </w:rPr>
      <w:tab/>
    </w:r>
    <w:r w:rsidR="00C51E89" w:rsidRPr="009D618B">
      <w:rPr>
        <w:rFonts w:ascii="Arial Narrow" w:hAnsi="Arial Narrow"/>
        <w:sz w:val="20"/>
        <w:szCs w:val="20"/>
      </w:rPr>
      <w:fldChar w:fldCharType="begin"/>
    </w:r>
    <w:r w:rsidRPr="009D618B">
      <w:rPr>
        <w:rFonts w:ascii="Arial Narrow" w:hAnsi="Arial Narrow"/>
        <w:sz w:val="20"/>
        <w:szCs w:val="20"/>
      </w:rPr>
      <w:instrText xml:space="preserve"> PAGE   \* MERGEFORMAT </w:instrText>
    </w:r>
    <w:r w:rsidR="00C51E89" w:rsidRPr="009D618B">
      <w:rPr>
        <w:rFonts w:ascii="Arial Narrow" w:hAnsi="Arial Narrow"/>
        <w:sz w:val="20"/>
        <w:szCs w:val="20"/>
      </w:rPr>
      <w:fldChar w:fldCharType="separate"/>
    </w:r>
    <w:r w:rsidR="00D808C8">
      <w:rPr>
        <w:rFonts w:ascii="Arial Narrow" w:hAnsi="Arial Narrow"/>
        <w:noProof/>
        <w:sz w:val="20"/>
        <w:szCs w:val="20"/>
      </w:rPr>
      <w:t>2</w:t>
    </w:r>
    <w:r w:rsidR="00C51E89" w:rsidRPr="009D618B">
      <w:rPr>
        <w:rFonts w:ascii="Arial Narrow" w:hAnsi="Arial Narrow"/>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Default="00887D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D92" w:rsidRDefault="00887D92" w:rsidP="007C1649">
      <w:pPr>
        <w:spacing w:after="0" w:line="240" w:lineRule="auto"/>
      </w:pPr>
      <w:r>
        <w:separator/>
      </w:r>
    </w:p>
  </w:footnote>
  <w:footnote w:type="continuationSeparator" w:id="0">
    <w:p w:rsidR="00887D92" w:rsidRDefault="00887D92" w:rsidP="007C1649">
      <w:pPr>
        <w:spacing w:after="0" w:line="240" w:lineRule="auto"/>
      </w:pPr>
      <w:r>
        <w:continuationSeparator/>
      </w:r>
    </w:p>
  </w:footnote>
  <w:footnote w:id="1">
    <w:p w:rsidR="00887D92" w:rsidRPr="00916783" w:rsidRDefault="00887D92" w:rsidP="00DD1BEA">
      <w:pPr>
        <w:pStyle w:val="FootnoteText"/>
        <w:tabs>
          <w:tab w:val="left" w:pos="284"/>
        </w:tabs>
        <w:ind w:left="284" w:hanging="284"/>
        <w:jc w:val="both"/>
        <w:rPr>
          <w:rFonts w:ascii="Arial Narrow" w:hAnsi="Arial Narrow"/>
          <w:lang w:val="en-US"/>
        </w:rPr>
      </w:pPr>
      <w:r w:rsidRPr="00916783">
        <w:rPr>
          <w:rStyle w:val="FootnoteReference"/>
          <w:rFonts w:ascii="Arial Narrow" w:hAnsi="Arial Narrow"/>
        </w:rPr>
        <w:footnoteRef/>
      </w:r>
      <w:r>
        <w:rPr>
          <w:rFonts w:ascii="Arial Narrow" w:hAnsi="Arial Narrow"/>
        </w:rPr>
        <w:tab/>
      </w:r>
      <w:r w:rsidRPr="00916783">
        <w:rPr>
          <w:rFonts w:ascii="Arial Narrow" w:hAnsi="Arial Narrow"/>
        </w:rPr>
        <w:t>Pacific Economics Group, “</w:t>
      </w:r>
      <w:proofErr w:type="spellStart"/>
      <w:r w:rsidRPr="00916783">
        <w:rPr>
          <w:rFonts w:ascii="Arial Narrow" w:hAnsi="Arial Narrow"/>
        </w:rPr>
        <w:t>Opex</w:t>
      </w:r>
      <w:proofErr w:type="spellEnd"/>
      <w:r w:rsidRPr="00916783">
        <w:rPr>
          <w:rFonts w:ascii="Arial Narrow" w:hAnsi="Arial Narrow"/>
        </w:rPr>
        <w:t xml:space="preserve"> Rate of Change and Productivity: Response to </w:t>
      </w:r>
      <w:proofErr w:type="spellStart"/>
      <w:r w:rsidRPr="00916783">
        <w:rPr>
          <w:rFonts w:ascii="Arial Narrow" w:hAnsi="Arial Narrow"/>
        </w:rPr>
        <w:t>Meyrick</w:t>
      </w:r>
      <w:proofErr w:type="spellEnd"/>
      <w:r w:rsidRPr="00916783">
        <w:rPr>
          <w:rFonts w:ascii="Arial Narrow" w:hAnsi="Arial Narrow"/>
        </w:rPr>
        <w:t xml:space="preserve"> and Associates Reports” page 24-25.</w:t>
      </w:r>
    </w:p>
  </w:footnote>
  <w:footnote w:id="2">
    <w:p w:rsidR="00887D92" w:rsidRPr="00916783" w:rsidRDefault="00887D92" w:rsidP="00DD1BEA">
      <w:pPr>
        <w:pStyle w:val="FootnoteText"/>
        <w:tabs>
          <w:tab w:val="left" w:pos="284"/>
        </w:tabs>
        <w:ind w:left="284" w:hanging="284"/>
        <w:jc w:val="both"/>
        <w:rPr>
          <w:rFonts w:ascii="Arial Narrow" w:hAnsi="Arial Narrow"/>
          <w:lang w:val="en-US"/>
        </w:rPr>
      </w:pPr>
      <w:r w:rsidRPr="00916783">
        <w:rPr>
          <w:rStyle w:val="FootnoteReference"/>
          <w:rFonts w:ascii="Arial Narrow" w:hAnsi="Arial Narrow"/>
        </w:rPr>
        <w:footnoteRef/>
      </w:r>
      <w:r>
        <w:rPr>
          <w:rFonts w:ascii="Arial Narrow" w:hAnsi="Arial Narrow"/>
        </w:rPr>
        <w:tab/>
      </w:r>
      <w:r w:rsidRPr="00916783">
        <w:rPr>
          <w:rFonts w:ascii="Arial Narrow" w:hAnsi="Arial Narrow"/>
        </w:rPr>
        <w:t>Draft Decision “Proposed Revisions to the Access Arrangement for the South Australian Gas Distribution System” Page 152.  See also page 151 and Final Decision Page 151.</w:t>
      </w:r>
    </w:p>
  </w:footnote>
  <w:footnote w:id="3">
    <w:p w:rsidR="00887D92" w:rsidRPr="00916783" w:rsidRDefault="00887D92" w:rsidP="00DD1BEA">
      <w:pPr>
        <w:pStyle w:val="FootnoteText"/>
        <w:tabs>
          <w:tab w:val="left" w:pos="284"/>
        </w:tabs>
        <w:ind w:left="284" w:hanging="284"/>
        <w:jc w:val="both"/>
        <w:rPr>
          <w:rFonts w:ascii="Arial Narrow" w:hAnsi="Arial Narrow"/>
          <w:lang w:val="en-US"/>
        </w:rPr>
      </w:pPr>
      <w:r w:rsidRPr="00916783">
        <w:rPr>
          <w:rStyle w:val="FootnoteReference"/>
          <w:rFonts w:ascii="Arial Narrow" w:hAnsi="Arial Narrow"/>
        </w:rPr>
        <w:footnoteRef/>
      </w:r>
      <w:r>
        <w:rPr>
          <w:rFonts w:ascii="Arial Narrow" w:hAnsi="Arial Narrow"/>
        </w:rPr>
        <w:tab/>
      </w:r>
      <w:r w:rsidRPr="00916783">
        <w:rPr>
          <w:rFonts w:ascii="Arial Narrow" w:hAnsi="Arial Narrow"/>
        </w:rPr>
        <w:t xml:space="preserve">KPMG </w:t>
      </w:r>
      <w:proofErr w:type="spellStart"/>
      <w:r>
        <w:rPr>
          <w:rFonts w:ascii="Arial Narrow" w:hAnsi="Arial Narrow"/>
        </w:rPr>
        <w:t>Econtech</w:t>
      </w:r>
      <w:proofErr w:type="spellEnd"/>
      <w:r w:rsidRPr="00916783">
        <w:rPr>
          <w:rFonts w:ascii="Arial Narrow" w:hAnsi="Arial Narrow"/>
        </w:rPr>
        <w:t xml:space="preserve"> “Assessment of the AER’s Draft Decision on Labour Cost Escalation: </w:t>
      </w:r>
      <w:smartTag w:uri="urn:schemas-microsoft-com:office:smarttags" w:element="place">
        <w:smartTag w:uri="urn:schemas-microsoft-com:office:smarttags" w:element="State">
          <w:r w:rsidRPr="00916783">
            <w:rPr>
              <w:rFonts w:ascii="Arial Narrow" w:hAnsi="Arial Narrow"/>
            </w:rPr>
            <w:t>Victoria</w:t>
          </w:r>
        </w:smartTag>
      </w:smartTag>
      <w:r w:rsidRPr="00916783">
        <w:rPr>
          <w:rFonts w:ascii="Arial Narrow" w:hAnsi="Arial Narrow"/>
        </w:rPr>
        <w:t>” 13 July 2010.</w:t>
      </w:r>
    </w:p>
  </w:footnote>
  <w:footnote w:id="4">
    <w:p w:rsidR="00887D92" w:rsidRPr="00916783" w:rsidRDefault="00887D92" w:rsidP="00DD1BEA">
      <w:pPr>
        <w:pStyle w:val="FootnoteText"/>
        <w:tabs>
          <w:tab w:val="left" w:pos="284"/>
        </w:tabs>
        <w:ind w:left="284" w:hanging="284"/>
        <w:jc w:val="both"/>
        <w:rPr>
          <w:rFonts w:ascii="Arial Narrow" w:hAnsi="Arial Narrow"/>
        </w:rPr>
      </w:pPr>
      <w:r w:rsidRPr="00916783">
        <w:rPr>
          <w:rStyle w:val="FootnoteReference"/>
          <w:rFonts w:ascii="Arial Narrow" w:hAnsi="Arial Narrow"/>
        </w:rPr>
        <w:footnoteRef/>
      </w:r>
      <w:r>
        <w:rPr>
          <w:rFonts w:ascii="Arial Narrow" w:hAnsi="Arial Narrow"/>
        </w:rPr>
        <w:tab/>
      </w:r>
      <w:r w:rsidRPr="00916783">
        <w:rPr>
          <w:rFonts w:ascii="Arial Narrow" w:hAnsi="Arial Narrow"/>
        </w:rPr>
        <w:t xml:space="preserve">As shown by the example of Professor Borland, if a business starts off with only low skill workers paid $100 and then after 1 year replaces half of these workers with high skill workers paid $200, its average labour cost will have increased to $150 per worker.   LPI, which does not take account of changes in the composition of employment, will estimate the costs of the firm as $100/worker. This will clearly understate the cost of labour to the firm. </w:t>
      </w:r>
    </w:p>
  </w:footnote>
  <w:footnote w:id="5">
    <w:p w:rsidR="00887D92" w:rsidRPr="002E55E6" w:rsidRDefault="00887D92" w:rsidP="00407377">
      <w:pPr>
        <w:pStyle w:val="FootnoteText"/>
        <w:rPr>
          <w:lang w:val="en-US"/>
        </w:rPr>
      </w:pPr>
      <w:r>
        <w:rPr>
          <w:rStyle w:val="FootnoteReference"/>
        </w:rPr>
        <w:footnoteRef/>
      </w:r>
      <w:r>
        <w:t xml:space="preserve"> Paragraph 34.</w:t>
      </w:r>
    </w:p>
  </w:footnote>
  <w:footnote w:id="6">
    <w:p w:rsidR="00887D92" w:rsidRPr="003F6986" w:rsidRDefault="00887D92" w:rsidP="003F6986">
      <w:pPr>
        <w:pStyle w:val="FootnoteText"/>
        <w:tabs>
          <w:tab w:val="left" w:pos="284"/>
        </w:tabs>
        <w:ind w:left="284" w:hanging="284"/>
        <w:rPr>
          <w:rFonts w:ascii="Arial Narrow" w:hAnsi="Arial Narrow"/>
          <w:lang w:val="en-US"/>
        </w:rPr>
      </w:pPr>
      <w:r w:rsidRPr="003F6986">
        <w:rPr>
          <w:rStyle w:val="FootnoteReference"/>
          <w:rFonts w:ascii="Arial Narrow" w:hAnsi="Arial Narrow"/>
        </w:rPr>
        <w:footnoteRef/>
      </w:r>
      <w:r>
        <w:rPr>
          <w:rFonts w:ascii="Arial Narrow" w:hAnsi="Arial Narrow"/>
        </w:rPr>
        <w:tab/>
      </w:r>
      <w:r w:rsidRPr="003F6986">
        <w:rPr>
          <w:rFonts w:ascii="Arial Narrow" w:hAnsi="Arial Narrow"/>
        </w:rPr>
        <w:t>Page 3.</w:t>
      </w:r>
    </w:p>
  </w:footnote>
  <w:footnote w:id="7">
    <w:p w:rsidR="00887D92" w:rsidRPr="00E64F3A" w:rsidRDefault="00887D92" w:rsidP="00E64F3A">
      <w:pPr>
        <w:pStyle w:val="FootnoteText"/>
        <w:tabs>
          <w:tab w:val="left" w:pos="284"/>
        </w:tabs>
        <w:ind w:left="284" w:hanging="284"/>
        <w:rPr>
          <w:rFonts w:ascii="Arial Narrow" w:hAnsi="Arial Narrow"/>
          <w:lang w:val="en-US"/>
        </w:rPr>
      </w:pPr>
      <w:r w:rsidRPr="00E64F3A">
        <w:rPr>
          <w:rStyle w:val="FootnoteReference"/>
          <w:rFonts w:ascii="Arial Narrow" w:hAnsi="Arial Narrow"/>
        </w:rPr>
        <w:footnoteRef/>
      </w:r>
      <w:r>
        <w:rPr>
          <w:rFonts w:ascii="Arial Narrow" w:hAnsi="Arial Narrow"/>
        </w:rPr>
        <w:tab/>
      </w:r>
      <w:r w:rsidRPr="00E64F3A">
        <w:rPr>
          <w:rFonts w:ascii="Arial Narrow" w:hAnsi="Arial Narrow"/>
        </w:rPr>
        <w:t>Page 4</w:t>
      </w:r>
    </w:p>
  </w:footnote>
  <w:footnote w:id="8">
    <w:p w:rsidR="00887D92" w:rsidRPr="00E64F3A" w:rsidRDefault="00887D92" w:rsidP="00E64F3A">
      <w:pPr>
        <w:pStyle w:val="FootnoteText"/>
        <w:tabs>
          <w:tab w:val="left" w:pos="284"/>
        </w:tabs>
        <w:ind w:left="284" w:hanging="284"/>
        <w:rPr>
          <w:rFonts w:ascii="Arial Narrow" w:hAnsi="Arial Narrow"/>
          <w:lang w:val="en-US"/>
        </w:rPr>
      </w:pPr>
      <w:r w:rsidRPr="00E64F3A">
        <w:rPr>
          <w:rStyle w:val="FootnoteReference"/>
          <w:rFonts w:ascii="Arial Narrow" w:hAnsi="Arial Narrow"/>
        </w:rPr>
        <w:footnoteRef/>
      </w:r>
      <w:r>
        <w:rPr>
          <w:rFonts w:ascii="Arial Narrow" w:hAnsi="Arial Narrow"/>
        </w:rPr>
        <w:tab/>
      </w:r>
      <w:r w:rsidRPr="00E64F3A">
        <w:rPr>
          <w:rFonts w:ascii="Arial Narrow" w:hAnsi="Arial Narrow"/>
        </w:rPr>
        <w:t>Financial Capital Maintenance</w:t>
      </w:r>
    </w:p>
  </w:footnote>
  <w:footnote w:id="9">
    <w:p w:rsidR="00887D92" w:rsidRPr="00E64F3A" w:rsidRDefault="00887D92" w:rsidP="00E64F3A">
      <w:pPr>
        <w:pStyle w:val="FootnoteText"/>
        <w:tabs>
          <w:tab w:val="left" w:pos="284"/>
        </w:tabs>
        <w:ind w:left="284" w:hanging="284"/>
        <w:rPr>
          <w:rFonts w:ascii="Arial Narrow" w:hAnsi="Arial Narrow"/>
          <w:lang w:val="en-US"/>
        </w:rPr>
      </w:pPr>
      <w:r w:rsidRPr="00E64F3A">
        <w:rPr>
          <w:rStyle w:val="FootnoteReference"/>
          <w:rFonts w:ascii="Arial Narrow" w:hAnsi="Arial Narrow"/>
        </w:rPr>
        <w:footnoteRef/>
      </w:r>
      <w:r>
        <w:rPr>
          <w:rFonts w:ascii="Arial Narrow" w:hAnsi="Arial Narrow"/>
        </w:rPr>
        <w:tab/>
      </w:r>
      <w:r w:rsidRPr="00E64F3A">
        <w:rPr>
          <w:rFonts w:ascii="Arial Narrow" w:hAnsi="Arial Narrow"/>
        </w:rPr>
        <w:t>Page 5.</w:t>
      </w:r>
    </w:p>
  </w:footnote>
  <w:footnote w:id="10">
    <w:p w:rsidR="00887D92" w:rsidRPr="00AC5B62" w:rsidRDefault="00887D92" w:rsidP="00AC5B62">
      <w:pPr>
        <w:pStyle w:val="FootnoteText"/>
        <w:tabs>
          <w:tab w:val="left" w:pos="284"/>
        </w:tabs>
        <w:ind w:left="284" w:hanging="284"/>
        <w:rPr>
          <w:rFonts w:ascii="Arial Narrow" w:hAnsi="Arial Narrow"/>
          <w:lang w:val="en-US"/>
        </w:rPr>
      </w:pPr>
      <w:r w:rsidRPr="00AC5B62">
        <w:rPr>
          <w:rStyle w:val="FootnoteReference"/>
          <w:rFonts w:ascii="Arial Narrow" w:hAnsi="Arial Narrow"/>
        </w:rPr>
        <w:footnoteRef/>
      </w:r>
      <w:r>
        <w:rPr>
          <w:rFonts w:ascii="Arial Narrow" w:hAnsi="Arial Narrow"/>
        </w:rPr>
        <w:tab/>
      </w:r>
      <w:r w:rsidRPr="00AC5B62">
        <w:rPr>
          <w:rFonts w:ascii="Arial Narrow" w:hAnsi="Arial Narrow"/>
        </w:rPr>
        <w:t>BIS Shrapnel 2011 Section 5.1.1</w:t>
      </w:r>
    </w:p>
  </w:footnote>
  <w:footnote w:id="11">
    <w:p w:rsidR="00887D92" w:rsidRPr="004C44F6" w:rsidRDefault="00887D92" w:rsidP="004C44F6">
      <w:pPr>
        <w:pStyle w:val="FootnoteText"/>
        <w:tabs>
          <w:tab w:val="left" w:pos="284"/>
        </w:tabs>
        <w:ind w:left="284" w:hanging="284"/>
        <w:jc w:val="both"/>
        <w:rPr>
          <w:rFonts w:ascii="Arial Narrow" w:hAnsi="Arial Narrow"/>
          <w:lang w:val="en-US"/>
        </w:rPr>
      </w:pPr>
      <w:r w:rsidRPr="004C44F6">
        <w:rPr>
          <w:rStyle w:val="FootnoteReference"/>
          <w:rFonts w:ascii="Arial Narrow" w:hAnsi="Arial Narrow"/>
        </w:rPr>
        <w:footnoteRef/>
      </w:r>
      <w:r>
        <w:rPr>
          <w:rFonts w:ascii="Arial Narrow" w:hAnsi="Arial Narrow"/>
        </w:rPr>
        <w:tab/>
      </w:r>
      <w:r w:rsidRPr="004C44F6">
        <w:rPr>
          <w:rFonts w:ascii="Arial Narrow" w:hAnsi="Arial Narrow"/>
        </w:rPr>
        <w:t>BIS Shrapnel 2011 Section 5.4.1.</w:t>
      </w:r>
    </w:p>
  </w:footnote>
  <w:footnote w:id="12">
    <w:p w:rsidR="00887D92" w:rsidRPr="004C44F6" w:rsidRDefault="00887D92" w:rsidP="004C44F6">
      <w:pPr>
        <w:pStyle w:val="FootnoteText"/>
        <w:tabs>
          <w:tab w:val="left" w:pos="284"/>
        </w:tabs>
        <w:ind w:left="284" w:hanging="284"/>
        <w:jc w:val="both"/>
        <w:rPr>
          <w:rFonts w:ascii="Arial Narrow" w:hAnsi="Arial Narrow"/>
        </w:rPr>
      </w:pPr>
      <w:r w:rsidRPr="004C44F6">
        <w:rPr>
          <w:rStyle w:val="FootnoteReference"/>
          <w:rFonts w:ascii="Arial Narrow" w:hAnsi="Arial Narrow"/>
        </w:rPr>
        <w:footnoteRef/>
      </w:r>
      <w:r w:rsidRPr="004C44F6">
        <w:rPr>
          <w:rFonts w:ascii="Arial Narrow" w:hAnsi="Arial Narrow"/>
        </w:rPr>
        <w:tab/>
        <w:t>Access Economics 2009, ‘Forecast Growth in Labour Costs’, Report Prepared for the AER, 16 September 2009.</w:t>
      </w:r>
    </w:p>
  </w:footnote>
  <w:footnote w:id="13">
    <w:p w:rsidR="00887D92" w:rsidRPr="004C44F6" w:rsidRDefault="00887D92" w:rsidP="004C44F6">
      <w:pPr>
        <w:pStyle w:val="FootnoteText"/>
        <w:tabs>
          <w:tab w:val="left" w:pos="284"/>
        </w:tabs>
        <w:ind w:left="284" w:hanging="284"/>
        <w:jc w:val="both"/>
        <w:rPr>
          <w:rFonts w:ascii="Arial Narrow" w:hAnsi="Arial Narrow"/>
        </w:rPr>
      </w:pPr>
      <w:r w:rsidRPr="004C44F6">
        <w:rPr>
          <w:rStyle w:val="FootnoteReference"/>
          <w:rFonts w:ascii="Arial Narrow" w:hAnsi="Arial Narrow"/>
        </w:rPr>
        <w:footnoteRef/>
      </w:r>
      <w:r w:rsidRPr="004C44F6">
        <w:rPr>
          <w:rFonts w:ascii="Arial Narrow" w:hAnsi="Arial Narrow"/>
        </w:rPr>
        <w:tab/>
        <w:t>Access Economics 2010, ‘Forecast Growth in Labour Costs: March 2010 Report’, Report Prepared for the AER, 16 March 2010.</w:t>
      </w:r>
    </w:p>
  </w:footnote>
  <w:footnote w:id="14">
    <w:p w:rsidR="00887D92" w:rsidRPr="00D31DD0" w:rsidRDefault="00887D92" w:rsidP="00D31DD0">
      <w:pPr>
        <w:pStyle w:val="FootnoteText"/>
        <w:tabs>
          <w:tab w:val="left" w:pos="284"/>
        </w:tabs>
        <w:ind w:left="284" w:hanging="284"/>
        <w:jc w:val="both"/>
        <w:rPr>
          <w:rFonts w:ascii="Arial Narrow" w:hAnsi="Arial Narrow"/>
        </w:rPr>
      </w:pPr>
      <w:r w:rsidRPr="00D31DD0">
        <w:rPr>
          <w:rStyle w:val="FootnoteReference"/>
          <w:rFonts w:ascii="Arial Narrow" w:hAnsi="Arial Narrow"/>
        </w:rPr>
        <w:footnoteRef/>
      </w:r>
      <w:r>
        <w:rPr>
          <w:rFonts w:ascii="Arial Narrow" w:hAnsi="Arial Narrow"/>
        </w:rPr>
        <w:tab/>
      </w:r>
      <w:r w:rsidRPr="00D31DD0">
        <w:rPr>
          <w:rFonts w:ascii="Arial Narrow" w:hAnsi="Arial Narrow"/>
        </w:rPr>
        <w:t>Access Economics “Forecast growth in labour costs” – 13 December  2010, table 10.1, pages 67 and 68</w:t>
      </w:r>
    </w:p>
  </w:footnote>
  <w:footnote w:id="15">
    <w:p w:rsidR="00887D92" w:rsidRPr="00D31DD0" w:rsidRDefault="00887D92" w:rsidP="00D31DD0">
      <w:pPr>
        <w:pStyle w:val="FootnoteText"/>
        <w:tabs>
          <w:tab w:val="left" w:pos="284"/>
        </w:tabs>
        <w:ind w:left="284" w:hanging="284"/>
        <w:jc w:val="both"/>
        <w:rPr>
          <w:rFonts w:ascii="Arial Narrow" w:hAnsi="Arial Narrow"/>
        </w:rPr>
      </w:pPr>
      <w:r w:rsidRPr="00D31DD0">
        <w:rPr>
          <w:rStyle w:val="FootnoteReference"/>
          <w:rFonts w:ascii="Arial Narrow" w:hAnsi="Arial Narrow"/>
        </w:rPr>
        <w:footnoteRef/>
      </w:r>
      <w:r>
        <w:rPr>
          <w:rFonts w:ascii="Arial Narrow" w:hAnsi="Arial Narrow"/>
        </w:rPr>
        <w:tab/>
      </w:r>
      <w:r w:rsidRPr="00D31DD0">
        <w:rPr>
          <w:rFonts w:ascii="Arial Narrow" w:hAnsi="Arial Narrow"/>
        </w:rPr>
        <w:t>Access Economics “Forecast growth in labour costs” – 16 March 2010, table 6.5, page 69</w:t>
      </w:r>
    </w:p>
  </w:footnote>
  <w:footnote w:id="16">
    <w:p w:rsidR="00887D92" w:rsidRPr="00D31DD0" w:rsidRDefault="00887D92" w:rsidP="00D31DD0">
      <w:pPr>
        <w:pStyle w:val="FootnoteText"/>
        <w:tabs>
          <w:tab w:val="left" w:pos="284"/>
        </w:tabs>
        <w:ind w:left="284" w:hanging="284"/>
        <w:jc w:val="both"/>
        <w:rPr>
          <w:rFonts w:ascii="Arial Narrow" w:hAnsi="Arial Narrow"/>
        </w:rPr>
      </w:pPr>
      <w:r w:rsidRPr="00D31DD0">
        <w:rPr>
          <w:rStyle w:val="FootnoteReference"/>
          <w:rFonts w:ascii="Arial Narrow" w:hAnsi="Arial Narrow"/>
        </w:rPr>
        <w:footnoteRef/>
      </w:r>
      <w:r>
        <w:rPr>
          <w:rFonts w:ascii="Arial Narrow" w:hAnsi="Arial Narrow"/>
        </w:rPr>
        <w:tab/>
      </w:r>
      <w:r w:rsidRPr="00D31DD0">
        <w:rPr>
          <w:rFonts w:ascii="Arial Narrow" w:hAnsi="Arial Narrow"/>
        </w:rPr>
        <w:t>Access Economics “Forecast growth in labour costs” – 16 September 2009, table 9.4, page 66</w:t>
      </w:r>
    </w:p>
  </w:footnote>
  <w:footnote w:id="17">
    <w:p w:rsidR="00887D92" w:rsidRPr="00844719" w:rsidRDefault="00887D92" w:rsidP="00407377">
      <w:pPr>
        <w:pStyle w:val="FootnoteText"/>
        <w:rPr>
          <w:lang w:val="en-US"/>
        </w:rPr>
      </w:pPr>
      <w:r>
        <w:rPr>
          <w:rStyle w:val="FootnoteReference"/>
        </w:rPr>
        <w:footnoteRef/>
      </w:r>
      <w:r>
        <w:t xml:space="preserve"> Paragraphs 30-31</w:t>
      </w:r>
    </w:p>
  </w:footnote>
  <w:footnote w:id="18">
    <w:p w:rsidR="00887D92" w:rsidRPr="00BD4847" w:rsidRDefault="00887D92" w:rsidP="00407377">
      <w:pPr>
        <w:pStyle w:val="FootnoteText"/>
        <w:rPr>
          <w:lang w:val="en-US"/>
        </w:rPr>
      </w:pPr>
      <w:r>
        <w:rPr>
          <w:rStyle w:val="FootnoteReference"/>
        </w:rPr>
        <w:footnoteRef/>
      </w:r>
      <w:r>
        <w:t xml:space="preserve"> Paragraph 33.</w:t>
      </w:r>
    </w:p>
  </w:footnote>
  <w:footnote w:id="19">
    <w:p w:rsidR="00887D92" w:rsidRPr="00F623F7" w:rsidRDefault="00887D92" w:rsidP="000153DE">
      <w:pPr>
        <w:pStyle w:val="FootnoteText"/>
        <w:tabs>
          <w:tab w:val="left" w:pos="284"/>
        </w:tabs>
        <w:ind w:left="284" w:hanging="284"/>
        <w:jc w:val="both"/>
        <w:rPr>
          <w:rFonts w:ascii="Arial Narrow" w:hAnsi="Arial Narrow"/>
        </w:rPr>
      </w:pPr>
      <w:r w:rsidRPr="00F623F7">
        <w:rPr>
          <w:rStyle w:val="FootnoteReference"/>
          <w:rFonts w:ascii="Arial Narrow" w:hAnsi="Arial Narrow"/>
        </w:rPr>
        <w:footnoteRef/>
      </w:r>
      <w:r w:rsidRPr="00F623F7">
        <w:rPr>
          <w:rFonts w:ascii="Arial Narrow" w:hAnsi="Arial Narrow"/>
        </w:rPr>
        <w:tab/>
        <w:t xml:space="preserve">At the recent </w:t>
      </w:r>
      <w:r w:rsidRPr="00F623F7">
        <w:rPr>
          <w:rFonts w:ascii="Arial Narrow" w:hAnsi="Arial Narrow"/>
          <w:b/>
          <w:bCs/>
        </w:rPr>
        <w:t xml:space="preserve">3rd Annual Coal Seam Methane World </w:t>
      </w:r>
      <w:smartTag w:uri="urn:schemas-microsoft-com:office:smarttags" w:element="country-region">
        <w:r w:rsidRPr="00F623F7">
          <w:rPr>
            <w:rFonts w:ascii="Arial Narrow" w:hAnsi="Arial Narrow"/>
            <w:b/>
            <w:bCs/>
          </w:rPr>
          <w:t>Australia</w:t>
        </w:r>
      </w:smartTag>
      <w:r w:rsidRPr="00F623F7">
        <w:rPr>
          <w:rFonts w:ascii="Arial Narrow" w:hAnsi="Arial Narrow"/>
        </w:rPr>
        <w:t xml:space="preserve"> conference in </w:t>
      </w:r>
      <w:smartTag w:uri="urn:schemas-microsoft-com:office:smarttags" w:element="City">
        <w:r w:rsidRPr="00F623F7">
          <w:rPr>
            <w:rFonts w:ascii="Arial Narrow" w:hAnsi="Arial Narrow"/>
          </w:rPr>
          <w:t>Brisbane</w:t>
        </w:r>
      </w:smartTag>
      <w:r w:rsidRPr="00F623F7">
        <w:rPr>
          <w:rFonts w:ascii="Arial Narrow" w:hAnsi="Arial Narrow"/>
        </w:rPr>
        <w:t xml:space="preserve"> (1-3 March 2011), participants were told that </w:t>
      </w:r>
      <w:smartTag w:uri="urn:schemas-microsoft-com:office:smarttags" w:element="place">
        <w:smartTag w:uri="urn:schemas-microsoft-com:office:smarttags" w:element="country-region">
          <w:r w:rsidRPr="00F623F7">
            <w:rPr>
              <w:rFonts w:ascii="Arial Narrow" w:hAnsi="Arial Narrow"/>
            </w:rPr>
            <w:t>Australia</w:t>
          </w:r>
        </w:smartTag>
      </w:smartTag>
      <w:r w:rsidRPr="00F623F7">
        <w:rPr>
          <w:rFonts w:ascii="Arial Narrow" w:hAnsi="Arial Narrow"/>
        </w:rPr>
        <w:t xml:space="preserve"> will need to invest $20b in coal seam methane to grow the market.  This level of investment will swamp investment by gas distribution companies, and apply significant upward pressure on labour rates.</w:t>
      </w:r>
    </w:p>
  </w:footnote>
  <w:footnote w:id="20">
    <w:p w:rsidR="00887D92" w:rsidRPr="000153DE" w:rsidRDefault="00887D92" w:rsidP="000153DE">
      <w:pPr>
        <w:pStyle w:val="FootnoteText"/>
        <w:tabs>
          <w:tab w:val="left" w:pos="284"/>
        </w:tabs>
        <w:ind w:left="284" w:hanging="284"/>
        <w:jc w:val="both"/>
        <w:rPr>
          <w:rFonts w:ascii="Arial Narrow" w:hAnsi="Arial Narrow"/>
          <w:lang w:val="en-US"/>
        </w:rPr>
      </w:pPr>
      <w:r w:rsidRPr="00F623F7">
        <w:rPr>
          <w:rStyle w:val="FootnoteReference"/>
          <w:rFonts w:ascii="Arial Narrow" w:hAnsi="Arial Narrow"/>
        </w:rPr>
        <w:footnoteRef/>
      </w:r>
      <w:r w:rsidRPr="00F623F7">
        <w:rPr>
          <w:rFonts w:ascii="Arial Narrow" w:hAnsi="Arial Narrow"/>
        </w:rPr>
        <w:tab/>
        <w:t>Economic Insights 2011a page 9.</w:t>
      </w:r>
    </w:p>
  </w:footnote>
  <w:footnote w:id="21">
    <w:p w:rsidR="00887D92" w:rsidRPr="000153DE" w:rsidRDefault="00887D92" w:rsidP="000153DE">
      <w:pPr>
        <w:pStyle w:val="FootnoteText"/>
        <w:tabs>
          <w:tab w:val="left" w:pos="284"/>
        </w:tabs>
        <w:ind w:left="284" w:hanging="284"/>
        <w:jc w:val="both"/>
        <w:rPr>
          <w:rFonts w:ascii="Arial Narrow" w:hAnsi="Arial Narrow"/>
        </w:rPr>
      </w:pPr>
      <w:r w:rsidRPr="000153DE">
        <w:rPr>
          <w:rStyle w:val="FootnoteReference"/>
          <w:rFonts w:ascii="Arial Narrow" w:hAnsi="Arial Narrow"/>
        </w:rPr>
        <w:footnoteRef/>
      </w:r>
      <w:r>
        <w:rPr>
          <w:rFonts w:ascii="Arial Narrow" w:hAnsi="Arial Narrow"/>
        </w:rPr>
        <w:tab/>
      </w:r>
      <w:r w:rsidRPr="000153DE">
        <w:rPr>
          <w:rFonts w:ascii="Arial Narrow" w:hAnsi="Arial Narrow"/>
        </w:rPr>
        <w:t>AER DD SA</w:t>
      </w:r>
    </w:p>
  </w:footnote>
  <w:footnote w:id="22">
    <w:p w:rsidR="00887D92" w:rsidRPr="00F24B7A" w:rsidRDefault="00887D92" w:rsidP="00F24B7A">
      <w:pPr>
        <w:pStyle w:val="FootnoteText"/>
        <w:tabs>
          <w:tab w:val="left" w:pos="284"/>
        </w:tabs>
        <w:ind w:left="284" w:hanging="284"/>
        <w:rPr>
          <w:rFonts w:ascii="Arial Narrow" w:hAnsi="Arial Narrow"/>
        </w:rPr>
      </w:pPr>
      <w:r w:rsidRPr="00F24B7A">
        <w:rPr>
          <w:rStyle w:val="FootnoteReference"/>
          <w:rFonts w:ascii="Arial Narrow" w:hAnsi="Arial Narrow"/>
        </w:rPr>
        <w:footnoteRef/>
      </w:r>
      <w:r>
        <w:rPr>
          <w:rFonts w:ascii="Arial Narrow" w:hAnsi="Arial Narrow"/>
        </w:rPr>
        <w:tab/>
      </w:r>
      <w:r w:rsidRPr="00F24B7A">
        <w:rPr>
          <w:rFonts w:ascii="Arial Narrow" w:hAnsi="Arial Narrow"/>
        </w:rPr>
        <w:t xml:space="preserve">BIS Shrapnel, Real Cost Escalation Forecasts to 2015/16 – </w:t>
      </w:r>
      <w:smartTag w:uri="urn:schemas-microsoft-com:office:smarttags" w:element="State">
        <w:r w:rsidRPr="00F24B7A">
          <w:rPr>
            <w:rFonts w:ascii="Arial Narrow" w:hAnsi="Arial Narrow"/>
          </w:rPr>
          <w:t>Queensland</w:t>
        </w:r>
      </w:smartTag>
      <w:r w:rsidRPr="00F24B7A">
        <w:rPr>
          <w:rFonts w:ascii="Arial Narrow" w:hAnsi="Arial Narrow"/>
        </w:rPr>
        <w:t xml:space="preserve"> and </w:t>
      </w:r>
      <w:smartTag w:uri="urn:schemas-microsoft-com:office:smarttags" w:element="State">
        <w:smartTag w:uri="urn:schemas-microsoft-com:office:smarttags" w:element="place">
          <w:r w:rsidRPr="00F24B7A">
            <w:rPr>
              <w:rFonts w:ascii="Arial Narrow" w:hAnsi="Arial Narrow"/>
            </w:rPr>
            <w:t>South Australia</w:t>
          </w:r>
        </w:smartTag>
      </w:smartTag>
    </w:p>
  </w:footnote>
  <w:footnote w:id="23">
    <w:p w:rsidR="00887D92" w:rsidRPr="00F24B7A" w:rsidRDefault="00887D92" w:rsidP="00F24B7A">
      <w:pPr>
        <w:pStyle w:val="FootnoteText"/>
        <w:tabs>
          <w:tab w:val="left" w:pos="284"/>
        </w:tabs>
        <w:rPr>
          <w:rFonts w:ascii="Arial Narrow" w:hAnsi="Arial Narrow"/>
          <w:lang w:val="en-US"/>
        </w:rPr>
      </w:pPr>
      <w:r w:rsidRPr="00F24B7A">
        <w:rPr>
          <w:rStyle w:val="FootnoteReference"/>
          <w:rFonts w:ascii="Arial Narrow" w:hAnsi="Arial Narrow"/>
        </w:rPr>
        <w:footnoteRef/>
      </w:r>
      <w:r>
        <w:rPr>
          <w:rFonts w:ascii="Arial Narrow" w:hAnsi="Arial Narrow"/>
        </w:rPr>
        <w:tab/>
      </w:r>
      <w:r w:rsidRPr="00F24B7A">
        <w:rPr>
          <w:rFonts w:ascii="Arial Narrow" w:hAnsi="Arial Narrow"/>
        </w:rPr>
        <w:t>Page 10.</w:t>
      </w:r>
    </w:p>
  </w:footnote>
  <w:footnote w:id="24">
    <w:p w:rsidR="00887D92" w:rsidRPr="00F24B7A" w:rsidRDefault="00887D92" w:rsidP="00F24B7A">
      <w:pPr>
        <w:pStyle w:val="FootnoteText"/>
        <w:tabs>
          <w:tab w:val="left" w:pos="284"/>
        </w:tabs>
        <w:rPr>
          <w:rFonts w:ascii="Arial Narrow" w:hAnsi="Arial Narrow"/>
        </w:rPr>
      </w:pPr>
      <w:r w:rsidRPr="00F24B7A">
        <w:rPr>
          <w:rStyle w:val="FootnoteReference"/>
          <w:rFonts w:ascii="Arial Narrow" w:hAnsi="Arial Narrow"/>
        </w:rPr>
        <w:footnoteRef/>
      </w:r>
      <w:r>
        <w:rPr>
          <w:rFonts w:ascii="Arial Narrow" w:hAnsi="Arial Narrow"/>
        </w:rPr>
        <w:tab/>
      </w:r>
      <w:r w:rsidRPr="00F24B7A">
        <w:rPr>
          <w:rFonts w:ascii="Arial Narrow" w:hAnsi="Arial Narrow"/>
        </w:rPr>
        <w:t>BIS Shrapnel Report (March 2011)</w:t>
      </w:r>
    </w:p>
  </w:footnote>
  <w:footnote w:id="25">
    <w:p w:rsidR="00887D92" w:rsidRPr="00E638CD" w:rsidRDefault="00887D92" w:rsidP="00097FC6">
      <w:pPr>
        <w:tabs>
          <w:tab w:val="left" w:pos="284"/>
        </w:tabs>
        <w:spacing w:after="0" w:line="240" w:lineRule="auto"/>
        <w:ind w:left="284" w:hanging="284"/>
        <w:jc w:val="both"/>
        <w:rPr>
          <w:rFonts w:ascii="Arial Narrow" w:hAnsi="Arial Narrow" w:cs="Arial"/>
          <w:sz w:val="20"/>
          <w:szCs w:val="20"/>
        </w:rPr>
      </w:pPr>
      <w:r w:rsidRPr="00E638CD">
        <w:rPr>
          <w:rStyle w:val="FootnoteReference"/>
          <w:rFonts w:ascii="Arial Narrow" w:hAnsi="Arial Narrow"/>
          <w:sz w:val="20"/>
          <w:szCs w:val="20"/>
        </w:rPr>
        <w:footnoteRef/>
      </w:r>
      <w:r w:rsidRPr="00E638CD">
        <w:rPr>
          <w:rFonts w:ascii="Arial Narrow" w:hAnsi="Arial Narrow"/>
          <w:sz w:val="20"/>
          <w:szCs w:val="20"/>
        </w:rPr>
        <w:t xml:space="preserve"> </w:t>
      </w:r>
      <w:r w:rsidRPr="00E638CD">
        <w:rPr>
          <w:rFonts w:ascii="Arial Narrow" w:hAnsi="Arial Narrow"/>
          <w:sz w:val="20"/>
          <w:szCs w:val="20"/>
        </w:rPr>
        <w:tab/>
      </w:r>
      <w:r w:rsidRPr="00E638CD">
        <w:rPr>
          <w:rFonts w:ascii="Arial Narrow" w:hAnsi="Arial Narrow" w:cs="Arial"/>
          <w:sz w:val="20"/>
          <w:szCs w:val="20"/>
        </w:rPr>
        <w:t>Origin Energy provided this data to Envestra. Major air conditioning equipment suppliers submit their sales figures to an independent bureau that collates the numbers on a confidential basis.  They then issue a report to each subscriber showing sales for the total industry.  This information is used to determine the market share of each supplier. Origin is a participant in this scheme.</w:t>
      </w:r>
    </w:p>
    <w:p w:rsidR="00887D92" w:rsidRDefault="00887D92" w:rsidP="007945F6">
      <w:pPr>
        <w:pStyle w:val="FootnoteText"/>
      </w:pPr>
    </w:p>
  </w:footnote>
  <w:footnote w:id="26">
    <w:p w:rsidR="00887D92" w:rsidRPr="00A65082" w:rsidRDefault="00887D92" w:rsidP="00FE6011">
      <w:pPr>
        <w:pStyle w:val="FootnoteText"/>
        <w:tabs>
          <w:tab w:val="left" w:pos="284"/>
        </w:tabs>
        <w:ind w:left="284" w:hanging="284"/>
        <w:rPr>
          <w:rFonts w:ascii="Arial Narrow" w:hAnsi="Arial Narrow"/>
        </w:rPr>
      </w:pPr>
      <w:r w:rsidRPr="00A65082">
        <w:rPr>
          <w:rStyle w:val="FootnoteReference"/>
          <w:rFonts w:ascii="Arial Narrow" w:hAnsi="Arial Narrow"/>
        </w:rPr>
        <w:footnoteRef/>
      </w:r>
      <w:r>
        <w:rPr>
          <w:rFonts w:ascii="Arial Narrow" w:hAnsi="Arial Narrow"/>
        </w:rPr>
        <w:tab/>
      </w:r>
      <w:r w:rsidRPr="00A65082">
        <w:rPr>
          <w:rFonts w:ascii="Arial Narrow" w:hAnsi="Arial Narrow"/>
        </w:rPr>
        <w:t>SA AAI Attachment 6-2</w:t>
      </w:r>
    </w:p>
  </w:footnote>
  <w:footnote w:id="27">
    <w:p w:rsidR="00887D92" w:rsidRPr="00916783" w:rsidRDefault="00887D92" w:rsidP="00A173EC">
      <w:pPr>
        <w:pStyle w:val="FootnoteText"/>
        <w:tabs>
          <w:tab w:val="left" w:pos="284"/>
        </w:tabs>
        <w:ind w:left="284" w:hanging="284"/>
        <w:rPr>
          <w:rFonts w:ascii="Arial Narrow" w:hAnsi="Arial Narrow"/>
        </w:rPr>
      </w:pPr>
      <w:r w:rsidRPr="00916783">
        <w:rPr>
          <w:rStyle w:val="FootnoteReference"/>
          <w:rFonts w:ascii="Arial Narrow" w:hAnsi="Arial Narrow"/>
        </w:rPr>
        <w:footnoteRef/>
      </w:r>
      <w:r>
        <w:rPr>
          <w:rFonts w:ascii="Arial Narrow" w:hAnsi="Arial Narrow"/>
        </w:rPr>
        <w:tab/>
      </w:r>
      <w:r w:rsidRPr="00916783">
        <w:rPr>
          <w:rFonts w:ascii="Arial Narrow" w:hAnsi="Arial Narrow"/>
        </w:rPr>
        <w:t>The only exception would be if a retailer was over-contracted in gas (and so was in take or pay difficulties – that is was committed to pay for gas whether or not it took the gas) and therefore was willing to sell at cost or at a loss to assist it manage take or pay risk.</w:t>
      </w:r>
    </w:p>
  </w:footnote>
  <w:footnote w:id="28">
    <w:p w:rsidR="00887D92" w:rsidRPr="00F23D16" w:rsidRDefault="00887D92" w:rsidP="00F23D16">
      <w:pPr>
        <w:pStyle w:val="FootnoteText"/>
        <w:tabs>
          <w:tab w:val="left" w:pos="284"/>
        </w:tabs>
        <w:ind w:left="284" w:hanging="284"/>
        <w:rPr>
          <w:rFonts w:ascii="Arial Narrow" w:hAnsi="Arial Narrow"/>
          <w:lang w:val="en-US"/>
        </w:rPr>
      </w:pPr>
      <w:r w:rsidRPr="00F23D16">
        <w:rPr>
          <w:rStyle w:val="FootnoteReference"/>
          <w:rFonts w:ascii="Arial Narrow" w:hAnsi="Arial Narrow"/>
        </w:rPr>
        <w:footnoteRef/>
      </w:r>
      <w:r>
        <w:rPr>
          <w:rFonts w:ascii="Arial Narrow" w:hAnsi="Arial Narrow"/>
        </w:rPr>
        <w:tab/>
      </w:r>
      <w:r w:rsidRPr="00F23D16">
        <w:rPr>
          <w:rFonts w:ascii="Arial Narrow" w:hAnsi="Arial Narrow"/>
          <w:lang w:val="en-US"/>
        </w:rPr>
        <w:t>P27, WC Report</w:t>
      </w:r>
    </w:p>
  </w:footnote>
  <w:footnote w:id="29">
    <w:p w:rsidR="00887D92" w:rsidRPr="00F23D16" w:rsidRDefault="00887D92" w:rsidP="00F23D16">
      <w:pPr>
        <w:pStyle w:val="FootnoteText"/>
        <w:tabs>
          <w:tab w:val="left" w:pos="284"/>
        </w:tabs>
        <w:ind w:left="284" w:hanging="284"/>
        <w:rPr>
          <w:rFonts w:ascii="Arial Narrow" w:hAnsi="Arial Narrow"/>
          <w:lang w:val="en-US"/>
        </w:rPr>
      </w:pPr>
      <w:r w:rsidRPr="00F23D16">
        <w:rPr>
          <w:rStyle w:val="FootnoteReference"/>
          <w:rFonts w:ascii="Arial Narrow" w:hAnsi="Arial Narrow"/>
        </w:rPr>
        <w:footnoteRef/>
      </w:r>
      <w:r>
        <w:rPr>
          <w:rFonts w:ascii="Arial Narrow" w:hAnsi="Arial Narrow"/>
        </w:rPr>
        <w:tab/>
      </w:r>
      <w:r w:rsidRPr="00F23D16">
        <w:rPr>
          <w:rFonts w:ascii="Arial Narrow" w:hAnsi="Arial Narrow"/>
          <w:lang w:val="en-US"/>
        </w:rPr>
        <w:t>P26, WC Report</w:t>
      </w:r>
    </w:p>
  </w:footnote>
  <w:footnote w:id="30">
    <w:p w:rsidR="00887D92" w:rsidRPr="00C849D8" w:rsidRDefault="00887D92" w:rsidP="00C849D8">
      <w:pPr>
        <w:pStyle w:val="FootnoteText"/>
        <w:tabs>
          <w:tab w:val="left" w:pos="284"/>
        </w:tabs>
        <w:ind w:left="284" w:hanging="284"/>
        <w:rPr>
          <w:rFonts w:ascii="Arial Narrow" w:hAnsi="Arial Narrow"/>
          <w:lang w:val="en-US"/>
        </w:rPr>
      </w:pPr>
      <w:r w:rsidRPr="00C849D8">
        <w:rPr>
          <w:rStyle w:val="FootnoteReference"/>
          <w:rFonts w:ascii="Arial Narrow" w:hAnsi="Arial Narrow"/>
        </w:rPr>
        <w:footnoteRef/>
      </w:r>
      <w:r>
        <w:rPr>
          <w:rFonts w:ascii="Arial Narrow" w:hAnsi="Arial Narrow"/>
        </w:rPr>
        <w:tab/>
      </w:r>
      <w:r w:rsidRPr="00C849D8">
        <w:rPr>
          <w:rFonts w:ascii="Arial Narrow" w:hAnsi="Arial Narrow"/>
          <w:lang w:val="en-US"/>
        </w:rPr>
        <w:t>P29, WC Report</w:t>
      </w:r>
    </w:p>
  </w:footnote>
  <w:footnote w:id="31">
    <w:p w:rsidR="00887D92" w:rsidRPr="00C849D8" w:rsidRDefault="00887D92" w:rsidP="00C849D8">
      <w:pPr>
        <w:pStyle w:val="FootnoteText"/>
        <w:tabs>
          <w:tab w:val="left" w:pos="284"/>
        </w:tabs>
        <w:ind w:left="284" w:hanging="284"/>
        <w:rPr>
          <w:rFonts w:ascii="Arial Narrow" w:hAnsi="Arial Narrow"/>
          <w:lang w:val="en-US"/>
        </w:rPr>
      </w:pPr>
      <w:r w:rsidRPr="00C849D8">
        <w:rPr>
          <w:rStyle w:val="FootnoteReference"/>
          <w:rFonts w:ascii="Arial Narrow" w:hAnsi="Arial Narrow"/>
        </w:rPr>
        <w:footnoteRef/>
      </w:r>
      <w:r>
        <w:rPr>
          <w:rFonts w:ascii="Arial Narrow" w:hAnsi="Arial Narrow"/>
        </w:rPr>
        <w:tab/>
      </w:r>
      <w:r w:rsidRPr="00C849D8">
        <w:rPr>
          <w:rFonts w:ascii="Arial Narrow" w:hAnsi="Arial Narrow"/>
          <w:lang w:val="en-US"/>
        </w:rPr>
        <w:t>P27, WC Report</w:t>
      </w:r>
    </w:p>
  </w:footnote>
  <w:footnote w:id="32">
    <w:p w:rsidR="00887D92" w:rsidRPr="00AC4C25" w:rsidRDefault="00887D92" w:rsidP="00AC4C25">
      <w:pPr>
        <w:pStyle w:val="FootnoteText"/>
        <w:tabs>
          <w:tab w:val="left" w:pos="284"/>
        </w:tabs>
        <w:ind w:left="284" w:hanging="284"/>
        <w:rPr>
          <w:rFonts w:ascii="Arial Narrow" w:hAnsi="Arial Narrow"/>
          <w:lang w:val="en-US"/>
        </w:rPr>
      </w:pPr>
      <w:r w:rsidRPr="00AC4C25">
        <w:rPr>
          <w:rStyle w:val="FootnoteReference"/>
          <w:rFonts w:ascii="Arial Narrow" w:hAnsi="Arial Narrow"/>
        </w:rPr>
        <w:footnoteRef/>
      </w:r>
      <w:r>
        <w:rPr>
          <w:rFonts w:ascii="Arial Narrow" w:hAnsi="Arial Narrow"/>
        </w:rPr>
        <w:tab/>
      </w:r>
      <w:r w:rsidRPr="00AC4C25">
        <w:rPr>
          <w:rFonts w:ascii="Arial Narrow" w:hAnsi="Arial Narrow"/>
          <w:lang w:val="en-US"/>
        </w:rPr>
        <w:t>P164, Draft Decision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Default="00887D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Default="00887D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D92" w:rsidRDefault="00887D9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4B3CA794"/>
    <w:lvl w:ilvl="0">
      <w:start w:val="1"/>
      <w:numFmt w:val="bullet"/>
      <w:pStyle w:val="Bullet"/>
      <w:lvlText w:val=""/>
      <w:lvlJc w:val="left"/>
      <w:pPr>
        <w:tabs>
          <w:tab w:val="num" w:pos="360"/>
        </w:tabs>
        <w:ind w:left="227" w:hanging="227"/>
      </w:pPr>
      <w:rPr>
        <w:rFonts w:ascii="Wingdings" w:hAnsi="Wingdings" w:hint="default"/>
        <w:sz w:val="16"/>
        <w:vertAlign w:val="baseline"/>
      </w:rPr>
    </w:lvl>
  </w:abstractNum>
  <w:abstractNum w:abstractNumId="1">
    <w:nsid w:val="007F23D7"/>
    <w:multiLevelType w:val="hybridMultilevel"/>
    <w:tmpl w:val="5AF24B4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nsid w:val="02355055"/>
    <w:multiLevelType w:val="hybridMultilevel"/>
    <w:tmpl w:val="0448A85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
    <w:nsid w:val="03CF3E1B"/>
    <w:multiLevelType w:val="hybridMultilevel"/>
    <w:tmpl w:val="AA6C77EE"/>
    <w:lvl w:ilvl="0" w:tplc="0C09000F">
      <w:start w:val="1"/>
      <w:numFmt w:val="decimal"/>
      <w:lvlText w:val="%1."/>
      <w:lvlJc w:val="left"/>
      <w:pPr>
        <w:tabs>
          <w:tab w:val="num" w:pos="1020"/>
        </w:tabs>
        <w:ind w:left="1020" w:hanging="360"/>
      </w:pPr>
    </w:lvl>
    <w:lvl w:ilvl="1" w:tplc="0C090019" w:tentative="1">
      <w:start w:val="1"/>
      <w:numFmt w:val="lowerLetter"/>
      <w:lvlText w:val="%2."/>
      <w:lvlJc w:val="left"/>
      <w:pPr>
        <w:tabs>
          <w:tab w:val="num" w:pos="1740"/>
        </w:tabs>
        <w:ind w:left="1740" w:hanging="360"/>
      </w:pPr>
    </w:lvl>
    <w:lvl w:ilvl="2" w:tplc="0C09001B" w:tentative="1">
      <w:start w:val="1"/>
      <w:numFmt w:val="lowerRoman"/>
      <w:lvlText w:val="%3."/>
      <w:lvlJc w:val="right"/>
      <w:pPr>
        <w:tabs>
          <w:tab w:val="num" w:pos="2460"/>
        </w:tabs>
        <w:ind w:left="2460" w:hanging="180"/>
      </w:pPr>
    </w:lvl>
    <w:lvl w:ilvl="3" w:tplc="0C09000F" w:tentative="1">
      <w:start w:val="1"/>
      <w:numFmt w:val="decimal"/>
      <w:lvlText w:val="%4."/>
      <w:lvlJc w:val="left"/>
      <w:pPr>
        <w:tabs>
          <w:tab w:val="num" w:pos="3180"/>
        </w:tabs>
        <w:ind w:left="3180" w:hanging="360"/>
      </w:pPr>
    </w:lvl>
    <w:lvl w:ilvl="4" w:tplc="0C090019" w:tentative="1">
      <w:start w:val="1"/>
      <w:numFmt w:val="lowerLetter"/>
      <w:lvlText w:val="%5."/>
      <w:lvlJc w:val="left"/>
      <w:pPr>
        <w:tabs>
          <w:tab w:val="num" w:pos="3900"/>
        </w:tabs>
        <w:ind w:left="3900" w:hanging="360"/>
      </w:pPr>
    </w:lvl>
    <w:lvl w:ilvl="5" w:tplc="0C09001B" w:tentative="1">
      <w:start w:val="1"/>
      <w:numFmt w:val="lowerRoman"/>
      <w:lvlText w:val="%6."/>
      <w:lvlJc w:val="right"/>
      <w:pPr>
        <w:tabs>
          <w:tab w:val="num" w:pos="4620"/>
        </w:tabs>
        <w:ind w:left="4620" w:hanging="180"/>
      </w:pPr>
    </w:lvl>
    <w:lvl w:ilvl="6" w:tplc="0C09000F" w:tentative="1">
      <w:start w:val="1"/>
      <w:numFmt w:val="decimal"/>
      <w:lvlText w:val="%7."/>
      <w:lvlJc w:val="left"/>
      <w:pPr>
        <w:tabs>
          <w:tab w:val="num" w:pos="5340"/>
        </w:tabs>
        <w:ind w:left="5340" w:hanging="360"/>
      </w:pPr>
    </w:lvl>
    <w:lvl w:ilvl="7" w:tplc="0C090019" w:tentative="1">
      <w:start w:val="1"/>
      <w:numFmt w:val="lowerLetter"/>
      <w:lvlText w:val="%8."/>
      <w:lvlJc w:val="left"/>
      <w:pPr>
        <w:tabs>
          <w:tab w:val="num" w:pos="6060"/>
        </w:tabs>
        <w:ind w:left="6060" w:hanging="360"/>
      </w:pPr>
    </w:lvl>
    <w:lvl w:ilvl="8" w:tplc="0C09001B" w:tentative="1">
      <w:start w:val="1"/>
      <w:numFmt w:val="lowerRoman"/>
      <w:lvlText w:val="%9."/>
      <w:lvlJc w:val="right"/>
      <w:pPr>
        <w:tabs>
          <w:tab w:val="num" w:pos="6780"/>
        </w:tabs>
        <w:ind w:left="6780" w:hanging="180"/>
      </w:pPr>
    </w:lvl>
  </w:abstractNum>
  <w:abstractNum w:abstractNumId="4">
    <w:nsid w:val="12C95E84"/>
    <w:multiLevelType w:val="hybridMultilevel"/>
    <w:tmpl w:val="86C83C78"/>
    <w:lvl w:ilvl="0" w:tplc="0C090005">
      <w:start w:val="1"/>
      <w:numFmt w:val="bullet"/>
      <w:lvlText w:val=""/>
      <w:lvlJc w:val="left"/>
      <w:pPr>
        <w:ind w:left="1494" w:hanging="360"/>
      </w:pPr>
      <w:rPr>
        <w:rFonts w:ascii="Wingdings" w:hAnsi="Wingdings"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5">
    <w:nsid w:val="13AD0EC6"/>
    <w:multiLevelType w:val="hybridMultilevel"/>
    <w:tmpl w:val="DB24767C"/>
    <w:lvl w:ilvl="0" w:tplc="0C09000F">
      <w:start w:val="1"/>
      <w:numFmt w:val="decimal"/>
      <w:lvlText w:val="%1."/>
      <w:lvlJc w:val="left"/>
      <w:pPr>
        <w:tabs>
          <w:tab w:val="num" w:pos="1500"/>
        </w:tabs>
        <w:ind w:left="1500" w:hanging="360"/>
      </w:pPr>
    </w:lvl>
    <w:lvl w:ilvl="1" w:tplc="0C090019" w:tentative="1">
      <w:start w:val="1"/>
      <w:numFmt w:val="lowerLetter"/>
      <w:lvlText w:val="%2."/>
      <w:lvlJc w:val="left"/>
      <w:pPr>
        <w:tabs>
          <w:tab w:val="num" w:pos="2220"/>
        </w:tabs>
        <w:ind w:left="2220" w:hanging="360"/>
      </w:pPr>
    </w:lvl>
    <w:lvl w:ilvl="2" w:tplc="0C09001B" w:tentative="1">
      <w:start w:val="1"/>
      <w:numFmt w:val="lowerRoman"/>
      <w:lvlText w:val="%3."/>
      <w:lvlJc w:val="right"/>
      <w:pPr>
        <w:tabs>
          <w:tab w:val="num" w:pos="2940"/>
        </w:tabs>
        <w:ind w:left="2940" w:hanging="180"/>
      </w:pPr>
    </w:lvl>
    <w:lvl w:ilvl="3" w:tplc="0C09000F" w:tentative="1">
      <w:start w:val="1"/>
      <w:numFmt w:val="decimal"/>
      <w:lvlText w:val="%4."/>
      <w:lvlJc w:val="left"/>
      <w:pPr>
        <w:tabs>
          <w:tab w:val="num" w:pos="3660"/>
        </w:tabs>
        <w:ind w:left="3660" w:hanging="360"/>
      </w:pPr>
    </w:lvl>
    <w:lvl w:ilvl="4" w:tplc="0C090019" w:tentative="1">
      <w:start w:val="1"/>
      <w:numFmt w:val="lowerLetter"/>
      <w:lvlText w:val="%5."/>
      <w:lvlJc w:val="left"/>
      <w:pPr>
        <w:tabs>
          <w:tab w:val="num" w:pos="4380"/>
        </w:tabs>
        <w:ind w:left="4380" w:hanging="360"/>
      </w:pPr>
    </w:lvl>
    <w:lvl w:ilvl="5" w:tplc="0C09001B" w:tentative="1">
      <w:start w:val="1"/>
      <w:numFmt w:val="lowerRoman"/>
      <w:lvlText w:val="%6."/>
      <w:lvlJc w:val="right"/>
      <w:pPr>
        <w:tabs>
          <w:tab w:val="num" w:pos="5100"/>
        </w:tabs>
        <w:ind w:left="5100" w:hanging="180"/>
      </w:pPr>
    </w:lvl>
    <w:lvl w:ilvl="6" w:tplc="0C09000F" w:tentative="1">
      <w:start w:val="1"/>
      <w:numFmt w:val="decimal"/>
      <w:lvlText w:val="%7."/>
      <w:lvlJc w:val="left"/>
      <w:pPr>
        <w:tabs>
          <w:tab w:val="num" w:pos="5820"/>
        </w:tabs>
        <w:ind w:left="5820" w:hanging="360"/>
      </w:pPr>
    </w:lvl>
    <w:lvl w:ilvl="7" w:tplc="0C090019" w:tentative="1">
      <w:start w:val="1"/>
      <w:numFmt w:val="lowerLetter"/>
      <w:lvlText w:val="%8."/>
      <w:lvlJc w:val="left"/>
      <w:pPr>
        <w:tabs>
          <w:tab w:val="num" w:pos="6540"/>
        </w:tabs>
        <w:ind w:left="6540" w:hanging="360"/>
      </w:pPr>
    </w:lvl>
    <w:lvl w:ilvl="8" w:tplc="0C09001B" w:tentative="1">
      <w:start w:val="1"/>
      <w:numFmt w:val="lowerRoman"/>
      <w:lvlText w:val="%9."/>
      <w:lvlJc w:val="right"/>
      <w:pPr>
        <w:tabs>
          <w:tab w:val="num" w:pos="7260"/>
        </w:tabs>
        <w:ind w:left="7260" w:hanging="180"/>
      </w:pPr>
    </w:lvl>
  </w:abstractNum>
  <w:abstractNum w:abstractNumId="6">
    <w:nsid w:val="17D338A7"/>
    <w:multiLevelType w:val="hybridMultilevel"/>
    <w:tmpl w:val="60DC2FE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1CDC5F68"/>
    <w:multiLevelType w:val="hybridMultilevel"/>
    <w:tmpl w:val="E376A9BE"/>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07E495C"/>
    <w:multiLevelType w:val="hybridMultilevel"/>
    <w:tmpl w:val="394EAD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C31FED"/>
    <w:multiLevelType w:val="hybridMultilevel"/>
    <w:tmpl w:val="0AF242D2"/>
    <w:lvl w:ilvl="0" w:tplc="7E1C9F92">
      <w:start w:val="1"/>
      <w:numFmt w:val="low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0">
    <w:nsid w:val="2C57382C"/>
    <w:multiLevelType w:val="multilevel"/>
    <w:tmpl w:val="941C805E"/>
    <w:lvl w:ilvl="0">
      <w:start w:val="1"/>
      <w:numFmt w:val="none"/>
      <w:pStyle w:val="AERheading1"/>
      <w:lvlText w:val=""/>
      <w:lvlJc w:val="left"/>
      <w:pPr>
        <w:tabs>
          <w:tab w:val="num" w:pos="720"/>
        </w:tabs>
        <w:ind w:left="720" w:hanging="720"/>
      </w:pPr>
      <w:rPr>
        <w:rFonts w:hint="default"/>
      </w:rPr>
    </w:lvl>
    <w:lvl w:ilvl="1">
      <w:start w:val="1"/>
      <w:numFmt w:val="decimal"/>
      <w:pStyle w:val="AERheading2"/>
      <w:lvlText w:val="%11.%2"/>
      <w:lvlJc w:val="left"/>
      <w:pPr>
        <w:tabs>
          <w:tab w:val="num" w:pos="720"/>
        </w:tabs>
        <w:ind w:left="720" w:hanging="720"/>
      </w:pPr>
      <w:rPr>
        <w:rFonts w:hint="default"/>
      </w:rPr>
    </w:lvl>
    <w:lvl w:ilvl="2">
      <w:start w:val="1"/>
      <w:numFmt w:val="decimal"/>
      <w:pStyle w:val="AERheading3"/>
      <w:lvlText w:val="%11.%2.%3"/>
      <w:lvlJc w:val="left"/>
      <w:pPr>
        <w:tabs>
          <w:tab w:val="num" w:pos="720"/>
        </w:tabs>
        <w:ind w:left="720" w:hanging="720"/>
      </w:pPr>
      <w:rPr>
        <w:rFonts w:hint="default"/>
        <w:strike w:val="0"/>
      </w:rPr>
    </w:lvl>
    <w:lvl w:ilvl="3">
      <w:start w:val="1"/>
      <w:numFmt w:val="decimal"/>
      <w:pStyle w:val="AERheading4"/>
      <w:lvlText w:val="%11.%2.%3.%4"/>
      <w:lvlJc w:val="left"/>
      <w:pPr>
        <w:tabs>
          <w:tab w:val="num" w:pos="1800"/>
        </w:tabs>
        <w:ind w:left="1440" w:hanging="720"/>
      </w:pPr>
      <w:rPr>
        <w:rFonts w:hint="default"/>
      </w:rPr>
    </w:lvl>
    <w:lvl w:ilvl="4">
      <w:start w:val="1"/>
      <w:numFmt w:val="decimal"/>
      <w:lvlText w:val="%11.%2.%3.%4.%5"/>
      <w:lvlJc w:val="left"/>
      <w:pPr>
        <w:tabs>
          <w:tab w:val="num" w:pos="1440"/>
        </w:tabs>
        <w:ind w:left="1080" w:hanging="1080"/>
      </w:pPr>
      <w:rPr>
        <w:rFonts w:hint="default"/>
      </w:rPr>
    </w:lvl>
    <w:lvl w:ilvl="5">
      <w:start w:val="1"/>
      <w:numFmt w:val="decimal"/>
      <w:isLgl/>
      <w:lvlText w:val="%11.%2.%3.%4.%5.%6"/>
      <w:lvlJc w:val="left"/>
      <w:pPr>
        <w:tabs>
          <w:tab w:val="num" w:pos="1080"/>
        </w:tabs>
        <w:ind w:left="1080" w:hanging="1080"/>
      </w:pPr>
      <w:rPr>
        <w:rFonts w:hint="default"/>
      </w:rPr>
    </w:lvl>
    <w:lvl w:ilvl="6">
      <w:start w:val="1"/>
      <w:numFmt w:val="decimal"/>
      <w:isLgl/>
      <w:lvlText w:val="%1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2C9C2653"/>
    <w:multiLevelType w:val="multilevel"/>
    <w:tmpl w:val="93661528"/>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E1110B2"/>
    <w:multiLevelType w:val="hybridMultilevel"/>
    <w:tmpl w:val="2AA2D2F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2E81352B"/>
    <w:multiLevelType w:val="hybridMultilevel"/>
    <w:tmpl w:val="D354BDC6"/>
    <w:lvl w:ilvl="0" w:tplc="EE2211D2">
      <w:start w:val="1"/>
      <w:numFmt w:val="bullet"/>
      <w:lvlText w:val="-"/>
      <w:lvlJc w:val="left"/>
      <w:pPr>
        <w:ind w:left="1146" w:hanging="360"/>
      </w:pPr>
      <w:rPr>
        <w:rFonts w:ascii="Times New Roman" w:hAnsi="Times New Roman" w:cs="Times New Roman" w:hint="default"/>
        <w:color w:val="auto"/>
        <w:sz w:val="28"/>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4">
    <w:nsid w:val="31AD7D19"/>
    <w:multiLevelType w:val="hybridMultilevel"/>
    <w:tmpl w:val="DC24F76C"/>
    <w:lvl w:ilvl="0" w:tplc="B156C592">
      <w:start w:val="1"/>
      <w:numFmt w:val="lowerLetter"/>
      <w:lvlText w:val="(%1)"/>
      <w:lvlJc w:val="left"/>
      <w:pPr>
        <w:tabs>
          <w:tab w:val="num" w:pos="1287"/>
        </w:tabs>
        <w:ind w:left="1287" w:hanging="36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15">
    <w:nsid w:val="33D24209"/>
    <w:multiLevelType w:val="hybridMultilevel"/>
    <w:tmpl w:val="29285988"/>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nsid w:val="5CA45637"/>
    <w:multiLevelType w:val="hybridMultilevel"/>
    <w:tmpl w:val="5482562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13627C6"/>
    <w:multiLevelType w:val="hybridMultilevel"/>
    <w:tmpl w:val="A9DAA570"/>
    <w:lvl w:ilvl="0" w:tplc="A20C523E">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nsid w:val="65326F6F"/>
    <w:multiLevelType w:val="hybridMultilevel"/>
    <w:tmpl w:val="EAC8B5BE"/>
    <w:lvl w:ilvl="0" w:tplc="D46E1E46">
      <w:start w:val="1"/>
      <w:numFmt w:val="lowerLetter"/>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9">
    <w:nsid w:val="678B0D71"/>
    <w:multiLevelType w:val="hybridMultilevel"/>
    <w:tmpl w:val="C2D6422A"/>
    <w:lvl w:ilvl="0" w:tplc="990A7C8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nsid w:val="6D00590B"/>
    <w:multiLevelType w:val="hybridMultilevel"/>
    <w:tmpl w:val="166C84A4"/>
    <w:lvl w:ilvl="0" w:tplc="0C09000F">
      <w:start w:val="1"/>
      <w:numFmt w:val="decimal"/>
      <w:lvlText w:val="%1."/>
      <w:lvlJc w:val="left"/>
      <w:pPr>
        <w:tabs>
          <w:tab w:val="num" w:pos="1080"/>
        </w:tabs>
        <w:ind w:left="1080" w:hanging="360"/>
      </w:p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21">
    <w:nsid w:val="71D838D2"/>
    <w:multiLevelType w:val="hybridMultilevel"/>
    <w:tmpl w:val="9D24D85C"/>
    <w:lvl w:ilvl="0" w:tplc="39502B82">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nsid w:val="779F5882"/>
    <w:multiLevelType w:val="hybridMultilevel"/>
    <w:tmpl w:val="6922AF6E"/>
    <w:lvl w:ilvl="0" w:tplc="77F8EAB2">
      <w:start w:val="1"/>
      <w:numFmt w:val="lowerLetter"/>
      <w:lvlText w:val="(%1)"/>
      <w:lvlJc w:val="left"/>
      <w:pPr>
        <w:ind w:left="936" w:hanging="360"/>
      </w:pPr>
      <w:rPr>
        <w:rFonts w:hint="default"/>
      </w:r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23">
    <w:nsid w:val="795B75E7"/>
    <w:multiLevelType w:val="hybridMultilevel"/>
    <w:tmpl w:val="BC7ED21C"/>
    <w:lvl w:ilvl="0" w:tplc="0C09000F">
      <w:start w:val="1"/>
      <w:numFmt w:val="decimal"/>
      <w:lvlText w:val="%1."/>
      <w:lvlJc w:val="left"/>
      <w:pPr>
        <w:ind w:left="1005" w:hanging="360"/>
      </w:pPr>
    </w:lvl>
    <w:lvl w:ilvl="1" w:tplc="0C090019" w:tentative="1">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24">
    <w:nsid w:val="7C87129E"/>
    <w:multiLevelType w:val="hybridMultilevel"/>
    <w:tmpl w:val="3D38F37E"/>
    <w:lvl w:ilvl="0" w:tplc="FAE85EA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5">
    <w:nsid w:val="7E4A2A64"/>
    <w:multiLevelType w:val="hybridMultilevel"/>
    <w:tmpl w:val="DCF897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F9C4703"/>
    <w:multiLevelType w:val="hybridMultilevel"/>
    <w:tmpl w:val="8968E1CC"/>
    <w:lvl w:ilvl="0" w:tplc="0C09000F">
      <w:start w:val="1"/>
      <w:numFmt w:val="decimal"/>
      <w:lvlText w:val="%1."/>
      <w:lvlJc w:val="left"/>
      <w:pPr>
        <w:tabs>
          <w:tab w:val="num" w:pos="720"/>
        </w:tabs>
        <w:ind w:left="720" w:hanging="360"/>
      </w:pPr>
    </w:lvl>
    <w:lvl w:ilvl="1" w:tplc="D234AEFE">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0"/>
  </w:num>
  <w:num w:numId="2">
    <w:abstractNumId w:val="23"/>
  </w:num>
  <w:num w:numId="3">
    <w:abstractNumId w:val="11"/>
  </w:num>
  <w:num w:numId="4">
    <w:abstractNumId w:val="19"/>
  </w:num>
  <w:num w:numId="5">
    <w:abstractNumId w:val="3"/>
  </w:num>
  <w:num w:numId="6">
    <w:abstractNumId w:val="26"/>
  </w:num>
  <w:num w:numId="7">
    <w:abstractNumId w:val="5"/>
  </w:num>
  <w:num w:numId="8">
    <w:abstractNumId w:val="16"/>
  </w:num>
  <w:num w:numId="9">
    <w:abstractNumId w:val="20"/>
  </w:num>
  <w:num w:numId="10">
    <w:abstractNumId w:val="17"/>
  </w:num>
  <w:num w:numId="11">
    <w:abstractNumId w:val="24"/>
  </w:num>
  <w:num w:numId="12">
    <w:abstractNumId w:val="18"/>
  </w:num>
  <w:num w:numId="13">
    <w:abstractNumId w:val="22"/>
  </w:num>
  <w:num w:numId="14">
    <w:abstractNumId w:val="9"/>
  </w:num>
  <w:num w:numId="15">
    <w:abstractNumId w:val="14"/>
  </w:num>
  <w:num w:numId="16">
    <w:abstractNumId w:val="21"/>
  </w:num>
  <w:num w:numId="17">
    <w:abstractNumId w:val="1"/>
  </w:num>
  <w:num w:numId="18">
    <w:abstractNumId w:val="2"/>
  </w:num>
  <w:num w:numId="19">
    <w:abstractNumId w:val="4"/>
  </w:num>
  <w:num w:numId="20">
    <w:abstractNumId w:val="7"/>
  </w:num>
  <w:num w:numId="21">
    <w:abstractNumId w:val="12"/>
  </w:num>
  <w:num w:numId="22">
    <w:abstractNumId w:val="8"/>
  </w:num>
  <w:num w:numId="23">
    <w:abstractNumId w:val="25"/>
  </w:num>
  <w:num w:numId="24">
    <w:abstractNumId w:val="15"/>
  </w:num>
  <w:num w:numId="25">
    <w:abstractNumId w:val="13"/>
  </w:num>
  <w:num w:numId="26">
    <w:abstractNumId w:val="0"/>
  </w:num>
  <w:num w:numId="27">
    <w:abstractNumId w:val="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5121"/>
  </w:hdrShapeDefaults>
  <w:footnotePr>
    <w:footnote w:id="-1"/>
    <w:footnote w:id="0"/>
  </w:footnotePr>
  <w:endnotePr>
    <w:endnote w:id="-1"/>
    <w:endnote w:id="0"/>
  </w:endnotePr>
  <w:compat/>
  <w:docVars>
    <w:docVar w:name="ASSOCID" w:val="58038570"/>
    <w:docVar w:name="BASEPRECID" w:val="58000434"/>
    <w:docVar w:name="BASEPRECTYPE" w:val="DRAFTAGREE"/>
    <w:docVar w:name="CLIENTID" w:val="11565"/>
    <w:docVar w:name="COMPANYID" w:val="2122615469"/>
    <w:docVar w:name="DOCID" w:val="61256221"/>
    <w:docVar w:name="DOCIDEX" w:val=" "/>
    <w:docVar w:name="EDITION" w:val="FM"/>
    <w:docVar w:name="FILEID" w:val="58255765"/>
    <w:docVar w:name="SERIALNO" w:val="10839"/>
    <w:docVar w:name="VERSIONID" w:val="3a8cf964-d646-458d-8123-ce4697db2567"/>
    <w:docVar w:name="VERSIONLABEL" w:val="1"/>
  </w:docVars>
  <w:rsids>
    <w:rsidRoot w:val="00F4231C"/>
    <w:rsid w:val="00001A68"/>
    <w:rsid w:val="00002E0D"/>
    <w:rsid w:val="00004262"/>
    <w:rsid w:val="000050B2"/>
    <w:rsid w:val="0001351F"/>
    <w:rsid w:val="00013D79"/>
    <w:rsid w:val="0001455E"/>
    <w:rsid w:val="00014E2C"/>
    <w:rsid w:val="000153DE"/>
    <w:rsid w:val="00015564"/>
    <w:rsid w:val="00015F08"/>
    <w:rsid w:val="00015FF1"/>
    <w:rsid w:val="0001793E"/>
    <w:rsid w:val="000223F5"/>
    <w:rsid w:val="000232CE"/>
    <w:rsid w:val="00027655"/>
    <w:rsid w:val="00027F45"/>
    <w:rsid w:val="00032867"/>
    <w:rsid w:val="00035E2C"/>
    <w:rsid w:val="0004061A"/>
    <w:rsid w:val="00044065"/>
    <w:rsid w:val="00044D3C"/>
    <w:rsid w:val="00046E7C"/>
    <w:rsid w:val="00046ECF"/>
    <w:rsid w:val="00053012"/>
    <w:rsid w:val="00054B05"/>
    <w:rsid w:val="000555E3"/>
    <w:rsid w:val="00063ABB"/>
    <w:rsid w:val="000675BE"/>
    <w:rsid w:val="00075AFE"/>
    <w:rsid w:val="00076880"/>
    <w:rsid w:val="00077B15"/>
    <w:rsid w:val="00080057"/>
    <w:rsid w:val="0008198F"/>
    <w:rsid w:val="00086C80"/>
    <w:rsid w:val="00090F37"/>
    <w:rsid w:val="00092D35"/>
    <w:rsid w:val="00095ACD"/>
    <w:rsid w:val="000963AC"/>
    <w:rsid w:val="00097FC6"/>
    <w:rsid w:val="000A0EE7"/>
    <w:rsid w:val="000A3EA6"/>
    <w:rsid w:val="000B4A2F"/>
    <w:rsid w:val="000B6E38"/>
    <w:rsid w:val="000C2FAE"/>
    <w:rsid w:val="000C394B"/>
    <w:rsid w:val="000C70DD"/>
    <w:rsid w:val="000D0B61"/>
    <w:rsid w:val="000D3A58"/>
    <w:rsid w:val="000D6B1B"/>
    <w:rsid w:val="000E4C96"/>
    <w:rsid w:val="000F6DD5"/>
    <w:rsid w:val="00103E94"/>
    <w:rsid w:val="0010513D"/>
    <w:rsid w:val="001060C0"/>
    <w:rsid w:val="001114DE"/>
    <w:rsid w:val="00114776"/>
    <w:rsid w:val="0012078A"/>
    <w:rsid w:val="00125AFD"/>
    <w:rsid w:val="00130E6C"/>
    <w:rsid w:val="00131ED6"/>
    <w:rsid w:val="00132EE5"/>
    <w:rsid w:val="00134CE5"/>
    <w:rsid w:val="00135EDB"/>
    <w:rsid w:val="001374B6"/>
    <w:rsid w:val="0014134B"/>
    <w:rsid w:val="00142D61"/>
    <w:rsid w:val="00143266"/>
    <w:rsid w:val="00147246"/>
    <w:rsid w:val="00150CA1"/>
    <w:rsid w:val="001532CA"/>
    <w:rsid w:val="001554DA"/>
    <w:rsid w:val="00156052"/>
    <w:rsid w:val="00157422"/>
    <w:rsid w:val="00165922"/>
    <w:rsid w:val="001712CD"/>
    <w:rsid w:val="00175607"/>
    <w:rsid w:val="001804E1"/>
    <w:rsid w:val="001824EC"/>
    <w:rsid w:val="001837ED"/>
    <w:rsid w:val="00184533"/>
    <w:rsid w:val="00184B4C"/>
    <w:rsid w:val="0019408A"/>
    <w:rsid w:val="001946CF"/>
    <w:rsid w:val="001960F3"/>
    <w:rsid w:val="001A26DF"/>
    <w:rsid w:val="001A3389"/>
    <w:rsid w:val="001A6C91"/>
    <w:rsid w:val="001B2AE8"/>
    <w:rsid w:val="001B52C0"/>
    <w:rsid w:val="001B716E"/>
    <w:rsid w:val="001C0158"/>
    <w:rsid w:val="001C59B6"/>
    <w:rsid w:val="001D4FC7"/>
    <w:rsid w:val="001E1299"/>
    <w:rsid w:val="001E1621"/>
    <w:rsid w:val="001E2B90"/>
    <w:rsid w:val="001E32D0"/>
    <w:rsid w:val="001E7ABA"/>
    <w:rsid w:val="001F08F8"/>
    <w:rsid w:val="001F6C0C"/>
    <w:rsid w:val="001F7CB3"/>
    <w:rsid w:val="00201C54"/>
    <w:rsid w:val="00203E10"/>
    <w:rsid w:val="002053BD"/>
    <w:rsid w:val="00205C88"/>
    <w:rsid w:val="00210133"/>
    <w:rsid w:val="00215A53"/>
    <w:rsid w:val="00221579"/>
    <w:rsid w:val="0022270E"/>
    <w:rsid w:val="00223DDC"/>
    <w:rsid w:val="00225B76"/>
    <w:rsid w:val="00225C5F"/>
    <w:rsid w:val="00234956"/>
    <w:rsid w:val="00241829"/>
    <w:rsid w:val="00241994"/>
    <w:rsid w:val="002445E3"/>
    <w:rsid w:val="002460F0"/>
    <w:rsid w:val="00250F46"/>
    <w:rsid w:val="00253B37"/>
    <w:rsid w:val="0025758B"/>
    <w:rsid w:val="00262866"/>
    <w:rsid w:val="0026287E"/>
    <w:rsid w:val="00270525"/>
    <w:rsid w:val="00270A3D"/>
    <w:rsid w:val="00271EEE"/>
    <w:rsid w:val="002722F7"/>
    <w:rsid w:val="0027449F"/>
    <w:rsid w:val="002761AD"/>
    <w:rsid w:val="00276960"/>
    <w:rsid w:val="00281B0F"/>
    <w:rsid w:val="0028469A"/>
    <w:rsid w:val="0028766C"/>
    <w:rsid w:val="00295553"/>
    <w:rsid w:val="00296D9F"/>
    <w:rsid w:val="002A1B3A"/>
    <w:rsid w:val="002A36D8"/>
    <w:rsid w:val="002A6D9E"/>
    <w:rsid w:val="002B613C"/>
    <w:rsid w:val="002B74C2"/>
    <w:rsid w:val="002C1B02"/>
    <w:rsid w:val="002C5124"/>
    <w:rsid w:val="002D4D24"/>
    <w:rsid w:val="002D4FBC"/>
    <w:rsid w:val="002E2FAA"/>
    <w:rsid w:val="002E3156"/>
    <w:rsid w:val="002E333D"/>
    <w:rsid w:val="002E471F"/>
    <w:rsid w:val="002E6AEC"/>
    <w:rsid w:val="002F02B1"/>
    <w:rsid w:val="002F2047"/>
    <w:rsid w:val="002F2B52"/>
    <w:rsid w:val="002F2E7A"/>
    <w:rsid w:val="002F2FA6"/>
    <w:rsid w:val="002F3E9A"/>
    <w:rsid w:val="002F650C"/>
    <w:rsid w:val="00301060"/>
    <w:rsid w:val="00301EE3"/>
    <w:rsid w:val="00307B99"/>
    <w:rsid w:val="00311A39"/>
    <w:rsid w:val="00313642"/>
    <w:rsid w:val="003155BE"/>
    <w:rsid w:val="0032155D"/>
    <w:rsid w:val="00322458"/>
    <w:rsid w:val="0032279B"/>
    <w:rsid w:val="00326658"/>
    <w:rsid w:val="00332521"/>
    <w:rsid w:val="00334879"/>
    <w:rsid w:val="00334E5C"/>
    <w:rsid w:val="003357FA"/>
    <w:rsid w:val="003379BE"/>
    <w:rsid w:val="0035040D"/>
    <w:rsid w:val="00350C72"/>
    <w:rsid w:val="0035717C"/>
    <w:rsid w:val="00360BFF"/>
    <w:rsid w:val="00363FD7"/>
    <w:rsid w:val="00364053"/>
    <w:rsid w:val="003658B2"/>
    <w:rsid w:val="00370066"/>
    <w:rsid w:val="00371DB6"/>
    <w:rsid w:val="00372BEF"/>
    <w:rsid w:val="00376013"/>
    <w:rsid w:val="00376C77"/>
    <w:rsid w:val="00376E6B"/>
    <w:rsid w:val="00381577"/>
    <w:rsid w:val="00384AA8"/>
    <w:rsid w:val="00384AAE"/>
    <w:rsid w:val="00390B80"/>
    <w:rsid w:val="003913A0"/>
    <w:rsid w:val="003A11B4"/>
    <w:rsid w:val="003A4103"/>
    <w:rsid w:val="003A695D"/>
    <w:rsid w:val="003B2306"/>
    <w:rsid w:val="003B46AF"/>
    <w:rsid w:val="003B5AE4"/>
    <w:rsid w:val="003B618C"/>
    <w:rsid w:val="003B7361"/>
    <w:rsid w:val="003C1962"/>
    <w:rsid w:val="003C28C6"/>
    <w:rsid w:val="003C2A3D"/>
    <w:rsid w:val="003C3D14"/>
    <w:rsid w:val="003C5968"/>
    <w:rsid w:val="003C5CB7"/>
    <w:rsid w:val="003C677E"/>
    <w:rsid w:val="003D001A"/>
    <w:rsid w:val="003D391B"/>
    <w:rsid w:val="003D3CAA"/>
    <w:rsid w:val="003D6780"/>
    <w:rsid w:val="003E3A69"/>
    <w:rsid w:val="003E7691"/>
    <w:rsid w:val="003F1824"/>
    <w:rsid w:val="003F2B22"/>
    <w:rsid w:val="003F3C62"/>
    <w:rsid w:val="003F6986"/>
    <w:rsid w:val="0040076B"/>
    <w:rsid w:val="00407377"/>
    <w:rsid w:val="004141AD"/>
    <w:rsid w:val="00417E9F"/>
    <w:rsid w:val="0042176A"/>
    <w:rsid w:val="00421FE0"/>
    <w:rsid w:val="004229B7"/>
    <w:rsid w:val="004230A2"/>
    <w:rsid w:val="004237BB"/>
    <w:rsid w:val="00424AEB"/>
    <w:rsid w:val="00425B7B"/>
    <w:rsid w:val="00427595"/>
    <w:rsid w:val="00430E36"/>
    <w:rsid w:val="004328FF"/>
    <w:rsid w:val="00440D8A"/>
    <w:rsid w:val="00441CD9"/>
    <w:rsid w:val="00450B7A"/>
    <w:rsid w:val="00453E1B"/>
    <w:rsid w:val="00455EE0"/>
    <w:rsid w:val="004576C7"/>
    <w:rsid w:val="00463AF2"/>
    <w:rsid w:val="00464424"/>
    <w:rsid w:val="00466B81"/>
    <w:rsid w:val="00467AC6"/>
    <w:rsid w:val="00474E05"/>
    <w:rsid w:val="00475B03"/>
    <w:rsid w:val="00475FF4"/>
    <w:rsid w:val="004879C0"/>
    <w:rsid w:val="00487F08"/>
    <w:rsid w:val="00494BBB"/>
    <w:rsid w:val="004968AE"/>
    <w:rsid w:val="004979A6"/>
    <w:rsid w:val="004A45A1"/>
    <w:rsid w:val="004A66C9"/>
    <w:rsid w:val="004A6F5B"/>
    <w:rsid w:val="004B1A4F"/>
    <w:rsid w:val="004B4115"/>
    <w:rsid w:val="004B616E"/>
    <w:rsid w:val="004B67CA"/>
    <w:rsid w:val="004B7D66"/>
    <w:rsid w:val="004B7FAE"/>
    <w:rsid w:val="004C3847"/>
    <w:rsid w:val="004C44F6"/>
    <w:rsid w:val="004C6779"/>
    <w:rsid w:val="004D1AA4"/>
    <w:rsid w:val="004D2701"/>
    <w:rsid w:val="004D3C18"/>
    <w:rsid w:val="004D3CD4"/>
    <w:rsid w:val="004D64A7"/>
    <w:rsid w:val="004E1438"/>
    <w:rsid w:val="004E2FA0"/>
    <w:rsid w:val="004F0587"/>
    <w:rsid w:val="004F2F0D"/>
    <w:rsid w:val="004F3EEC"/>
    <w:rsid w:val="004F4266"/>
    <w:rsid w:val="00500149"/>
    <w:rsid w:val="0050226C"/>
    <w:rsid w:val="00503D9D"/>
    <w:rsid w:val="00511954"/>
    <w:rsid w:val="005226CA"/>
    <w:rsid w:val="00526064"/>
    <w:rsid w:val="0053423F"/>
    <w:rsid w:val="00536BA3"/>
    <w:rsid w:val="00537659"/>
    <w:rsid w:val="00540AD3"/>
    <w:rsid w:val="00543D8C"/>
    <w:rsid w:val="00547BC1"/>
    <w:rsid w:val="00551296"/>
    <w:rsid w:val="0055279C"/>
    <w:rsid w:val="00552EB8"/>
    <w:rsid w:val="0055498F"/>
    <w:rsid w:val="00554F69"/>
    <w:rsid w:val="00562968"/>
    <w:rsid w:val="005725A8"/>
    <w:rsid w:val="00572E40"/>
    <w:rsid w:val="005735A7"/>
    <w:rsid w:val="00573D0A"/>
    <w:rsid w:val="005765A1"/>
    <w:rsid w:val="00576820"/>
    <w:rsid w:val="00580CA8"/>
    <w:rsid w:val="0058101F"/>
    <w:rsid w:val="00581CB8"/>
    <w:rsid w:val="005826CD"/>
    <w:rsid w:val="005841C0"/>
    <w:rsid w:val="00593A36"/>
    <w:rsid w:val="00595AB8"/>
    <w:rsid w:val="00596830"/>
    <w:rsid w:val="0059744B"/>
    <w:rsid w:val="005A3AAC"/>
    <w:rsid w:val="005A5431"/>
    <w:rsid w:val="005A56C2"/>
    <w:rsid w:val="005B0392"/>
    <w:rsid w:val="005B6BC9"/>
    <w:rsid w:val="005B784E"/>
    <w:rsid w:val="005C4157"/>
    <w:rsid w:val="005C4CAC"/>
    <w:rsid w:val="005C53BF"/>
    <w:rsid w:val="005C5DC3"/>
    <w:rsid w:val="005D4388"/>
    <w:rsid w:val="005D4B28"/>
    <w:rsid w:val="005E1731"/>
    <w:rsid w:val="005F04F8"/>
    <w:rsid w:val="005F1811"/>
    <w:rsid w:val="005F2721"/>
    <w:rsid w:val="005F2CA6"/>
    <w:rsid w:val="005F734A"/>
    <w:rsid w:val="00600B3B"/>
    <w:rsid w:val="00601429"/>
    <w:rsid w:val="006015A4"/>
    <w:rsid w:val="00611A35"/>
    <w:rsid w:val="006123D2"/>
    <w:rsid w:val="0061453E"/>
    <w:rsid w:val="0061459B"/>
    <w:rsid w:val="00614ABE"/>
    <w:rsid w:val="00622874"/>
    <w:rsid w:val="006230F0"/>
    <w:rsid w:val="00624A95"/>
    <w:rsid w:val="0062579D"/>
    <w:rsid w:val="0063466D"/>
    <w:rsid w:val="00635564"/>
    <w:rsid w:val="006416DC"/>
    <w:rsid w:val="00646A7D"/>
    <w:rsid w:val="00651E3C"/>
    <w:rsid w:val="00655470"/>
    <w:rsid w:val="00660A82"/>
    <w:rsid w:val="00662CAD"/>
    <w:rsid w:val="00662D9B"/>
    <w:rsid w:val="00670A4B"/>
    <w:rsid w:val="00670ABA"/>
    <w:rsid w:val="00670AEB"/>
    <w:rsid w:val="00670BE0"/>
    <w:rsid w:val="00674BAA"/>
    <w:rsid w:val="00677A9C"/>
    <w:rsid w:val="00684226"/>
    <w:rsid w:val="00684467"/>
    <w:rsid w:val="00695F6F"/>
    <w:rsid w:val="00697274"/>
    <w:rsid w:val="006A29E5"/>
    <w:rsid w:val="006A42F6"/>
    <w:rsid w:val="006A74F2"/>
    <w:rsid w:val="006A77DF"/>
    <w:rsid w:val="006A7F6C"/>
    <w:rsid w:val="006B1F01"/>
    <w:rsid w:val="006B6980"/>
    <w:rsid w:val="006C2054"/>
    <w:rsid w:val="006D11DF"/>
    <w:rsid w:val="006E2DE0"/>
    <w:rsid w:val="006E3627"/>
    <w:rsid w:val="006F3EB8"/>
    <w:rsid w:val="006F4042"/>
    <w:rsid w:val="006F5331"/>
    <w:rsid w:val="006F5BC8"/>
    <w:rsid w:val="006F7C8D"/>
    <w:rsid w:val="007029FC"/>
    <w:rsid w:val="00712E5E"/>
    <w:rsid w:val="00712EF5"/>
    <w:rsid w:val="00713553"/>
    <w:rsid w:val="00714644"/>
    <w:rsid w:val="00720DCC"/>
    <w:rsid w:val="007224BD"/>
    <w:rsid w:val="00723E57"/>
    <w:rsid w:val="00730D54"/>
    <w:rsid w:val="00733B1A"/>
    <w:rsid w:val="0073438D"/>
    <w:rsid w:val="007447C3"/>
    <w:rsid w:val="007454A5"/>
    <w:rsid w:val="00746929"/>
    <w:rsid w:val="00747642"/>
    <w:rsid w:val="00747B21"/>
    <w:rsid w:val="00750928"/>
    <w:rsid w:val="00751B55"/>
    <w:rsid w:val="00756980"/>
    <w:rsid w:val="00757522"/>
    <w:rsid w:val="00757E66"/>
    <w:rsid w:val="00767932"/>
    <w:rsid w:val="007718F9"/>
    <w:rsid w:val="00775B59"/>
    <w:rsid w:val="0077677D"/>
    <w:rsid w:val="007770B2"/>
    <w:rsid w:val="0078082F"/>
    <w:rsid w:val="00780CF8"/>
    <w:rsid w:val="0078572D"/>
    <w:rsid w:val="007857C8"/>
    <w:rsid w:val="00786403"/>
    <w:rsid w:val="00786B4C"/>
    <w:rsid w:val="00787B1A"/>
    <w:rsid w:val="00791E79"/>
    <w:rsid w:val="007945F6"/>
    <w:rsid w:val="007A14C2"/>
    <w:rsid w:val="007A2302"/>
    <w:rsid w:val="007A30FD"/>
    <w:rsid w:val="007A426F"/>
    <w:rsid w:val="007A5020"/>
    <w:rsid w:val="007C1649"/>
    <w:rsid w:val="007C71B3"/>
    <w:rsid w:val="007D1AC9"/>
    <w:rsid w:val="007E044C"/>
    <w:rsid w:val="007E63DF"/>
    <w:rsid w:val="007F01F5"/>
    <w:rsid w:val="007F4D4D"/>
    <w:rsid w:val="007F531D"/>
    <w:rsid w:val="00802CCD"/>
    <w:rsid w:val="008030CA"/>
    <w:rsid w:val="00803C3C"/>
    <w:rsid w:val="00804419"/>
    <w:rsid w:val="00804998"/>
    <w:rsid w:val="00811177"/>
    <w:rsid w:val="0081433D"/>
    <w:rsid w:val="008155DB"/>
    <w:rsid w:val="00817A99"/>
    <w:rsid w:val="00820323"/>
    <w:rsid w:val="0082096F"/>
    <w:rsid w:val="0082158C"/>
    <w:rsid w:val="00823999"/>
    <w:rsid w:val="00823DD4"/>
    <w:rsid w:val="00824259"/>
    <w:rsid w:val="008309C2"/>
    <w:rsid w:val="00830E5A"/>
    <w:rsid w:val="00831371"/>
    <w:rsid w:val="008324FF"/>
    <w:rsid w:val="00833173"/>
    <w:rsid w:val="00844382"/>
    <w:rsid w:val="00844852"/>
    <w:rsid w:val="00845137"/>
    <w:rsid w:val="00845B0E"/>
    <w:rsid w:val="00847AF3"/>
    <w:rsid w:val="00847F0E"/>
    <w:rsid w:val="00850D23"/>
    <w:rsid w:val="00867045"/>
    <w:rsid w:val="00867C5D"/>
    <w:rsid w:val="00870666"/>
    <w:rsid w:val="008726CF"/>
    <w:rsid w:val="00876262"/>
    <w:rsid w:val="008766C0"/>
    <w:rsid w:val="0087705A"/>
    <w:rsid w:val="00885BD8"/>
    <w:rsid w:val="00887262"/>
    <w:rsid w:val="008874E1"/>
    <w:rsid w:val="00887D92"/>
    <w:rsid w:val="0089249F"/>
    <w:rsid w:val="00895BC9"/>
    <w:rsid w:val="008A0D68"/>
    <w:rsid w:val="008A3181"/>
    <w:rsid w:val="008A71DF"/>
    <w:rsid w:val="008A76FF"/>
    <w:rsid w:val="008B2B93"/>
    <w:rsid w:val="008B47B6"/>
    <w:rsid w:val="008C2E7E"/>
    <w:rsid w:val="008C5D45"/>
    <w:rsid w:val="008C6996"/>
    <w:rsid w:val="008C6E9E"/>
    <w:rsid w:val="008C717B"/>
    <w:rsid w:val="008D599E"/>
    <w:rsid w:val="008D73C6"/>
    <w:rsid w:val="008D76EB"/>
    <w:rsid w:val="008E12D0"/>
    <w:rsid w:val="008E586C"/>
    <w:rsid w:val="008E6713"/>
    <w:rsid w:val="008E701C"/>
    <w:rsid w:val="0090281D"/>
    <w:rsid w:val="00905BE8"/>
    <w:rsid w:val="00907EF7"/>
    <w:rsid w:val="0091116A"/>
    <w:rsid w:val="0091166D"/>
    <w:rsid w:val="0091421D"/>
    <w:rsid w:val="009142CE"/>
    <w:rsid w:val="00917819"/>
    <w:rsid w:val="009238F6"/>
    <w:rsid w:val="00923D91"/>
    <w:rsid w:val="00924746"/>
    <w:rsid w:val="009347AE"/>
    <w:rsid w:val="00934FB3"/>
    <w:rsid w:val="00935865"/>
    <w:rsid w:val="00940628"/>
    <w:rsid w:val="00943844"/>
    <w:rsid w:val="00944997"/>
    <w:rsid w:val="009501D8"/>
    <w:rsid w:val="0095071B"/>
    <w:rsid w:val="00951426"/>
    <w:rsid w:val="00952516"/>
    <w:rsid w:val="00954002"/>
    <w:rsid w:val="00954C65"/>
    <w:rsid w:val="0095767C"/>
    <w:rsid w:val="00963A32"/>
    <w:rsid w:val="00965F74"/>
    <w:rsid w:val="00971200"/>
    <w:rsid w:val="0097364A"/>
    <w:rsid w:val="00982067"/>
    <w:rsid w:val="00983EC1"/>
    <w:rsid w:val="009862B8"/>
    <w:rsid w:val="00986C6C"/>
    <w:rsid w:val="00991964"/>
    <w:rsid w:val="009942FB"/>
    <w:rsid w:val="00994DD6"/>
    <w:rsid w:val="0099610E"/>
    <w:rsid w:val="009A0F75"/>
    <w:rsid w:val="009A3582"/>
    <w:rsid w:val="009B1243"/>
    <w:rsid w:val="009C4B3C"/>
    <w:rsid w:val="009C5624"/>
    <w:rsid w:val="009C565F"/>
    <w:rsid w:val="009D2751"/>
    <w:rsid w:val="009D618B"/>
    <w:rsid w:val="009E26E2"/>
    <w:rsid w:val="009E2A04"/>
    <w:rsid w:val="009E3BA2"/>
    <w:rsid w:val="009E7511"/>
    <w:rsid w:val="009F66EB"/>
    <w:rsid w:val="009F7F67"/>
    <w:rsid w:val="00A010FA"/>
    <w:rsid w:val="00A028C9"/>
    <w:rsid w:val="00A028D6"/>
    <w:rsid w:val="00A05CA8"/>
    <w:rsid w:val="00A10304"/>
    <w:rsid w:val="00A11D40"/>
    <w:rsid w:val="00A14D34"/>
    <w:rsid w:val="00A16270"/>
    <w:rsid w:val="00A173EC"/>
    <w:rsid w:val="00A2247F"/>
    <w:rsid w:val="00A23777"/>
    <w:rsid w:val="00A23B66"/>
    <w:rsid w:val="00A27A79"/>
    <w:rsid w:val="00A37E31"/>
    <w:rsid w:val="00A41CBC"/>
    <w:rsid w:val="00A42A67"/>
    <w:rsid w:val="00A43EDA"/>
    <w:rsid w:val="00A45CF5"/>
    <w:rsid w:val="00A476C0"/>
    <w:rsid w:val="00A47F88"/>
    <w:rsid w:val="00A53746"/>
    <w:rsid w:val="00A54117"/>
    <w:rsid w:val="00A56EB8"/>
    <w:rsid w:val="00A574BE"/>
    <w:rsid w:val="00A57A4D"/>
    <w:rsid w:val="00A6108C"/>
    <w:rsid w:val="00A61776"/>
    <w:rsid w:val="00A62B4B"/>
    <w:rsid w:val="00A65082"/>
    <w:rsid w:val="00A664EC"/>
    <w:rsid w:val="00A67355"/>
    <w:rsid w:val="00A715F7"/>
    <w:rsid w:val="00A72582"/>
    <w:rsid w:val="00A73EE4"/>
    <w:rsid w:val="00A76535"/>
    <w:rsid w:val="00A819E9"/>
    <w:rsid w:val="00A87434"/>
    <w:rsid w:val="00A9014C"/>
    <w:rsid w:val="00A90178"/>
    <w:rsid w:val="00A9191B"/>
    <w:rsid w:val="00A922CA"/>
    <w:rsid w:val="00A931A2"/>
    <w:rsid w:val="00A936E6"/>
    <w:rsid w:val="00A948F4"/>
    <w:rsid w:val="00A95E1E"/>
    <w:rsid w:val="00A97038"/>
    <w:rsid w:val="00A97DB7"/>
    <w:rsid w:val="00AA086E"/>
    <w:rsid w:val="00AA5E4A"/>
    <w:rsid w:val="00AA5F11"/>
    <w:rsid w:val="00AB194C"/>
    <w:rsid w:val="00AB2C16"/>
    <w:rsid w:val="00AB30D6"/>
    <w:rsid w:val="00AB416E"/>
    <w:rsid w:val="00AC1A13"/>
    <w:rsid w:val="00AC244F"/>
    <w:rsid w:val="00AC4C25"/>
    <w:rsid w:val="00AC5B62"/>
    <w:rsid w:val="00AD0C66"/>
    <w:rsid w:val="00AD19F6"/>
    <w:rsid w:val="00AD1D4C"/>
    <w:rsid w:val="00AD55F1"/>
    <w:rsid w:val="00AD6557"/>
    <w:rsid w:val="00AD6EDC"/>
    <w:rsid w:val="00AE464D"/>
    <w:rsid w:val="00AF0D1B"/>
    <w:rsid w:val="00AF55C3"/>
    <w:rsid w:val="00AF5C03"/>
    <w:rsid w:val="00B0039B"/>
    <w:rsid w:val="00B03A25"/>
    <w:rsid w:val="00B0516A"/>
    <w:rsid w:val="00B14A00"/>
    <w:rsid w:val="00B20454"/>
    <w:rsid w:val="00B21A32"/>
    <w:rsid w:val="00B24063"/>
    <w:rsid w:val="00B32F75"/>
    <w:rsid w:val="00B37C62"/>
    <w:rsid w:val="00B420B7"/>
    <w:rsid w:val="00B4418A"/>
    <w:rsid w:val="00B443EF"/>
    <w:rsid w:val="00B448F2"/>
    <w:rsid w:val="00B4507C"/>
    <w:rsid w:val="00B53066"/>
    <w:rsid w:val="00B565EC"/>
    <w:rsid w:val="00B65AD0"/>
    <w:rsid w:val="00B65D28"/>
    <w:rsid w:val="00B76975"/>
    <w:rsid w:val="00B80970"/>
    <w:rsid w:val="00B84B12"/>
    <w:rsid w:val="00B84B1F"/>
    <w:rsid w:val="00B86D1F"/>
    <w:rsid w:val="00B90BC0"/>
    <w:rsid w:val="00B91E0A"/>
    <w:rsid w:val="00B924C2"/>
    <w:rsid w:val="00B962E5"/>
    <w:rsid w:val="00B96A81"/>
    <w:rsid w:val="00BA014D"/>
    <w:rsid w:val="00BA0A71"/>
    <w:rsid w:val="00BA1B12"/>
    <w:rsid w:val="00BA3D1F"/>
    <w:rsid w:val="00BA5B6B"/>
    <w:rsid w:val="00BA6469"/>
    <w:rsid w:val="00BB1C5D"/>
    <w:rsid w:val="00BB27AD"/>
    <w:rsid w:val="00BB7508"/>
    <w:rsid w:val="00BC0C97"/>
    <w:rsid w:val="00BC2FD8"/>
    <w:rsid w:val="00BD438F"/>
    <w:rsid w:val="00BD4AD1"/>
    <w:rsid w:val="00BD64FE"/>
    <w:rsid w:val="00BD7301"/>
    <w:rsid w:val="00BD7399"/>
    <w:rsid w:val="00BE3152"/>
    <w:rsid w:val="00BE794D"/>
    <w:rsid w:val="00BF1305"/>
    <w:rsid w:val="00BF42DE"/>
    <w:rsid w:val="00BF4967"/>
    <w:rsid w:val="00BF7804"/>
    <w:rsid w:val="00C00CF1"/>
    <w:rsid w:val="00C01015"/>
    <w:rsid w:val="00C07AB0"/>
    <w:rsid w:val="00C1209D"/>
    <w:rsid w:val="00C12A2B"/>
    <w:rsid w:val="00C17406"/>
    <w:rsid w:val="00C241C9"/>
    <w:rsid w:val="00C26C5D"/>
    <w:rsid w:val="00C27F0F"/>
    <w:rsid w:val="00C30075"/>
    <w:rsid w:val="00C4025B"/>
    <w:rsid w:val="00C44442"/>
    <w:rsid w:val="00C45E58"/>
    <w:rsid w:val="00C51142"/>
    <w:rsid w:val="00C51B38"/>
    <w:rsid w:val="00C51E89"/>
    <w:rsid w:val="00C52619"/>
    <w:rsid w:val="00C604A7"/>
    <w:rsid w:val="00C60DD5"/>
    <w:rsid w:val="00C64A2D"/>
    <w:rsid w:val="00C6646C"/>
    <w:rsid w:val="00C66D0D"/>
    <w:rsid w:val="00C71C1D"/>
    <w:rsid w:val="00C74DDA"/>
    <w:rsid w:val="00C75926"/>
    <w:rsid w:val="00C76F56"/>
    <w:rsid w:val="00C80C45"/>
    <w:rsid w:val="00C81478"/>
    <w:rsid w:val="00C82CCA"/>
    <w:rsid w:val="00C839C5"/>
    <w:rsid w:val="00C849D8"/>
    <w:rsid w:val="00C92252"/>
    <w:rsid w:val="00C92731"/>
    <w:rsid w:val="00C9409C"/>
    <w:rsid w:val="00CC1E64"/>
    <w:rsid w:val="00CC2524"/>
    <w:rsid w:val="00CC4470"/>
    <w:rsid w:val="00CC55CA"/>
    <w:rsid w:val="00CD2DB9"/>
    <w:rsid w:val="00CD33F2"/>
    <w:rsid w:val="00CD4CD5"/>
    <w:rsid w:val="00CD4F8F"/>
    <w:rsid w:val="00CD6A5C"/>
    <w:rsid w:val="00CE2645"/>
    <w:rsid w:val="00CE34BE"/>
    <w:rsid w:val="00CE51A5"/>
    <w:rsid w:val="00CF2C20"/>
    <w:rsid w:val="00CF72C3"/>
    <w:rsid w:val="00D01A8C"/>
    <w:rsid w:val="00D05A1B"/>
    <w:rsid w:val="00D12300"/>
    <w:rsid w:val="00D1768C"/>
    <w:rsid w:val="00D221C6"/>
    <w:rsid w:val="00D244EB"/>
    <w:rsid w:val="00D25082"/>
    <w:rsid w:val="00D3083D"/>
    <w:rsid w:val="00D31DD0"/>
    <w:rsid w:val="00D325C9"/>
    <w:rsid w:val="00D326D5"/>
    <w:rsid w:val="00D33DC7"/>
    <w:rsid w:val="00D35E0C"/>
    <w:rsid w:val="00D36309"/>
    <w:rsid w:val="00D36481"/>
    <w:rsid w:val="00D37A4A"/>
    <w:rsid w:val="00D40E0A"/>
    <w:rsid w:val="00D42994"/>
    <w:rsid w:val="00D44E93"/>
    <w:rsid w:val="00D468C7"/>
    <w:rsid w:val="00D647D0"/>
    <w:rsid w:val="00D72D6B"/>
    <w:rsid w:val="00D75852"/>
    <w:rsid w:val="00D808C8"/>
    <w:rsid w:val="00D80CD6"/>
    <w:rsid w:val="00D82E98"/>
    <w:rsid w:val="00D85D96"/>
    <w:rsid w:val="00D9106F"/>
    <w:rsid w:val="00D9308D"/>
    <w:rsid w:val="00D933BB"/>
    <w:rsid w:val="00D97D5D"/>
    <w:rsid w:val="00DA351E"/>
    <w:rsid w:val="00DA4180"/>
    <w:rsid w:val="00DB0E21"/>
    <w:rsid w:val="00DB2C5D"/>
    <w:rsid w:val="00DB5986"/>
    <w:rsid w:val="00DB5AE1"/>
    <w:rsid w:val="00DB6235"/>
    <w:rsid w:val="00DB63DD"/>
    <w:rsid w:val="00DB67B2"/>
    <w:rsid w:val="00DC0815"/>
    <w:rsid w:val="00DC1630"/>
    <w:rsid w:val="00DC7FCD"/>
    <w:rsid w:val="00DD1BEA"/>
    <w:rsid w:val="00DE0E00"/>
    <w:rsid w:val="00DE28CD"/>
    <w:rsid w:val="00DE52B0"/>
    <w:rsid w:val="00DE7C85"/>
    <w:rsid w:val="00DF1B8D"/>
    <w:rsid w:val="00DF300A"/>
    <w:rsid w:val="00E00933"/>
    <w:rsid w:val="00E025BC"/>
    <w:rsid w:val="00E029A4"/>
    <w:rsid w:val="00E02BF4"/>
    <w:rsid w:val="00E0381B"/>
    <w:rsid w:val="00E15125"/>
    <w:rsid w:val="00E172B1"/>
    <w:rsid w:val="00E22189"/>
    <w:rsid w:val="00E2221C"/>
    <w:rsid w:val="00E229BB"/>
    <w:rsid w:val="00E30299"/>
    <w:rsid w:val="00E315FE"/>
    <w:rsid w:val="00E31BCA"/>
    <w:rsid w:val="00E31D0E"/>
    <w:rsid w:val="00E32845"/>
    <w:rsid w:val="00E33EBF"/>
    <w:rsid w:val="00E3594A"/>
    <w:rsid w:val="00E35B50"/>
    <w:rsid w:val="00E35CEE"/>
    <w:rsid w:val="00E3799B"/>
    <w:rsid w:val="00E4064D"/>
    <w:rsid w:val="00E42F1E"/>
    <w:rsid w:val="00E4720F"/>
    <w:rsid w:val="00E50A81"/>
    <w:rsid w:val="00E5193F"/>
    <w:rsid w:val="00E53247"/>
    <w:rsid w:val="00E5691E"/>
    <w:rsid w:val="00E578C4"/>
    <w:rsid w:val="00E57B5C"/>
    <w:rsid w:val="00E620C6"/>
    <w:rsid w:val="00E62411"/>
    <w:rsid w:val="00E64F3A"/>
    <w:rsid w:val="00E67B26"/>
    <w:rsid w:val="00E733C8"/>
    <w:rsid w:val="00E7431A"/>
    <w:rsid w:val="00E74A3A"/>
    <w:rsid w:val="00E756C6"/>
    <w:rsid w:val="00E75EC3"/>
    <w:rsid w:val="00E75F3C"/>
    <w:rsid w:val="00E76577"/>
    <w:rsid w:val="00E7774A"/>
    <w:rsid w:val="00E82B81"/>
    <w:rsid w:val="00E82E16"/>
    <w:rsid w:val="00E85F33"/>
    <w:rsid w:val="00E87605"/>
    <w:rsid w:val="00E90231"/>
    <w:rsid w:val="00E90641"/>
    <w:rsid w:val="00E92F28"/>
    <w:rsid w:val="00E93941"/>
    <w:rsid w:val="00E95739"/>
    <w:rsid w:val="00E96FE0"/>
    <w:rsid w:val="00E97D0F"/>
    <w:rsid w:val="00EB145D"/>
    <w:rsid w:val="00EB2AE2"/>
    <w:rsid w:val="00EB5498"/>
    <w:rsid w:val="00EC60B5"/>
    <w:rsid w:val="00ED01A5"/>
    <w:rsid w:val="00ED0255"/>
    <w:rsid w:val="00ED47DC"/>
    <w:rsid w:val="00ED5410"/>
    <w:rsid w:val="00ED5F61"/>
    <w:rsid w:val="00EE25E3"/>
    <w:rsid w:val="00EE2E02"/>
    <w:rsid w:val="00EE450F"/>
    <w:rsid w:val="00EE4B9D"/>
    <w:rsid w:val="00EE7ED6"/>
    <w:rsid w:val="00EF06ED"/>
    <w:rsid w:val="00EF145B"/>
    <w:rsid w:val="00EF2AED"/>
    <w:rsid w:val="00EF3825"/>
    <w:rsid w:val="00F00304"/>
    <w:rsid w:val="00F03150"/>
    <w:rsid w:val="00F03C0F"/>
    <w:rsid w:val="00F04755"/>
    <w:rsid w:val="00F07974"/>
    <w:rsid w:val="00F12A29"/>
    <w:rsid w:val="00F12C81"/>
    <w:rsid w:val="00F22849"/>
    <w:rsid w:val="00F23D16"/>
    <w:rsid w:val="00F24402"/>
    <w:rsid w:val="00F24B7A"/>
    <w:rsid w:val="00F25F0E"/>
    <w:rsid w:val="00F25F34"/>
    <w:rsid w:val="00F409ED"/>
    <w:rsid w:val="00F4231C"/>
    <w:rsid w:val="00F43E24"/>
    <w:rsid w:val="00F44DEF"/>
    <w:rsid w:val="00F45207"/>
    <w:rsid w:val="00F4600D"/>
    <w:rsid w:val="00F46380"/>
    <w:rsid w:val="00F53C6E"/>
    <w:rsid w:val="00F558FF"/>
    <w:rsid w:val="00F55DF5"/>
    <w:rsid w:val="00F60675"/>
    <w:rsid w:val="00F61005"/>
    <w:rsid w:val="00F623F7"/>
    <w:rsid w:val="00F62401"/>
    <w:rsid w:val="00F671AA"/>
    <w:rsid w:val="00F67A74"/>
    <w:rsid w:val="00F7213F"/>
    <w:rsid w:val="00F7220C"/>
    <w:rsid w:val="00F76BE1"/>
    <w:rsid w:val="00F832C0"/>
    <w:rsid w:val="00F861A3"/>
    <w:rsid w:val="00F86DD9"/>
    <w:rsid w:val="00F903CB"/>
    <w:rsid w:val="00F90A5E"/>
    <w:rsid w:val="00F9448E"/>
    <w:rsid w:val="00F9454D"/>
    <w:rsid w:val="00F94C8E"/>
    <w:rsid w:val="00F951DC"/>
    <w:rsid w:val="00F958E1"/>
    <w:rsid w:val="00F96A42"/>
    <w:rsid w:val="00F97DB7"/>
    <w:rsid w:val="00FA03B7"/>
    <w:rsid w:val="00FA059D"/>
    <w:rsid w:val="00FA375A"/>
    <w:rsid w:val="00FA5F26"/>
    <w:rsid w:val="00FB5F54"/>
    <w:rsid w:val="00FB63D5"/>
    <w:rsid w:val="00FC3289"/>
    <w:rsid w:val="00FC4F3B"/>
    <w:rsid w:val="00FD0030"/>
    <w:rsid w:val="00FD0D3E"/>
    <w:rsid w:val="00FD27A0"/>
    <w:rsid w:val="00FD6E1E"/>
    <w:rsid w:val="00FD6FE1"/>
    <w:rsid w:val="00FE0355"/>
    <w:rsid w:val="00FE1F81"/>
    <w:rsid w:val="00FE221D"/>
    <w:rsid w:val="00FE4C73"/>
    <w:rsid w:val="00FE6011"/>
    <w:rsid w:val="00FF7328"/>
    <w:rsid w:val="00FF7A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F5B"/>
    <w:pPr>
      <w:spacing w:after="200" w:line="276" w:lineRule="auto"/>
    </w:pPr>
    <w:rPr>
      <w:sz w:val="22"/>
      <w:szCs w:val="22"/>
      <w:lang w:eastAsia="en-US"/>
    </w:rPr>
  </w:style>
  <w:style w:type="paragraph" w:styleId="Heading1">
    <w:name w:val="heading 1"/>
    <w:aliases w:val="CGEY,h1"/>
    <w:basedOn w:val="Normal"/>
    <w:next w:val="Normal"/>
    <w:link w:val="Heading1Char"/>
    <w:qFormat/>
    <w:rsid w:val="004B1A4F"/>
    <w:pPr>
      <w:keepNext/>
      <w:keepLines/>
      <w:numPr>
        <w:numId w:val="3"/>
      </w:numPr>
      <w:spacing w:before="480" w:after="0"/>
      <w:outlineLvl w:val="0"/>
    </w:pPr>
    <w:rPr>
      <w:rFonts w:ascii="Arial Narrow" w:eastAsia="Times New Roman" w:hAnsi="Arial Narrow"/>
      <w:b/>
      <w:bCs/>
      <w:sz w:val="24"/>
      <w:szCs w:val="28"/>
    </w:rPr>
  </w:style>
  <w:style w:type="paragraph" w:styleId="Heading2">
    <w:name w:val="heading 2"/>
    <w:aliases w:val="h2,CGEY Heading 2,Style 2,Second level,T2,H2,2nd level,Major Heading,2,Titre 2,h21"/>
    <w:basedOn w:val="Normal"/>
    <w:next w:val="Normal"/>
    <w:link w:val="Heading2Char"/>
    <w:autoRedefine/>
    <w:qFormat/>
    <w:rsid w:val="005A56C2"/>
    <w:pPr>
      <w:keepNext/>
      <w:numPr>
        <w:ilvl w:val="1"/>
        <w:numId w:val="3"/>
      </w:numPr>
      <w:spacing w:after="0" w:line="240" w:lineRule="auto"/>
      <w:outlineLvl w:val="1"/>
    </w:pPr>
    <w:rPr>
      <w:rFonts w:ascii="Arial Narrow" w:eastAsia="Times New Roman" w:hAnsi="Arial Narrow"/>
      <w:b/>
      <w:sz w:val="24"/>
      <w:szCs w:val="24"/>
    </w:rPr>
  </w:style>
  <w:style w:type="paragraph" w:styleId="Heading3">
    <w:name w:val="heading 3"/>
    <w:aliases w:val="h3,h31,3,Titre 3,Sub"/>
    <w:basedOn w:val="Normal"/>
    <w:next w:val="Normal"/>
    <w:link w:val="Heading3Char"/>
    <w:qFormat/>
    <w:rsid w:val="00E30299"/>
    <w:pPr>
      <w:keepNext/>
      <w:widowControl w:val="0"/>
      <w:tabs>
        <w:tab w:val="num" w:pos="720"/>
      </w:tabs>
      <w:spacing w:after="0" w:line="240" w:lineRule="auto"/>
      <w:ind w:left="720" w:hanging="720"/>
      <w:jc w:val="both"/>
      <w:outlineLvl w:val="2"/>
    </w:pPr>
    <w:rPr>
      <w:rFonts w:ascii="Arial Narrow" w:eastAsia="Times New Roman" w:hAnsi="Arial Narrow"/>
      <w:b/>
      <w:sz w:val="24"/>
      <w:szCs w:val="20"/>
    </w:rPr>
  </w:style>
  <w:style w:type="paragraph" w:styleId="Heading4">
    <w:name w:val="heading 4"/>
    <w:basedOn w:val="Normal"/>
    <w:next w:val="Normal"/>
    <w:link w:val="Heading4Char"/>
    <w:uiPriority w:val="9"/>
    <w:qFormat/>
    <w:rsid w:val="00F4231C"/>
    <w:pPr>
      <w:keepNext/>
      <w:keepLines/>
      <w:spacing w:before="200" w:after="0"/>
      <w:outlineLvl w:val="3"/>
    </w:pPr>
    <w:rPr>
      <w:rFonts w:ascii="Cambria" w:eastAsia="Times New Roman" w:hAnsi="Cambria"/>
      <w:b/>
      <w:bCs/>
      <w:i/>
      <w:iCs/>
      <w:color w:val="4F81BD"/>
    </w:rPr>
  </w:style>
  <w:style w:type="paragraph" w:styleId="Heading5">
    <w:name w:val="heading 5"/>
    <w:basedOn w:val="Heading4"/>
    <w:next w:val="Normal"/>
    <w:link w:val="Heading5Char"/>
    <w:qFormat/>
    <w:rsid w:val="00E30299"/>
    <w:pPr>
      <w:keepLines w:val="0"/>
      <w:widowControl w:val="0"/>
      <w:tabs>
        <w:tab w:val="num" w:pos="1008"/>
      </w:tabs>
      <w:spacing w:before="0" w:line="240" w:lineRule="auto"/>
      <w:ind w:left="1008" w:hanging="1008"/>
      <w:outlineLvl w:val="4"/>
    </w:pPr>
    <w:rPr>
      <w:rFonts w:ascii="Arial Narrow" w:hAnsi="Arial Narrow"/>
      <w:b w:val="0"/>
      <w:bCs w:val="0"/>
      <w:i w:val="0"/>
      <w:iCs w:val="0"/>
      <w:snapToGrid w:val="0"/>
      <w:color w:val="auto"/>
      <w:szCs w:val="20"/>
    </w:rPr>
  </w:style>
  <w:style w:type="paragraph" w:styleId="Heading6">
    <w:name w:val="heading 6"/>
    <w:basedOn w:val="Heading5"/>
    <w:next w:val="Normal"/>
    <w:link w:val="Heading6Char"/>
    <w:qFormat/>
    <w:rsid w:val="00E30299"/>
    <w:pPr>
      <w:tabs>
        <w:tab w:val="clear" w:pos="1008"/>
        <w:tab w:val="num" w:pos="1152"/>
      </w:tabs>
      <w:ind w:left="1152" w:hanging="1152"/>
      <w:outlineLvl w:val="5"/>
    </w:pPr>
  </w:style>
  <w:style w:type="paragraph" w:styleId="Heading7">
    <w:name w:val="heading 7"/>
    <w:basedOn w:val="Heading6"/>
    <w:next w:val="Normal"/>
    <w:link w:val="Heading7Char"/>
    <w:qFormat/>
    <w:rsid w:val="00E30299"/>
    <w:pPr>
      <w:tabs>
        <w:tab w:val="clear" w:pos="1152"/>
        <w:tab w:val="num" w:pos="1296"/>
      </w:tabs>
      <w:ind w:left="1296" w:hanging="1296"/>
      <w:outlineLvl w:val="6"/>
    </w:pPr>
  </w:style>
  <w:style w:type="paragraph" w:styleId="Heading8">
    <w:name w:val="heading 8"/>
    <w:basedOn w:val="Heading7"/>
    <w:next w:val="Normal"/>
    <w:link w:val="Heading8Char"/>
    <w:qFormat/>
    <w:rsid w:val="00E30299"/>
    <w:pPr>
      <w:tabs>
        <w:tab w:val="clear" w:pos="1296"/>
        <w:tab w:val="num" w:pos="1440"/>
      </w:tabs>
      <w:ind w:left="1440" w:hanging="1440"/>
      <w:outlineLvl w:val="7"/>
    </w:pPr>
  </w:style>
  <w:style w:type="paragraph" w:styleId="Heading9">
    <w:name w:val="heading 9"/>
    <w:basedOn w:val="Heading8"/>
    <w:next w:val="Normal"/>
    <w:link w:val="Heading9Char"/>
    <w:qFormat/>
    <w:rsid w:val="00E30299"/>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Rbodytext">
    <w:name w:val="AER body text"/>
    <w:link w:val="AERbodytextChar"/>
    <w:rsid w:val="00F4231C"/>
    <w:pPr>
      <w:spacing w:after="240"/>
    </w:pPr>
    <w:rPr>
      <w:rFonts w:ascii="Times New Roman" w:eastAsia="Times New Roman" w:hAnsi="Times New Roman"/>
      <w:sz w:val="24"/>
      <w:szCs w:val="24"/>
      <w:lang w:eastAsia="en-US"/>
    </w:rPr>
  </w:style>
  <w:style w:type="paragraph" w:customStyle="1" w:styleId="AERheading1">
    <w:name w:val="AER heading 1"/>
    <w:basedOn w:val="Heading1"/>
    <w:rsid w:val="00F4231C"/>
    <w:pPr>
      <w:keepNext w:val="0"/>
      <w:keepLines w:val="0"/>
      <w:pageBreakBefore/>
      <w:widowControl w:val="0"/>
      <w:numPr>
        <w:numId w:val="1"/>
      </w:numPr>
      <w:spacing w:before="240" w:after="120" w:line="240" w:lineRule="auto"/>
    </w:pPr>
    <w:rPr>
      <w:rFonts w:ascii="Arial Bold" w:hAnsi="Arial Bold"/>
      <w:spacing w:val="5"/>
      <w:kern w:val="36"/>
      <w:sz w:val="36"/>
      <w:szCs w:val="27"/>
    </w:rPr>
  </w:style>
  <w:style w:type="paragraph" w:customStyle="1" w:styleId="AERheading2">
    <w:name w:val="AER heading 2"/>
    <w:basedOn w:val="Normal"/>
    <w:next w:val="AERbodytext"/>
    <w:rsid w:val="00F4231C"/>
    <w:pPr>
      <w:keepNext/>
      <w:numPr>
        <w:ilvl w:val="1"/>
        <w:numId w:val="1"/>
      </w:numPr>
      <w:spacing w:before="360" w:after="120" w:line="240" w:lineRule="auto"/>
    </w:pPr>
    <w:rPr>
      <w:rFonts w:ascii="Arial Bold" w:eastAsia="Times New Roman" w:hAnsi="Arial Bold"/>
      <w:sz w:val="30"/>
      <w:szCs w:val="24"/>
    </w:rPr>
  </w:style>
  <w:style w:type="paragraph" w:customStyle="1" w:styleId="AERheading3">
    <w:name w:val="AER heading 3"/>
    <w:basedOn w:val="Normal"/>
    <w:next w:val="AERbodytext"/>
    <w:rsid w:val="00F4231C"/>
    <w:pPr>
      <w:keepNext/>
      <w:numPr>
        <w:ilvl w:val="2"/>
        <w:numId w:val="1"/>
      </w:numPr>
      <w:spacing w:before="240" w:after="120" w:line="240" w:lineRule="auto"/>
    </w:pPr>
    <w:rPr>
      <w:rFonts w:ascii="Arial Bold" w:eastAsia="Times New Roman" w:hAnsi="Arial Bold"/>
      <w:sz w:val="24"/>
      <w:szCs w:val="24"/>
    </w:rPr>
  </w:style>
  <w:style w:type="paragraph" w:customStyle="1" w:styleId="AERheading4">
    <w:name w:val="AER heading 4"/>
    <w:basedOn w:val="Heading4"/>
    <w:next w:val="AERbodytext"/>
    <w:rsid w:val="00F4231C"/>
    <w:pPr>
      <w:keepLines w:val="0"/>
      <w:numPr>
        <w:ilvl w:val="3"/>
        <w:numId w:val="1"/>
      </w:numPr>
      <w:spacing w:before="240" w:after="120" w:line="240" w:lineRule="auto"/>
    </w:pPr>
    <w:rPr>
      <w:rFonts w:ascii="Times New Roman" w:hAnsi="Times New Roman"/>
      <w:bCs w:val="0"/>
      <w:i w:val="0"/>
      <w:iCs w:val="0"/>
      <w:color w:val="auto"/>
      <w:szCs w:val="24"/>
    </w:rPr>
  </w:style>
  <w:style w:type="character" w:customStyle="1" w:styleId="AERbodytextChar">
    <w:name w:val="AER body text Char"/>
    <w:basedOn w:val="DefaultParagraphFont"/>
    <w:link w:val="AERbodytext"/>
    <w:rsid w:val="00F4231C"/>
    <w:rPr>
      <w:rFonts w:ascii="Times New Roman" w:eastAsia="Times New Roman" w:hAnsi="Times New Roman"/>
      <w:sz w:val="24"/>
      <w:szCs w:val="24"/>
      <w:lang w:val="en-AU" w:eastAsia="en-US" w:bidi="ar-SA"/>
    </w:rPr>
  </w:style>
  <w:style w:type="character" w:customStyle="1" w:styleId="Heading1Char">
    <w:name w:val="Heading 1 Char"/>
    <w:aliases w:val="CGEY Char,h1 Char"/>
    <w:basedOn w:val="DefaultParagraphFont"/>
    <w:link w:val="Heading1"/>
    <w:rsid w:val="004B1A4F"/>
    <w:rPr>
      <w:rFonts w:ascii="Arial Narrow" w:hAnsi="Arial Narrow"/>
      <w:b/>
      <w:bCs/>
      <w:sz w:val="24"/>
      <w:szCs w:val="28"/>
      <w:lang w:val="en-AU" w:eastAsia="en-US" w:bidi="ar-SA"/>
    </w:rPr>
  </w:style>
  <w:style w:type="character" w:customStyle="1" w:styleId="Heading4Char">
    <w:name w:val="Heading 4 Char"/>
    <w:basedOn w:val="DefaultParagraphFont"/>
    <w:link w:val="Heading4"/>
    <w:uiPriority w:val="9"/>
    <w:semiHidden/>
    <w:rsid w:val="00F4231C"/>
    <w:rPr>
      <w:rFonts w:ascii="Cambria" w:eastAsia="Times New Roman" w:hAnsi="Cambria" w:cs="Times New Roman"/>
      <w:b/>
      <w:bCs/>
      <w:i/>
      <w:iCs/>
      <w:color w:val="4F81BD"/>
    </w:rPr>
  </w:style>
  <w:style w:type="table" w:styleId="TableGrid">
    <w:name w:val="Table Grid"/>
    <w:basedOn w:val="TableNormal"/>
    <w:uiPriority w:val="59"/>
    <w:rsid w:val="001E7AB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9142CE"/>
    <w:pPr>
      <w:ind w:left="720"/>
    </w:pPr>
  </w:style>
  <w:style w:type="paragraph" w:styleId="Header">
    <w:name w:val="header"/>
    <w:basedOn w:val="Normal"/>
    <w:link w:val="HeaderChar"/>
    <w:uiPriority w:val="99"/>
    <w:semiHidden/>
    <w:unhideWhenUsed/>
    <w:rsid w:val="007C1649"/>
    <w:pPr>
      <w:tabs>
        <w:tab w:val="center" w:pos="4513"/>
        <w:tab w:val="right" w:pos="9026"/>
      </w:tabs>
    </w:pPr>
  </w:style>
  <w:style w:type="character" w:customStyle="1" w:styleId="HeaderChar">
    <w:name w:val="Header Char"/>
    <w:basedOn w:val="DefaultParagraphFont"/>
    <w:link w:val="Header"/>
    <w:uiPriority w:val="99"/>
    <w:semiHidden/>
    <w:rsid w:val="007C1649"/>
    <w:rPr>
      <w:sz w:val="22"/>
      <w:szCs w:val="22"/>
      <w:lang w:eastAsia="en-US"/>
    </w:rPr>
  </w:style>
  <w:style w:type="paragraph" w:styleId="Footer">
    <w:name w:val="footer"/>
    <w:basedOn w:val="Normal"/>
    <w:link w:val="FooterChar"/>
    <w:uiPriority w:val="99"/>
    <w:semiHidden/>
    <w:unhideWhenUsed/>
    <w:rsid w:val="007C1649"/>
    <w:pPr>
      <w:tabs>
        <w:tab w:val="center" w:pos="4513"/>
        <w:tab w:val="right" w:pos="9026"/>
      </w:tabs>
    </w:pPr>
  </w:style>
  <w:style w:type="character" w:customStyle="1" w:styleId="FooterChar">
    <w:name w:val="Footer Char"/>
    <w:basedOn w:val="DefaultParagraphFont"/>
    <w:link w:val="Footer"/>
    <w:uiPriority w:val="99"/>
    <w:semiHidden/>
    <w:rsid w:val="007C1649"/>
    <w:rPr>
      <w:sz w:val="22"/>
      <w:szCs w:val="22"/>
      <w:lang w:eastAsia="en-US"/>
    </w:rPr>
  </w:style>
  <w:style w:type="character" w:customStyle="1" w:styleId="Heading2Char">
    <w:name w:val="Heading 2 Char"/>
    <w:aliases w:val="h2 Char,CGEY Heading 2 Char,Style 2 Char,Second level Char,T2 Char,H2 Char,2nd level Char,Major Heading Char,2 Char,Titre 2 Char,h21 Char"/>
    <w:basedOn w:val="DefaultParagraphFont"/>
    <w:link w:val="Heading2"/>
    <w:rsid w:val="005A56C2"/>
    <w:rPr>
      <w:rFonts w:ascii="Arial Narrow" w:hAnsi="Arial Narrow"/>
      <w:b/>
      <w:sz w:val="24"/>
      <w:szCs w:val="24"/>
      <w:lang w:val="en-AU" w:eastAsia="en-US" w:bidi="ar-SA"/>
    </w:rPr>
  </w:style>
  <w:style w:type="character" w:customStyle="1" w:styleId="Heading3Char">
    <w:name w:val="Heading 3 Char"/>
    <w:aliases w:val="h3 Char,h31 Char,3 Char,Titre 3 Char,Sub Char"/>
    <w:basedOn w:val="DefaultParagraphFont"/>
    <w:link w:val="Heading3"/>
    <w:rsid w:val="00E30299"/>
    <w:rPr>
      <w:rFonts w:ascii="Arial Narrow" w:eastAsia="Times New Roman" w:hAnsi="Arial Narrow"/>
      <w:b/>
      <w:sz w:val="24"/>
      <w:lang w:eastAsia="en-US"/>
    </w:rPr>
  </w:style>
  <w:style w:type="character" w:customStyle="1" w:styleId="Heading5Char">
    <w:name w:val="Heading 5 Char"/>
    <w:basedOn w:val="DefaultParagraphFont"/>
    <w:link w:val="Heading5"/>
    <w:rsid w:val="00E30299"/>
    <w:rPr>
      <w:rFonts w:ascii="Arial Narrow" w:eastAsia="Times New Roman" w:hAnsi="Arial Narrow"/>
      <w:snapToGrid w:val="0"/>
      <w:sz w:val="22"/>
      <w:lang w:eastAsia="en-US"/>
    </w:rPr>
  </w:style>
  <w:style w:type="character" w:customStyle="1" w:styleId="Heading6Char">
    <w:name w:val="Heading 6 Char"/>
    <w:basedOn w:val="DefaultParagraphFont"/>
    <w:link w:val="Heading6"/>
    <w:rsid w:val="00E30299"/>
    <w:rPr>
      <w:rFonts w:ascii="Arial Narrow" w:eastAsia="Times New Roman" w:hAnsi="Arial Narrow"/>
      <w:snapToGrid w:val="0"/>
      <w:sz w:val="22"/>
      <w:lang w:eastAsia="en-US"/>
    </w:rPr>
  </w:style>
  <w:style w:type="character" w:customStyle="1" w:styleId="Heading7Char">
    <w:name w:val="Heading 7 Char"/>
    <w:basedOn w:val="DefaultParagraphFont"/>
    <w:link w:val="Heading7"/>
    <w:rsid w:val="00E30299"/>
    <w:rPr>
      <w:rFonts w:ascii="Arial Narrow" w:eastAsia="Times New Roman" w:hAnsi="Arial Narrow"/>
      <w:snapToGrid w:val="0"/>
      <w:sz w:val="22"/>
      <w:lang w:eastAsia="en-US"/>
    </w:rPr>
  </w:style>
  <w:style w:type="character" w:customStyle="1" w:styleId="Heading8Char">
    <w:name w:val="Heading 8 Char"/>
    <w:basedOn w:val="DefaultParagraphFont"/>
    <w:link w:val="Heading8"/>
    <w:rsid w:val="00E30299"/>
    <w:rPr>
      <w:rFonts w:ascii="Arial Narrow" w:eastAsia="Times New Roman" w:hAnsi="Arial Narrow"/>
      <w:snapToGrid w:val="0"/>
      <w:sz w:val="22"/>
      <w:lang w:eastAsia="en-US"/>
    </w:rPr>
  </w:style>
  <w:style w:type="character" w:customStyle="1" w:styleId="Heading9Char">
    <w:name w:val="Heading 9 Char"/>
    <w:basedOn w:val="DefaultParagraphFont"/>
    <w:link w:val="Heading9"/>
    <w:rsid w:val="00E30299"/>
    <w:rPr>
      <w:rFonts w:ascii="Arial Narrow" w:eastAsia="Times New Roman" w:hAnsi="Arial Narrow"/>
      <w:snapToGrid w:val="0"/>
      <w:sz w:val="22"/>
      <w:lang w:eastAsia="en-US"/>
    </w:rPr>
  </w:style>
  <w:style w:type="paragraph" w:styleId="FootnoteText">
    <w:name w:val="footnote text"/>
    <w:basedOn w:val="Normal"/>
    <w:link w:val="FootnoteTextChar"/>
    <w:unhideWhenUsed/>
    <w:rsid w:val="00F12C81"/>
    <w:pPr>
      <w:spacing w:after="0" w:line="240" w:lineRule="auto"/>
    </w:pPr>
    <w:rPr>
      <w:sz w:val="20"/>
      <w:szCs w:val="20"/>
    </w:rPr>
  </w:style>
  <w:style w:type="character" w:customStyle="1" w:styleId="FootnoteTextChar">
    <w:name w:val="Footnote Text Char"/>
    <w:basedOn w:val="DefaultParagraphFont"/>
    <w:link w:val="FootnoteText"/>
    <w:rsid w:val="00F12C81"/>
    <w:rPr>
      <w:rFonts w:ascii="Calibri" w:eastAsia="Calibri" w:hAnsi="Calibri" w:cs="Times New Roman"/>
      <w:lang w:eastAsia="en-US"/>
    </w:rPr>
  </w:style>
  <w:style w:type="character" w:styleId="FootnoteReference">
    <w:name w:val="footnote reference"/>
    <w:basedOn w:val="DefaultParagraphFont"/>
    <w:unhideWhenUsed/>
    <w:rsid w:val="00F12C81"/>
    <w:rPr>
      <w:vertAlign w:val="superscript"/>
    </w:rPr>
  </w:style>
  <w:style w:type="character" w:customStyle="1" w:styleId="highlightedsearchterm">
    <w:name w:val="highlightedsearchterm"/>
    <w:basedOn w:val="DefaultParagraphFont"/>
    <w:rsid w:val="0055279C"/>
  </w:style>
  <w:style w:type="paragraph" w:styleId="NormalWeb">
    <w:name w:val="Normal (Web)"/>
    <w:basedOn w:val="Normal"/>
    <w:rsid w:val="0055279C"/>
    <w:pPr>
      <w:spacing w:before="100" w:beforeAutospacing="1" w:after="100" w:afterAutospacing="1" w:line="240" w:lineRule="auto"/>
    </w:pPr>
    <w:rPr>
      <w:rFonts w:ascii="Times New Roman" w:eastAsia="Times New Roman" w:hAnsi="Times New Roman"/>
      <w:sz w:val="24"/>
      <w:szCs w:val="24"/>
      <w:lang w:eastAsia="en-AU"/>
    </w:rPr>
  </w:style>
  <w:style w:type="paragraph" w:styleId="BodyText">
    <w:name w:val="Body Text"/>
    <w:basedOn w:val="Normal"/>
    <w:link w:val="BodyTextChar"/>
    <w:rsid w:val="00AB2C16"/>
    <w:pPr>
      <w:tabs>
        <w:tab w:val="left" w:pos="737"/>
      </w:tabs>
      <w:spacing w:before="240"/>
    </w:pPr>
    <w:rPr>
      <w:sz w:val="20"/>
      <w:szCs w:val="20"/>
    </w:rPr>
  </w:style>
  <w:style w:type="character" w:customStyle="1" w:styleId="BodyTextChar">
    <w:name w:val="Body Text Char"/>
    <w:basedOn w:val="DefaultParagraphFont"/>
    <w:link w:val="BodyText"/>
    <w:rsid w:val="00AB2C16"/>
    <w:rPr>
      <w:lang w:eastAsia="en-US"/>
    </w:rPr>
  </w:style>
  <w:style w:type="paragraph" w:customStyle="1" w:styleId="Text">
    <w:name w:val="Text"/>
    <w:basedOn w:val="Normal"/>
    <w:rsid w:val="00AB2C16"/>
    <w:pPr>
      <w:overflowPunct w:val="0"/>
      <w:autoSpaceDE w:val="0"/>
      <w:autoSpaceDN w:val="0"/>
      <w:adjustRightInd w:val="0"/>
      <w:spacing w:after="140" w:line="360" w:lineRule="exact"/>
      <w:jc w:val="both"/>
      <w:textAlignment w:val="baseline"/>
    </w:pPr>
    <w:rPr>
      <w:rFonts w:ascii="Times New Roman" w:eastAsia="Times New Roman" w:hAnsi="Times New Roman"/>
      <w:sz w:val="24"/>
      <w:szCs w:val="20"/>
      <w:lang w:val="en-GB"/>
    </w:rPr>
  </w:style>
  <w:style w:type="paragraph" w:styleId="BalloonText">
    <w:name w:val="Balloon Text"/>
    <w:basedOn w:val="Normal"/>
    <w:link w:val="BalloonTextChar"/>
    <w:uiPriority w:val="99"/>
    <w:semiHidden/>
    <w:unhideWhenUsed/>
    <w:rsid w:val="008726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6CF"/>
    <w:rPr>
      <w:rFonts w:ascii="Tahoma" w:hAnsi="Tahoma" w:cs="Tahoma"/>
      <w:sz w:val="16"/>
      <w:szCs w:val="16"/>
      <w:lang w:eastAsia="en-US"/>
    </w:rPr>
  </w:style>
  <w:style w:type="character" w:styleId="Hyperlink">
    <w:name w:val="Hyperlink"/>
    <w:basedOn w:val="DefaultParagraphFont"/>
    <w:rsid w:val="007945F6"/>
    <w:rPr>
      <w:color w:val="0000FF"/>
      <w:u w:val="single"/>
    </w:rPr>
  </w:style>
  <w:style w:type="paragraph" w:customStyle="1" w:styleId="Bullet">
    <w:name w:val="Bullet"/>
    <w:aliases w:val="b1"/>
    <w:basedOn w:val="PlainText"/>
    <w:rsid w:val="00CE2645"/>
    <w:pPr>
      <w:numPr>
        <w:numId w:val="26"/>
      </w:numPr>
      <w:tabs>
        <w:tab w:val="left" w:pos="227"/>
      </w:tabs>
      <w:spacing w:after="0" w:line="240" w:lineRule="auto"/>
    </w:pPr>
    <w:rPr>
      <w:rFonts w:ascii="Arial" w:eastAsia="Times" w:hAnsi="Arial" w:cs="Times New Roman"/>
      <w:sz w:val="19"/>
    </w:rPr>
  </w:style>
  <w:style w:type="paragraph" w:styleId="PlainText">
    <w:name w:val="Plain Text"/>
    <w:basedOn w:val="Normal"/>
    <w:rsid w:val="00CE2645"/>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28418026">
      <w:bodyDiv w:val="1"/>
      <w:marLeft w:val="0"/>
      <w:marRight w:val="0"/>
      <w:marTop w:val="0"/>
      <w:marBottom w:val="0"/>
      <w:divBdr>
        <w:top w:val="none" w:sz="0" w:space="0" w:color="auto"/>
        <w:left w:val="none" w:sz="0" w:space="0" w:color="auto"/>
        <w:bottom w:val="none" w:sz="0" w:space="0" w:color="auto"/>
        <w:right w:val="none" w:sz="0" w:space="0" w:color="auto"/>
      </w:divBdr>
    </w:div>
    <w:div w:id="1972444921">
      <w:bodyDiv w:val="1"/>
      <w:marLeft w:val="0"/>
      <w:marRight w:val="0"/>
      <w:marTop w:val="0"/>
      <w:marBottom w:val="0"/>
      <w:divBdr>
        <w:top w:val="none" w:sz="0" w:space="0" w:color="auto"/>
        <w:left w:val="none" w:sz="0" w:space="0" w:color="auto"/>
        <w:bottom w:val="none" w:sz="0" w:space="0" w:color="auto"/>
        <w:right w:val="none" w:sz="0" w:space="0" w:color="auto"/>
      </w:divBdr>
    </w:div>
    <w:div w:id="21201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naturalchoice.com.a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tural-gas.com.au" TargetMode="Externa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envsrv01\regulation\Library\SA%20AA%2011\DRAFT%20DECISION%20Feb%202011\Escalators\Chairman%20(March%202011)\AE%20Summary%20for%20Envestra%20Chairman%20(March%2020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nvsrv01\regulation\Library\SA%20AA%2011\DRAFT%20DECISION%20Feb%202011\Escalators\Chairman%20(March%202011)\AE%20Summary%20for%20Envestra%20Chairman%20(March%2020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a:t>SA "real" productivity adjusted labour price</a:t>
            </a:r>
            <a:r>
              <a:rPr lang="en-AU" baseline="0"/>
              <a:t> aggregates UTILITIES</a:t>
            </a:r>
          </a:p>
          <a:p>
            <a:pPr>
              <a:defRPr/>
            </a:pPr>
            <a:endParaRPr lang="en-AU"/>
          </a:p>
        </c:rich>
      </c:tx>
      <c:layout/>
    </c:title>
    <c:plotArea>
      <c:layout/>
      <c:lineChart>
        <c:grouping val="standard"/>
        <c:ser>
          <c:idx val="0"/>
          <c:order val="0"/>
          <c:tx>
            <c:strRef>
              <c:f>Sheet1!$A$15</c:f>
              <c:strCache>
                <c:ptCount val="1"/>
                <c:pt idx="0">
                  <c:v>ENV DD Utilities (Dec 2010)</c:v>
                </c:pt>
              </c:strCache>
            </c:strRef>
          </c:tx>
          <c:marker>
            <c:symbol val="none"/>
          </c:marker>
          <c:cat>
            <c:strRef>
              <c:f>Sheet1!$B$4:$F$4</c:f>
              <c:strCache>
                <c:ptCount val="5"/>
                <c:pt idx="0">
                  <c:v>2011-12</c:v>
                </c:pt>
                <c:pt idx="1">
                  <c:v>2012-13</c:v>
                </c:pt>
                <c:pt idx="2">
                  <c:v>2013-14</c:v>
                </c:pt>
                <c:pt idx="3">
                  <c:v>2014-15</c:v>
                </c:pt>
                <c:pt idx="4">
                  <c:v>2015-16</c:v>
                </c:pt>
              </c:strCache>
            </c:strRef>
          </c:cat>
          <c:val>
            <c:numRef>
              <c:f>Sheet1!$B$15:$F$15</c:f>
              <c:numCache>
                <c:formatCode>0.0</c:formatCode>
                <c:ptCount val="5"/>
                <c:pt idx="0" formatCode="General">
                  <c:v>-0.4</c:v>
                </c:pt>
                <c:pt idx="1">
                  <c:v>0</c:v>
                </c:pt>
                <c:pt idx="2" formatCode="General">
                  <c:v>0.3000000000000001</c:v>
                </c:pt>
                <c:pt idx="3" formatCode="General">
                  <c:v>-0.70000000000000018</c:v>
                </c:pt>
                <c:pt idx="4" formatCode="General">
                  <c:v>-1.3</c:v>
                </c:pt>
              </c:numCache>
            </c:numRef>
          </c:val>
        </c:ser>
        <c:ser>
          <c:idx val="1"/>
          <c:order val="1"/>
          <c:tx>
            <c:strRef>
              <c:f>Sheet1!$A$26</c:f>
              <c:strCache>
                <c:ptCount val="1"/>
                <c:pt idx="0">
                  <c:v>ETSA DD Utilities (Sept 2009)</c:v>
                </c:pt>
              </c:strCache>
            </c:strRef>
          </c:tx>
          <c:marker>
            <c:symbol val="none"/>
          </c:marker>
          <c:val>
            <c:numRef>
              <c:f>Sheet1!$B$26:$F$26</c:f>
              <c:numCache>
                <c:formatCode>General</c:formatCode>
                <c:ptCount val="5"/>
                <c:pt idx="0">
                  <c:v>-0.6000000000000002</c:v>
                </c:pt>
                <c:pt idx="1">
                  <c:v>-0.3000000000000001</c:v>
                </c:pt>
                <c:pt idx="2">
                  <c:v>-0.4</c:v>
                </c:pt>
                <c:pt idx="3">
                  <c:v>0.5</c:v>
                </c:pt>
                <c:pt idx="4">
                  <c:v>0.5</c:v>
                </c:pt>
              </c:numCache>
            </c:numRef>
          </c:val>
        </c:ser>
        <c:ser>
          <c:idx val="2"/>
          <c:order val="2"/>
          <c:tx>
            <c:strRef>
              <c:f>Sheet1!$A$32</c:f>
              <c:strCache>
                <c:ptCount val="1"/>
                <c:pt idx="0">
                  <c:v>ETSA FD Utilities (March 2010)</c:v>
                </c:pt>
              </c:strCache>
            </c:strRef>
          </c:tx>
          <c:marker>
            <c:symbol val="none"/>
          </c:marker>
          <c:val>
            <c:numRef>
              <c:f>Sheet1!$B$32:$F$32</c:f>
              <c:numCache>
                <c:formatCode>General</c:formatCode>
                <c:ptCount val="5"/>
                <c:pt idx="0">
                  <c:v>-0.70000000000000018</c:v>
                </c:pt>
                <c:pt idx="1">
                  <c:v>-0.8</c:v>
                </c:pt>
                <c:pt idx="2">
                  <c:v>-0.5</c:v>
                </c:pt>
                <c:pt idx="3">
                  <c:v>0.2</c:v>
                </c:pt>
                <c:pt idx="4">
                  <c:v>0.6000000000000002</c:v>
                </c:pt>
              </c:numCache>
            </c:numRef>
          </c:val>
        </c:ser>
        <c:marker val="1"/>
        <c:axId val="75780480"/>
        <c:axId val="75782016"/>
      </c:lineChart>
      <c:catAx>
        <c:axId val="75780480"/>
        <c:scaling>
          <c:orientation val="minMax"/>
        </c:scaling>
        <c:axPos val="b"/>
        <c:majorTickMark val="none"/>
        <c:tickLblPos val="low"/>
        <c:crossAx val="75782016"/>
        <c:crosses val="autoZero"/>
        <c:auto val="1"/>
        <c:lblAlgn val="ctr"/>
        <c:lblOffset val="100"/>
      </c:catAx>
      <c:valAx>
        <c:axId val="75782016"/>
        <c:scaling>
          <c:orientation val="minMax"/>
        </c:scaling>
        <c:axPos val="l"/>
        <c:majorGridlines/>
        <c:title>
          <c:tx>
            <c:rich>
              <a:bodyPr/>
              <a:lstStyle/>
              <a:p>
                <a:pPr>
                  <a:defRPr/>
                </a:pPr>
                <a:r>
                  <a:rPr lang="en-AU"/>
                  <a:t>percentage</a:t>
                </a:r>
              </a:p>
            </c:rich>
          </c:tx>
          <c:layout/>
        </c:title>
        <c:numFmt formatCode="General" sourceLinked="1"/>
        <c:majorTickMark val="none"/>
        <c:tickLblPos val="nextTo"/>
        <c:crossAx val="75780480"/>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AU"/>
  <c:chart>
    <c:title>
      <c:tx>
        <c:rich>
          <a:bodyPr/>
          <a:lstStyle/>
          <a:p>
            <a:pPr>
              <a:defRPr/>
            </a:pPr>
            <a:r>
              <a:rPr lang="en-AU"/>
              <a:t>SA "real" productivity adjusted labour price</a:t>
            </a:r>
            <a:r>
              <a:rPr lang="en-AU" baseline="0"/>
              <a:t> aggregates CONSTRUCTION</a:t>
            </a:r>
          </a:p>
          <a:p>
            <a:pPr>
              <a:defRPr/>
            </a:pPr>
            <a:endParaRPr lang="en-AU"/>
          </a:p>
        </c:rich>
      </c:tx>
      <c:layout/>
    </c:title>
    <c:plotArea>
      <c:layout/>
      <c:lineChart>
        <c:grouping val="standard"/>
        <c:ser>
          <c:idx val="0"/>
          <c:order val="0"/>
          <c:tx>
            <c:strRef>
              <c:f>Sheet1!$A$16</c:f>
              <c:strCache>
                <c:ptCount val="1"/>
                <c:pt idx="0">
                  <c:v>ENV DD Construction (Dec 2010)</c:v>
                </c:pt>
              </c:strCache>
            </c:strRef>
          </c:tx>
          <c:marker>
            <c:symbol val="none"/>
          </c:marker>
          <c:cat>
            <c:strRef>
              <c:f>Sheet1!$B$4:$F$4</c:f>
              <c:strCache>
                <c:ptCount val="5"/>
                <c:pt idx="0">
                  <c:v>2011-12</c:v>
                </c:pt>
                <c:pt idx="1">
                  <c:v>2012-13</c:v>
                </c:pt>
                <c:pt idx="2">
                  <c:v>2013-14</c:v>
                </c:pt>
                <c:pt idx="3">
                  <c:v>2014-15</c:v>
                </c:pt>
                <c:pt idx="4">
                  <c:v>2015-16</c:v>
                </c:pt>
              </c:strCache>
            </c:strRef>
          </c:cat>
          <c:val>
            <c:numRef>
              <c:f>Sheet1!$B$16:$F$16</c:f>
              <c:numCache>
                <c:formatCode>General</c:formatCode>
                <c:ptCount val="5"/>
                <c:pt idx="0">
                  <c:v>0.8</c:v>
                </c:pt>
                <c:pt idx="1">
                  <c:v>0.6000000000000002</c:v>
                </c:pt>
                <c:pt idx="2">
                  <c:v>0.6000000000000002</c:v>
                </c:pt>
                <c:pt idx="3">
                  <c:v>-0.5</c:v>
                </c:pt>
                <c:pt idx="4" formatCode="0.0">
                  <c:v>-1</c:v>
                </c:pt>
              </c:numCache>
            </c:numRef>
          </c:val>
        </c:ser>
        <c:ser>
          <c:idx val="1"/>
          <c:order val="1"/>
          <c:tx>
            <c:strRef>
              <c:f>Sheet1!$A$27</c:f>
              <c:strCache>
                <c:ptCount val="1"/>
                <c:pt idx="0">
                  <c:v>ETSA DD Construction (Sept 2009)</c:v>
                </c:pt>
              </c:strCache>
            </c:strRef>
          </c:tx>
          <c:marker>
            <c:symbol val="none"/>
          </c:marker>
          <c:cat>
            <c:strRef>
              <c:f>Sheet1!$B$4:$F$4</c:f>
              <c:strCache>
                <c:ptCount val="5"/>
                <c:pt idx="0">
                  <c:v>2011-12</c:v>
                </c:pt>
                <c:pt idx="1">
                  <c:v>2012-13</c:v>
                </c:pt>
                <c:pt idx="2">
                  <c:v>2013-14</c:v>
                </c:pt>
                <c:pt idx="3">
                  <c:v>2014-15</c:v>
                </c:pt>
                <c:pt idx="4">
                  <c:v>2015-16</c:v>
                </c:pt>
              </c:strCache>
            </c:strRef>
          </c:cat>
          <c:val>
            <c:numRef>
              <c:f>Sheet1!$B$27:$F$27</c:f>
              <c:numCache>
                <c:formatCode>General</c:formatCode>
                <c:ptCount val="5"/>
                <c:pt idx="0">
                  <c:v>0.2</c:v>
                </c:pt>
                <c:pt idx="1">
                  <c:v>0.2</c:v>
                </c:pt>
                <c:pt idx="2">
                  <c:v>0.3000000000000001</c:v>
                </c:pt>
                <c:pt idx="3">
                  <c:v>0.8</c:v>
                </c:pt>
                <c:pt idx="4">
                  <c:v>1.2</c:v>
                </c:pt>
              </c:numCache>
            </c:numRef>
          </c:val>
        </c:ser>
        <c:ser>
          <c:idx val="2"/>
          <c:order val="2"/>
          <c:tx>
            <c:strRef>
              <c:f>Sheet1!$A$33</c:f>
              <c:strCache>
                <c:ptCount val="1"/>
                <c:pt idx="0">
                  <c:v>ETSA FD Construction (March 2010)</c:v>
                </c:pt>
              </c:strCache>
            </c:strRef>
          </c:tx>
          <c:marker>
            <c:symbol val="none"/>
          </c:marker>
          <c:val>
            <c:numRef>
              <c:f>Sheet1!$B$33:$F$33</c:f>
              <c:numCache>
                <c:formatCode>General</c:formatCode>
                <c:ptCount val="5"/>
                <c:pt idx="0">
                  <c:v>-0.3000000000000001</c:v>
                </c:pt>
                <c:pt idx="1">
                  <c:v>-0.3000000000000001</c:v>
                </c:pt>
                <c:pt idx="2">
                  <c:v>0</c:v>
                </c:pt>
                <c:pt idx="3">
                  <c:v>0.6000000000000002</c:v>
                </c:pt>
                <c:pt idx="4">
                  <c:v>0.9</c:v>
                </c:pt>
              </c:numCache>
            </c:numRef>
          </c:val>
        </c:ser>
        <c:marker val="1"/>
        <c:axId val="76222848"/>
        <c:axId val="76224384"/>
      </c:lineChart>
      <c:catAx>
        <c:axId val="76222848"/>
        <c:scaling>
          <c:orientation val="minMax"/>
        </c:scaling>
        <c:axPos val="b"/>
        <c:majorTickMark val="none"/>
        <c:tickLblPos val="low"/>
        <c:crossAx val="76224384"/>
        <c:crosses val="autoZero"/>
        <c:auto val="1"/>
        <c:lblAlgn val="ctr"/>
        <c:lblOffset val="100"/>
      </c:catAx>
      <c:valAx>
        <c:axId val="76224384"/>
        <c:scaling>
          <c:orientation val="minMax"/>
        </c:scaling>
        <c:axPos val="l"/>
        <c:majorGridlines/>
        <c:title>
          <c:tx>
            <c:rich>
              <a:bodyPr/>
              <a:lstStyle/>
              <a:p>
                <a:pPr>
                  <a:defRPr/>
                </a:pPr>
                <a:r>
                  <a:rPr lang="en-AU"/>
                  <a:t>percentage</a:t>
                </a:r>
              </a:p>
            </c:rich>
          </c:tx>
          <c:layout/>
        </c:title>
        <c:numFmt formatCode="General" sourceLinked="1"/>
        <c:majorTickMark val="none"/>
        <c:tickLblPos val="nextTo"/>
        <c:crossAx val="76222848"/>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16390</Words>
  <Characters>85882</Characters>
  <Application>Microsoft Office Word</Application>
  <DocSecurity>0</DocSecurity>
  <Lines>715</Lines>
  <Paragraphs>204</Paragraphs>
  <ScaleCrop>false</ScaleCrop>
  <HeadingPairs>
    <vt:vector size="2" baseType="variant">
      <vt:variant>
        <vt:lpstr>Title</vt:lpstr>
      </vt:variant>
      <vt:variant>
        <vt:i4>1</vt:i4>
      </vt:variant>
    </vt:vector>
  </HeadingPairs>
  <TitlesOfParts>
    <vt:vector size="1" baseType="lpstr">
      <vt:lpstr>Attachment 6-9 Draft Decision Response:  Operating Expenditure</vt:lpstr>
    </vt:vector>
  </TitlesOfParts>
  <Company>Envestra Limited</Company>
  <LinksUpToDate>false</LinksUpToDate>
  <CharactersWithSpaces>102068</CharactersWithSpaces>
  <SharedDoc>false</SharedDoc>
  <HLinks>
    <vt:vector size="12" baseType="variant">
      <vt:variant>
        <vt:i4>3801143</vt:i4>
      </vt:variant>
      <vt:variant>
        <vt:i4>3</vt:i4>
      </vt:variant>
      <vt:variant>
        <vt:i4>0</vt:i4>
      </vt:variant>
      <vt:variant>
        <vt:i4>5</vt:i4>
      </vt:variant>
      <vt:variant>
        <vt:lpwstr>http://www.thenaturalchoice.com.au/</vt:lpwstr>
      </vt:variant>
      <vt:variant>
        <vt:lpwstr/>
      </vt:variant>
      <vt:variant>
        <vt:i4>8061043</vt:i4>
      </vt:variant>
      <vt:variant>
        <vt:i4>0</vt:i4>
      </vt:variant>
      <vt:variant>
        <vt:i4>0</vt:i4>
      </vt:variant>
      <vt:variant>
        <vt:i4>5</vt:i4>
      </vt:variant>
      <vt:variant>
        <vt:lpwstr>http://www.natural-gas.com.au/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6-9 Draft Decision Response:  Operating Expenditure</dc:title>
  <dc:subject/>
  <dc:creator>delainec</dc:creator>
  <cp:keywords/>
  <dc:description/>
  <cp:lastModifiedBy>HSTAdmin</cp:lastModifiedBy>
  <cp:revision>3</cp:revision>
  <cp:lastPrinted>2011-03-24T00:46:00Z</cp:lastPrinted>
  <dcterms:created xsi:type="dcterms:W3CDTF">2011-03-24T02:05:00Z</dcterms:created>
  <dcterms:modified xsi:type="dcterms:W3CDTF">2011-03-24T02:24:00Z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_2122615469">
    <vt:r8>61256221</vt:r8>
  </property>
  <property fmtid="{D5CDD505-2E9C-101B-9397-08002B2CF9AE}" pid="3" name="DOCID_2122615469_">
    <vt:r8>61256221</vt:r8>
  </property>
  <property fmtid="{D5CDD505-2E9C-101B-9397-08002B2CF9AE}" pid="4" name="DOCID_10839">
    <vt:r8>61256221</vt:r8>
  </property>
  <property fmtid="{D5CDD505-2E9C-101B-9397-08002B2CF9AE}" pid="5" name="VERSIONID_2122615469">
    <vt:lpwstr>3a8cf964-d646-458d-8123-ce4697db2567</vt:lpwstr>
  </property>
  <property fmtid="{D5CDD505-2E9C-101B-9397-08002B2CF9AE}" pid="6" name="VERSIONID_2122615469_">
    <vt:lpwstr>3a8cf964-d646-458d-8123-ce4697db2567</vt:lpwstr>
  </property>
  <property fmtid="{D5CDD505-2E9C-101B-9397-08002B2CF9AE}" pid="7" name="BASEPRECID">
    <vt:i4>58000434</vt:i4>
  </property>
  <property fmtid="{D5CDD505-2E9C-101B-9397-08002B2CF9AE}" pid="8" name="DOCID">
    <vt:i4>61256221</vt:i4>
  </property>
  <property fmtid="{D5CDD505-2E9C-101B-9397-08002B2CF9AE}" pid="9" name="DOCIDEX">
    <vt:lpwstr> </vt:lpwstr>
  </property>
  <property fmtid="{D5CDD505-2E9C-101B-9397-08002B2CF9AE}" pid="10" name="COMPANYID">
    <vt:i4>2122615469</vt:i4>
  </property>
  <property fmtid="{D5CDD505-2E9C-101B-9397-08002B2CF9AE}" pid="11" name="SERIALNO">
    <vt:i4>10839</vt:i4>
  </property>
  <property fmtid="{D5CDD505-2E9C-101B-9397-08002B2CF9AE}" pid="12" name="EDITION">
    <vt:lpwstr>FM</vt:lpwstr>
  </property>
  <property fmtid="{D5CDD505-2E9C-101B-9397-08002B2CF9AE}" pid="13" name="CLIENTID">
    <vt:i4>11565</vt:i4>
  </property>
  <property fmtid="{D5CDD505-2E9C-101B-9397-08002B2CF9AE}" pid="14" name="FILEID">
    <vt:i4>58255765</vt:i4>
  </property>
  <property fmtid="{D5CDD505-2E9C-101B-9397-08002B2CF9AE}" pid="15" name="ASSOCID">
    <vt:i4>58038570</vt:i4>
  </property>
  <property fmtid="{D5CDD505-2E9C-101B-9397-08002B2CF9AE}" pid="16" name="BASEPRECTYPE">
    <vt:lpwstr>DRAFTAGREE</vt:lpwstr>
  </property>
  <property fmtid="{D5CDD505-2E9C-101B-9397-08002B2CF9AE}" pid="17" name="VERSIONID">
    <vt:lpwstr>3a8cf964-d646-458d-8123-ce4697db2567</vt:lpwstr>
  </property>
  <property fmtid="{D5CDD505-2E9C-101B-9397-08002B2CF9AE}" pid="18" name="VERSIONLABEL">
    <vt:lpwstr>1</vt:lpwstr>
  </property>
</Properties>
</file>