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7FCDA4E" wp14:editId="0A4F954A">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451DFF" w:rsidP="002A4EF8">
      <w:pPr>
        <w:rPr>
          <w:b/>
          <w:sz w:val="36"/>
          <w:szCs w:val="36"/>
        </w:rPr>
      </w:pPr>
      <w:r>
        <w:rPr>
          <w:b/>
          <w:sz w:val="36"/>
          <w:szCs w:val="36"/>
        </w:rPr>
        <w:t xml:space="preserve">26 June </w:t>
      </w:r>
      <w:r w:rsidR="00F90A80">
        <w:rPr>
          <w:b/>
          <w:sz w:val="36"/>
          <w:szCs w:val="36"/>
        </w:rPr>
        <w:t xml:space="preserve">– </w:t>
      </w:r>
      <w:r>
        <w:rPr>
          <w:b/>
          <w:sz w:val="36"/>
          <w:szCs w:val="36"/>
        </w:rPr>
        <w:t>2</w:t>
      </w:r>
      <w:r w:rsidR="00BE3F55">
        <w:rPr>
          <w:b/>
          <w:sz w:val="36"/>
          <w:szCs w:val="36"/>
        </w:rPr>
        <w:t xml:space="preserve"> </w:t>
      </w:r>
      <w:r>
        <w:rPr>
          <w:b/>
          <w:sz w:val="36"/>
          <w:szCs w:val="36"/>
        </w:rPr>
        <w:t>July</w:t>
      </w:r>
      <w:r w:rsidR="0011019A">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0107CE" w:rsidRDefault="001D0CE3" w:rsidP="00DA331C">
      <w:pPr>
        <w:jc w:val="both"/>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3763EA" w:rsidRPr="00BE2075">
        <w:t xml:space="preserve">Figure </w:t>
      </w:r>
      <w:r w:rsidR="003763EA">
        <w:t>1</w:t>
      </w:r>
      <w:r w:rsidRPr="00C4712A">
        <w:fldChar w:fldCharType="end"/>
      </w:r>
      <w:r w:rsidRPr="00C4712A">
        <w:t xml:space="preserve"> </w:t>
      </w:r>
      <w:r w:rsidR="00AF7058" w:rsidRPr="00C4712A">
        <w:t xml:space="preserve">shows the spot prices that occurred in each region during the week </w:t>
      </w:r>
      <w:r w:rsidR="00451DFF">
        <w:t>26</w:t>
      </w:r>
      <w:r w:rsidR="000107CE">
        <w:t> </w:t>
      </w:r>
      <w:r w:rsidR="00451DFF">
        <w:t>June</w:t>
      </w:r>
      <w:r w:rsidR="00510A43">
        <w:t xml:space="preserve"> </w:t>
      </w:r>
      <w:r w:rsidR="00061E3B">
        <w:t xml:space="preserve">to </w:t>
      </w:r>
      <w:r w:rsidR="00451DFF">
        <w:t>2</w:t>
      </w:r>
      <w:r w:rsidR="00BE3F55">
        <w:t> </w:t>
      </w:r>
      <w:r w:rsidR="00451DFF">
        <w:t xml:space="preserve">July </w:t>
      </w:r>
      <w:r w:rsidR="00FA25D4" w:rsidRPr="00C4712A">
        <w:t>2016</w:t>
      </w:r>
      <w:r w:rsidR="00AF7058" w:rsidRPr="00C4712A">
        <w:t>.</w:t>
      </w:r>
      <w:r w:rsidR="00E03725">
        <w:t xml:space="preserve"> </w:t>
      </w:r>
    </w:p>
    <w:p w:rsidR="002F2481" w:rsidRPr="009A574C" w:rsidRDefault="00E64F97" w:rsidP="00DA331C">
      <w:pPr>
        <w:jc w:val="both"/>
        <w:rPr>
          <w:rFonts w:eastAsia="Times New Roman" w:cs="Arial"/>
          <w:bCs/>
          <w:lang w:eastAsia="en-AU"/>
        </w:rPr>
      </w:pPr>
      <w:r>
        <w:t>On 1</w:t>
      </w:r>
      <w:r w:rsidR="000107CE">
        <w:t> </w:t>
      </w:r>
      <w:r>
        <w:t>July 2016, the market price cap increased from $13 800/MWh to $14 000/MWh and the cumulative price threshold increased from $207 000 to $210 100.</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F47F94">
        <w:fldChar w:fldCharType="begin"/>
      </w:r>
      <w:r w:rsidR="00F47F94">
        <w:instrText xml:space="preserve"> SEQ Figure \* ARABIC </w:instrText>
      </w:r>
      <w:r w:rsidR="00F47F94">
        <w:fldChar w:fldCharType="separate"/>
      </w:r>
      <w:r w:rsidR="003763EA">
        <w:rPr>
          <w:noProof/>
        </w:rPr>
        <w:t>1</w:t>
      </w:r>
      <w:r w:rsidR="00F47F94">
        <w:rPr>
          <w:noProof/>
        </w:rPr>
        <w:fldChar w:fldCharType="end"/>
      </w:r>
      <w:bookmarkEnd w:id="7"/>
      <w:r w:rsidRPr="00BE2075">
        <w:t>: Spot price by region ($/MWh)</w:t>
      </w:r>
    </w:p>
    <w:p w:rsidR="00EC05BF" w:rsidRDefault="00451DFF" w:rsidP="00C4712A">
      <w:pPr>
        <w:pStyle w:val="Caption"/>
        <w:rPr>
          <w:bCs w:val="0"/>
          <w:lang w:eastAsia="en-AU"/>
        </w:rPr>
      </w:pPr>
      <w:r w:rsidRPr="00451DFF">
        <w:rPr>
          <w:noProof/>
          <w:lang w:eastAsia="en-AU"/>
        </w:rPr>
        <w:drawing>
          <wp:inline distT="0" distB="0" distL="0" distR="0" wp14:anchorId="2A1EFF24" wp14:editId="022ED7F5">
            <wp:extent cx="5731510" cy="2865755"/>
            <wp:effectExtent l="0" t="0" r="2540"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3763EA" w:rsidRPr="00C4712A">
        <w:t xml:space="preserve">Figure </w:t>
      </w:r>
      <w:r w:rsidR="003763EA">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3763EA" w:rsidRPr="003763EA">
        <w:t>Table 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F47F94">
        <w:fldChar w:fldCharType="begin"/>
      </w:r>
      <w:r w:rsidR="00F47F94">
        <w:instrText xml:space="preserve"> SEQ Figure \* ARABIC </w:instrText>
      </w:r>
      <w:r w:rsidR="00F47F94">
        <w:fldChar w:fldCharType="separate"/>
      </w:r>
      <w:r w:rsidR="003763EA">
        <w:rPr>
          <w:noProof/>
        </w:rPr>
        <w:t>2</w:t>
      </w:r>
      <w:r w:rsidR="00F47F94">
        <w:rPr>
          <w:noProof/>
        </w:rPr>
        <w:fldChar w:fldCharType="end"/>
      </w:r>
      <w:bookmarkEnd w:id="10"/>
      <w:r w:rsidRPr="00C4712A">
        <w:t>: Volume weighted average spot price by region ($/MWh)</w:t>
      </w:r>
    </w:p>
    <w:p w:rsidR="001F22EE" w:rsidRDefault="00451DFF" w:rsidP="00F167CF">
      <w:pPr>
        <w:spacing w:before="0" w:after="120" w:line="240" w:lineRule="auto"/>
      </w:pPr>
      <w:r w:rsidRPr="00451DFF">
        <w:rPr>
          <w:noProof/>
          <w:lang w:eastAsia="en-AU"/>
        </w:rPr>
        <w:drawing>
          <wp:inline distT="0" distB="0" distL="0" distR="0" wp14:anchorId="5A1F773E" wp14:editId="042E69EF">
            <wp:extent cx="5731510" cy="2865755"/>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1F7509">
        <w:t xml:space="preserve">Table </w:t>
      </w:r>
      <w:r w:rsidR="00F47F94">
        <w:fldChar w:fldCharType="begin"/>
      </w:r>
      <w:r w:rsidR="00F47F94">
        <w:instrText xml:space="preserve"> SEQ Table \* ARABIC </w:instrText>
      </w:r>
      <w:r w:rsidR="00F47F94">
        <w:fldChar w:fldCharType="separate"/>
      </w:r>
      <w:r w:rsidR="003763EA" w:rsidRPr="001F7509">
        <w:rPr>
          <w:noProof/>
        </w:rPr>
        <w:t>1</w:t>
      </w:r>
      <w:r w:rsidR="00F47F94">
        <w:rPr>
          <w:noProof/>
        </w:rPr>
        <w:fldChar w:fldCharType="end"/>
      </w:r>
      <w:bookmarkEnd w:id="11"/>
      <w:r w:rsidRPr="001F7509">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1F7509" w:rsidRPr="00C4712A" w:rsidTr="00E334A4">
        <w:trPr>
          <w:trHeight w:hRule="exact" w:val="340"/>
        </w:trPr>
        <w:tc>
          <w:tcPr>
            <w:tcW w:w="1357" w:type="pct"/>
            <w:noWrap/>
            <w:vAlign w:val="center"/>
            <w:hideMark/>
          </w:tcPr>
          <w:p w:rsidR="001F7509" w:rsidRPr="00C4712A" w:rsidRDefault="001F7509"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1F7509" w:rsidRDefault="001F7509" w:rsidP="001F7509">
            <w:pPr>
              <w:spacing w:before="0" w:after="0" w:line="240" w:lineRule="auto"/>
              <w:jc w:val="center"/>
              <w:rPr>
                <w:rFonts w:cs="Arial"/>
                <w:sz w:val="20"/>
                <w:szCs w:val="20"/>
              </w:rPr>
            </w:pPr>
            <w:r>
              <w:rPr>
                <w:rFonts w:cs="Arial"/>
                <w:sz w:val="20"/>
                <w:szCs w:val="20"/>
              </w:rPr>
              <w:t>105</w:t>
            </w:r>
          </w:p>
        </w:tc>
        <w:tc>
          <w:tcPr>
            <w:tcW w:w="729" w:type="pct"/>
            <w:noWrap/>
            <w:vAlign w:val="center"/>
          </w:tcPr>
          <w:p w:rsidR="001F7509" w:rsidRDefault="001F7509" w:rsidP="001F7509">
            <w:pPr>
              <w:spacing w:before="0" w:after="0" w:line="240" w:lineRule="auto"/>
              <w:jc w:val="center"/>
              <w:rPr>
                <w:rFonts w:cs="Arial"/>
                <w:sz w:val="20"/>
                <w:szCs w:val="20"/>
              </w:rPr>
            </w:pPr>
            <w:r>
              <w:rPr>
                <w:rFonts w:cs="Arial"/>
                <w:sz w:val="20"/>
                <w:szCs w:val="20"/>
              </w:rPr>
              <w:t>125</w:t>
            </w:r>
          </w:p>
        </w:tc>
        <w:tc>
          <w:tcPr>
            <w:tcW w:w="728" w:type="pct"/>
            <w:noWrap/>
            <w:vAlign w:val="center"/>
          </w:tcPr>
          <w:p w:rsidR="001F7509" w:rsidRDefault="001F7509" w:rsidP="001F7509">
            <w:pPr>
              <w:spacing w:before="0" w:after="0" w:line="240" w:lineRule="auto"/>
              <w:jc w:val="center"/>
              <w:rPr>
                <w:rFonts w:cs="Arial"/>
                <w:sz w:val="20"/>
                <w:szCs w:val="20"/>
              </w:rPr>
            </w:pPr>
            <w:r>
              <w:rPr>
                <w:rFonts w:cs="Arial"/>
                <w:sz w:val="20"/>
                <w:szCs w:val="20"/>
              </w:rPr>
              <w:t>109</w:t>
            </w:r>
          </w:p>
        </w:tc>
        <w:tc>
          <w:tcPr>
            <w:tcW w:w="729" w:type="pct"/>
            <w:noWrap/>
            <w:vAlign w:val="center"/>
          </w:tcPr>
          <w:p w:rsidR="001F7509" w:rsidRDefault="001F7509" w:rsidP="001F7509">
            <w:pPr>
              <w:spacing w:before="0" w:after="0" w:line="240" w:lineRule="auto"/>
              <w:jc w:val="center"/>
              <w:rPr>
                <w:rFonts w:cs="Arial"/>
                <w:sz w:val="20"/>
                <w:szCs w:val="20"/>
              </w:rPr>
            </w:pPr>
            <w:r>
              <w:rPr>
                <w:rFonts w:cs="Arial"/>
                <w:sz w:val="20"/>
                <w:szCs w:val="20"/>
              </w:rPr>
              <w:t>189</w:t>
            </w:r>
          </w:p>
        </w:tc>
        <w:tc>
          <w:tcPr>
            <w:tcW w:w="729" w:type="pct"/>
            <w:noWrap/>
            <w:vAlign w:val="center"/>
          </w:tcPr>
          <w:p w:rsidR="001F7509" w:rsidRDefault="001F7509" w:rsidP="001F7509">
            <w:pPr>
              <w:spacing w:before="0" w:after="0" w:line="240" w:lineRule="auto"/>
              <w:jc w:val="center"/>
              <w:rPr>
                <w:rFonts w:cs="Arial"/>
                <w:sz w:val="20"/>
                <w:szCs w:val="20"/>
              </w:rPr>
            </w:pPr>
            <w:r>
              <w:rPr>
                <w:rFonts w:cs="Arial"/>
                <w:sz w:val="20"/>
                <w:szCs w:val="20"/>
              </w:rPr>
              <w:t>100</w:t>
            </w:r>
          </w:p>
        </w:tc>
      </w:tr>
      <w:tr w:rsidR="001F7509"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F7509" w:rsidRPr="00C4712A" w:rsidRDefault="001F7509" w:rsidP="00B65CAC">
            <w:pPr>
              <w:spacing w:before="100" w:beforeAutospacing="1" w:after="100" w:afterAutospacing="1" w:line="240" w:lineRule="auto"/>
              <w:rPr>
                <w:rFonts w:cs="Arial"/>
                <w:bCs/>
                <w:szCs w:val="20"/>
              </w:rPr>
            </w:pPr>
            <w:r>
              <w:rPr>
                <w:rFonts w:cs="Arial"/>
                <w:bCs/>
                <w:szCs w:val="20"/>
              </w:rPr>
              <w:t>14-15 FY</w:t>
            </w:r>
          </w:p>
        </w:tc>
        <w:tc>
          <w:tcPr>
            <w:tcW w:w="728" w:type="pct"/>
            <w:noWrap/>
            <w:vAlign w:val="center"/>
          </w:tcPr>
          <w:p w:rsidR="001F7509" w:rsidRDefault="001F7509" w:rsidP="001F7509">
            <w:pPr>
              <w:spacing w:before="0" w:after="0" w:line="240" w:lineRule="auto"/>
              <w:jc w:val="center"/>
              <w:rPr>
                <w:rFonts w:cs="Arial"/>
                <w:szCs w:val="20"/>
              </w:rPr>
            </w:pPr>
            <w:r>
              <w:rPr>
                <w:rFonts w:cs="Arial"/>
                <w:szCs w:val="20"/>
              </w:rPr>
              <w:t>61</w:t>
            </w:r>
          </w:p>
        </w:tc>
        <w:tc>
          <w:tcPr>
            <w:tcW w:w="729" w:type="pct"/>
            <w:noWrap/>
            <w:vAlign w:val="center"/>
          </w:tcPr>
          <w:p w:rsidR="001F7509" w:rsidRDefault="001F7509" w:rsidP="001F7509">
            <w:pPr>
              <w:spacing w:before="0" w:after="0" w:line="240" w:lineRule="auto"/>
              <w:jc w:val="center"/>
              <w:rPr>
                <w:rFonts w:cs="Arial"/>
                <w:szCs w:val="20"/>
              </w:rPr>
            </w:pPr>
            <w:r>
              <w:rPr>
                <w:rFonts w:cs="Arial"/>
                <w:szCs w:val="20"/>
              </w:rPr>
              <w:t>36</w:t>
            </w:r>
          </w:p>
        </w:tc>
        <w:tc>
          <w:tcPr>
            <w:tcW w:w="728" w:type="pct"/>
            <w:noWrap/>
            <w:vAlign w:val="center"/>
          </w:tcPr>
          <w:p w:rsidR="001F7509" w:rsidRDefault="001F7509" w:rsidP="001F7509">
            <w:pPr>
              <w:spacing w:before="0" w:after="0" w:line="240" w:lineRule="auto"/>
              <w:jc w:val="center"/>
              <w:rPr>
                <w:rFonts w:cs="Arial"/>
                <w:szCs w:val="20"/>
              </w:rPr>
            </w:pPr>
            <w:r>
              <w:rPr>
                <w:rFonts w:cs="Arial"/>
                <w:szCs w:val="20"/>
              </w:rPr>
              <w:t>32</w:t>
            </w:r>
          </w:p>
        </w:tc>
        <w:tc>
          <w:tcPr>
            <w:tcW w:w="729" w:type="pct"/>
            <w:noWrap/>
            <w:vAlign w:val="center"/>
          </w:tcPr>
          <w:p w:rsidR="001F7509" w:rsidRDefault="001F7509" w:rsidP="001F7509">
            <w:pPr>
              <w:spacing w:before="0" w:after="0" w:line="240" w:lineRule="auto"/>
              <w:jc w:val="center"/>
              <w:rPr>
                <w:rFonts w:cs="Arial"/>
                <w:szCs w:val="20"/>
              </w:rPr>
            </w:pPr>
            <w:r>
              <w:rPr>
                <w:rFonts w:cs="Arial"/>
                <w:szCs w:val="20"/>
              </w:rPr>
              <w:t>42</w:t>
            </w:r>
          </w:p>
        </w:tc>
        <w:tc>
          <w:tcPr>
            <w:tcW w:w="729" w:type="pct"/>
            <w:noWrap/>
            <w:vAlign w:val="center"/>
          </w:tcPr>
          <w:p w:rsidR="001F7509" w:rsidRDefault="001F7509" w:rsidP="001F7509">
            <w:pPr>
              <w:spacing w:before="0" w:after="0" w:line="240" w:lineRule="auto"/>
              <w:jc w:val="center"/>
              <w:rPr>
                <w:rFonts w:cs="Arial"/>
                <w:szCs w:val="20"/>
              </w:rPr>
            </w:pPr>
            <w:r>
              <w:rPr>
                <w:rFonts w:cs="Arial"/>
                <w:szCs w:val="20"/>
              </w:rPr>
              <w:t>37</w:t>
            </w:r>
          </w:p>
        </w:tc>
      </w:tr>
      <w:tr w:rsidR="001F7509" w:rsidRPr="00C4712A" w:rsidTr="00E334A4">
        <w:trPr>
          <w:trHeight w:hRule="exact" w:val="340"/>
        </w:trPr>
        <w:tc>
          <w:tcPr>
            <w:tcW w:w="1357" w:type="pct"/>
            <w:noWrap/>
            <w:vAlign w:val="center"/>
            <w:hideMark/>
          </w:tcPr>
          <w:p w:rsidR="001F7509" w:rsidRPr="00C4712A" w:rsidRDefault="001F7509" w:rsidP="00451DFF">
            <w:pPr>
              <w:spacing w:before="100" w:beforeAutospacing="1" w:after="100" w:afterAutospacing="1" w:line="240" w:lineRule="auto"/>
              <w:rPr>
                <w:rFonts w:cs="Arial"/>
                <w:bCs/>
                <w:sz w:val="20"/>
                <w:szCs w:val="20"/>
              </w:rPr>
            </w:pPr>
            <w:r w:rsidRPr="00C4712A">
              <w:rPr>
                <w:rFonts w:cs="Arial"/>
                <w:bCs/>
                <w:sz w:val="20"/>
                <w:szCs w:val="20"/>
              </w:rPr>
              <w:t xml:space="preserve">15-16 </w:t>
            </w:r>
            <w:r>
              <w:rPr>
                <w:rFonts w:cs="Arial"/>
                <w:bCs/>
                <w:sz w:val="20"/>
                <w:szCs w:val="20"/>
              </w:rPr>
              <w:t>FY</w:t>
            </w:r>
          </w:p>
        </w:tc>
        <w:tc>
          <w:tcPr>
            <w:tcW w:w="728" w:type="pct"/>
            <w:noWrap/>
            <w:vAlign w:val="center"/>
          </w:tcPr>
          <w:p w:rsidR="001F7509" w:rsidRDefault="001F7509" w:rsidP="001F7509">
            <w:pPr>
              <w:spacing w:before="0" w:after="0" w:line="240" w:lineRule="auto"/>
              <w:jc w:val="center"/>
              <w:rPr>
                <w:rFonts w:cs="Arial"/>
                <w:sz w:val="20"/>
                <w:szCs w:val="20"/>
              </w:rPr>
            </w:pPr>
            <w:r>
              <w:rPr>
                <w:rFonts w:cs="Arial"/>
                <w:sz w:val="20"/>
                <w:szCs w:val="20"/>
              </w:rPr>
              <w:t>64</w:t>
            </w:r>
          </w:p>
        </w:tc>
        <w:tc>
          <w:tcPr>
            <w:tcW w:w="729" w:type="pct"/>
            <w:noWrap/>
            <w:vAlign w:val="center"/>
          </w:tcPr>
          <w:p w:rsidR="001F7509" w:rsidRDefault="001F7509" w:rsidP="001F7509">
            <w:pPr>
              <w:spacing w:before="0" w:after="0" w:line="240" w:lineRule="auto"/>
              <w:jc w:val="center"/>
              <w:rPr>
                <w:rFonts w:cs="Arial"/>
                <w:sz w:val="20"/>
                <w:szCs w:val="20"/>
              </w:rPr>
            </w:pPr>
            <w:r>
              <w:rPr>
                <w:rFonts w:cs="Arial"/>
                <w:sz w:val="20"/>
                <w:szCs w:val="20"/>
              </w:rPr>
              <w:t>55</w:t>
            </w:r>
          </w:p>
        </w:tc>
        <w:tc>
          <w:tcPr>
            <w:tcW w:w="728" w:type="pct"/>
            <w:noWrap/>
            <w:vAlign w:val="center"/>
          </w:tcPr>
          <w:p w:rsidR="001F7509" w:rsidRDefault="001F7509" w:rsidP="001F7509">
            <w:pPr>
              <w:spacing w:before="0" w:after="0" w:line="240" w:lineRule="auto"/>
              <w:jc w:val="center"/>
              <w:rPr>
                <w:rFonts w:cs="Arial"/>
                <w:sz w:val="20"/>
                <w:szCs w:val="20"/>
              </w:rPr>
            </w:pPr>
            <w:r>
              <w:rPr>
                <w:rFonts w:cs="Arial"/>
                <w:sz w:val="20"/>
                <w:szCs w:val="20"/>
              </w:rPr>
              <w:t>50</w:t>
            </w:r>
          </w:p>
        </w:tc>
        <w:tc>
          <w:tcPr>
            <w:tcW w:w="729" w:type="pct"/>
            <w:noWrap/>
            <w:vAlign w:val="center"/>
          </w:tcPr>
          <w:p w:rsidR="001F7509" w:rsidRDefault="001F7509" w:rsidP="001F7509">
            <w:pPr>
              <w:spacing w:before="0" w:after="0" w:line="240" w:lineRule="auto"/>
              <w:jc w:val="center"/>
              <w:rPr>
                <w:rFonts w:cs="Arial"/>
                <w:sz w:val="20"/>
                <w:szCs w:val="20"/>
              </w:rPr>
            </w:pPr>
            <w:r>
              <w:rPr>
                <w:rFonts w:cs="Arial"/>
                <w:sz w:val="20"/>
                <w:szCs w:val="20"/>
              </w:rPr>
              <w:t>68</w:t>
            </w:r>
          </w:p>
        </w:tc>
        <w:tc>
          <w:tcPr>
            <w:tcW w:w="729" w:type="pct"/>
            <w:noWrap/>
            <w:vAlign w:val="center"/>
          </w:tcPr>
          <w:p w:rsidR="001F7509" w:rsidRDefault="001F7509" w:rsidP="001F7509">
            <w:pPr>
              <w:spacing w:before="0" w:after="0" w:line="240" w:lineRule="auto"/>
              <w:jc w:val="center"/>
              <w:rPr>
                <w:rFonts w:cs="Arial"/>
                <w:sz w:val="20"/>
                <w:szCs w:val="20"/>
              </w:rPr>
            </w:pPr>
            <w:r>
              <w:rPr>
                <w:rFonts w:cs="Arial"/>
                <w:sz w:val="20"/>
                <w:szCs w:val="20"/>
              </w:rPr>
              <w:t>97</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 xml:space="preserve">There were </w:t>
      </w:r>
      <w:r w:rsidR="00852EC1">
        <w:t>311</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3763EA" w:rsidRPr="00C4712A">
        <w:t xml:space="preserve">Table </w:t>
      </w:r>
      <w:r w:rsidR="003763EA">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F47F94">
        <w:fldChar w:fldCharType="begin"/>
      </w:r>
      <w:r w:rsidR="00F47F94">
        <w:instrText xml:space="preserve"> SEQ Table \* ARABIC </w:instrText>
      </w:r>
      <w:r w:rsidR="00F47F94">
        <w:fldChar w:fldCharType="separate"/>
      </w:r>
      <w:r w:rsidR="003763EA">
        <w:rPr>
          <w:noProof/>
        </w:rPr>
        <w:t>2</w:t>
      </w:r>
      <w:r w:rsidR="00F47F94">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1F7509"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F7509" w:rsidRPr="00C4712A" w:rsidRDefault="001F7509" w:rsidP="006C62B7">
            <w:pPr>
              <w:spacing w:after="0" w:line="240" w:lineRule="auto"/>
              <w:rPr>
                <w:sz w:val="20"/>
                <w:szCs w:val="20"/>
              </w:rPr>
            </w:pPr>
            <w:r w:rsidRPr="00C4712A">
              <w:rPr>
                <w:sz w:val="20"/>
                <w:szCs w:val="20"/>
              </w:rPr>
              <w:t>% of total above forecast</w:t>
            </w:r>
          </w:p>
        </w:tc>
        <w:tc>
          <w:tcPr>
            <w:tcW w:w="1571" w:type="dxa"/>
            <w:noWrap/>
            <w:vAlign w:val="center"/>
          </w:tcPr>
          <w:p w:rsidR="001F7509" w:rsidRDefault="001F7509" w:rsidP="001F7509">
            <w:pPr>
              <w:spacing w:after="0" w:line="240" w:lineRule="auto"/>
              <w:jc w:val="center"/>
              <w:rPr>
                <w:rFonts w:cs="Arial"/>
                <w:sz w:val="20"/>
                <w:szCs w:val="20"/>
              </w:rPr>
            </w:pPr>
            <w:r>
              <w:rPr>
                <w:rFonts w:cs="Arial"/>
                <w:sz w:val="20"/>
                <w:szCs w:val="20"/>
              </w:rPr>
              <w:t>4</w:t>
            </w:r>
          </w:p>
        </w:tc>
        <w:tc>
          <w:tcPr>
            <w:tcW w:w="1572" w:type="dxa"/>
            <w:noWrap/>
            <w:vAlign w:val="center"/>
          </w:tcPr>
          <w:p w:rsidR="001F7509" w:rsidRDefault="001F7509" w:rsidP="001F7509">
            <w:pPr>
              <w:spacing w:after="0" w:line="240" w:lineRule="auto"/>
              <w:jc w:val="center"/>
              <w:rPr>
                <w:rFonts w:cs="Arial"/>
                <w:sz w:val="20"/>
                <w:szCs w:val="20"/>
              </w:rPr>
            </w:pPr>
            <w:r>
              <w:rPr>
                <w:rFonts w:cs="Arial"/>
                <w:sz w:val="20"/>
                <w:szCs w:val="20"/>
              </w:rPr>
              <w:t>44</w:t>
            </w:r>
          </w:p>
        </w:tc>
        <w:tc>
          <w:tcPr>
            <w:tcW w:w="1572" w:type="dxa"/>
            <w:noWrap/>
            <w:vAlign w:val="center"/>
          </w:tcPr>
          <w:p w:rsidR="001F7509" w:rsidRDefault="001F7509" w:rsidP="001F7509">
            <w:pPr>
              <w:spacing w:after="0" w:line="240" w:lineRule="auto"/>
              <w:jc w:val="center"/>
              <w:rPr>
                <w:rFonts w:cs="Arial"/>
                <w:sz w:val="20"/>
                <w:szCs w:val="20"/>
              </w:rPr>
            </w:pPr>
            <w:r>
              <w:rPr>
                <w:rFonts w:cs="Arial"/>
                <w:sz w:val="20"/>
                <w:szCs w:val="20"/>
              </w:rPr>
              <w:t>0</w:t>
            </w:r>
          </w:p>
        </w:tc>
        <w:tc>
          <w:tcPr>
            <w:tcW w:w="1572" w:type="dxa"/>
            <w:vAlign w:val="center"/>
          </w:tcPr>
          <w:p w:rsidR="001F7509" w:rsidRDefault="001F7509" w:rsidP="001F7509">
            <w:pPr>
              <w:spacing w:after="0" w:line="240" w:lineRule="auto"/>
              <w:jc w:val="center"/>
              <w:rPr>
                <w:rFonts w:cs="Arial"/>
                <w:sz w:val="20"/>
                <w:szCs w:val="20"/>
              </w:rPr>
            </w:pPr>
            <w:r>
              <w:rPr>
                <w:rFonts w:cs="Arial"/>
                <w:sz w:val="20"/>
                <w:szCs w:val="20"/>
              </w:rPr>
              <w:t>5</w:t>
            </w:r>
          </w:p>
        </w:tc>
      </w:tr>
      <w:tr w:rsidR="001F7509"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F7509" w:rsidRPr="00C4712A" w:rsidRDefault="001F7509" w:rsidP="006C62B7">
            <w:pPr>
              <w:spacing w:after="0" w:line="240" w:lineRule="auto"/>
              <w:rPr>
                <w:sz w:val="20"/>
                <w:szCs w:val="20"/>
              </w:rPr>
            </w:pPr>
            <w:r w:rsidRPr="00C4712A">
              <w:rPr>
                <w:sz w:val="20"/>
                <w:szCs w:val="20"/>
              </w:rPr>
              <w:t>% of total below forecast</w:t>
            </w:r>
          </w:p>
        </w:tc>
        <w:tc>
          <w:tcPr>
            <w:tcW w:w="1571" w:type="dxa"/>
            <w:noWrap/>
            <w:vAlign w:val="center"/>
          </w:tcPr>
          <w:p w:rsidR="001F7509" w:rsidRDefault="001F7509" w:rsidP="001F7509">
            <w:pPr>
              <w:spacing w:after="0" w:line="240" w:lineRule="auto"/>
              <w:jc w:val="center"/>
              <w:rPr>
                <w:rFonts w:cs="Arial"/>
                <w:sz w:val="20"/>
                <w:szCs w:val="20"/>
              </w:rPr>
            </w:pPr>
            <w:r>
              <w:rPr>
                <w:rFonts w:cs="Arial"/>
                <w:sz w:val="20"/>
                <w:szCs w:val="20"/>
              </w:rPr>
              <w:t>32</w:t>
            </w:r>
          </w:p>
        </w:tc>
        <w:tc>
          <w:tcPr>
            <w:tcW w:w="1572" w:type="dxa"/>
            <w:noWrap/>
            <w:vAlign w:val="center"/>
          </w:tcPr>
          <w:p w:rsidR="001F7509" w:rsidRDefault="001F7509" w:rsidP="001F7509">
            <w:pPr>
              <w:spacing w:after="0" w:line="240" w:lineRule="auto"/>
              <w:jc w:val="center"/>
              <w:rPr>
                <w:rFonts w:cs="Arial"/>
                <w:sz w:val="20"/>
                <w:szCs w:val="20"/>
              </w:rPr>
            </w:pPr>
            <w:r>
              <w:rPr>
                <w:rFonts w:cs="Arial"/>
                <w:sz w:val="20"/>
                <w:szCs w:val="20"/>
              </w:rPr>
              <w:t>14</w:t>
            </w:r>
          </w:p>
        </w:tc>
        <w:tc>
          <w:tcPr>
            <w:tcW w:w="1572" w:type="dxa"/>
            <w:noWrap/>
            <w:vAlign w:val="center"/>
          </w:tcPr>
          <w:p w:rsidR="001F7509" w:rsidRDefault="001F7509" w:rsidP="001F7509">
            <w:pPr>
              <w:spacing w:after="0" w:line="240" w:lineRule="auto"/>
              <w:jc w:val="center"/>
              <w:rPr>
                <w:rFonts w:cs="Arial"/>
                <w:sz w:val="20"/>
                <w:szCs w:val="20"/>
              </w:rPr>
            </w:pPr>
            <w:r>
              <w:rPr>
                <w:rFonts w:cs="Arial"/>
                <w:sz w:val="20"/>
                <w:szCs w:val="20"/>
              </w:rPr>
              <w:t>0</w:t>
            </w:r>
          </w:p>
        </w:tc>
        <w:tc>
          <w:tcPr>
            <w:tcW w:w="1572" w:type="dxa"/>
            <w:vAlign w:val="center"/>
          </w:tcPr>
          <w:p w:rsidR="001F7509" w:rsidRDefault="001F7509" w:rsidP="001F7509">
            <w:pPr>
              <w:spacing w:after="0" w:line="240" w:lineRule="auto"/>
              <w:jc w:val="center"/>
              <w:rPr>
                <w:rFonts w:cs="Arial"/>
                <w:sz w:val="20"/>
                <w:szCs w:val="20"/>
              </w:rPr>
            </w:pPr>
            <w:r>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3763EA" w:rsidRPr="00C4712A">
        <w:t xml:space="preserve">Figure </w:t>
      </w:r>
      <w:r w:rsidR="003763EA">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3763EA" w:rsidRPr="002C6B96">
        <w:t xml:space="preserve">Figure </w:t>
      </w:r>
      <w:r w:rsidR="003763EA" w:rsidRPr="003763EA">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F47F94">
        <w:fldChar w:fldCharType="begin"/>
      </w:r>
      <w:r w:rsidR="00F47F94">
        <w:instrText xml:space="preserve"> SEQ Figure \* ARABIC </w:instrText>
      </w:r>
      <w:r w:rsidR="00F47F94">
        <w:fldChar w:fldCharType="separate"/>
      </w:r>
      <w:r w:rsidR="003763EA">
        <w:rPr>
          <w:noProof/>
        </w:rPr>
        <w:t>3</w:t>
      </w:r>
      <w:r w:rsidR="00F47F94">
        <w:rPr>
          <w:noProof/>
        </w:rPr>
        <w:fldChar w:fldCharType="end"/>
      </w:r>
      <w:bookmarkEnd w:id="14"/>
      <w:r w:rsidRPr="00C4712A">
        <w:t>: Queensland generation and bidding patterns</w:t>
      </w:r>
    </w:p>
    <w:p w:rsidR="007B78AB" w:rsidRPr="008707C1" w:rsidRDefault="00963B7A" w:rsidP="00886FA8">
      <w:pPr>
        <w:pStyle w:val="AERbodytext"/>
        <w:rPr>
          <w:bCs w:val="0"/>
        </w:rPr>
      </w:pPr>
      <w:r w:rsidRPr="00963B7A">
        <w:rPr>
          <w:noProof/>
        </w:rPr>
        <w:drawing>
          <wp:inline distT="0" distB="0" distL="0" distR="0" wp14:anchorId="03A2A93B" wp14:editId="1242E0C7">
            <wp:extent cx="5731510" cy="4112390"/>
            <wp:effectExtent l="0" t="0" r="2540" b="2540"/>
            <wp:docPr id="6" name="Picture 6"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F47F94">
        <w:fldChar w:fldCharType="begin"/>
      </w:r>
      <w:r w:rsidR="00F47F94">
        <w:instrText xml:space="preserve"> SEQ Figure \* ARABIC </w:instrText>
      </w:r>
      <w:r w:rsidR="00F47F94">
        <w:fldChar w:fldCharType="separate"/>
      </w:r>
      <w:r w:rsidR="003763EA">
        <w:rPr>
          <w:noProof/>
        </w:rPr>
        <w:t>4</w:t>
      </w:r>
      <w:r w:rsidR="00F47F94">
        <w:rPr>
          <w:noProof/>
        </w:rPr>
        <w:fldChar w:fldCharType="end"/>
      </w:r>
      <w:bookmarkEnd w:id="15"/>
      <w:r w:rsidRPr="00C4712A">
        <w:t>: New South Wales generation and bidding patterns</w:t>
      </w:r>
    </w:p>
    <w:p w:rsidR="00181C46" w:rsidRPr="00C4712A" w:rsidRDefault="00963B7A" w:rsidP="00181C46">
      <w:r w:rsidRPr="00963B7A">
        <w:rPr>
          <w:noProof/>
          <w:lang w:eastAsia="en-AU"/>
        </w:rPr>
        <w:drawing>
          <wp:inline distT="0" distB="0" distL="0" distR="0" wp14:anchorId="2AB5E971" wp14:editId="1FC961E7">
            <wp:extent cx="5731510" cy="4120150"/>
            <wp:effectExtent l="0" t="0" r="2540" b="0"/>
            <wp:docPr id="7" name="Picture 7"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01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F47F94">
        <w:fldChar w:fldCharType="begin"/>
      </w:r>
      <w:r w:rsidR="00F47F94">
        <w:instrText xml:space="preserve"> SEQ Figure \* ARABIC </w:instrText>
      </w:r>
      <w:r w:rsidR="00F47F94">
        <w:fldChar w:fldCharType="separate"/>
      </w:r>
      <w:r w:rsidR="003763EA">
        <w:rPr>
          <w:noProof/>
        </w:rPr>
        <w:t>5</w:t>
      </w:r>
      <w:r w:rsidR="00F47F94">
        <w:rPr>
          <w:noProof/>
        </w:rPr>
        <w:fldChar w:fldCharType="end"/>
      </w:r>
      <w:r w:rsidRPr="00C4712A">
        <w:t>: Victoria generation and bidding patterns</w:t>
      </w:r>
    </w:p>
    <w:p w:rsidR="00FB265D" w:rsidRDefault="00963B7A" w:rsidP="00FB265D">
      <w:r w:rsidRPr="00963B7A">
        <w:rPr>
          <w:noProof/>
          <w:lang w:eastAsia="en-AU"/>
        </w:rPr>
        <w:drawing>
          <wp:inline distT="0" distB="0" distL="0" distR="0" wp14:anchorId="0BBDAA32" wp14:editId="0636FA63">
            <wp:extent cx="5731510" cy="4112390"/>
            <wp:effectExtent l="0" t="0" r="2540" b="2540"/>
            <wp:docPr id="8" name="Picture 8"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F47F94">
        <w:fldChar w:fldCharType="begin"/>
      </w:r>
      <w:r w:rsidR="00F47F94">
        <w:instrText xml:space="preserve"> SEQ Figure \* ARABIC </w:instrText>
      </w:r>
      <w:r w:rsidR="00F47F94">
        <w:fldChar w:fldCharType="separate"/>
      </w:r>
      <w:r w:rsidR="003763EA">
        <w:rPr>
          <w:noProof/>
        </w:rPr>
        <w:t>6</w:t>
      </w:r>
      <w:r w:rsidR="00F47F94">
        <w:rPr>
          <w:noProof/>
        </w:rPr>
        <w:fldChar w:fldCharType="end"/>
      </w:r>
      <w:bookmarkEnd w:id="16"/>
      <w:r w:rsidRPr="00610304">
        <w:t>: South Australia generation and bidding patterns</w:t>
      </w:r>
    </w:p>
    <w:p w:rsidR="002F2481" w:rsidRDefault="005865FB" w:rsidP="00A25353">
      <w:r w:rsidRPr="005865FB">
        <w:rPr>
          <w:noProof/>
          <w:lang w:eastAsia="en-AU"/>
        </w:rPr>
        <w:drawing>
          <wp:inline distT="0" distB="0" distL="0" distR="0" wp14:anchorId="0630609D" wp14:editId="08F726CE">
            <wp:extent cx="5731510" cy="4127236"/>
            <wp:effectExtent l="0" t="0" r="2540" b="6985"/>
            <wp:docPr id="9" name="Picture 9"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7236"/>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F47F94">
        <w:fldChar w:fldCharType="begin"/>
      </w:r>
      <w:r w:rsidR="00F47F94">
        <w:instrText xml:space="preserve"> SEQ Figure \* ARABIC </w:instrText>
      </w:r>
      <w:r w:rsidR="00F47F94">
        <w:fldChar w:fldCharType="separate"/>
      </w:r>
      <w:r w:rsidR="003763EA">
        <w:rPr>
          <w:noProof/>
        </w:rPr>
        <w:t>7</w:t>
      </w:r>
      <w:r w:rsidR="00F47F94">
        <w:rPr>
          <w:noProof/>
        </w:rPr>
        <w:fldChar w:fldCharType="end"/>
      </w:r>
      <w:bookmarkEnd w:id="17"/>
      <w:r w:rsidRPr="002C6B96">
        <w:t>: Tasmania generation and bidding patterns</w:t>
      </w:r>
    </w:p>
    <w:bookmarkEnd w:id="18"/>
    <w:p w:rsidR="00E43848" w:rsidRDefault="00963B7A" w:rsidP="00AF7C0E">
      <w:pPr>
        <w:pStyle w:val="AERbodytext"/>
      </w:pPr>
      <w:r w:rsidRPr="00963B7A">
        <w:rPr>
          <w:noProof/>
        </w:rPr>
        <w:drawing>
          <wp:inline distT="0" distB="0" distL="0" distR="0" wp14:anchorId="0C98500E" wp14:editId="4A43EACC">
            <wp:extent cx="5731510" cy="4112390"/>
            <wp:effectExtent l="0" t="0" r="2540" b="2540"/>
            <wp:docPr id="11" name="Picture 11"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DB7B59" w:rsidRDefault="00A54EED" w:rsidP="00AF7C0E">
      <w:pPr>
        <w:pStyle w:val="AERbodytext"/>
      </w:pPr>
      <w:r>
        <w:t xml:space="preserve">Of note in </w:t>
      </w:r>
      <w:r>
        <w:fldChar w:fldCharType="begin"/>
      </w:r>
      <w:r>
        <w:instrText xml:space="preserve"> REF _Ref448330536 \h </w:instrText>
      </w:r>
      <w:r>
        <w:fldChar w:fldCharType="separate"/>
      </w:r>
      <w:r w:rsidRPr="002C6B96">
        <w:t xml:space="preserve">Figure </w:t>
      </w:r>
      <w:r>
        <w:rPr>
          <w:noProof/>
        </w:rPr>
        <w:t>7</w:t>
      </w:r>
      <w:r>
        <w:fldChar w:fldCharType="end"/>
      </w:r>
      <w:r>
        <w:t xml:space="preserve"> is the increasing volume of energy offered at low prices.  We understand that this bears a strong relationship to the levels of water available to run of river generation.</w:t>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w:t>
      </w:r>
      <w:r w:rsidR="00963B7A">
        <w:t>1 339</w:t>
      </w:r>
      <w:r w:rsidR="00BD26EE">
        <w:t> </w:t>
      </w:r>
      <w:r w:rsidR="001A3AEC">
        <w:t>0</w:t>
      </w:r>
      <w:r w:rsidRPr="006F1044">
        <w:t>00 or less than 1 per cent of energy turnover on the mainland.</w:t>
      </w:r>
    </w:p>
    <w:p w:rsidR="003763EA" w:rsidRDefault="006F1044" w:rsidP="00551739">
      <w:pPr>
        <w:pStyle w:val="AERbodytext"/>
      </w:pPr>
      <w:bookmarkStart w:id="19" w:name="_Ref410383413"/>
      <w:r w:rsidRPr="006F1044">
        <w:t>The total cost of FCAS i</w:t>
      </w:r>
      <w:r w:rsidR="001A3AEC">
        <w:t>n Tasmania for the week was $</w:t>
      </w:r>
      <w:r w:rsidR="00963B7A">
        <w:t>370</w:t>
      </w:r>
      <w:r w:rsidR="00BD26EE">
        <w:t> </w:t>
      </w:r>
      <w:r w:rsidR="00022746">
        <w:t>0</w:t>
      </w:r>
      <w:r w:rsidR="001A3AEC">
        <w:t xml:space="preserve">00 or </w:t>
      </w:r>
      <w:r w:rsidR="00A31572">
        <w:t>less than 2</w:t>
      </w:r>
      <w:r w:rsidRPr="006F1044">
        <w:t xml:space="preserve"> 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3763EA"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3763EA">
        <w:rPr>
          <w:noProof/>
        </w:rPr>
        <w:t>8</w:t>
      </w:r>
      <w:r w:rsidR="00DF6E09">
        <w:rPr>
          <w:noProof/>
        </w:rPr>
        <w:fldChar w:fldCharType="end"/>
      </w:r>
      <w:bookmarkEnd w:id="19"/>
      <w:bookmarkEnd w:id="20"/>
      <w:r w:rsidRPr="00551739">
        <w:rPr>
          <w:noProof/>
        </w:rPr>
        <w:t>: Daily frequency control ancillary service cost</w:t>
      </w:r>
    </w:p>
    <w:p w:rsidR="00562103" w:rsidRDefault="00963B7A" w:rsidP="00562103">
      <w:r w:rsidRPr="00963B7A">
        <w:rPr>
          <w:noProof/>
          <w:lang w:eastAsia="en-AU"/>
        </w:rPr>
        <w:drawing>
          <wp:inline distT="0" distB="0" distL="0" distR="0" wp14:anchorId="2A93796A" wp14:editId="76A5A129">
            <wp:extent cx="5731510" cy="2894065"/>
            <wp:effectExtent l="0" t="0" r="2540" b="1905"/>
            <wp:docPr id="15" name="Picture 15"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065"/>
                    </a:xfrm>
                    <a:prstGeom prst="rect">
                      <a:avLst/>
                    </a:prstGeom>
                    <a:noFill/>
                    <a:ln>
                      <a:noFill/>
                    </a:ln>
                  </pic:spPr>
                </pic:pic>
              </a:graphicData>
            </a:graphic>
          </wp:inline>
        </w:drawing>
      </w:r>
    </w:p>
    <w:p w:rsidR="00433242" w:rsidRDefault="00B34EA0" w:rsidP="001F7509">
      <w:pPr>
        <w:jc w:val="both"/>
        <w:rPr>
          <w:rFonts w:eastAsia="Times New Roman" w:cs="Times New Roman"/>
          <w:color w:val="2272A3" w:themeColor="accent4" w:themeShade="80"/>
          <w:sz w:val="32"/>
          <w:szCs w:val="20"/>
        </w:rPr>
      </w:pPr>
      <w:r w:rsidRPr="00B768FA">
        <w:t>Figure 8 shows that daily FCAS costs were significantly higher than the average cost since the beginning of the previous financial year. The majority of the cost occurred on the mainland.</w:t>
      </w:r>
      <w:r>
        <w:t xml:space="preserve"> </w:t>
      </w:r>
      <w:r w:rsidRPr="004615E2">
        <w:t>However, the dispatch price for local raise 6 second services in Tasmania reached $6543/MWh for 70 MW of requirement at 11.15 am on Thursday, 30 June.</w:t>
      </w:r>
      <w:r w:rsidRPr="00B768FA">
        <w:t xml:space="preserve"> The reasons for high FCAS costs</w:t>
      </w:r>
      <w:r>
        <w:t xml:space="preserve"> on the mainland</w:t>
      </w:r>
      <w:r w:rsidRPr="00B768FA">
        <w:t xml:space="preserve"> were due to limited availability of raise FCAS in the NEM with a maximum </w:t>
      </w:r>
      <w:r>
        <w:t>price of $2</w:t>
      </w:r>
      <w:r w:rsidRPr="00B768FA">
        <w:t>50/MW for raise regulation services.</w:t>
      </w:r>
      <w:r>
        <w:t xml:space="preserve"> </w:t>
      </w:r>
    </w:p>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3C2A86" w:rsidRPr="000D2E32" w:rsidRDefault="00433242" w:rsidP="003C2A86">
      <w:pPr>
        <w:pStyle w:val="Heading2"/>
        <w:rPr>
          <w:rFonts w:eastAsia="Times New Roman"/>
          <w:b w:val="0"/>
          <w:bCs w:val="0"/>
          <w:lang w:eastAsia="en-AU"/>
        </w:rPr>
      </w:pPr>
      <w:r>
        <w:rPr>
          <w:rFonts w:eastAsia="Times New Roman"/>
          <w:b w:val="0"/>
          <w:bCs w:val="0"/>
          <w:lang w:eastAsia="en-AU"/>
        </w:rPr>
        <w:t>South Australia</w:t>
      </w:r>
    </w:p>
    <w:p w:rsidR="00410937" w:rsidRPr="00410937" w:rsidRDefault="00410937" w:rsidP="00410937">
      <w:pPr>
        <w:spacing w:before="100" w:beforeAutospacing="1" w:after="100" w:afterAutospacing="1" w:line="288" w:lineRule="auto"/>
        <w:jc w:val="both"/>
        <w:rPr>
          <w:rFonts w:eastAsia="Times New Roman" w:cs="Arial"/>
          <w:bCs/>
          <w:lang w:eastAsia="en-AU"/>
        </w:rPr>
      </w:pPr>
      <w:r w:rsidRPr="00410937">
        <w:rPr>
          <w:rFonts w:eastAsia="Times New Roman" w:cs="Arial"/>
          <w:bCs/>
          <w:lang w:eastAsia="en-AU"/>
        </w:rPr>
        <w:t>There w</w:t>
      </w:r>
      <w:r w:rsidR="001F4726">
        <w:rPr>
          <w:rFonts w:eastAsia="Times New Roman" w:cs="Arial"/>
          <w:bCs/>
          <w:lang w:eastAsia="en-AU"/>
        </w:rPr>
        <w:t>ere</w:t>
      </w:r>
      <w:r w:rsidRPr="00410937">
        <w:rPr>
          <w:rFonts w:eastAsia="Times New Roman" w:cs="Arial"/>
          <w:bCs/>
          <w:lang w:eastAsia="en-AU"/>
        </w:rPr>
        <w:t xml:space="preserve"> </w:t>
      </w:r>
      <w:r w:rsidR="00433242">
        <w:rPr>
          <w:rFonts w:eastAsia="Times New Roman" w:cs="Arial"/>
          <w:bCs/>
          <w:lang w:eastAsia="en-AU"/>
        </w:rPr>
        <w:t xml:space="preserve">six </w:t>
      </w:r>
      <w:r w:rsidR="00654DBE">
        <w:rPr>
          <w:rFonts w:eastAsia="Times New Roman" w:cs="Arial"/>
          <w:bCs/>
          <w:lang w:eastAsia="en-AU"/>
        </w:rPr>
        <w:t>oc</w:t>
      </w:r>
      <w:r w:rsidRPr="00410937">
        <w:rPr>
          <w:rFonts w:eastAsia="Times New Roman" w:cs="Arial"/>
          <w:bCs/>
          <w:lang w:eastAsia="en-AU"/>
        </w:rPr>
        <w:t>casion</w:t>
      </w:r>
      <w:r w:rsidR="00654DBE">
        <w:rPr>
          <w:rFonts w:eastAsia="Times New Roman" w:cs="Arial"/>
          <w:bCs/>
          <w:lang w:eastAsia="en-AU"/>
        </w:rPr>
        <w:t>s where</w:t>
      </w:r>
      <w:r w:rsidRPr="00410937">
        <w:rPr>
          <w:rFonts w:eastAsia="Times New Roman" w:cs="Arial"/>
          <w:bCs/>
          <w:lang w:eastAsia="en-AU"/>
        </w:rPr>
        <w:t xml:space="preserve"> the spot price </w:t>
      </w:r>
      <w:r w:rsidR="00433242">
        <w:rPr>
          <w:rFonts w:eastAsia="Times New Roman" w:cs="Arial"/>
          <w:bCs/>
          <w:lang w:eastAsia="en-AU"/>
        </w:rPr>
        <w:t xml:space="preserve">in South Australia </w:t>
      </w:r>
      <w:r w:rsidR="001F4726">
        <w:rPr>
          <w:rFonts w:eastAsia="Times New Roman" w:cs="Arial"/>
          <w:bCs/>
          <w:lang w:eastAsia="en-AU"/>
        </w:rPr>
        <w:t xml:space="preserve">was </w:t>
      </w:r>
      <w:r w:rsidR="00433242">
        <w:rPr>
          <w:rFonts w:eastAsia="Times New Roman" w:cs="Arial"/>
          <w:bCs/>
          <w:lang w:eastAsia="en-AU"/>
        </w:rPr>
        <w:t xml:space="preserve">greater than three times the South Australia weekly average price of $189/MWh and above </w:t>
      </w:r>
      <w:r w:rsidRPr="00410937">
        <w:rPr>
          <w:rFonts w:eastAsia="Times New Roman" w:cs="Arial"/>
          <w:bCs/>
          <w:lang w:eastAsia="en-AU"/>
        </w:rPr>
        <w:t>$250/MWh.</w:t>
      </w:r>
    </w:p>
    <w:p w:rsidR="003C2A86" w:rsidRPr="002D6AB4" w:rsidRDefault="002339B5" w:rsidP="003C2A86">
      <w:pPr>
        <w:pStyle w:val="Heading3"/>
        <w:rPr>
          <w:rFonts w:eastAsia="Times New Roman"/>
        </w:rPr>
      </w:pPr>
      <w:r>
        <w:rPr>
          <w:rFonts w:eastAsia="Times New Roman"/>
        </w:rPr>
        <w:t>Mo</w:t>
      </w:r>
      <w:r w:rsidR="00031F4C">
        <w:rPr>
          <w:rFonts w:eastAsia="Times New Roman"/>
        </w:rPr>
        <w:t xml:space="preserve">nday, </w:t>
      </w:r>
      <w:r w:rsidR="008D668B">
        <w:rPr>
          <w:rFonts w:eastAsia="Times New Roman"/>
        </w:rPr>
        <w:t>27</w:t>
      </w:r>
      <w:r w:rsidR="003C2A86" w:rsidRPr="002D6AB4">
        <w:rPr>
          <w:rFonts w:eastAsia="Times New Roman"/>
        </w:rPr>
        <w:t xml:space="preserve"> </w:t>
      </w:r>
      <w:r w:rsidR="00031F4C">
        <w:rPr>
          <w:rFonts w:eastAsia="Times New Roman"/>
        </w:rPr>
        <w:t>June</w:t>
      </w:r>
    </w:p>
    <w:p w:rsidR="003C2A86" w:rsidRPr="0073319F" w:rsidRDefault="003C2A86" w:rsidP="003C2A8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3763EA">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1070"/>
        <w:gridCol w:w="993"/>
        <w:gridCol w:w="699"/>
        <w:gridCol w:w="921"/>
        <w:gridCol w:w="922"/>
        <w:gridCol w:w="921"/>
        <w:gridCol w:w="921"/>
        <w:gridCol w:w="922"/>
      </w:tblGrid>
      <w:tr w:rsidR="003C2A86" w:rsidRPr="0073319F" w:rsidTr="00433242">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594"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7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3C2A86" w:rsidRPr="0073319F" w:rsidTr="00433242">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7"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433242" w:rsidRPr="0073319F" w:rsidTr="00433242">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433242" w:rsidRPr="008D668B" w:rsidRDefault="00433242">
            <w:pPr>
              <w:pStyle w:val="NormalWeb"/>
              <w:jc w:val="center"/>
              <w:rPr>
                <w:rFonts w:ascii="Arial" w:hAnsi="Arial" w:cs="Arial"/>
                <w:sz w:val="18"/>
                <w:szCs w:val="16"/>
              </w:rPr>
            </w:pPr>
            <w:r w:rsidRPr="008D668B">
              <w:rPr>
                <w:rFonts w:ascii="Arial" w:hAnsi="Arial" w:cs="Arial"/>
                <w:sz w:val="18"/>
                <w:szCs w:val="16"/>
              </w:rPr>
              <w:t>9 am</w:t>
            </w:r>
          </w:p>
        </w:tc>
        <w:tc>
          <w:tcPr>
            <w:tcW w:w="47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1252.20</w:t>
            </w:r>
          </w:p>
        </w:tc>
        <w:tc>
          <w:tcPr>
            <w:tcW w:w="57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13 481.81</w:t>
            </w:r>
          </w:p>
        </w:tc>
        <w:tc>
          <w:tcPr>
            <w:tcW w:w="537"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1850.60</w:t>
            </w:r>
          </w:p>
        </w:tc>
        <w:tc>
          <w:tcPr>
            <w:tcW w:w="37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1826</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1830</w:t>
            </w:r>
          </w:p>
        </w:tc>
        <w:tc>
          <w:tcPr>
            <w:tcW w:w="49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1858</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2209</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2265</w:t>
            </w:r>
          </w:p>
        </w:tc>
        <w:tc>
          <w:tcPr>
            <w:tcW w:w="49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2280</w:t>
            </w:r>
          </w:p>
        </w:tc>
      </w:tr>
      <w:tr w:rsidR="00433242" w:rsidRPr="0073319F" w:rsidTr="00433242">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433242" w:rsidRPr="008D668B" w:rsidRDefault="00433242">
            <w:pPr>
              <w:pStyle w:val="NormalWeb"/>
              <w:jc w:val="center"/>
              <w:rPr>
                <w:rFonts w:ascii="Arial" w:hAnsi="Arial" w:cs="Arial"/>
                <w:sz w:val="18"/>
                <w:szCs w:val="16"/>
              </w:rPr>
            </w:pPr>
            <w:r w:rsidRPr="008D668B">
              <w:rPr>
                <w:rFonts w:ascii="Arial" w:hAnsi="Arial" w:cs="Arial"/>
                <w:sz w:val="18"/>
                <w:szCs w:val="16"/>
              </w:rPr>
              <w:t>9.30 am</w:t>
            </w:r>
          </w:p>
        </w:tc>
        <w:tc>
          <w:tcPr>
            <w:tcW w:w="47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1618.74</w:t>
            </w:r>
          </w:p>
        </w:tc>
        <w:tc>
          <w:tcPr>
            <w:tcW w:w="57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13 300.00</w:t>
            </w:r>
          </w:p>
        </w:tc>
        <w:tc>
          <w:tcPr>
            <w:tcW w:w="537"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590.07</w:t>
            </w:r>
          </w:p>
        </w:tc>
        <w:tc>
          <w:tcPr>
            <w:tcW w:w="37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1797</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1781</w:t>
            </w:r>
          </w:p>
        </w:tc>
        <w:tc>
          <w:tcPr>
            <w:tcW w:w="49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1804</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2199</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2256</w:t>
            </w:r>
          </w:p>
        </w:tc>
        <w:tc>
          <w:tcPr>
            <w:tcW w:w="49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2257</w:t>
            </w:r>
          </w:p>
        </w:tc>
      </w:tr>
      <w:tr w:rsidR="00433242" w:rsidRPr="0073319F" w:rsidTr="00433242">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433242" w:rsidRPr="008D668B" w:rsidRDefault="00433242">
            <w:pPr>
              <w:pStyle w:val="NormalWeb"/>
              <w:jc w:val="center"/>
              <w:rPr>
                <w:rFonts w:ascii="Arial" w:hAnsi="Arial" w:cs="Arial"/>
                <w:sz w:val="18"/>
                <w:szCs w:val="16"/>
              </w:rPr>
            </w:pPr>
            <w:r w:rsidRPr="008D668B">
              <w:rPr>
                <w:rFonts w:ascii="Arial" w:hAnsi="Arial" w:cs="Arial"/>
                <w:sz w:val="18"/>
                <w:szCs w:val="16"/>
              </w:rPr>
              <w:t>10 am</w:t>
            </w:r>
          </w:p>
        </w:tc>
        <w:tc>
          <w:tcPr>
            <w:tcW w:w="47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1241.39</w:t>
            </w:r>
          </w:p>
        </w:tc>
        <w:tc>
          <w:tcPr>
            <w:tcW w:w="57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13 296.94</w:t>
            </w:r>
          </w:p>
        </w:tc>
        <w:tc>
          <w:tcPr>
            <w:tcW w:w="537"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413.07</w:t>
            </w:r>
          </w:p>
        </w:tc>
        <w:tc>
          <w:tcPr>
            <w:tcW w:w="37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1731</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1728</w:t>
            </w:r>
          </w:p>
        </w:tc>
        <w:tc>
          <w:tcPr>
            <w:tcW w:w="49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1759</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2178</w:t>
            </w:r>
          </w:p>
        </w:tc>
        <w:tc>
          <w:tcPr>
            <w:tcW w:w="498"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2230</w:t>
            </w:r>
          </w:p>
        </w:tc>
        <w:tc>
          <w:tcPr>
            <w:tcW w:w="499" w:type="pct"/>
            <w:vAlign w:val="center"/>
          </w:tcPr>
          <w:p w:rsidR="00433242" w:rsidRPr="00433242" w:rsidRDefault="00433242">
            <w:pPr>
              <w:pStyle w:val="NormalWeb"/>
              <w:jc w:val="center"/>
              <w:rPr>
                <w:rFonts w:ascii="Arial" w:hAnsi="Arial" w:cs="Arial"/>
                <w:sz w:val="18"/>
                <w:szCs w:val="16"/>
              </w:rPr>
            </w:pPr>
            <w:r w:rsidRPr="00433242">
              <w:rPr>
                <w:rFonts w:ascii="Arial" w:hAnsi="Arial" w:cs="Arial"/>
                <w:sz w:val="18"/>
                <w:szCs w:val="16"/>
              </w:rPr>
              <w:t>2236</w:t>
            </w:r>
          </w:p>
        </w:tc>
      </w:tr>
    </w:tbl>
    <w:p w:rsidR="00EF335C" w:rsidRDefault="00E548D2" w:rsidP="008E0E11">
      <w:pPr>
        <w:pStyle w:val="AERbodytext"/>
      </w:pPr>
      <w:r>
        <w:t xml:space="preserve">The above spot prices were </w:t>
      </w:r>
      <w:r w:rsidR="008E0E11">
        <w:t xml:space="preserve">lower than forecast four hours ahead. </w:t>
      </w:r>
    </w:p>
    <w:p w:rsidR="002339B5" w:rsidRDefault="006D48B3" w:rsidP="008E0E11">
      <w:pPr>
        <w:pStyle w:val="AERbodytext"/>
      </w:pPr>
      <w:r>
        <w:t>A planned outage of the Moorabool-Sydenham 500</w:t>
      </w:r>
      <w:r w:rsidR="00A54EED">
        <w:t> </w:t>
      </w:r>
      <w:r>
        <w:t>kV line restricted import</w:t>
      </w:r>
      <w:r w:rsidR="00DA71C2">
        <w:t>s</w:t>
      </w:r>
      <w:r>
        <w:t xml:space="preserve"> across the Heywood interconnector</w:t>
      </w:r>
      <w:r w:rsidR="00303D0A">
        <w:t xml:space="preserve"> into</w:t>
      </w:r>
      <w:r w:rsidR="00DA71C2">
        <w:t xml:space="preserve"> South</w:t>
      </w:r>
      <w:r w:rsidR="00303D0A">
        <w:t xml:space="preserve"> Australia</w:t>
      </w:r>
      <w:r>
        <w:t>. At approximately 3</w:t>
      </w:r>
      <w:r w:rsidR="00A54EED">
        <w:t> </w:t>
      </w:r>
      <w:r>
        <w:t xml:space="preserve">am, </w:t>
      </w:r>
      <w:r w:rsidR="00DA71C2">
        <w:t>forecast imports into South Australia</w:t>
      </w:r>
      <w:r>
        <w:t xml:space="preserve"> for the 9</w:t>
      </w:r>
      <w:r w:rsidR="00A54EED">
        <w:t> </w:t>
      </w:r>
      <w:r>
        <w:t>am, 9.30</w:t>
      </w:r>
      <w:r w:rsidR="00A54EED">
        <w:t> </w:t>
      </w:r>
      <w:r>
        <w:t>am and 10</w:t>
      </w:r>
      <w:r w:rsidR="00A54EED">
        <w:t> </w:t>
      </w:r>
      <w:r>
        <w:t>am trading intervals</w:t>
      </w:r>
      <w:r w:rsidR="00DA71C2">
        <w:t xml:space="preserve"> decreased by about 150 MW</w:t>
      </w:r>
      <w:r>
        <w:t xml:space="preserve">, causing the </w:t>
      </w:r>
      <w:r w:rsidR="00DA71C2">
        <w:t xml:space="preserve">relevant </w:t>
      </w:r>
      <w:r>
        <w:t>forecast spot price</w:t>
      </w:r>
      <w:r w:rsidR="00DA71C2">
        <w:t>s</w:t>
      </w:r>
      <w:r>
        <w:t xml:space="preserve"> to</w:t>
      </w:r>
      <w:r w:rsidR="00EF335C">
        <w:t xml:space="preserve"> </w:t>
      </w:r>
      <w:r w:rsidR="00FA3C7D">
        <w:t>increase to about $13 500</w:t>
      </w:r>
      <w:r w:rsidR="00A54EED">
        <w:t>/MWh</w:t>
      </w:r>
      <w:r w:rsidR="00FA3C7D">
        <w:t xml:space="preserve"> four hours ahead</w:t>
      </w:r>
      <w:r w:rsidR="00303D0A">
        <w:t xml:space="preserve">. </w:t>
      </w:r>
      <w:r w:rsidR="00FA3C7D">
        <w:t>The</w:t>
      </w:r>
      <w:r w:rsidR="00A54EED">
        <w:t xml:space="preserve"> </w:t>
      </w:r>
      <w:r w:rsidR="00FA3C7D">
        <w:t>four-hour forecast prices</w:t>
      </w:r>
      <w:r w:rsidR="00303D0A">
        <w:t xml:space="preserve"> did not eventuate, however, as </w:t>
      </w:r>
      <w:r w:rsidR="00B10CB5">
        <w:t>Origin Energy</w:t>
      </w:r>
      <w:r w:rsidR="00D44FBD">
        <w:t xml:space="preserve">, </w:t>
      </w:r>
      <w:proofErr w:type="spellStart"/>
      <w:r w:rsidR="00E64F97">
        <w:t>Engie</w:t>
      </w:r>
      <w:proofErr w:type="spellEnd"/>
      <w:r w:rsidR="00303D0A">
        <w:t xml:space="preserve"> </w:t>
      </w:r>
      <w:r w:rsidR="00C762C8">
        <w:t xml:space="preserve">and Energy Australia </w:t>
      </w:r>
      <w:r w:rsidR="00303D0A">
        <w:t>subsequently</w:t>
      </w:r>
      <w:r w:rsidR="00B10CB5">
        <w:t xml:space="preserve"> </w:t>
      </w:r>
      <w:r w:rsidR="00FA3C7D">
        <w:t xml:space="preserve">rebid </w:t>
      </w:r>
      <w:r w:rsidR="00C762C8">
        <w:t xml:space="preserve">a total of </w:t>
      </w:r>
      <w:r w:rsidR="00FA3C7D">
        <w:t>350-400</w:t>
      </w:r>
      <w:r w:rsidR="00A54EED">
        <w:t> </w:t>
      </w:r>
      <w:r w:rsidR="00FA3C7D">
        <w:t>MW of capacity from high</w:t>
      </w:r>
      <w:r w:rsidR="00B10CB5">
        <w:t xml:space="preserve"> to low prices</w:t>
      </w:r>
      <w:r w:rsidR="00FA3C7D">
        <w:t>.</w:t>
      </w:r>
    </w:p>
    <w:p w:rsidR="00020341" w:rsidRDefault="00020341" w:rsidP="00020341">
      <w:pPr>
        <w:pStyle w:val="Caption"/>
      </w:pPr>
      <w:r>
        <w:t xml:space="preserve">Table </w:t>
      </w:r>
      <w:r w:rsidR="00F47F94">
        <w:fldChar w:fldCharType="begin"/>
      </w:r>
      <w:r w:rsidR="00F47F94">
        <w:instrText xml:space="preserve"> SEQ Table \* ARABIC </w:instrText>
      </w:r>
      <w:r w:rsidR="00F47F94">
        <w:fldChar w:fldCharType="separate"/>
      </w:r>
      <w:r>
        <w:rPr>
          <w:noProof/>
        </w:rPr>
        <w:t>6</w:t>
      </w:r>
      <w:r w:rsidR="00F47F94">
        <w:rPr>
          <w:noProof/>
        </w:rPr>
        <w:fldChar w:fldCharType="end"/>
      </w:r>
      <w:r>
        <w:t>: Rebids for 9 am</w:t>
      </w:r>
      <w:r w:rsidR="00E31C7A">
        <w:t>, 9.30 am, 10 am</w:t>
      </w:r>
      <w:r>
        <w:t xml:space="preserve"> trading interval</w:t>
      </w:r>
      <w:r w:rsidR="00E31C7A">
        <w:t>s</w:t>
      </w:r>
    </w:p>
    <w:tbl>
      <w:tblPr>
        <w:tblW w:w="0" w:type="auto"/>
        <w:tblCellMar>
          <w:left w:w="0" w:type="dxa"/>
          <w:right w:w="0" w:type="dxa"/>
        </w:tblCellMar>
        <w:tblLook w:val="04A0" w:firstRow="1" w:lastRow="0" w:firstColumn="1" w:lastColumn="0" w:noHBand="0" w:noVBand="1"/>
      </w:tblPr>
      <w:tblGrid>
        <w:gridCol w:w="892"/>
        <w:gridCol w:w="751"/>
        <w:gridCol w:w="1097"/>
        <w:gridCol w:w="1016"/>
        <w:gridCol w:w="809"/>
        <w:gridCol w:w="816"/>
        <w:gridCol w:w="770"/>
        <w:gridCol w:w="2955"/>
      </w:tblGrid>
      <w:tr w:rsidR="00020341" w:rsidRPr="009A1B2D" w:rsidTr="00E31C7A">
        <w:trPr>
          <w:trHeight w:val="208"/>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20341" w:rsidRPr="009A1B2D" w:rsidRDefault="00020341" w:rsidP="00E31C7A">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020341" w:rsidRPr="009A1B2D" w:rsidTr="00E31C7A">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6.13 am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Ladbroke Grove</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84</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13800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-1000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0610A INC NEM DEM 5PD 23296 MW &gt; 30PD 22696 MW @ 0630 SL</w:t>
            </w:r>
          </w:p>
        </w:tc>
      </w:tr>
      <w:tr w:rsidR="00020341" w:rsidRPr="009A1B2D" w:rsidTr="00E31C7A">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6.46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Energy</w:t>
            </w:r>
            <w:r w:rsidR="00CF7663">
              <w:rPr>
                <w:rFonts w:cs="Arial"/>
                <w:color w:val="000000"/>
                <w:sz w:val="18"/>
                <w:szCs w:val="18"/>
              </w:rPr>
              <w:t xml:space="preserve"> </w:t>
            </w:r>
            <w:r>
              <w:rPr>
                <w:rFonts w:cs="Arial"/>
                <w:color w:val="000000"/>
                <w:sz w:val="18"/>
                <w:szCs w:val="18"/>
              </w:rPr>
              <w:t>Australia</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Hallett</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20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13482</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-1000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06:44 A ADJ BANDS SA PRIC&gt;30MPD PRICE @ 0630 166.68&gt;66.01</w:t>
            </w:r>
          </w:p>
        </w:tc>
      </w:tr>
      <w:tr w:rsidR="00020341" w:rsidRPr="009A1B2D" w:rsidTr="00E31C7A">
        <w:trPr>
          <w:trHeight w:val="577"/>
        </w:trPr>
        <w:tc>
          <w:tcPr>
            <w:tcW w:w="0" w:type="auto"/>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7.04 am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jc w:val="center"/>
              <w:rPr>
                <w:sz w:val="24"/>
                <w:szCs w:val="24"/>
              </w:rPr>
            </w:pPr>
            <w:r>
              <w:t> </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Quarantine</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120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13800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&lt;120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0700A INC NEM DEM 5PD 26665 MW &gt; 30PD 26192 MW @ 0730 SL</w:t>
            </w:r>
          </w:p>
        </w:tc>
      </w:tr>
      <w:tr w:rsidR="00020341" w:rsidRPr="009A1B2D" w:rsidTr="00E31C7A">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7.04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E64F97" w:rsidP="00E31C7A">
            <w:pPr>
              <w:textAlignment w:val="center"/>
              <w:rPr>
                <w:rFonts w:cs="Arial"/>
                <w:color w:val="000000"/>
                <w:sz w:val="18"/>
                <w:szCs w:val="18"/>
              </w:rPr>
            </w:pPr>
            <w:proofErr w:type="spellStart"/>
            <w:r>
              <w:rPr>
                <w:rFonts w:cs="Arial"/>
                <w:color w:val="000000"/>
                <w:sz w:val="18"/>
                <w:szCs w:val="18"/>
              </w:rPr>
              <w:t>Engie</w:t>
            </w:r>
            <w:proofErr w:type="spellEnd"/>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Dry Creek</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46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13800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&lt;300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0704A SA DEMAND TRACKING AHEAD 5PD&gt;30PD +51MW</w:t>
            </w:r>
          </w:p>
        </w:tc>
      </w:tr>
      <w:tr w:rsidR="00020341" w:rsidRPr="009A1B2D" w:rsidTr="006A192B">
        <w:trPr>
          <w:trHeight w:val="577"/>
        </w:trPr>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F7663" w:rsidRDefault="00020341" w:rsidP="00E31C7A">
            <w:pPr>
              <w:jc w:val="center"/>
              <w:textAlignment w:val="center"/>
              <w:rPr>
                <w:rFonts w:cs="Arial"/>
                <w:color w:val="000000"/>
                <w:sz w:val="18"/>
                <w:szCs w:val="18"/>
              </w:rPr>
            </w:pPr>
            <w:r w:rsidRPr="00CF7663">
              <w:rPr>
                <w:rFonts w:cs="Arial"/>
                <w:color w:val="000000"/>
                <w:sz w:val="18"/>
                <w:szCs w:val="18"/>
              </w:rPr>
              <w:t>7.42 am</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F7663" w:rsidRDefault="00020341" w:rsidP="00E31C7A">
            <w:pPr>
              <w:jc w:val="center"/>
              <w:textAlignment w:val="center"/>
            </w:pPr>
            <w:r w:rsidRPr="00CF7663">
              <w:t> </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F7663" w:rsidRDefault="00E64F97" w:rsidP="00E31C7A">
            <w:pPr>
              <w:textAlignment w:val="center"/>
              <w:rPr>
                <w:rFonts w:cs="Arial"/>
                <w:color w:val="000000"/>
                <w:sz w:val="18"/>
                <w:szCs w:val="18"/>
              </w:rPr>
            </w:pPr>
            <w:proofErr w:type="spellStart"/>
            <w:r w:rsidRPr="00CF7663">
              <w:rPr>
                <w:rFonts w:cs="Arial"/>
                <w:color w:val="000000"/>
                <w:sz w:val="18"/>
                <w:szCs w:val="18"/>
              </w:rPr>
              <w:t>Engie</w:t>
            </w:r>
            <w:proofErr w:type="spellEnd"/>
          </w:p>
        </w:tc>
        <w:tc>
          <w:tcPr>
            <w:tcW w:w="1016" w:type="dxa"/>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textAlignment w:val="center"/>
              <w:rPr>
                <w:rFonts w:cs="Arial"/>
                <w:color w:val="000000"/>
                <w:sz w:val="18"/>
                <w:szCs w:val="18"/>
              </w:rPr>
            </w:pPr>
            <w:r w:rsidRPr="00C762C8">
              <w:rPr>
                <w:rFonts w:cs="Arial"/>
                <w:color w:val="000000"/>
                <w:sz w:val="18"/>
                <w:szCs w:val="18"/>
              </w:rPr>
              <w:t>Dry Creek</w:t>
            </w:r>
          </w:p>
        </w:tc>
        <w:tc>
          <w:tcPr>
            <w:tcW w:w="809" w:type="dxa"/>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jc w:val="center"/>
              <w:textAlignment w:val="center"/>
              <w:rPr>
                <w:rFonts w:cs="Arial"/>
                <w:color w:val="000000"/>
                <w:sz w:val="18"/>
                <w:szCs w:val="18"/>
              </w:rPr>
            </w:pPr>
            <w:r w:rsidRPr="00C762C8">
              <w:rPr>
                <w:rFonts w:cs="Arial"/>
                <w:color w:val="000000"/>
                <w:sz w:val="18"/>
                <w:szCs w:val="18"/>
              </w:rPr>
              <w:t>46</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jc w:val="center"/>
              <w:textAlignment w:val="center"/>
              <w:rPr>
                <w:rFonts w:cs="Arial"/>
                <w:color w:val="000000"/>
                <w:sz w:val="18"/>
                <w:szCs w:val="18"/>
              </w:rPr>
            </w:pPr>
            <w:r w:rsidRPr="00C762C8">
              <w:rPr>
                <w:rFonts w:cs="Arial"/>
                <w:color w:val="000000"/>
                <w:sz w:val="18"/>
                <w:szCs w:val="18"/>
              </w:rPr>
              <w:t>13800</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jc w:val="center"/>
              <w:textAlignment w:val="center"/>
              <w:rPr>
                <w:rFonts w:cs="Arial"/>
                <w:color w:val="000000"/>
                <w:sz w:val="18"/>
                <w:szCs w:val="18"/>
              </w:rPr>
            </w:pPr>
            <w:r w:rsidRPr="00C762C8">
              <w:rPr>
                <w:rFonts w:cs="Arial"/>
                <w:color w:val="000000"/>
                <w:sz w:val="18"/>
                <w:szCs w:val="18"/>
              </w:rPr>
              <w:t>&lt;361</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textAlignment w:val="center"/>
              <w:rPr>
                <w:rFonts w:cs="Arial"/>
                <w:color w:val="000000"/>
                <w:sz w:val="18"/>
                <w:szCs w:val="18"/>
              </w:rPr>
            </w:pPr>
            <w:r w:rsidRPr="00C762C8">
              <w:rPr>
                <w:rFonts w:cs="Arial"/>
                <w:color w:val="000000"/>
                <w:sz w:val="18"/>
                <w:szCs w:val="18"/>
              </w:rPr>
              <w:t>0741A SA DEMAND TRACKING AHEAD 5PD&gt;30PD +62MW 08:00</w:t>
            </w:r>
          </w:p>
        </w:tc>
      </w:tr>
      <w:tr w:rsidR="00020341" w:rsidRPr="009A1B2D" w:rsidTr="00E31C7A">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lastRenderedPageBreak/>
              <w:t>8.17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Energy</w:t>
            </w:r>
            <w:r w:rsidR="00CF7663">
              <w:rPr>
                <w:rFonts w:cs="Arial"/>
                <w:color w:val="000000"/>
                <w:sz w:val="18"/>
                <w:szCs w:val="18"/>
              </w:rPr>
              <w:t xml:space="preserve"> </w:t>
            </w:r>
            <w:r>
              <w:rPr>
                <w:rFonts w:cs="Arial"/>
                <w:color w:val="000000"/>
                <w:sz w:val="18"/>
                <w:szCs w:val="18"/>
              </w:rPr>
              <w:t>Australia</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Hallett</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18</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&gt;12195</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jc w:val="center"/>
              <w:textAlignment w:val="center"/>
              <w:rPr>
                <w:rFonts w:cs="Arial"/>
                <w:color w:val="000000"/>
                <w:sz w:val="18"/>
                <w:szCs w:val="18"/>
              </w:rPr>
            </w:pPr>
            <w:r>
              <w:rPr>
                <w:rFonts w:cs="Arial"/>
                <w:color w:val="000000"/>
                <w:sz w:val="18"/>
                <w:szCs w:val="18"/>
              </w:rPr>
              <w:t>590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020341" w:rsidRDefault="00020341" w:rsidP="00E31C7A">
            <w:pPr>
              <w:textAlignment w:val="center"/>
              <w:rPr>
                <w:rFonts w:cs="Arial"/>
                <w:color w:val="000000"/>
                <w:sz w:val="18"/>
                <w:szCs w:val="18"/>
              </w:rPr>
            </w:pPr>
            <w:r>
              <w:rPr>
                <w:rFonts w:cs="Arial"/>
                <w:color w:val="000000"/>
                <w:sz w:val="18"/>
                <w:szCs w:val="18"/>
              </w:rPr>
              <w:t>08:16 A ADJ BANDS SA 5MPD PRICE&gt;FCST @ 0900 1656.93&gt;410.42</w:t>
            </w:r>
          </w:p>
        </w:tc>
      </w:tr>
      <w:tr w:rsidR="00020341" w:rsidRPr="009A1B2D" w:rsidTr="006A192B">
        <w:trPr>
          <w:trHeight w:val="577"/>
        </w:trPr>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F7663" w:rsidRDefault="00020341" w:rsidP="00E31C7A">
            <w:pPr>
              <w:jc w:val="center"/>
              <w:textAlignment w:val="center"/>
              <w:rPr>
                <w:rFonts w:cs="Arial"/>
                <w:color w:val="000000"/>
                <w:sz w:val="18"/>
                <w:szCs w:val="18"/>
              </w:rPr>
            </w:pPr>
            <w:r w:rsidRPr="00CF7663">
              <w:rPr>
                <w:rFonts w:cs="Arial"/>
                <w:color w:val="000000"/>
                <w:sz w:val="18"/>
                <w:szCs w:val="18"/>
              </w:rPr>
              <w:t>8.36 am</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F7663" w:rsidRDefault="00020341" w:rsidP="00E31C7A">
            <w:pPr>
              <w:jc w:val="center"/>
              <w:textAlignment w:val="center"/>
            </w:pPr>
            <w:r w:rsidRPr="00CF7663">
              <w:rPr>
                <w:rFonts w:cs="Arial"/>
                <w:color w:val="000000"/>
                <w:sz w:val="18"/>
                <w:szCs w:val="18"/>
              </w:rPr>
              <w:t>8.45 am</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E64F97" w:rsidP="00E31C7A">
            <w:pPr>
              <w:textAlignment w:val="center"/>
              <w:rPr>
                <w:rFonts w:cs="Arial"/>
                <w:color w:val="000000"/>
                <w:sz w:val="18"/>
                <w:szCs w:val="18"/>
              </w:rPr>
            </w:pPr>
            <w:proofErr w:type="spellStart"/>
            <w:r w:rsidRPr="00CF7663">
              <w:rPr>
                <w:rFonts w:cs="Arial"/>
                <w:color w:val="000000"/>
                <w:sz w:val="18"/>
                <w:szCs w:val="18"/>
              </w:rPr>
              <w:t>E</w:t>
            </w:r>
            <w:r w:rsidRPr="00C762C8">
              <w:rPr>
                <w:rFonts w:cs="Arial"/>
                <w:color w:val="000000"/>
                <w:sz w:val="18"/>
                <w:szCs w:val="18"/>
              </w:rPr>
              <w:t>ngie</w:t>
            </w:r>
            <w:proofErr w:type="spellEnd"/>
          </w:p>
        </w:tc>
        <w:tc>
          <w:tcPr>
            <w:tcW w:w="1016" w:type="dxa"/>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textAlignment w:val="center"/>
              <w:rPr>
                <w:rFonts w:cs="Arial"/>
                <w:color w:val="000000"/>
                <w:sz w:val="18"/>
                <w:szCs w:val="18"/>
              </w:rPr>
            </w:pPr>
            <w:r w:rsidRPr="00C762C8">
              <w:rPr>
                <w:rFonts w:cs="Arial"/>
                <w:color w:val="000000"/>
                <w:sz w:val="18"/>
                <w:szCs w:val="18"/>
              </w:rPr>
              <w:t>Snuggery</w:t>
            </w:r>
          </w:p>
        </w:tc>
        <w:tc>
          <w:tcPr>
            <w:tcW w:w="809" w:type="dxa"/>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jc w:val="center"/>
              <w:textAlignment w:val="center"/>
              <w:rPr>
                <w:rFonts w:cs="Arial"/>
                <w:color w:val="000000"/>
                <w:sz w:val="18"/>
                <w:szCs w:val="18"/>
              </w:rPr>
            </w:pPr>
            <w:r w:rsidRPr="00C762C8">
              <w:rPr>
                <w:rFonts w:cs="Arial"/>
                <w:color w:val="000000"/>
                <w:sz w:val="18"/>
                <w:szCs w:val="18"/>
              </w:rPr>
              <w:t>21</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jc w:val="center"/>
              <w:textAlignment w:val="center"/>
              <w:rPr>
                <w:rFonts w:cs="Arial"/>
                <w:color w:val="000000"/>
                <w:sz w:val="18"/>
                <w:szCs w:val="18"/>
              </w:rPr>
            </w:pPr>
            <w:r w:rsidRPr="00C762C8">
              <w:rPr>
                <w:rFonts w:cs="Arial"/>
                <w:color w:val="000000"/>
                <w:sz w:val="18"/>
                <w:szCs w:val="18"/>
              </w:rPr>
              <w:t>13800</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jc w:val="center"/>
              <w:textAlignment w:val="center"/>
              <w:rPr>
                <w:rFonts w:cs="Arial"/>
                <w:color w:val="000000"/>
                <w:sz w:val="18"/>
                <w:szCs w:val="18"/>
              </w:rPr>
            </w:pPr>
            <w:r w:rsidRPr="00C762C8">
              <w:rPr>
                <w:rFonts w:cs="Arial"/>
                <w:color w:val="000000"/>
                <w:sz w:val="18"/>
                <w:szCs w:val="18"/>
              </w:rPr>
              <w:t>-1000</w:t>
            </w:r>
          </w:p>
        </w:tc>
        <w:tc>
          <w:tcPr>
            <w:tcW w:w="0" w:type="auto"/>
            <w:tcBorders>
              <w:top w:val="nil"/>
              <w:left w:val="nil"/>
              <w:bottom w:val="nil"/>
              <w:right w:val="nil"/>
            </w:tcBorders>
            <w:shd w:val="clear" w:color="auto" w:fill="FFFFFF" w:themeFill="background1"/>
            <w:tcMar>
              <w:top w:w="40" w:type="dxa"/>
              <w:left w:w="40" w:type="dxa"/>
              <w:bottom w:w="40" w:type="dxa"/>
              <w:right w:w="40" w:type="dxa"/>
            </w:tcMar>
            <w:vAlign w:val="center"/>
          </w:tcPr>
          <w:p w:rsidR="00020341" w:rsidRPr="00C762C8" w:rsidRDefault="00020341" w:rsidP="00E31C7A">
            <w:pPr>
              <w:textAlignment w:val="center"/>
              <w:rPr>
                <w:rFonts w:cs="Arial"/>
                <w:color w:val="000000"/>
                <w:sz w:val="18"/>
                <w:szCs w:val="18"/>
              </w:rPr>
            </w:pPr>
            <w:r w:rsidRPr="00C762C8">
              <w:rPr>
                <w:rFonts w:cs="Arial"/>
                <w:color w:val="000000"/>
                <w:sz w:val="18"/>
                <w:szCs w:val="18"/>
              </w:rPr>
              <w:t>0836A RESPOND TO SA VOLATILITY</w:t>
            </w:r>
          </w:p>
        </w:tc>
      </w:tr>
    </w:tbl>
    <w:p w:rsidR="00020341" w:rsidRPr="00377133" w:rsidRDefault="00020341" w:rsidP="008E0E11">
      <w:pPr>
        <w:pStyle w:val="AERbodytext"/>
      </w:pPr>
    </w:p>
    <w:p w:rsidR="008D668B" w:rsidRPr="002D6AB4" w:rsidRDefault="00810BE5" w:rsidP="008D668B">
      <w:pPr>
        <w:pStyle w:val="Heading3"/>
        <w:rPr>
          <w:rFonts w:eastAsia="Times New Roman"/>
        </w:rPr>
      </w:pPr>
      <w:r>
        <w:rPr>
          <w:rFonts w:eastAsia="Times New Roman"/>
        </w:rPr>
        <w:t>Tuesday</w:t>
      </w:r>
      <w:r w:rsidR="008D668B">
        <w:rPr>
          <w:rFonts w:eastAsia="Times New Roman"/>
        </w:rPr>
        <w:t>, 28</w:t>
      </w:r>
      <w:r w:rsidR="008D668B" w:rsidRPr="002D6AB4">
        <w:rPr>
          <w:rFonts w:eastAsia="Times New Roman"/>
        </w:rPr>
        <w:t xml:space="preserve"> </w:t>
      </w:r>
      <w:r w:rsidR="008D668B">
        <w:rPr>
          <w:rFonts w:eastAsia="Times New Roman"/>
        </w:rPr>
        <w:t>June</w:t>
      </w:r>
      <w:r w:rsidR="0098325E">
        <w:rPr>
          <w:rFonts w:eastAsia="Times New Roman"/>
        </w:rPr>
        <w:t xml:space="preserve"> – South Australia</w:t>
      </w:r>
    </w:p>
    <w:p w:rsidR="008D668B" w:rsidRPr="0073319F" w:rsidRDefault="008D668B" w:rsidP="008D668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3763EA">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1070"/>
        <w:gridCol w:w="993"/>
        <w:gridCol w:w="699"/>
        <w:gridCol w:w="921"/>
        <w:gridCol w:w="922"/>
        <w:gridCol w:w="921"/>
        <w:gridCol w:w="921"/>
        <w:gridCol w:w="922"/>
      </w:tblGrid>
      <w:tr w:rsidR="008D668B" w:rsidRPr="0073319F" w:rsidTr="00E31C7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D668B" w:rsidRPr="0073319F" w:rsidRDefault="008D668B"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594" w:type="pct"/>
            <w:gridSpan w:val="3"/>
            <w:hideMark/>
          </w:tcPr>
          <w:p w:rsidR="008D668B" w:rsidRPr="0073319F" w:rsidRDefault="008D668B"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75" w:type="pct"/>
            <w:gridSpan w:val="3"/>
            <w:hideMark/>
          </w:tcPr>
          <w:p w:rsidR="008D668B" w:rsidRPr="0073319F" w:rsidRDefault="008D668B"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8D668B" w:rsidRPr="0073319F" w:rsidRDefault="008D668B"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8D668B" w:rsidRPr="0073319F" w:rsidTr="00E31C7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7"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8"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8D668B" w:rsidRPr="0073319F" w:rsidRDefault="008D668B"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8D668B" w:rsidRPr="0073319F" w:rsidTr="00E31C7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10 am</w:t>
            </w:r>
          </w:p>
        </w:tc>
        <w:tc>
          <w:tcPr>
            <w:tcW w:w="47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1862.16</w:t>
            </w:r>
          </w:p>
        </w:tc>
        <w:tc>
          <w:tcPr>
            <w:tcW w:w="57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412.36</w:t>
            </w:r>
          </w:p>
        </w:tc>
        <w:tc>
          <w:tcPr>
            <w:tcW w:w="537"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484.99</w:t>
            </w:r>
          </w:p>
        </w:tc>
        <w:tc>
          <w:tcPr>
            <w:tcW w:w="37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1660</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1652</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1676</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2342</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2370</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2345</w:t>
            </w:r>
          </w:p>
        </w:tc>
      </w:tr>
      <w:tr w:rsidR="00734BE2" w:rsidRPr="0073319F" w:rsidTr="00E31C7A">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6.30 pm</w:t>
            </w:r>
          </w:p>
        </w:tc>
        <w:tc>
          <w:tcPr>
            <w:tcW w:w="47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2054.51</w:t>
            </w:r>
          </w:p>
        </w:tc>
        <w:tc>
          <w:tcPr>
            <w:tcW w:w="579"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410.69</w:t>
            </w:r>
          </w:p>
        </w:tc>
        <w:tc>
          <w:tcPr>
            <w:tcW w:w="537"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1502.62</w:t>
            </w:r>
          </w:p>
        </w:tc>
        <w:tc>
          <w:tcPr>
            <w:tcW w:w="37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2003</w:t>
            </w:r>
          </w:p>
        </w:tc>
        <w:tc>
          <w:tcPr>
            <w:tcW w:w="49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1974</w:t>
            </w:r>
          </w:p>
        </w:tc>
        <w:tc>
          <w:tcPr>
            <w:tcW w:w="499"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2032</w:t>
            </w:r>
          </w:p>
        </w:tc>
        <w:tc>
          <w:tcPr>
            <w:tcW w:w="49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2260</w:t>
            </w:r>
          </w:p>
        </w:tc>
        <w:tc>
          <w:tcPr>
            <w:tcW w:w="49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2308</w:t>
            </w:r>
          </w:p>
        </w:tc>
        <w:tc>
          <w:tcPr>
            <w:tcW w:w="499"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2346</w:t>
            </w:r>
          </w:p>
        </w:tc>
      </w:tr>
      <w:tr w:rsidR="00734BE2" w:rsidRPr="0073319F" w:rsidTr="00E31C7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7 pm</w:t>
            </w:r>
          </w:p>
        </w:tc>
        <w:tc>
          <w:tcPr>
            <w:tcW w:w="47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3102.23</w:t>
            </w:r>
          </w:p>
        </w:tc>
        <w:tc>
          <w:tcPr>
            <w:tcW w:w="579"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410.69</w:t>
            </w:r>
          </w:p>
        </w:tc>
        <w:tc>
          <w:tcPr>
            <w:tcW w:w="537"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1428.99</w:t>
            </w:r>
          </w:p>
        </w:tc>
        <w:tc>
          <w:tcPr>
            <w:tcW w:w="37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2027</w:t>
            </w:r>
          </w:p>
        </w:tc>
        <w:tc>
          <w:tcPr>
            <w:tcW w:w="49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1997</w:t>
            </w:r>
          </w:p>
        </w:tc>
        <w:tc>
          <w:tcPr>
            <w:tcW w:w="499"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2056</w:t>
            </w:r>
          </w:p>
        </w:tc>
        <w:tc>
          <w:tcPr>
            <w:tcW w:w="49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2273</w:t>
            </w:r>
          </w:p>
        </w:tc>
        <w:tc>
          <w:tcPr>
            <w:tcW w:w="498"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2322</w:t>
            </w:r>
          </w:p>
        </w:tc>
        <w:tc>
          <w:tcPr>
            <w:tcW w:w="499" w:type="pct"/>
            <w:vAlign w:val="center"/>
          </w:tcPr>
          <w:p w:rsidR="00734BE2" w:rsidRPr="008D668B" w:rsidRDefault="00734BE2" w:rsidP="00E31C7A">
            <w:pPr>
              <w:pStyle w:val="NormalWeb"/>
              <w:jc w:val="center"/>
              <w:rPr>
                <w:rFonts w:ascii="Arial" w:hAnsi="Arial" w:cs="Arial"/>
                <w:sz w:val="18"/>
                <w:szCs w:val="16"/>
              </w:rPr>
            </w:pPr>
            <w:r w:rsidRPr="008D668B">
              <w:rPr>
                <w:rFonts w:ascii="Arial" w:hAnsi="Arial" w:cs="Arial"/>
                <w:sz w:val="18"/>
                <w:szCs w:val="16"/>
              </w:rPr>
              <w:t>2371</w:t>
            </w:r>
          </w:p>
        </w:tc>
      </w:tr>
    </w:tbl>
    <w:p w:rsidR="0058773A" w:rsidRDefault="00A8183C" w:rsidP="00C762C8">
      <w:pPr>
        <w:pStyle w:val="AERbodytext"/>
      </w:pPr>
      <w:r w:rsidRPr="00A8183C">
        <w:t>The</w:t>
      </w:r>
      <w:r>
        <w:t xml:space="preserve"> spot price</w:t>
      </w:r>
      <w:r w:rsidR="00491B2F">
        <w:t>s</w:t>
      </w:r>
      <w:r>
        <w:t xml:space="preserve"> for </w:t>
      </w:r>
      <w:r w:rsidR="008A4F2B">
        <w:t xml:space="preserve">these trading intervals were </w:t>
      </w:r>
      <w:r>
        <w:t>higher than forecast four hours ahead.</w:t>
      </w:r>
      <w:r w:rsidR="00734BE2">
        <w:t xml:space="preserve"> </w:t>
      </w:r>
    </w:p>
    <w:p w:rsidR="003763EA" w:rsidRDefault="000670CE" w:rsidP="004615E2">
      <w:pPr>
        <w:jc w:val="both"/>
        <w:rPr>
          <w:rFonts w:eastAsia="Times New Roman" w:cs="Arial"/>
          <w:bCs/>
          <w:lang w:eastAsia="en-AU"/>
        </w:rPr>
      </w:pPr>
      <w:r>
        <w:rPr>
          <w:rFonts w:eastAsia="Times New Roman" w:cs="Arial"/>
          <w:bCs/>
          <w:lang w:eastAsia="en-AU"/>
        </w:rPr>
        <w:t xml:space="preserve">A </w:t>
      </w:r>
      <w:r w:rsidR="0058773A" w:rsidRPr="0058773A">
        <w:rPr>
          <w:rFonts w:eastAsia="Times New Roman" w:cs="Arial"/>
          <w:bCs/>
          <w:lang w:eastAsia="en-AU"/>
        </w:rPr>
        <w:t>constr</w:t>
      </w:r>
      <w:r>
        <w:rPr>
          <w:rFonts w:eastAsia="Times New Roman" w:cs="Arial"/>
          <w:bCs/>
          <w:lang w:eastAsia="en-AU"/>
        </w:rPr>
        <w:t xml:space="preserve">aint managing the outage of the </w:t>
      </w:r>
      <w:proofErr w:type="spellStart"/>
      <w:r>
        <w:rPr>
          <w:rFonts w:eastAsia="Times New Roman" w:cs="Arial"/>
          <w:bCs/>
          <w:lang w:eastAsia="en-AU"/>
        </w:rPr>
        <w:t>Kincraig</w:t>
      </w:r>
      <w:proofErr w:type="spellEnd"/>
      <w:r>
        <w:rPr>
          <w:rFonts w:eastAsia="Times New Roman" w:cs="Arial"/>
          <w:bCs/>
          <w:lang w:eastAsia="en-AU"/>
        </w:rPr>
        <w:t>-Penola West 132 kV line</w:t>
      </w:r>
      <w:r w:rsidR="0058773A" w:rsidRPr="0058773A">
        <w:rPr>
          <w:rFonts w:eastAsia="Times New Roman" w:cs="Arial"/>
          <w:bCs/>
          <w:lang w:eastAsia="en-AU"/>
        </w:rPr>
        <w:t xml:space="preserve"> was binding, </w:t>
      </w:r>
      <w:r w:rsidR="0098325E">
        <w:rPr>
          <w:rFonts w:eastAsia="Times New Roman" w:cs="Arial"/>
          <w:bCs/>
          <w:lang w:eastAsia="en-AU"/>
        </w:rPr>
        <w:t>from 8.20 am to 9.40 am constraining</w:t>
      </w:r>
      <w:r w:rsidR="0058773A" w:rsidRPr="0058773A">
        <w:rPr>
          <w:rFonts w:eastAsia="Times New Roman" w:cs="Arial"/>
          <w:bCs/>
          <w:lang w:eastAsia="en-AU"/>
        </w:rPr>
        <w:t xml:space="preserve"> off low-priced generation in the South Eas</w:t>
      </w:r>
      <w:r w:rsidR="0098325E">
        <w:rPr>
          <w:rFonts w:eastAsia="Times New Roman" w:cs="Arial"/>
          <w:bCs/>
          <w:lang w:eastAsia="en-AU"/>
        </w:rPr>
        <w:t>t and limiting</w:t>
      </w:r>
      <w:r w:rsidR="0058773A" w:rsidRPr="0058773A">
        <w:rPr>
          <w:rFonts w:eastAsia="Times New Roman" w:cs="Arial"/>
          <w:bCs/>
          <w:lang w:eastAsia="en-AU"/>
        </w:rPr>
        <w:t xml:space="preserve"> </w:t>
      </w:r>
      <w:r w:rsidR="0080626B">
        <w:rPr>
          <w:rFonts w:eastAsia="Times New Roman" w:cs="Arial"/>
          <w:bCs/>
          <w:lang w:eastAsia="en-AU"/>
        </w:rPr>
        <w:t>flows</w:t>
      </w:r>
      <w:r w:rsidR="0058773A" w:rsidRPr="0058773A">
        <w:rPr>
          <w:rFonts w:eastAsia="Times New Roman" w:cs="Arial"/>
          <w:bCs/>
          <w:lang w:eastAsia="en-AU"/>
        </w:rPr>
        <w:t xml:space="preserve"> into South Austra</w:t>
      </w:r>
      <w:r>
        <w:rPr>
          <w:rFonts w:eastAsia="Times New Roman" w:cs="Arial"/>
          <w:bCs/>
          <w:lang w:eastAsia="en-AU"/>
        </w:rPr>
        <w:t>lia from Victoria across the Heywood interconnector</w:t>
      </w:r>
      <w:r w:rsidR="0058773A" w:rsidRPr="0058773A">
        <w:rPr>
          <w:rFonts w:eastAsia="Times New Roman" w:cs="Arial"/>
          <w:bCs/>
          <w:lang w:eastAsia="en-AU"/>
        </w:rPr>
        <w:t xml:space="preserve"> to le</w:t>
      </w:r>
      <w:r w:rsidR="0098325E">
        <w:rPr>
          <w:rFonts w:eastAsia="Times New Roman" w:cs="Arial"/>
          <w:bCs/>
          <w:lang w:eastAsia="en-AU"/>
        </w:rPr>
        <w:t>ss than 3</w:t>
      </w:r>
      <w:r>
        <w:rPr>
          <w:rFonts w:eastAsia="Times New Roman" w:cs="Arial"/>
          <w:bCs/>
          <w:lang w:eastAsia="en-AU"/>
        </w:rPr>
        <w:t>00</w:t>
      </w:r>
      <w:r w:rsidR="0080626B">
        <w:rPr>
          <w:rFonts w:eastAsia="Times New Roman" w:cs="Arial"/>
          <w:bCs/>
          <w:lang w:eastAsia="en-AU"/>
        </w:rPr>
        <w:t> </w:t>
      </w:r>
      <w:r>
        <w:rPr>
          <w:rFonts w:eastAsia="Times New Roman" w:cs="Arial"/>
          <w:bCs/>
          <w:lang w:eastAsia="en-AU"/>
        </w:rPr>
        <w:t xml:space="preserve">MW. </w:t>
      </w:r>
    </w:p>
    <w:p w:rsidR="00B94309" w:rsidRDefault="00EF4E9E" w:rsidP="004615E2">
      <w:pPr>
        <w:jc w:val="both"/>
        <w:textAlignment w:val="center"/>
        <w:rPr>
          <w:rFonts w:eastAsia="Times New Roman" w:cs="Arial"/>
          <w:color w:val="000000"/>
          <w:lang w:eastAsia="en-AU"/>
        </w:rPr>
      </w:pPr>
      <w:r>
        <w:rPr>
          <w:rFonts w:eastAsia="Times New Roman" w:cs="Arial"/>
          <w:bCs/>
          <w:lang w:eastAsia="en-AU"/>
        </w:rPr>
        <w:t xml:space="preserve">At 9.23 am, </w:t>
      </w:r>
      <w:r w:rsidR="00CE4F5F">
        <w:rPr>
          <w:rFonts w:eastAsia="Times New Roman" w:cs="Arial"/>
          <w:bCs/>
          <w:lang w:eastAsia="en-AU"/>
        </w:rPr>
        <w:t xml:space="preserve">effective from 9.35 am, </w:t>
      </w:r>
      <w:r>
        <w:rPr>
          <w:rFonts w:eastAsia="Times New Roman" w:cs="Arial"/>
          <w:bCs/>
          <w:lang w:eastAsia="en-AU"/>
        </w:rPr>
        <w:t xml:space="preserve">AGL rebid 140 MW of capacity </w:t>
      </w:r>
      <w:r w:rsidR="00CE4F5F">
        <w:rPr>
          <w:rFonts w:eastAsia="Times New Roman" w:cs="Arial"/>
          <w:bCs/>
          <w:lang w:eastAsia="en-AU"/>
        </w:rPr>
        <w:t xml:space="preserve">at Torrens Island, </w:t>
      </w:r>
      <w:r>
        <w:rPr>
          <w:rFonts w:eastAsia="Times New Roman" w:cs="Arial"/>
          <w:bCs/>
          <w:lang w:eastAsia="en-AU"/>
        </w:rPr>
        <w:t xml:space="preserve">from </w:t>
      </w:r>
      <w:r w:rsidR="00CE4F5F">
        <w:rPr>
          <w:rFonts w:eastAsia="Times New Roman" w:cs="Arial"/>
          <w:bCs/>
          <w:lang w:eastAsia="en-AU"/>
        </w:rPr>
        <w:t xml:space="preserve">prices </w:t>
      </w:r>
      <w:r>
        <w:rPr>
          <w:rFonts w:eastAsia="Times New Roman" w:cs="Arial"/>
          <w:bCs/>
          <w:lang w:eastAsia="en-AU"/>
        </w:rPr>
        <w:t>less than $485</w:t>
      </w:r>
      <w:r w:rsidR="00B94309">
        <w:rPr>
          <w:rFonts w:eastAsia="Times New Roman" w:cs="Arial"/>
          <w:bCs/>
          <w:lang w:eastAsia="en-AU"/>
        </w:rPr>
        <w:t>/MWh</w:t>
      </w:r>
      <w:r>
        <w:rPr>
          <w:rFonts w:eastAsia="Times New Roman" w:cs="Arial"/>
          <w:bCs/>
          <w:lang w:eastAsia="en-AU"/>
        </w:rPr>
        <w:t xml:space="preserve"> to $10</w:t>
      </w:r>
      <w:r w:rsidR="00B94309">
        <w:rPr>
          <w:rFonts w:eastAsia="Times New Roman" w:cs="Arial"/>
          <w:bCs/>
          <w:lang w:eastAsia="en-AU"/>
        </w:rPr>
        <w:t> </w:t>
      </w:r>
      <w:r>
        <w:rPr>
          <w:rFonts w:eastAsia="Times New Roman" w:cs="Arial"/>
          <w:bCs/>
          <w:lang w:eastAsia="en-AU"/>
        </w:rPr>
        <w:t>760</w:t>
      </w:r>
      <w:r w:rsidR="00B94309">
        <w:rPr>
          <w:rFonts w:eastAsia="Times New Roman" w:cs="Arial"/>
          <w:bCs/>
          <w:lang w:eastAsia="en-AU"/>
        </w:rPr>
        <w:t>/MWh</w:t>
      </w:r>
      <w:r>
        <w:rPr>
          <w:rFonts w:eastAsia="Times New Roman" w:cs="Arial"/>
          <w:bCs/>
          <w:lang w:eastAsia="en-AU"/>
        </w:rPr>
        <w:t xml:space="preserve">. </w:t>
      </w:r>
      <w:r w:rsidR="00CE4F5F">
        <w:rPr>
          <w:rFonts w:eastAsia="Times New Roman" w:cs="Arial"/>
          <w:bCs/>
          <w:lang w:eastAsia="en-AU"/>
        </w:rPr>
        <w:t>The reason given was</w:t>
      </w:r>
      <w:r w:rsidRPr="00972628">
        <w:rPr>
          <w:rFonts w:eastAsia="Times New Roman" w:cs="Arial"/>
          <w:bCs/>
          <w:lang w:eastAsia="en-AU"/>
        </w:rPr>
        <w:t xml:space="preserve"> </w:t>
      </w:r>
      <w:r w:rsidR="00972628">
        <w:rPr>
          <w:rFonts w:eastAsia="Times New Roman" w:cs="Arial"/>
          <w:bCs/>
          <w:lang w:eastAsia="en-AU"/>
        </w:rPr>
        <w:t>‘</w:t>
      </w:r>
      <w:r w:rsidRPr="00972628">
        <w:rPr>
          <w:rFonts w:eastAsia="Times New Roman" w:cs="Arial"/>
          <w:color w:val="000000"/>
          <w:lang w:eastAsia="en-AU"/>
        </w:rPr>
        <w:t xml:space="preserve">0920~A~040 </w:t>
      </w:r>
      <w:proofErr w:type="spellStart"/>
      <w:r w:rsidR="00CE4F5F">
        <w:rPr>
          <w:rFonts w:eastAsia="Times New Roman" w:cs="Arial"/>
          <w:color w:val="000000"/>
          <w:lang w:eastAsia="en-AU"/>
        </w:rPr>
        <w:t>chg</w:t>
      </w:r>
      <w:proofErr w:type="spellEnd"/>
      <w:r w:rsidR="00CE4F5F">
        <w:rPr>
          <w:rFonts w:eastAsia="Times New Roman" w:cs="Arial"/>
          <w:color w:val="000000"/>
          <w:lang w:eastAsia="en-AU"/>
        </w:rPr>
        <w:t xml:space="preserve"> in AEMO </w:t>
      </w:r>
      <w:proofErr w:type="spellStart"/>
      <w:r w:rsidR="00CE4F5F">
        <w:rPr>
          <w:rFonts w:eastAsia="Times New Roman" w:cs="Arial"/>
          <w:color w:val="000000"/>
          <w:lang w:eastAsia="en-AU"/>
        </w:rPr>
        <w:t>disp</w:t>
      </w:r>
      <w:proofErr w:type="spellEnd"/>
      <w:r w:rsidR="00CE4F5F">
        <w:rPr>
          <w:rFonts w:eastAsia="Times New Roman" w:cs="Arial"/>
          <w:color w:val="000000"/>
          <w:lang w:eastAsia="en-AU"/>
        </w:rPr>
        <w:t xml:space="preserve"> ~ 45 </w:t>
      </w:r>
      <w:r w:rsidR="002A67D1">
        <w:rPr>
          <w:rFonts w:eastAsia="Times New Roman" w:cs="Arial"/>
          <w:color w:val="000000"/>
          <w:lang w:eastAsia="en-AU"/>
        </w:rPr>
        <w:t xml:space="preserve">price increase vs </w:t>
      </w:r>
      <w:proofErr w:type="spellStart"/>
      <w:proofErr w:type="gramStart"/>
      <w:r w:rsidR="002A67D1">
        <w:rPr>
          <w:rFonts w:eastAsia="Times New Roman" w:cs="Arial"/>
          <w:color w:val="000000"/>
          <w:lang w:eastAsia="en-AU"/>
        </w:rPr>
        <w:t>pd</w:t>
      </w:r>
      <w:proofErr w:type="spellEnd"/>
      <w:proofErr w:type="gramEnd"/>
      <w:r w:rsidR="002A67D1">
        <w:rPr>
          <w:rFonts w:eastAsia="Times New Roman" w:cs="Arial"/>
          <w:color w:val="000000"/>
          <w:lang w:eastAsia="en-AU"/>
        </w:rPr>
        <w:t xml:space="preserve"> SA </w:t>
      </w:r>
      <w:r w:rsidR="004615E2">
        <w:rPr>
          <w:rFonts w:eastAsia="Times New Roman" w:cs="Arial"/>
          <w:color w:val="000000"/>
          <w:lang w:eastAsia="en-AU"/>
        </w:rPr>
        <w:t>$300.62 vs</w:t>
      </w:r>
      <w:r w:rsidRPr="00972628">
        <w:rPr>
          <w:rFonts w:eastAsia="Times New Roman" w:cs="Arial"/>
          <w:color w:val="000000"/>
          <w:lang w:eastAsia="en-AU"/>
        </w:rPr>
        <w:t xml:space="preserve"> $160.99</w:t>
      </w:r>
      <w:r w:rsidR="00972628">
        <w:rPr>
          <w:rFonts w:eastAsia="Times New Roman" w:cs="Arial"/>
          <w:color w:val="000000"/>
          <w:lang w:eastAsia="en-AU"/>
        </w:rPr>
        <w:t xml:space="preserve">.’ </w:t>
      </w:r>
    </w:p>
    <w:p w:rsidR="0058773A" w:rsidRPr="00972628" w:rsidRDefault="00EF4E9E" w:rsidP="004615E2">
      <w:pPr>
        <w:jc w:val="both"/>
        <w:textAlignment w:val="center"/>
        <w:rPr>
          <w:rFonts w:eastAsia="Times New Roman" w:cs="Arial"/>
          <w:color w:val="000000"/>
          <w:lang w:eastAsia="en-AU"/>
        </w:rPr>
      </w:pPr>
      <w:r>
        <w:rPr>
          <w:rFonts w:eastAsia="Times New Roman" w:cs="Arial"/>
          <w:bCs/>
          <w:lang w:eastAsia="en-AU"/>
        </w:rPr>
        <w:t>With no capacity priced between $300</w:t>
      </w:r>
      <w:r w:rsidR="00B94309">
        <w:rPr>
          <w:rFonts w:eastAsia="Times New Roman" w:cs="Arial"/>
          <w:bCs/>
          <w:lang w:eastAsia="en-AU"/>
        </w:rPr>
        <w:t>/MWh</w:t>
      </w:r>
      <w:r>
        <w:rPr>
          <w:rFonts w:eastAsia="Times New Roman" w:cs="Arial"/>
          <w:bCs/>
          <w:lang w:eastAsia="en-AU"/>
        </w:rPr>
        <w:t xml:space="preserve"> and $10</w:t>
      </w:r>
      <w:r w:rsidR="002A67D1">
        <w:rPr>
          <w:rFonts w:eastAsia="Times New Roman" w:cs="Arial"/>
          <w:bCs/>
          <w:lang w:eastAsia="en-AU"/>
        </w:rPr>
        <w:t> </w:t>
      </w:r>
      <w:r>
        <w:rPr>
          <w:rFonts w:eastAsia="Times New Roman" w:cs="Arial"/>
          <w:bCs/>
          <w:lang w:eastAsia="en-AU"/>
        </w:rPr>
        <w:t>500</w:t>
      </w:r>
      <w:r w:rsidR="00B94309">
        <w:rPr>
          <w:rFonts w:eastAsia="Times New Roman" w:cs="Arial"/>
          <w:bCs/>
          <w:lang w:eastAsia="en-AU"/>
        </w:rPr>
        <w:t>/MWh</w:t>
      </w:r>
      <w:r>
        <w:rPr>
          <w:rFonts w:eastAsia="Times New Roman" w:cs="Arial"/>
          <w:bCs/>
          <w:lang w:eastAsia="en-AU"/>
        </w:rPr>
        <w:t>, the price</w:t>
      </w:r>
      <w:r w:rsidR="00B94309">
        <w:rPr>
          <w:rFonts w:eastAsia="Times New Roman" w:cs="Arial"/>
          <w:bCs/>
          <w:lang w:eastAsia="en-AU"/>
        </w:rPr>
        <w:t>,</w:t>
      </w:r>
      <w:r>
        <w:rPr>
          <w:rFonts w:eastAsia="Times New Roman" w:cs="Arial"/>
          <w:bCs/>
          <w:lang w:eastAsia="en-AU"/>
        </w:rPr>
        <w:t xml:space="preserve"> for the 9.35 am dispatch interval</w:t>
      </w:r>
      <w:r w:rsidR="00B94309">
        <w:rPr>
          <w:rFonts w:eastAsia="Times New Roman" w:cs="Arial"/>
          <w:bCs/>
          <w:lang w:eastAsia="en-AU"/>
        </w:rPr>
        <w:t>,</w:t>
      </w:r>
      <w:r>
        <w:rPr>
          <w:rFonts w:eastAsia="Times New Roman" w:cs="Arial"/>
          <w:bCs/>
          <w:lang w:eastAsia="en-AU"/>
        </w:rPr>
        <w:t xml:space="preserve"> increased to $10</w:t>
      </w:r>
      <w:r w:rsidR="00CE4F5F">
        <w:rPr>
          <w:rFonts w:eastAsia="Times New Roman" w:cs="Arial"/>
          <w:bCs/>
          <w:lang w:eastAsia="en-AU"/>
        </w:rPr>
        <w:t> </w:t>
      </w:r>
      <w:r>
        <w:rPr>
          <w:rFonts w:eastAsia="Times New Roman" w:cs="Arial"/>
          <w:bCs/>
          <w:lang w:eastAsia="en-AU"/>
        </w:rPr>
        <w:t>760</w:t>
      </w:r>
      <w:r w:rsidR="00B94309">
        <w:rPr>
          <w:rFonts w:eastAsia="Times New Roman" w:cs="Arial"/>
          <w:bCs/>
          <w:lang w:eastAsia="en-AU"/>
        </w:rPr>
        <w:t>/MWh</w:t>
      </w:r>
      <w:r w:rsidR="00972628">
        <w:rPr>
          <w:rFonts w:eastAsia="Times New Roman" w:cs="Arial"/>
          <w:bCs/>
          <w:lang w:eastAsia="en-AU"/>
        </w:rPr>
        <w:t xml:space="preserve">. </w:t>
      </w:r>
      <w:r w:rsidR="005F49EE">
        <w:rPr>
          <w:rFonts w:eastAsia="Times New Roman" w:cs="Arial"/>
          <w:bCs/>
          <w:lang w:eastAsia="en-AU"/>
        </w:rPr>
        <w:t xml:space="preserve">In response, </w:t>
      </w:r>
      <w:r w:rsidR="00B94309">
        <w:rPr>
          <w:rFonts w:eastAsia="Times New Roman" w:cs="Arial"/>
          <w:bCs/>
          <w:lang w:eastAsia="en-AU"/>
        </w:rPr>
        <w:t xml:space="preserve">effective from 9.40 am, </w:t>
      </w:r>
      <w:r w:rsidR="005F49EE">
        <w:rPr>
          <w:rFonts w:eastAsia="Times New Roman" w:cs="Arial"/>
          <w:bCs/>
          <w:lang w:eastAsia="en-AU"/>
        </w:rPr>
        <w:t>South Australian generators rebid 300</w:t>
      </w:r>
      <w:r w:rsidR="002A67D1">
        <w:rPr>
          <w:rFonts w:eastAsia="Times New Roman" w:cs="Arial"/>
          <w:bCs/>
          <w:lang w:eastAsia="en-AU"/>
        </w:rPr>
        <w:t> </w:t>
      </w:r>
      <w:r w:rsidR="005F49EE">
        <w:rPr>
          <w:rFonts w:eastAsia="Times New Roman" w:cs="Arial"/>
          <w:bCs/>
          <w:lang w:eastAsia="en-AU"/>
        </w:rPr>
        <w:t>MW of high-priced capacity to the price floor</w:t>
      </w:r>
      <w:r w:rsidR="00B94309">
        <w:rPr>
          <w:rFonts w:eastAsia="Times New Roman" w:cs="Arial"/>
          <w:bCs/>
          <w:lang w:eastAsia="en-AU"/>
        </w:rPr>
        <w:t xml:space="preserve"> and</w:t>
      </w:r>
      <w:r w:rsidR="005F49EE" w:rsidRPr="005F49EE">
        <w:rPr>
          <w:rFonts w:eastAsia="Times New Roman" w:cs="Arial"/>
          <w:bCs/>
          <w:lang w:eastAsia="en-AU"/>
        </w:rPr>
        <w:t xml:space="preserve"> the di</w:t>
      </w:r>
      <w:r w:rsidR="005F49EE">
        <w:rPr>
          <w:rFonts w:eastAsia="Times New Roman" w:cs="Arial"/>
          <w:bCs/>
          <w:lang w:eastAsia="en-AU"/>
        </w:rPr>
        <w:t xml:space="preserve">spatch price </w:t>
      </w:r>
      <w:r w:rsidR="002A67D1">
        <w:rPr>
          <w:rFonts w:eastAsia="Times New Roman" w:cs="Arial"/>
          <w:bCs/>
          <w:lang w:eastAsia="en-AU"/>
        </w:rPr>
        <w:t>de</w:t>
      </w:r>
      <w:r w:rsidR="005F49EE">
        <w:rPr>
          <w:rFonts w:eastAsia="Times New Roman" w:cs="Arial"/>
          <w:bCs/>
          <w:lang w:eastAsia="en-AU"/>
        </w:rPr>
        <w:t>creased to $160/MWh at 9.40</w:t>
      </w:r>
      <w:r w:rsidR="00CE4F5F">
        <w:rPr>
          <w:rFonts w:eastAsia="Times New Roman" w:cs="Arial"/>
          <w:bCs/>
          <w:lang w:eastAsia="en-AU"/>
        </w:rPr>
        <w:t> </w:t>
      </w:r>
      <w:r w:rsidR="005F49EE" w:rsidRPr="005F49EE">
        <w:rPr>
          <w:rFonts w:eastAsia="Times New Roman" w:cs="Arial"/>
          <w:bCs/>
          <w:lang w:eastAsia="en-AU"/>
        </w:rPr>
        <w:t xml:space="preserve">am. The </w:t>
      </w:r>
      <w:r w:rsidR="005F49EE">
        <w:rPr>
          <w:rFonts w:eastAsia="Times New Roman" w:cs="Arial"/>
          <w:bCs/>
          <w:lang w:eastAsia="en-AU"/>
        </w:rPr>
        <w:t>dispatch price stayed below $160</w:t>
      </w:r>
      <w:r w:rsidR="005F49EE" w:rsidRPr="005F49EE">
        <w:rPr>
          <w:rFonts w:eastAsia="Times New Roman" w:cs="Arial"/>
          <w:bCs/>
          <w:lang w:eastAsia="en-AU"/>
        </w:rPr>
        <w:t xml:space="preserve">/MWh for the remainder of the </w:t>
      </w:r>
      <w:r w:rsidR="002A67D1">
        <w:rPr>
          <w:rFonts w:eastAsia="Times New Roman" w:cs="Arial"/>
          <w:bCs/>
          <w:lang w:eastAsia="en-AU"/>
        </w:rPr>
        <w:t xml:space="preserve">trading </w:t>
      </w:r>
      <w:r w:rsidR="005F49EE" w:rsidRPr="005F49EE">
        <w:rPr>
          <w:rFonts w:eastAsia="Times New Roman" w:cs="Arial"/>
          <w:bCs/>
          <w:lang w:eastAsia="en-AU"/>
        </w:rPr>
        <w:t>interval</w:t>
      </w:r>
      <w:r w:rsidR="003763EA">
        <w:rPr>
          <w:rFonts w:eastAsia="Times New Roman" w:cs="Arial"/>
          <w:bCs/>
          <w:lang w:eastAsia="en-AU"/>
        </w:rPr>
        <w:t>.</w:t>
      </w:r>
    </w:p>
    <w:p w:rsidR="00B94309" w:rsidRPr="003763EA" w:rsidRDefault="00B94309" w:rsidP="00B94309">
      <w:pPr>
        <w:jc w:val="both"/>
        <w:rPr>
          <w:rFonts w:eastAsia="Times New Roman" w:cs="Arial"/>
          <w:bCs/>
          <w:caps/>
          <w:lang w:eastAsia="en-AU"/>
        </w:rPr>
      </w:pPr>
      <w:r>
        <w:rPr>
          <w:rFonts w:eastAsia="Times New Roman" w:cs="Arial"/>
          <w:bCs/>
          <w:lang w:eastAsia="en-AU"/>
        </w:rPr>
        <w:t>The four hour ahead forecast for the 6.30 pm and 7 pm spot prices was lower than the 12 hour ahead forecast because of a decrease in forecast demand.  </w:t>
      </w:r>
    </w:p>
    <w:p w:rsidR="00B94309" w:rsidRDefault="00B94309" w:rsidP="00C672A9">
      <w:pPr>
        <w:jc w:val="both"/>
        <w:rPr>
          <w:lang w:eastAsia="en-AU"/>
        </w:rPr>
      </w:pPr>
      <w:r>
        <w:rPr>
          <w:lang w:eastAsia="en-AU"/>
        </w:rPr>
        <w:t xml:space="preserve">Four hours before the 6.30 pm and 7 pm trading intervals, forecast showed about 150 MW flowing on Murraylink into South Australia. </w:t>
      </w:r>
      <w:r w:rsidR="001F0B4B">
        <w:rPr>
          <w:lang w:eastAsia="en-AU"/>
        </w:rPr>
        <w:t xml:space="preserve">However a constraint managing a </w:t>
      </w:r>
      <w:r w:rsidR="000107CE">
        <w:rPr>
          <w:lang w:eastAsia="en-AU"/>
        </w:rPr>
        <w:t xml:space="preserve">planned </w:t>
      </w:r>
      <w:r>
        <w:rPr>
          <w:lang w:eastAsia="en-AU"/>
        </w:rPr>
        <w:t xml:space="preserve">outage of the Ballarat to Horsham line </w:t>
      </w:r>
      <w:r w:rsidR="000107CE">
        <w:rPr>
          <w:lang w:eastAsia="en-AU"/>
        </w:rPr>
        <w:t xml:space="preserve">reversed </w:t>
      </w:r>
      <w:r w:rsidR="004D7F34">
        <w:rPr>
          <w:lang w:eastAsia="en-AU"/>
        </w:rPr>
        <w:t>flows on Murraylink to</w:t>
      </w:r>
      <w:r>
        <w:rPr>
          <w:lang w:eastAsia="en-AU"/>
        </w:rPr>
        <w:t xml:space="preserve"> around 35 MW into Victoria. Further, actual wind generation for the 6.30 pm and 7 pm trading intervals was </w:t>
      </w:r>
      <w:r w:rsidR="000107CE">
        <w:rPr>
          <w:lang w:eastAsia="en-AU"/>
        </w:rPr>
        <w:t xml:space="preserve">around 200 MW, </w:t>
      </w:r>
      <w:r>
        <w:rPr>
          <w:lang w:eastAsia="en-AU"/>
        </w:rPr>
        <w:t>82 MW and 88</w:t>
      </w:r>
      <w:r w:rsidR="004D7F34">
        <w:rPr>
          <w:lang w:eastAsia="en-AU"/>
        </w:rPr>
        <w:t> </w:t>
      </w:r>
      <w:r>
        <w:rPr>
          <w:lang w:eastAsia="en-AU"/>
        </w:rPr>
        <w:t>MW lower than forecast four hours ahead, respectively.</w:t>
      </w:r>
    </w:p>
    <w:p w:rsidR="00A8183C" w:rsidRPr="00725134" w:rsidRDefault="00935E9E" w:rsidP="007E0E0C">
      <w:pPr>
        <w:pStyle w:val="AERbodytext"/>
      </w:pPr>
      <w:r>
        <w:rPr>
          <w:bCs w:val="0"/>
        </w:rPr>
        <w:t xml:space="preserve">At 6.08 pm, </w:t>
      </w:r>
      <w:r w:rsidR="00A15141">
        <w:rPr>
          <w:bCs w:val="0"/>
        </w:rPr>
        <w:t>effective from 6.15 </w:t>
      </w:r>
      <w:r w:rsidR="004615E2">
        <w:rPr>
          <w:bCs w:val="0"/>
        </w:rPr>
        <w:t>p</w:t>
      </w:r>
      <w:r w:rsidR="00A15141">
        <w:rPr>
          <w:bCs w:val="0"/>
        </w:rPr>
        <w:t xml:space="preserve">m, </w:t>
      </w:r>
      <w:proofErr w:type="spellStart"/>
      <w:r>
        <w:rPr>
          <w:bCs w:val="0"/>
        </w:rPr>
        <w:t>Lumo</w:t>
      </w:r>
      <w:proofErr w:type="spellEnd"/>
      <w:r>
        <w:rPr>
          <w:bCs w:val="0"/>
        </w:rPr>
        <w:t xml:space="preserve"> rebid 111 MW of cap</w:t>
      </w:r>
      <w:r w:rsidR="00DC2E75">
        <w:rPr>
          <w:bCs w:val="0"/>
        </w:rPr>
        <w:t>a</w:t>
      </w:r>
      <w:r>
        <w:rPr>
          <w:bCs w:val="0"/>
        </w:rPr>
        <w:t xml:space="preserve">city </w:t>
      </w:r>
      <w:r w:rsidR="00A15141">
        <w:rPr>
          <w:bCs w:val="0"/>
        </w:rPr>
        <w:t xml:space="preserve">across its portfolio </w:t>
      </w:r>
      <w:r>
        <w:rPr>
          <w:bCs w:val="0"/>
        </w:rPr>
        <w:t>from the price floor to the price ceiling</w:t>
      </w:r>
      <w:r w:rsidR="00A15141">
        <w:rPr>
          <w:bCs w:val="0"/>
        </w:rPr>
        <w:t>.</w:t>
      </w:r>
      <w:r w:rsidR="00DC2E75">
        <w:rPr>
          <w:bCs w:val="0"/>
        </w:rPr>
        <w:t xml:space="preserve"> </w:t>
      </w:r>
      <w:r w:rsidR="00A15141">
        <w:rPr>
          <w:bCs w:val="0"/>
        </w:rPr>
        <w:t>The reason given was</w:t>
      </w:r>
      <w:r w:rsidR="00FD798C" w:rsidRPr="00FD798C">
        <w:rPr>
          <w:bCs w:val="0"/>
        </w:rPr>
        <w:t xml:space="preserve"> </w:t>
      </w:r>
      <w:r w:rsidR="00FD798C">
        <w:rPr>
          <w:bCs w:val="0"/>
        </w:rPr>
        <w:t>‘</w:t>
      </w:r>
      <w:r w:rsidR="00FD798C" w:rsidRPr="00FD798C">
        <w:rPr>
          <w:color w:val="000000"/>
        </w:rPr>
        <w:t xml:space="preserve">18:02 A SA: 30MPD </w:t>
      </w:r>
      <w:r w:rsidR="00A15141">
        <w:rPr>
          <w:color w:val="000000"/>
        </w:rPr>
        <w:t xml:space="preserve">price </w:t>
      </w:r>
      <w:r w:rsidR="00FD798C" w:rsidRPr="00FD798C">
        <w:rPr>
          <w:color w:val="000000"/>
        </w:rPr>
        <w:t xml:space="preserve">$66.98 </w:t>
      </w:r>
      <w:proofErr w:type="spellStart"/>
      <w:r w:rsidR="00A15141">
        <w:rPr>
          <w:color w:val="000000"/>
        </w:rPr>
        <w:t>lwr</w:t>
      </w:r>
      <w:proofErr w:type="spellEnd"/>
      <w:r w:rsidR="00A15141">
        <w:rPr>
          <w:color w:val="000000"/>
        </w:rPr>
        <w:t xml:space="preserve"> </w:t>
      </w:r>
      <w:proofErr w:type="spellStart"/>
      <w:r w:rsidR="00A15141">
        <w:rPr>
          <w:color w:val="000000"/>
        </w:rPr>
        <w:t>thn</w:t>
      </w:r>
      <w:proofErr w:type="spellEnd"/>
      <w:r w:rsidR="00A15141">
        <w:rPr>
          <w:color w:val="000000"/>
        </w:rPr>
        <w:t xml:space="preserve"> </w:t>
      </w:r>
      <w:r w:rsidR="00FD798C" w:rsidRPr="00FD798C">
        <w:rPr>
          <w:color w:val="000000"/>
        </w:rPr>
        <w:t>30MPD 18:10@17:32</w:t>
      </w:r>
      <w:r w:rsidR="00FD798C">
        <w:rPr>
          <w:color w:val="000000"/>
        </w:rPr>
        <w:t xml:space="preserve">.’ </w:t>
      </w:r>
      <w:r w:rsidR="009101D1">
        <w:rPr>
          <w:bCs w:val="0"/>
        </w:rPr>
        <w:t>With no capacity priced between $400 and $10</w:t>
      </w:r>
      <w:r w:rsidR="00A15141">
        <w:rPr>
          <w:bCs w:val="0"/>
        </w:rPr>
        <w:t> </w:t>
      </w:r>
      <w:r w:rsidR="009101D1">
        <w:rPr>
          <w:bCs w:val="0"/>
        </w:rPr>
        <w:t>700, this rebid</w:t>
      </w:r>
      <w:r w:rsidR="0024238D">
        <w:rPr>
          <w:bCs w:val="0"/>
        </w:rPr>
        <w:t xml:space="preserve"> </w:t>
      </w:r>
      <w:r w:rsidR="0024238D">
        <w:rPr>
          <w:bCs w:val="0"/>
        </w:rPr>
        <w:lastRenderedPageBreak/>
        <w:t>combined with</w:t>
      </w:r>
      <w:r w:rsidR="00573DA5">
        <w:rPr>
          <w:bCs w:val="0"/>
        </w:rPr>
        <w:t xml:space="preserve"> ramp rate </w:t>
      </w:r>
      <w:r w:rsidR="0024238D">
        <w:rPr>
          <w:bCs w:val="0"/>
        </w:rPr>
        <w:t>and FSIP</w:t>
      </w:r>
      <w:r w:rsidR="0024238D">
        <w:rPr>
          <w:rStyle w:val="FootnoteReference"/>
          <w:bCs w:val="0"/>
        </w:rPr>
        <w:footnoteReference w:id="1"/>
      </w:r>
      <w:r w:rsidR="0024238D">
        <w:rPr>
          <w:bCs w:val="0"/>
        </w:rPr>
        <w:t xml:space="preserve"> limited </w:t>
      </w:r>
      <w:r w:rsidR="00573DA5">
        <w:rPr>
          <w:bCs w:val="0"/>
        </w:rPr>
        <w:t xml:space="preserve">plant </w:t>
      </w:r>
      <w:r w:rsidR="009101D1">
        <w:rPr>
          <w:bCs w:val="0"/>
        </w:rPr>
        <w:t xml:space="preserve">saw the dispatch </w:t>
      </w:r>
      <w:r w:rsidR="00A15141">
        <w:rPr>
          <w:bCs w:val="0"/>
        </w:rPr>
        <w:t xml:space="preserve">price </w:t>
      </w:r>
      <w:r w:rsidR="009101D1">
        <w:rPr>
          <w:bCs w:val="0"/>
        </w:rPr>
        <w:t>rise to about $10</w:t>
      </w:r>
      <w:r w:rsidR="00A15141">
        <w:rPr>
          <w:bCs w:val="0"/>
        </w:rPr>
        <w:t> </w:t>
      </w:r>
      <w:r w:rsidR="009101D1">
        <w:rPr>
          <w:bCs w:val="0"/>
        </w:rPr>
        <w:t>750</w:t>
      </w:r>
      <w:r w:rsidR="00A15141">
        <w:rPr>
          <w:bCs w:val="0"/>
        </w:rPr>
        <w:t>/MWh</w:t>
      </w:r>
      <w:r w:rsidR="009101D1">
        <w:rPr>
          <w:bCs w:val="0"/>
        </w:rPr>
        <w:t xml:space="preserve"> </w:t>
      </w:r>
      <w:r w:rsidR="004615E2">
        <w:rPr>
          <w:bCs w:val="0"/>
        </w:rPr>
        <w:t>at</w:t>
      </w:r>
      <w:r w:rsidR="009101D1">
        <w:rPr>
          <w:bCs w:val="0"/>
        </w:rPr>
        <w:t xml:space="preserve"> 6.25 pm and 6.35 pm </w:t>
      </w:r>
      <w:r w:rsidR="00FD798C">
        <w:rPr>
          <w:bCs w:val="0"/>
        </w:rPr>
        <w:t>and $7239</w:t>
      </w:r>
      <w:r w:rsidR="004615E2">
        <w:rPr>
          <w:bCs w:val="0"/>
        </w:rPr>
        <w:t>/MWh</w:t>
      </w:r>
      <w:r w:rsidR="00FD798C">
        <w:rPr>
          <w:bCs w:val="0"/>
        </w:rPr>
        <w:t xml:space="preserve"> at 6.40 pm. The dispatch price fell to </w:t>
      </w:r>
      <w:r w:rsidR="003763EA">
        <w:rPr>
          <w:bCs w:val="0"/>
        </w:rPr>
        <w:t>$280/MWh</w:t>
      </w:r>
      <w:r w:rsidR="00FD798C">
        <w:rPr>
          <w:bCs w:val="0"/>
        </w:rPr>
        <w:t xml:space="preserve"> at 6.45 pm when </w:t>
      </w:r>
      <w:proofErr w:type="spellStart"/>
      <w:r w:rsidR="00FD798C">
        <w:rPr>
          <w:bCs w:val="0"/>
        </w:rPr>
        <w:t>Lumo</w:t>
      </w:r>
      <w:proofErr w:type="spellEnd"/>
      <w:r w:rsidR="00FD798C">
        <w:rPr>
          <w:bCs w:val="0"/>
        </w:rPr>
        <w:t xml:space="preserve"> rebid 111</w:t>
      </w:r>
      <w:r w:rsidR="004D7F34">
        <w:rPr>
          <w:bCs w:val="0"/>
        </w:rPr>
        <w:t> </w:t>
      </w:r>
      <w:r w:rsidR="00FD798C">
        <w:rPr>
          <w:bCs w:val="0"/>
        </w:rPr>
        <w:t xml:space="preserve">MW of </w:t>
      </w:r>
      <w:r w:rsidR="003763EA">
        <w:rPr>
          <w:bCs w:val="0"/>
        </w:rPr>
        <w:t>capacity back to the price floor. The dispatch price remained below $280/MWh for the remainder of the 7</w:t>
      </w:r>
      <w:r w:rsidR="004D7F34">
        <w:rPr>
          <w:bCs w:val="0"/>
        </w:rPr>
        <w:t> </w:t>
      </w:r>
      <w:r w:rsidR="003763EA">
        <w:rPr>
          <w:bCs w:val="0"/>
        </w:rPr>
        <w:t>pm trading interval.</w:t>
      </w:r>
    </w:p>
    <w:p w:rsidR="005B6FC9" w:rsidRPr="000D2E32" w:rsidRDefault="008A0E23" w:rsidP="005B6FC9">
      <w:pPr>
        <w:pStyle w:val="Heading2"/>
        <w:rPr>
          <w:rFonts w:eastAsia="Times New Roman"/>
          <w:b w:val="0"/>
          <w:bCs w:val="0"/>
          <w:lang w:eastAsia="en-AU"/>
        </w:rPr>
      </w:pPr>
      <w:r>
        <w:t>Tasmania</w:t>
      </w:r>
    </w:p>
    <w:p w:rsidR="002339B5" w:rsidRPr="002339B5" w:rsidRDefault="00364EF1" w:rsidP="002339B5">
      <w:pPr>
        <w:pStyle w:val="AERbodytext"/>
      </w:pPr>
      <w:r>
        <w:t>There were</w:t>
      </w:r>
      <w:r w:rsidR="002339B5" w:rsidRPr="002339B5">
        <w:t xml:space="preserve"> </w:t>
      </w:r>
      <w:r w:rsidR="008D668B">
        <w:t>six</w:t>
      </w:r>
      <w:r w:rsidR="002339B5" w:rsidRPr="002339B5">
        <w:t xml:space="preserve"> occasion</w:t>
      </w:r>
      <w:r w:rsidR="008A0E23">
        <w:t>s</w:t>
      </w:r>
      <w:r w:rsidR="002339B5" w:rsidRPr="002339B5">
        <w:t xml:space="preserve"> where the spot price in Tasmania was greater than three times the Tasmania weekly average price of $</w:t>
      </w:r>
      <w:r w:rsidR="008D668B">
        <w:t>100</w:t>
      </w:r>
      <w:r w:rsidR="002339B5" w:rsidRPr="002339B5">
        <w:t xml:space="preserve">/MWh and above $250/MWh. </w:t>
      </w:r>
    </w:p>
    <w:p w:rsidR="008A0E23" w:rsidRPr="002D6AB4" w:rsidRDefault="00FF70CB" w:rsidP="008A0E23">
      <w:pPr>
        <w:pStyle w:val="Heading3"/>
        <w:rPr>
          <w:rFonts w:eastAsia="Times New Roman"/>
        </w:rPr>
      </w:pPr>
      <w:r>
        <w:rPr>
          <w:rFonts w:eastAsia="Times New Roman"/>
        </w:rPr>
        <w:t>Mon</w:t>
      </w:r>
      <w:r w:rsidR="008A0E23">
        <w:rPr>
          <w:rFonts w:eastAsia="Times New Roman"/>
        </w:rPr>
        <w:t xml:space="preserve">day, </w:t>
      </w:r>
      <w:r w:rsidR="008D668B">
        <w:rPr>
          <w:rFonts w:eastAsia="Times New Roman"/>
        </w:rPr>
        <w:t>27</w:t>
      </w:r>
      <w:r w:rsidR="008A0E23" w:rsidRPr="002D6AB4">
        <w:rPr>
          <w:rFonts w:eastAsia="Times New Roman"/>
        </w:rPr>
        <w:t xml:space="preserve"> </w:t>
      </w:r>
      <w:r w:rsidR="008A0E23">
        <w:rPr>
          <w:rFonts w:eastAsia="Times New Roman"/>
        </w:rPr>
        <w:t>June</w:t>
      </w:r>
    </w:p>
    <w:p w:rsidR="005B6FC9" w:rsidRPr="0073319F" w:rsidRDefault="005B6FC9" w:rsidP="005B6FC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3763EA">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8D668B" w:rsidRPr="0073319F" w:rsidTr="00F731D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D668B" w:rsidRPr="008D668B" w:rsidRDefault="008D668B">
            <w:pPr>
              <w:pStyle w:val="NormalWeb"/>
              <w:jc w:val="center"/>
              <w:rPr>
                <w:rFonts w:ascii="Arial" w:hAnsi="Arial" w:cs="Arial"/>
                <w:sz w:val="18"/>
                <w:szCs w:val="16"/>
              </w:rPr>
            </w:pPr>
            <w:r>
              <w:rPr>
                <w:rFonts w:ascii="Arial" w:hAnsi="Arial" w:cs="Arial"/>
                <w:sz w:val="18"/>
                <w:szCs w:val="16"/>
              </w:rPr>
              <w:t>8 am</w:t>
            </w:r>
          </w:p>
        </w:tc>
        <w:tc>
          <w:tcPr>
            <w:tcW w:w="47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321.73</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400.44</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400.34</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1503</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1456</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1451</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2264</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2199</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2188</w:t>
            </w:r>
          </w:p>
        </w:tc>
      </w:tr>
      <w:tr w:rsidR="008D668B" w:rsidRPr="0073319F" w:rsidTr="00F731D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8D668B" w:rsidRPr="008D668B" w:rsidRDefault="008D668B">
            <w:pPr>
              <w:pStyle w:val="NormalWeb"/>
              <w:jc w:val="center"/>
              <w:rPr>
                <w:rFonts w:ascii="Arial" w:hAnsi="Arial" w:cs="Arial"/>
                <w:sz w:val="18"/>
                <w:szCs w:val="16"/>
              </w:rPr>
            </w:pPr>
            <w:r>
              <w:rPr>
                <w:rFonts w:ascii="Arial" w:hAnsi="Arial" w:cs="Arial"/>
                <w:sz w:val="18"/>
                <w:szCs w:val="16"/>
              </w:rPr>
              <w:t>8.</w:t>
            </w:r>
            <w:r w:rsidRPr="008D668B">
              <w:rPr>
                <w:rFonts w:ascii="Arial" w:hAnsi="Arial" w:cs="Arial"/>
                <w:sz w:val="18"/>
                <w:szCs w:val="16"/>
              </w:rPr>
              <w:t xml:space="preserve">30 </w:t>
            </w:r>
            <w:r>
              <w:rPr>
                <w:rFonts w:ascii="Arial" w:hAnsi="Arial" w:cs="Arial"/>
                <w:sz w:val="18"/>
                <w:szCs w:val="16"/>
              </w:rPr>
              <w:t>am</w:t>
            </w:r>
          </w:p>
        </w:tc>
        <w:tc>
          <w:tcPr>
            <w:tcW w:w="47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300.32</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452.45</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400.34</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1510</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1473</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1466</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2248</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2200</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2179</w:t>
            </w:r>
          </w:p>
        </w:tc>
      </w:tr>
    </w:tbl>
    <w:p w:rsidR="00E120AE" w:rsidRDefault="00E120AE" w:rsidP="006A192B">
      <w:pPr>
        <w:jc w:val="both"/>
        <w:rPr>
          <w:rFonts w:eastAsia="Times New Roman" w:cs="Arial"/>
          <w:bCs/>
          <w:lang w:eastAsia="en-AU"/>
        </w:rPr>
      </w:pPr>
      <w:r>
        <w:rPr>
          <w:rFonts w:eastAsia="Times New Roman" w:cs="Arial"/>
          <w:bCs/>
          <w:lang w:eastAsia="en-AU"/>
        </w:rPr>
        <w:t>The spot prices for the 8 am and 8</w:t>
      </w:r>
      <w:r w:rsidR="005F62BE">
        <w:rPr>
          <w:rFonts w:eastAsia="Times New Roman" w:cs="Arial"/>
          <w:bCs/>
          <w:lang w:eastAsia="en-AU"/>
        </w:rPr>
        <w:t>.</w:t>
      </w:r>
      <w:r>
        <w:rPr>
          <w:rFonts w:eastAsia="Times New Roman" w:cs="Arial"/>
          <w:bCs/>
          <w:lang w:eastAsia="en-AU"/>
        </w:rPr>
        <w:t>30</w:t>
      </w:r>
      <w:r w:rsidR="005F62BE">
        <w:rPr>
          <w:rFonts w:eastAsia="Times New Roman" w:cs="Arial"/>
          <w:bCs/>
          <w:lang w:eastAsia="en-AU"/>
        </w:rPr>
        <w:t> </w:t>
      </w:r>
      <w:r>
        <w:rPr>
          <w:rFonts w:eastAsia="Times New Roman" w:cs="Arial"/>
          <w:bCs/>
          <w:lang w:eastAsia="en-AU"/>
        </w:rPr>
        <w:t>am trading intervals were somewhat lower than forecast four hours ahead. Demand and availability were both higher than forecast four hours ahead.</w:t>
      </w:r>
    </w:p>
    <w:p w:rsidR="00A107C0" w:rsidRDefault="00A107C0" w:rsidP="004615E2">
      <w:pPr>
        <w:jc w:val="both"/>
        <w:rPr>
          <w:rFonts w:eastAsia="Times New Roman" w:cs="Arial"/>
          <w:bCs/>
          <w:lang w:eastAsia="en-AU"/>
        </w:rPr>
      </w:pPr>
      <w:r>
        <w:rPr>
          <w:rFonts w:eastAsia="Times New Roman" w:cs="Arial"/>
          <w:bCs/>
          <w:lang w:eastAsia="en-AU"/>
        </w:rPr>
        <w:t>For the 8 am trading interval,</w:t>
      </w:r>
      <w:r w:rsidR="004D7F34">
        <w:rPr>
          <w:rFonts w:eastAsia="Times New Roman" w:cs="Arial"/>
          <w:bCs/>
          <w:lang w:eastAsia="en-AU"/>
        </w:rPr>
        <w:t xml:space="preserve"> </w:t>
      </w:r>
      <w:proofErr w:type="spellStart"/>
      <w:r w:rsidR="004D7F34">
        <w:rPr>
          <w:rFonts w:eastAsia="Times New Roman" w:cs="Arial"/>
          <w:bCs/>
          <w:lang w:eastAsia="en-AU"/>
        </w:rPr>
        <w:t>Basslink</w:t>
      </w:r>
      <w:proofErr w:type="spellEnd"/>
      <w:r w:rsidR="004D7F34">
        <w:rPr>
          <w:rFonts w:eastAsia="Times New Roman" w:cs="Arial"/>
          <w:bCs/>
          <w:lang w:eastAsia="en-AU"/>
        </w:rPr>
        <w:t xml:space="preserve"> was exporting about 100 MW into Victoria, about 60 MW less than forecast</w:t>
      </w:r>
      <w:r w:rsidR="00153C40">
        <w:rPr>
          <w:rFonts w:eastAsia="Times New Roman" w:cs="Arial"/>
          <w:bCs/>
          <w:lang w:eastAsia="en-AU"/>
        </w:rPr>
        <w:t xml:space="preserve"> </w:t>
      </w:r>
      <w:r w:rsidR="004D7F34">
        <w:rPr>
          <w:rFonts w:eastAsia="Times New Roman" w:cs="Arial"/>
          <w:bCs/>
          <w:lang w:eastAsia="en-AU"/>
        </w:rPr>
        <w:t xml:space="preserve">and </w:t>
      </w:r>
      <w:r w:rsidR="00153C40">
        <w:rPr>
          <w:rFonts w:eastAsia="Times New Roman" w:cs="Arial"/>
          <w:bCs/>
          <w:lang w:eastAsia="en-AU"/>
        </w:rPr>
        <w:t>w</w:t>
      </w:r>
      <w:r w:rsidR="002E5031">
        <w:rPr>
          <w:rFonts w:eastAsia="Times New Roman" w:cs="Arial"/>
          <w:bCs/>
          <w:lang w:eastAsia="en-AU"/>
        </w:rPr>
        <w:t>ind generation</w:t>
      </w:r>
      <w:r>
        <w:rPr>
          <w:rFonts w:eastAsia="Times New Roman" w:cs="Arial"/>
          <w:bCs/>
          <w:lang w:eastAsia="en-AU"/>
        </w:rPr>
        <w:t xml:space="preserve"> </w:t>
      </w:r>
      <w:r w:rsidR="003813E4">
        <w:rPr>
          <w:rFonts w:eastAsia="Times New Roman" w:cs="Arial"/>
          <w:bCs/>
          <w:lang w:eastAsia="en-AU"/>
        </w:rPr>
        <w:t>was</w:t>
      </w:r>
      <w:r w:rsidR="00AB5DCB">
        <w:rPr>
          <w:rFonts w:eastAsia="Times New Roman" w:cs="Arial"/>
          <w:bCs/>
          <w:lang w:eastAsia="en-AU"/>
        </w:rPr>
        <w:t xml:space="preserve"> 43 MW </w:t>
      </w:r>
      <w:r>
        <w:rPr>
          <w:rFonts w:eastAsia="Times New Roman" w:cs="Arial"/>
          <w:bCs/>
          <w:lang w:eastAsia="en-AU"/>
        </w:rPr>
        <w:t>higher than forecast four hours ahead.</w:t>
      </w:r>
    </w:p>
    <w:p w:rsidR="001E68BC" w:rsidRDefault="002E5031" w:rsidP="006A192B">
      <w:pPr>
        <w:jc w:val="both"/>
        <w:rPr>
          <w:rFonts w:eastAsia="Times New Roman" w:cs="Arial"/>
          <w:bCs/>
          <w:lang w:eastAsia="en-AU"/>
        </w:rPr>
      </w:pPr>
      <w:r>
        <w:rPr>
          <w:rFonts w:eastAsia="Times New Roman" w:cs="Arial"/>
          <w:bCs/>
          <w:lang w:eastAsia="en-AU"/>
        </w:rPr>
        <w:t xml:space="preserve">For the 8.30 am trading interval, there was minor rebidding of capacity from high to low prices and </w:t>
      </w:r>
      <w:r w:rsidR="00E7375B">
        <w:rPr>
          <w:rFonts w:eastAsia="Times New Roman" w:cs="Arial"/>
          <w:bCs/>
          <w:lang w:eastAsia="en-AU"/>
        </w:rPr>
        <w:t>w</w:t>
      </w:r>
      <w:r>
        <w:rPr>
          <w:rFonts w:eastAsia="Times New Roman" w:cs="Arial"/>
          <w:bCs/>
          <w:lang w:eastAsia="en-AU"/>
        </w:rPr>
        <w:t>ind generation was</w:t>
      </w:r>
      <w:r w:rsidR="00D5382D">
        <w:rPr>
          <w:rFonts w:eastAsia="Times New Roman" w:cs="Arial"/>
          <w:bCs/>
          <w:lang w:eastAsia="en-AU"/>
        </w:rPr>
        <w:t xml:space="preserve"> </w:t>
      </w:r>
      <w:r w:rsidR="00AB5DCB">
        <w:rPr>
          <w:rFonts w:eastAsia="Times New Roman" w:cs="Arial"/>
          <w:bCs/>
          <w:lang w:eastAsia="en-AU"/>
        </w:rPr>
        <w:t>27 MW higher</w:t>
      </w:r>
      <w:r w:rsidR="00E7375B">
        <w:rPr>
          <w:rFonts w:eastAsia="Times New Roman" w:cs="Arial"/>
          <w:bCs/>
          <w:lang w:eastAsia="en-AU"/>
        </w:rPr>
        <w:t xml:space="preserve"> than forecast four hours ahea</w:t>
      </w:r>
      <w:r>
        <w:rPr>
          <w:rFonts w:eastAsia="Times New Roman" w:cs="Arial"/>
          <w:bCs/>
          <w:lang w:eastAsia="en-AU"/>
        </w:rPr>
        <w:t xml:space="preserve">d. </w:t>
      </w:r>
    </w:p>
    <w:p w:rsidR="00E120AE" w:rsidRPr="00E120AE" w:rsidRDefault="001E68BC" w:rsidP="004615E2">
      <w:pPr>
        <w:jc w:val="both"/>
        <w:rPr>
          <w:rFonts w:eastAsia="Times New Roman" w:cs="Arial"/>
          <w:bCs/>
          <w:lang w:eastAsia="en-AU"/>
        </w:rPr>
      </w:pPr>
      <w:r>
        <w:rPr>
          <w:rFonts w:eastAsia="Times New Roman" w:cs="Arial"/>
          <w:bCs/>
          <w:lang w:eastAsia="en-AU"/>
        </w:rPr>
        <w:t>Prices remained at around $300/MWh for the majority of the 8</w:t>
      </w:r>
      <w:r w:rsidR="00E64F97">
        <w:rPr>
          <w:rFonts w:eastAsia="Times New Roman" w:cs="Arial"/>
          <w:bCs/>
          <w:lang w:eastAsia="en-AU"/>
        </w:rPr>
        <w:t> </w:t>
      </w:r>
      <w:r>
        <w:rPr>
          <w:rFonts w:eastAsia="Times New Roman" w:cs="Arial"/>
          <w:bCs/>
          <w:lang w:eastAsia="en-AU"/>
        </w:rPr>
        <w:t xml:space="preserve">am </w:t>
      </w:r>
      <w:r w:rsidR="00E64F97">
        <w:rPr>
          <w:rFonts w:eastAsia="Times New Roman" w:cs="Arial"/>
          <w:bCs/>
          <w:lang w:eastAsia="en-AU"/>
        </w:rPr>
        <w:t>and 8.30 </w:t>
      </w:r>
      <w:r>
        <w:rPr>
          <w:rFonts w:eastAsia="Times New Roman" w:cs="Arial"/>
          <w:bCs/>
          <w:lang w:eastAsia="en-AU"/>
        </w:rPr>
        <w:t>am dispatch intervals.</w:t>
      </w:r>
    </w:p>
    <w:p w:rsidR="00E120AE" w:rsidRPr="005F62BE" w:rsidRDefault="005F62BE" w:rsidP="005F62BE">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E120AE" w:rsidRPr="0073319F" w:rsidTr="00E31C7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E120AE" w:rsidRPr="0073319F" w:rsidRDefault="00E120AE"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E120AE" w:rsidRPr="0073319F" w:rsidRDefault="00E120AE"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E120AE" w:rsidRPr="0073319F" w:rsidRDefault="00E120AE"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E120AE" w:rsidRPr="0073319F" w:rsidRDefault="00E120AE" w:rsidP="00E31C7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E120AE" w:rsidRPr="0073319F" w:rsidTr="00E31C7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E120AE" w:rsidRPr="0073319F" w:rsidRDefault="00E120AE" w:rsidP="00E31C7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E120AE" w:rsidRPr="008D668B" w:rsidTr="00E31C7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E120AE" w:rsidRPr="008D668B" w:rsidRDefault="00E120AE" w:rsidP="00E31C7A">
            <w:pPr>
              <w:pStyle w:val="NormalWeb"/>
              <w:jc w:val="center"/>
              <w:rPr>
                <w:rFonts w:ascii="Arial" w:hAnsi="Arial" w:cs="Arial"/>
                <w:sz w:val="18"/>
                <w:szCs w:val="16"/>
              </w:rPr>
            </w:pPr>
            <w:r>
              <w:rPr>
                <w:rFonts w:ascii="Arial" w:hAnsi="Arial" w:cs="Arial"/>
                <w:sz w:val="18"/>
                <w:szCs w:val="16"/>
              </w:rPr>
              <w:t>9</w:t>
            </w:r>
            <w:r w:rsidRPr="008D668B">
              <w:rPr>
                <w:rFonts w:ascii="Arial" w:hAnsi="Arial" w:cs="Arial"/>
                <w:sz w:val="18"/>
                <w:szCs w:val="16"/>
              </w:rPr>
              <w:t xml:space="preserve"> </w:t>
            </w:r>
            <w:r>
              <w:rPr>
                <w:rFonts w:ascii="Arial" w:hAnsi="Arial" w:cs="Arial"/>
                <w:sz w:val="18"/>
                <w:szCs w:val="16"/>
              </w:rPr>
              <w:t>am</w:t>
            </w:r>
          </w:p>
        </w:tc>
        <w:tc>
          <w:tcPr>
            <w:tcW w:w="47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300.56</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16.87</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300.32</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1467</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1460</w:t>
            </w:r>
          </w:p>
        </w:tc>
        <w:tc>
          <w:tcPr>
            <w:tcW w:w="499"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1451</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2179</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2203</w:t>
            </w:r>
          </w:p>
        </w:tc>
        <w:tc>
          <w:tcPr>
            <w:tcW w:w="499"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2178</w:t>
            </w:r>
          </w:p>
        </w:tc>
      </w:tr>
      <w:tr w:rsidR="00E120AE" w:rsidRPr="008D668B" w:rsidTr="00E31C7A">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E120AE" w:rsidRPr="008D668B" w:rsidRDefault="00E120AE" w:rsidP="00E31C7A">
            <w:pPr>
              <w:pStyle w:val="NormalWeb"/>
              <w:jc w:val="center"/>
              <w:rPr>
                <w:rFonts w:ascii="Arial" w:hAnsi="Arial" w:cs="Arial"/>
                <w:sz w:val="18"/>
                <w:szCs w:val="16"/>
              </w:rPr>
            </w:pPr>
            <w:r>
              <w:rPr>
                <w:rFonts w:ascii="Arial" w:hAnsi="Arial" w:cs="Arial"/>
                <w:sz w:val="18"/>
                <w:szCs w:val="16"/>
              </w:rPr>
              <w:t>9.</w:t>
            </w:r>
            <w:r w:rsidRPr="008D668B">
              <w:rPr>
                <w:rFonts w:ascii="Arial" w:hAnsi="Arial" w:cs="Arial"/>
                <w:sz w:val="18"/>
                <w:szCs w:val="16"/>
              </w:rPr>
              <w:t xml:space="preserve">30 </w:t>
            </w:r>
            <w:r>
              <w:rPr>
                <w:rFonts w:ascii="Arial" w:hAnsi="Arial" w:cs="Arial"/>
                <w:sz w:val="18"/>
                <w:szCs w:val="16"/>
              </w:rPr>
              <w:t>am</w:t>
            </w:r>
          </w:p>
        </w:tc>
        <w:tc>
          <w:tcPr>
            <w:tcW w:w="47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300.32</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22.59</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300.32</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1436</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1442</w:t>
            </w:r>
          </w:p>
        </w:tc>
        <w:tc>
          <w:tcPr>
            <w:tcW w:w="499"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1433</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2177</w:t>
            </w:r>
          </w:p>
        </w:tc>
        <w:tc>
          <w:tcPr>
            <w:tcW w:w="498"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2204</w:t>
            </w:r>
          </w:p>
        </w:tc>
        <w:tc>
          <w:tcPr>
            <w:tcW w:w="499" w:type="pct"/>
            <w:vAlign w:val="center"/>
          </w:tcPr>
          <w:p w:rsidR="00E120AE" w:rsidRPr="008D668B" w:rsidRDefault="00E120AE" w:rsidP="00E31C7A">
            <w:pPr>
              <w:pStyle w:val="NormalWeb"/>
              <w:jc w:val="center"/>
              <w:rPr>
                <w:rFonts w:ascii="Arial" w:hAnsi="Arial" w:cs="Arial"/>
                <w:sz w:val="18"/>
                <w:szCs w:val="16"/>
              </w:rPr>
            </w:pPr>
            <w:r w:rsidRPr="008D668B">
              <w:rPr>
                <w:rFonts w:ascii="Arial" w:hAnsi="Arial" w:cs="Arial"/>
                <w:sz w:val="18"/>
                <w:szCs w:val="16"/>
              </w:rPr>
              <w:t>2177</w:t>
            </w:r>
          </w:p>
        </w:tc>
      </w:tr>
    </w:tbl>
    <w:p w:rsidR="00E120AE" w:rsidRDefault="005F62BE" w:rsidP="006A192B">
      <w:pPr>
        <w:jc w:val="both"/>
        <w:rPr>
          <w:lang w:eastAsia="en-AU"/>
        </w:rPr>
      </w:pPr>
      <w:r>
        <w:rPr>
          <w:lang w:eastAsia="en-AU"/>
        </w:rPr>
        <w:t>The spot prices for the 9 am and 9.30 am trading intervals were higher than forecast</w:t>
      </w:r>
      <w:r w:rsidR="002E5031">
        <w:rPr>
          <w:lang w:eastAsia="en-AU"/>
        </w:rPr>
        <w:t xml:space="preserve"> four hours ahead. Availability and demand were close to forecast four hours ahead.</w:t>
      </w:r>
    </w:p>
    <w:p w:rsidR="005F62BE" w:rsidRDefault="003B19C5" w:rsidP="006A192B">
      <w:pPr>
        <w:jc w:val="both"/>
        <w:rPr>
          <w:lang w:eastAsia="en-AU"/>
        </w:rPr>
      </w:pPr>
      <w:r>
        <w:rPr>
          <w:rFonts w:eastAsia="Times New Roman" w:cs="Arial"/>
          <w:bCs/>
          <w:lang w:eastAsia="en-AU"/>
        </w:rPr>
        <w:t>A</w:t>
      </w:r>
      <w:r w:rsidR="00A350C5">
        <w:rPr>
          <w:rFonts w:eastAsia="Times New Roman" w:cs="Arial"/>
          <w:bCs/>
          <w:lang w:eastAsia="en-AU"/>
        </w:rPr>
        <w:t xml:space="preserve"> </w:t>
      </w:r>
      <w:r w:rsidR="00BE509D">
        <w:rPr>
          <w:rFonts w:eastAsia="Times New Roman" w:cs="Arial"/>
          <w:bCs/>
          <w:lang w:eastAsia="en-AU"/>
        </w:rPr>
        <w:t xml:space="preserve">combination of </w:t>
      </w:r>
      <w:r>
        <w:rPr>
          <w:rFonts w:eastAsia="Times New Roman" w:cs="Arial"/>
          <w:bCs/>
          <w:lang w:eastAsia="en-AU"/>
        </w:rPr>
        <w:t>outage</w:t>
      </w:r>
      <w:r w:rsidR="00BE509D">
        <w:rPr>
          <w:rFonts w:eastAsia="Times New Roman" w:cs="Arial"/>
          <w:bCs/>
          <w:lang w:eastAsia="en-AU"/>
        </w:rPr>
        <w:t>s</w:t>
      </w:r>
      <w:r>
        <w:rPr>
          <w:rFonts w:eastAsia="Times New Roman" w:cs="Arial"/>
          <w:bCs/>
          <w:lang w:eastAsia="en-AU"/>
        </w:rPr>
        <w:t xml:space="preserve"> of the Sydenham to Moorabool line</w:t>
      </w:r>
      <w:r w:rsidR="00BE509D">
        <w:rPr>
          <w:rFonts w:eastAsia="Times New Roman" w:cs="Arial"/>
          <w:bCs/>
          <w:lang w:eastAsia="en-AU"/>
        </w:rPr>
        <w:t xml:space="preserve">s and offer prices in Victoria were such that </w:t>
      </w:r>
      <w:r>
        <w:rPr>
          <w:rFonts w:eastAsia="Times New Roman" w:cs="Arial"/>
          <w:bCs/>
          <w:lang w:eastAsia="en-AU"/>
        </w:rPr>
        <w:t>around 70</w:t>
      </w:r>
      <w:r w:rsidR="004527A5">
        <w:rPr>
          <w:rFonts w:eastAsia="Times New Roman" w:cs="Arial"/>
          <w:bCs/>
          <w:lang w:eastAsia="en-AU"/>
        </w:rPr>
        <w:t xml:space="preserve"> MW of </w:t>
      </w:r>
      <w:r w:rsidR="00BE509D">
        <w:rPr>
          <w:rFonts w:eastAsia="Times New Roman" w:cs="Arial"/>
          <w:bCs/>
          <w:lang w:eastAsia="en-AU"/>
        </w:rPr>
        <w:t xml:space="preserve">power was forecast to be flowing </w:t>
      </w:r>
      <w:r w:rsidR="00A350C5">
        <w:rPr>
          <w:rFonts w:eastAsia="Times New Roman" w:cs="Arial"/>
          <w:bCs/>
          <w:lang w:eastAsia="en-AU"/>
        </w:rPr>
        <w:t xml:space="preserve">into Victoria </w:t>
      </w:r>
      <w:r w:rsidR="00A350C5">
        <w:t>12</w:t>
      </w:r>
      <w:r w:rsidR="002E5031">
        <w:t xml:space="preserve"> hours ahead</w:t>
      </w:r>
      <w:r w:rsidR="0075760D">
        <w:t xml:space="preserve">. </w:t>
      </w:r>
      <w:r w:rsidR="0084063D">
        <w:t>Four hours ahead, flows were forecast to</w:t>
      </w:r>
      <w:r>
        <w:t xml:space="preserve"> </w:t>
      </w:r>
      <w:r w:rsidR="0084063D">
        <w:t xml:space="preserve">flow at a </w:t>
      </w:r>
      <w:r>
        <w:t>reduced</w:t>
      </w:r>
      <w:r w:rsidR="0084063D">
        <w:t xml:space="preserve"> export</w:t>
      </w:r>
      <w:r>
        <w:t xml:space="preserve"> level of </w:t>
      </w:r>
      <w:r w:rsidR="0075760D">
        <w:t>2</w:t>
      </w:r>
      <w:r w:rsidR="004D7F34">
        <w:t> </w:t>
      </w:r>
      <w:r w:rsidR="0075760D">
        <w:t xml:space="preserve">MW at 9 </w:t>
      </w:r>
      <w:r w:rsidR="0075760D">
        <w:lastRenderedPageBreak/>
        <w:t>am</w:t>
      </w:r>
      <w:r w:rsidR="004527A5">
        <w:t xml:space="preserve"> </w:t>
      </w:r>
      <w:r w:rsidR="00A350C5">
        <w:t>and import 66 MW at 9.30 am, causing the forecast price to decrease. Actual exports were greater than forecast four hours ahead at around 100 MW</w:t>
      </w:r>
      <w:r w:rsidR="00BE509D">
        <w:t>.</w:t>
      </w:r>
    </w:p>
    <w:p w:rsidR="00270B6A" w:rsidRPr="002D6AB4" w:rsidRDefault="00270B6A" w:rsidP="00270B6A">
      <w:pPr>
        <w:pStyle w:val="Heading3"/>
        <w:rPr>
          <w:rFonts w:eastAsia="Times New Roman"/>
        </w:rPr>
      </w:pPr>
      <w:r>
        <w:rPr>
          <w:rFonts w:eastAsia="Times New Roman"/>
        </w:rPr>
        <w:t>Thursday, 30</w:t>
      </w:r>
      <w:r w:rsidRPr="002D6AB4">
        <w:rPr>
          <w:rFonts w:eastAsia="Times New Roman"/>
        </w:rPr>
        <w:t xml:space="preserve"> </w:t>
      </w:r>
      <w:r>
        <w:rPr>
          <w:rFonts w:eastAsia="Times New Roman"/>
        </w:rPr>
        <w:t>June</w:t>
      </w:r>
    </w:p>
    <w:p w:rsidR="00FF70CB" w:rsidRPr="0073319F" w:rsidRDefault="00FF70CB" w:rsidP="00FF70CB">
      <w:pPr>
        <w:pStyle w:val="Caption"/>
        <w:rPr>
          <w:rFonts w:asciiTheme="minorHAnsi" w:hAnsiTheme="minorHAnsi" w:cstheme="minorHAnsi"/>
        </w:rPr>
      </w:pPr>
      <w:r w:rsidRPr="0073319F">
        <w:rPr>
          <w:rFonts w:asciiTheme="minorHAnsi" w:hAnsiTheme="minorHAnsi" w:cstheme="minorHAnsi"/>
        </w:rPr>
        <w:t xml:space="preserve">Table </w:t>
      </w:r>
      <w:r w:rsidR="005F62BE">
        <w:rPr>
          <w:rFonts w:asciiTheme="minorHAnsi" w:hAnsiTheme="minorHAnsi" w:cstheme="minorHAnsi"/>
        </w:rPr>
        <w:t>7</w:t>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8D668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8</w:t>
            </w:r>
            <w:r>
              <w:rPr>
                <w:rFonts w:ascii="Arial" w:hAnsi="Arial" w:cs="Arial"/>
                <w:sz w:val="18"/>
                <w:szCs w:val="16"/>
              </w:rPr>
              <w:t xml:space="preserve"> am</w:t>
            </w:r>
          </w:p>
        </w:tc>
        <w:tc>
          <w:tcPr>
            <w:tcW w:w="47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311.74</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400.40</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400.30</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1391</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1351</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1404</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2195</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2132</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2133</w:t>
            </w:r>
          </w:p>
        </w:tc>
      </w:tr>
      <w:tr w:rsidR="008D668B" w:rsidRPr="0073319F" w:rsidTr="00FF70C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8D668B" w:rsidRPr="008D668B" w:rsidRDefault="008D668B" w:rsidP="008D668B">
            <w:pPr>
              <w:pStyle w:val="NormalWeb"/>
              <w:jc w:val="center"/>
              <w:rPr>
                <w:rFonts w:ascii="Arial" w:hAnsi="Arial" w:cs="Arial"/>
                <w:sz w:val="18"/>
                <w:szCs w:val="16"/>
              </w:rPr>
            </w:pPr>
            <w:r w:rsidRPr="008D668B">
              <w:rPr>
                <w:rFonts w:ascii="Arial" w:hAnsi="Arial" w:cs="Arial"/>
                <w:sz w:val="18"/>
                <w:szCs w:val="16"/>
              </w:rPr>
              <w:t>8</w:t>
            </w:r>
            <w:r>
              <w:rPr>
                <w:rFonts w:ascii="Arial" w:hAnsi="Arial" w:cs="Arial"/>
                <w:sz w:val="18"/>
                <w:szCs w:val="16"/>
              </w:rPr>
              <w:t>.30 am</w:t>
            </w:r>
          </w:p>
        </w:tc>
        <w:tc>
          <w:tcPr>
            <w:tcW w:w="47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310.99</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375.36</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297.32</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1401</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1366</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1425</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2285</w:t>
            </w:r>
          </w:p>
        </w:tc>
        <w:tc>
          <w:tcPr>
            <w:tcW w:w="498"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2122</w:t>
            </w:r>
          </w:p>
        </w:tc>
        <w:tc>
          <w:tcPr>
            <w:tcW w:w="499" w:type="pct"/>
            <w:vAlign w:val="center"/>
          </w:tcPr>
          <w:p w:rsidR="008D668B" w:rsidRPr="008D668B" w:rsidRDefault="008D668B">
            <w:pPr>
              <w:pStyle w:val="NormalWeb"/>
              <w:jc w:val="center"/>
              <w:rPr>
                <w:rFonts w:ascii="Arial" w:hAnsi="Arial" w:cs="Arial"/>
                <w:sz w:val="18"/>
                <w:szCs w:val="16"/>
              </w:rPr>
            </w:pPr>
            <w:r w:rsidRPr="008D668B">
              <w:rPr>
                <w:rFonts w:ascii="Arial" w:hAnsi="Arial" w:cs="Arial"/>
                <w:sz w:val="18"/>
                <w:szCs w:val="16"/>
              </w:rPr>
              <w:t>2134</w:t>
            </w:r>
          </w:p>
        </w:tc>
      </w:tr>
    </w:tbl>
    <w:bookmarkEnd w:id="0"/>
    <w:bookmarkEnd w:id="1"/>
    <w:bookmarkEnd w:id="2"/>
    <w:bookmarkEnd w:id="3"/>
    <w:bookmarkEnd w:id="4"/>
    <w:bookmarkEnd w:id="5"/>
    <w:p w:rsidR="00B34EA0" w:rsidRDefault="00B34EA0" w:rsidP="001E68BC">
      <w:pPr>
        <w:spacing w:line="240" w:lineRule="auto"/>
        <w:jc w:val="both"/>
      </w:pPr>
      <w:r>
        <w:t xml:space="preserve">The spot prices for the 8 am and 8.30 am trading intervals were lower than forecast four hours ahead. Availability and demand were both higher than forecast four hours ahead. </w:t>
      </w:r>
    </w:p>
    <w:p w:rsidR="008D668B" w:rsidRDefault="00B34EA0" w:rsidP="001E68BC">
      <w:pPr>
        <w:spacing w:line="240" w:lineRule="auto"/>
        <w:jc w:val="both"/>
        <w:rPr>
          <w:rFonts w:eastAsiaTheme="majorEastAsia" w:cstheme="majorBidi"/>
          <w:b/>
          <w:bCs/>
          <w:color w:val="51626F"/>
          <w:sz w:val="28"/>
          <w:szCs w:val="26"/>
        </w:rPr>
      </w:pPr>
      <w:r>
        <w:t>For the 8 am trading interval, exports into Victoria were 169 MW but were forecast to be 223 MW four hours ahead</w:t>
      </w:r>
      <w:r w:rsidR="00BE509D">
        <w:t xml:space="preserve">. </w:t>
      </w:r>
      <w:r w:rsidR="006A192B">
        <w:t>The 8.30 a</w:t>
      </w:r>
      <w:r w:rsidR="00E64F97">
        <w:t>m price was close to forecast</w:t>
      </w:r>
      <w:r w:rsidR="008D668B">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3763EA">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r w:rsidR="00F47F94">
        <w:fldChar w:fldCharType="begin"/>
      </w:r>
      <w:r w:rsidR="00F47F94">
        <w:instrText xml:space="preserve"> SEQ Figure \* ARABIC </w:instrText>
      </w:r>
      <w:r w:rsidR="00F47F94">
        <w:fldChar w:fldCharType="separate"/>
      </w:r>
      <w:r w:rsidR="003763EA">
        <w:rPr>
          <w:noProof/>
        </w:rPr>
        <w:t>9</w:t>
      </w:r>
      <w:r w:rsidR="00F47F94">
        <w:rPr>
          <w:noProof/>
        </w:rPr>
        <w:fldChar w:fldCharType="end"/>
      </w:r>
      <w:bookmarkEnd w:id="21"/>
      <w:r w:rsidR="002515C3">
        <w:t>:</w:t>
      </w:r>
      <w:r>
        <w:t xml:space="preserve"> </w:t>
      </w:r>
      <w:r w:rsidRPr="007A6ACB">
        <w:t>Quarterly base future prices Q</w:t>
      </w:r>
      <w:r w:rsidR="0069547C">
        <w:t>2</w:t>
      </w:r>
      <w:r w:rsidR="00C4712A">
        <w:t xml:space="preserve"> 2016</w:t>
      </w:r>
      <w:r w:rsidRPr="007A6ACB">
        <w:t xml:space="preserve"> – Q</w:t>
      </w:r>
      <w:r w:rsidR="0069547C">
        <w:t>1 2020</w:t>
      </w:r>
    </w:p>
    <w:p w:rsidR="00CA0ECB" w:rsidRPr="00037EB9" w:rsidRDefault="00006500" w:rsidP="00783D4E">
      <w:pPr>
        <w:spacing w:before="0" w:after="120" w:line="240" w:lineRule="auto"/>
        <w:rPr>
          <w:sz w:val="16"/>
          <w:szCs w:val="16"/>
        </w:rPr>
      </w:pPr>
      <w:r w:rsidRPr="00006500">
        <w:rPr>
          <w:noProof/>
          <w:lang w:eastAsia="en-AU"/>
        </w:rPr>
        <w:drawing>
          <wp:inline distT="0" distB="0" distL="0" distR="0">
            <wp:extent cx="5716415" cy="2878166"/>
            <wp:effectExtent l="0" t="0" r="0" b="0"/>
            <wp:docPr id="5" name="Picture 5"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6355" cy="2878136"/>
                    </a:xfrm>
                    <a:prstGeom prst="rect">
                      <a:avLst/>
                    </a:prstGeom>
                    <a:noFill/>
                    <a:ln>
                      <a:noFill/>
                    </a:ln>
                  </pic:spPr>
                </pic:pic>
              </a:graphicData>
            </a:graphic>
          </wp:inline>
        </w:drawing>
      </w:r>
      <w:r w:rsidRPr="00006500">
        <w:rPr>
          <w:rStyle w:val="CommentReference"/>
          <w:sz w:val="22"/>
          <w:szCs w:val="22"/>
        </w:rPr>
        <w:t xml:space="preserve"> </w:t>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3763EA">
        <w:t xml:space="preserve">Figure </w:t>
      </w:r>
      <w:r w:rsidR="003763EA">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r w:rsidR="00F47F94">
        <w:fldChar w:fldCharType="begin"/>
      </w:r>
      <w:r w:rsidR="00F47F94">
        <w:instrText xml:space="preserve"> SEQ Figure \* ARABIC </w:instrText>
      </w:r>
      <w:r w:rsidR="00F47F94">
        <w:fldChar w:fldCharType="separate"/>
      </w:r>
      <w:r w:rsidR="003763EA">
        <w:rPr>
          <w:noProof/>
        </w:rPr>
        <w:t>10</w:t>
      </w:r>
      <w:r w:rsidR="00F47F94">
        <w:rPr>
          <w:noProof/>
        </w:rPr>
        <w:fldChar w:fldCharType="end"/>
      </w:r>
      <w:bookmarkEnd w:id="22"/>
      <w:r w:rsidR="002515C3">
        <w:t>:</w:t>
      </w:r>
      <w:r w:rsidRPr="00DF093A">
        <w:t xml:space="preserve"> Price of Q1 201</w:t>
      </w:r>
      <w:r w:rsidR="00414EA6">
        <w:t>7</w:t>
      </w:r>
      <w:r w:rsidRPr="00DF093A">
        <w:t xml:space="preserve"> base contracts over the past 10 weeks (and the past 2 years)</w:t>
      </w:r>
    </w:p>
    <w:p w:rsidR="00275002" w:rsidRPr="0031019A" w:rsidRDefault="00294040" w:rsidP="00C466B4">
      <w:pPr>
        <w:pStyle w:val="Source"/>
        <w:spacing w:before="0" w:after="120" w:line="240" w:lineRule="auto"/>
        <w:jc w:val="both"/>
      </w:pPr>
      <w:r w:rsidRPr="00294040">
        <w:rPr>
          <w:noProof/>
          <w:lang w:eastAsia="en-AU"/>
        </w:rPr>
        <w:drawing>
          <wp:inline distT="0" distB="0" distL="0" distR="0" wp14:anchorId="714E120C" wp14:editId="5B175908">
            <wp:extent cx="5731510" cy="2900199"/>
            <wp:effectExtent l="0" t="0" r="2540" b="0"/>
            <wp:docPr id="12" name="Picture 12"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r w:rsidR="00006500" w:rsidRPr="00006500">
        <w:t xml:space="preserve"> </w:t>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3763EA">
        <w:t xml:space="preserve">Figure </w:t>
      </w:r>
      <w:r w:rsidR="003763EA">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F47F94">
        <w:fldChar w:fldCharType="begin"/>
      </w:r>
      <w:r w:rsidR="00F47F94">
        <w:instrText xml:space="preserve"> SEQ Figure \* ARABIC </w:instrText>
      </w:r>
      <w:r w:rsidR="00F47F94">
        <w:fldChar w:fldCharType="separate"/>
      </w:r>
      <w:r w:rsidR="003763EA">
        <w:rPr>
          <w:noProof/>
        </w:rPr>
        <w:t>11</w:t>
      </w:r>
      <w:r w:rsidR="00F47F94">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006500" w:rsidP="00037EB9">
      <w:pPr>
        <w:pStyle w:val="Source"/>
        <w:spacing w:before="0" w:after="0" w:line="240" w:lineRule="auto"/>
      </w:pPr>
      <w:r w:rsidRPr="00006500">
        <w:rPr>
          <w:noProof/>
          <w:lang w:eastAsia="en-AU"/>
        </w:rPr>
        <w:drawing>
          <wp:inline distT="0" distB="0" distL="0" distR="0" wp14:anchorId="4880DD39" wp14:editId="12B3A8C1">
            <wp:extent cx="5628418" cy="2822533"/>
            <wp:effectExtent l="0" t="0" r="0" b="0"/>
            <wp:docPr id="10" name="Picture 10"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8320" cy="2822484"/>
                    </a:xfrm>
                    <a:prstGeom prst="rect">
                      <a:avLst/>
                    </a:prstGeom>
                    <a:noFill/>
                    <a:ln>
                      <a:noFill/>
                    </a:ln>
                  </pic:spPr>
                </pic:pic>
              </a:graphicData>
            </a:graphic>
          </wp:inline>
        </w:drawing>
      </w:r>
      <w:r w:rsidRPr="00006500">
        <w:t xml:space="preserve"> </w:t>
      </w:r>
      <w:proofErr w:type="gramStart"/>
      <w:r w:rsidR="00275002" w:rsidRPr="002A7439">
        <w:t>Source</w:t>
      </w:r>
      <w:r w:rsidR="00F72F41">
        <w:t>.</w:t>
      </w:r>
      <w:proofErr w:type="gramEnd"/>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294040">
        <w:t>August</w:t>
      </w:r>
      <w:r w:rsidR="004D5447" w:rsidRPr="00D92E07">
        <w:t xml:space="preserve">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CE" w:rsidRDefault="000107CE" w:rsidP="004B4412">
      <w:pPr>
        <w:spacing w:before="0"/>
      </w:pPr>
      <w:r>
        <w:separator/>
      </w:r>
    </w:p>
  </w:endnote>
  <w:endnote w:type="continuationSeparator" w:id="0">
    <w:p w:rsidR="000107CE" w:rsidRDefault="000107C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CE" w:rsidRPr="00A91A9E" w:rsidRDefault="000107C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107CE" w:rsidRDefault="000107CE"/>
  <w:p w:rsidR="000107CE" w:rsidRDefault="000107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CE" w:rsidRPr="00A94D89" w:rsidRDefault="000107C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F47F94">
      <w:rPr>
        <w:rFonts w:cs="Arial"/>
        <w:i/>
        <w:noProof/>
      </w:rPr>
      <w:t>12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CE" w:rsidRPr="00A94D89" w:rsidRDefault="000107C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F47F94">
      <w:rPr>
        <w:rFonts w:cs="Arial"/>
        <w:i/>
        <w:noProof/>
      </w:rPr>
      <w:t>1</w:t>
    </w:r>
    <w:r w:rsidRPr="001F1B78">
      <w:rPr>
        <w:rFonts w:cs="Arial"/>
        <w:i/>
        <w:noProof/>
      </w:rPr>
      <w:fldChar w:fldCharType="end"/>
    </w:r>
    <w:r w:rsidRPr="00F52F00">
      <w:rPr>
        <w:rFonts w:cs="Arial"/>
        <w:i/>
      </w:rPr>
      <w:tab/>
      <w:t xml:space="preserve">AER reference: 39220 – </w:t>
    </w:r>
    <w:r>
      <w:rPr>
        <w:rFonts w:cs="Arial"/>
        <w:szCs w:val="18"/>
      </w:rPr>
      <w:t>D16/93942</w:t>
    </w:r>
  </w:p>
  <w:p w:rsidR="000107CE" w:rsidRDefault="00010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CE" w:rsidRDefault="000107CE" w:rsidP="004B4412">
      <w:pPr>
        <w:spacing w:before="0"/>
      </w:pPr>
      <w:r>
        <w:separator/>
      </w:r>
    </w:p>
  </w:footnote>
  <w:footnote w:type="continuationSeparator" w:id="0">
    <w:p w:rsidR="000107CE" w:rsidRDefault="000107CE" w:rsidP="004B4412">
      <w:pPr>
        <w:spacing w:before="0"/>
      </w:pPr>
      <w:r>
        <w:continuationSeparator/>
      </w:r>
    </w:p>
  </w:footnote>
  <w:footnote w:id="1">
    <w:p w:rsidR="0024238D" w:rsidRDefault="0024238D">
      <w:pPr>
        <w:pStyle w:val="FootnoteText"/>
      </w:pPr>
      <w:r>
        <w:rPr>
          <w:rStyle w:val="FootnoteReference"/>
        </w:rPr>
        <w:footnoteRef/>
      </w:r>
      <w:r>
        <w:t xml:space="preserve"> Fast Start Inflexibility Profile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892\D16 87567  20160619 - 20160625 Electricity weekly Report.DOCX"/>
  </w:docVars>
  <w:rsids>
    <w:rsidRoot w:val="00275002"/>
    <w:rsid w:val="00000817"/>
    <w:rsid w:val="00000BFE"/>
    <w:rsid w:val="00000CC3"/>
    <w:rsid w:val="00003169"/>
    <w:rsid w:val="00005D12"/>
    <w:rsid w:val="00006500"/>
    <w:rsid w:val="0000728F"/>
    <w:rsid w:val="00007624"/>
    <w:rsid w:val="000107CE"/>
    <w:rsid w:val="000128E1"/>
    <w:rsid w:val="0001415C"/>
    <w:rsid w:val="000147C1"/>
    <w:rsid w:val="00014D5F"/>
    <w:rsid w:val="00017DD0"/>
    <w:rsid w:val="00020341"/>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3AE9"/>
    <w:rsid w:val="00056949"/>
    <w:rsid w:val="000576CD"/>
    <w:rsid w:val="00057973"/>
    <w:rsid w:val="00061ABD"/>
    <w:rsid w:val="00061CE2"/>
    <w:rsid w:val="00061E3B"/>
    <w:rsid w:val="00063247"/>
    <w:rsid w:val="00063473"/>
    <w:rsid w:val="00066157"/>
    <w:rsid w:val="000661AF"/>
    <w:rsid w:val="000670CE"/>
    <w:rsid w:val="00070F9F"/>
    <w:rsid w:val="0007137B"/>
    <w:rsid w:val="000738F4"/>
    <w:rsid w:val="00074A4E"/>
    <w:rsid w:val="000758D3"/>
    <w:rsid w:val="000766E2"/>
    <w:rsid w:val="00077616"/>
    <w:rsid w:val="00077819"/>
    <w:rsid w:val="00082C12"/>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4F5"/>
    <w:rsid w:val="000B364C"/>
    <w:rsid w:val="000B3C8A"/>
    <w:rsid w:val="000B7257"/>
    <w:rsid w:val="000C0472"/>
    <w:rsid w:val="000C1B93"/>
    <w:rsid w:val="000D122C"/>
    <w:rsid w:val="000D1F96"/>
    <w:rsid w:val="000D355E"/>
    <w:rsid w:val="000D3C77"/>
    <w:rsid w:val="000D4350"/>
    <w:rsid w:val="000D5ADE"/>
    <w:rsid w:val="000D68C5"/>
    <w:rsid w:val="000E1819"/>
    <w:rsid w:val="000E1A1B"/>
    <w:rsid w:val="000E26B0"/>
    <w:rsid w:val="000E2946"/>
    <w:rsid w:val="000E4F81"/>
    <w:rsid w:val="000E54D6"/>
    <w:rsid w:val="000E55C7"/>
    <w:rsid w:val="000E5B55"/>
    <w:rsid w:val="000E6C72"/>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1019A"/>
    <w:rsid w:val="001107FF"/>
    <w:rsid w:val="00113430"/>
    <w:rsid w:val="00113AE0"/>
    <w:rsid w:val="00114352"/>
    <w:rsid w:val="001158FE"/>
    <w:rsid w:val="00115CCB"/>
    <w:rsid w:val="00116EB2"/>
    <w:rsid w:val="00117195"/>
    <w:rsid w:val="00120287"/>
    <w:rsid w:val="0012092C"/>
    <w:rsid w:val="00122831"/>
    <w:rsid w:val="00122E6B"/>
    <w:rsid w:val="001235DD"/>
    <w:rsid w:val="00124609"/>
    <w:rsid w:val="00125F4F"/>
    <w:rsid w:val="001270EB"/>
    <w:rsid w:val="00127CAB"/>
    <w:rsid w:val="00130196"/>
    <w:rsid w:val="0013057E"/>
    <w:rsid w:val="0013257C"/>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39E0"/>
    <w:rsid w:val="00153C4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87087"/>
    <w:rsid w:val="001901A4"/>
    <w:rsid w:val="00190F24"/>
    <w:rsid w:val="00191C6F"/>
    <w:rsid w:val="00191DA4"/>
    <w:rsid w:val="00192441"/>
    <w:rsid w:val="001926A4"/>
    <w:rsid w:val="00193617"/>
    <w:rsid w:val="00193ED7"/>
    <w:rsid w:val="001949C6"/>
    <w:rsid w:val="001A2BC2"/>
    <w:rsid w:val="001A2C0A"/>
    <w:rsid w:val="001A3AEC"/>
    <w:rsid w:val="001A3CDA"/>
    <w:rsid w:val="001A6790"/>
    <w:rsid w:val="001B0C3B"/>
    <w:rsid w:val="001B2363"/>
    <w:rsid w:val="001B3ABC"/>
    <w:rsid w:val="001B45A0"/>
    <w:rsid w:val="001B4A7D"/>
    <w:rsid w:val="001B684F"/>
    <w:rsid w:val="001B6C15"/>
    <w:rsid w:val="001B6FCB"/>
    <w:rsid w:val="001C027D"/>
    <w:rsid w:val="001C13CD"/>
    <w:rsid w:val="001C17B3"/>
    <w:rsid w:val="001C1BC0"/>
    <w:rsid w:val="001C2EE8"/>
    <w:rsid w:val="001C5079"/>
    <w:rsid w:val="001C5EF2"/>
    <w:rsid w:val="001C5F6B"/>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6485"/>
    <w:rsid w:val="001E68BC"/>
    <w:rsid w:val="001E6FDD"/>
    <w:rsid w:val="001F03EF"/>
    <w:rsid w:val="001F0B4B"/>
    <w:rsid w:val="001F0EC9"/>
    <w:rsid w:val="001F1548"/>
    <w:rsid w:val="001F1B78"/>
    <w:rsid w:val="001F22EE"/>
    <w:rsid w:val="001F2577"/>
    <w:rsid w:val="001F3530"/>
    <w:rsid w:val="001F4726"/>
    <w:rsid w:val="001F492E"/>
    <w:rsid w:val="001F6DA3"/>
    <w:rsid w:val="001F7509"/>
    <w:rsid w:val="001F7575"/>
    <w:rsid w:val="00201136"/>
    <w:rsid w:val="0020132A"/>
    <w:rsid w:val="00201C06"/>
    <w:rsid w:val="00203300"/>
    <w:rsid w:val="0020376D"/>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C29"/>
    <w:rsid w:val="002214D9"/>
    <w:rsid w:val="002216F5"/>
    <w:rsid w:val="00222F04"/>
    <w:rsid w:val="00224DB9"/>
    <w:rsid w:val="00224EE7"/>
    <w:rsid w:val="002276F0"/>
    <w:rsid w:val="00227C97"/>
    <w:rsid w:val="00230D26"/>
    <w:rsid w:val="00231C73"/>
    <w:rsid w:val="00232A71"/>
    <w:rsid w:val="00232FBD"/>
    <w:rsid w:val="002338A0"/>
    <w:rsid w:val="002339B5"/>
    <w:rsid w:val="00237048"/>
    <w:rsid w:val="00240AA4"/>
    <w:rsid w:val="0024238D"/>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0B6A"/>
    <w:rsid w:val="00272178"/>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040"/>
    <w:rsid w:val="00294653"/>
    <w:rsid w:val="00294D01"/>
    <w:rsid w:val="00296B65"/>
    <w:rsid w:val="00296D07"/>
    <w:rsid w:val="002A0450"/>
    <w:rsid w:val="002A0AF0"/>
    <w:rsid w:val="002A1B5C"/>
    <w:rsid w:val="002A2900"/>
    <w:rsid w:val="002A3CF2"/>
    <w:rsid w:val="002A4EF8"/>
    <w:rsid w:val="002A67D1"/>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4CB4"/>
    <w:rsid w:val="002C56EF"/>
    <w:rsid w:val="002C581B"/>
    <w:rsid w:val="002C621D"/>
    <w:rsid w:val="002C6B96"/>
    <w:rsid w:val="002C6DD3"/>
    <w:rsid w:val="002D1734"/>
    <w:rsid w:val="002D37FB"/>
    <w:rsid w:val="002D484E"/>
    <w:rsid w:val="002D4A1F"/>
    <w:rsid w:val="002D5A5A"/>
    <w:rsid w:val="002D6AB4"/>
    <w:rsid w:val="002D7629"/>
    <w:rsid w:val="002E29A0"/>
    <w:rsid w:val="002E5031"/>
    <w:rsid w:val="002E5E33"/>
    <w:rsid w:val="002E6254"/>
    <w:rsid w:val="002E64AB"/>
    <w:rsid w:val="002E7DC5"/>
    <w:rsid w:val="002F02A4"/>
    <w:rsid w:val="002F16EE"/>
    <w:rsid w:val="002F20C2"/>
    <w:rsid w:val="002F22FD"/>
    <w:rsid w:val="002F2481"/>
    <w:rsid w:val="002F3D02"/>
    <w:rsid w:val="002F4F34"/>
    <w:rsid w:val="002F7986"/>
    <w:rsid w:val="00300C0B"/>
    <w:rsid w:val="00302D83"/>
    <w:rsid w:val="00303D0A"/>
    <w:rsid w:val="00303F1A"/>
    <w:rsid w:val="003061FA"/>
    <w:rsid w:val="003062C2"/>
    <w:rsid w:val="00306DD8"/>
    <w:rsid w:val="00307F6D"/>
    <w:rsid w:val="003105F5"/>
    <w:rsid w:val="0031318F"/>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4AD"/>
    <w:rsid w:val="003375A4"/>
    <w:rsid w:val="003401B9"/>
    <w:rsid w:val="00340B23"/>
    <w:rsid w:val="00341169"/>
    <w:rsid w:val="00342870"/>
    <w:rsid w:val="00343BF7"/>
    <w:rsid w:val="003450FE"/>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4EF1"/>
    <w:rsid w:val="00366515"/>
    <w:rsid w:val="003715C8"/>
    <w:rsid w:val="00371F3A"/>
    <w:rsid w:val="003749F7"/>
    <w:rsid w:val="00375E24"/>
    <w:rsid w:val="00376373"/>
    <w:rsid w:val="003763EA"/>
    <w:rsid w:val="00377133"/>
    <w:rsid w:val="003813E4"/>
    <w:rsid w:val="00383C6B"/>
    <w:rsid w:val="003846F1"/>
    <w:rsid w:val="00384A55"/>
    <w:rsid w:val="00384B54"/>
    <w:rsid w:val="00386C86"/>
    <w:rsid w:val="003874F8"/>
    <w:rsid w:val="003904D2"/>
    <w:rsid w:val="00395B4C"/>
    <w:rsid w:val="00397EB2"/>
    <w:rsid w:val="00397FF5"/>
    <w:rsid w:val="003A0810"/>
    <w:rsid w:val="003A0CB8"/>
    <w:rsid w:val="003A1F17"/>
    <w:rsid w:val="003A27F3"/>
    <w:rsid w:val="003A3E2D"/>
    <w:rsid w:val="003A41E0"/>
    <w:rsid w:val="003A431D"/>
    <w:rsid w:val="003A4B6B"/>
    <w:rsid w:val="003A7DC0"/>
    <w:rsid w:val="003B0D56"/>
    <w:rsid w:val="003B19C5"/>
    <w:rsid w:val="003B282E"/>
    <w:rsid w:val="003B40ED"/>
    <w:rsid w:val="003B4804"/>
    <w:rsid w:val="003B4D9B"/>
    <w:rsid w:val="003B6F90"/>
    <w:rsid w:val="003C0710"/>
    <w:rsid w:val="003C16AA"/>
    <w:rsid w:val="003C24A9"/>
    <w:rsid w:val="003C2A86"/>
    <w:rsid w:val="003C2B22"/>
    <w:rsid w:val="003C2BC1"/>
    <w:rsid w:val="003C30E5"/>
    <w:rsid w:val="003C3C98"/>
    <w:rsid w:val="003C3D77"/>
    <w:rsid w:val="003C62E9"/>
    <w:rsid w:val="003C6315"/>
    <w:rsid w:val="003C7164"/>
    <w:rsid w:val="003C7EFA"/>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0937"/>
    <w:rsid w:val="00411897"/>
    <w:rsid w:val="00412176"/>
    <w:rsid w:val="00414488"/>
    <w:rsid w:val="00414EA6"/>
    <w:rsid w:val="00414F6E"/>
    <w:rsid w:val="00415788"/>
    <w:rsid w:val="004157C0"/>
    <w:rsid w:val="00416641"/>
    <w:rsid w:val="004176E8"/>
    <w:rsid w:val="00421154"/>
    <w:rsid w:val="0042429B"/>
    <w:rsid w:val="00424809"/>
    <w:rsid w:val="004253D6"/>
    <w:rsid w:val="004303EE"/>
    <w:rsid w:val="00432B5B"/>
    <w:rsid w:val="00433242"/>
    <w:rsid w:val="00436F76"/>
    <w:rsid w:val="00440D85"/>
    <w:rsid w:val="00441A99"/>
    <w:rsid w:val="00442767"/>
    <w:rsid w:val="00444A48"/>
    <w:rsid w:val="00450611"/>
    <w:rsid w:val="004507A1"/>
    <w:rsid w:val="0045129B"/>
    <w:rsid w:val="004518EA"/>
    <w:rsid w:val="00451DFF"/>
    <w:rsid w:val="004527A5"/>
    <w:rsid w:val="00453327"/>
    <w:rsid w:val="00453A41"/>
    <w:rsid w:val="00456C20"/>
    <w:rsid w:val="004615E2"/>
    <w:rsid w:val="00462CFF"/>
    <w:rsid w:val="00465210"/>
    <w:rsid w:val="00470AF4"/>
    <w:rsid w:val="00470EE9"/>
    <w:rsid w:val="0047130B"/>
    <w:rsid w:val="00471992"/>
    <w:rsid w:val="00471E68"/>
    <w:rsid w:val="0047237E"/>
    <w:rsid w:val="0047251B"/>
    <w:rsid w:val="0047346C"/>
    <w:rsid w:val="004756E1"/>
    <w:rsid w:val="00477821"/>
    <w:rsid w:val="0048018F"/>
    <w:rsid w:val="00480B4B"/>
    <w:rsid w:val="00480DA9"/>
    <w:rsid w:val="004831F8"/>
    <w:rsid w:val="004835FB"/>
    <w:rsid w:val="00485752"/>
    <w:rsid w:val="00485DC4"/>
    <w:rsid w:val="00487C10"/>
    <w:rsid w:val="00491B2F"/>
    <w:rsid w:val="004923CD"/>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3EAC"/>
    <w:rsid w:val="004D4A76"/>
    <w:rsid w:val="004D5447"/>
    <w:rsid w:val="004D55BA"/>
    <w:rsid w:val="004D7F34"/>
    <w:rsid w:val="004E1B1C"/>
    <w:rsid w:val="004E1E95"/>
    <w:rsid w:val="004E34E7"/>
    <w:rsid w:val="004E4142"/>
    <w:rsid w:val="004E567F"/>
    <w:rsid w:val="004E5AC2"/>
    <w:rsid w:val="004E6AFC"/>
    <w:rsid w:val="004E70CA"/>
    <w:rsid w:val="004E755C"/>
    <w:rsid w:val="004E7D10"/>
    <w:rsid w:val="004F171D"/>
    <w:rsid w:val="004F18F3"/>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3AD2"/>
    <w:rsid w:val="00524513"/>
    <w:rsid w:val="00525B46"/>
    <w:rsid w:val="00527551"/>
    <w:rsid w:val="005279B6"/>
    <w:rsid w:val="00530128"/>
    <w:rsid w:val="00530657"/>
    <w:rsid w:val="005321A1"/>
    <w:rsid w:val="005323B2"/>
    <w:rsid w:val="00532467"/>
    <w:rsid w:val="00533C15"/>
    <w:rsid w:val="0053491C"/>
    <w:rsid w:val="0053611E"/>
    <w:rsid w:val="0054102B"/>
    <w:rsid w:val="0054173F"/>
    <w:rsid w:val="0054254C"/>
    <w:rsid w:val="0054313C"/>
    <w:rsid w:val="00543945"/>
    <w:rsid w:val="00543BEC"/>
    <w:rsid w:val="00544C6F"/>
    <w:rsid w:val="00547DC4"/>
    <w:rsid w:val="005502E7"/>
    <w:rsid w:val="00551739"/>
    <w:rsid w:val="0055298D"/>
    <w:rsid w:val="00552DA2"/>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3DA5"/>
    <w:rsid w:val="00574241"/>
    <w:rsid w:val="00575C43"/>
    <w:rsid w:val="00577A09"/>
    <w:rsid w:val="00577F68"/>
    <w:rsid w:val="005810AE"/>
    <w:rsid w:val="005819F3"/>
    <w:rsid w:val="00582183"/>
    <w:rsid w:val="00582446"/>
    <w:rsid w:val="005839B3"/>
    <w:rsid w:val="00584031"/>
    <w:rsid w:val="00584D8F"/>
    <w:rsid w:val="00585D42"/>
    <w:rsid w:val="0058645E"/>
    <w:rsid w:val="005865FB"/>
    <w:rsid w:val="0058773A"/>
    <w:rsid w:val="005943E8"/>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343A"/>
    <w:rsid w:val="005E6DAF"/>
    <w:rsid w:val="005E6FFA"/>
    <w:rsid w:val="005E7718"/>
    <w:rsid w:val="005F0661"/>
    <w:rsid w:val="005F0CD5"/>
    <w:rsid w:val="005F49EE"/>
    <w:rsid w:val="005F62BE"/>
    <w:rsid w:val="005F69C4"/>
    <w:rsid w:val="005F6ADE"/>
    <w:rsid w:val="005F702C"/>
    <w:rsid w:val="005F7247"/>
    <w:rsid w:val="00600B2D"/>
    <w:rsid w:val="00602A58"/>
    <w:rsid w:val="00603914"/>
    <w:rsid w:val="00604DB6"/>
    <w:rsid w:val="006057DD"/>
    <w:rsid w:val="006074A3"/>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006"/>
    <w:rsid w:val="006411E6"/>
    <w:rsid w:val="00642C3E"/>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36D7"/>
    <w:rsid w:val="00686411"/>
    <w:rsid w:val="00687AA8"/>
    <w:rsid w:val="00694FD6"/>
    <w:rsid w:val="0069547C"/>
    <w:rsid w:val="006956EC"/>
    <w:rsid w:val="006A0411"/>
    <w:rsid w:val="006A192B"/>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48B3"/>
    <w:rsid w:val="006D550F"/>
    <w:rsid w:val="006D5B9F"/>
    <w:rsid w:val="006D6001"/>
    <w:rsid w:val="006D6AE2"/>
    <w:rsid w:val="006D7069"/>
    <w:rsid w:val="006D7923"/>
    <w:rsid w:val="006E1E7D"/>
    <w:rsid w:val="006E218F"/>
    <w:rsid w:val="006E244A"/>
    <w:rsid w:val="006E5F3E"/>
    <w:rsid w:val="006E78CF"/>
    <w:rsid w:val="006F0601"/>
    <w:rsid w:val="006F0760"/>
    <w:rsid w:val="006F0B74"/>
    <w:rsid w:val="006F0D76"/>
    <w:rsid w:val="006F1044"/>
    <w:rsid w:val="006F3750"/>
    <w:rsid w:val="006F393C"/>
    <w:rsid w:val="006F3FCB"/>
    <w:rsid w:val="006F48AA"/>
    <w:rsid w:val="006F4C38"/>
    <w:rsid w:val="006F4D5B"/>
    <w:rsid w:val="006F6C2D"/>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5134"/>
    <w:rsid w:val="00727D4D"/>
    <w:rsid w:val="007303C3"/>
    <w:rsid w:val="00730446"/>
    <w:rsid w:val="007317CE"/>
    <w:rsid w:val="00731F13"/>
    <w:rsid w:val="0073214E"/>
    <w:rsid w:val="00732CE1"/>
    <w:rsid w:val="00732D22"/>
    <w:rsid w:val="0073319F"/>
    <w:rsid w:val="0073449E"/>
    <w:rsid w:val="00734BE2"/>
    <w:rsid w:val="0073561F"/>
    <w:rsid w:val="007356A7"/>
    <w:rsid w:val="00741247"/>
    <w:rsid w:val="00741D03"/>
    <w:rsid w:val="007426D5"/>
    <w:rsid w:val="00743223"/>
    <w:rsid w:val="00746063"/>
    <w:rsid w:val="00746E01"/>
    <w:rsid w:val="00747D2F"/>
    <w:rsid w:val="0075017A"/>
    <w:rsid w:val="00751821"/>
    <w:rsid w:val="007532DD"/>
    <w:rsid w:val="00753ADA"/>
    <w:rsid w:val="0075760D"/>
    <w:rsid w:val="007600A5"/>
    <w:rsid w:val="00760FD8"/>
    <w:rsid w:val="007618A3"/>
    <w:rsid w:val="00762D41"/>
    <w:rsid w:val="00763E5D"/>
    <w:rsid w:val="00764468"/>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1135"/>
    <w:rsid w:val="007A1428"/>
    <w:rsid w:val="007A1AB0"/>
    <w:rsid w:val="007A33E8"/>
    <w:rsid w:val="007A6656"/>
    <w:rsid w:val="007A7264"/>
    <w:rsid w:val="007A7350"/>
    <w:rsid w:val="007B1732"/>
    <w:rsid w:val="007B2C72"/>
    <w:rsid w:val="007B3F68"/>
    <w:rsid w:val="007B497F"/>
    <w:rsid w:val="007B57F8"/>
    <w:rsid w:val="007B5990"/>
    <w:rsid w:val="007B742A"/>
    <w:rsid w:val="007B78AB"/>
    <w:rsid w:val="007C1C53"/>
    <w:rsid w:val="007C2EE8"/>
    <w:rsid w:val="007C62FE"/>
    <w:rsid w:val="007C6FE2"/>
    <w:rsid w:val="007D1133"/>
    <w:rsid w:val="007D2028"/>
    <w:rsid w:val="007D47B2"/>
    <w:rsid w:val="007D53A8"/>
    <w:rsid w:val="007D6FC9"/>
    <w:rsid w:val="007E0E0C"/>
    <w:rsid w:val="007E1516"/>
    <w:rsid w:val="007E4904"/>
    <w:rsid w:val="007E4CB5"/>
    <w:rsid w:val="007E5597"/>
    <w:rsid w:val="007E74E0"/>
    <w:rsid w:val="007F066B"/>
    <w:rsid w:val="007F0F77"/>
    <w:rsid w:val="007F2BBD"/>
    <w:rsid w:val="007F2D03"/>
    <w:rsid w:val="007F3B2C"/>
    <w:rsid w:val="007F3D64"/>
    <w:rsid w:val="007F475F"/>
    <w:rsid w:val="007F4AB4"/>
    <w:rsid w:val="007F5457"/>
    <w:rsid w:val="008011F4"/>
    <w:rsid w:val="008033C4"/>
    <w:rsid w:val="0080626B"/>
    <w:rsid w:val="00806C88"/>
    <w:rsid w:val="00807112"/>
    <w:rsid w:val="00807A5C"/>
    <w:rsid w:val="0081034E"/>
    <w:rsid w:val="00810BE5"/>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4063D"/>
    <w:rsid w:val="00840C6C"/>
    <w:rsid w:val="00840FCC"/>
    <w:rsid w:val="00843C59"/>
    <w:rsid w:val="008445D3"/>
    <w:rsid w:val="00845396"/>
    <w:rsid w:val="00847ED9"/>
    <w:rsid w:val="00851209"/>
    <w:rsid w:val="0085188E"/>
    <w:rsid w:val="00851B46"/>
    <w:rsid w:val="00852B3D"/>
    <w:rsid w:val="00852EC1"/>
    <w:rsid w:val="008556A5"/>
    <w:rsid w:val="00855D1C"/>
    <w:rsid w:val="00856965"/>
    <w:rsid w:val="00857917"/>
    <w:rsid w:val="00861AED"/>
    <w:rsid w:val="00864A9F"/>
    <w:rsid w:val="00867506"/>
    <w:rsid w:val="008707C1"/>
    <w:rsid w:val="00870903"/>
    <w:rsid w:val="0087280A"/>
    <w:rsid w:val="0087308C"/>
    <w:rsid w:val="00873B1F"/>
    <w:rsid w:val="0087479D"/>
    <w:rsid w:val="00882E1D"/>
    <w:rsid w:val="008837AC"/>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4DB6"/>
    <w:rsid w:val="008A4F2B"/>
    <w:rsid w:val="008A587D"/>
    <w:rsid w:val="008A59AB"/>
    <w:rsid w:val="008A6198"/>
    <w:rsid w:val="008A7580"/>
    <w:rsid w:val="008A7E37"/>
    <w:rsid w:val="008B0D4C"/>
    <w:rsid w:val="008B0F35"/>
    <w:rsid w:val="008B18AC"/>
    <w:rsid w:val="008B22BE"/>
    <w:rsid w:val="008B3025"/>
    <w:rsid w:val="008B3F36"/>
    <w:rsid w:val="008B416B"/>
    <w:rsid w:val="008B6DA5"/>
    <w:rsid w:val="008B6F5C"/>
    <w:rsid w:val="008B7F4B"/>
    <w:rsid w:val="008C094A"/>
    <w:rsid w:val="008C1D7C"/>
    <w:rsid w:val="008C1FE0"/>
    <w:rsid w:val="008C4E0D"/>
    <w:rsid w:val="008C50F7"/>
    <w:rsid w:val="008C50FB"/>
    <w:rsid w:val="008C5486"/>
    <w:rsid w:val="008C6384"/>
    <w:rsid w:val="008C6B16"/>
    <w:rsid w:val="008D21CB"/>
    <w:rsid w:val="008D2CEE"/>
    <w:rsid w:val="008D3129"/>
    <w:rsid w:val="008D4820"/>
    <w:rsid w:val="008D4E23"/>
    <w:rsid w:val="008D668B"/>
    <w:rsid w:val="008D6AC3"/>
    <w:rsid w:val="008E0E11"/>
    <w:rsid w:val="008E1E8E"/>
    <w:rsid w:val="008E2316"/>
    <w:rsid w:val="008E2C54"/>
    <w:rsid w:val="008E3AAC"/>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01D1"/>
    <w:rsid w:val="0091130F"/>
    <w:rsid w:val="00913C7D"/>
    <w:rsid w:val="00914975"/>
    <w:rsid w:val="00914A87"/>
    <w:rsid w:val="00914EE8"/>
    <w:rsid w:val="00915BFF"/>
    <w:rsid w:val="0091710E"/>
    <w:rsid w:val="00921066"/>
    <w:rsid w:val="00921957"/>
    <w:rsid w:val="00922ACF"/>
    <w:rsid w:val="009233EE"/>
    <w:rsid w:val="00924207"/>
    <w:rsid w:val="0092422F"/>
    <w:rsid w:val="00932606"/>
    <w:rsid w:val="009335AE"/>
    <w:rsid w:val="00933B55"/>
    <w:rsid w:val="00935E9E"/>
    <w:rsid w:val="00936740"/>
    <w:rsid w:val="009377D8"/>
    <w:rsid w:val="00940393"/>
    <w:rsid w:val="0094150C"/>
    <w:rsid w:val="00942863"/>
    <w:rsid w:val="00944863"/>
    <w:rsid w:val="009456DC"/>
    <w:rsid w:val="00947919"/>
    <w:rsid w:val="00950B15"/>
    <w:rsid w:val="0095158D"/>
    <w:rsid w:val="00952CF7"/>
    <w:rsid w:val="00953534"/>
    <w:rsid w:val="00953576"/>
    <w:rsid w:val="009540FA"/>
    <w:rsid w:val="00956C19"/>
    <w:rsid w:val="00957591"/>
    <w:rsid w:val="0095772E"/>
    <w:rsid w:val="00960AC5"/>
    <w:rsid w:val="00960C83"/>
    <w:rsid w:val="00963B7A"/>
    <w:rsid w:val="00963EC7"/>
    <w:rsid w:val="009661DE"/>
    <w:rsid w:val="009721AF"/>
    <w:rsid w:val="00972628"/>
    <w:rsid w:val="00972A40"/>
    <w:rsid w:val="00974CDB"/>
    <w:rsid w:val="009777E3"/>
    <w:rsid w:val="00981578"/>
    <w:rsid w:val="00981E7F"/>
    <w:rsid w:val="00982FEB"/>
    <w:rsid w:val="0098325E"/>
    <w:rsid w:val="009837D1"/>
    <w:rsid w:val="00983EEC"/>
    <w:rsid w:val="009856B7"/>
    <w:rsid w:val="00985A66"/>
    <w:rsid w:val="0098646A"/>
    <w:rsid w:val="00986EE3"/>
    <w:rsid w:val="009920D2"/>
    <w:rsid w:val="009928BC"/>
    <w:rsid w:val="009937B4"/>
    <w:rsid w:val="0099572C"/>
    <w:rsid w:val="009A090B"/>
    <w:rsid w:val="009A0A73"/>
    <w:rsid w:val="009A0EDF"/>
    <w:rsid w:val="009A14D0"/>
    <w:rsid w:val="009A19B7"/>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78F"/>
    <w:rsid w:val="009D0B16"/>
    <w:rsid w:val="009D3016"/>
    <w:rsid w:val="009D30B3"/>
    <w:rsid w:val="009D3902"/>
    <w:rsid w:val="009D47E3"/>
    <w:rsid w:val="009D5AB7"/>
    <w:rsid w:val="009D633E"/>
    <w:rsid w:val="009D6519"/>
    <w:rsid w:val="009D6B46"/>
    <w:rsid w:val="009E1209"/>
    <w:rsid w:val="009E1242"/>
    <w:rsid w:val="009E2520"/>
    <w:rsid w:val="009E2B88"/>
    <w:rsid w:val="009E464D"/>
    <w:rsid w:val="009E6668"/>
    <w:rsid w:val="009E7749"/>
    <w:rsid w:val="009E7AC6"/>
    <w:rsid w:val="009E7D2D"/>
    <w:rsid w:val="009F0A79"/>
    <w:rsid w:val="009F0AD3"/>
    <w:rsid w:val="009F1D03"/>
    <w:rsid w:val="009F1E42"/>
    <w:rsid w:val="009F2CAC"/>
    <w:rsid w:val="009F4806"/>
    <w:rsid w:val="009F4940"/>
    <w:rsid w:val="00A041F4"/>
    <w:rsid w:val="00A04451"/>
    <w:rsid w:val="00A04F9F"/>
    <w:rsid w:val="00A057D1"/>
    <w:rsid w:val="00A05BED"/>
    <w:rsid w:val="00A06AD1"/>
    <w:rsid w:val="00A107C0"/>
    <w:rsid w:val="00A11053"/>
    <w:rsid w:val="00A1210E"/>
    <w:rsid w:val="00A15141"/>
    <w:rsid w:val="00A159BF"/>
    <w:rsid w:val="00A15E40"/>
    <w:rsid w:val="00A16DAF"/>
    <w:rsid w:val="00A16F26"/>
    <w:rsid w:val="00A21F54"/>
    <w:rsid w:val="00A2302C"/>
    <w:rsid w:val="00A25353"/>
    <w:rsid w:val="00A26739"/>
    <w:rsid w:val="00A26C2F"/>
    <w:rsid w:val="00A30B76"/>
    <w:rsid w:val="00A31572"/>
    <w:rsid w:val="00A350C5"/>
    <w:rsid w:val="00A3632A"/>
    <w:rsid w:val="00A42006"/>
    <w:rsid w:val="00A432BC"/>
    <w:rsid w:val="00A433FB"/>
    <w:rsid w:val="00A441EA"/>
    <w:rsid w:val="00A4478A"/>
    <w:rsid w:val="00A44852"/>
    <w:rsid w:val="00A45EAC"/>
    <w:rsid w:val="00A47A03"/>
    <w:rsid w:val="00A52A18"/>
    <w:rsid w:val="00A54EED"/>
    <w:rsid w:val="00A5631E"/>
    <w:rsid w:val="00A575E8"/>
    <w:rsid w:val="00A57D04"/>
    <w:rsid w:val="00A57D69"/>
    <w:rsid w:val="00A6084B"/>
    <w:rsid w:val="00A60A26"/>
    <w:rsid w:val="00A61598"/>
    <w:rsid w:val="00A61DCF"/>
    <w:rsid w:val="00A645F9"/>
    <w:rsid w:val="00A64EBB"/>
    <w:rsid w:val="00A672B8"/>
    <w:rsid w:val="00A6730F"/>
    <w:rsid w:val="00A679F2"/>
    <w:rsid w:val="00A71AA6"/>
    <w:rsid w:val="00A7334D"/>
    <w:rsid w:val="00A75AAA"/>
    <w:rsid w:val="00A81710"/>
    <w:rsid w:val="00A8183C"/>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1B"/>
    <w:rsid w:val="00AA0CEB"/>
    <w:rsid w:val="00AA12D3"/>
    <w:rsid w:val="00AA39C0"/>
    <w:rsid w:val="00AA3A2C"/>
    <w:rsid w:val="00AA476F"/>
    <w:rsid w:val="00AA649A"/>
    <w:rsid w:val="00AA73F0"/>
    <w:rsid w:val="00AB020C"/>
    <w:rsid w:val="00AB5DCB"/>
    <w:rsid w:val="00AB6478"/>
    <w:rsid w:val="00AB6927"/>
    <w:rsid w:val="00AC0FE9"/>
    <w:rsid w:val="00AC1B2C"/>
    <w:rsid w:val="00AC1CF3"/>
    <w:rsid w:val="00AC242C"/>
    <w:rsid w:val="00AC3264"/>
    <w:rsid w:val="00AC48DA"/>
    <w:rsid w:val="00AD0424"/>
    <w:rsid w:val="00AD0BDE"/>
    <w:rsid w:val="00AD20F6"/>
    <w:rsid w:val="00AD36D0"/>
    <w:rsid w:val="00AD3987"/>
    <w:rsid w:val="00AD3D69"/>
    <w:rsid w:val="00AD3EC2"/>
    <w:rsid w:val="00AD592F"/>
    <w:rsid w:val="00AD6D98"/>
    <w:rsid w:val="00AD76AE"/>
    <w:rsid w:val="00AE0399"/>
    <w:rsid w:val="00AE18EA"/>
    <w:rsid w:val="00AE1BF1"/>
    <w:rsid w:val="00AE20B1"/>
    <w:rsid w:val="00AE2792"/>
    <w:rsid w:val="00AE317D"/>
    <w:rsid w:val="00AE33E0"/>
    <w:rsid w:val="00AF0DD2"/>
    <w:rsid w:val="00AF0ED5"/>
    <w:rsid w:val="00AF2B8E"/>
    <w:rsid w:val="00AF2BB3"/>
    <w:rsid w:val="00AF3A41"/>
    <w:rsid w:val="00AF3A83"/>
    <w:rsid w:val="00AF46F3"/>
    <w:rsid w:val="00AF5DD6"/>
    <w:rsid w:val="00AF66A7"/>
    <w:rsid w:val="00AF7058"/>
    <w:rsid w:val="00AF7C0E"/>
    <w:rsid w:val="00B01BD3"/>
    <w:rsid w:val="00B02ED5"/>
    <w:rsid w:val="00B03817"/>
    <w:rsid w:val="00B057C8"/>
    <w:rsid w:val="00B06353"/>
    <w:rsid w:val="00B065C9"/>
    <w:rsid w:val="00B07545"/>
    <w:rsid w:val="00B0779B"/>
    <w:rsid w:val="00B109DD"/>
    <w:rsid w:val="00B10CB5"/>
    <w:rsid w:val="00B11C09"/>
    <w:rsid w:val="00B1285B"/>
    <w:rsid w:val="00B13048"/>
    <w:rsid w:val="00B135AC"/>
    <w:rsid w:val="00B14716"/>
    <w:rsid w:val="00B14CE4"/>
    <w:rsid w:val="00B162BD"/>
    <w:rsid w:val="00B16A28"/>
    <w:rsid w:val="00B1716D"/>
    <w:rsid w:val="00B17A1D"/>
    <w:rsid w:val="00B201BB"/>
    <w:rsid w:val="00B207A0"/>
    <w:rsid w:val="00B20F61"/>
    <w:rsid w:val="00B211EE"/>
    <w:rsid w:val="00B23484"/>
    <w:rsid w:val="00B251A4"/>
    <w:rsid w:val="00B25887"/>
    <w:rsid w:val="00B26AAA"/>
    <w:rsid w:val="00B276D9"/>
    <w:rsid w:val="00B30D82"/>
    <w:rsid w:val="00B31071"/>
    <w:rsid w:val="00B31345"/>
    <w:rsid w:val="00B33C7F"/>
    <w:rsid w:val="00B34EA0"/>
    <w:rsid w:val="00B35810"/>
    <w:rsid w:val="00B35937"/>
    <w:rsid w:val="00B3773B"/>
    <w:rsid w:val="00B37D36"/>
    <w:rsid w:val="00B4128D"/>
    <w:rsid w:val="00B41686"/>
    <w:rsid w:val="00B44E99"/>
    <w:rsid w:val="00B474EE"/>
    <w:rsid w:val="00B52EC8"/>
    <w:rsid w:val="00B55C24"/>
    <w:rsid w:val="00B56CF6"/>
    <w:rsid w:val="00B56E03"/>
    <w:rsid w:val="00B61B74"/>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309"/>
    <w:rsid w:val="00B956D7"/>
    <w:rsid w:val="00BA1F27"/>
    <w:rsid w:val="00BA2E61"/>
    <w:rsid w:val="00BA390A"/>
    <w:rsid w:val="00BA3992"/>
    <w:rsid w:val="00BA4665"/>
    <w:rsid w:val="00BA5D97"/>
    <w:rsid w:val="00BA621C"/>
    <w:rsid w:val="00BB20BA"/>
    <w:rsid w:val="00BB2FB2"/>
    <w:rsid w:val="00BB3304"/>
    <w:rsid w:val="00BB4732"/>
    <w:rsid w:val="00BB51C2"/>
    <w:rsid w:val="00BB6815"/>
    <w:rsid w:val="00BB7780"/>
    <w:rsid w:val="00BC03BC"/>
    <w:rsid w:val="00BC1B6B"/>
    <w:rsid w:val="00BC4B2E"/>
    <w:rsid w:val="00BC4CD2"/>
    <w:rsid w:val="00BC614B"/>
    <w:rsid w:val="00BC6398"/>
    <w:rsid w:val="00BC675F"/>
    <w:rsid w:val="00BD0BD0"/>
    <w:rsid w:val="00BD10B4"/>
    <w:rsid w:val="00BD1AD7"/>
    <w:rsid w:val="00BD1BCA"/>
    <w:rsid w:val="00BD26AE"/>
    <w:rsid w:val="00BD26EE"/>
    <w:rsid w:val="00BD3446"/>
    <w:rsid w:val="00BD412C"/>
    <w:rsid w:val="00BD4E33"/>
    <w:rsid w:val="00BD5467"/>
    <w:rsid w:val="00BD6CD4"/>
    <w:rsid w:val="00BD7176"/>
    <w:rsid w:val="00BD71BD"/>
    <w:rsid w:val="00BE1F1B"/>
    <w:rsid w:val="00BE2075"/>
    <w:rsid w:val="00BE2F8A"/>
    <w:rsid w:val="00BE377D"/>
    <w:rsid w:val="00BE3F55"/>
    <w:rsid w:val="00BE47B5"/>
    <w:rsid w:val="00BE509D"/>
    <w:rsid w:val="00BE5AC5"/>
    <w:rsid w:val="00BE6087"/>
    <w:rsid w:val="00BE7DBC"/>
    <w:rsid w:val="00BE7F9E"/>
    <w:rsid w:val="00BF19CB"/>
    <w:rsid w:val="00BF1BF5"/>
    <w:rsid w:val="00BF1E45"/>
    <w:rsid w:val="00BF2274"/>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4E32"/>
    <w:rsid w:val="00C154C0"/>
    <w:rsid w:val="00C155B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44CD"/>
    <w:rsid w:val="00C672A9"/>
    <w:rsid w:val="00C672E0"/>
    <w:rsid w:val="00C70205"/>
    <w:rsid w:val="00C729B4"/>
    <w:rsid w:val="00C73A47"/>
    <w:rsid w:val="00C73C83"/>
    <w:rsid w:val="00C7472B"/>
    <w:rsid w:val="00C74A11"/>
    <w:rsid w:val="00C762C8"/>
    <w:rsid w:val="00C80612"/>
    <w:rsid w:val="00C81324"/>
    <w:rsid w:val="00C81890"/>
    <w:rsid w:val="00C81A67"/>
    <w:rsid w:val="00C8473D"/>
    <w:rsid w:val="00C85FF1"/>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E0A5F"/>
    <w:rsid w:val="00CE15A5"/>
    <w:rsid w:val="00CE1831"/>
    <w:rsid w:val="00CE1B68"/>
    <w:rsid w:val="00CE2DD3"/>
    <w:rsid w:val="00CE4F5F"/>
    <w:rsid w:val="00CE6345"/>
    <w:rsid w:val="00CE661E"/>
    <w:rsid w:val="00CE6F6D"/>
    <w:rsid w:val="00CF0B65"/>
    <w:rsid w:val="00CF0E01"/>
    <w:rsid w:val="00CF0E07"/>
    <w:rsid w:val="00CF36F5"/>
    <w:rsid w:val="00CF455C"/>
    <w:rsid w:val="00CF4D2E"/>
    <w:rsid w:val="00CF5382"/>
    <w:rsid w:val="00CF62CA"/>
    <w:rsid w:val="00CF6F3C"/>
    <w:rsid w:val="00CF7663"/>
    <w:rsid w:val="00CF7D47"/>
    <w:rsid w:val="00D01CF0"/>
    <w:rsid w:val="00D0442A"/>
    <w:rsid w:val="00D05840"/>
    <w:rsid w:val="00D06FE4"/>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4037"/>
    <w:rsid w:val="00D44FBD"/>
    <w:rsid w:val="00D4594F"/>
    <w:rsid w:val="00D4681D"/>
    <w:rsid w:val="00D5111E"/>
    <w:rsid w:val="00D5124C"/>
    <w:rsid w:val="00D5382D"/>
    <w:rsid w:val="00D53F55"/>
    <w:rsid w:val="00D61388"/>
    <w:rsid w:val="00D613F3"/>
    <w:rsid w:val="00D615F9"/>
    <w:rsid w:val="00D61A54"/>
    <w:rsid w:val="00D62BAD"/>
    <w:rsid w:val="00D64DEA"/>
    <w:rsid w:val="00D65E49"/>
    <w:rsid w:val="00D67D07"/>
    <w:rsid w:val="00D67EA0"/>
    <w:rsid w:val="00D70F71"/>
    <w:rsid w:val="00D71771"/>
    <w:rsid w:val="00D725C2"/>
    <w:rsid w:val="00D73D17"/>
    <w:rsid w:val="00D74261"/>
    <w:rsid w:val="00D74971"/>
    <w:rsid w:val="00D80893"/>
    <w:rsid w:val="00D839A7"/>
    <w:rsid w:val="00D83DD9"/>
    <w:rsid w:val="00D84797"/>
    <w:rsid w:val="00D86899"/>
    <w:rsid w:val="00D87097"/>
    <w:rsid w:val="00D92A31"/>
    <w:rsid w:val="00D92CF1"/>
    <w:rsid w:val="00D92D38"/>
    <w:rsid w:val="00D92E07"/>
    <w:rsid w:val="00D936B6"/>
    <w:rsid w:val="00D950F5"/>
    <w:rsid w:val="00D95177"/>
    <w:rsid w:val="00D96914"/>
    <w:rsid w:val="00D96A64"/>
    <w:rsid w:val="00DA0C4C"/>
    <w:rsid w:val="00DA1CA3"/>
    <w:rsid w:val="00DA289D"/>
    <w:rsid w:val="00DA331C"/>
    <w:rsid w:val="00DA4BC4"/>
    <w:rsid w:val="00DA4E07"/>
    <w:rsid w:val="00DA6816"/>
    <w:rsid w:val="00DA71C2"/>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E75"/>
    <w:rsid w:val="00DC2F0D"/>
    <w:rsid w:val="00DC395C"/>
    <w:rsid w:val="00DC5E54"/>
    <w:rsid w:val="00DC693A"/>
    <w:rsid w:val="00DC7981"/>
    <w:rsid w:val="00DC7B5A"/>
    <w:rsid w:val="00DD0903"/>
    <w:rsid w:val="00DD1073"/>
    <w:rsid w:val="00DD15C2"/>
    <w:rsid w:val="00DD27EA"/>
    <w:rsid w:val="00DD33DE"/>
    <w:rsid w:val="00DD79F4"/>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C7E"/>
    <w:rsid w:val="00DF6E09"/>
    <w:rsid w:val="00DF7793"/>
    <w:rsid w:val="00E00EC9"/>
    <w:rsid w:val="00E014D8"/>
    <w:rsid w:val="00E03069"/>
    <w:rsid w:val="00E034A6"/>
    <w:rsid w:val="00E03725"/>
    <w:rsid w:val="00E04818"/>
    <w:rsid w:val="00E06442"/>
    <w:rsid w:val="00E1139A"/>
    <w:rsid w:val="00E113E2"/>
    <w:rsid w:val="00E115DE"/>
    <w:rsid w:val="00E120AE"/>
    <w:rsid w:val="00E13056"/>
    <w:rsid w:val="00E13280"/>
    <w:rsid w:val="00E135DB"/>
    <w:rsid w:val="00E13C85"/>
    <w:rsid w:val="00E15B15"/>
    <w:rsid w:val="00E227A4"/>
    <w:rsid w:val="00E2374E"/>
    <w:rsid w:val="00E23993"/>
    <w:rsid w:val="00E24D12"/>
    <w:rsid w:val="00E2504E"/>
    <w:rsid w:val="00E25B8C"/>
    <w:rsid w:val="00E25F40"/>
    <w:rsid w:val="00E31C7A"/>
    <w:rsid w:val="00E31DF2"/>
    <w:rsid w:val="00E3239B"/>
    <w:rsid w:val="00E3279F"/>
    <w:rsid w:val="00E32A8C"/>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903"/>
    <w:rsid w:val="00E52A27"/>
    <w:rsid w:val="00E54461"/>
    <w:rsid w:val="00E548D2"/>
    <w:rsid w:val="00E55C3C"/>
    <w:rsid w:val="00E56018"/>
    <w:rsid w:val="00E6018A"/>
    <w:rsid w:val="00E605DA"/>
    <w:rsid w:val="00E6148A"/>
    <w:rsid w:val="00E64F97"/>
    <w:rsid w:val="00E65839"/>
    <w:rsid w:val="00E65C85"/>
    <w:rsid w:val="00E65CF4"/>
    <w:rsid w:val="00E66199"/>
    <w:rsid w:val="00E675DF"/>
    <w:rsid w:val="00E715D5"/>
    <w:rsid w:val="00E7375B"/>
    <w:rsid w:val="00E737E3"/>
    <w:rsid w:val="00E74532"/>
    <w:rsid w:val="00E7472E"/>
    <w:rsid w:val="00E755EC"/>
    <w:rsid w:val="00E75826"/>
    <w:rsid w:val="00E761D6"/>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A7813"/>
    <w:rsid w:val="00EA7F68"/>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6E24"/>
    <w:rsid w:val="00EE164B"/>
    <w:rsid w:val="00EE28F3"/>
    <w:rsid w:val="00EE347F"/>
    <w:rsid w:val="00EE42C2"/>
    <w:rsid w:val="00EE46CE"/>
    <w:rsid w:val="00EE575A"/>
    <w:rsid w:val="00EF013A"/>
    <w:rsid w:val="00EF0E42"/>
    <w:rsid w:val="00EF0FE6"/>
    <w:rsid w:val="00EF1961"/>
    <w:rsid w:val="00EF335C"/>
    <w:rsid w:val="00EF3FB8"/>
    <w:rsid w:val="00EF4E9E"/>
    <w:rsid w:val="00EF5110"/>
    <w:rsid w:val="00EF62CA"/>
    <w:rsid w:val="00EF69CB"/>
    <w:rsid w:val="00F00587"/>
    <w:rsid w:val="00F019C5"/>
    <w:rsid w:val="00F02D9B"/>
    <w:rsid w:val="00F031FE"/>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19B8"/>
    <w:rsid w:val="00F248D0"/>
    <w:rsid w:val="00F27967"/>
    <w:rsid w:val="00F3008B"/>
    <w:rsid w:val="00F32D35"/>
    <w:rsid w:val="00F336DF"/>
    <w:rsid w:val="00F3590E"/>
    <w:rsid w:val="00F36430"/>
    <w:rsid w:val="00F373A5"/>
    <w:rsid w:val="00F376D3"/>
    <w:rsid w:val="00F42DB4"/>
    <w:rsid w:val="00F45B2F"/>
    <w:rsid w:val="00F47559"/>
    <w:rsid w:val="00F47F94"/>
    <w:rsid w:val="00F50531"/>
    <w:rsid w:val="00F5112C"/>
    <w:rsid w:val="00F5475E"/>
    <w:rsid w:val="00F55548"/>
    <w:rsid w:val="00F55859"/>
    <w:rsid w:val="00F55C77"/>
    <w:rsid w:val="00F6043C"/>
    <w:rsid w:val="00F60561"/>
    <w:rsid w:val="00F61055"/>
    <w:rsid w:val="00F61AA8"/>
    <w:rsid w:val="00F61EEA"/>
    <w:rsid w:val="00F64A21"/>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A80"/>
    <w:rsid w:val="00F93027"/>
    <w:rsid w:val="00F946BA"/>
    <w:rsid w:val="00F94788"/>
    <w:rsid w:val="00F952A0"/>
    <w:rsid w:val="00F965FC"/>
    <w:rsid w:val="00F9786B"/>
    <w:rsid w:val="00FA25D4"/>
    <w:rsid w:val="00FA3830"/>
    <w:rsid w:val="00FA3C7D"/>
    <w:rsid w:val="00FA3C7F"/>
    <w:rsid w:val="00FA7736"/>
    <w:rsid w:val="00FA7920"/>
    <w:rsid w:val="00FB153F"/>
    <w:rsid w:val="00FB265D"/>
    <w:rsid w:val="00FB4068"/>
    <w:rsid w:val="00FB411D"/>
    <w:rsid w:val="00FB41E6"/>
    <w:rsid w:val="00FB45CF"/>
    <w:rsid w:val="00FB6C59"/>
    <w:rsid w:val="00FB6E00"/>
    <w:rsid w:val="00FB74E2"/>
    <w:rsid w:val="00FC0060"/>
    <w:rsid w:val="00FC04BE"/>
    <w:rsid w:val="00FC19C8"/>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5316"/>
    <w:rsid w:val="00FD5614"/>
    <w:rsid w:val="00FD72DC"/>
    <w:rsid w:val="00FD798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2016-07-18T02:33:00Z</dcterms:created>
  <dcterms:modified xsi:type="dcterms:W3CDTF">2016-08-01T05:29:00Z</dcterms:modified>
</cp:coreProperties>
</file>